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450B4F" w:rsidRDefault="00C60960" w:rsidP="00F147E3">
      <w:pPr>
        <w:jc w:val="center"/>
        <w:rPr>
          <w:rFonts w:ascii="Calibri" w:hAnsi="Calibri" w:cs="Arial"/>
          <w:b/>
          <w:lang w:val="en-US"/>
        </w:rPr>
      </w:pPr>
      <w:r w:rsidRPr="00450B4F">
        <w:rPr>
          <w:rFonts w:ascii="Calibri" w:hAnsi="Calibri" w:cs="Arial"/>
          <w:b/>
          <w:sz w:val="32"/>
          <w:lang w:val="en-US"/>
        </w:rPr>
        <w:fldChar w:fldCharType="begin"/>
      </w:r>
      <w:r w:rsidR="00450B4F" w:rsidRPr="00450B4F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450B4F">
        <w:rPr>
          <w:rFonts w:ascii="Calibri" w:hAnsi="Calibri" w:cs="Arial"/>
          <w:b/>
          <w:sz w:val="32"/>
          <w:lang w:val="en-US"/>
        </w:rPr>
        <w:fldChar w:fldCharType="separate"/>
      </w:r>
      <w:r w:rsidR="00450B4F" w:rsidRPr="00450B4F">
        <w:rPr>
          <w:rFonts w:ascii="Calibri" w:hAnsi="Calibri" w:cs="Arial"/>
          <w:b/>
          <w:noProof/>
          <w:sz w:val="32"/>
          <w:lang w:val="en-US"/>
        </w:rPr>
        <w:t>Colombia</w:t>
      </w:r>
      <w:r w:rsidRPr="00450B4F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9F290E" w:rsidTr="00096DDC">
        <w:tc>
          <w:tcPr>
            <w:tcW w:w="3528" w:type="dxa"/>
          </w:tcPr>
          <w:p w:rsidR="00F147E3" w:rsidRPr="00700CBC" w:rsidRDefault="00F147E3" w:rsidP="00700CB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>Programme Title:</w:t>
            </w:r>
            <w:r w:rsidRPr="00700CBC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700CBC" w:rsidRDefault="00C60960" w:rsidP="00700CBC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0CB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00CBC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  <w:lang w:val="en-US"/>
              </w:rPr>
              <w:t>Integrated strategy for the prevention, care and elimination of all forms of gender based violence in Colombia</w:t>
            </w:r>
            <w:r w:rsidRPr="00700CB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7647A5" w:rsidTr="00096DDC">
        <w:tc>
          <w:tcPr>
            <w:tcW w:w="3528" w:type="dxa"/>
          </w:tcPr>
          <w:p w:rsidR="00A52DB9" w:rsidRPr="00700CBC" w:rsidRDefault="00A52DB9" w:rsidP="00700CB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700CBC">
              <w:rPr>
                <w:rFonts w:ascii="Calibri" w:hAnsi="Calibri" w:cs="Arial"/>
                <w:b/>
                <w:lang w:val="en-US"/>
              </w:rPr>
              <w:t>&amp;</w:t>
            </w:r>
            <w:r w:rsidRPr="00700CBC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00CBC" w:rsidRDefault="00C60960" w:rsidP="00700CBC">
            <w:pPr>
              <w:spacing w:line="360" w:lineRule="auto"/>
              <w:rPr>
                <w:rFonts w:ascii="Calibri" w:hAnsi="Calibri" w:cs="Arial"/>
              </w:rPr>
            </w:pPr>
            <w:r w:rsidRPr="00700CB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00CBC">
              <w:rPr>
                <w:rFonts w:ascii="Calibri" w:hAnsi="Calibri" w:cs="Arial"/>
              </w:rPr>
              <w:instrText xml:space="preserve"> MERGEFIELD Project_descr </w:instrText>
            </w:r>
            <w:r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</w:rPr>
              <w:t>MDGF-1746-B-COL Gender</w:t>
            </w:r>
            <w:r w:rsidRPr="00700CBC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700CBC">
              <w:rPr>
                <w:rFonts w:ascii="Calibri" w:hAnsi="Calibri" w:cs="Arial"/>
              </w:rPr>
              <w:t xml:space="preserve"> (</w:t>
            </w:r>
            <w:r w:rsidRPr="00700CB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00CBC">
              <w:rPr>
                <w:rFonts w:ascii="Calibri" w:hAnsi="Calibri" w:cs="Arial"/>
              </w:rPr>
              <w:instrText xml:space="preserve"> MERGEFIELD Project_ID </w:instrText>
            </w:r>
            <w:r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</w:rPr>
              <w:t>67169</w:t>
            </w:r>
            <w:r w:rsidRPr="00700CBC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700CBC">
              <w:rPr>
                <w:rFonts w:ascii="Calibri" w:hAnsi="Calibri" w:cs="Arial"/>
              </w:rPr>
              <w:t>)</w:t>
            </w:r>
          </w:p>
        </w:tc>
      </w:tr>
      <w:tr w:rsidR="00F147E3" w:rsidRPr="0095425F" w:rsidTr="00096DDC">
        <w:tc>
          <w:tcPr>
            <w:tcW w:w="3528" w:type="dxa"/>
          </w:tcPr>
          <w:p w:rsidR="00F147E3" w:rsidRPr="00700CBC" w:rsidRDefault="00F147E3" w:rsidP="00700CB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700CBC" w:rsidRDefault="00C60960" w:rsidP="00700CBC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0CB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00CBC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  <w:lang w:val="en-US"/>
              </w:rPr>
              <w:t>Gender Equality &amp; Women's Empowerment</w:t>
            </w:r>
            <w:r w:rsidRPr="00700CB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096DDC">
        <w:tc>
          <w:tcPr>
            <w:tcW w:w="3528" w:type="dxa"/>
          </w:tcPr>
          <w:p w:rsidR="00F147E3" w:rsidRPr="00700CBC" w:rsidRDefault="00F147E3" w:rsidP="00700CB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700CBC">
              <w:rPr>
                <w:rFonts w:ascii="Calibri" w:hAnsi="Calibri" w:cs="Arial"/>
                <w:b/>
                <w:lang w:val="en-US"/>
              </w:rPr>
              <w:t>(</w:t>
            </w:r>
            <w:r w:rsidRPr="00700CBC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700CBC">
              <w:rPr>
                <w:rFonts w:ascii="Calibri" w:hAnsi="Calibri" w:cs="Arial"/>
                <w:b/>
                <w:lang w:val="en-US"/>
              </w:rPr>
              <w:t>)</w:t>
            </w:r>
            <w:r w:rsidRPr="00700CBC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700CBC" w:rsidRDefault="00C60960" w:rsidP="00700CB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00CBC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700CBC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  <w:lang w:val="da-DK"/>
              </w:rPr>
              <w:t>7.2</w:t>
            </w:r>
            <w:r w:rsidRPr="00700CBC">
              <w:rPr>
                <w:rFonts w:ascii="Calibri" w:hAnsi="Calibri" w:cs="Arial"/>
                <w:lang w:val="en-US"/>
              </w:rPr>
              <w:fldChar w:fldCharType="end"/>
            </w:r>
            <w:r w:rsidR="00F60570" w:rsidRPr="00700CBC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700CBC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7647A5" w:rsidTr="00096DDC">
        <w:tc>
          <w:tcPr>
            <w:tcW w:w="3528" w:type="dxa"/>
          </w:tcPr>
          <w:p w:rsidR="00F147E3" w:rsidRPr="00700CBC" w:rsidRDefault="00F147E3" w:rsidP="00700CB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00CBC" w:rsidRDefault="00C60960" w:rsidP="00700CB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00CB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00CBC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  <w:lang w:val="da-DK"/>
              </w:rPr>
              <w:t>IOM, UNFPA, UNIFEM</w:t>
            </w:r>
            <w:r w:rsidRPr="00700CB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096DDC">
        <w:trPr>
          <w:trHeight w:val="531"/>
        </w:trPr>
        <w:tc>
          <w:tcPr>
            <w:tcW w:w="3528" w:type="dxa"/>
          </w:tcPr>
          <w:p w:rsidR="00F12124" w:rsidRPr="00700CBC" w:rsidRDefault="00F12124" w:rsidP="00700CBC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700CBC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700CBC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700CBC" w:rsidRDefault="00C60960" w:rsidP="00700CB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00CBC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700CBC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700CBC">
              <w:rPr>
                <w:rFonts w:ascii="Calibri" w:hAnsi="Calibri" w:cs="Arial"/>
                <w:lang w:val="da-DK"/>
              </w:rPr>
              <w:fldChar w:fldCharType="separate"/>
            </w:r>
            <w:r w:rsidR="00302A0B" w:rsidRPr="00700CBC">
              <w:rPr>
                <w:rFonts w:ascii="Calibri" w:hAnsi="Calibri" w:cs="Arial"/>
                <w:noProof/>
                <w:lang w:val="da-DK"/>
              </w:rPr>
              <w:t>16-May-2008</w:t>
            </w:r>
            <w:r w:rsidRPr="00700CBC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4C4420" w:rsidRPr="00F12124" w:rsidTr="00096DDC">
        <w:tc>
          <w:tcPr>
            <w:tcW w:w="3528" w:type="dxa"/>
          </w:tcPr>
          <w:p w:rsidR="004C4420" w:rsidRPr="00700CBC" w:rsidRDefault="004C4420" w:rsidP="003F17E5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700CBC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4C4420" w:rsidRPr="00700CBC" w:rsidRDefault="00C60960" w:rsidP="004C442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00CBC">
              <w:rPr>
                <w:rFonts w:ascii="Calibri" w:hAnsi="Calibri" w:cs="Arial"/>
                <w:lang w:val="da-DK"/>
              </w:rPr>
              <w:fldChar w:fldCharType="begin"/>
            </w:r>
            <w:r w:rsidR="004C4420" w:rsidRPr="00700CBC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700CBC">
              <w:rPr>
                <w:rFonts w:ascii="Calibri" w:hAnsi="Calibri" w:cs="Arial"/>
                <w:lang w:val="da-DK"/>
              </w:rPr>
              <w:fldChar w:fldCharType="separate"/>
            </w:r>
            <w:r w:rsidR="004C4420">
              <w:rPr>
                <w:rFonts w:ascii="Calibri" w:hAnsi="Calibri" w:cs="Arial"/>
                <w:noProof/>
                <w:lang w:val="da-DK"/>
              </w:rPr>
              <w:t>4-Dec</w:t>
            </w:r>
            <w:r w:rsidR="004C4420" w:rsidRPr="00700CBC">
              <w:rPr>
                <w:rFonts w:ascii="Calibri" w:hAnsi="Calibri" w:cs="Arial"/>
                <w:noProof/>
                <w:lang w:val="da-DK"/>
              </w:rPr>
              <w:t>-200</w:t>
            </w:r>
            <w:r w:rsidR="004C4420">
              <w:rPr>
                <w:rFonts w:ascii="Calibri" w:hAnsi="Calibri" w:cs="Arial"/>
                <w:noProof/>
                <w:lang w:val="da-DK"/>
              </w:rPr>
              <w:t>9</w:t>
            </w:r>
            <w:r w:rsidRPr="00700CBC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4C4420" w:rsidRPr="00F12124" w:rsidTr="00096DDC">
        <w:tc>
          <w:tcPr>
            <w:tcW w:w="3528" w:type="dxa"/>
          </w:tcPr>
          <w:p w:rsidR="004C4420" w:rsidRPr="00700CBC" w:rsidRDefault="004C4420" w:rsidP="003F17E5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Third</w:t>
            </w:r>
            <w:r w:rsidRPr="00700CBC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4C4420" w:rsidRPr="00700CBC" w:rsidRDefault="00C60960" w:rsidP="004C442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00CBC">
              <w:rPr>
                <w:rFonts w:ascii="Calibri" w:hAnsi="Calibri" w:cs="Arial"/>
                <w:lang w:val="da-DK"/>
              </w:rPr>
              <w:fldChar w:fldCharType="begin"/>
            </w:r>
            <w:r w:rsidR="004C4420" w:rsidRPr="00700CBC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700CBC">
              <w:rPr>
                <w:rFonts w:ascii="Calibri" w:hAnsi="Calibri" w:cs="Arial"/>
                <w:lang w:val="da-DK"/>
              </w:rPr>
              <w:fldChar w:fldCharType="separate"/>
            </w:r>
            <w:r w:rsidR="004C4420">
              <w:rPr>
                <w:rFonts w:ascii="Calibri" w:hAnsi="Calibri" w:cs="Arial"/>
                <w:noProof/>
                <w:lang w:val="da-DK"/>
              </w:rPr>
              <w:t>1-Dec</w:t>
            </w:r>
            <w:r w:rsidR="004C4420" w:rsidRPr="00700CBC">
              <w:rPr>
                <w:rFonts w:ascii="Calibri" w:hAnsi="Calibri" w:cs="Arial"/>
                <w:noProof/>
                <w:lang w:val="da-DK"/>
              </w:rPr>
              <w:t>-20</w:t>
            </w:r>
            <w:r w:rsidR="004C4420">
              <w:rPr>
                <w:rFonts w:ascii="Calibri" w:hAnsi="Calibri" w:cs="Arial"/>
                <w:noProof/>
                <w:lang w:val="da-DK"/>
              </w:rPr>
              <w:t>10</w:t>
            </w:r>
            <w:r w:rsidRPr="00700CBC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 w:rsidTr="00096DDC">
        <w:tc>
          <w:tcPr>
            <w:tcW w:w="9576" w:type="dxa"/>
          </w:tcPr>
          <w:p w:rsidR="007F2D8E" w:rsidRPr="00700CBC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00CBC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700CBC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700CBC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700CBC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096DDC">
        <w:tc>
          <w:tcPr>
            <w:tcW w:w="9576" w:type="dxa"/>
          </w:tcPr>
          <w:p w:rsidR="007F2D8E" w:rsidRPr="00700CBC" w:rsidRDefault="006B0EA3" w:rsidP="007F2D8E">
            <w:pPr>
              <w:rPr>
                <w:rFonts w:ascii="Calibri" w:hAnsi="Calibri" w:cs="Arial"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700CBC">
              <w:rPr>
                <w:rFonts w:ascii="Calibri" w:hAnsi="Calibri" w:cs="Arial"/>
                <w:b/>
                <w:lang w:val="en-US"/>
              </w:rPr>
              <w:t>Substantive</w:t>
            </w:r>
            <w:r w:rsidRPr="00700CBC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700CBC">
              <w:rPr>
                <w:rFonts w:ascii="Calibri" w:hAnsi="Calibri" w:cs="Arial"/>
                <w:b/>
                <w:lang w:val="en-US"/>
              </w:rPr>
              <w:t>:</w:t>
            </w:r>
          </w:p>
          <w:p w:rsidR="007F2D8E" w:rsidRPr="00700CBC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3B220B" w:rsidRPr="0095425F" w:rsidTr="00096DDC">
        <w:tc>
          <w:tcPr>
            <w:tcW w:w="9576" w:type="dxa"/>
            <w:vAlign w:val="bottom"/>
          </w:tcPr>
          <w:p w:rsidR="003B220B" w:rsidRPr="00A23C7E" w:rsidRDefault="003B220B" w:rsidP="009F290E">
            <w:pPr>
              <w:jc w:val="both"/>
            </w:pPr>
            <w:r w:rsidRPr="00A349CE">
              <w:rPr>
                <w:lang w:val="en-US"/>
              </w:rPr>
              <w:t>Comm</w:t>
            </w:r>
            <w:r w:rsidR="00AB0428" w:rsidRPr="00A349CE">
              <w:rPr>
                <w:lang w:val="en-US"/>
              </w:rPr>
              <w:t xml:space="preserve">unications strategy completed. </w:t>
            </w:r>
            <w:r w:rsidRPr="00A349CE">
              <w:rPr>
                <w:lang w:val="en-US"/>
              </w:rPr>
              <w:t>Women´s refuges operational and providing legal and p</w:t>
            </w:r>
            <w:r w:rsidR="00AB0428" w:rsidRPr="00A349CE">
              <w:rPr>
                <w:lang w:val="en-US"/>
              </w:rPr>
              <w:t xml:space="preserve">sychological support to women. </w:t>
            </w:r>
            <w:r w:rsidRPr="00A349CE">
              <w:rPr>
                <w:lang w:val="en-US"/>
              </w:rPr>
              <w:t xml:space="preserve">The </w:t>
            </w:r>
            <w:proofErr w:type="spellStart"/>
            <w:r w:rsidRPr="00A349CE">
              <w:rPr>
                <w:lang w:val="en-US"/>
              </w:rPr>
              <w:t>Embara</w:t>
            </w:r>
            <w:proofErr w:type="spellEnd"/>
            <w:r w:rsidRPr="00A349CE">
              <w:rPr>
                <w:lang w:val="en-US"/>
              </w:rPr>
              <w:t xml:space="preserve"> </w:t>
            </w:r>
            <w:proofErr w:type="spellStart"/>
            <w:r w:rsidRPr="00A349CE">
              <w:rPr>
                <w:lang w:val="en-US"/>
              </w:rPr>
              <w:t>Chami</w:t>
            </w:r>
            <w:proofErr w:type="spellEnd"/>
            <w:r w:rsidRPr="00A349CE">
              <w:rPr>
                <w:lang w:val="en-US"/>
              </w:rPr>
              <w:t xml:space="preserve"> indigenous community sensitized and has agreed to </w:t>
            </w:r>
            <w:r w:rsidR="009C70E3" w:rsidRPr="00A349CE">
              <w:rPr>
                <w:lang w:val="en-US"/>
              </w:rPr>
              <w:t>ban female genital mutilation. R</w:t>
            </w:r>
            <w:r w:rsidRPr="00A349CE">
              <w:rPr>
                <w:lang w:val="en-US"/>
              </w:rPr>
              <w:t>egulations passed to p</w:t>
            </w:r>
            <w:r w:rsidR="00AB0428" w:rsidRPr="00A349CE">
              <w:rPr>
                <w:lang w:val="en-US"/>
              </w:rPr>
              <w:t>rohi</w:t>
            </w:r>
            <w:r w:rsidR="009C70E3" w:rsidRPr="00A349CE">
              <w:rPr>
                <w:lang w:val="en-US"/>
              </w:rPr>
              <w:t>bit this</w:t>
            </w:r>
            <w:r w:rsidR="00AB0428" w:rsidRPr="00A349CE">
              <w:rPr>
                <w:lang w:val="en-US"/>
              </w:rPr>
              <w:t xml:space="preserve">. </w:t>
            </w:r>
            <w:r w:rsidRPr="00A349CE">
              <w:rPr>
                <w:lang w:val="en-US"/>
              </w:rPr>
              <w:t>Gender based violence training provided to government</w:t>
            </w:r>
            <w:r w:rsidR="007C1BDF" w:rsidRPr="00A349CE">
              <w:rPr>
                <w:lang w:val="en-US"/>
              </w:rPr>
              <w:t xml:space="preserve"> staff in 3 pilot territories. </w:t>
            </w:r>
            <w:proofErr w:type="spellStart"/>
            <w:r w:rsidRPr="00A23C7E">
              <w:t>Several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manuals</w:t>
            </w:r>
            <w:proofErr w:type="spellEnd"/>
            <w:r w:rsidRPr="00A23C7E">
              <w:t xml:space="preserve"> and </w:t>
            </w:r>
            <w:proofErr w:type="spellStart"/>
            <w:r w:rsidRPr="00A23C7E">
              <w:t>other</w:t>
            </w:r>
            <w:proofErr w:type="spellEnd"/>
            <w:r w:rsidRPr="00A23C7E">
              <w:t xml:space="preserve"> training material </w:t>
            </w:r>
            <w:proofErr w:type="spellStart"/>
            <w:r w:rsidRPr="00A23C7E">
              <w:t>prepared</w:t>
            </w:r>
            <w:proofErr w:type="spellEnd"/>
            <w:r w:rsidRPr="00A23C7E">
              <w:t xml:space="preserve">.        </w:t>
            </w:r>
          </w:p>
        </w:tc>
      </w:tr>
      <w:tr w:rsidR="003B220B" w:rsidRPr="0095425F" w:rsidTr="00096DDC">
        <w:tc>
          <w:tcPr>
            <w:tcW w:w="9576" w:type="dxa"/>
          </w:tcPr>
          <w:p w:rsidR="003B220B" w:rsidRPr="00700CBC" w:rsidRDefault="003B220B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B220B" w:rsidRPr="0095425F" w:rsidTr="00096DDC">
        <w:tc>
          <w:tcPr>
            <w:tcW w:w="9576" w:type="dxa"/>
          </w:tcPr>
          <w:p w:rsidR="003B220B" w:rsidRPr="00700CBC" w:rsidRDefault="003B220B" w:rsidP="007F2D8E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Problems and lessons learned:</w:t>
            </w:r>
          </w:p>
        </w:tc>
      </w:tr>
      <w:tr w:rsidR="003B220B" w:rsidRPr="0095425F" w:rsidTr="00096DDC">
        <w:tc>
          <w:tcPr>
            <w:tcW w:w="9576" w:type="dxa"/>
            <w:vAlign w:val="bottom"/>
          </w:tcPr>
          <w:p w:rsidR="003B220B" w:rsidRPr="00A23C7E" w:rsidRDefault="003B220B" w:rsidP="003F17E5"/>
        </w:tc>
      </w:tr>
      <w:tr w:rsidR="003B220B" w:rsidRPr="0095425F" w:rsidTr="00096DDC">
        <w:tc>
          <w:tcPr>
            <w:tcW w:w="9576" w:type="dxa"/>
            <w:vAlign w:val="bottom"/>
          </w:tcPr>
          <w:p w:rsidR="003B220B" w:rsidRPr="00A23C7E" w:rsidRDefault="009C70E3" w:rsidP="009C70E3">
            <w:proofErr w:type="spellStart"/>
            <w:r>
              <w:t>Coordination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Government</w:t>
            </w:r>
            <w:proofErr w:type="spellEnd"/>
            <w:r w:rsidR="003B220B" w:rsidRPr="00A23C7E">
              <w:t xml:space="preserve">.    </w:t>
            </w:r>
          </w:p>
        </w:tc>
      </w:tr>
      <w:tr w:rsidR="003B220B" w:rsidRPr="0095425F" w:rsidTr="00096DDC">
        <w:tc>
          <w:tcPr>
            <w:tcW w:w="9576" w:type="dxa"/>
          </w:tcPr>
          <w:p w:rsidR="003B220B" w:rsidRPr="00700CBC" w:rsidRDefault="003B220B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B220B" w:rsidRPr="009F290E" w:rsidTr="00096DDC">
        <w:tc>
          <w:tcPr>
            <w:tcW w:w="9576" w:type="dxa"/>
          </w:tcPr>
          <w:p w:rsidR="003B220B" w:rsidRPr="00700CBC" w:rsidRDefault="003B220B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C60960" w:rsidRPr="00700CBC">
              <w:rPr>
                <w:rFonts w:ascii="Calibri" w:hAnsi="Calibri" w:cs="Arial"/>
                <w:lang w:val="en-US"/>
              </w:rPr>
              <w:fldChar w:fldCharType="begin"/>
            </w:r>
            <w:r w:rsidRPr="00700CBC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C60960"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Pr="00700CBC">
              <w:rPr>
                <w:rFonts w:ascii="Calibri" w:hAnsi="Calibri" w:cs="Arial"/>
                <w:noProof/>
                <w:lang w:val="en-US"/>
              </w:rPr>
              <w:t>Yes</w:t>
            </w:r>
            <w:r w:rsidR="00C60960" w:rsidRPr="00700CB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3B220B" w:rsidRPr="009F290E" w:rsidTr="00096DDC">
        <w:tc>
          <w:tcPr>
            <w:tcW w:w="9576" w:type="dxa"/>
          </w:tcPr>
          <w:p w:rsidR="003B220B" w:rsidRPr="00700CBC" w:rsidRDefault="003B220B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00CBC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C60960" w:rsidRPr="00700CBC">
              <w:rPr>
                <w:rFonts w:ascii="Calibri" w:hAnsi="Calibri" w:cs="Arial"/>
                <w:lang w:val="en-US"/>
              </w:rPr>
              <w:fldChar w:fldCharType="begin"/>
            </w:r>
            <w:r w:rsidRPr="00700CBC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C60960" w:rsidRPr="00700CBC">
              <w:rPr>
                <w:rFonts w:ascii="Calibri" w:hAnsi="Calibri" w:cs="Arial"/>
                <w:lang w:val="en-US"/>
              </w:rPr>
              <w:fldChar w:fldCharType="separate"/>
            </w:r>
            <w:r w:rsidRPr="00700CBC">
              <w:rPr>
                <w:rFonts w:ascii="Calibri" w:hAnsi="Calibri" w:cs="Arial"/>
                <w:noProof/>
                <w:lang w:val="en-US"/>
              </w:rPr>
              <w:t>Yes</w:t>
            </w:r>
            <w:r w:rsidR="00C60960" w:rsidRPr="00700CB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="Calibri" w:hAnsi="Calibri" w:cs="Arial"/>
          <w:lang w:val="en-US"/>
        </w:rPr>
      </w:pPr>
    </w:p>
    <w:p w:rsidR="001D191C" w:rsidRDefault="001D191C" w:rsidP="00791D5B">
      <w:pPr>
        <w:rPr>
          <w:rFonts w:ascii="Calibri" w:hAnsi="Calibri" w:cs="Arial"/>
          <w:lang w:val="en-US"/>
        </w:rPr>
      </w:pPr>
    </w:p>
    <w:p w:rsidR="001D191C" w:rsidRDefault="001D191C" w:rsidP="00791D5B">
      <w:pPr>
        <w:rPr>
          <w:rFonts w:ascii="Calibri" w:hAnsi="Calibri" w:cs="Arial"/>
          <w:lang w:val="en-US"/>
        </w:rPr>
      </w:pPr>
    </w:p>
    <w:p w:rsidR="00F147E3" w:rsidRPr="0095425F" w:rsidRDefault="00450B4F" w:rsidP="003564B2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F147E3" w:rsidRPr="0095425F">
        <w:rPr>
          <w:rFonts w:ascii="Calibri" w:hAnsi="Calibri" w:cs="Arial"/>
          <w:lang w:val="en-US"/>
        </w:rPr>
        <w:lastRenderedPageBreak/>
        <w:t>CHARTS</w:t>
      </w:r>
      <w:r w:rsidR="00D16657" w:rsidRPr="0095425F">
        <w:rPr>
          <w:rFonts w:ascii="Calibri" w:hAnsi="Calibr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B220B">
        <w:rPr>
          <w:rFonts w:ascii="Calibri" w:hAnsi="Calibri" w:cs="Arial"/>
          <w:lang w:val="en-US"/>
        </w:rPr>
        <w:t>10</w:t>
      </w:r>
    </w:p>
    <w:p w:rsidR="00AB0428" w:rsidRDefault="00AB0428" w:rsidP="00F147E3">
      <w:pPr>
        <w:jc w:val="center"/>
        <w:rPr>
          <w:rFonts w:ascii="Calibri" w:hAnsi="Calibri" w:cs="Arial"/>
          <w:lang w:val="en-US"/>
        </w:rPr>
      </w:pPr>
    </w:p>
    <w:p w:rsidR="00791D5B" w:rsidRDefault="009F290E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7.3pt">
            <v:imagedata r:id="rId8" o:title=""/>
          </v:shape>
        </w:pict>
      </w:r>
    </w:p>
    <w:p w:rsidR="00451128" w:rsidRDefault="00451128" w:rsidP="00791D5B">
      <w:pPr>
        <w:ind w:left="-180"/>
        <w:jc w:val="center"/>
        <w:rPr>
          <w:rFonts w:ascii="Calibri" w:hAnsi="Calibri" w:cs="Arial"/>
          <w:lang w:val="en-US"/>
        </w:rPr>
      </w:pPr>
    </w:p>
    <w:p w:rsidR="00E45D20" w:rsidRDefault="00E45D20" w:rsidP="00791D5B">
      <w:pPr>
        <w:rPr>
          <w:rFonts w:ascii="Calibri" w:hAnsi="Calibri" w:cs="Arial"/>
          <w:b/>
          <w:lang w:val="en-US"/>
        </w:rPr>
      </w:pPr>
    </w:p>
    <w:p w:rsidR="003E53E6" w:rsidRPr="008C6C51" w:rsidRDefault="003E53E6" w:rsidP="00F101CA">
      <w:pPr>
        <w:rPr>
          <w:rFonts w:ascii="Calibri" w:hAnsi="Calibri" w:cs="Arial"/>
          <w:b/>
          <w:sz w:val="22"/>
          <w:szCs w:val="22"/>
          <w:lang w:val="es-CO"/>
        </w:rPr>
      </w:pPr>
    </w:p>
    <w:p w:rsidR="00C759A9" w:rsidRDefault="00C759A9" w:rsidP="00F25E26">
      <w:pPr>
        <w:jc w:val="center"/>
        <w:rPr>
          <w:rFonts w:ascii="Calibri" w:hAnsi="Calibri" w:cs="Arial"/>
          <w:b/>
          <w:lang w:val="en-US"/>
        </w:rPr>
      </w:pPr>
    </w:p>
    <w:p w:rsidR="00C759A9" w:rsidRDefault="00C759A9" w:rsidP="00F25E26">
      <w:pPr>
        <w:jc w:val="center"/>
        <w:rPr>
          <w:rFonts w:ascii="Calibri" w:hAnsi="Calibri" w:cs="Arial"/>
          <w:b/>
          <w:lang w:val="en-US"/>
        </w:rPr>
      </w:pPr>
    </w:p>
    <w:p w:rsidR="001D191C" w:rsidRDefault="001D191C" w:rsidP="00F25E26">
      <w:pPr>
        <w:jc w:val="center"/>
        <w:rPr>
          <w:rFonts w:ascii="Calibri" w:hAnsi="Calibri" w:cs="Arial"/>
          <w:b/>
          <w:lang w:val="en-US"/>
        </w:rPr>
      </w:pPr>
    </w:p>
    <w:p w:rsidR="001D191C" w:rsidRDefault="001D191C" w:rsidP="00F25E26">
      <w:pPr>
        <w:jc w:val="center"/>
        <w:rPr>
          <w:rFonts w:ascii="Calibri" w:hAnsi="Calibr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BA" w:rsidRDefault="00135CBA" w:rsidP="00F147E3">
      <w:r>
        <w:separator/>
      </w:r>
    </w:p>
  </w:endnote>
  <w:endnote w:type="continuationSeparator" w:id="1">
    <w:p w:rsidR="00135CBA" w:rsidRDefault="00135CBA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BA" w:rsidRDefault="00135CBA" w:rsidP="00F147E3">
      <w:r>
        <w:separator/>
      </w:r>
    </w:p>
  </w:footnote>
  <w:footnote w:type="continuationSeparator" w:id="1">
    <w:p w:rsidR="00135CBA" w:rsidRDefault="00135CBA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C60960">
    <w:pPr>
      <w:pStyle w:val="Header"/>
      <w:rPr>
        <w:rFonts w:ascii="Arial" w:hAnsi="Arial" w:cs="Arial"/>
        <w:lang w:val="en-US"/>
      </w:rPr>
    </w:pPr>
    <w:r w:rsidRPr="00C6096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E45D20"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4C4420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9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277F7"/>
    <w:rsid w:val="00054857"/>
    <w:rsid w:val="00073FD8"/>
    <w:rsid w:val="0009617E"/>
    <w:rsid w:val="00096DDC"/>
    <w:rsid w:val="000A33F0"/>
    <w:rsid w:val="000E0785"/>
    <w:rsid w:val="000F3A77"/>
    <w:rsid w:val="00112151"/>
    <w:rsid w:val="00135CBA"/>
    <w:rsid w:val="00143186"/>
    <w:rsid w:val="0016327D"/>
    <w:rsid w:val="001872CB"/>
    <w:rsid w:val="001D191C"/>
    <w:rsid w:val="00240992"/>
    <w:rsid w:val="00256C73"/>
    <w:rsid w:val="002B59E7"/>
    <w:rsid w:val="002C2EC7"/>
    <w:rsid w:val="002D24BB"/>
    <w:rsid w:val="00302A0B"/>
    <w:rsid w:val="003140A2"/>
    <w:rsid w:val="003564B2"/>
    <w:rsid w:val="00363AC9"/>
    <w:rsid w:val="0036542F"/>
    <w:rsid w:val="003B220B"/>
    <w:rsid w:val="003B39A3"/>
    <w:rsid w:val="003E233C"/>
    <w:rsid w:val="003E53E6"/>
    <w:rsid w:val="003F17E5"/>
    <w:rsid w:val="004011D3"/>
    <w:rsid w:val="004108C8"/>
    <w:rsid w:val="004139A4"/>
    <w:rsid w:val="004219E0"/>
    <w:rsid w:val="00450B4F"/>
    <w:rsid w:val="00451128"/>
    <w:rsid w:val="0048330C"/>
    <w:rsid w:val="00494D51"/>
    <w:rsid w:val="004C4420"/>
    <w:rsid w:val="00504924"/>
    <w:rsid w:val="00540079"/>
    <w:rsid w:val="005640E5"/>
    <w:rsid w:val="00565D95"/>
    <w:rsid w:val="00571D8A"/>
    <w:rsid w:val="005730EF"/>
    <w:rsid w:val="00584FF7"/>
    <w:rsid w:val="00597D63"/>
    <w:rsid w:val="005B591E"/>
    <w:rsid w:val="005D0337"/>
    <w:rsid w:val="005D2D80"/>
    <w:rsid w:val="00614453"/>
    <w:rsid w:val="006A715E"/>
    <w:rsid w:val="006B0EA3"/>
    <w:rsid w:val="006C0F30"/>
    <w:rsid w:val="006E4615"/>
    <w:rsid w:val="006E7FD7"/>
    <w:rsid w:val="006F1B8D"/>
    <w:rsid w:val="006F4F51"/>
    <w:rsid w:val="00700CBC"/>
    <w:rsid w:val="007442F4"/>
    <w:rsid w:val="0074642F"/>
    <w:rsid w:val="007647A5"/>
    <w:rsid w:val="00791D5B"/>
    <w:rsid w:val="007B2751"/>
    <w:rsid w:val="007B2FA8"/>
    <w:rsid w:val="007C1BDF"/>
    <w:rsid w:val="007F2D8E"/>
    <w:rsid w:val="007F5190"/>
    <w:rsid w:val="0082086C"/>
    <w:rsid w:val="008472A6"/>
    <w:rsid w:val="008575EA"/>
    <w:rsid w:val="008B10E1"/>
    <w:rsid w:val="008B4D5F"/>
    <w:rsid w:val="008C6C51"/>
    <w:rsid w:val="008F05E5"/>
    <w:rsid w:val="0092326B"/>
    <w:rsid w:val="00944CD9"/>
    <w:rsid w:val="0095425F"/>
    <w:rsid w:val="00993168"/>
    <w:rsid w:val="009C70E3"/>
    <w:rsid w:val="009D5085"/>
    <w:rsid w:val="009D6220"/>
    <w:rsid w:val="009F290E"/>
    <w:rsid w:val="00A14829"/>
    <w:rsid w:val="00A31793"/>
    <w:rsid w:val="00A349CE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0428"/>
    <w:rsid w:val="00AB160A"/>
    <w:rsid w:val="00AD5522"/>
    <w:rsid w:val="00AE4F7D"/>
    <w:rsid w:val="00AE77EE"/>
    <w:rsid w:val="00B06560"/>
    <w:rsid w:val="00B07AEC"/>
    <w:rsid w:val="00B31180"/>
    <w:rsid w:val="00B74F03"/>
    <w:rsid w:val="00B859E2"/>
    <w:rsid w:val="00BD3358"/>
    <w:rsid w:val="00BE22DC"/>
    <w:rsid w:val="00BF729B"/>
    <w:rsid w:val="00C12E3C"/>
    <w:rsid w:val="00C25604"/>
    <w:rsid w:val="00C60960"/>
    <w:rsid w:val="00C631F1"/>
    <w:rsid w:val="00C662DD"/>
    <w:rsid w:val="00C759A9"/>
    <w:rsid w:val="00D01ADA"/>
    <w:rsid w:val="00D10593"/>
    <w:rsid w:val="00D10C68"/>
    <w:rsid w:val="00D14A3E"/>
    <w:rsid w:val="00D16657"/>
    <w:rsid w:val="00D178BE"/>
    <w:rsid w:val="00D2252A"/>
    <w:rsid w:val="00D22F32"/>
    <w:rsid w:val="00D721EE"/>
    <w:rsid w:val="00DB6FE5"/>
    <w:rsid w:val="00DD4FE8"/>
    <w:rsid w:val="00DE080D"/>
    <w:rsid w:val="00DE2D26"/>
    <w:rsid w:val="00DE4F4B"/>
    <w:rsid w:val="00DF3869"/>
    <w:rsid w:val="00E260DD"/>
    <w:rsid w:val="00E34F58"/>
    <w:rsid w:val="00E3763B"/>
    <w:rsid w:val="00E45D20"/>
    <w:rsid w:val="00E4675B"/>
    <w:rsid w:val="00E57BF7"/>
    <w:rsid w:val="00EE17F3"/>
    <w:rsid w:val="00F101CA"/>
    <w:rsid w:val="00F12124"/>
    <w:rsid w:val="00F147E3"/>
    <w:rsid w:val="00F25E26"/>
    <w:rsid w:val="00F34E9C"/>
    <w:rsid w:val="00F60570"/>
    <w:rsid w:val="00F66E6B"/>
    <w:rsid w:val="00F917CA"/>
    <w:rsid w:val="00FB0066"/>
    <w:rsid w:val="00FB1030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C29F-E6AF-4A79-9BEB-0DC43447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Programa de las Naciones Unidas para el Desarrollo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UNDP</cp:lastModifiedBy>
  <cp:revision>3</cp:revision>
  <cp:lastPrinted>2010-05-17T15:22:00Z</cp:lastPrinted>
  <dcterms:created xsi:type="dcterms:W3CDTF">2011-05-25T19:42:00Z</dcterms:created>
  <dcterms:modified xsi:type="dcterms:W3CDTF">2011-05-31T21:03:00Z</dcterms:modified>
</cp:coreProperties>
</file>