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C80DB5" w:rsidRDefault="00A56572" w:rsidP="00C80DB5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C80DB5">
        <w:rPr>
          <w:rFonts w:asciiTheme="minorHAnsi" w:hAnsiTheme="minorHAnsi"/>
          <w:b/>
          <w:sz w:val="32"/>
          <w:szCs w:val="32"/>
          <w:lang w:val="en-US"/>
        </w:rPr>
        <w:fldChar w:fldCharType="begin"/>
      </w:r>
      <w:r w:rsidR="008450AC" w:rsidRPr="00C80DB5">
        <w:rPr>
          <w:rFonts w:asciiTheme="minorHAnsi" w:hAnsiTheme="minorHAnsi"/>
          <w:b/>
          <w:sz w:val="32"/>
          <w:szCs w:val="32"/>
          <w:lang w:val="en-US"/>
        </w:rPr>
        <w:instrText xml:space="preserve"> MERGEFIELD Country </w:instrText>
      </w:r>
      <w:r w:rsidRPr="00C80DB5">
        <w:rPr>
          <w:rFonts w:asciiTheme="minorHAnsi" w:hAnsiTheme="minorHAnsi"/>
          <w:b/>
          <w:sz w:val="32"/>
          <w:szCs w:val="32"/>
          <w:lang w:val="en-US"/>
        </w:rPr>
        <w:fldChar w:fldCharType="separate"/>
      </w:r>
      <w:r w:rsidR="008450AC" w:rsidRPr="00C80DB5">
        <w:rPr>
          <w:rFonts w:asciiTheme="minorHAnsi" w:hAnsiTheme="minorHAnsi"/>
          <w:b/>
          <w:noProof/>
          <w:sz w:val="32"/>
          <w:szCs w:val="32"/>
          <w:lang w:val="en-US"/>
        </w:rPr>
        <w:t>Ethiopia</w:t>
      </w:r>
      <w:r w:rsidRPr="00C80DB5">
        <w:rPr>
          <w:rFonts w:asciiTheme="minorHAnsi" w:hAnsiTheme="minorHAnsi"/>
          <w:b/>
          <w:sz w:val="32"/>
          <w:szCs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604216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A5657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25604" w:rsidRPr="002755E8">
              <w:rPr>
                <w:rFonts w:asciiTheme="minorHAnsi" w:hAnsiTheme="minorHAnsi" w:cs="Arial"/>
                <w:noProof/>
                <w:lang w:val="en-US"/>
              </w:rPr>
              <w:t>Enabling pastoral communities to adapt to climate change and restoring rangeland environments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604216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8450AC" w:rsidRDefault="00A56572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450AC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25604" w:rsidRPr="008450AC">
              <w:rPr>
                <w:rFonts w:asciiTheme="minorHAnsi" w:hAnsiTheme="minorHAnsi" w:cs="Arial"/>
                <w:noProof/>
                <w:lang w:val="en-US"/>
              </w:rPr>
              <w:t>MDGF-1679-E-ETH Enabling Commu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8450AC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450AC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25604" w:rsidRPr="008450AC">
              <w:rPr>
                <w:rFonts w:asciiTheme="minorHAnsi" w:hAnsiTheme="minorHAnsi" w:cs="Arial"/>
                <w:noProof/>
                <w:lang w:val="en-US"/>
              </w:rPr>
              <w:t>67150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8450AC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A5657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25604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A56572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25604" w:rsidRPr="002755E8">
              <w:rPr>
                <w:rFonts w:asciiTheme="minorHAnsi" w:hAnsiTheme="minorHAnsi" w:cs="Arial"/>
                <w:noProof/>
                <w:lang w:val="da-DK"/>
              </w:rPr>
              <w:t>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E20993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A5657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C25604" w:rsidRPr="002755E8">
              <w:rPr>
                <w:rFonts w:asciiTheme="minorHAnsi" w:hAnsiTheme="minorHAnsi" w:cs="Arial"/>
                <w:noProof/>
                <w:lang w:val="da-DK"/>
              </w:rPr>
              <w:t>FAO, UNDP, UNEP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A5657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C25604" w:rsidRPr="002755E8">
              <w:rPr>
                <w:rFonts w:asciiTheme="minorHAnsi" w:hAnsiTheme="minorHAnsi" w:cs="Arial"/>
                <w:noProof/>
                <w:lang w:val="da-DK"/>
              </w:rPr>
              <w:t>21-Oct-2009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610238" w:rsidRPr="004011D3" w:rsidRDefault="00610238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F341C3" w:rsidRPr="00C80DB5" w:rsidTr="00EC3B47">
        <w:tc>
          <w:tcPr>
            <w:tcW w:w="9576" w:type="dxa"/>
            <w:vAlign w:val="bottom"/>
          </w:tcPr>
          <w:p w:rsidR="00F341C3" w:rsidRPr="00C80DB5" w:rsidRDefault="00F341C3" w:rsidP="00D34CB6">
            <w:pPr>
              <w:jc w:val="both"/>
              <w:rPr>
                <w:lang w:val="en-US"/>
              </w:rPr>
            </w:pPr>
            <w:r w:rsidRPr="00C80DB5">
              <w:rPr>
                <w:lang w:val="en-US"/>
              </w:rPr>
              <w:t>Training in several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areas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such as climate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change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 xml:space="preserve">adaptation, planning, monitoring and evaluation, </w:t>
            </w:r>
            <w:r w:rsidR="00D34CB6">
              <w:rPr>
                <w:lang w:val="en-US"/>
              </w:rPr>
              <w:t xml:space="preserve">conflict </w:t>
            </w:r>
            <w:r w:rsidRPr="00C80DB5">
              <w:rPr>
                <w:lang w:val="en-US"/>
              </w:rPr>
              <w:t>prevention and management of pastoral areas has been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provided. Project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technical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equipment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procured. Detailed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monthly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action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plans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for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regions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completed. Advocacy and communication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strategy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 xml:space="preserve">prepared.  </w:t>
            </w:r>
            <w:r w:rsidR="00B84CFF" w:rsidRPr="00C80DB5">
              <w:rPr>
                <w:lang w:val="en-US"/>
              </w:rPr>
              <w:t>Regional &amp;</w:t>
            </w:r>
            <w:r w:rsidR="00D34CB6">
              <w:rPr>
                <w:lang w:val="en-US"/>
              </w:rPr>
              <w:t xml:space="preserve"> </w:t>
            </w:r>
            <w:r w:rsidR="00B84CFF" w:rsidRPr="00C80DB5">
              <w:rPr>
                <w:lang w:val="en-US"/>
              </w:rPr>
              <w:t>District/</w:t>
            </w:r>
            <w:proofErr w:type="spellStart"/>
            <w:r w:rsidR="00B84CFF" w:rsidRPr="00C80DB5">
              <w:rPr>
                <w:lang w:val="en-US"/>
              </w:rPr>
              <w:t>Wereda</w:t>
            </w:r>
            <w:proofErr w:type="spellEnd"/>
            <w:r w:rsidR="00B84CFF" w:rsidRPr="00C80DB5">
              <w:rPr>
                <w:lang w:val="en-US"/>
              </w:rPr>
              <w:t>/Project Officers</w:t>
            </w:r>
            <w:r w:rsidR="00D34CB6">
              <w:rPr>
                <w:lang w:val="en-US"/>
              </w:rPr>
              <w:t xml:space="preserve"> </w:t>
            </w:r>
            <w:r w:rsidR="00B84CFF" w:rsidRPr="00C80DB5">
              <w:rPr>
                <w:lang w:val="en-US"/>
              </w:rPr>
              <w:t>recruited.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Afar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Region CC Adaptation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program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developed. CC related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risks/vulnerability of pastoral communities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identified and assessment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report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produced. Draft CC mainstreaming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guideline</w:t>
            </w:r>
            <w:r w:rsidR="00D34CB6">
              <w:rPr>
                <w:lang w:val="en-US"/>
              </w:rPr>
              <w:t xml:space="preserve"> </w:t>
            </w:r>
            <w:r w:rsidR="00015754" w:rsidRPr="00C80DB5">
              <w:rPr>
                <w:lang w:val="en-US"/>
              </w:rPr>
              <w:t>prepared</w:t>
            </w:r>
          </w:p>
        </w:tc>
      </w:tr>
      <w:tr w:rsidR="00F341C3" w:rsidRPr="00C80DB5" w:rsidTr="007F2D8E">
        <w:tc>
          <w:tcPr>
            <w:tcW w:w="9576" w:type="dxa"/>
          </w:tcPr>
          <w:p w:rsidR="00F341C3" w:rsidRPr="0095425F" w:rsidRDefault="00F341C3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F341C3" w:rsidRPr="0095425F" w:rsidTr="007F2D8E">
        <w:tc>
          <w:tcPr>
            <w:tcW w:w="9576" w:type="dxa"/>
          </w:tcPr>
          <w:p w:rsidR="00F341C3" w:rsidRPr="0095425F" w:rsidRDefault="00F341C3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F341C3" w:rsidRPr="0095425F" w:rsidRDefault="00F341C3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F341C3" w:rsidRPr="00C80DB5" w:rsidTr="00EC3B47">
        <w:tc>
          <w:tcPr>
            <w:tcW w:w="9576" w:type="dxa"/>
            <w:vAlign w:val="bottom"/>
          </w:tcPr>
          <w:p w:rsidR="00F341C3" w:rsidRPr="00C80DB5" w:rsidRDefault="00F341C3" w:rsidP="00EC3B47">
            <w:pPr>
              <w:rPr>
                <w:lang w:val="en-US"/>
              </w:rPr>
            </w:pPr>
            <w:r w:rsidRPr="00C80DB5">
              <w:rPr>
                <w:lang w:val="en-US"/>
              </w:rPr>
              <w:t>Managerial (delayed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funds transfer to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the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field). JP design</w:t>
            </w:r>
            <w:r w:rsidR="00D34CB6">
              <w:rPr>
                <w:lang w:val="en-US"/>
              </w:rPr>
              <w:t xml:space="preserve"> </w:t>
            </w:r>
            <w:r w:rsidRPr="00C80DB5">
              <w:rPr>
                <w:lang w:val="en-US"/>
              </w:rPr>
              <w:t>issues.</w:t>
            </w:r>
          </w:p>
        </w:tc>
      </w:tr>
      <w:tr w:rsidR="00F341C3" w:rsidRPr="00C80DB5" w:rsidTr="007F2D8E">
        <w:tc>
          <w:tcPr>
            <w:tcW w:w="9576" w:type="dxa"/>
          </w:tcPr>
          <w:p w:rsidR="00F341C3" w:rsidRPr="0095425F" w:rsidRDefault="00F341C3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F341C3" w:rsidRPr="00604216" w:rsidTr="007F2D8E">
        <w:tc>
          <w:tcPr>
            <w:tcW w:w="9576" w:type="dxa"/>
          </w:tcPr>
          <w:p w:rsidR="00F341C3" w:rsidRPr="0095425F" w:rsidRDefault="00F341C3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A56572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A56572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A56572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341C3" w:rsidRPr="00604216" w:rsidTr="007F2D8E">
        <w:tc>
          <w:tcPr>
            <w:tcW w:w="9576" w:type="dxa"/>
          </w:tcPr>
          <w:p w:rsidR="00F341C3" w:rsidRPr="0095425F" w:rsidRDefault="00F341C3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 </w:t>
            </w:r>
            <w:r w:rsidR="00A56572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A56572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A56572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  <w:r w:rsidR="00D34CB6">
        <w:rPr>
          <w:rStyle w:val="FootnoteReference"/>
          <w:rFonts w:asciiTheme="minorHAnsi" w:hAnsiTheme="minorHAnsi"/>
          <w:lang w:val="en-US"/>
        </w:rPr>
        <w:footnoteReference w:id="2"/>
      </w:r>
    </w:p>
    <w:p w:rsidR="005759F9" w:rsidRDefault="00D16657" w:rsidP="00CA2C2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F341C3">
        <w:rPr>
          <w:rFonts w:asciiTheme="minorHAnsi" w:hAnsiTheme="minorHAnsi" w:cs="Arial"/>
          <w:lang w:val="en-US"/>
        </w:rPr>
        <w:t>10</w:t>
      </w:r>
    </w:p>
    <w:p w:rsidR="00C00B38" w:rsidRDefault="00C00B38" w:rsidP="00F147E3">
      <w:pPr>
        <w:jc w:val="center"/>
        <w:rPr>
          <w:rFonts w:asciiTheme="minorHAnsi" w:hAnsiTheme="minorHAnsi" w:cs="Arial"/>
          <w:lang w:val="en-US"/>
        </w:rPr>
      </w:pPr>
    </w:p>
    <w:p w:rsidR="008B4D5F" w:rsidRPr="0095425F" w:rsidRDefault="00CA2C27" w:rsidP="00F147E3">
      <w:pPr>
        <w:jc w:val="center"/>
        <w:rPr>
          <w:rFonts w:asciiTheme="minorHAnsi" w:hAnsiTheme="minorHAnsi" w:cs="Arial"/>
          <w:lang w:val="en-US"/>
        </w:rPr>
      </w:pPr>
      <w:r w:rsidRPr="00CA2C27">
        <w:rPr>
          <w:noProof/>
          <w:lang w:val="en-US" w:eastAsia="en-US"/>
        </w:rPr>
        <w:drawing>
          <wp:inline distT="0" distB="0" distL="0" distR="0">
            <wp:extent cx="5943600" cy="64305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D5F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FF" w:rsidRDefault="00B84CFF" w:rsidP="00F147E3">
      <w:r>
        <w:separator/>
      </w:r>
    </w:p>
  </w:endnote>
  <w:endnote w:type="continuationSeparator" w:id="1">
    <w:p w:rsidR="00B84CFF" w:rsidRDefault="00B84CFF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FF" w:rsidRDefault="00B84CFF" w:rsidP="00F147E3">
      <w:r>
        <w:separator/>
      </w:r>
    </w:p>
  </w:footnote>
  <w:footnote w:type="continuationSeparator" w:id="1">
    <w:p w:rsidR="00B84CFF" w:rsidRDefault="00B84CFF" w:rsidP="00F147E3">
      <w:r>
        <w:continuationSeparator/>
      </w:r>
    </w:p>
  </w:footnote>
  <w:footnote w:id="2">
    <w:p w:rsidR="00D34CB6" w:rsidRPr="00D34CB6" w:rsidRDefault="00D34CB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34CB6">
        <w:rPr>
          <w:lang w:val="en-US"/>
        </w:rPr>
        <w:t xml:space="preserve"> </w:t>
      </w:r>
      <w:r>
        <w:rPr>
          <w:lang w:val="en-US"/>
        </w:rPr>
        <w:t>These figures are provided by the Participating Organizations’ headquarters and may differ from information in the field.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FF" w:rsidRDefault="00B84CFF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B84CFF" w:rsidRPr="00F147E3" w:rsidRDefault="00B84CFF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84CFF" w:rsidRPr="00F147E3" w:rsidRDefault="00B84CFF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0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5754"/>
    <w:rsid w:val="00016C17"/>
    <w:rsid w:val="00054857"/>
    <w:rsid w:val="0009617E"/>
    <w:rsid w:val="000E0785"/>
    <w:rsid w:val="000F3A77"/>
    <w:rsid w:val="00112151"/>
    <w:rsid w:val="00143186"/>
    <w:rsid w:val="0016327D"/>
    <w:rsid w:val="001A3409"/>
    <w:rsid w:val="002267E9"/>
    <w:rsid w:val="002746D3"/>
    <w:rsid w:val="002B59E7"/>
    <w:rsid w:val="002C2EC7"/>
    <w:rsid w:val="00324A60"/>
    <w:rsid w:val="00363AC9"/>
    <w:rsid w:val="0036542F"/>
    <w:rsid w:val="003B39A3"/>
    <w:rsid w:val="003E233C"/>
    <w:rsid w:val="004011D3"/>
    <w:rsid w:val="004108C8"/>
    <w:rsid w:val="004139A4"/>
    <w:rsid w:val="004C3F47"/>
    <w:rsid w:val="004D6E5C"/>
    <w:rsid w:val="00540079"/>
    <w:rsid w:val="005730EF"/>
    <w:rsid w:val="005759F9"/>
    <w:rsid w:val="005D2D80"/>
    <w:rsid w:val="00604216"/>
    <w:rsid w:val="00610238"/>
    <w:rsid w:val="00614453"/>
    <w:rsid w:val="006A715E"/>
    <w:rsid w:val="006B0EA3"/>
    <w:rsid w:val="006C0F30"/>
    <w:rsid w:val="006E7FD7"/>
    <w:rsid w:val="006F1B8D"/>
    <w:rsid w:val="007442F4"/>
    <w:rsid w:val="0074642F"/>
    <w:rsid w:val="007647A5"/>
    <w:rsid w:val="007B2751"/>
    <w:rsid w:val="007B2FA8"/>
    <w:rsid w:val="007F2D8E"/>
    <w:rsid w:val="007F5190"/>
    <w:rsid w:val="008450AC"/>
    <w:rsid w:val="008472A6"/>
    <w:rsid w:val="00863E38"/>
    <w:rsid w:val="008B10E1"/>
    <w:rsid w:val="008B3760"/>
    <w:rsid w:val="008B4D5F"/>
    <w:rsid w:val="00944CD9"/>
    <w:rsid w:val="0095425F"/>
    <w:rsid w:val="00993168"/>
    <w:rsid w:val="009A20C4"/>
    <w:rsid w:val="009C3377"/>
    <w:rsid w:val="009D5085"/>
    <w:rsid w:val="00A14829"/>
    <w:rsid w:val="00A31793"/>
    <w:rsid w:val="00A52DB9"/>
    <w:rsid w:val="00A56572"/>
    <w:rsid w:val="00A56749"/>
    <w:rsid w:val="00A57FCF"/>
    <w:rsid w:val="00A6046F"/>
    <w:rsid w:val="00A64828"/>
    <w:rsid w:val="00A9307A"/>
    <w:rsid w:val="00AA43A4"/>
    <w:rsid w:val="00AA7A3B"/>
    <w:rsid w:val="00AB160A"/>
    <w:rsid w:val="00AB45BA"/>
    <w:rsid w:val="00AD5522"/>
    <w:rsid w:val="00AE77EE"/>
    <w:rsid w:val="00B06560"/>
    <w:rsid w:val="00B07AEC"/>
    <w:rsid w:val="00B31180"/>
    <w:rsid w:val="00B74F03"/>
    <w:rsid w:val="00B84CFF"/>
    <w:rsid w:val="00BD3358"/>
    <w:rsid w:val="00BE22DC"/>
    <w:rsid w:val="00BF729B"/>
    <w:rsid w:val="00C00B38"/>
    <w:rsid w:val="00C25604"/>
    <w:rsid w:val="00C631F1"/>
    <w:rsid w:val="00C662DD"/>
    <w:rsid w:val="00C80DB5"/>
    <w:rsid w:val="00CA2C27"/>
    <w:rsid w:val="00D01ADA"/>
    <w:rsid w:val="00D10593"/>
    <w:rsid w:val="00D10C68"/>
    <w:rsid w:val="00D16657"/>
    <w:rsid w:val="00D178BE"/>
    <w:rsid w:val="00D2252A"/>
    <w:rsid w:val="00D34CB6"/>
    <w:rsid w:val="00D721EE"/>
    <w:rsid w:val="00DB6FE5"/>
    <w:rsid w:val="00DD4FE8"/>
    <w:rsid w:val="00DE080D"/>
    <w:rsid w:val="00DE2D26"/>
    <w:rsid w:val="00DE4F4B"/>
    <w:rsid w:val="00E20993"/>
    <w:rsid w:val="00E260DD"/>
    <w:rsid w:val="00E34F58"/>
    <w:rsid w:val="00E3763B"/>
    <w:rsid w:val="00E57BF7"/>
    <w:rsid w:val="00EC3B47"/>
    <w:rsid w:val="00EE17F3"/>
    <w:rsid w:val="00F12124"/>
    <w:rsid w:val="00F147E3"/>
    <w:rsid w:val="00F25E26"/>
    <w:rsid w:val="00F341C3"/>
    <w:rsid w:val="00F60570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3B47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84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FF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FF"/>
    <w:rPr>
      <w:rFonts w:ascii="Times New Roman" w:eastAsia="Times New Roman" w:hAnsi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3B47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84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CFF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CFF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2D0D-20D5-4304-8452-B9A5F7AB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5</cp:revision>
  <cp:lastPrinted>2011-05-11T16:05:00Z</cp:lastPrinted>
  <dcterms:created xsi:type="dcterms:W3CDTF">2011-05-31T21:24:00Z</dcterms:created>
  <dcterms:modified xsi:type="dcterms:W3CDTF">2011-05-31T21:28:00Z</dcterms:modified>
</cp:coreProperties>
</file>