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28" w:rsidRDefault="000A0F28"/>
    <w:p w:rsidR="00D6336A" w:rsidRDefault="00922237" w:rsidP="00D6336A">
      <w:pPr>
        <w:pStyle w:val="Heading2"/>
        <w:rPr>
          <w:color w:val="4F81BD"/>
          <w:sz w:val="22"/>
        </w:rPr>
      </w:pPr>
      <w:r>
        <w:rPr>
          <w:color w:val="4F81BD"/>
          <w:sz w:val="22"/>
        </w:rPr>
        <w:t>Change Management Funding</w:t>
      </w:r>
      <w:r w:rsidR="00AD4DD8">
        <w:rPr>
          <w:color w:val="4F81BD"/>
          <w:sz w:val="22"/>
        </w:rPr>
        <w:t xml:space="preserve"> Agreement</w:t>
      </w:r>
    </w:p>
    <w:p w:rsidR="00AD4DD8" w:rsidRDefault="00AD4DD8" w:rsidP="00AD4DD8"/>
    <w:p w:rsidR="00AD4DD8" w:rsidRDefault="00AD4DD8" w:rsidP="00AD4DD8">
      <w:r>
        <w:t>Introduction</w:t>
      </w:r>
    </w:p>
    <w:p w:rsidR="00AD4DD8" w:rsidRPr="00505DA9" w:rsidRDefault="00AD4DD8" w:rsidP="00505DA9">
      <w:pPr>
        <w:autoSpaceDE w:val="0"/>
        <w:autoSpaceDN w:val="0"/>
        <w:adjustRightInd w:val="0"/>
        <w:jc w:val="both"/>
        <w:rPr>
          <w:rFonts w:cs="Calibri"/>
          <w:sz w:val="20"/>
        </w:rPr>
      </w:pPr>
      <w:r w:rsidRPr="00505DA9">
        <w:rPr>
          <w:rFonts w:cs="Calibri"/>
          <w:sz w:val="20"/>
        </w:rPr>
        <w:t xml:space="preserve">The UN Lesotho One Fund offers two different funding windows, allowing UN organizations and partners to contribute to a particular type of UN activity in Lesotho. Each window has a number of results matrices that present each outcome with its own set of costed outputs, as well as a series of indicators to verify progress. </w:t>
      </w:r>
    </w:p>
    <w:p w:rsidR="00AD4DD8" w:rsidRPr="00505DA9" w:rsidRDefault="00AD4DD8" w:rsidP="00505DA9">
      <w:pPr>
        <w:autoSpaceDE w:val="0"/>
        <w:autoSpaceDN w:val="0"/>
        <w:adjustRightInd w:val="0"/>
        <w:jc w:val="both"/>
        <w:rPr>
          <w:rFonts w:cs="Calibri"/>
          <w:sz w:val="20"/>
        </w:rPr>
      </w:pPr>
    </w:p>
    <w:p w:rsidR="00AD4DD8" w:rsidRPr="00505DA9" w:rsidRDefault="00AD4DD8" w:rsidP="00505DA9">
      <w:pPr>
        <w:autoSpaceDE w:val="0"/>
        <w:autoSpaceDN w:val="0"/>
        <w:adjustRightInd w:val="0"/>
        <w:ind w:firstLine="1"/>
        <w:jc w:val="both"/>
        <w:rPr>
          <w:rFonts w:cs="Calibri"/>
          <w:sz w:val="20"/>
        </w:rPr>
      </w:pPr>
      <w:r w:rsidRPr="00505DA9">
        <w:rPr>
          <w:rFonts w:cs="Calibri"/>
          <w:sz w:val="20"/>
        </w:rPr>
        <w:t xml:space="preserve">Window 1 reflects required resources, mobilized resources and the resource gap associated with the One Programme 2008‐2012, while window 2 focuses on required resources, mobilized resources and the resource gap associated with facilitating the process of Delivering as One. </w:t>
      </w:r>
    </w:p>
    <w:p w:rsidR="00AD4DD8" w:rsidRPr="00505DA9" w:rsidRDefault="00AD4DD8" w:rsidP="00505DA9">
      <w:pPr>
        <w:autoSpaceDE w:val="0"/>
        <w:autoSpaceDN w:val="0"/>
        <w:adjustRightInd w:val="0"/>
        <w:ind w:firstLine="1"/>
        <w:jc w:val="both"/>
        <w:rPr>
          <w:rFonts w:cs="Calibri"/>
          <w:sz w:val="20"/>
        </w:rPr>
      </w:pPr>
    </w:p>
    <w:p w:rsidR="00AD4DD8" w:rsidRPr="00505DA9" w:rsidRDefault="00AD4DD8" w:rsidP="00505DA9">
      <w:pPr>
        <w:autoSpaceDE w:val="0"/>
        <w:autoSpaceDN w:val="0"/>
        <w:adjustRightInd w:val="0"/>
        <w:ind w:firstLine="1"/>
        <w:jc w:val="both"/>
        <w:rPr>
          <w:rFonts w:cs="Calibri"/>
          <w:sz w:val="20"/>
        </w:rPr>
      </w:pPr>
      <w:r w:rsidRPr="00505DA9">
        <w:rPr>
          <w:rFonts w:cs="Calibri"/>
          <w:sz w:val="20"/>
        </w:rPr>
        <w:t>This second window includes change management activities associated with the transition from the agency based model to the UN System based model. Activities in this window are defined as all non-programmatic interventions aimed at delivering UN Programmes efficiently and effectively in line with the five components as outlined in detail in the Delivering as One concept note.</w:t>
      </w:r>
    </w:p>
    <w:p w:rsidR="00AD4DD8" w:rsidRPr="00505DA9" w:rsidRDefault="00AD4DD8" w:rsidP="00505DA9">
      <w:pPr>
        <w:autoSpaceDE w:val="0"/>
        <w:autoSpaceDN w:val="0"/>
        <w:adjustRightInd w:val="0"/>
        <w:jc w:val="both"/>
        <w:rPr>
          <w:sz w:val="20"/>
        </w:rPr>
      </w:pPr>
      <w:r w:rsidRPr="00505DA9">
        <w:rPr>
          <w:rFonts w:ascii="Arial Narrow" w:hAnsi="Arial Narrow" w:cs="Arial Narrow"/>
          <w:color w:val="000000"/>
          <w:sz w:val="16"/>
          <w:szCs w:val="20"/>
        </w:rPr>
        <w:t xml:space="preserve"> </w:t>
      </w:r>
    </w:p>
    <w:p w:rsidR="00AD4DD8" w:rsidRPr="00505DA9" w:rsidRDefault="00AD4DD8" w:rsidP="00505DA9">
      <w:pPr>
        <w:jc w:val="both"/>
        <w:rPr>
          <w:sz w:val="20"/>
        </w:rPr>
      </w:pPr>
      <w:r w:rsidRPr="00505DA9">
        <w:rPr>
          <w:sz w:val="20"/>
        </w:rPr>
        <w:t xml:space="preserve">The RC and UNCT will review and approve proposals for change management initiatives for funding under the second window of the UN Lesotho One Fund.  These decisions will be reported to the </w:t>
      </w:r>
      <w:r w:rsidRPr="00505DA9">
        <w:rPr>
          <w:rFonts w:cs="Calibri"/>
          <w:sz w:val="20"/>
        </w:rPr>
        <w:t>UN Country Programme Steering Committee</w:t>
      </w:r>
      <w:r w:rsidRPr="00505DA9">
        <w:rPr>
          <w:sz w:val="20"/>
        </w:rPr>
        <w:t xml:space="preserve"> as part of phase 3.</w:t>
      </w:r>
    </w:p>
    <w:p w:rsidR="00AD4DD8" w:rsidRDefault="00AD4DD8" w:rsidP="00AD4DD8"/>
    <w:p w:rsidR="00AD4DD8" w:rsidRPr="00AD4DD8" w:rsidRDefault="00AD4DD8" w:rsidP="00AD4DD8">
      <w:r>
        <w:t xml:space="preserve">Agreed </w:t>
      </w:r>
      <w:r w:rsidR="00505DA9">
        <w:t xml:space="preserve">change management </w:t>
      </w:r>
      <w:r>
        <w:t>budget for 2010</w:t>
      </w:r>
      <w:r w:rsidR="00505DA9">
        <w:t xml:space="preserve"> (only unfunded parts)</w:t>
      </w:r>
    </w:p>
    <w:p w:rsidR="00DF099A" w:rsidRDefault="00DF099A" w:rsidP="00D6336A">
      <w:pPr>
        <w:jc w:val="both"/>
        <w:rPr>
          <w:rFonts w:cs="Arial"/>
          <w:b/>
          <w:bCs/>
          <w:sz w:val="22"/>
          <w:szCs w:val="22"/>
          <w:lang w:val="en-US"/>
        </w:rPr>
      </w:pPr>
    </w:p>
    <w:tbl>
      <w:tblPr>
        <w:tblW w:w="8743" w:type="dxa"/>
        <w:tblInd w:w="95" w:type="dxa"/>
        <w:tblLook w:val="04A0"/>
      </w:tblPr>
      <w:tblGrid>
        <w:gridCol w:w="7393"/>
        <w:gridCol w:w="1350"/>
      </w:tblGrid>
      <w:tr w:rsidR="00AD4DD8" w:rsidRPr="00AD4DD8" w:rsidTr="00AD4DD8">
        <w:trPr>
          <w:trHeight w:val="315"/>
        </w:trPr>
        <w:tc>
          <w:tcPr>
            <w:tcW w:w="7393"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b/>
                <w:bCs/>
                <w:color w:val="000000"/>
                <w:kern w:val="0"/>
                <w:sz w:val="20"/>
                <w:lang w:val="en-US" w:eastAsia="en-US"/>
              </w:rPr>
            </w:pPr>
            <w:r w:rsidRPr="00AD4DD8">
              <w:rPr>
                <w:rFonts w:eastAsia="Times New Roman"/>
                <w:b/>
                <w:bCs/>
                <w:color w:val="000000"/>
                <w:kern w:val="0"/>
                <w:sz w:val="20"/>
                <w:szCs w:val="22"/>
                <w:lang w:val="en-US" w:eastAsia="en-US"/>
              </w:rPr>
              <w:t>Overall facilitation</w:t>
            </w:r>
          </w:p>
        </w:tc>
        <w:tc>
          <w:tcPr>
            <w:tcW w:w="1350" w:type="dxa"/>
            <w:tcBorders>
              <w:top w:val="single" w:sz="8" w:space="0" w:color="auto"/>
              <w:left w:val="nil"/>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b/>
                <w:bCs/>
                <w:color w:val="000000"/>
                <w:kern w:val="0"/>
                <w:sz w:val="20"/>
                <w:lang w:val="en-US" w:eastAsia="en-US"/>
              </w:rPr>
            </w:pPr>
            <w:r w:rsidRPr="00AD4DD8">
              <w:rPr>
                <w:rFonts w:eastAsia="Times New Roman"/>
                <w:b/>
                <w:bCs/>
                <w:color w:val="000000"/>
                <w:kern w:val="0"/>
                <w:sz w:val="20"/>
                <w:szCs w:val="22"/>
                <w:lang w:val="en-US" w:eastAsia="en-US"/>
              </w:rPr>
              <w:t>Costs</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505DA9">
            <w:pPr>
              <w:widowControl/>
              <w:suppressAutoHyphens w:val="0"/>
              <w:rPr>
                <w:rFonts w:eastAsia="Times New Roman"/>
                <w:kern w:val="0"/>
                <w:sz w:val="20"/>
                <w:lang w:val="en-US" w:eastAsia="en-US"/>
              </w:rPr>
            </w:pPr>
            <w:r w:rsidRPr="00AD4DD8">
              <w:rPr>
                <w:rFonts w:eastAsia="Times New Roman"/>
                <w:kern w:val="0"/>
                <w:sz w:val="20"/>
                <w:szCs w:val="22"/>
                <w:lang w:val="en-US" w:eastAsia="en-US"/>
              </w:rPr>
              <w:t>Conduct high-level capacity assessment of UN Teams</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505DA9" w:rsidP="00AD4DD8">
            <w:pPr>
              <w:widowControl/>
              <w:suppressAutoHyphens w:val="0"/>
              <w:jc w:val="right"/>
              <w:rPr>
                <w:rFonts w:eastAsia="Times New Roman"/>
                <w:kern w:val="0"/>
                <w:sz w:val="20"/>
                <w:lang w:val="en-US" w:eastAsia="en-US"/>
              </w:rPr>
            </w:pPr>
            <w:r>
              <w:rPr>
                <w:rFonts w:eastAsia="Times New Roman"/>
                <w:kern w:val="0"/>
                <w:sz w:val="20"/>
                <w:szCs w:val="22"/>
                <w:lang w:val="en-US" w:eastAsia="en-US"/>
              </w:rPr>
              <w:t>3</w:t>
            </w:r>
            <w:r w:rsidR="00AD4DD8" w:rsidRPr="00AD4DD8">
              <w:rPr>
                <w:rFonts w:eastAsia="Times New Roman"/>
                <w:kern w:val="0"/>
                <w:sz w:val="20"/>
                <w:szCs w:val="22"/>
                <w:lang w:val="en-US" w:eastAsia="en-US"/>
              </w:rPr>
              <w:t>0,000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505DA9" w:rsidP="00AD4DD8">
            <w:pPr>
              <w:widowControl/>
              <w:suppressAutoHyphens w:val="0"/>
              <w:rPr>
                <w:rFonts w:eastAsia="Times New Roman"/>
                <w:kern w:val="0"/>
                <w:sz w:val="20"/>
                <w:lang w:val="en-US" w:eastAsia="en-US"/>
              </w:rPr>
            </w:pPr>
            <w:r>
              <w:rPr>
                <w:rFonts w:eastAsia="Times New Roman"/>
                <w:kern w:val="0"/>
                <w:sz w:val="20"/>
                <w:szCs w:val="22"/>
                <w:lang w:val="en-US" w:eastAsia="en-US"/>
              </w:rPr>
              <w:t xml:space="preserve">Overall </w:t>
            </w:r>
            <w:r w:rsidR="00AD4DD8" w:rsidRPr="00AD4DD8">
              <w:rPr>
                <w:rFonts w:eastAsia="Times New Roman"/>
                <w:kern w:val="0"/>
                <w:sz w:val="20"/>
                <w:szCs w:val="22"/>
                <w:lang w:val="en-US" w:eastAsia="en-US"/>
              </w:rPr>
              <w:t>Change management  support</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30,000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All UN staff retreat</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20,000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b/>
                <w:bCs/>
                <w:kern w:val="0"/>
                <w:sz w:val="20"/>
                <w:lang w:val="en-US" w:eastAsia="en-US"/>
              </w:rPr>
            </w:pPr>
            <w:r w:rsidRPr="00AD4DD8">
              <w:rPr>
                <w:rFonts w:eastAsia="Times New Roman"/>
                <w:b/>
                <w:bCs/>
                <w:kern w:val="0"/>
                <w:sz w:val="20"/>
                <w:szCs w:val="22"/>
                <w:lang w:val="en-US" w:eastAsia="en-US"/>
              </w:rPr>
              <w:t>One Office</w:t>
            </w:r>
          </w:p>
        </w:tc>
        <w:tc>
          <w:tcPr>
            <w:tcW w:w="1350" w:type="dxa"/>
            <w:tcBorders>
              <w:top w:val="nil"/>
              <w:left w:val="nil"/>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 </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Pr>
                <w:rFonts w:eastAsia="Times New Roman"/>
                <w:kern w:val="0"/>
                <w:sz w:val="20"/>
                <w:szCs w:val="22"/>
                <w:lang w:val="en-US" w:eastAsia="en-US"/>
              </w:rPr>
              <w:t>C</w:t>
            </w:r>
            <w:r w:rsidRPr="00AD4DD8">
              <w:rPr>
                <w:rFonts w:eastAsia="Times New Roman"/>
                <w:kern w:val="0"/>
                <w:sz w:val="20"/>
                <w:szCs w:val="22"/>
                <w:lang w:val="en-US" w:eastAsia="en-US"/>
              </w:rPr>
              <w:t>onduct business process re-engineering to increase common UN operations</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10,000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Implementation of selected common UN operations that will reduce transaction costs</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15,000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b/>
                <w:bCs/>
                <w:kern w:val="0"/>
                <w:sz w:val="20"/>
                <w:lang w:val="en-US" w:eastAsia="en-US"/>
              </w:rPr>
            </w:pPr>
            <w:r w:rsidRPr="00AD4DD8">
              <w:rPr>
                <w:rFonts w:eastAsia="Times New Roman"/>
                <w:b/>
                <w:bCs/>
                <w:kern w:val="0"/>
                <w:sz w:val="20"/>
                <w:szCs w:val="22"/>
                <w:lang w:val="en-US" w:eastAsia="en-US"/>
              </w:rPr>
              <w:t>One Voice</w:t>
            </w:r>
          </w:p>
        </w:tc>
        <w:tc>
          <w:tcPr>
            <w:tcW w:w="1350" w:type="dxa"/>
            <w:tcBorders>
              <w:top w:val="nil"/>
              <w:left w:val="nil"/>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 </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Delivering as One outreach</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5,000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b/>
                <w:bCs/>
                <w:kern w:val="0"/>
                <w:sz w:val="20"/>
                <w:lang w:val="en-US" w:eastAsia="en-US"/>
              </w:rPr>
            </w:pPr>
            <w:r w:rsidRPr="00AD4DD8">
              <w:rPr>
                <w:rFonts w:eastAsia="Times New Roman"/>
                <w:b/>
                <w:bCs/>
                <w:kern w:val="0"/>
                <w:sz w:val="20"/>
                <w:szCs w:val="22"/>
                <w:lang w:val="en-US" w:eastAsia="en-US"/>
              </w:rPr>
              <w:t>One Programme</w:t>
            </w:r>
          </w:p>
        </w:tc>
        <w:tc>
          <w:tcPr>
            <w:tcW w:w="1350" w:type="dxa"/>
            <w:tcBorders>
              <w:top w:val="nil"/>
              <w:left w:val="nil"/>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 </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Editing, printing, dissemination of One Programme</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071719">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7,</w:t>
            </w:r>
            <w:r w:rsidR="00071719">
              <w:rPr>
                <w:rFonts w:eastAsia="Times New Roman"/>
                <w:kern w:val="0"/>
                <w:sz w:val="20"/>
                <w:szCs w:val="22"/>
                <w:lang w:val="en-US" w:eastAsia="en-US"/>
              </w:rPr>
              <w:t>692</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M&amp;E capacity building for Programme Teams</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10,000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b/>
                <w:bCs/>
                <w:kern w:val="0"/>
                <w:sz w:val="20"/>
                <w:lang w:val="en-US" w:eastAsia="en-US"/>
              </w:rPr>
            </w:pPr>
            <w:r w:rsidRPr="00AD4DD8">
              <w:rPr>
                <w:rFonts w:eastAsia="Times New Roman"/>
                <w:b/>
                <w:bCs/>
                <w:kern w:val="0"/>
                <w:sz w:val="20"/>
                <w:szCs w:val="22"/>
                <w:lang w:val="en-US" w:eastAsia="en-US"/>
              </w:rPr>
              <w:t>One Budget</w:t>
            </w:r>
          </w:p>
        </w:tc>
        <w:tc>
          <w:tcPr>
            <w:tcW w:w="1350" w:type="dxa"/>
            <w:tcBorders>
              <w:top w:val="nil"/>
              <w:left w:val="nil"/>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 </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One Fund local Managing Agent - coordination</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40,000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Development of joint resource mobilisation strategy</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5,000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b/>
                <w:bCs/>
                <w:kern w:val="0"/>
                <w:sz w:val="20"/>
                <w:lang w:val="en-US" w:eastAsia="en-US"/>
              </w:rPr>
            </w:pPr>
            <w:r w:rsidRPr="00AD4DD8">
              <w:rPr>
                <w:rFonts w:eastAsia="Times New Roman"/>
                <w:b/>
                <w:bCs/>
                <w:kern w:val="0"/>
                <w:sz w:val="20"/>
                <w:szCs w:val="22"/>
                <w:lang w:val="en-US" w:eastAsia="en-US"/>
              </w:rPr>
              <w:t>One Leader</w:t>
            </w:r>
          </w:p>
        </w:tc>
        <w:tc>
          <w:tcPr>
            <w:tcW w:w="1350" w:type="dxa"/>
            <w:tcBorders>
              <w:top w:val="nil"/>
              <w:left w:val="nil"/>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 </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rPr>
                <w:rFonts w:eastAsia="Times New Roman"/>
                <w:kern w:val="0"/>
                <w:sz w:val="20"/>
                <w:lang w:val="en-US" w:eastAsia="en-US"/>
              </w:rPr>
            </w:pPr>
            <w:r w:rsidRPr="00AD4DD8">
              <w:rPr>
                <w:rFonts w:eastAsia="Times New Roman"/>
                <w:kern w:val="0"/>
                <w:sz w:val="20"/>
                <w:szCs w:val="22"/>
                <w:lang w:val="en-US" w:eastAsia="en-US"/>
              </w:rPr>
              <w:t>UN and Government study tour to DaO pilot in Africa</w:t>
            </w:r>
          </w:p>
        </w:tc>
        <w:tc>
          <w:tcPr>
            <w:tcW w:w="1350" w:type="dxa"/>
            <w:tcBorders>
              <w:top w:val="nil"/>
              <w:left w:val="nil"/>
              <w:bottom w:val="single" w:sz="8" w:space="0" w:color="auto"/>
              <w:right w:val="single" w:sz="8" w:space="0" w:color="auto"/>
            </w:tcBorders>
            <w:shd w:val="clear" w:color="auto" w:fill="auto"/>
            <w:noWrap/>
            <w:vAlign w:val="bottom"/>
            <w:hideMark/>
          </w:tcPr>
          <w:p w:rsidR="00AD4DD8" w:rsidRPr="00AD4DD8" w:rsidRDefault="00AD4DD8" w:rsidP="00AD4DD8">
            <w:pPr>
              <w:widowControl/>
              <w:suppressAutoHyphens w:val="0"/>
              <w:jc w:val="right"/>
              <w:rPr>
                <w:rFonts w:eastAsia="Times New Roman"/>
                <w:kern w:val="0"/>
                <w:sz w:val="20"/>
                <w:lang w:val="en-US" w:eastAsia="en-US"/>
              </w:rPr>
            </w:pPr>
            <w:r w:rsidRPr="00AD4DD8">
              <w:rPr>
                <w:rFonts w:eastAsia="Times New Roman"/>
                <w:kern w:val="0"/>
                <w:sz w:val="20"/>
                <w:szCs w:val="22"/>
                <w:lang w:val="en-US" w:eastAsia="en-US"/>
              </w:rPr>
              <w:t>35,000</w:t>
            </w:r>
          </w:p>
        </w:tc>
      </w:tr>
      <w:tr w:rsidR="00AD4DD8" w:rsidRPr="00AD4DD8" w:rsidTr="00AD4DD8">
        <w:trPr>
          <w:trHeight w:val="315"/>
        </w:trPr>
        <w:tc>
          <w:tcPr>
            <w:tcW w:w="7393" w:type="dxa"/>
            <w:tcBorders>
              <w:top w:val="nil"/>
              <w:left w:val="single" w:sz="8" w:space="0" w:color="auto"/>
              <w:bottom w:val="single" w:sz="8" w:space="0" w:color="auto"/>
              <w:right w:val="single" w:sz="8" w:space="0" w:color="auto"/>
            </w:tcBorders>
            <w:shd w:val="clear" w:color="000000" w:fill="B8CCE4"/>
            <w:noWrap/>
            <w:vAlign w:val="bottom"/>
            <w:hideMark/>
          </w:tcPr>
          <w:p w:rsidR="00AD4DD8" w:rsidRPr="00AD4DD8" w:rsidRDefault="00AD4DD8" w:rsidP="00AD4DD8">
            <w:pPr>
              <w:widowControl/>
              <w:suppressAutoHyphens w:val="0"/>
              <w:rPr>
                <w:rFonts w:eastAsia="Times New Roman"/>
                <w:b/>
                <w:bCs/>
                <w:color w:val="000000"/>
                <w:kern w:val="0"/>
                <w:sz w:val="20"/>
                <w:lang w:val="en-US" w:eastAsia="en-US"/>
              </w:rPr>
            </w:pPr>
            <w:r w:rsidRPr="00AD4DD8">
              <w:rPr>
                <w:rFonts w:eastAsia="Times New Roman"/>
                <w:b/>
                <w:bCs/>
                <w:color w:val="000000"/>
                <w:kern w:val="0"/>
                <w:sz w:val="20"/>
                <w:szCs w:val="22"/>
                <w:lang w:val="en-US" w:eastAsia="en-US"/>
              </w:rPr>
              <w:t xml:space="preserve">Total </w:t>
            </w:r>
          </w:p>
        </w:tc>
        <w:tc>
          <w:tcPr>
            <w:tcW w:w="1350" w:type="dxa"/>
            <w:tcBorders>
              <w:top w:val="nil"/>
              <w:left w:val="nil"/>
              <w:bottom w:val="single" w:sz="8" w:space="0" w:color="auto"/>
              <w:right w:val="single" w:sz="8" w:space="0" w:color="auto"/>
            </w:tcBorders>
            <w:shd w:val="clear" w:color="000000" w:fill="B8CCE4"/>
            <w:noWrap/>
            <w:vAlign w:val="bottom"/>
            <w:hideMark/>
          </w:tcPr>
          <w:p w:rsidR="00AD4DD8" w:rsidRPr="00AD4DD8" w:rsidRDefault="00AD4DD8" w:rsidP="00071719">
            <w:pPr>
              <w:widowControl/>
              <w:suppressAutoHyphens w:val="0"/>
              <w:jc w:val="right"/>
              <w:rPr>
                <w:rFonts w:eastAsia="Times New Roman"/>
                <w:b/>
                <w:bCs/>
                <w:color w:val="000000"/>
                <w:kern w:val="0"/>
                <w:sz w:val="20"/>
                <w:lang w:val="en-US" w:eastAsia="en-US"/>
              </w:rPr>
            </w:pPr>
            <w:r w:rsidRPr="00AD4DD8">
              <w:rPr>
                <w:rFonts w:eastAsia="Times New Roman"/>
                <w:b/>
                <w:bCs/>
                <w:color w:val="000000"/>
                <w:kern w:val="0"/>
                <w:sz w:val="20"/>
                <w:szCs w:val="22"/>
                <w:lang w:val="en-US" w:eastAsia="en-US"/>
              </w:rPr>
              <w:t>207,</w:t>
            </w:r>
            <w:r w:rsidR="00071719">
              <w:rPr>
                <w:rFonts w:eastAsia="Times New Roman"/>
                <w:b/>
                <w:bCs/>
                <w:color w:val="000000"/>
                <w:kern w:val="0"/>
                <w:sz w:val="20"/>
                <w:szCs w:val="22"/>
                <w:lang w:val="en-US" w:eastAsia="en-US"/>
              </w:rPr>
              <w:t>692</w:t>
            </w:r>
          </w:p>
        </w:tc>
      </w:tr>
    </w:tbl>
    <w:p w:rsidR="00D6336A" w:rsidRDefault="00D6336A" w:rsidP="00D6336A">
      <w:pPr>
        <w:jc w:val="both"/>
        <w:rPr>
          <w:rFonts w:cs="Arial"/>
          <w:b/>
          <w:bCs/>
          <w:sz w:val="22"/>
          <w:szCs w:val="22"/>
          <w:lang w:val="en-US"/>
        </w:rPr>
      </w:pPr>
    </w:p>
    <w:sectPr w:rsidR="00D6336A" w:rsidSect="000A0F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CDB" w:rsidRDefault="00C55CDB" w:rsidP="00D6336A">
      <w:r>
        <w:separator/>
      </w:r>
    </w:p>
  </w:endnote>
  <w:endnote w:type="continuationSeparator" w:id="0">
    <w:p w:rsidR="00C55CDB" w:rsidRDefault="00C55CDB" w:rsidP="00D63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66592"/>
      <w:docPartObj>
        <w:docPartGallery w:val="Page Numbers (Bottom of Page)"/>
        <w:docPartUnique/>
      </w:docPartObj>
    </w:sdtPr>
    <w:sdtContent>
      <w:sdt>
        <w:sdtPr>
          <w:id w:val="98381352"/>
          <w:docPartObj>
            <w:docPartGallery w:val="Page Numbers (Top of Page)"/>
            <w:docPartUnique/>
          </w:docPartObj>
        </w:sdtPr>
        <w:sdtContent>
          <w:p w:rsidR="00D6336A" w:rsidRDefault="00D6336A">
            <w:pPr>
              <w:pStyle w:val="Footer"/>
            </w:pPr>
            <w:r>
              <w:rPr>
                <w:noProof/>
                <w:lang w:val="en-US" w:eastAsia="en-US"/>
              </w:rPr>
              <w:drawing>
                <wp:anchor distT="0" distB="0" distL="114300" distR="114300" simplePos="0" relativeHeight="251659264" behindDoc="0" locked="0" layoutInCell="1" allowOverlap="1">
                  <wp:simplePos x="0" y="0"/>
                  <wp:positionH relativeFrom="column">
                    <wp:posOffset>4326890</wp:posOffset>
                  </wp:positionH>
                  <wp:positionV relativeFrom="paragraph">
                    <wp:posOffset>-11430</wp:posOffset>
                  </wp:positionV>
                  <wp:extent cx="1735455" cy="4279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35455" cy="427990"/>
                          </a:xfrm>
                          <a:prstGeom prst="rect">
                            <a:avLst/>
                          </a:prstGeom>
                          <a:noFill/>
                          <a:ln w="9525">
                            <a:noFill/>
                            <a:miter lim="800000"/>
                            <a:headEnd/>
                            <a:tailEnd/>
                          </a:ln>
                        </pic:spPr>
                      </pic:pic>
                    </a:graphicData>
                  </a:graphic>
                </wp:anchor>
              </w:drawing>
            </w:r>
            <w:r>
              <w:t xml:space="preserve">Page </w:t>
            </w:r>
            <w:r w:rsidR="00104B1B">
              <w:rPr>
                <w:b/>
              </w:rPr>
              <w:fldChar w:fldCharType="begin"/>
            </w:r>
            <w:r>
              <w:rPr>
                <w:b/>
              </w:rPr>
              <w:instrText xml:space="preserve"> PAGE </w:instrText>
            </w:r>
            <w:r w:rsidR="00104B1B">
              <w:rPr>
                <w:b/>
              </w:rPr>
              <w:fldChar w:fldCharType="separate"/>
            </w:r>
            <w:r w:rsidR="00071719">
              <w:rPr>
                <w:b/>
                <w:noProof/>
              </w:rPr>
              <w:t>1</w:t>
            </w:r>
            <w:r w:rsidR="00104B1B">
              <w:rPr>
                <w:b/>
              </w:rPr>
              <w:fldChar w:fldCharType="end"/>
            </w:r>
            <w:r>
              <w:t xml:space="preserve"> of </w:t>
            </w:r>
            <w:r w:rsidR="00104B1B">
              <w:rPr>
                <w:b/>
              </w:rPr>
              <w:fldChar w:fldCharType="begin"/>
            </w:r>
            <w:r>
              <w:rPr>
                <w:b/>
              </w:rPr>
              <w:instrText xml:space="preserve"> NUMPAGES  </w:instrText>
            </w:r>
            <w:r w:rsidR="00104B1B">
              <w:rPr>
                <w:b/>
              </w:rPr>
              <w:fldChar w:fldCharType="separate"/>
            </w:r>
            <w:r w:rsidR="00071719">
              <w:rPr>
                <w:b/>
                <w:noProof/>
              </w:rPr>
              <w:t>1</w:t>
            </w:r>
            <w:r w:rsidR="00104B1B">
              <w:rPr>
                <w:b/>
              </w:rPr>
              <w:fldChar w:fldCharType="end"/>
            </w:r>
          </w:p>
        </w:sdtContent>
      </w:sdt>
    </w:sdtContent>
  </w:sdt>
  <w:p w:rsidR="00D6336A" w:rsidRDefault="00D63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CDB" w:rsidRDefault="00C55CDB" w:rsidP="00D6336A">
      <w:r>
        <w:separator/>
      </w:r>
    </w:p>
  </w:footnote>
  <w:footnote w:type="continuationSeparator" w:id="0">
    <w:p w:rsidR="00C55CDB" w:rsidRDefault="00C55CDB" w:rsidP="00D63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4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09262973"/>
    <w:multiLevelType w:val="hybridMultilevel"/>
    <w:tmpl w:val="F3FE193A"/>
    <w:lvl w:ilvl="0" w:tplc="0409000F">
      <w:start w:val="1"/>
      <w:numFmt w:val="decimal"/>
      <w:lvlText w:val="%1."/>
      <w:lvlJc w:val="left"/>
      <w:pPr>
        <w:tabs>
          <w:tab w:val="num" w:pos="360"/>
        </w:tabs>
        <w:ind w:left="360" w:hanging="360"/>
      </w:pPr>
    </w:lvl>
    <w:lvl w:ilvl="1" w:tplc="5C22EB8A">
      <w:start w:val="2"/>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08E3B29"/>
    <w:multiLevelType w:val="hybridMultilevel"/>
    <w:tmpl w:val="9A541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695BE0"/>
    <w:multiLevelType w:val="hybridMultilevel"/>
    <w:tmpl w:val="F476E6E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A16B38"/>
    <w:rsid w:val="0002634A"/>
    <w:rsid w:val="00071719"/>
    <w:rsid w:val="000A0F28"/>
    <w:rsid w:val="000E2347"/>
    <w:rsid w:val="00104B1B"/>
    <w:rsid w:val="00505DA9"/>
    <w:rsid w:val="00546185"/>
    <w:rsid w:val="00922237"/>
    <w:rsid w:val="00A16B38"/>
    <w:rsid w:val="00A96123"/>
    <w:rsid w:val="00AD4DD8"/>
    <w:rsid w:val="00AE7E64"/>
    <w:rsid w:val="00C55CDB"/>
    <w:rsid w:val="00D6336A"/>
    <w:rsid w:val="00D76AD0"/>
    <w:rsid w:val="00DF099A"/>
    <w:rsid w:val="00FF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38"/>
    <w:pPr>
      <w:widowControl w:val="0"/>
      <w:suppressAutoHyphens/>
      <w:spacing w:line="240" w:lineRule="auto"/>
      <w:jc w:val="left"/>
    </w:pPr>
    <w:rPr>
      <w:rFonts w:ascii="Calibri" w:eastAsia="Arial Unicode MS" w:hAnsi="Calibri" w:cs="Times New Roman"/>
      <w:kern w:val="1"/>
      <w:sz w:val="24"/>
      <w:szCs w:val="24"/>
      <w:lang w:val="en-GB" w:eastAsia="ar-SA"/>
    </w:rPr>
  </w:style>
  <w:style w:type="paragraph" w:styleId="Heading2">
    <w:name w:val="heading 2"/>
    <w:basedOn w:val="Normal"/>
    <w:next w:val="Normal"/>
    <w:link w:val="Heading2Char"/>
    <w:qFormat/>
    <w:rsid w:val="00D6336A"/>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336A"/>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6336A"/>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6336A"/>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D6336A"/>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6336A"/>
    <w:pPr>
      <w:numPr>
        <w:ilvl w:val="6"/>
        <w:numId w:val="3"/>
      </w:numPr>
      <w:spacing w:before="240" w:after="60"/>
      <w:outlineLvl w:val="6"/>
    </w:pPr>
    <w:rPr>
      <w:rFonts w:ascii="Times New Roman" w:hAnsi="Times New Roman"/>
    </w:rPr>
  </w:style>
  <w:style w:type="paragraph" w:styleId="Heading8">
    <w:name w:val="heading 8"/>
    <w:basedOn w:val="Normal"/>
    <w:next w:val="Normal"/>
    <w:link w:val="Heading8Char"/>
    <w:qFormat/>
    <w:rsid w:val="00D6336A"/>
    <w:pPr>
      <w:numPr>
        <w:ilvl w:val="7"/>
        <w:numId w:val="3"/>
      </w:numPr>
      <w:spacing w:before="240" w:after="60"/>
      <w:outlineLvl w:val="7"/>
    </w:pPr>
    <w:rPr>
      <w:rFonts w:ascii="Times New Roman" w:hAnsi="Times New Roman"/>
      <w:i/>
      <w:iCs/>
    </w:rPr>
  </w:style>
  <w:style w:type="paragraph" w:styleId="Heading9">
    <w:name w:val="heading 9"/>
    <w:basedOn w:val="Normal"/>
    <w:next w:val="Normal"/>
    <w:link w:val="Heading9Char"/>
    <w:qFormat/>
    <w:rsid w:val="00D6336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336A"/>
    <w:rPr>
      <w:rFonts w:ascii="Arial" w:eastAsia="Arial Unicode MS" w:hAnsi="Arial" w:cs="Arial"/>
      <w:b/>
      <w:bCs/>
      <w:i/>
      <w:iCs/>
      <w:kern w:val="1"/>
      <w:sz w:val="28"/>
      <w:szCs w:val="28"/>
      <w:lang w:val="en-GB" w:eastAsia="ar-SA"/>
    </w:rPr>
  </w:style>
  <w:style w:type="character" w:customStyle="1" w:styleId="Heading3Char">
    <w:name w:val="Heading 3 Char"/>
    <w:basedOn w:val="DefaultParagraphFont"/>
    <w:link w:val="Heading3"/>
    <w:rsid w:val="00D6336A"/>
    <w:rPr>
      <w:rFonts w:ascii="Arial" w:eastAsia="Arial Unicode MS" w:hAnsi="Arial" w:cs="Arial"/>
      <w:b/>
      <w:bCs/>
      <w:kern w:val="1"/>
      <w:sz w:val="26"/>
      <w:szCs w:val="26"/>
      <w:lang w:val="en-GB" w:eastAsia="ar-SA"/>
    </w:rPr>
  </w:style>
  <w:style w:type="character" w:customStyle="1" w:styleId="Heading4Char">
    <w:name w:val="Heading 4 Char"/>
    <w:basedOn w:val="DefaultParagraphFont"/>
    <w:link w:val="Heading4"/>
    <w:rsid w:val="00D6336A"/>
    <w:rPr>
      <w:rFonts w:ascii="Times New Roman" w:eastAsia="Arial Unicode MS" w:hAnsi="Times New Roman" w:cs="Times New Roman"/>
      <w:b/>
      <w:bCs/>
      <w:kern w:val="1"/>
      <w:sz w:val="28"/>
      <w:szCs w:val="28"/>
      <w:lang w:val="en-GB" w:eastAsia="ar-SA"/>
    </w:rPr>
  </w:style>
  <w:style w:type="character" w:customStyle="1" w:styleId="Heading5Char">
    <w:name w:val="Heading 5 Char"/>
    <w:basedOn w:val="DefaultParagraphFont"/>
    <w:link w:val="Heading5"/>
    <w:rsid w:val="00D6336A"/>
    <w:rPr>
      <w:rFonts w:ascii="Calibri" w:eastAsia="Arial Unicode MS" w:hAnsi="Calibri" w:cs="Times New Roman"/>
      <w:b/>
      <w:bCs/>
      <w:i/>
      <w:iCs/>
      <w:kern w:val="1"/>
      <w:sz w:val="26"/>
      <w:szCs w:val="26"/>
      <w:lang w:val="en-GB" w:eastAsia="ar-SA"/>
    </w:rPr>
  </w:style>
  <w:style w:type="character" w:customStyle="1" w:styleId="Heading6Char">
    <w:name w:val="Heading 6 Char"/>
    <w:basedOn w:val="DefaultParagraphFont"/>
    <w:link w:val="Heading6"/>
    <w:rsid w:val="00D6336A"/>
    <w:rPr>
      <w:rFonts w:ascii="Times New Roman" w:eastAsia="Arial Unicode MS" w:hAnsi="Times New Roman" w:cs="Times New Roman"/>
      <w:b/>
      <w:bCs/>
      <w:kern w:val="1"/>
      <w:lang w:val="en-GB" w:eastAsia="ar-SA"/>
    </w:rPr>
  </w:style>
  <w:style w:type="character" w:customStyle="1" w:styleId="Heading7Char">
    <w:name w:val="Heading 7 Char"/>
    <w:basedOn w:val="DefaultParagraphFont"/>
    <w:link w:val="Heading7"/>
    <w:rsid w:val="00D6336A"/>
    <w:rPr>
      <w:rFonts w:ascii="Times New Roman" w:eastAsia="Arial Unicode MS" w:hAnsi="Times New Roman" w:cs="Times New Roman"/>
      <w:kern w:val="1"/>
      <w:sz w:val="24"/>
      <w:szCs w:val="24"/>
      <w:lang w:val="en-GB" w:eastAsia="ar-SA"/>
    </w:rPr>
  </w:style>
  <w:style w:type="character" w:customStyle="1" w:styleId="Heading8Char">
    <w:name w:val="Heading 8 Char"/>
    <w:basedOn w:val="DefaultParagraphFont"/>
    <w:link w:val="Heading8"/>
    <w:rsid w:val="00D6336A"/>
    <w:rPr>
      <w:rFonts w:ascii="Times New Roman" w:eastAsia="Arial Unicode MS" w:hAnsi="Times New Roman" w:cs="Times New Roman"/>
      <w:i/>
      <w:iCs/>
      <w:kern w:val="1"/>
      <w:sz w:val="24"/>
      <w:szCs w:val="24"/>
      <w:lang w:val="en-GB" w:eastAsia="ar-SA"/>
    </w:rPr>
  </w:style>
  <w:style w:type="character" w:customStyle="1" w:styleId="Heading9Char">
    <w:name w:val="Heading 9 Char"/>
    <w:basedOn w:val="DefaultParagraphFont"/>
    <w:link w:val="Heading9"/>
    <w:rsid w:val="00D6336A"/>
    <w:rPr>
      <w:rFonts w:ascii="Arial" w:eastAsia="Arial Unicode MS" w:hAnsi="Arial" w:cs="Arial"/>
      <w:kern w:val="1"/>
      <w:lang w:val="en-GB" w:eastAsia="ar-SA"/>
    </w:rPr>
  </w:style>
  <w:style w:type="paragraph" w:styleId="ListParagraph">
    <w:name w:val="List Paragraph"/>
    <w:basedOn w:val="Normal"/>
    <w:qFormat/>
    <w:rsid w:val="00D6336A"/>
    <w:pPr>
      <w:widowControl/>
      <w:suppressAutoHyphens w:val="0"/>
      <w:spacing w:line="276" w:lineRule="auto"/>
      <w:ind w:left="720"/>
      <w:contextualSpacing/>
    </w:pPr>
    <w:rPr>
      <w:rFonts w:eastAsia="Calibri"/>
      <w:kern w:val="0"/>
      <w:sz w:val="22"/>
      <w:szCs w:val="22"/>
      <w:lang w:eastAsia="en-US"/>
    </w:rPr>
  </w:style>
  <w:style w:type="paragraph" w:styleId="BalloonText">
    <w:name w:val="Balloon Text"/>
    <w:basedOn w:val="Normal"/>
    <w:link w:val="BalloonTextChar"/>
    <w:uiPriority w:val="99"/>
    <w:semiHidden/>
    <w:unhideWhenUsed/>
    <w:rsid w:val="00D6336A"/>
    <w:rPr>
      <w:rFonts w:ascii="Tahoma" w:hAnsi="Tahoma" w:cs="Tahoma"/>
      <w:sz w:val="16"/>
      <w:szCs w:val="16"/>
    </w:rPr>
  </w:style>
  <w:style w:type="character" w:customStyle="1" w:styleId="BalloonTextChar">
    <w:name w:val="Balloon Text Char"/>
    <w:basedOn w:val="DefaultParagraphFont"/>
    <w:link w:val="BalloonText"/>
    <w:uiPriority w:val="99"/>
    <w:semiHidden/>
    <w:rsid w:val="00D6336A"/>
    <w:rPr>
      <w:rFonts w:ascii="Tahoma" w:eastAsia="Arial Unicode MS" w:hAnsi="Tahoma" w:cs="Tahoma"/>
      <w:kern w:val="1"/>
      <w:sz w:val="16"/>
      <w:szCs w:val="16"/>
      <w:lang w:val="en-GB" w:eastAsia="ar-SA"/>
    </w:rPr>
  </w:style>
  <w:style w:type="paragraph" w:styleId="Header">
    <w:name w:val="header"/>
    <w:basedOn w:val="Normal"/>
    <w:link w:val="HeaderChar"/>
    <w:uiPriority w:val="99"/>
    <w:semiHidden/>
    <w:unhideWhenUsed/>
    <w:rsid w:val="00D6336A"/>
    <w:pPr>
      <w:tabs>
        <w:tab w:val="center" w:pos="4680"/>
        <w:tab w:val="right" w:pos="9360"/>
      </w:tabs>
    </w:pPr>
  </w:style>
  <w:style w:type="character" w:customStyle="1" w:styleId="HeaderChar">
    <w:name w:val="Header Char"/>
    <w:basedOn w:val="DefaultParagraphFont"/>
    <w:link w:val="Header"/>
    <w:uiPriority w:val="99"/>
    <w:semiHidden/>
    <w:rsid w:val="00D6336A"/>
    <w:rPr>
      <w:rFonts w:ascii="Calibri" w:eastAsia="Arial Unicode MS" w:hAnsi="Calibri" w:cs="Times New Roman"/>
      <w:kern w:val="1"/>
      <w:sz w:val="24"/>
      <w:szCs w:val="24"/>
      <w:lang w:val="en-GB" w:eastAsia="ar-SA"/>
    </w:rPr>
  </w:style>
  <w:style w:type="paragraph" w:styleId="Footer">
    <w:name w:val="footer"/>
    <w:basedOn w:val="Normal"/>
    <w:link w:val="FooterChar"/>
    <w:uiPriority w:val="99"/>
    <w:unhideWhenUsed/>
    <w:rsid w:val="00D6336A"/>
    <w:pPr>
      <w:tabs>
        <w:tab w:val="center" w:pos="4680"/>
        <w:tab w:val="right" w:pos="9360"/>
      </w:tabs>
    </w:pPr>
  </w:style>
  <w:style w:type="character" w:customStyle="1" w:styleId="FooterChar">
    <w:name w:val="Footer Char"/>
    <w:basedOn w:val="DefaultParagraphFont"/>
    <w:link w:val="Footer"/>
    <w:uiPriority w:val="99"/>
    <w:rsid w:val="00D6336A"/>
    <w:rPr>
      <w:rFonts w:ascii="Calibri" w:eastAsia="Arial Unicode MS" w:hAnsi="Calibri" w:cs="Times New Roman"/>
      <w:kern w:val="1"/>
      <w:sz w:val="24"/>
      <w:szCs w:val="24"/>
      <w:lang w:val="en-GB" w:eastAsia="ar-SA"/>
    </w:rPr>
  </w:style>
  <w:style w:type="paragraph" w:styleId="FootnoteText">
    <w:name w:val="footnote text"/>
    <w:basedOn w:val="Normal"/>
    <w:link w:val="FootnoteTextChar"/>
    <w:unhideWhenUsed/>
    <w:rsid w:val="00AD4DD8"/>
    <w:pPr>
      <w:widowControl/>
      <w:suppressAutoHyphens w:val="0"/>
      <w:jc w:val="both"/>
    </w:pPr>
    <w:rPr>
      <w:rFonts w:asciiTheme="minorHAnsi" w:eastAsiaTheme="minorHAnsi" w:hAnsiTheme="minorHAnsi" w:cstheme="minorBidi"/>
      <w:kern w:val="0"/>
      <w:sz w:val="20"/>
      <w:szCs w:val="20"/>
      <w:lang w:eastAsia="en-US"/>
    </w:rPr>
  </w:style>
  <w:style w:type="character" w:customStyle="1" w:styleId="FootnoteTextChar">
    <w:name w:val="Footnote Text Char"/>
    <w:basedOn w:val="DefaultParagraphFont"/>
    <w:link w:val="FootnoteText"/>
    <w:rsid w:val="00AD4DD8"/>
    <w:rPr>
      <w:sz w:val="20"/>
      <w:szCs w:val="20"/>
      <w:lang w:val="en-GB"/>
    </w:rPr>
  </w:style>
  <w:style w:type="character" w:styleId="FootnoteReference">
    <w:name w:val="footnote reference"/>
    <w:basedOn w:val="DefaultParagraphFont"/>
    <w:unhideWhenUsed/>
    <w:rsid w:val="00AD4DD8"/>
    <w:rPr>
      <w:vertAlign w:val="superscript"/>
    </w:rPr>
  </w:style>
</w:styles>
</file>

<file path=word/webSettings.xml><?xml version="1.0" encoding="utf-8"?>
<w:webSettings xmlns:r="http://schemas.openxmlformats.org/officeDocument/2006/relationships" xmlns:w="http://schemas.openxmlformats.org/wordprocessingml/2006/main">
  <w:divs>
    <w:div w:id="9521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Van Montfort</dc:creator>
  <cp:lastModifiedBy>George Van Montfort</cp:lastModifiedBy>
  <cp:revision>2</cp:revision>
  <dcterms:created xsi:type="dcterms:W3CDTF">2010-07-27T17:43:00Z</dcterms:created>
  <dcterms:modified xsi:type="dcterms:W3CDTF">2010-07-27T17:43:00Z</dcterms:modified>
</cp:coreProperties>
</file>