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EC" w:rsidRPr="00484A50" w:rsidRDefault="00B80BEC" w:rsidP="00AB0274">
      <w:pPr>
        <w:jc w:val="center"/>
        <w:rPr>
          <w:b/>
          <w:bCs/>
          <w:u w:val="single"/>
        </w:rPr>
      </w:pPr>
      <w:bookmarkStart w:id="0" w:name="_GoBack"/>
      <w:bookmarkEnd w:id="0"/>
      <w:r w:rsidRPr="00484A50">
        <w:rPr>
          <w:spacing w:val="-3"/>
        </w:rPr>
        <w:t xml:space="preserve"> </w:t>
      </w:r>
      <w:r w:rsidR="006C75A3">
        <w:rPr>
          <w:noProof/>
          <w:spacing w:val="-3"/>
          <w:lang w:val="en-GB" w:eastAsia="en-GB"/>
        </w:rPr>
        <w:drawing>
          <wp:inline distT="0" distB="0" distL="0" distR="0">
            <wp:extent cx="10191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71525"/>
                    </a:xfrm>
                    <a:prstGeom prst="rect">
                      <a:avLst/>
                    </a:prstGeom>
                    <a:solidFill>
                      <a:srgbClr val="3366FF"/>
                    </a:solidFill>
                    <a:ln>
                      <a:noFill/>
                    </a:ln>
                  </pic:spPr>
                </pic:pic>
              </a:graphicData>
            </a:graphic>
          </wp:inline>
        </w:drawing>
      </w:r>
    </w:p>
    <w:p w:rsidR="00B80BEC" w:rsidRPr="00CE29C0" w:rsidRDefault="00B80BEC" w:rsidP="004658BE">
      <w:pPr>
        <w:jc w:val="center"/>
        <w:rPr>
          <w:b/>
          <w:bCs/>
          <w:u w:val="single"/>
        </w:rPr>
      </w:pPr>
    </w:p>
    <w:p w:rsidR="00B80BEC" w:rsidRPr="00CE29C0" w:rsidRDefault="00B80BEC" w:rsidP="008318E6">
      <w:pPr>
        <w:jc w:val="center"/>
        <w:outlineLvl w:val="0"/>
        <w:rPr>
          <w:b/>
          <w:bCs/>
        </w:rPr>
      </w:pPr>
      <w:r w:rsidRPr="00CE29C0">
        <w:rPr>
          <w:b/>
          <w:bCs/>
        </w:rPr>
        <w:t xml:space="preserve">[United Nations Peace Fund for </w:t>
      </w:r>
      <w:smartTag w:uri="urn:schemas-microsoft-com:office:smarttags" w:element="place">
        <w:smartTag w:uri="urn:schemas-microsoft-com:office:smarttags" w:element="country-region">
          <w:r w:rsidRPr="00CE29C0">
            <w:rPr>
              <w:b/>
              <w:bCs/>
            </w:rPr>
            <w:t>Nepal</w:t>
          </w:r>
        </w:smartTag>
      </w:smartTag>
      <w:r w:rsidRPr="00CE29C0">
        <w:rPr>
          <w:b/>
          <w:bCs/>
        </w:rPr>
        <w:t xml:space="preserve"> (UNPFN)]</w:t>
      </w:r>
    </w:p>
    <w:p w:rsidR="00B80BEC" w:rsidRPr="00484A50" w:rsidRDefault="00B80BEC" w:rsidP="00AB0274"/>
    <w:p w:rsidR="00B80BEC" w:rsidRPr="00CE29C0" w:rsidRDefault="00B80BEC" w:rsidP="00AB0274">
      <w:pPr>
        <w:jc w:val="center"/>
        <w:rPr>
          <w:b/>
          <w:bCs/>
          <w:caps/>
        </w:rPr>
      </w:pPr>
      <w:r w:rsidRPr="00CE29C0">
        <w:rPr>
          <w:b/>
          <w:bCs/>
          <w:caps/>
        </w:rPr>
        <w:t>ANNUAL programme</w:t>
      </w:r>
      <w:r w:rsidRPr="00CE29C0">
        <w:rPr>
          <w:rStyle w:val="FootnoteReference"/>
          <w:b/>
          <w:bCs/>
          <w:caps/>
        </w:rPr>
        <w:footnoteReference w:id="1"/>
      </w:r>
      <w:r w:rsidRPr="00CE29C0">
        <w:rPr>
          <w:b/>
          <w:bCs/>
          <w:caps/>
        </w:rPr>
        <w:t xml:space="preserve"> NARRATIVE progress report </w:t>
      </w:r>
    </w:p>
    <w:p w:rsidR="00B80BEC" w:rsidRPr="00CE29C0" w:rsidRDefault="00B80BEC" w:rsidP="00AB0274">
      <w:pPr>
        <w:jc w:val="center"/>
        <w:rPr>
          <w:b/>
          <w:bCs/>
          <w:caps/>
        </w:rPr>
      </w:pPr>
    </w:p>
    <w:p w:rsidR="00B80BEC" w:rsidRPr="00CE29C0" w:rsidRDefault="00B80BEC" w:rsidP="00AB0274">
      <w:pPr>
        <w:jc w:val="center"/>
        <w:rPr>
          <w:b/>
          <w:bCs/>
          <w:caps/>
        </w:rPr>
      </w:pPr>
      <w:r w:rsidRPr="00CE29C0">
        <w:rPr>
          <w:b/>
          <w:bCs/>
          <w:caps/>
        </w:rPr>
        <w:t>REPORTING PERIOD: 1 january – 31 December 2010</w:t>
      </w:r>
    </w:p>
    <w:tbl>
      <w:tblPr>
        <w:tblW w:w="10260" w:type="dxa"/>
        <w:tblInd w:w="-106" w:type="dxa"/>
        <w:tblLayout w:type="fixed"/>
        <w:tblLook w:val="01E0" w:firstRow="1" w:lastRow="1" w:firstColumn="1" w:lastColumn="1" w:noHBand="0" w:noVBand="0"/>
      </w:tblPr>
      <w:tblGrid>
        <w:gridCol w:w="5040"/>
        <w:gridCol w:w="360"/>
        <w:gridCol w:w="4860"/>
      </w:tblGrid>
      <w:tr w:rsidR="00B80BEC" w:rsidRPr="00CE29C0">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B80BEC" w:rsidRPr="00CE29C0" w:rsidRDefault="00B80BEC" w:rsidP="000134CC">
            <w:pPr>
              <w:pStyle w:val="H1"/>
              <w:jc w:val="center"/>
            </w:pPr>
            <w:r w:rsidRPr="00484A50">
              <w:t>Programme Title &amp; Number</w:t>
            </w:r>
          </w:p>
        </w:tc>
        <w:tc>
          <w:tcPr>
            <w:tcW w:w="360" w:type="dxa"/>
            <w:vMerge w:val="restart"/>
            <w:tcBorders>
              <w:left w:val="single" w:sz="4" w:space="0" w:color="auto"/>
              <w:right w:val="single" w:sz="4" w:space="0" w:color="auto"/>
            </w:tcBorders>
            <w:vAlign w:val="center"/>
          </w:tcPr>
          <w:p w:rsidR="00B80BEC" w:rsidRPr="00CE29C0" w:rsidRDefault="00B80BE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B80BEC" w:rsidRPr="00CE29C0" w:rsidRDefault="00B80BEC" w:rsidP="000134CC">
            <w:pPr>
              <w:pStyle w:val="H1"/>
              <w:jc w:val="center"/>
            </w:pPr>
            <w:r w:rsidRPr="00484A50">
              <w:t>Country, Locality(s), Thematic Area(s)</w:t>
            </w:r>
            <w:r w:rsidRPr="005F2694">
              <w:rPr>
                <w:rStyle w:val="FootnoteReference"/>
              </w:rPr>
              <w:footnoteReference w:id="2"/>
            </w:r>
          </w:p>
        </w:tc>
      </w:tr>
      <w:tr w:rsidR="00B80BEC" w:rsidRPr="00CE29C0">
        <w:trPr>
          <w:trHeight w:val="495"/>
        </w:trPr>
        <w:tc>
          <w:tcPr>
            <w:tcW w:w="5040" w:type="dxa"/>
            <w:tcBorders>
              <w:left w:val="single" w:sz="4" w:space="0" w:color="auto"/>
              <w:bottom w:val="single" w:sz="4" w:space="0" w:color="auto"/>
              <w:right w:val="single" w:sz="4" w:space="0" w:color="auto"/>
            </w:tcBorders>
          </w:tcPr>
          <w:p w:rsidR="00B80BEC" w:rsidRPr="00484A50" w:rsidRDefault="00B80BEC" w:rsidP="0021644A">
            <w:pPr>
              <w:pStyle w:val="BodyText"/>
              <w:numPr>
                <w:ilvl w:val="0"/>
                <w:numId w:val="9"/>
              </w:numPr>
              <w:spacing w:before="60" w:after="60"/>
              <w:ind w:left="342"/>
              <w:jc w:val="both"/>
              <w:rPr>
                <w:rFonts w:ascii="Times New Roman" w:hAnsi="Times New Roman" w:cs="Times New Roman"/>
                <w:snapToGrid w:val="0"/>
                <w:sz w:val="24"/>
                <w:szCs w:val="24"/>
              </w:rPr>
            </w:pPr>
            <w:r w:rsidRPr="00484A50">
              <w:rPr>
                <w:rFonts w:ascii="Times New Roman" w:hAnsi="Times New Roman" w:cs="Times New Roman"/>
                <w:snapToGrid w:val="0"/>
                <w:sz w:val="24"/>
                <w:szCs w:val="24"/>
              </w:rPr>
              <w:t xml:space="preserve">Programme Title: Fairness and Efficiency in Reparations to Conflict Affected Persons </w:t>
            </w:r>
          </w:p>
          <w:p w:rsidR="00B80BEC" w:rsidRPr="00484A50" w:rsidRDefault="00B80BEC" w:rsidP="0021644A">
            <w:pPr>
              <w:pStyle w:val="BodyText"/>
              <w:numPr>
                <w:ilvl w:val="0"/>
                <w:numId w:val="9"/>
              </w:numPr>
              <w:spacing w:before="60" w:after="60"/>
              <w:ind w:left="342"/>
              <w:jc w:val="both"/>
              <w:rPr>
                <w:rFonts w:ascii="Times New Roman" w:hAnsi="Times New Roman" w:cs="Times New Roman"/>
                <w:i/>
                <w:iCs/>
                <w:snapToGrid w:val="0"/>
                <w:sz w:val="24"/>
                <w:szCs w:val="24"/>
                <w:lang w:val="en-GB"/>
              </w:rPr>
            </w:pPr>
            <w:r w:rsidRPr="00484A50">
              <w:rPr>
                <w:rFonts w:ascii="Times New Roman" w:hAnsi="Times New Roman" w:cs="Times New Roman"/>
                <w:snapToGrid w:val="0"/>
                <w:sz w:val="24"/>
                <w:szCs w:val="24"/>
              </w:rPr>
              <w:t xml:space="preserve">Programme Number </w:t>
            </w:r>
            <w:r w:rsidRPr="00484A50">
              <w:rPr>
                <w:rFonts w:ascii="Times New Roman" w:hAnsi="Times New Roman" w:cs="Times New Roman"/>
                <w:i/>
                <w:iCs/>
                <w:snapToGrid w:val="0"/>
                <w:sz w:val="24"/>
                <w:szCs w:val="24"/>
                <w:lang w:val="en-GB"/>
              </w:rPr>
              <w:t xml:space="preserve">(if applicable): </w:t>
            </w:r>
            <w:r w:rsidRPr="00484A50">
              <w:rPr>
                <w:rFonts w:ascii="Times New Roman" w:hAnsi="Times New Roman" w:cs="Times New Roman"/>
                <w:sz w:val="24"/>
                <w:szCs w:val="24"/>
              </w:rPr>
              <w:t>UNPFN/E-4</w:t>
            </w:r>
            <w:r>
              <w:rPr>
                <w:rFonts w:ascii="Times New Roman" w:hAnsi="Times New Roman" w:cs="Times New Roman"/>
                <w:sz w:val="24"/>
                <w:szCs w:val="24"/>
              </w:rPr>
              <w:t xml:space="preserve"> (PBF/NPL/E-1)</w:t>
            </w:r>
          </w:p>
          <w:p w:rsidR="00B80BEC" w:rsidRPr="00484A50" w:rsidRDefault="00B80BEC" w:rsidP="0021644A">
            <w:pPr>
              <w:pStyle w:val="BodyText"/>
              <w:numPr>
                <w:ilvl w:val="0"/>
                <w:numId w:val="9"/>
              </w:numPr>
              <w:spacing w:before="60" w:after="60"/>
              <w:ind w:left="342"/>
              <w:jc w:val="both"/>
              <w:rPr>
                <w:rFonts w:ascii="Times New Roman" w:hAnsi="Times New Roman" w:cs="Times New Roman"/>
                <w:i/>
                <w:iCs/>
                <w:sz w:val="24"/>
                <w:szCs w:val="24"/>
              </w:rPr>
            </w:pPr>
            <w:r w:rsidRPr="00484A50">
              <w:rPr>
                <w:rFonts w:ascii="Times New Roman" w:hAnsi="Times New Roman" w:cs="Times New Roman"/>
                <w:snapToGrid w:val="0"/>
                <w:sz w:val="24"/>
                <w:szCs w:val="24"/>
              </w:rPr>
              <w:t>MDTF Office Atlas Number:</w:t>
            </w:r>
            <w:r w:rsidRPr="00484A50">
              <w:rPr>
                <w:rFonts w:ascii="Times New Roman" w:hAnsi="Times New Roman" w:cs="Times New Roman"/>
                <w:i/>
                <w:iCs/>
                <w:sz w:val="24"/>
                <w:szCs w:val="24"/>
              </w:rPr>
              <w:t xml:space="preserve"> </w:t>
            </w:r>
            <w:r w:rsidRPr="0082546F">
              <w:rPr>
                <w:rFonts w:ascii="Times New Roman" w:hAnsi="Times New Roman" w:cs="Times New Roman"/>
                <w:sz w:val="24"/>
                <w:szCs w:val="24"/>
              </w:rPr>
              <w:t>00074645</w:t>
            </w:r>
          </w:p>
        </w:tc>
        <w:tc>
          <w:tcPr>
            <w:tcW w:w="360" w:type="dxa"/>
            <w:vMerge/>
            <w:tcBorders>
              <w:left w:val="single" w:sz="4" w:space="0" w:color="auto"/>
              <w:right w:val="single" w:sz="4" w:space="0" w:color="auto"/>
            </w:tcBorders>
          </w:tcPr>
          <w:p w:rsidR="00B80BEC" w:rsidRPr="00484A50" w:rsidRDefault="00B80BEC" w:rsidP="000134CC">
            <w:pPr>
              <w:pStyle w:val="BodyText"/>
              <w:rPr>
                <w:rFonts w:ascii="Times New Roman" w:hAnsi="Times New Roman" w:cs="Times New Roman"/>
                <w:sz w:val="24"/>
                <w:szCs w:val="24"/>
              </w:rPr>
            </w:pPr>
          </w:p>
        </w:tc>
        <w:tc>
          <w:tcPr>
            <w:tcW w:w="4860" w:type="dxa"/>
            <w:tcBorders>
              <w:left w:val="single" w:sz="4" w:space="0" w:color="auto"/>
              <w:bottom w:val="single" w:sz="4" w:space="0" w:color="auto"/>
              <w:right w:val="single" w:sz="4" w:space="0" w:color="auto"/>
            </w:tcBorders>
          </w:tcPr>
          <w:p w:rsidR="00B80BEC" w:rsidRDefault="00B80BEC" w:rsidP="000134CC">
            <w:pPr>
              <w:pStyle w:val="BodyText"/>
              <w:rPr>
                <w:rFonts w:ascii="Times New Roman" w:hAnsi="Times New Roman" w:cs="Times New Roman"/>
                <w:sz w:val="24"/>
                <w:szCs w:val="24"/>
              </w:rPr>
            </w:pPr>
            <w:r w:rsidRPr="00484A50">
              <w:rPr>
                <w:rFonts w:ascii="Times New Roman" w:hAnsi="Times New Roman" w:cs="Times New Roman"/>
                <w:sz w:val="24"/>
                <w:szCs w:val="24"/>
              </w:rPr>
              <w:t xml:space="preserve">PBF </w:t>
            </w:r>
            <w:smartTag w:uri="urn:schemas-microsoft-com:office:smarttags" w:element="place">
              <w:smartTag w:uri="urn:schemas-microsoft-com:office:smarttags" w:element="country-region">
                <w:r w:rsidRPr="00484A50">
                  <w:rPr>
                    <w:rFonts w:ascii="Times New Roman" w:hAnsi="Times New Roman" w:cs="Times New Roman"/>
                    <w:sz w:val="24"/>
                    <w:szCs w:val="24"/>
                  </w:rPr>
                  <w:t>Nepal</w:t>
                </w:r>
              </w:smartTag>
            </w:smartTag>
            <w:r w:rsidRPr="00484A50">
              <w:rPr>
                <w:rFonts w:ascii="Times New Roman" w:hAnsi="Times New Roman" w:cs="Times New Roman"/>
                <w:sz w:val="24"/>
                <w:szCs w:val="24"/>
              </w:rPr>
              <w:t xml:space="preserve"> Priority Area: Strengthening State Capacity for Sustaining Peace</w:t>
            </w:r>
          </w:p>
          <w:p w:rsidR="00B80BEC" w:rsidRDefault="00B80BEC" w:rsidP="000134CC">
            <w:pPr>
              <w:pStyle w:val="BodyText"/>
              <w:rPr>
                <w:rFonts w:ascii="Times New Roman" w:hAnsi="Times New Roman" w:cs="Times New Roman"/>
                <w:sz w:val="24"/>
                <w:szCs w:val="24"/>
              </w:rPr>
            </w:pPr>
          </w:p>
          <w:p w:rsidR="00B80BEC" w:rsidRPr="00CE29C0" w:rsidRDefault="00B80BEC" w:rsidP="000134CC">
            <w:pPr>
              <w:pStyle w:val="BodyText"/>
              <w:rPr>
                <w:rFonts w:ascii="Times New Roman" w:hAnsi="Times New Roman" w:cs="Times New Roman"/>
                <w:sz w:val="24"/>
                <w:szCs w:val="24"/>
              </w:rPr>
            </w:pPr>
            <w:r>
              <w:rPr>
                <w:rFonts w:ascii="Times New Roman" w:hAnsi="Times New Roman" w:cs="Times New Roman"/>
                <w:sz w:val="24"/>
                <w:szCs w:val="24"/>
              </w:rPr>
              <w:t>UNPFN Priority Area: Rights and Reconciliation</w:t>
            </w:r>
          </w:p>
        </w:tc>
      </w:tr>
    </w:tbl>
    <w:p w:rsidR="00B80BEC" w:rsidRPr="00CE29C0" w:rsidRDefault="00B80BEC" w:rsidP="00AB0274">
      <w:pPr>
        <w:jc w:val="center"/>
        <w:rPr>
          <w:b/>
          <w:bCs/>
          <w:caps/>
        </w:rPr>
      </w:pPr>
    </w:p>
    <w:tbl>
      <w:tblPr>
        <w:tblW w:w="10260" w:type="dxa"/>
        <w:tblInd w:w="-106" w:type="dxa"/>
        <w:tblLayout w:type="fixed"/>
        <w:tblLook w:val="01E0" w:firstRow="1" w:lastRow="1" w:firstColumn="1" w:lastColumn="1" w:noHBand="0" w:noVBand="0"/>
      </w:tblPr>
      <w:tblGrid>
        <w:gridCol w:w="5040"/>
        <w:gridCol w:w="360"/>
        <w:gridCol w:w="4860"/>
      </w:tblGrid>
      <w:tr w:rsidR="00B80BEC" w:rsidRPr="00CE29C0">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B80BEC" w:rsidRPr="00CE29C0" w:rsidRDefault="00B80BEC" w:rsidP="000134CC">
            <w:pPr>
              <w:pStyle w:val="H1"/>
              <w:jc w:val="center"/>
            </w:pPr>
            <w:r w:rsidRPr="00CE29C0">
              <w:t>Participating Organization(s)</w:t>
            </w:r>
          </w:p>
        </w:tc>
        <w:tc>
          <w:tcPr>
            <w:tcW w:w="360" w:type="dxa"/>
            <w:vMerge w:val="restart"/>
            <w:tcBorders>
              <w:left w:val="single" w:sz="4" w:space="0" w:color="auto"/>
              <w:right w:val="single" w:sz="4" w:space="0" w:color="auto"/>
            </w:tcBorders>
            <w:vAlign w:val="center"/>
          </w:tcPr>
          <w:p w:rsidR="00B80BEC" w:rsidRPr="00CE29C0" w:rsidRDefault="00B80BE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B80BEC" w:rsidRPr="00484A50" w:rsidRDefault="00B80BEC" w:rsidP="000134CC">
            <w:pPr>
              <w:pStyle w:val="H1"/>
              <w:jc w:val="center"/>
            </w:pPr>
            <w:r w:rsidRPr="00CE29C0">
              <w:t>Implementing Partners</w:t>
            </w:r>
          </w:p>
        </w:tc>
      </w:tr>
      <w:tr w:rsidR="00B80BEC" w:rsidRPr="00CE29C0">
        <w:trPr>
          <w:trHeight w:val="495"/>
        </w:trPr>
        <w:tc>
          <w:tcPr>
            <w:tcW w:w="5040" w:type="dxa"/>
            <w:tcBorders>
              <w:left w:val="single" w:sz="4" w:space="0" w:color="auto"/>
              <w:bottom w:val="single" w:sz="4" w:space="0" w:color="auto"/>
              <w:right w:val="single" w:sz="4" w:space="0" w:color="auto"/>
            </w:tcBorders>
          </w:tcPr>
          <w:p w:rsidR="00B80BEC" w:rsidRPr="00484A50" w:rsidRDefault="00B80BEC" w:rsidP="00D81CE6">
            <w:pPr>
              <w:numPr>
                <w:ilvl w:val="0"/>
                <w:numId w:val="14"/>
              </w:numPr>
              <w:jc w:val="both"/>
            </w:pPr>
            <w:r w:rsidRPr="00484A50">
              <w:t>International Organization for Migration (IOM)</w:t>
            </w:r>
          </w:p>
          <w:p w:rsidR="00B80BEC" w:rsidRPr="00CE29C0" w:rsidRDefault="00B80BEC" w:rsidP="00B66729">
            <w:pPr>
              <w:pStyle w:val="BodyText"/>
              <w:numPr>
                <w:ilvl w:val="0"/>
                <w:numId w:val="14"/>
              </w:numPr>
              <w:rPr>
                <w:rFonts w:ascii="Times New Roman" w:hAnsi="Times New Roman" w:cs="Times New Roman"/>
                <w:i/>
                <w:iCs/>
                <w:sz w:val="24"/>
                <w:szCs w:val="24"/>
              </w:rPr>
            </w:pPr>
            <w:r w:rsidRPr="00484A50">
              <w:rPr>
                <w:rFonts w:ascii="Times New Roman" w:hAnsi="Times New Roman" w:cs="Times New Roman"/>
                <w:sz w:val="24"/>
                <w:szCs w:val="24"/>
              </w:rPr>
              <w:t>Office of the High Commissioner for Human Rights (OHCHR)</w:t>
            </w:r>
          </w:p>
        </w:tc>
        <w:tc>
          <w:tcPr>
            <w:tcW w:w="360" w:type="dxa"/>
            <w:vMerge/>
            <w:tcBorders>
              <w:left w:val="single" w:sz="4" w:space="0" w:color="auto"/>
              <w:right w:val="single" w:sz="4" w:space="0" w:color="auto"/>
            </w:tcBorders>
          </w:tcPr>
          <w:p w:rsidR="00B80BEC" w:rsidRPr="00484A50" w:rsidRDefault="00B80BEC" w:rsidP="000134CC">
            <w:pPr>
              <w:pStyle w:val="BodyText"/>
              <w:rPr>
                <w:rFonts w:ascii="Times New Roman" w:hAnsi="Times New Roman" w:cs="Times New Roman"/>
                <w:sz w:val="24"/>
                <w:szCs w:val="24"/>
              </w:rPr>
            </w:pPr>
          </w:p>
        </w:tc>
        <w:tc>
          <w:tcPr>
            <w:tcW w:w="4860" w:type="dxa"/>
            <w:tcBorders>
              <w:left w:val="single" w:sz="4" w:space="0" w:color="auto"/>
              <w:bottom w:val="single" w:sz="4" w:space="0" w:color="auto"/>
              <w:right w:val="single" w:sz="4" w:space="0" w:color="auto"/>
            </w:tcBorders>
          </w:tcPr>
          <w:p w:rsidR="00B80BEC" w:rsidRPr="00484A50" w:rsidRDefault="00B80BEC" w:rsidP="00ED7531">
            <w:pPr>
              <w:pStyle w:val="BodyText"/>
              <w:spacing w:before="60" w:after="60"/>
              <w:ind w:left="16"/>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Close partnership with: Ministry of Peace and Reconstruction, Relief and Rehabilitation Unit; Ministry of Health and Population; Ministry of Education; Ministry of Home Affairs victims groups And other civil society organizations. </w:t>
            </w:r>
          </w:p>
        </w:tc>
      </w:tr>
    </w:tbl>
    <w:p w:rsidR="00B80BEC" w:rsidRPr="00CE29C0" w:rsidRDefault="00B80BEC" w:rsidP="00AB0274">
      <w:pPr>
        <w:jc w:val="center"/>
        <w:rPr>
          <w:b/>
          <w:bCs/>
          <w:caps/>
        </w:rPr>
      </w:pPr>
    </w:p>
    <w:tbl>
      <w:tblPr>
        <w:tblW w:w="102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B80BEC" w:rsidRPr="00CE29C0">
        <w:trPr>
          <w:trHeight w:val="440"/>
        </w:trPr>
        <w:tc>
          <w:tcPr>
            <w:tcW w:w="5040" w:type="dxa"/>
            <w:gridSpan w:val="2"/>
            <w:tcBorders>
              <w:bottom w:val="nil"/>
            </w:tcBorders>
            <w:shd w:val="clear" w:color="auto" w:fill="F2F2F2"/>
            <w:vAlign w:val="center"/>
          </w:tcPr>
          <w:p w:rsidR="00B80BEC" w:rsidRPr="00CE29C0" w:rsidRDefault="00B80BEC" w:rsidP="000134CC">
            <w:pPr>
              <w:pStyle w:val="H1"/>
              <w:jc w:val="center"/>
            </w:pPr>
            <w:r w:rsidRPr="00CE29C0">
              <w:t>Programme/Project Cost (US$)</w:t>
            </w:r>
          </w:p>
        </w:tc>
        <w:tc>
          <w:tcPr>
            <w:tcW w:w="360" w:type="dxa"/>
            <w:tcBorders>
              <w:top w:val="nil"/>
              <w:bottom w:val="nil"/>
            </w:tcBorders>
            <w:vAlign w:val="center"/>
          </w:tcPr>
          <w:p w:rsidR="00B80BEC" w:rsidRPr="00CE29C0" w:rsidRDefault="00B80BEC" w:rsidP="000134CC">
            <w:pPr>
              <w:pStyle w:val="H1"/>
              <w:jc w:val="center"/>
            </w:pPr>
          </w:p>
        </w:tc>
        <w:tc>
          <w:tcPr>
            <w:tcW w:w="4871" w:type="dxa"/>
            <w:gridSpan w:val="2"/>
            <w:tcBorders>
              <w:bottom w:val="nil"/>
            </w:tcBorders>
            <w:shd w:val="clear" w:color="auto" w:fill="F2F2F2"/>
            <w:vAlign w:val="center"/>
          </w:tcPr>
          <w:p w:rsidR="00B80BEC" w:rsidRPr="00CE29C0" w:rsidRDefault="00B80BEC" w:rsidP="000134CC">
            <w:pPr>
              <w:pStyle w:val="H1"/>
              <w:jc w:val="center"/>
            </w:pPr>
            <w:r w:rsidRPr="00484A50">
              <w:t>Programme Duration (months)</w:t>
            </w:r>
          </w:p>
        </w:tc>
      </w:tr>
      <w:tr w:rsidR="00B80BEC" w:rsidRPr="00CE29C0">
        <w:trPr>
          <w:trHeight w:val="215"/>
        </w:trPr>
        <w:tc>
          <w:tcPr>
            <w:tcW w:w="2970" w:type="dxa"/>
            <w:tcBorders>
              <w:top w:val="nil"/>
              <w:bottom w:val="nil"/>
              <w:right w:val="nil"/>
            </w:tcBorders>
            <w:vAlign w:val="center"/>
          </w:tcPr>
          <w:p w:rsidR="00B80BEC" w:rsidRPr="00484A50" w:rsidRDefault="00B80BEC" w:rsidP="000134CC">
            <w:pPr>
              <w:pStyle w:val="H2"/>
              <w:spacing w:before="120"/>
              <w:rPr>
                <w:b w:val="0"/>
                <w:bCs w:val="0"/>
                <w:sz w:val="24"/>
                <w:szCs w:val="24"/>
              </w:rPr>
            </w:pPr>
            <w:r w:rsidRPr="00484A50">
              <w:rPr>
                <w:b w:val="0"/>
                <w:bCs w:val="0"/>
                <w:sz w:val="24"/>
                <w:szCs w:val="24"/>
              </w:rPr>
              <w:t xml:space="preserve">MDTF Fund Contribution:  </w:t>
            </w:r>
          </w:p>
          <w:p w:rsidR="00B80BEC" w:rsidRPr="00484A50" w:rsidRDefault="00B80BEC" w:rsidP="0021644A">
            <w:pPr>
              <w:pStyle w:val="H2"/>
              <w:numPr>
                <w:ilvl w:val="0"/>
                <w:numId w:val="15"/>
              </w:numPr>
              <w:tabs>
                <w:tab w:val="clear" w:pos="702"/>
                <w:tab w:val="num" w:pos="72"/>
                <w:tab w:val="left" w:pos="192"/>
              </w:tabs>
              <w:spacing w:after="120"/>
              <w:ind w:hanging="630"/>
              <w:rPr>
                <w:i/>
                <w:iCs/>
                <w:sz w:val="24"/>
                <w:szCs w:val="24"/>
              </w:rPr>
            </w:pPr>
            <w:r w:rsidRPr="00484A50">
              <w:rPr>
                <w:b w:val="0"/>
                <w:bCs w:val="0"/>
                <w:i/>
                <w:iCs/>
                <w:sz w:val="24"/>
                <w:szCs w:val="24"/>
              </w:rPr>
              <w:t>by Agency (if applicable)</w:t>
            </w:r>
          </w:p>
        </w:tc>
        <w:tc>
          <w:tcPr>
            <w:tcW w:w="2070" w:type="dxa"/>
            <w:tcBorders>
              <w:top w:val="nil"/>
              <w:left w:val="nil"/>
              <w:bottom w:val="nil"/>
            </w:tcBorders>
          </w:tcPr>
          <w:p w:rsidR="00B80BEC" w:rsidRPr="00484A50" w:rsidRDefault="00B80BEC" w:rsidP="0021644A">
            <w:pPr>
              <w:pStyle w:val="BodyText"/>
              <w:numPr>
                <w:ilvl w:val="0"/>
                <w:numId w:val="12"/>
              </w:numPr>
              <w:tabs>
                <w:tab w:val="clear" w:pos="720"/>
                <w:tab w:val="num" w:pos="222"/>
              </w:tabs>
              <w:spacing w:before="120" w:after="120"/>
              <w:ind w:left="162" w:hanging="180"/>
              <w:rPr>
                <w:rFonts w:ascii="Times New Roman" w:hAnsi="Times New Roman" w:cs="Times New Roman"/>
                <w:color w:val="000000"/>
                <w:sz w:val="24"/>
                <w:szCs w:val="24"/>
              </w:rPr>
            </w:pPr>
            <w:r w:rsidRPr="00484A50">
              <w:rPr>
                <w:rFonts w:ascii="Times New Roman" w:hAnsi="Times New Roman" w:cs="Times New Roman"/>
                <w:color w:val="000000"/>
                <w:sz w:val="24"/>
                <w:szCs w:val="24"/>
              </w:rPr>
              <w:t xml:space="preserve">IOM: 737,662 </w:t>
            </w:r>
          </w:p>
          <w:p w:rsidR="00B80BEC" w:rsidRPr="00484A50" w:rsidRDefault="00B80BEC" w:rsidP="0021644A">
            <w:pPr>
              <w:pStyle w:val="BodyText"/>
              <w:numPr>
                <w:ilvl w:val="0"/>
                <w:numId w:val="12"/>
              </w:numPr>
              <w:tabs>
                <w:tab w:val="clear" w:pos="720"/>
                <w:tab w:val="num" w:pos="222"/>
              </w:tabs>
              <w:spacing w:before="120" w:after="120"/>
              <w:ind w:left="162" w:hanging="180"/>
              <w:rPr>
                <w:rFonts w:ascii="Times New Roman" w:hAnsi="Times New Roman" w:cs="Times New Roman"/>
                <w:color w:val="000000"/>
                <w:sz w:val="24"/>
                <w:szCs w:val="24"/>
              </w:rPr>
            </w:pPr>
            <w:r w:rsidRPr="00484A50">
              <w:rPr>
                <w:rFonts w:ascii="Times New Roman" w:hAnsi="Times New Roman" w:cs="Times New Roman"/>
                <w:color w:val="000000"/>
                <w:sz w:val="24"/>
                <w:szCs w:val="24"/>
              </w:rPr>
              <w:t>OHCHR: 279, 921</w:t>
            </w:r>
          </w:p>
        </w:tc>
        <w:tc>
          <w:tcPr>
            <w:tcW w:w="360" w:type="dxa"/>
            <w:tcBorders>
              <w:top w:val="nil"/>
              <w:bottom w:val="nil"/>
            </w:tcBorders>
          </w:tcPr>
          <w:p w:rsidR="00B80BEC" w:rsidRPr="00484A50" w:rsidRDefault="00B80BEC" w:rsidP="000134CC">
            <w:pPr>
              <w:pStyle w:val="BodyText"/>
              <w:spacing w:before="120" w:after="120"/>
              <w:rPr>
                <w:rFonts w:ascii="Times New Roman" w:hAnsi="Times New Roman" w:cs="Times New Roman"/>
                <w:sz w:val="24"/>
                <w:szCs w:val="24"/>
              </w:rPr>
            </w:pPr>
          </w:p>
        </w:tc>
        <w:tc>
          <w:tcPr>
            <w:tcW w:w="2071" w:type="dxa"/>
            <w:tcBorders>
              <w:top w:val="nil"/>
              <w:bottom w:val="nil"/>
              <w:right w:val="nil"/>
            </w:tcBorders>
            <w:vAlign w:val="center"/>
          </w:tcPr>
          <w:p w:rsidR="00B80BEC" w:rsidRPr="00484A50" w:rsidRDefault="00B80BEC" w:rsidP="000134CC">
            <w:pPr>
              <w:pStyle w:val="BodyText"/>
              <w:rPr>
                <w:rFonts w:ascii="Times New Roman" w:hAnsi="Times New Roman" w:cs="Times New Roman"/>
                <w:sz w:val="24"/>
                <w:szCs w:val="24"/>
              </w:rPr>
            </w:pPr>
            <w:r w:rsidRPr="00484A50">
              <w:rPr>
                <w:rFonts w:ascii="Times New Roman" w:hAnsi="Times New Roman" w:cs="Times New Roman"/>
                <w:sz w:val="24"/>
                <w:szCs w:val="24"/>
              </w:rPr>
              <w:t>Overall Duration</w:t>
            </w:r>
          </w:p>
        </w:tc>
        <w:tc>
          <w:tcPr>
            <w:tcW w:w="2800" w:type="dxa"/>
            <w:tcBorders>
              <w:top w:val="nil"/>
              <w:left w:val="nil"/>
              <w:bottom w:val="nil"/>
            </w:tcBorders>
          </w:tcPr>
          <w:p w:rsidR="00B80BEC" w:rsidRPr="00484A50" w:rsidRDefault="00B80BEC" w:rsidP="00E26E3B">
            <w:pPr>
              <w:pStyle w:val="BodyText"/>
              <w:widowControl w:val="0"/>
              <w:numPr>
                <w:ilvl w:val="0"/>
                <w:numId w:val="16"/>
              </w:numPr>
              <w:spacing w:before="120" w:after="120"/>
              <w:rPr>
                <w:rFonts w:ascii="Times New Roman" w:hAnsi="Times New Roman" w:cs="Times New Roman"/>
                <w:sz w:val="24"/>
                <w:szCs w:val="24"/>
              </w:rPr>
            </w:pPr>
            <w:r w:rsidRPr="00484A50">
              <w:rPr>
                <w:rFonts w:ascii="Times New Roman" w:hAnsi="Times New Roman" w:cs="Times New Roman"/>
                <w:sz w:val="24"/>
                <w:szCs w:val="24"/>
              </w:rPr>
              <w:t xml:space="preserve">15 Months </w:t>
            </w:r>
          </w:p>
          <w:p w:rsidR="00B80BEC" w:rsidRPr="00484A50" w:rsidRDefault="00B80BEC" w:rsidP="000134CC">
            <w:pPr>
              <w:pStyle w:val="BodyText"/>
              <w:widowControl w:val="0"/>
              <w:spacing w:before="120" w:after="120"/>
              <w:rPr>
                <w:rFonts w:ascii="Times New Roman" w:hAnsi="Times New Roman" w:cs="Times New Roman"/>
                <w:sz w:val="24"/>
                <w:szCs w:val="24"/>
              </w:rPr>
            </w:pPr>
          </w:p>
        </w:tc>
      </w:tr>
      <w:tr w:rsidR="00B80BEC" w:rsidRPr="00CE29C0">
        <w:trPr>
          <w:trHeight w:val="350"/>
        </w:trPr>
        <w:tc>
          <w:tcPr>
            <w:tcW w:w="2970" w:type="dxa"/>
            <w:tcBorders>
              <w:top w:val="nil"/>
              <w:bottom w:val="nil"/>
              <w:right w:val="nil"/>
            </w:tcBorders>
            <w:vAlign w:val="center"/>
          </w:tcPr>
          <w:p w:rsidR="00B80BEC" w:rsidRPr="00484A50" w:rsidRDefault="00B80BEC" w:rsidP="000134CC">
            <w:pPr>
              <w:pStyle w:val="H2"/>
              <w:spacing w:before="120"/>
              <w:rPr>
                <w:b w:val="0"/>
                <w:bCs w:val="0"/>
                <w:sz w:val="24"/>
                <w:szCs w:val="24"/>
              </w:rPr>
            </w:pPr>
            <w:r w:rsidRPr="00484A50">
              <w:rPr>
                <w:b w:val="0"/>
                <w:bCs w:val="0"/>
                <w:sz w:val="24"/>
                <w:szCs w:val="24"/>
              </w:rPr>
              <w:t>Agency Contribution</w:t>
            </w:r>
          </w:p>
          <w:p w:rsidR="00B80BEC" w:rsidRPr="00484A50" w:rsidRDefault="00B80BEC" w:rsidP="0021644A">
            <w:pPr>
              <w:pStyle w:val="H2"/>
              <w:numPr>
                <w:ilvl w:val="0"/>
                <w:numId w:val="11"/>
              </w:numPr>
              <w:tabs>
                <w:tab w:val="clear" w:pos="720"/>
                <w:tab w:val="num" w:pos="192"/>
              </w:tabs>
              <w:spacing w:after="120"/>
              <w:ind w:left="162" w:hanging="162"/>
              <w:rPr>
                <w:sz w:val="24"/>
                <w:szCs w:val="24"/>
              </w:rPr>
            </w:pPr>
            <w:r w:rsidRPr="00484A50">
              <w:rPr>
                <w:b w:val="0"/>
                <w:bCs w:val="0"/>
                <w:i/>
                <w:iCs/>
                <w:sz w:val="24"/>
                <w:szCs w:val="24"/>
              </w:rPr>
              <w:t>by Agency (if applicable)</w:t>
            </w:r>
          </w:p>
        </w:tc>
        <w:tc>
          <w:tcPr>
            <w:tcW w:w="2070" w:type="dxa"/>
            <w:tcBorders>
              <w:top w:val="nil"/>
              <w:left w:val="nil"/>
              <w:bottom w:val="nil"/>
            </w:tcBorders>
          </w:tcPr>
          <w:p w:rsidR="00B80BEC" w:rsidRPr="00484A50" w:rsidRDefault="00B80BEC" w:rsidP="000134CC">
            <w:pPr>
              <w:pStyle w:val="BodyText"/>
              <w:spacing w:before="120" w:after="120"/>
              <w:rPr>
                <w:rFonts w:ascii="Times New Roman" w:hAnsi="Times New Roman" w:cs="Times New Roman"/>
                <w:color w:val="000000"/>
                <w:sz w:val="24"/>
                <w:szCs w:val="24"/>
              </w:rPr>
            </w:pPr>
          </w:p>
        </w:tc>
        <w:tc>
          <w:tcPr>
            <w:tcW w:w="360" w:type="dxa"/>
            <w:tcBorders>
              <w:top w:val="nil"/>
              <w:bottom w:val="nil"/>
            </w:tcBorders>
          </w:tcPr>
          <w:p w:rsidR="00B80BEC" w:rsidRPr="00484A50" w:rsidRDefault="00B80BEC" w:rsidP="000134CC">
            <w:pPr>
              <w:pStyle w:val="BodyText"/>
              <w:spacing w:before="120" w:after="120"/>
              <w:rPr>
                <w:rFonts w:ascii="Times New Roman" w:hAnsi="Times New Roman" w:cs="Times New Roman"/>
                <w:sz w:val="24"/>
                <w:szCs w:val="24"/>
              </w:rPr>
            </w:pPr>
          </w:p>
        </w:tc>
        <w:tc>
          <w:tcPr>
            <w:tcW w:w="2071" w:type="dxa"/>
            <w:tcBorders>
              <w:top w:val="nil"/>
              <w:bottom w:val="nil"/>
              <w:right w:val="nil"/>
            </w:tcBorders>
            <w:vAlign w:val="center"/>
          </w:tcPr>
          <w:p w:rsidR="00B80BEC" w:rsidRPr="00484A50" w:rsidRDefault="00B80BEC" w:rsidP="000134CC">
            <w:pPr>
              <w:pStyle w:val="BodyText"/>
              <w:rPr>
                <w:rFonts w:ascii="Times New Roman" w:hAnsi="Times New Roman" w:cs="Times New Roman"/>
                <w:sz w:val="24"/>
                <w:szCs w:val="24"/>
              </w:rPr>
            </w:pPr>
            <w:r w:rsidRPr="00484A50">
              <w:rPr>
                <w:rFonts w:ascii="Times New Roman" w:hAnsi="Times New Roman" w:cs="Times New Roman"/>
                <w:sz w:val="24"/>
                <w:szCs w:val="24"/>
              </w:rPr>
              <w:t>Start Date</w:t>
            </w:r>
            <w:r>
              <w:rPr>
                <w:rStyle w:val="FootnoteReference"/>
                <w:rFonts w:ascii="Times New Roman" w:hAnsi="Times New Roman"/>
                <w:sz w:val="24"/>
                <w:szCs w:val="24"/>
              </w:rPr>
              <w:footnoteReference w:id="3"/>
            </w:r>
          </w:p>
        </w:tc>
        <w:tc>
          <w:tcPr>
            <w:tcW w:w="2800" w:type="dxa"/>
            <w:tcBorders>
              <w:top w:val="nil"/>
              <w:left w:val="nil"/>
              <w:bottom w:val="nil"/>
            </w:tcBorders>
          </w:tcPr>
          <w:p w:rsidR="00B80BEC" w:rsidRPr="00484A50" w:rsidRDefault="00B80BEC" w:rsidP="00B35BE0">
            <w:pPr>
              <w:pStyle w:val="BodyText"/>
              <w:numPr>
                <w:ilvl w:val="0"/>
                <w:numId w:val="11"/>
              </w:numPr>
              <w:spacing w:before="120" w:after="120"/>
              <w:rPr>
                <w:rFonts w:ascii="Times New Roman" w:hAnsi="Times New Roman" w:cs="Times New Roman"/>
                <w:sz w:val="24"/>
                <w:szCs w:val="24"/>
              </w:rPr>
            </w:pPr>
            <w:r w:rsidRPr="00484A50">
              <w:rPr>
                <w:rFonts w:ascii="Times New Roman" w:hAnsi="Times New Roman" w:cs="Times New Roman"/>
                <w:sz w:val="24"/>
                <w:szCs w:val="24"/>
              </w:rPr>
              <w:t>29</w:t>
            </w:r>
            <w:r>
              <w:rPr>
                <w:rFonts w:ascii="Times New Roman" w:hAnsi="Times New Roman" w:cs="Times New Roman"/>
                <w:sz w:val="24"/>
                <w:szCs w:val="24"/>
                <w:vertAlign w:val="superscript"/>
              </w:rPr>
              <w:t>th</w:t>
            </w:r>
            <w:r w:rsidRPr="00484A50">
              <w:rPr>
                <w:rFonts w:ascii="Times New Roman" w:hAnsi="Times New Roman" w:cs="Times New Roman"/>
                <w:sz w:val="24"/>
                <w:szCs w:val="24"/>
              </w:rPr>
              <w:t xml:space="preserve"> March 2010</w:t>
            </w:r>
          </w:p>
        </w:tc>
      </w:tr>
      <w:tr w:rsidR="00B80BEC" w:rsidRPr="00CE29C0">
        <w:trPr>
          <w:trHeight w:val="350"/>
        </w:trPr>
        <w:tc>
          <w:tcPr>
            <w:tcW w:w="2970" w:type="dxa"/>
            <w:tcBorders>
              <w:top w:val="nil"/>
              <w:bottom w:val="nil"/>
              <w:right w:val="nil"/>
            </w:tcBorders>
            <w:shd w:val="clear" w:color="auto" w:fill="D9D9D9"/>
            <w:vAlign w:val="center"/>
          </w:tcPr>
          <w:p w:rsidR="00B80BEC" w:rsidRPr="00484A50" w:rsidRDefault="00B80BEC" w:rsidP="000134CC">
            <w:pPr>
              <w:pStyle w:val="H2"/>
              <w:rPr>
                <w:b w:val="0"/>
                <w:bCs w:val="0"/>
                <w:sz w:val="24"/>
                <w:szCs w:val="24"/>
              </w:rPr>
            </w:pPr>
            <w:r w:rsidRPr="00484A50">
              <w:rPr>
                <w:b w:val="0"/>
                <w:bCs w:val="0"/>
                <w:sz w:val="24"/>
                <w:szCs w:val="24"/>
              </w:rPr>
              <w:t>Government Contribution</w:t>
            </w:r>
          </w:p>
          <w:p w:rsidR="00B80BEC" w:rsidRPr="00484A50" w:rsidRDefault="00B80BEC" w:rsidP="000134CC">
            <w:pPr>
              <w:pStyle w:val="H2"/>
              <w:rPr>
                <w:sz w:val="24"/>
                <w:szCs w:val="24"/>
              </w:rPr>
            </w:pPr>
            <w:r w:rsidRPr="00484A50">
              <w:rPr>
                <w:b w:val="0"/>
                <w:bCs w:val="0"/>
                <w:i/>
                <w:iCs/>
                <w:sz w:val="24"/>
                <w:szCs w:val="24"/>
              </w:rPr>
              <w:t>(if applicable)</w:t>
            </w:r>
          </w:p>
        </w:tc>
        <w:tc>
          <w:tcPr>
            <w:tcW w:w="2070" w:type="dxa"/>
            <w:tcBorders>
              <w:top w:val="nil"/>
              <w:left w:val="nil"/>
              <w:bottom w:val="nil"/>
            </w:tcBorders>
            <w:shd w:val="clear" w:color="auto" w:fill="D9D9D9"/>
          </w:tcPr>
          <w:p w:rsidR="00B80BEC" w:rsidRPr="00484A50" w:rsidRDefault="00B80BEC" w:rsidP="000134CC">
            <w:pPr>
              <w:pStyle w:val="BodyText"/>
              <w:rPr>
                <w:rFonts w:ascii="Times New Roman" w:hAnsi="Times New Roman" w:cs="Times New Roman"/>
                <w:color w:val="000000"/>
                <w:sz w:val="24"/>
                <w:szCs w:val="24"/>
              </w:rPr>
            </w:pPr>
          </w:p>
        </w:tc>
        <w:tc>
          <w:tcPr>
            <w:tcW w:w="360" w:type="dxa"/>
            <w:tcBorders>
              <w:top w:val="nil"/>
              <w:bottom w:val="nil"/>
            </w:tcBorders>
          </w:tcPr>
          <w:p w:rsidR="00B80BEC" w:rsidRPr="00484A50" w:rsidRDefault="00B80BEC" w:rsidP="000134CC">
            <w:pPr>
              <w:pStyle w:val="BodyText"/>
              <w:rPr>
                <w:rFonts w:ascii="Times New Roman" w:hAnsi="Times New Roman" w:cs="Times New Roman"/>
                <w:sz w:val="24"/>
                <w:szCs w:val="24"/>
              </w:rPr>
            </w:pPr>
          </w:p>
        </w:tc>
        <w:tc>
          <w:tcPr>
            <w:tcW w:w="2071" w:type="dxa"/>
            <w:tcBorders>
              <w:top w:val="nil"/>
              <w:bottom w:val="nil"/>
              <w:right w:val="nil"/>
            </w:tcBorders>
            <w:vAlign w:val="center"/>
          </w:tcPr>
          <w:p w:rsidR="00B80BEC" w:rsidRPr="00484A50" w:rsidRDefault="00B80BEC" w:rsidP="000134CC">
            <w:pPr>
              <w:pStyle w:val="BodyText"/>
              <w:rPr>
                <w:rFonts w:ascii="Times New Roman" w:hAnsi="Times New Roman" w:cs="Times New Roman"/>
                <w:sz w:val="24"/>
                <w:szCs w:val="24"/>
              </w:rPr>
            </w:pPr>
            <w:r w:rsidRPr="00484A50">
              <w:rPr>
                <w:rFonts w:ascii="Times New Roman" w:hAnsi="Times New Roman" w:cs="Times New Roman"/>
                <w:sz w:val="24"/>
                <w:szCs w:val="24"/>
              </w:rPr>
              <w:t xml:space="preserve">End Date or Revised End Date, </w:t>
            </w:r>
          </w:p>
          <w:p w:rsidR="00B80BEC" w:rsidRPr="00484A50" w:rsidRDefault="00B80BEC" w:rsidP="000134CC">
            <w:pPr>
              <w:pStyle w:val="BodyText"/>
              <w:rPr>
                <w:rFonts w:ascii="Times New Roman" w:hAnsi="Times New Roman" w:cs="Times New Roman"/>
                <w:sz w:val="24"/>
                <w:szCs w:val="24"/>
              </w:rPr>
            </w:pPr>
            <w:r w:rsidRPr="00484A50">
              <w:rPr>
                <w:rFonts w:ascii="Times New Roman" w:hAnsi="Times New Roman" w:cs="Times New Roman"/>
                <w:i/>
                <w:iCs/>
                <w:snapToGrid w:val="0"/>
                <w:sz w:val="24"/>
                <w:szCs w:val="24"/>
              </w:rPr>
              <w:t>(if applicable)</w:t>
            </w:r>
          </w:p>
        </w:tc>
        <w:tc>
          <w:tcPr>
            <w:tcW w:w="2800" w:type="dxa"/>
            <w:tcBorders>
              <w:top w:val="nil"/>
              <w:left w:val="nil"/>
              <w:bottom w:val="nil"/>
            </w:tcBorders>
          </w:tcPr>
          <w:p w:rsidR="00B80BEC" w:rsidRPr="0082546F" w:rsidRDefault="00B80BEC" w:rsidP="00A71C24">
            <w:pPr>
              <w:pStyle w:val="BodyText"/>
              <w:numPr>
                <w:ilvl w:val="0"/>
                <w:numId w:val="11"/>
              </w:numPr>
              <w:rPr>
                <w:rFonts w:ascii="Times New Roman" w:hAnsi="Times New Roman" w:cs="Times New Roman"/>
                <w:sz w:val="24"/>
                <w:szCs w:val="24"/>
              </w:rPr>
            </w:pPr>
            <w:r w:rsidRPr="0082546F">
              <w:rPr>
                <w:rFonts w:ascii="Times New Roman" w:hAnsi="Times New Roman" w:cs="Times New Roman"/>
                <w:sz w:val="24"/>
                <w:szCs w:val="24"/>
              </w:rPr>
              <w:t>July 2011</w:t>
            </w:r>
          </w:p>
        </w:tc>
      </w:tr>
      <w:tr w:rsidR="00B80BEC" w:rsidRPr="00CE29C0">
        <w:trPr>
          <w:trHeight w:val="350"/>
        </w:trPr>
        <w:tc>
          <w:tcPr>
            <w:tcW w:w="2970" w:type="dxa"/>
            <w:tcBorders>
              <w:top w:val="nil"/>
              <w:bottom w:val="nil"/>
              <w:right w:val="nil"/>
            </w:tcBorders>
            <w:shd w:val="clear" w:color="auto" w:fill="D9D9D9"/>
            <w:vAlign w:val="center"/>
          </w:tcPr>
          <w:p w:rsidR="00B80BEC" w:rsidRPr="00484A50" w:rsidRDefault="00B80BEC" w:rsidP="000134CC">
            <w:pPr>
              <w:pStyle w:val="H2"/>
              <w:rPr>
                <w:b w:val="0"/>
                <w:bCs w:val="0"/>
                <w:sz w:val="24"/>
                <w:szCs w:val="24"/>
              </w:rPr>
            </w:pPr>
            <w:r w:rsidRPr="00484A50">
              <w:rPr>
                <w:b w:val="0"/>
                <w:bCs w:val="0"/>
                <w:sz w:val="24"/>
                <w:szCs w:val="24"/>
              </w:rPr>
              <w:t>Other Contribution (donor)</w:t>
            </w:r>
          </w:p>
          <w:p w:rsidR="00B80BEC" w:rsidRPr="00484A50" w:rsidRDefault="00B80BEC" w:rsidP="000134CC">
            <w:pPr>
              <w:pStyle w:val="H2"/>
              <w:rPr>
                <w:sz w:val="24"/>
                <w:szCs w:val="24"/>
              </w:rPr>
            </w:pPr>
            <w:r w:rsidRPr="00484A50">
              <w:rPr>
                <w:b w:val="0"/>
                <w:bCs w:val="0"/>
                <w:i/>
                <w:iCs/>
                <w:sz w:val="24"/>
                <w:szCs w:val="24"/>
              </w:rPr>
              <w:t>(if applicable)</w:t>
            </w:r>
          </w:p>
        </w:tc>
        <w:tc>
          <w:tcPr>
            <w:tcW w:w="2070" w:type="dxa"/>
            <w:tcBorders>
              <w:top w:val="nil"/>
              <w:left w:val="nil"/>
              <w:bottom w:val="nil"/>
            </w:tcBorders>
            <w:shd w:val="clear" w:color="auto" w:fill="D9D9D9"/>
          </w:tcPr>
          <w:p w:rsidR="00B80BEC" w:rsidRPr="00484A50" w:rsidRDefault="00B80BEC" w:rsidP="000134CC">
            <w:pPr>
              <w:pStyle w:val="BodyText"/>
              <w:rPr>
                <w:rFonts w:ascii="Times New Roman" w:hAnsi="Times New Roman" w:cs="Times New Roman"/>
                <w:color w:val="000000"/>
                <w:sz w:val="24"/>
                <w:szCs w:val="24"/>
              </w:rPr>
            </w:pPr>
          </w:p>
        </w:tc>
        <w:tc>
          <w:tcPr>
            <w:tcW w:w="360" w:type="dxa"/>
            <w:tcBorders>
              <w:top w:val="nil"/>
              <w:bottom w:val="nil"/>
            </w:tcBorders>
          </w:tcPr>
          <w:p w:rsidR="00B80BEC" w:rsidRPr="00484A50" w:rsidRDefault="00B80BEC" w:rsidP="000134CC">
            <w:pPr>
              <w:pStyle w:val="BodyText"/>
              <w:rPr>
                <w:rFonts w:ascii="Times New Roman" w:hAnsi="Times New Roman" w:cs="Times New Roman"/>
                <w:sz w:val="24"/>
                <w:szCs w:val="24"/>
              </w:rPr>
            </w:pPr>
          </w:p>
        </w:tc>
        <w:tc>
          <w:tcPr>
            <w:tcW w:w="2071" w:type="dxa"/>
            <w:tcBorders>
              <w:top w:val="nil"/>
              <w:bottom w:val="nil"/>
              <w:right w:val="nil"/>
            </w:tcBorders>
            <w:vAlign w:val="center"/>
          </w:tcPr>
          <w:p w:rsidR="00B80BEC" w:rsidRPr="00484A50" w:rsidRDefault="00B80BEC" w:rsidP="000134CC">
            <w:pPr>
              <w:pStyle w:val="BodyText"/>
              <w:rPr>
                <w:rFonts w:ascii="Times New Roman" w:hAnsi="Times New Roman" w:cs="Times New Roman"/>
                <w:sz w:val="24"/>
                <w:szCs w:val="24"/>
              </w:rPr>
            </w:pPr>
            <w:r w:rsidRPr="004132CE">
              <w:rPr>
                <w:rFonts w:ascii="Times New Roman" w:hAnsi="Times New Roman" w:cs="Times New Roman"/>
                <w:sz w:val="24"/>
                <w:szCs w:val="24"/>
              </w:rPr>
              <w:t>Operational Closure Date</w:t>
            </w:r>
            <w:r>
              <w:rPr>
                <w:rStyle w:val="FootnoteReference"/>
                <w:rFonts w:ascii="Times New Roman" w:hAnsi="Times New Roman"/>
                <w:sz w:val="24"/>
                <w:szCs w:val="24"/>
              </w:rPr>
              <w:footnoteReference w:id="4"/>
            </w:r>
          </w:p>
        </w:tc>
        <w:tc>
          <w:tcPr>
            <w:tcW w:w="2800" w:type="dxa"/>
            <w:tcBorders>
              <w:top w:val="nil"/>
              <w:left w:val="nil"/>
              <w:bottom w:val="nil"/>
            </w:tcBorders>
          </w:tcPr>
          <w:p w:rsidR="00B80BEC" w:rsidRPr="00484A50" w:rsidRDefault="00B80BEC" w:rsidP="00330EE7">
            <w:pPr>
              <w:pStyle w:val="BodyText"/>
              <w:numPr>
                <w:ilvl w:val="0"/>
                <w:numId w:val="11"/>
              </w:numPr>
              <w:rPr>
                <w:rFonts w:ascii="Times New Roman" w:hAnsi="Times New Roman" w:cs="Times New Roman"/>
                <w:sz w:val="24"/>
                <w:szCs w:val="24"/>
              </w:rPr>
            </w:pPr>
            <w:r>
              <w:rPr>
                <w:rFonts w:ascii="Times New Roman" w:hAnsi="Times New Roman" w:cs="Times New Roman"/>
                <w:sz w:val="24"/>
                <w:szCs w:val="24"/>
              </w:rPr>
              <w:t>July 2011</w:t>
            </w:r>
          </w:p>
        </w:tc>
      </w:tr>
      <w:tr w:rsidR="00B80BEC" w:rsidRPr="00CE29C0">
        <w:trPr>
          <w:trHeight w:val="350"/>
        </w:trPr>
        <w:tc>
          <w:tcPr>
            <w:tcW w:w="2970" w:type="dxa"/>
            <w:tcBorders>
              <w:top w:val="nil"/>
              <w:right w:val="nil"/>
            </w:tcBorders>
            <w:vAlign w:val="center"/>
          </w:tcPr>
          <w:p w:rsidR="00B80BEC" w:rsidRPr="00484A50" w:rsidRDefault="00B80BEC" w:rsidP="000134CC">
            <w:pPr>
              <w:pStyle w:val="H2"/>
              <w:rPr>
                <w:sz w:val="24"/>
                <w:szCs w:val="24"/>
              </w:rPr>
            </w:pPr>
            <w:r w:rsidRPr="00484A50">
              <w:rPr>
                <w:sz w:val="24"/>
                <w:szCs w:val="24"/>
              </w:rPr>
              <w:t>TOTAL:</w:t>
            </w:r>
          </w:p>
        </w:tc>
        <w:tc>
          <w:tcPr>
            <w:tcW w:w="2070" w:type="dxa"/>
            <w:tcBorders>
              <w:top w:val="nil"/>
              <w:left w:val="nil"/>
            </w:tcBorders>
          </w:tcPr>
          <w:p w:rsidR="00B80BEC" w:rsidRPr="00484A50" w:rsidRDefault="00B80BEC" w:rsidP="0021644A">
            <w:pPr>
              <w:pStyle w:val="BodyText"/>
              <w:numPr>
                <w:ilvl w:val="0"/>
                <w:numId w:val="11"/>
              </w:numPr>
              <w:tabs>
                <w:tab w:val="clear" w:pos="720"/>
                <w:tab w:val="num" w:pos="222"/>
              </w:tabs>
              <w:ind w:hanging="738"/>
              <w:rPr>
                <w:rFonts w:ascii="Times New Roman" w:hAnsi="Times New Roman" w:cs="Times New Roman"/>
                <w:color w:val="000000"/>
                <w:sz w:val="24"/>
                <w:szCs w:val="24"/>
              </w:rPr>
            </w:pPr>
            <w:r w:rsidRPr="00484A50">
              <w:rPr>
                <w:rFonts w:ascii="Times New Roman" w:hAnsi="Times New Roman" w:cs="Times New Roman"/>
                <w:color w:val="000000"/>
                <w:sz w:val="24"/>
                <w:szCs w:val="24"/>
              </w:rPr>
              <w:t>1,017, 583</w:t>
            </w:r>
          </w:p>
        </w:tc>
        <w:tc>
          <w:tcPr>
            <w:tcW w:w="360" w:type="dxa"/>
            <w:tcBorders>
              <w:top w:val="nil"/>
              <w:bottom w:val="nil"/>
            </w:tcBorders>
          </w:tcPr>
          <w:p w:rsidR="00B80BEC" w:rsidRPr="00484A50" w:rsidRDefault="00B80BEC" w:rsidP="000134CC">
            <w:pPr>
              <w:pStyle w:val="BodyText"/>
              <w:rPr>
                <w:rFonts w:ascii="Times New Roman" w:hAnsi="Times New Roman" w:cs="Times New Roman"/>
                <w:sz w:val="24"/>
                <w:szCs w:val="24"/>
              </w:rPr>
            </w:pPr>
          </w:p>
        </w:tc>
        <w:tc>
          <w:tcPr>
            <w:tcW w:w="2071" w:type="dxa"/>
            <w:tcBorders>
              <w:top w:val="nil"/>
              <w:right w:val="nil"/>
            </w:tcBorders>
            <w:vAlign w:val="center"/>
          </w:tcPr>
          <w:p w:rsidR="00B80BEC" w:rsidRPr="00484A50" w:rsidRDefault="00B80BEC" w:rsidP="000134CC">
            <w:pPr>
              <w:pStyle w:val="BodyText"/>
              <w:rPr>
                <w:rFonts w:ascii="Times New Roman" w:hAnsi="Times New Roman" w:cs="Times New Roman"/>
                <w:color w:val="000000"/>
                <w:sz w:val="24"/>
                <w:szCs w:val="24"/>
              </w:rPr>
            </w:pPr>
            <w:r w:rsidRPr="00484A50">
              <w:rPr>
                <w:rFonts w:ascii="Times New Roman" w:hAnsi="Times New Roman" w:cs="Times New Roman"/>
                <w:sz w:val="24"/>
                <w:szCs w:val="24"/>
              </w:rPr>
              <w:t>Expected Financial Closure Date</w:t>
            </w:r>
          </w:p>
        </w:tc>
        <w:tc>
          <w:tcPr>
            <w:tcW w:w="2800" w:type="dxa"/>
            <w:tcBorders>
              <w:top w:val="nil"/>
              <w:left w:val="nil"/>
            </w:tcBorders>
          </w:tcPr>
          <w:p w:rsidR="00B80BEC" w:rsidRPr="00484A50" w:rsidRDefault="00B80BEC" w:rsidP="000134CC">
            <w:pPr>
              <w:pStyle w:val="BodyText"/>
              <w:rPr>
                <w:rFonts w:ascii="Times New Roman" w:hAnsi="Times New Roman" w:cs="Times New Roman"/>
                <w:sz w:val="24"/>
                <w:szCs w:val="24"/>
              </w:rPr>
            </w:pPr>
          </w:p>
        </w:tc>
      </w:tr>
    </w:tbl>
    <w:p w:rsidR="00B80BEC" w:rsidRPr="00CE29C0" w:rsidRDefault="00B80BEC" w:rsidP="00AB0274">
      <w:pPr>
        <w:jc w:val="center"/>
        <w:rPr>
          <w:b/>
          <w:bCs/>
          <w:caps/>
        </w:rPr>
      </w:pPr>
    </w:p>
    <w:tbl>
      <w:tblPr>
        <w:tblW w:w="10260" w:type="dxa"/>
        <w:tblInd w:w="-106" w:type="dxa"/>
        <w:tblLayout w:type="fixed"/>
        <w:tblLook w:val="01E0" w:firstRow="1" w:lastRow="1" w:firstColumn="1" w:lastColumn="1" w:noHBand="0" w:noVBand="0"/>
      </w:tblPr>
      <w:tblGrid>
        <w:gridCol w:w="5130"/>
        <w:gridCol w:w="270"/>
        <w:gridCol w:w="4860"/>
      </w:tblGrid>
      <w:tr w:rsidR="00B80BEC" w:rsidRPr="00CE29C0">
        <w:trPr>
          <w:trHeight w:val="206"/>
        </w:trPr>
        <w:tc>
          <w:tcPr>
            <w:tcW w:w="5130" w:type="dxa"/>
            <w:tcBorders>
              <w:top w:val="single" w:sz="4" w:space="0" w:color="auto"/>
              <w:left w:val="single" w:sz="4" w:space="0" w:color="auto"/>
              <w:right w:val="single" w:sz="4" w:space="0" w:color="auto"/>
            </w:tcBorders>
            <w:shd w:val="clear" w:color="auto" w:fill="F3F3F3"/>
          </w:tcPr>
          <w:p w:rsidR="00B80BEC" w:rsidRPr="00CE29C0" w:rsidRDefault="00B80BEC" w:rsidP="00EE0977">
            <w:pPr>
              <w:pStyle w:val="H1"/>
              <w:jc w:val="center"/>
            </w:pPr>
            <w:r w:rsidRPr="00484A50">
              <w:t>Programme Assessments/Mid-Term Evaluation</w:t>
            </w:r>
          </w:p>
        </w:tc>
        <w:tc>
          <w:tcPr>
            <w:tcW w:w="270" w:type="dxa"/>
            <w:vMerge w:val="restart"/>
            <w:tcBorders>
              <w:left w:val="single" w:sz="4" w:space="0" w:color="auto"/>
              <w:right w:val="single" w:sz="4" w:space="0" w:color="auto"/>
            </w:tcBorders>
          </w:tcPr>
          <w:p w:rsidR="00B80BEC" w:rsidRPr="00CE29C0" w:rsidRDefault="00B80BEC" w:rsidP="000134CC"/>
        </w:tc>
        <w:tc>
          <w:tcPr>
            <w:tcW w:w="4860" w:type="dxa"/>
            <w:tcBorders>
              <w:top w:val="single" w:sz="4" w:space="0" w:color="auto"/>
              <w:left w:val="single" w:sz="4" w:space="0" w:color="auto"/>
              <w:right w:val="single" w:sz="4" w:space="0" w:color="auto"/>
            </w:tcBorders>
            <w:shd w:val="clear" w:color="auto" w:fill="F3F3F3"/>
          </w:tcPr>
          <w:p w:rsidR="00B80BEC" w:rsidRPr="00CE29C0" w:rsidRDefault="00B80BEC" w:rsidP="000134CC">
            <w:pPr>
              <w:pStyle w:val="H1"/>
              <w:jc w:val="center"/>
            </w:pPr>
            <w:r w:rsidRPr="00484A50">
              <w:t>Submitted By</w:t>
            </w:r>
          </w:p>
        </w:tc>
      </w:tr>
      <w:tr w:rsidR="00B80BEC" w:rsidRPr="00CE29C0">
        <w:trPr>
          <w:trHeight w:val="495"/>
        </w:trPr>
        <w:tc>
          <w:tcPr>
            <w:tcW w:w="5130" w:type="dxa"/>
            <w:tcBorders>
              <w:left w:val="single" w:sz="4" w:space="0" w:color="auto"/>
              <w:bottom w:val="single" w:sz="4" w:space="0" w:color="auto"/>
              <w:right w:val="single" w:sz="4" w:space="0" w:color="auto"/>
            </w:tcBorders>
          </w:tcPr>
          <w:p w:rsidR="00B80BEC" w:rsidRPr="00484A50" w:rsidRDefault="00B80BEC" w:rsidP="000134CC">
            <w:pPr>
              <w:pStyle w:val="BodyText"/>
              <w:rPr>
                <w:rFonts w:ascii="Times New Roman" w:hAnsi="Times New Roman" w:cs="Times New Roman"/>
                <w:i/>
                <w:iCs/>
                <w:snapToGrid w:val="0"/>
                <w:sz w:val="24"/>
                <w:szCs w:val="24"/>
                <w:lang w:val="en-GB"/>
              </w:rPr>
            </w:pPr>
            <w:r w:rsidRPr="00484A50">
              <w:rPr>
                <w:rFonts w:ascii="Times New Roman" w:hAnsi="Times New Roman" w:cs="Times New Roman"/>
                <w:sz w:val="24"/>
                <w:szCs w:val="24"/>
              </w:rPr>
              <w:t xml:space="preserve">Assessment Completed  - if applicable </w:t>
            </w:r>
            <w:r w:rsidRPr="00484A50">
              <w:rPr>
                <w:rFonts w:ascii="Times New Roman" w:hAnsi="Times New Roman" w:cs="Times New Roman"/>
                <w:i/>
                <w:iCs/>
                <w:snapToGrid w:val="0"/>
                <w:sz w:val="24"/>
                <w:szCs w:val="24"/>
                <w:lang w:val="en-GB"/>
              </w:rPr>
              <w:t>please attach</w:t>
            </w:r>
          </w:p>
          <w:p w:rsidR="00B80BEC" w:rsidRDefault="00B80BEC" w:rsidP="004D1571">
            <w:pPr>
              <w:pStyle w:val="BodyText"/>
              <w:rPr>
                <w:rFonts w:ascii="Times New Roman" w:hAnsi="Times New Roman" w:cs="Times New Roman"/>
                <w:sz w:val="24"/>
                <w:szCs w:val="24"/>
              </w:rPr>
            </w:pPr>
            <w:r w:rsidRPr="00484A50">
              <w:rPr>
                <w:rFonts w:ascii="Times New Roman" w:hAnsi="Times New Roman" w:cs="Times New Roman"/>
                <w:sz w:val="24"/>
                <w:szCs w:val="24"/>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484A50">
              <w:rPr>
                <w:rFonts w:ascii="Times New Roman" w:hAnsi="Times New Roman" w:cs="Times New Roman"/>
                <w:sz w:val="24"/>
                <w:szCs w:val="24"/>
              </w:rPr>
              <w:t xml:space="preserve">  Yes        </w:t>
            </w:r>
            <w:bookmarkStart w:id="1" w:name="Check27"/>
            <w:r>
              <w:rPr>
                <w:sz w:val="16"/>
                <w:szCs w:val="16"/>
              </w:rPr>
              <w:fldChar w:fldCharType="begin">
                <w:ffData>
                  <w:name w:val="Check27"/>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bookmarkEnd w:id="1"/>
            <w:r w:rsidRPr="00484A50">
              <w:rPr>
                <w:rFonts w:ascii="Times New Roman" w:hAnsi="Times New Roman" w:cs="Times New Roman"/>
                <w:sz w:val="24"/>
                <w:szCs w:val="24"/>
              </w:rPr>
              <w:t xml:space="preserve">  No    Date:</w:t>
            </w:r>
            <w:r>
              <w:rPr>
                <w:rFonts w:ascii="Times New Roman" w:hAnsi="Times New Roman" w:cs="Times New Roman"/>
                <w:sz w:val="24"/>
                <w:szCs w:val="24"/>
              </w:rPr>
              <w:t xml:space="preserve"> </w:t>
            </w:r>
          </w:p>
          <w:p w:rsidR="00B80BEC" w:rsidRPr="00484A50" w:rsidRDefault="00B80BEC" w:rsidP="004D1571">
            <w:pPr>
              <w:pStyle w:val="BodyText"/>
              <w:rPr>
                <w:rFonts w:ascii="Times New Roman" w:hAnsi="Times New Roman" w:cs="Times New Roman"/>
                <w:sz w:val="24"/>
                <w:szCs w:val="24"/>
              </w:rPr>
            </w:pPr>
            <w:r w:rsidRPr="00484A50">
              <w:rPr>
                <w:rFonts w:ascii="Times New Roman" w:hAnsi="Times New Roman" w:cs="Times New Roman"/>
                <w:sz w:val="24"/>
                <w:szCs w:val="24"/>
              </w:rPr>
              <w:t xml:space="preserve">Mid-Evaluation Report </w:t>
            </w:r>
            <w:r w:rsidRPr="005F2694">
              <w:rPr>
                <w:rFonts w:ascii="Times New Roman" w:hAnsi="Times New Roman" w:cs="Times New Roman"/>
                <w:i/>
                <w:iCs/>
                <w:snapToGrid w:val="0"/>
                <w:sz w:val="24"/>
                <w:szCs w:val="24"/>
                <w:lang w:val="en-GB"/>
              </w:rPr>
              <w:t>–</w:t>
            </w:r>
            <w:r w:rsidRPr="00484A50">
              <w:rPr>
                <w:rFonts w:ascii="Times New Roman" w:hAnsi="Times New Roman" w:cs="Times New Roman"/>
                <w:i/>
                <w:iCs/>
                <w:snapToGrid w:val="0"/>
                <w:sz w:val="24"/>
                <w:szCs w:val="24"/>
                <w:lang w:val="en-GB"/>
              </w:rPr>
              <w:t xml:space="preserve"> if applicable please attach</w:t>
            </w:r>
            <w:r w:rsidRPr="00484A50">
              <w:rPr>
                <w:rFonts w:ascii="Times New Roman" w:hAnsi="Times New Roman" w:cs="Times New Roman"/>
                <w:b/>
                <w:bCs/>
                <w:sz w:val="24"/>
                <w:szCs w:val="24"/>
              </w:rPr>
              <w:t xml:space="preserve">          </w:t>
            </w:r>
          </w:p>
          <w:p w:rsidR="00B80BEC" w:rsidRPr="00484A50" w:rsidRDefault="00B80BEC" w:rsidP="000134CC">
            <w:pPr>
              <w:pStyle w:val="BodyText"/>
              <w:rPr>
                <w:rFonts w:ascii="Times New Roman" w:hAnsi="Times New Roman" w:cs="Times New Roman"/>
                <w:sz w:val="24"/>
                <w:szCs w:val="24"/>
              </w:rPr>
            </w:pP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484A50">
              <w:rPr>
                <w:rFonts w:ascii="Times New Roman" w:hAnsi="Times New Roman" w:cs="Times New Roman"/>
                <w:sz w:val="24"/>
                <w:szCs w:val="24"/>
              </w:rPr>
              <w:t xml:space="preserve">      Yes        </w:t>
            </w: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Pr="00484A50">
              <w:rPr>
                <w:rFonts w:ascii="Times New Roman" w:hAnsi="Times New Roman" w:cs="Times New Roman"/>
                <w:sz w:val="24"/>
                <w:szCs w:val="24"/>
              </w:rPr>
              <w:t xml:space="preserve">  No    Date: _________________</w:t>
            </w:r>
          </w:p>
        </w:tc>
        <w:tc>
          <w:tcPr>
            <w:tcW w:w="270" w:type="dxa"/>
            <w:vMerge/>
            <w:tcBorders>
              <w:left w:val="single" w:sz="4" w:space="0" w:color="auto"/>
              <w:right w:val="single" w:sz="4" w:space="0" w:color="auto"/>
            </w:tcBorders>
          </w:tcPr>
          <w:p w:rsidR="00B80BEC" w:rsidRPr="00484A50" w:rsidRDefault="00B80BEC" w:rsidP="000134CC">
            <w:pPr>
              <w:pStyle w:val="BodyText"/>
              <w:rPr>
                <w:rFonts w:ascii="Times New Roman" w:hAnsi="Times New Roman" w:cs="Times New Roman"/>
                <w:sz w:val="24"/>
                <w:szCs w:val="24"/>
              </w:rPr>
            </w:pPr>
          </w:p>
        </w:tc>
        <w:tc>
          <w:tcPr>
            <w:tcW w:w="4860" w:type="dxa"/>
            <w:tcBorders>
              <w:left w:val="single" w:sz="4" w:space="0" w:color="auto"/>
              <w:bottom w:val="single" w:sz="4" w:space="0" w:color="auto"/>
              <w:right w:val="single" w:sz="4" w:space="0" w:color="auto"/>
            </w:tcBorders>
          </w:tcPr>
          <w:p w:rsidR="00B80BEC" w:rsidRPr="00484A50" w:rsidRDefault="00B80BEC" w:rsidP="0021644A">
            <w:pPr>
              <w:numPr>
                <w:ilvl w:val="0"/>
                <w:numId w:val="13"/>
              </w:numPr>
              <w:ind w:left="342"/>
              <w:rPr>
                <w:lang w:val="en-GB"/>
              </w:rPr>
            </w:pPr>
            <w:r w:rsidRPr="00484A50">
              <w:rPr>
                <w:lang w:val="en-GB"/>
              </w:rPr>
              <w:t>Name: Philippe Brewster</w:t>
            </w:r>
            <w:r>
              <w:rPr>
                <w:lang w:val="en-GB"/>
              </w:rPr>
              <w:t>;</w:t>
            </w:r>
            <w:r w:rsidRPr="00484A50">
              <w:rPr>
                <w:lang w:val="en-GB"/>
              </w:rPr>
              <w:t xml:space="preserve"> </w:t>
            </w:r>
            <w:r>
              <w:rPr>
                <w:lang w:val="en-GB"/>
              </w:rPr>
              <w:t>Anthony Cardon</w:t>
            </w:r>
          </w:p>
          <w:p w:rsidR="00B80BEC" w:rsidRPr="00484A50" w:rsidRDefault="00B80BEC" w:rsidP="0021644A">
            <w:pPr>
              <w:numPr>
                <w:ilvl w:val="0"/>
                <w:numId w:val="13"/>
              </w:numPr>
              <w:ind w:left="342"/>
              <w:rPr>
                <w:lang w:val="en-GB"/>
              </w:rPr>
            </w:pPr>
            <w:r w:rsidRPr="00484A50">
              <w:rPr>
                <w:lang w:val="en-GB"/>
              </w:rPr>
              <w:t>Title: Reparations Officer</w:t>
            </w:r>
            <w:r>
              <w:rPr>
                <w:lang w:val="en-GB"/>
              </w:rPr>
              <w:t>, IOM; Chief, Accountability, Impunity and Rule of Law Unit, OHCHR</w:t>
            </w:r>
            <w:r w:rsidRPr="00484A50">
              <w:rPr>
                <w:lang w:val="en-GB"/>
              </w:rPr>
              <w:t xml:space="preserve"> </w:t>
            </w:r>
          </w:p>
          <w:p w:rsidR="00B80BEC" w:rsidRPr="00484A50" w:rsidRDefault="00B80BEC" w:rsidP="0021644A">
            <w:pPr>
              <w:numPr>
                <w:ilvl w:val="0"/>
                <w:numId w:val="13"/>
              </w:numPr>
              <w:ind w:left="342"/>
              <w:rPr>
                <w:lang w:val="en-GB"/>
              </w:rPr>
            </w:pPr>
            <w:r w:rsidRPr="00484A50">
              <w:rPr>
                <w:lang w:val="en-GB"/>
              </w:rPr>
              <w:t>Participating Organization : IOM</w:t>
            </w:r>
            <w:r>
              <w:rPr>
                <w:lang w:val="en-GB"/>
              </w:rPr>
              <w:t xml:space="preserve"> in partnership with  </w:t>
            </w:r>
            <w:r w:rsidRPr="00484A50">
              <w:rPr>
                <w:lang w:val="en-GB"/>
              </w:rPr>
              <w:t xml:space="preserve">OHCHR </w:t>
            </w:r>
            <w:r>
              <w:rPr>
                <w:lang w:val="en-GB"/>
              </w:rPr>
              <w:t xml:space="preserve">in </w:t>
            </w:r>
            <w:smartTag w:uri="urn:schemas-microsoft-com:office:smarttags" w:element="country-region">
              <w:r>
                <w:rPr>
                  <w:lang w:val="en-GB"/>
                </w:rPr>
                <w:t>Nepal</w:t>
              </w:r>
            </w:smartTag>
          </w:p>
          <w:p w:rsidR="00B80BEC" w:rsidRPr="00CE29C0" w:rsidRDefault="00B80BEC" w:rsidP="001D1580">
            <w:pPr>
              <w:pStyle w:val="BodyText"/>
              <w:numPr>
                <w:ilvl w:val="0"/>
                <w:numId w:val="13"/>
              </w:numPr>
              <w:spacing w:after="120"/>
              <w:ind w:left="342"/>
              <w:rPr>
                <w:rFonts w:ascii="Times New Roman" w:hAnsi="Times New Roman" w:cs="Times New Roman"/>
                <w:b/>
                <w:bCs/>
                <w:snapToGrid w:val="0"/>
                <w:kern w:val="32"/>
                <w:sz w:val="24"/>
                <w:szCs w:val="24"/>
              </w:rPr>
            </w:pPr>
            <w:r w:rsidRPr="00484A50">
              <w:rPr>
                <w:rFonts w:ascii="Times New Roman" w:hAnsi="Times New Roman" w:cs="Times New Roman"/>
                <w:sz w:val="24"/>
                <w:szCs w:val="24"/>
              </w:rPr>
              <w:t xml:space="preserve">Email address: </w:t>
            </w:r>
            <w:hyperlink r:id="rId9" w:history="1">
              <w:r>
                <w:rPr>
                  <w:rStyle w:val="Hyperlink"/>
                  <w:rFonts w:ascii="Times New Roman" w:hAnsi="Times New Roman"/>
                  <w:sz w:val="24"/>
                  <w:szCs w:val="24"/>
                </w:rPr>
                <w:t>pbrewster@iom.int</w:t>
              </w:r>
            </w:hyperlink>
            <w:r w:rsidRPr="00484A50">
              <w:rPr>
                <w:rFonts w:ascii="Times New Roman" w:hAnsi="Times New Roman" w:cs="Times New Roman"/>
                <w:sz w:val="24"/>
                <w:szCs w:val="24"/>
              </w:rPr>
              <w:t xml:space="preserve">; </w:t>
            </w:r>
            <w:r>
              <w:rPr>
                <w:rStyle w:val="Hyperlink"/>
                <w:rFonts w:ascii="Times New Roman" w:hAnsi="Times New Roman"/>
                <w:sz w:val="24"/>
                <w:szCs w:val="24"/>
              </w:rPr>
              <w:t>acardon@ohchr.org</w:t>
            </w:r>
          </w:p>
        </w:tc>
      </w:tr>
    </w:tbl>
    <w:p w:rsidR="00B80BEC" w:rsidRPr="00CE29C0" w:rsidRDefault="00B80BEC" w:rsidP="00AB0274">
      <w:pPr>
        <w:pStyle w:val="Heading1"/>
        <w:tabs>
          <w:tab w:val="left" w:pos="360"/>
        </w:tabs>
        <w:jc w:val="center"/>
        <w:rPr>
          <w:rFonts w:ascii="Times New Roman" w:hAnsi="Times New Roman" w:cs="Times New Roman"/>
          <w:sz w:val="24"/>
          <w:szCs w:val="24"/>
          <w:u w:val="single"/>
        </w:rPr>
      </w:pPr>
      <w:r w:rsidRPr="00CE29C0">
        <w:rPr>
          <w:caps/>
        </w:rPr>
        <w:br w:type="page"/>
      </w:r>
    </w:p>
    <w:p w:rsidR="00B80BEC" w:rsidRPr="00CE29C0" w:rsidRDefault="00B80BEC" w:rsidP="00C416C0">
      <w:pPr>
        <w:pStyle w:val="Heading1"/>
        <w:ind w:left="0"/>
        <w:jc w:val="center"/>
        <w:rPr>
          <w:rFonts w:ascii="Times New Roman" w:hAnsi="Times New Roman" w:cs="Times New Roman"/>
          <w:sz w:val="24"/>
          <w:szCs w:val="24"/>
          <w:u w:val="single"/>
        </w:rPr>
      </w:pPr>
      <w:bookmarkStart w:id="2" w:name="_Toc249364482"/>
      <w:r w:rsidRPr="00154FE7">
        <w:rPr>
          <w:rFonts w:ascii="Times New Roman" w:hAnsi="Times New Roman" w:cs="Times New Roman"/>
          <w:sz w:val="24"/>
          <w:szCs w:val="24"/>
          <w:u w:val="single"/>
        </w:rPr>
        <w:t>NARRATIVE REPORT FORMAT</w:t>
      </w:r>
      <w:bookmarkEnd w:id="2"/>
    </w:p>
    <w:p w:rsidR="00B80BEC" w:rsidRPr="00CE29C0" w:rsidRDefault="00B80BEC" w:rsidP="00AB0274"/>
    <w:p w:rsidR="00B80BEC" w:rsidRPr="00CE29C0" w:rsidRDefault="00B80BEC" w:rsidP="00AB0274"/>
    <w:p w:rsidR="00B80BEC" w:rsidRPr="00CE29C0" w:rsidRDefault="00B80BEC" w:rsidP="0021644A">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3" w:name="_Toc249364483"/>
      <w:r w:rsidRPr="00154FE7">
        <w:rPr>
          <w:rFonts w:ascii="Times New Roman" w:hAnsi="Times New Roman" w:cs="Times New Roman"/>
          <w:sz w:val="24"/>
          <w:szCs w:val="24"/>
        </w:rPr>
        <w:t>Purpose</w:t>
      </w:r>
      <w:bookmarkEnd w:id="3"/>
    </w:p>
    <w:p w:rsidR="00B80BEC" w:rsidRPr="00CE29C0" w:rsidRDefault="00B80BEC" w:rsidP="00A10E44"/>
    <w:p w:rsidR="00B80BEC" w:rsidRPr="00CE29C0" w:rsidRDefault="00B80BEC" w:rsidP="00A10E44">
      <w:pPr>
        <w:pStyle w:val="BodyText"/>
        <w:numPr>
          <w:ilvl w:val="0"/>
          <w:numId w:val="8"/>
        </w:numPr>
        <w:jc w:val="both"/>
        <w:rPr>
          <w:rFonts w:ascii="Times New Roman" w:hAnsi="Times New Roman" w:cs="Times New Roman"/>
          <w:sz w:val="24"/>
          <w:szCs w:val="24"/>
        </w:rPr>
      </w:pPr>
      <w:r w:rsidRPr="00154FE7">
        <w:rPr>
          <w:rFonts w:ascii="Times New Roman" w:hAnsi="Times New Roman" w:cs="Times New Roman"/>
          <w:sz w:val="24"/>
          <w:szCs w:val="24"/>
        </w:rPr>
        <w:t xml:space="preserve">Provide the main outputs and outcomes/objectives of the programme. </w:t>
      </w:r>
    </w:p>
    <w:p w:rsidR="00B80BEC" w:rsidRPr="00CE29C0" w:rsidRDefault="00B80BEC" w:rsidP="009C1CC7">
      <w:pPr>
        <w:pStyle w:val="BodyText"/>
        <w:ind w:firstLine="720"/>
        <w:jc w:val="both"/>
        <w:rPr>
          <w:rFonts w:ascii="Times New Roman" w:hAnsi="Times New Roman" w:cs="Times New Roman"/>
          <w:sz w:val="24"/>
          <w:szCs w:val="24"/>
        </w:rPr>
      </w:pPr>
    </w:p>
    <w:p w:rsidR="00B80BEC" w:rsidRPr="00CE29C0" w:rsidRDefault="00B80BEC" w:rsidP="00FE4C08">
      <w:pPr>
        <w:pStyle w:val="BodyText"/>
        <w:ind w:left="720"/>
        <w:rPr>
          <w:rFonts w:ascii="Times New Roman" w:hAnsi="Times New Roman" w:cs="Times New Roman"/>
          <w:sz w:val="24"/>
          <w:szCs w:val="24"/>
        </w:rPr>
      </w:pPr>
      <w:r w:rsidRPr="00154FE7">
        <w:rPr>
          <w:rFonts w:ascii="Times New Roman" w:hAnsi="Times New Roman" w:cs="Times New Roman"/>
          <w:sz w:val="24"/>
          <w:szCs w:val="24"/>
        </w:rPr>
        <w:t xml:space="preserve">With support from the United Nations Peace Building Fund through the UN Peace Fund for </w:t>
      </w:r>
      <w:smartTag w:uri="urn:schemas-microsoft-com:office:smarttags" w:element="country-region">
        <w:r w:rsidRPr="00154FE7">
          <w:rPr>
            <w:rFonts w:ascii="Times New Roman" w:hAnsi="Times New Roman" w:cs="Times New Roman"/>
            <w:sz w:val="24"/>
            <w:szCs w:val="24"/>
          </w:rPr>
          <w:t>Nepal</w:t>
        </w:r>
      </w:smartTag>
      <w:r w:rsidRPr="00154FE7">
        <w:rPr>
          <w:rFonts w:ascii="Times New Roman" w:hAnsi="Times New Roman" w:cs="Times New Roman"/>
          <w:sz w:val="24"/>
          <w:szCs w:val="24"/>
        </w:rPr>
        <w:t xml:space="preserve">, the project “Fairness and Efficiency in Reparations to Conflict Affected Persons” was launched in May 2010 with the overall peace building impact of strengthening the peace process by establishing effective and transparent mechanisms to provide reparations to the victims of the armed conflict. </w:t>
      </w:r>
    </w:p>
    <w:p w:rsidR="00B80BEC" w:rsidRPr="00CE29C0" w:rsidRDefault="00B80BEC" w:rsidP="00FE4C08">
      <w:pPr>
        <w:pStyle w:val="BodyText"/>
        <w:ind w:left="720"/>
        <w:rPr>
          <w:rFonts w:ascii="Times New Roman" w:hAnsi="Times New Roman" w:cs="Times New Roman"/>
          <w:sz w:val="24"/>
          <w:szCs w:val="24"/>
        </w:rPr>
      </w:pPr>
    </w:p>
    <w:p w:rsidR="00B80BEC" w:rsidRPr="00CE29C0" w:rsidRDefault="00B80BEC" w:rsidP="00FE4C08">
      <w:pPr>
        <w:pStyle w:val="BodyText"/>
        <w:ind w:left="720"/>
        <w:rPr>
          <w:rFonts w:ascii="Times New Roman" w:hAnsi="Times New Roman" w:cs="Times New Roman"/>
          <w:sz w:val="24"/>
          <w:szCs w:val="24"/>
        </w:rPr>
      </w:pPr>
      <w:r w:rsidRPr="00154FE7">
        <w:rPr>
          <w:rFonts w:ascii="Times New Roman" w:hAnsi="Times New Roman" w:cs="Times New Roman"/>
          <w:sz w:val="24"/>
          <w:szCs w:val="24"/>
        </w:rPr>
        <w:t xml:space="preserve">The project will deliver </w:t>
      </w:r>
      <w:r>
        <w:rPr>
          <w:rFonts w:ascii="Times New Roman" w:hAnsi="Times New Roman" w:cs="Times New Roman"/>
          <w:sz w:val="24"/>
          <w:szCs w:val="24"/>
        </w:rPr>
        <w:t>one</w:t>
      </w:r>
      <w:r w:rsidRPr="00CE29C0">
        <w:rPr>
          <w:rFonts w:ascii="Times New Roman" w:hAnsi="Times New Roman" w:cs="Times New Roman"/>
          <w:sz w:val="24"/>
          <w:szCs w:val="24"/>
        </w:rPr>
        <w:t xml:space="preserve"> major outcome detailed below:</w:t>
      </w:r>
    </w:p>
    <w:p w:rsidR="00B80BEC" w:rsidRDefault="00B80BEC">
      <w:pPr>
        <w:pStyle w:val="BodyText"/>
        <w:numPr>
          <w:ilvl w:val="0"/>
          <w:numId w:val="23"/>
        </w:numPr>
        <w:jc w:val="both"/>
        <w:rPr>
          <w:rFonts w:ascii="Times New Roman" w:hAnsi="Times New Roman" w:cs="Times New Roman"/>
          <w:sz w:val="24"/>
          <w:szCs w:val="24"/>
        </w:rPr>
      </w:pPr>
      <w:r w:rsidRPr="00CE29C0">
        <w:rPr>
          <w:rFonts w:ascii="Times New Roman" w:hAnsi="Times New Roman" w:cs="Times New Roman"/>
          <w:sz w:val="24"/>
          <w:szCs w:val="24"/>
        </w:rPr>
        <w:t xml:space="preserve">Government of </w:t>
      </w:r>
      <w:smartTag w:uri="urn:schemas-microsoft-com:office:smarttags" w:element="country-region">
        <w:r w:rsidRPr="00CE29C0">
          <w:rPr>
            <w:rFonts w:ascii="Times New Roman" w:hAnsi="Times New Roman" w:cs="Times New Roman"/>
            <w:sz w:val="24"/>
            <w:szCs w:val="24"/>
          </w:rPr>
          <w:t>Nepal</w:t>
        </w:r>
      </w:smartTag>
      <w:r w:rsidRPr="00CE29C0">
        <w:rPr>
          <w:rFonts w:ascii="Times New Roman" w:hAnsi="Times New Roman" w:cs="Times New Roman"/>
          <w:sz w:val="24"/>
          <w:szCs w:val="24"/>
        </w:rPr>
        <w:t xml:space="preserve"> has effective and transparent structures and procedures in place to implement reparations program. </w:t>
      </w:r>
    </w:p>
    <w:p w:rsidR="00B80BEC" w:rsidRPr="00CE29C0" w:rsidRDefault="00B80BEC" w:rsidP="001177BE">
      <w:pPr>
        <w:pStyle w:val="BodyText"/>
        <w:ind w:left="720"/>
        <w:jc w:val="both"/>
        <w:rPr>
          <w:rFonts w:ascii="Times New Roman" w:hAnsi="Times New Roman" w:cs="Times New Roman"/>
          <w:sz w:val="24"/>
          <w:szCs w:val="24"/>
        </w:rPr>
      </w:pPr>
    </w:p>
    <w:p w:rsidR="00B80BEC" w:rsidRPr="00CE29C0" w:rsidRDefault="00B80BEC" w:rsidP="001177BE">
      <w:pPr>
        <w:pStyle w:val="BodyText"/>
        <w:ind w:left="720"/>
        <w:jc w:val="both"/>
        <w:rPr>
          <w:rFonts w:ascii="Times New Roman" w:hAnsi="Times New Roman" w:cs="Times New Roman"/>
          <w:sz w:val="24"/>
          <w:szCs w:val="24"/>
        </w:rPr>
      </w:pPr>
      <w:r w:rsidRPr="00CE29C0">
        <w:rPr>
          <w:rFonts w:ascii="Times New Roman" w:hAnsi="Times New Roman" w:cs="Times New Roman"/>
          <w:sz w:val="24"/>
          <w:szCs w:val="24"/>
        </w:rPr>
        <w:t>In order to achieve the</w:t>
      </w:r>
      <w:r w:rsidRPr="00154FE7">
        <w:rPr>
          <w:rFonts w:ascii="Times New Roman" w:hAnsi="Times New Roman" w:cs="Times New Roman"/>
          <w:sz w:val="24"/>
          <w:szCs w:val="24"/>
        </w:rPr>
        <w:t xml:space="preserve">se objectives the following outputs were developed in the project document: </w:t>
      </w:r>
    </w:p>
    <w:p w:rsidR="00B80BEC" w:rsidRPr="00F0385E" w:rsidRDefault="00B80BEC" w:rsidP="001177BE">
      <w:pPr>
        <w:pStyle w:val="BodyText"/>
        <w:numPr>
          <w:ilvl w:val="0"/>
          <w:numId w:val="28"/>
        </w:numPr>
        <w:jc w:val="both"/>
        <w:rPr>
          <w:rFonts w:ascii="Times New Roman" w:hAnsi="Times New Roman" w:cs="Times New Roman"/>
          <w:sz w:val="32"/>
          <w:szCs w:val="32"/>
        </w:rPr>
      </w:pPr>
      <w:r w:rsidRPr="00154FE7">
        <w:rPr>
          <w:rFonts w:ascii="Times New Roman" w:hAnsi="Times New Roman" w:cs="Times New Roman"/>
          <w:spacing w:val="-3"/>
          <w:sz w:val="24"/>
          <w:szCs w:val="24"/>
        </w:rPr>
        <w:t>Comprehensive Policy on Reparation prepared</w:t>
      </w:r>
      <w:r>
        <w:rPr>
          <w:rFonts w:ascii="Times New Roman" w:hAnsi="Times New Roman" w:cs="Times New Roman"/>
          <w:spacing w:val="-3"/>
          <w:sz w:val="24"/>
          <w:szCs w:val="24"/>
        </w:rPr>
        <w:t xml:space="preserve">. </w:t>
      </w:r>
      <w:r w:rsidRPr="00154FE7">
        <w:rPr>
          <w:rFonts w:ascii="Times New Roman" w:hAnsi="Times New Roman" w:cs="Times New Roman"/>
          <w:sz w:val="32"/>
          <w:szCs w:val="32"/>
        </w:rPr>
        <w:t xml:space="preserve"> </w:t>
      </w:r>
    </w:p>
    <w:p w:rsidR="00B80BEC" w:rsidRPr="00CE29C0" w:rsidRDefault="00B80BEC" w:rsidP="001177BE">
      <w:pPr>
        <w:pStyle w:val="BodyText"/>
        <w:numPr>
          <w:ilvl w:val="0"/>
          <w:numId w:val="28"/>
        </w:numPr>
        <w:jc w:val="both"/>
        <w:rPr>
          <w:rFonts w:ascii="Times New Roman" w:hAnsi="Times New Roman" w:cs="Times New Roman"/>
          <w:sz w:val="24"/>
          <w:szCs w:val="24"/>
        </w:rPr>
      </w:pPr>
      <w:r w:rsidRPr="00CE29C0">
        <w:rPr>
          <w:rFonts w:ascii="Times New Roman" w:hAnsi="Times New Roman" w:cs="Times New Roman"/>
          <w:sz w:val="24"/>
          <w:szCs w:val="24"/>
        </w:rPr>
        <w:t xml:space="preserve">The capacity of the Relief and Rehabilitation Unit (RRU) </w:t>
      </w:r>
      <w:r>
        <w:rPr>
          <w:rFonts w:ascii="Times New Roman" w:hAnsi="Times New Roman" w:cs="Times New Roman"/>
          <w:sz w:val="24"/>
          <w:szCs w:val="24"/>
        </w:rPr>
        <w:t xml:space="preserve">of the Ministry of Peace and Reconstruction </w:t>
      </w:r>
      <w:r w:rsidRPr="00CE29C0">
        <w:rPr>
          <w:rFonts w:ascii="Times New Roman" w:hAnsi="Times New Roman" w:cs="Times New Roman"/>
          <w:sz w:val="24"/>
          <w:szCs w:val="24"/>
        </w:rPr>
        <w:t xml:space="preserve">and three selected District Administration Offices (DAO) are enhanced to support </w:t>
      </w:r>
      <w:r w:rsidRPr="00154FE7">
        <w:rPr>
          <w:rFonts w:ascii="Times New Roman" w:hAnsi="Times New Roman" w:cs="Times New Roman"/>
          <w:sz w:val="24"/>
          <w:szCs w:val="24"/>
        </w:rPr>
        <w:t xml:space="preserve">a reparations program. </w:t>
      </w:r>
    </w:p>
    <w:p w:rsidR="00B80BEC" w:rsidRPr="00CE29C0" w:rsidRDefault="00B80BEC" w:rsidP="001177BE">
      <w:pPr>
        <w:pStyle w:val="BodyText"/>
        <w:numPr>
          <w:ilvl w:val="0"/>
          <w:numId w:val="28"/>
        </w:numPr>
        <w:jc w:val="both"/>
        <w:rPr>
          <w:rFonts w:ascii="Times New Roman" w:hAnsi="Times New Roman" w:cs="Times New Roman"/>
          <w:sz w:val="24"/>
          <w:szCs w:val="24"/>
        </w:rPr>
      </w:pPr>
      <w:r w:rsidRPr="00154FE7">
        <w:rPr>
          <w:rFonts w:ascii="Times New Roman" w:hAnsi="Times New Roman" w:cs="Times New Roman"/>
          <w:sz w:val="24"/>
          <w:szCs w:val="24"/>
        </w:rPr>
        <w:t xml:space="preserve">Processes, guidelines SOPs, forms, procedures for various reparations benefits are prepared and tested. </w:t>
      </w:r>
    </w:p>
    <w:p w:rsidR="00B80BEC" w:rsidRPr="00CE29C0" w:rsidRDefault="00B80BEC" w:rsidP="0067626E">
      <w:pPr>
        <w:pStyle w:val="BodyText"/>
        <w:ind w:left="720"/>
        <w:jc w:val="both"/>
        <w:rPr>
          <w:rFonts w:ascii="Times New Roman" w:hAnsi="Times New Roman" w:cs="Times New Roman"/>
          <w:sz w:val="24"/>
          <w:szCs w:val="24"/>
        </w:rPr>
      </w:pPr>
    </w:p>
    <w:p w:rsidR="00B80BEC" w:rsidRPr="00CE29C0" w:rsidRDefault="00B80BEC" w:rsidP="00A10E44">
      <w:pPr>
        <w:pStyle w:val="BodyText"/>
        <w:numPr>
          <w:ilvl w:val="0"/>
          <w:numId w:val="8"/>
        </w:numPr>
        <w:jc w:val="both"/>
        <w:rPr>
          <w:rFonts w:ascii="Times New Roman" w:hAnsi="Times New Roman" w:cs="Times New Roman"/>
          <w:sz w:val="24"/>
          <w:szCs w:val="24"/>
        </w:rPr>
      </w:pPr>
      <w:r w:rsidRPr="00154FE7">
        <w:rPr>
          <w:rFonts w:ascii="Times New Roman" w:hAnsi="Times New Roman" w:cs="Times New Roman"/>
          <w:sz w:val="24"/>
          <w:szCs w:val="24"/>
        </w:rPr>
        <w:t>Explain how the Programme relates to the Strategic (UN) Planning Framework guiding the operations of the Fund/JP.</w:t>
      </w:r>
    </w:p>
    <w:p w:rsidR="00B80BEC" w:rsidRPr="00CE29C0" w:rsidRDefault="00B80BEC" w:rsidP="004B5BBF">
      <w:pPr>
        <w:pStyle w:val="BodyText"/>
        <w:ind w:left="720"/>
        <w:jc w:val="both"/>
        <w:rPr>
          <w:rFonts w:ascii="Times New Roman" w:hAnsi="Times New Roman" w:cs="Times New Roman"/>
          <w:sz w:val="24"/>
          <w:szCs w:val="24"/>
        </w:rPr>
      </w:pPr>
    </w:p>
    <w:p w:rsidR="00B80BEC" w:rsidRDefault="00B80BEC" w:rsidP="00154FE7">
      <w:pPr>
        <w:ind w:left="720"/>
        <w:jc w:val="both"/>
        <w:rPr>
          <w:spacing w:val="-2"/>
        </w:rPr>
      </w:pPr>
      <w:r w:rsidRPr="00154FE7">
        <w:rPr>
          <w:lang w:val="en-GB"/>
        </w:rPr>
        <w:t>The project belongs to UNPFN Priority area of “Rights and Reconciliation” and aims to support the PBF Priority Area 1 of “Strengthening State Capacity for Sustaining Peace”. The specific</w:t>
      </w:r>
      <w:r>
        <w:rPr>
          <w:lang w:val="en-GB"/>
        </w:rPr>
        <w:t xml:space="preserve"> planned</w:t>
      </w:r>
      <w:r w:rsidRPr="00154FE7">
        <w:rPr>
          <w:lang w:val="en-GB"/>
        </w:rPr>
        <w:t xml:space="preserve"> peace building </w:t>
      </w:r>
      <w:r>
        <w:rPr>
          <w:lang w:val="en-GB"/>
        </w:rPr>
        <w:t>impact</w:t>
      </w:r>
      <w:r w:rsidRPr="00154FE7">
        <w:rPr>
          <w:lang w:val="en-GB"/>
        </w:rPr>
        <w:t xml:space="preserve"> of the project is to “strengthen the </w:t>
      </w:r>
      <w:r w:rsidRPr="00154FE7">
        <w:rPr>
          <w:spacing w:val="-2"/>
        </w:rPr>
        <w:t>peace process by establishing effective and transparent mechanisms to provide reparations to the victims of the armed conflict”</w:t>
      </w:r>
      <w:r>
        <w:rPr>
          <w:spacing w:val="-2"/>
        </w:rPr>
        <w:t xml:space="preserve">. </w:t>
      </w:r>
    </w:p>
    <w:p w:rsidR="00B80BEC" w:rsidRPr="00CE29C0" w:rsidRDefault="00B80BEC" w:rsidP="00D077D8">
      <w:pPr>
        <w:ind w:left="720"/>
        <w:rPr>
          <w:spacing w:val="-2"/>
        </w:rPr>
      </w:pPr>
    </w:p>
    <w:p w:rsidR="00B80BEC" w:rsidRPr="00061096" w:rsidRDefault="00B80BEC" w:rsidP="00D077D8">
      <w:pPr>
        <w:tabs>
          <w:tab w:val="left" w:pos="4500"/>
        </w:tabs>
        <w:autoSpaceDE w:val="0"/>
        <w:autoSpaceDN w:val="0"/>
        <w:adjustRightInd w:val="0"/>
        <w:ind w:left="720"/>
        <w:jc w:val="both"/>
        <w:rPr>
          <w:color w:val="000000"/>
        </w:rPr>
      </w:pPr>
      <w:r w:rsidRPr="00154FE7">
        <w:rPr>
          <w:lang w:val="en-GB"/>
        </w:rPr>
        <w:t>Transitional Justice is a key element of the Interim Constitution of Nepal and the Comprehensive Peace Agreement</w:t>
      </w:r>
      <w:r>
        <w:rPr>
          <w:lang w:val="en-GB"/>
        </w:rPr>
        <w:t xml:space="preserve"> (CPA)</w:t>
      </w:r>
      <w:r w:rsidRPr="00154FE7">
        <w:rPr>
          <w:lang w:val="en-GB"/>
        </w:rPr>
        <w:t xml:space="preserve">. Both these documents commit the Government to providing effective remedies and compensation to victims of the conflict. The reparation programs - if integrated as a part of the comprehensive transitional justice mechanisms - will provide evidence to beneficiaries that the institutions of the State take their well-being seriously, enhancing the credibility of those institutions for the future. The project, which aims at providing technical assistance to the Government of Nepal to develop a comprehensive reparation policy, establishing a fair and transparent process and mechanisms, and strengthening the capacity of the government and civil society counterparts in implementing future reparation programs, will help strengthen the peace process. </w:t>
      </w:r>
      <w:r w:rsidRPr="00154FE7">
        <w:rPr>
          <w:color w:val="000000"/>
        </w:rPr>
        <w:t>The success of the project will demonstrate that the government is committed to acknowledging and addressing the sufferings of conflict victims</w:t>
      </w:r>
      <w:r w:rsidRPr="00154FE7">
        <w:t>- including the most vulnerable ones such as women-</w:t>
      </w:r>
      <w:r w:rsidRPr="00154FE7">
        <w:rPr>
          <w:color w:val="000000"/>
        </w:rPr>
        <w:t xml:space="preserve"> by establishing effective and transparent policies and mechanism to deal with reparation issues.</w:t>
      </w:r>
    </w:p>
    <w:p w:rsidR="00B80BEC" w:rsidRPr="00CE29C0" w:rsidRDefault="00B80BEC" w:rsidP="00D077D8">
      <w:pPr>
        <w:tabs>
          <w:tab w:val="left" w:pos="4500"/>
        </w:tabs>
        <w:autoSpaceDE w:val="0"/>
        <w:autoSpaceDN w:val="0"/>
        <w:adjustRightInd w:val="0"/>
        <w:ind w:left="720"/>
        <w:jc w:val="both"/>
        <w:rPr>
          <w:lang w:val="en-GB"/>
        </w:rPr>
      </w:pPr>
    </w:p>
    <w:p w:rsidR="00B80BEC" w:rsidRPr="00CE29C0" w:rsidRDefault="00B80BEC" w:rsidP="0021644A">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4" w:name="_Toc249364484"/>
      <w:r w:rsidRPr="00CE29C0">
        <w:rPr>
          <w:rFonts w:ascii="Times New Roman" w:hAnsi="Times New Roman" w:cs="Times New Roman"/>
          <w:sz w:val="24"/>
          <w:szCs w:val="24"/>
        </w:rPr>
        <w:t>Resources</w:t>
      </w:r>
      <w:bookmarkEnd w:id="4"/>
      <w:r w:rsidRPr="00CE29C0">
        <w:rPr>
          <w:rFonts w:ascii="Times New Roman" w:hAnsi="Times New Roman" w:cs="Times New Roman"/>
          <w:sz w:val="24"/>
          <w:szCs w:val="24"/>
        </w:rPr>
        <w:t xml:space="preserve"> </w:t>
      </w:r>
    </w:p>
    <w:p w:rsidR="00B80BEC" w:rsidRPr="00CE29C0" w:rsidRDefault="00B80BEC" w:rsidP="00AB0274">
      <w:pPr>
        <w:pStyle w:val="BodyText"/>
        <w:ind w:left="360"/>
        <w:rPr>
          <w:rFonts w:ascii="Times New Roman" w:hAnsi="Times New Roman" w:cs="Times New Roman"/>
          <w:i/>
          <w:iCs/>
          <w:sz w:val="24"/>
          <w:szCs w:val="24"/>
        </w:rPr>
      </w:pPr>
      <w:r w:rsidRPr="00CE29C0">
        <w:rPr>
          <w:rFonts w:ascii="Times New Roman" w:hAnsi="Times New Roman" w:cs="Times New Roman"/>
          <w:i/>
          <w:iCs/>
          <w:sz w:val="24"/>
          <w:szCs w:val="24"/>
        </w:rPr>
        <w:t>Financial Resources:</w:t>
      </w:r>
    </w:p>
    <w:p w:rsidR="00B80BEC" w:rsidRPr="00CE29C0" w:rsidRDefault="00B80BEC" w:rsidP="00AB0274">
      <w:pPr>
        <w:pStyle w:val="BodyText"/>
        <w:numPr>
          <w:ilvl w:val="0"/>
          <w:numId w:val="4"/>
        </w:numPr>
        <w:jc w:val="both"/>
        <w:rPr>
          <w:rFonts w:ascii="Times New Roman" w:hAnsi="Times New Roman" w:cs="Times New Roman"/>
          <w:sz w:val="24"/>
          <w:szCs w:val="24"/>
        </w:rPr>
      </w:pPr>
      <w:r w:rsidRPr="00CE29C0">
        <w:rPr>
          <w:rFonts w:ascii="Times New Roman" w:hAnsi="Times New Roman" w:cs="Times New Roman"/>
          <w:sz w:val="24"/>
          <w:szCs w:val="24"/>
        </w:rPr>
        <w:lastRenderedPageBreak/>
        <w:t xml:space="preserve">Provide information on other funding resources available to the project, if applicable </w:t>
      </w:r>
    </w:p>
    <w:p w:rsidR="00B80BEC" w:rsidRDefault="00B80BEC" w:rsidP="009278C6">
      <w:pPr>
        <w:pStyle w:val="BodyText"/>
        <w:ind w:left="360"/>
        <w:jc w:val="both"/>
        <w:rPr>
          <w:rFonts w:ascii="Times New Roman" w:hAnsi="Times New Roman" w:cs="Times New Roman"/>
          <w:sz w:val="24"/>
          <w:szCs w:val="24"/>
        </w:rPr>
      </w:pPr>
      <w:r w:rsidRPr="00154FE7">
        <w:rPr>
          <w:rFonts w:ascii="Times New Roman" w:hAnsi="Times New Roman" w:cs="Times New Roman"/>
          <w:sz w:val="24"/>
          <w:szCs w:val="24"/>
        </w:rPr>
        <w:t>None for IOM</w:t>
      </w:r>
      <w:r>
        <w:rPr>
          <w:rFonts w:ascii="Times New Roman" w:hAnsi="Times New Roman" w:cs="Times New Roman"/>
          <w:sz w:val="24"/>
          <w:szCs w:val="24"/>
        </w:rPr>
        <w:t>; none for OHCHR aside from piggybacking other OHCHR activities in the field to maximize cost efficiency.</w:t>
      </w:r>
    </w:p>
    <w:p w:rsidR="00B80BEC" w:rsidRDefault="00B80BEC" w:rsidP="009278C6">
      <w:pPr>
        <w:pStyle w:val="BodyText"/>
        <w:ind w:left="360"/>
        <w:jc w:val="both"/>
        <w:rPr>
          <w:rFonts w:ascii="Times New Roman" w:hAnsi="Times New Roman" w:cs="Times New Roman"/>
          <w:sz w:val="24"/>
          <w:szCs w:val="24"/>
        </w:rPr>
      </w:pPr>
    </w:p>
    <w:p w:rsidR="00B80BEC" w:rsidRPr="00CE29C0" w:rsidRDefault="00B80BEC" w:rsidP="009278C6">
      <w:pPr>
        <w:pStyle w:val="BodyText"/>
        <w:ind w:left="360"/>
        <w:jc w:val="both"/>
        <w:rPr>
          <w:rFonts w:ascii="Times New Roman" w:hAnsi="Times New Roman" w:cs="Times New Roman"/>
          <w:sz w:val="24"/>
          <w:szCs w:val="24"/>
        </w:rPr>
      </w:pPr>
    </w:p>
    <w:p w:rsidR="00B80BEC" w:rsidRPr="00CE29C0" w:rsidRDefault="00B80BEC" w:rsidP="00AB0274">
      <w:pPr>
        <w:pStyle w:val="BodyText"/>
        <w:numPr>
          <w:ilvl w:val="0"/>
          <w:numId w:val="4"/>
        </w:numPr>
        <w:jc w:val="both"/>
        <w:rPr>
          <w:rFonts w:ascii="Times New Roman" w:hAnsi="Times New Roman" w:cs="Times New Roman"/>
          <w:sz w:val="24"/>
          <w:szCs w:val="24"/>
        </w:rPr>
      </w:pPr>
      <w:r w:rsidRPr="00CE29C0">
        <w:rPr>
          <w:rFonts w:ascii="Times New Roman" w:hAnsi="Times New Roman" w:cs="Times New Roman"/>
          <w:sz w:val="24"/>
          <w:szCs w:val="24"/>
        </w:rPr>
        <w:t>Provide details on any budget revisions approved by the appropriate decision-making body, if applicable.</w:t>
      </w:r>
    </w:p>
    <w:p w:rsidR="00B80BEC" w:rsidRDefault="00B80BEC" w:rsidP="009278C6">
      <w:pPr>
        <w:pStyle w:val="BodyText"/>
        <w:ind w:left="360"/>
        <w:jc w:val="both"/>
        <w:rPr>
          <w:rFonts w:ascii="Times New Roman" w:hAnsi="Times New Roman" w:cs="Times New Roman"/>
          <w:sz w:val="24"/>
          <w:szCs w:val="24"/>
        </w:rPr>
      </w:pPr>
      <w:r w:rsidRPr="00CE29C0">
        <w:rPr>
          <w:rFonts w:ascii="Times New Roman" w:hAnsi="Times New Roman" w:cs="Times New Roman"/>
          <w:sz w:val="24"/>
          <w:szCs w:val="24"/>
        </w:rPr>
        <w:t>None as yet</w:t>
      </w:r>
      <w:r>
        <w:rPr>
          <w:rFonts w:ascii="Times New Roman" w:hAnsi="Times New Roman" w:cs="Times New Roman"/>
          <w:sz w:val="24"/>
          <w:szCs w:val="24"/>
        </w:rPr>
        <w:t>, though a no cost extension with budget revision is envisaged.</w:t>
      </w:r>
    </w:p>
    <w:p w:rsidR="00B80BEC" w:rsidRPr="00CE29C0" w:rsidRDefault="00B80BEC" w:rsidP="009278C6">
      <w:pPr>
        <w:pStyle w:val="BodyText"/>
        <w:ind w:left="360"/>
        <w:jc w:val="both"/>
        <w:rPr>
          <w:rFonts w:ascii="Times New Roman" w:hAnsi="Times New Roman" w:cs="Times New Roman"/>
          <w:sz w:val="24"/>
          <w:szCs w:val="24"/>
        </w:rPr>
      </w:pPr>
    </w:p>
    <w:p w:rsidR="00B80BEC" w:rsidRPr="00CE29C0" w:rsidRDefault="00B80BEC" w:rsidP="00AB0274">
      <w:pPr>
        <w:pStyle w:val="BodyText"/>
        <w:numPr>
          <w:ilvl w:val="0"/>
          <w:numId w:val="4"/>
        </w:numPr>
        <w:jc w:val="both"/>
        <w:rPr>
          <w:rFonts w:ascii="Times New Roman" w:hAnsi="Times New Roman" w:cs="Times New Roman"/>
          <w:sz w:val="24"/>
          <w:szCs w:val="24"/>
        </w:rPr>
      </w:pPr>
      <w:r w:rsidRPr="00CE29C0">
        <w:rPr>
          <w:rFonts w:ascii="Times New Roman" w:hAnsi="Times New Roman" w:cs="Times New Roman"/>
          <w:sz w:val="24"/>
          <w:szCs w:val="24"/>
        </w:rPr>
        <w:t xml:space="preserve">Provide information on good practices and constraints in the mechanics of the financial process, times to get transfers, identification of potential bottlenecks, need for better coordination, etc. </w:t>
      </w:r>
    </w:p>
    <w:p w:rsidR="00B80BEC" w:rsidRDefault="00B80BEC" w:rsidP="00AB0274">
      <w:pPr>
        <w:pStyle w:val="BodyText"/>
        <w:ind w:left="360"/>
        <w:rPr>
          <w:rFonts w:ascii="Times New Roman" w:hAnsi="Times New Roman" w:cs="Times New Roman"/>
          <w:sz w:val="24"/>
          <w:szCs w:val="24"/>
        </w:rPr>
      </w:pPr>
      <w:r>
        <w:rPr>
          <w:rFonts w:ascii="Times New Roman" w:hAnsi="Times New Roman" w:cs="Times New Roman"/>
          <w:sz w:val="24"/>
          <w:szCs w:val="24"/>
        </w:rPr>
        <w:t xml:space="preserve">While waiting for the </w:t>
      </w:r>
      <w:r w:rsidRPr="00CE29C0">
        <w:rPr>
          <w:rFonts w:ascii="Times New Roman" w:hAnsi="Times New Roman" w:cs="Times New Roman"/>
          <w:sz w:val="24"/>
          <w:szCs w:val="24"/>
        </w:rPr>
        <w:t xml:space="preserve">IOM international project manager </w:t>
      </w:r>
      <w:r>
        <w:rPr>
          <w:rFonts w:ascii="Times New Roman" w:hAnsi="Times New Roman" w:cs="Times New Roman"/>
          <w:sz w:val="24"/>
          <w:szCs w:val="24"/>
        </w:rPr>
        <w:t xml:space="preserve">to be recruited, </w:t>
      </w:r>
      <w:r w:rsidRPr="00CE29C0">
        <w:rPr>
          <w:rFonts w:ascii="Times New Roman" w:hAnsi="Times New Roman" w:cs="Times New Roman"/>
          <w:sz w:val="24"/>
          <w:szCs w:val="24"/>
        </w:rPr>
        <w:t>a team from IOM Headquarters Reparations Unit was fielded for 2 weeks to commence the project and orient national staff.</w:t>
      </w:r>
    </w:p>
    <w:p w:rsidR="00B80BEC" w:rsidRDefault="00B80BEC" w:rsidP="00AB0274">
      <w:pPr>
        <w:pStyle w:val="BodyText"/>
        <w:ind w:left="360"/>
        <w:rPr>
          <w:rFonts w:ascii="Times New Roman" w:hAnsi="Times New Roman" w:cs="Times New Roman"/>
          <w:sz w:val="24"/>
          <w:szCs w:val="24"/>
        </w:rPr>
      </w:pPr>
    </w:p>
    <w:p w:rsidR="00B80BEC" w:rsidRPr="00CE29C0" w:rsidRDefault="00B80BEC" w:rsidP="008E156B">
      <w:pPr>
        <w:pStyle w:val="BodyText"/>
        <w:ind w:left="360"/>
        <w:jc w:val="both"/>
        <w:rPr>
          <w:rFonts w:ascii="Times New Roman" w:hAnsi="Times New Roman" w:cs="Times New Roman"/>
          <w:sz w:val="24"/>
          <w:szCs w:val="24"/>
        </w:rPr>
      </w:pPr>
      <w:r>
        <w:rPr>
          <w:rFonts w:ascii="Times New Roman" w:hAnsi="Times New Roman" w:cs="Times New Roman"/>
          <w:sz w:val="24"/>
          <w:szCs w:val="24"/>
        </w:rPr>
        <w:t>Delays in OHCHR’s recruitment of the Reparations Policy Advisor, have meant that the initial, logical sequence of work has been severely disrupted. According to the project document, the first phase of the project was to be the establishment of a policy for reparations, both feasible and in line with international norms and standards, followed by the implementation phases. The latter have necessarily proceeded in the absence of the Reparations Policy Advisor, and a strategic review is envisaged once s/he arrives.</w:t>
      </w:r>
    </w:p>
    <w:p w:rsidR="00B80BEC" w:rsidRPr="00CE29C0" w:rsidRDefault="00B80BEC" w:rsidP="00AB0274">
      <w:pPr>
        <w:pStyle w:val="BodyText"/>
        <w:ind w:left="360"/>
        <w:rPr>
          <w:rFonts w:ascii="Times New Roman" w:hAnsi="Times New Roman" w:cs="Times New Roman"/>
          <w:sz w:val="24"/>
          <w:szCs w:val="24"/>
        </w:rPr>
      </w:pPr>
    </w:p>
    <w:p w:rsidR="00B80BEC" w:rsidRPr="00CE29C0" w:rsidRDefault="00B80BEC" w:rsidP="00AB0274">
      <w:pPr>
        <w:pStyle w:val="BodyText"/>
        <w:ind w:left="360"/>
        <w:rPr>
          <w:rFonts w:ascii="Times New Roman" w:hAnsi="Times New Roman" w:cs="Times New Roman"/>
          <w:i/>
          <w:iCs/>
          <w:sz w:val="24"/>
          <w:szCs w:val="24"/>
        </w:rPr>
      </w:pPr>
      <w:r w:rsidRPr="00CE29C0">
        <w:rPr>
          <w:rFonts w:ascii="Times New Roman" w:hAnsi="Times New Roman" w:cs="Times New Roman"/>
          <w:i/>
          <w:iCs/>
          <w:sz w:val="24"/>
          <w:szCs w:val="24"/>
        </w:rPr>
        <w:t>Human Resources:</w:t>
      </w:r>
    </w:p>
    <w:p w:rsidR="00B80BEC" w:rsidRPr="00CE29C0" w:rsidRDefault="00B80BEC" w:rsidP="001727C0">
      <w:pPr>
        <w:pStyle w:val="BodyText"/>
        <w:numPr>
          <w:ilvl w:val="0"/>
          <w:numId w:val="18"/>
        </w:numPr>
        <w:jc w:val="both"/>
        <w:rPr>
          <w:rFonts w:ascii="Times New Roman" w:hAnsi="Times New Roman" w:cs="Times New Roman"/>
          <w:sz w:val="24"/>
          <w:szCs w:val="24"/>
        </w:rPr>
      </w:pPr>
      <w:r w:rsidRPr="00CE29C0">
        <w:rPr>
          <w:rFonts w:ascii="Times New Roman" w:hAnsi="Times New Roman" w:cs="Times New Roman"/>
          <w:sz w:val="24"/>
          <w:szCs w:val="24"/>
        </w:rPr>
        <w:t>National Staff: Provide details on the number and type (operation/programme).</w:t>
      </w:r>
    </w:p>
    <w:p w:rsidR="00B80BEC" w:rsidRPr="00CE29C0" w:rsidRDefault="00B80BEC" w:rsidP="001727C0">
      <w:pPr>
        <w:pStyle w:val="BodyText"/>
        <w:numPr>
          <w:ilvl w:val="0"/>
          <w:numId w:val="5"/>
        </w:numPr>
        <w:jc w:val="both"/>
        <w:rPr>
          <w:rFonts w:ascii="Times New Roman" w:hAnsi="Times New Roman" w:cs="Times New Roman"/>
          <w:sz w:val="24"/>
          <w:szCs w:val="24"/>
        </w:rPr>
      </w:pPr>
      <w:r w:rsidRPr="00154FE7">
        <w:rPr>
          <w:rFonts w:ascii="Times New Roman" w:hAnsi="Times New Roman" w:cs="Times New Roman"/>
          <w:sz w:val="24"/>
          <w:szCs w:val="24"/>
        </w:rPr>
        <w:t>International Staff: Provide details on the number and type (operation/programme)</w:t>
      </w:r>
    </w:p>
    <w:p w:rsidR="00B80BEC" w:rsidRPr="00CE29C0" w:rsidRDefault="00B80BEC" w:rsidP="00AB0274">
      <w:pPr>
        <w:pStyle w:val="BodyText"/>
        <w:ind w:left="360"/>
        <w:rPr>
          <w:rFonts w:ascii="Times New Roman" w:hAnsi="Times New Roman" w:cs="Times New Roman"/>
          <w:i/>
          <w:iCs/>
          <w:sz w:val="24"/>
          <w:szCs w:val="24"/>
        </w:rPr>
      </w:pPr>
    </w:p>
    <w:p w:rsidR="00B80BEC" w:rsidRPr="00CE29C0" w:rsidRDefault="00B80BEC" w:rsidP="00AB0274">
      <w:pPr>
        <w:pStyle w:val="BodyText"/>
        <w:ind w:left="360"/>
        <w:rPr>
          <w:rFonts w:ascii="Times New Roman" w:hAnsi="Times New Roman" w:cs="Times New Roman"/>
          <w:b/>
          <w:bCs/>
          <w:i/>
          <w:iCs/>
          <w:sz w:val="24"/>
          <w:szCs w:val="24"/>
        </w:rPr>
      </w:pPr>
      <w:r w:rsidRPr="00154FE7">
        <w:rPr>
          <w:rFonts w:ascii="Times New Roman" w:hAnsi="Times New Roman" w:cs="Times New Roman"/>
          <w:b/>
          <w:bCs/>
          <w:i/>
          <w:iCs/>
          <w:sz w:val="24"/>
          <w:szCs w:val="24"/>
        </w:rPr>
        <w:t>IOM</w:t>
      </w:r>
    </w:p>
    <w:p w:rsidR="00B80BEC" w:rsidRPr="00CE29C0" w:rsidRDefault="00B80BEC" w:rsidP="008652FA">
      <w:pPr>
        <w:pStyle w:val="BodyText"/>
        <w:ind w:left="360"/>
        <w:jc w:val="both"/>
        <w:rPr>
          <w:rFonts w:ascii="Times New Roman" w:hAnsi="Times New Roman" w:cs="Times New Roman"/>
          <w:sz w:val="24"/>
          <w:szCs w:val="24"/>
        </w:rPr>
      </w:pPr>
      <w:r w:rsidRPr="00154FE7">
        <w:rPr>
          <w:rFonts w:ascii="Times New Roman" w:hAnsi="Times New Roman" w:cs="Times New Roman"/>
          <w:sz w:val="24"/>
          <w:szCs w:val="24"/>
        </w:rPr>
        <w:t>The Reparations Unit of IOM Kathmandu consists of three staff,</w:t>
      </w:r>
      <w:r>
        <w:rPr>
          <w:rFonts w:ascii="Times New Roman" w:hAnsi="Times New Roman" w:cs="Times New Roman"/>
          <w:sz w:val="24"/>
          <w:szCs w:val="24"/>
        </w:rPr>
        <w:t xml:space="preserve"> </w:t>
      </w:r>
      <w:r w:rsidRPr="00CE29C0">
        <w:rPr>
          <w:rFonts w:ascii="Times New Roman" w:hAnsi="Times New Roman" w:cs="Times New Roman"/>
          <w:sz w:val="24"/>
          <w:szCs w:val="24"/>
        </w:rPr>
        <w:t xml:space="preserve">one international and two nationals: International Reparations Officer, National Reparations Officer and National Reparations Assistant. </w:t>
      </w:r>
    </w:p>
    <w:p w:rsidR="00B80BEC" w:rsidRPr="00CE29C0" w:rsidRDefault="00B80BEC" w:rsidP="008652FA">
      <w:pPr>
        <w:pStyle w:val="BodyText"/>
        <w:ind w:left="360"/>
        <w:jc w:val="both"/>
        <w:rPr>
          <w:rFonts w:ascii="Times New Roman" w:hAnsi="Times New Roman" w:cs="Times New Roman"/>
          <w:sz w:val="24"/>
          <w:szCs w:val="24"/>
        </w:rPr>
      </w:pPr>
    </w:p>
    <w:p w:rsidR="00B80BEC" w:rsidRPr="00CE29C0" w:rsidRDefault="00B80BEC" w:rsidP="008652FA">
      <w:pPr>
        <w:pStyle w:val="BodyText"/>
        <w:ind w:left="360"/>
        <w:jc w:val="both"/>
        <w:rPr>
          <w:rFonts w:ascii="Times New Roman" w:hAnsi="Times New Roman" w:cs="Times New Roman"/>
          <w:sz w:val="24"/>
          <w:szCs w:val="24"/>
        </w:rPr>
      </w:pPr>
      <w:r w:rsidRPr="00CE29C0">
        <w:rPr>
          <w:rFonts w:ascii="Times New Roman" w:hAnsi="Times New Roman" w:cs="Times New Roman"/>
          <w:sz w:val="24"/>
          <w:szCs w:val="24"/>
        </w:rPr>
        <w:t xml:space="preserve">Besides, the project is also drawing on the experience of the Reparations Unit </w:t>
      </w:r>
      <w:r w:rsidRPr="00154FE7">
        <w:rPr>
          <w:rFonts w:ascii="Times New Roman" w:hAnsi="Times New Roman" w:cs="Times New Roman"/>
          <w:sz w:val="24"/>
          <w:szCs w:val="24"/>
        </w:rPr>
        <w:t xml:space="preserve">of IOM Headquarters in </w:t>
      </w:r>
      <w:smartTag w:uri="urn:schemas-microsoft-com:office:smarttags" w:element="country-region">
        <w:r w:rsidRPr="00154FE7">
          <w:rPr>
            <w:rFonts w:ascii="Times New Roman" w:hAnsi="Times New Roman" w:cs="Times New Roman"/>
            <w:sz w:val="24"/>
            <w:szCs w:val="24"/>
          </w:rPr>
          <w:t>Geneva</w:t>
        </w:r>
      </w:smartTag>
      <w:r w:rsidRPr="00154FE7">
        <w:rPr>
          <w:rFonts w:ascii="Times New Roman" w:hAnsi="Times New Roman" w:cs="Times New Roman"/>
          <w:sz w:val="24"/>
          <w:szCs w:val="24"/>
        </w:rPr>
        <w:t xml:space="preserve">. The Reparations Unit of Geneva has years of experience in practical implementation and senior policy advice in some 15 national and international reparations programmes. The team in </w:t>
      </w:r>
      <w:smartTag w:uri="urn:schemas-microsoft-com:office:smarttags" w:element="country-region">
        <w:r w:rsidRPr="00154FE7">
          <w:rPr>
            <w:rFonts w:ascii="Times New Roman" w:hAnsi="Times New Roman" w:cs="Times New Roman"/>
            <w:sz w:val="24"/>
            <w:szCs w:val="24"/>
          </w:rPr>
          <w:t>Geneva</w:t>
        </w:r>
      </w:smartTag>
      <w:r w:rsidRPr="00154FE7">
        <w:rPr>
          <w:rFonts w:ascii="Times New Roman" w:hAnsi="Times New Roman" w:cs="Times New Roman"/>
          <w:sz w:val="24"/>
          <w:szCs w:val="24"/>
        </w:rPr>
        <w:t>, consisting</w:t>
      </w:r>
      <w:r w:rsidRPr="00CE29C0">
        <w:rPr>
          <w:rFonts w:ascii="Times New Roman" w:hAnsi="Times New Roman" w:cs="Times New Roman"/>
          <w:sz w:val="24"/>
          <w:szCs w:val="24"/>
        </w:rPr>
        <w:t xml:space="preserve"> of legal, process, financial and IT experts, is </w:t>
      </w:r>
      <w:r w:rsidRPr="00154FE7">
        <w:rPr>
          <w:rFonts w:ascii="Times New Roman" w:hAnsi="Times New Roman" w:cs="Times New Roman"/>
          <w:sz w:val="24"/>
          <w:szCs w:val="24"/>
        </w:rPr>
        <w:t xml:space="preserve">also providing input for the respective project deliverables with close cooperation with the Reparations Unit in </w:t>
      </w:r>
      <w:smartTag w:uri="urn:schemas-microsoft-com:office:smarttags" w:element="country-region">
        <w:r w:rsidRPr="00154FE7">
          <w:rPr>
            <w:rFonts w:ascii="Times New Roman" w:hAnsi="Times New Roman" w:cs="Times New Roman"/>
            <w:sz w:val="24"/>
            <w:szCs w:val="24"/>
          </w:rPr>
          <w:t>Nepal</w:t>
        </w:r>
      </w:smartTag>
      <w:r w:rsidRPr="00154FE7">
        <w:rPr>
          <w:rFonts w:ascii="Times New Roman" w:hAnsi="Times New Roman" w:cs="Times New Roman"/>
          <w:sz w:val="24"/>
          <w:szCs w:val="24"/>
        </w:rPr>
        <w:t xml:space="preserve">. </w:t>
      </w:r>
    </w:p>
    <w:p w:rsidR="00B80BEC" w:rsidRPr="00CE29C0" w:rsidRDefault="00B80BEC" w:rsidP="003D31D4">
      <w:pPr>
        <w:pStyle w:val="BodyText"/>
        <w:jc w:val="both"/>
        <w:rPr>
          <w:rFonts w:ascii="Times New Roman" w:hAnsi="Times New Roman" w:cs="Times New Roman"/>
          <w:sz w:val="24"/>
          <w:szCs w:val="24"/>
        </w:rPr>
      </w:pPr>
      <w:r w:rsidRPr="005F2694">
        <w:rPr>
          <w:rFonts w:ascii="Times New Roman" w:hAnsi="Times New Roman" w:cs="Times New Roman"/>
          <w:sz w:val="24"/>
          <w:szCs w:val="24"/>
        </w:rPr>
        <w:tab/>
      </w:r>
    </w:p>
    <w:p w:rsidR="00B80BEC" w:rsidRPr="00154FE7" w:rsidRDefault="00B80BEC" w:rsidP="00154FE7">
      <w:pPr>
        <w:pStyle w:val="BodyText"/>
        <w:ind w:left="360"/>
        <w:jc w:val="both"/>
        <w:rPr>
          <w:rFonts w:ascii="Times New Roman" w:hAnsi="Times New Roman" w:cs="Times New Roman"/>
          <w:b/>
          <w:bCs/>
          <w:sz w:val="24"/>
          <w:szCs w:val="24"/>
        </w:rPr>
      </w:pPr>
      <w:r w:rsidRPr="00154FE7">
        <w:rPr>
          <w:rFonts w:ascii="Times New Roman" w:hAnsi="Times New Roman" w:cs="Times New Roman"/>
          <w:b/>
          <w:bCs/>
          <w:sz w:val="24"/>
          <w:szCs w:val="24"/>
        </w:rPr>
        <w:t xml:space="preserve">OHCHR </w:t>
      </w:r>
    </w:p>
    <w:p w:rsidR="00B80BEC" w:rsidRDefault="00B80BEC" w:rsidP="00154FE7">
      <w:pPr>
        <w:pStyle w:val="BodyText"/>
        <w:ind w:left="360"/>
        <w:jc w:val="both"/>
        <w:rPr>
          <w:rFonts w:ascii="Times New Roman" w:hAnsi="Times New Roman" w:cs="Times New Roman"/>
          <w:sz w:val="24"/>
          <w:szCs w:val="24"/>
        </w:rPr>
      </w:pPr>
      <w:r w:rsidRPr="00CE29C0">
        <w:rPr>
          <w:rFonts w:ascii="Times New Roman" w:hAnsi="Times New Roman" w:cs="Times New Roman"/>
          <w:sz w:val="24"/>
          <w:szCs w:val="24"/>
        </w:rPr>
        <w:t xml:space="preserve">The Reparations Team of OHCHR-Nepal consists of three staff: </w:t>
      </w:r>
      <w:r>
        <w:rPr>
          <w:rFonts w:ascii="Times New Roman" w:hAnsi="Times New Roman" w:cs="Times New Roman"/>
          <w:sz w:val="24"/>
          <w:szCs w:val="24"/>
        </w:rPr>
        <w:t>an i</w:t>
      </w:r>
      <w:r w:rsidRPr="00CE29C0">
        <w:rPr>
          <w:rFonts w:ascii="Times New Roman" w:hAnsi="Times New Roman" w:cs="Times New Roman"/>
          <w:sz w:val="24"/>
          <w:szCs w:val="24"/>
        </w:rPr>
        <w:t xml:space="preserve">nternational </w:t>
      </w:r>
      <w:r>
        <w:rPr>
          <w:rFonts w:ascii="Times New Roman" w:hAnsi="Times New Roman" w:cs="Times New Roman"/>
          <w:sz w:val="24"/>
          <w:szCs w:val="24"/>
        </w:rPr>
        <w:t xml:space="preserve">consultant, the </w:t>
      </w:r>
      <w:r w:rsidRPr="00CE29C0">
        <w:rPr>
          <w:rFonts w:ascii="Times New Roman" w:hAnsi="Times New Roman" w:cs="Times New Roman"/>
          <w:sz w:val="24"/>
          <w:szCs w:val="24"/>
        </w:rPr>
        <w:t>Reparations Policy Advisor</w:t>
      </w:r>
      <w:r>
        <w:rPr>
          <w:rFonts w:ascii="Times New Roman" w:hAnsi="Times New Roman" w:cs="Times New Roman"/>
          <w:sz w:val="24"/>
          <w:szCs w:val="24"/>
        </w:rPr>
        <w:t>; a</w:t>
      </w:r>
      <w:r w:rsidRPr="00CE29C0">
        <w:rPr>
          <w:rFonts w:ascii="Times New Roman" w:hAnsi="Times New Roman" w:cs="Times New Roman"/>
          <w:sz w:val="24"/>
          <w:szCs w:val="24"/>
        </w:rPr>
        <w:t xml:space="preserve"> National Reparations Officer</w:t>
      </w:r>
      <w:r>
        <w:rPr>
          <w:rFonts w:ascii="Times New Roman" w:hAnsi="Times New Roman" w:cs="Times New Roman"/>
          <w:sz w:val="24"/>
          <w:szCs w:val="24"/>
        </w:rPr>
        <w:t>;</w:t>
      </w:r>
      <w:r w:rsidRPr="00CE29C0">
        <w:rPr>
          <w:rFonts w:ascii="Times New Roman" w:hAnsi="Times New Roman" w:cs="Times New Roman"/>
          <w:sz w:val="24"/>
          <w:szCs w:val="24"/>
        </w:rPr>
        <w:t xml:space="preserve"> and a driver. </w:t>
      </w:r>
      <w:r>
        <w:rPr>
          <w:rFonts w:ascii="Times New Roman" w:hAnsi="Times New Roman" w:cs="Times New Roman"/>
          <w:sz w:val="24"/>
          <w:szCs w:val="24"/>
        </w:rPr>
        <w:t>T</w:t>
      </w:r>
      <w:r w:rsidRPr="00CE29C0">
        <w:rPr>
          <w:rFonts w:ascii="Times New Roman" w:hAnsi="Times New Roman" w:cs="Times New Roman"/>
          <w:sz w:val="24"/>
          <w:szCs w:val="24"/>
        </w:rPr>
        <w:t>he project also draw</w:t>
      </w:r>
      <w:r>
        <w:rPr>
          <w:rFonts w:ascii="Times New Roman" w:hAnsi="Times New Roman" w:cs="Times New Roman"/>
          <w:sz w:val="24"/>
          <w:szCs w:val="24"/>
        </w:rPr>
        <w:t>s</w:t>
      </w:r>
      <w:r w:rsidRPr="00CE29C0">
        <w:rPr>
          <w:rFonts w:ascii="Times New Roman" w:hAnsi="Times New Roman" w:cs="Times New Roman"/>
          <w:sz w:val="24"/>
          <w:szCs w:val="24"/>
        </w:rPr>
        <w:t xml:space="preserve"> on the experience of the Accountability Impunity and Rule of Law (AIR) and </w:t>
      </w:r>
      <w:r>
        <w:rPr>
          <w:rFonts w:ascii="Times New Roman" w:hAnsi="Times New Roman" w:cs="Times New Roman"/>
          <w:sz w:val="24"/>
          <w:szCs w:val="24"/>
        </w:rPr>
        <w:t>l</w:t>
      </w:r>
      <w:r w:rsidRPr="00CE29C0">
        <w:rPr>
          <w:rFonts w:ascii="Times New Roman" w:hAnsi="Times New Roman" w:cs="Times New Roman"/>
          <w:sz w:val="24"/>
          <w:szCs w:val="24"/>
        </w:rPr>
        <w:t xml:space="preserve">egal teams of the Office. The AIR team has been working </w:t>
      </w:r>
      <w:r>
        <w:rPr>
          <w:rFonts w:ascii="Times New Roman" w:hAnsi="Times New Roman" w:cs="Times New Roman"/>
          <w:sz w:val="24"/>
          <w:szCs w:val="24"/>
        </w:rPr>
        <w:t xml:space="preserve">for several years </w:t>
      </w:r>
      <w:r w:rsidRPr="00CE29C0">
        <w:rPr>
          <w:rFonts w:ascii="Times New Roman" w:hAnsi="Times New Roman" w:cs="Times New Roman"/>
          <w:sz w:val="24"/>
          <w:szCs w:val="24"/>
        </w:rPr>
        <w:t xml:space="preserve">on transitional justice issues </w:t>
      </w:r>
      <w:r>
        <w:rPr>
          <w:rFonts w:ascii="Times New Roman" w:hAnsi="Times New Roman" w:cs="Times New Roman"/>
          <w:sz w:val="24"/>
          <w:szCs w:val="24"/>
        </w:rPr>
        <w:t xml:space="preserve">generally, </w:t>
      </w:r>
      <w:r w:rsidRPr="00CE29C0">
        <w:rPr>
          <w:rFonts w:ascii="Times New Roman" w:hAnsi="Times New Roman" w:cs="Times New Roman"/>
          <w:sz w:val="24"/>
          <w:szCs w:val="24"/>
        </w:rPr>
        <w:t>including advocacy on T</w:t>
      </w:r>
      <w:r>
        <w:rPr>
          <w:rFonts w:ascii="Times New Roman" w:hAnsi="Times New Roman" w:cs="Times New Roman"/>
          <w:sz w:val="24"/>
          <w:szCs w:val="24"/>
        </w:rPr>
        <w:t xml:space="preserve">ruth and </w:t>
      </w:r>
      <w:r w:rsidRPr="00CE29C0">
        <w:rPr>
          <w:rFonts w:ascii="Times New Roman" w:hAnsi="Times New Roman" w:cs="Times New Roman"/>
          <w:sz w:val="24"/>
          <w:szCs w:val="24"/>
        </w:rPr>
        <w:t>R</w:t>
      </w:r>
      <w:r>
        <w:rPr>
          <w:rFonts w:ascii="Times New Roman" w:hAnsi="Times New Roman" w:cs="Times New Roman"/>
          <w:sz w:val="24"/>
          <w:szCs w:val="24"/>
        </w:rPr>
        <w:t xml:space="preserve">econciliation </w:t>
      </w:r>
      <w:r w:rsidRPr="00CE29C0">
        <w:rPr>
          <w:rFonts w:ascii="Times New Roman" w:hAnsi="Times New Roman" w:cs="Times New Roman"/>
          <w:sz w:val="24"/>
          <w:szCs w:val="24"/>
        </w:rPr>
        <w:t>C</w:t>
      </w:r>
      <w:r>
        <w:rPr>
          <w:rFonts w:ascii="Times New Roman" w:hAnsi="Times New Roman" w:cs="Times New Roman"/>
          <w:sz w:val="24"/>
          <w:szCs w:val="24"/>
        </w:rPr>
        <w:t>ommission (TRC)</w:t>
      </w:r>
      <w:r w:rsidRPr="00CE29C0">
        <w:rPr>
          <w:rFonts w:ascii="Times New Roman" w:hAnsi="Times New Roman" w:cs="Times New Roman"/>
          <w:sz w:val="24"/>
          <w:szCs w:val="24"/>
        </w:rPr>
        <w:t xml:space="preserve"> and </w:t>
      </w:r>
      <w:r>
        <w:rPr>
          <w:rFonts w:ascii="Times New Roman" w:hAnsi="Times New Roman" w:cs="Times New Roman"/>
          <w:sz w:val="24"/>
          <w:szCs w:val="24"/>
        </w:rPr>
        <w:t>Disappearances b</w:t>
      </w:r>
      <w:r w:rsidRPr="00CE29C0">
        <w:rPr>
          <w:rFonts w:ascii="Times New Roman" w:hAnsi="Times New Roman" w:cs="Times New Roman"/>
          <w:sz w:val="24"/>
          <w:szCs w:val="24"/>
        </w:rPr>
        <w:t>ills</w:t>
      </w:r>
      <w:r>
        <w:rPr>
          <w:rFonts w:ascii="Times New Roman" w:hAnsi="Times New Roman" w:cs="Times New Roman"/>
          <w:sz w:val="24"/>
          <w:szCs w:val="24"/>
        </w:rPr>
        <w:t xml:space="preserve">. The Reparations Team also works in close cooperation with OHCHR’s </w:t>
      </w:r>
      <w:r w:rsidRPr="00CE29C0">
        <w:rPr>
          <w:rFonts w:ascii="Times New Roman" w:hAnsi="Times New Roman" w:cs="Times New Roman"/>
          <w:sz w:val="24"/>
          <w:szCs w:val="24"/>
        </w:rPr>
        <w:t>Peace through Justice</w:t>
      </w:r>
      <w:r>
        <w:rPr>
          <w:rFonts w:ascii="Times New Roman" w:hAnsi="Times New Roman" w:cs="Times New Roman"/>
          <w:sz w:val="24"/>
          <w:szCs w:val="24"/>
        </w:rPr>
        <w:t xml:space="preserve"> </w:t>
      </w:r>
      <w:r w:rsidRPr="00CE29C0">
        <w:rPr>
          <w:rFonts w:ascii="Times New Roman" w:hAnsi="Times New Roman" w:cs="Times New Roman"/>
          <w:sz w:val="24"/>
          <w:szCs w:val="24"/>
        </w:rPr>
        <w:t>Team</w:t>
      </w:r>
      <w:r>
        <w:rPr>
          <w:rFonts w:ascii="Times New Roman" w:hAnsi="Times New Roman" w:cs="Times New Roman"/>
          <w:sz w:val="24"/>
          <w:szCs w:val="24"/>
        </w:rPr>
        <w:t>, which work on a complementary UNPFN project (coded UNPFN/E-2 and PBF/NPL/B-3)</w:t>
      </w:r>
      <w:r w:rsidRPr="00CE29C0">
        <w:rPr>
          <w:rFonts w:ascii="Times New Roman" w:hAnsi="Times New Roman" w:cs="Times New Roman"/>
          <w:sz w:val="24"/>
          <w:szCs w:val="24"/>
        </w:rPr>
        <w:t xml:space="preserve"> are working closely with </w:t>
      </w:r>
      <w:r>
        <w:rPr>
          <w:rFonts w:ascii="Times New Roman" w:hAnsi="Times New Roman" w:cs="Times New Roman"/>
          <w:sz w:val="24"/>
          <w:szCs w:val="24"/>
        </w:rPr>
        <w:t xml:space="preserve">MoPR </w:t>
      </w:r>
      <w:r w:rsidRPr="00CE29C0">
        <w:rPr>
          <w:rFonts w:ascii="Times New Roman" w:hAnsi="Times New Roman" w:cs="Times New Roman"/>
          <w:sz w:val="24"/>
          <w:szCs w:val="24"/>
        </w:rPr>
        <w:t xml:space="preserve">and CSOs on TJ advocacy. </w:t>
      </w:r>
    </w:p>
    <w:p w:rsidR="00B80BEC" w:rsidRPr="00CE29C0" w:rsidRDefault="00B80BEC" w:rsidP="003D31D4">
      <w:pPr>
        <w:pStyle w:val="BodyText"/>
        <w:jc w:val="both"/>
        <w:rPr>
          <w:rFonts w:ascii="Times New Roman" w:hAnsi="Times New Roman" w:cs="Times New Roman"/>
          <w:sz w:val="24"/>
          <w:szCs w:val="24"/>
        </w:rPr>
      </w:pPr>
    </w:p>
    <w:p w:rsidR="00B80BEC" w:rsidRPr="00CE29C0" w:rsidRDefault="00B80BEC" w:rsidP="0021644A">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5" w:name="_Toc249364485"/>
      <w:r w:rsidRPr="00CE29C0">
        <w:rPr>
          <w:rFonts w:ascii="Times New Roman" w:hAnsi="Times New Roman" w:cs="Times New Roman"/>
          <w:sz w:val="24"/>
          <w:szCs w:val="24"/>
        </w:rPr>
        <w:t>Implementation and Monitoring Arrangements</w:t>
      </w:r>
      <w:bookmarkEnd w:id="5"/>
    </w:p>
    <w:p w:rsidR="00B80BEC" w:rsidRPr="00CE29C0" w:rsidRDefault="00B80BEC" w:rsidP="00AB0274">
      <w:pPr>
        <w:pStyle w:val="BodyText"/>
        <w:numPr>
          <w:ilvl w:val="0"/>
          <w:numId w:val="6"/>
        </w:numPr>
        <w:jc w:val="both"/>
        <w:rPr>
          <w:rFonts w:ascii="Times New Roman" w:hAnsi="Times New Roman" w:cs="Times New Roman"/>
          <w:sz w:val="24"/>
          <w:szCs w:val="24"/>
        </w:rPr>
      </w:pPr>
      <w:r w:rsidRPr="00CE29C0">
        <w:rPr>
          <w:rFonts w:ascii="Times New Roman" w:hAnsi="Times New Roman" w:cs="Times New Roman"/>
          <w:sz w:val="24"/>
          <w:szCs w:val="24"/>
        </w:rPr>
        <w:t xml:space="preserve">Summarize the implementation mechanisms primarily utilized and how they are adapted to achieve maximum impact given the operating context. </w:t>
      </w:r>
    </w:p>
    <w:p w:rsidR="00B80BEC" w:rsidRPr="00CE29C0" w:rsidRDefault="00B80BEC" w:rsidP="007E5D54">
      <w:pPr>
        <w:pStyle w:val="BodyText"/>
        <w:ind w:left="720"/>
        <w:jc w:val="both"/>
        <w:rPr>
          <w:rFonts w:ascii="Times New Roman" w:hAnsi="Times New Roman" w:cs="Times New Roman"/>
          <w:sz w:val="24"/>
          <w:szCs w:val="24"/>
        </w:rPr>
      </w:pPr>
    </w:p>
    <w:p w:rsidR="00B80BEC" w:rsidRPr="00CE29C0" w:rsidRDefault="00B80BEC" w:rsidP="007E5D54">
      <w:pPr>
        <w:pStyle w:val="BodyText"/>
        <w:ind w:left="720"/>
        <w:jc w:val="both"/>
        <w:rPr>
          <w:rFonts w:ascii="Times New Roman" w:hAnsi="Times New Roman" w:cs="Times New Roman"/>
          <w:sz w:val="24"/>
          <w:szCs w:val="24"/>
        </w:rPr>
      </w:pPr>
      <w:r w:rsidRPr="00154FE7">
        <w:rPr>
          <w:rFonts w:ascii="Times New Roman" w:hAnsi="Times New Roman" w:cs="Times New Roman"/>
          <w:sz w:val="24"/>
          <w:szCs w:val="24"/>
        </w:rPr>
        <w:lastRenderedPageBreak/>
        <w:t>A work plan was developed and shared with key project stakeholders through the Project Management Committee. This is regularly updated to check project progress against benchmarks. Similarly, donor quarterly reports which include narrative and financial progress also contribute to monitoring project progress. The Project Management Committee, engaging the senior leadership of the M</w:t>
      </w:r>
      <w:r>
        <w:rPr>
          <w:rFonts w:ascii="Times New Roman" w:hAnsi="Times New Roman" w:cs="Times New Roman"/>
          <w:sz w:val="24"/>
          <w:szCs w:val="24"/>
        </w:rPr>
        <w:t xml:space="preserve">inistry </w:t>
      </w:r>
      <w:r w:rsidRPr="00154FE7">
        <w:rPr>
          <w:rFonts w:ascii="Times New Roman" w:hAnsi="Times New Roman" w:cs="Times New Roman"/>
          <w:sz w:val="24"/>
          <w:szCs w:val="24"/>
        </w:rPr>
        <w:t>o</w:t>
      </w:r>
      <w:r>
        <w:rPr>
          <w:rFonts w:ascii="Times New Roman" w:hAnsi="Times New Roman" w:cs="Times New Roman"/>
          <w:sz w:val="24"/>
          <w:szCs w:val="24"/>
        </w:rPr>
        <w:t xml:space="preserve">f </w:t>
      </w:r>
      <w:r w:rsidRPr="00154FE7">
        <w:rPr>
          <w:rFonts w:ascii="Times New Roman" w:hAnsi="Times New Roman" w:cs="Times New Roman"/>
          <w:sz w:val="24"/>
          <w:szCs w:val="24"/>
        </w:rPr>
        <w:t>P</w:t>
      </w:r>
      <w:r>
        <w:rPr>
          <w:rFonts w:ascii="Times New Roman" w:hAnsi="Times New Roman" w:cs="Times New Roman"/>
          <w:sz w:val="24"/>
          <w:szCs w:val="24"/>
        </w:rPr>
        <w:t xml:space="preserve">eace and </w:t>
      </w:r>
      <w:r w:rsidRPr="00154FE7">
        <w:rPr>
          <w:rFonts w:ascii="Times New Roman" w:hAnsi="Times New Roman" w:cs="Times New Roman"/>
          <w:sz w:val="24"/>
          <w:szCs w:val="24"/>
        </w:rPr>
        <w:t>R</w:t>
      </w:r>
      <w:r>
        <w:rPr>
          <w:rFonts w:ascii="Times New Roman" w:hAnsi="Times New Roman" w:cs="Times New Roman"/>
          <w:sz w:val="24"/>
          <w:szCs w:val="24"/>
        </w:rPr>
        <w:t>econstruction (MoPR)</w:t>
      </w:r>
      <w:r w:rsidRPr="00154FE7">
        <w:rPr>
          <w:rFonts w:ascii="Times New Roman" w:hAnsi="Times New Roman" w:cs="Times New Roman"/>
          <w:sz w:val="24"/>
          <w:szCs w:val="24"/>
        </w:rPr>
        <w:t xml:space="preserve">, IOM and OHCHR was established in </w:t>
      </w:r>
      <w:r>
        <w:rPr>
          <w:rFonts w:ascii="Times New Roman" w:hAnsi="Times New Roman" w:cs="Times New Roman"/>
          <w:sz w:val="24"/>
          <w:szCs w:val="24"/>
        </w:rPr>
        <w:t>July 2010</w:t>
      </w:r>
      <w:r w:rsidRPr="00154FE7">
        <w:rPr>
          <w:rFonts w:ascii="Times New Roman" w:hAnsi="Times New Roman" w:cs="Times New Roman"/>
          <w:sz w:val="24"/>
          <w:szCs w:val="24"/>
        </w:rPr>
        <w:t xml:space="preserve"> and </w:t>
      </w:r>
      <w:r>
        <w:rPr>
          <w:rFonts w:ascii="Times New Roman" w:hAnsi="Times New Roman" w:cs="Times New Roman"/>
          <w:sz w:val="24"/>
          <w:szCs w:val="24"/>
        </w:rPr>
        <w:t>has met on several occasions</w:t>
      </w:r>
      <w:r w:rsidRPr="00154FE7">
        <w:rPr>
          <w:rFonts w:ascii="Times New Roman" w:hAnsi="Times New Roman" w:cs="Times New Roman"/>
          <w:sz w:val="24"/>
          <w:szCs w:val="24"/>
        </w:rPr>
        <w:t xml:space="preserve"> to monitor progress and assist in taking key decisions. As the project is principally a technical assistance project to the Go</w:t>
      </w:r>
      <w:r>
        <w:rPr>
          <w:rFonts w:ascii="Times New Roman" w:hAnsi="Times New Roman" w:cs="Times New Roman"/>
          <w:sz w:val="24"/>
          <w:szCs w:val="24"/>
        </w:rPr>
        <w:t xml:space="preserve">vernment of </w:t>
      </w:r>
      <w:r w:rsidRPr="00154FE7">
        <w:rPr>
          <w:rFonts w:ascii="Times New Roman" w:hAnsi="Times New Roman" w:cs="Times New Roman"/>
          <w:sz w:val="24"/>
          <w:szCs w:val="24"/>
        </w:rPr>
        <w:t>N</w:t>
      </w:r>
      <w:r>
        <w:rPr>
          <w:rFonts w:ascii="Times New Roman" w:hAnsi="Times New Roman" w:cs="Times New Roman"/>
          <w:sz w:val="24"/>
          <w:szCs w:val="24"/>
        </w:rPr>
        <w:t>epal (GoN)</w:t>
      </w:r>
      <w:r w:rsidRPr="00154FE7">
        <w:rPr>
          <w:rFonts w:ascii="Times New Roman" w:hAnsi="Times New Roman" w:cs="Times New Roman"/>
          <w:sz w:val="24"/>
          <w:szCs w:val="24"/>
        </w:rPr>
        <w:t>, it is essential there is ample consultation and endorsement from the MoPR at all stages of the project.</w:t>
      </w:r>
    </w:p>
    <w:p w:rsidR="00B80BEC" w:rsidRPr="00CE29C0" w:rsidRDefault="00B80BEC" w:rsidP="007E5D54">
      <w:pPr>
        <w:pStyle w:val="BodyText"/>
        <w:ind w:left="720"/>
        <w:jc w:val="both"/>
        <w:rPr>
          <w:rFonts w:ascii="Times New Roman" w:hAnsi="Times New Roman" w:cs="Times New Roman"/>
          <w:sz w:val="24"/>
          <w:szCs w:val="24"/>
        </w:rPr>
      </w:pPr>
    </w:p>
    <w:p w:rsidR="00B80BEC" w:rsidRPr="00CE29C0" w:rsidRDefault="00B80BEC" w:rsidP="007E5D54">
      <w:pPr>
        <w:pStyle w:val="BodyText"/>
        <w:ind w:left="720"/>
        <w:jc w:val="both"/>
        <w:rPr>
          <w:rFonts w:ascii="Times New Roman" w:hAnsi="Times New Roman" w:cs="Times New Roman"/>
          <w:sz w:val="24"/>
          <w:szCs w:val="24"/>
        </w:rPr>
      </w:pPr>
      <w:r w:rsidRPr="00154FE7">
        <w:rPr>
          <w:rFonts w:ascii="Times New Roman" w:hAnsi="Times New Roman" w:cs="Times New Roman"/>
          <w:sz w:val="24"/>
          <w:szCs w:val="24"/>
        </w:rPr>
        <w:t>Maintaining flexibility has been a key priority in the implementation mechanisms to date. The project was designed with the assumption that a Truth and Reconciliation Commission (TRC) would be formed and that a reparations programme would be developed from that process. In the absence of a TRC and limited political space for discussion on reparations, IOM has worked closely with MoPR in taking stock of the current interim relief mechanism to assess its merits and challenges. The launch of the pilot skills and employment training programme to conflict victims</w:t>
      </w:r>
      <w:r>
        <w:rPr>
          <w:rFonts w:ascii="Times New Roman" w:hAnsi="Times New Roman" w:cs="Times New Roman"/>
          <w:sz w:val="24"/>
          <w:szCs w:val="24"/>
        </w:rPr>
        <w:t>,</w:t>
      </w:r>
      <w:r w:rsidRPr="00154FE7">
        <w:rPr>
          <w:rFonts w:ascii="Times New Roman" w:hAnsi="Times New Roman" w:cs="Times New Roman"/>
          <w:sz w:val="24"/>
          <w:szCs w:val="24"/>
        </w:rPr>
        <w:t xml:space="preserve"> funded through the World Bank </w:t>
      </w:r>
      <w:r>
        <w:rPr>
          <w:rFonts w:ascii="Times New Roman" w:hAnsi="Times New Roman" w:cs="Times New Roman"/>
          <w:sz w:val="24"/>
          <w:szCs w:val="24"/>
        </w:rPr>
        <w:t xml:space="preserve">as part of the Emergency Peace Support Project, </w:t>
      </w:r>
      <w:r w:rsidRPr="00154FE7">
        <w:rPr>
          <w:rFonts w:ascii="Times New Roman" w:hAnsi="Times New Roman" w:cs="Times New Roman"/>
          <w:sz w:val="24"/>
          <w:szCs w:val="24"/>
        </w:rPr>
        <w:t>was an opportunity for the project to have concrete impact on the assistance to victims</w:t>
      </w:r>
      <w:r>
        <w:rPr>
          <w:rFonts w:ascii="Times New Roman" w:hAnsi="Times New Roman" w:cs="Times New Roman"/>
          <w:sz w:val="24"/>
          <w:szCs w:val="24"/>
        </w:rPr>
        <w:t xml:space="preserve">. In addition to providing recommendations for the improvement of identified gaps of interim relief and rehabilitation program, this was an opportunity </w:t>
      </w:r>
      <w:r w:rsidRPr="00154FE7">
        <w:rPr>
          <w:rFonts w:ascii="Times New Roman" w:hAnsi="Times New Roman" w:cs="Times New Roman"/>
          <w:sz w:val="24"/>
          <w:szCs w:val="24"/>
        </w:rPr>
        <w:t xml:space="preserve">for the project to work with GoN officials in enhancing the </w:t>
      </w:r>
      <w:r>
        <w:rPr>
          <w:rFonts w:ascii="Times New Roman" w:hAnsi="Times New Roman" w:cs="Times New Roman"/>
          <w:sz w:val="24"/>
          <w:szCs w:val="24"/>
        </w:rPr>
        <w:t xml:space="preserve">implementation of the </w:t>
      </w:r>
      <w:r w:rsidRPr="00154FE7">
        <w:rPr>
          <w:rFonts w:ascii="Times New Roman" w:hAnsi="Times New Roman" w:cs="Times New Roman"/>
          <w:sz w:val="24"/>
          <w:szCs w:val="24"/>
        </w:rPr>
        <w:t>programme to ensure active victim engagement and transparent and effi</w:t>
      </w:r>
      <w:r>
        <w:rPr>
          <w:rFonts w:ascii="Times New Roman" w:hAnsi="Times New Roman" w:cs="Times New Roman"/>
          <w:sz w:val="24"/>
          <w:szCs w:val="24"/>
        </w:rPr>
        <w:t>cient implementation modalities. H</w:t>
      </w:r>
      <w:r w:rsidRPr="00154FE7">
        <w:rPr>
          <w:rFonts w:ascii="Times New Roman" w:hAnsi="Times New Roman" w:cs="Times New Roman"/>
          <w:sz w:val="24"/>
          <w:szCs w:val="24"/>
        </w:rPr>
        <w:t>owever delays in implementation as well as inconsistent and limited access from the MoPR and the World Bank have restricted the impact of the proposed concrete interventions.</w:t>
      </w:r>
    </w:p>
    <w:p w:rsidR="00B80BEC" w:rsidRPr="00CE29C0" w:rsidRDefault="00B80BEC" w:rsidP="00F32B5B">
      <w:pPr>
        <w:pStyle w:val="BodyText"/>
        <w:ind w:left="720"/>
        <w:jc w:val="both"/>
        <w:rPr>
          <w:rFonts w:ascii="Times New Roman" w:hAnsi="Times New Roman" w:cs="Times New Roman"/>
          <w:i/>
          <w:iCs/>
          <w:sz w:val="24"/>
          <w:szCs w:val="24"/>
        </w:rPr>
      </w:pPr>
    </w:p>
    <w:p w:rsidR="00B80BEC" w:rsidRPr="00CE29C0" w:rsidRDefault="00B80BEC" w:rsidP="00AB0274">
      <w:pPr>
        <w:pStyle w:val="BodyText"/>
        <w:numPr>
          <w:ilvl w:val="0"/>
          <w:numId w:val="6"/>
        </w:numPr>
        <w:jc w:val="both"/>
        <w:rPr>
          <w:rFonts w:ascii="Times New Roman" w:hAnsi="Times New Roman" w:cs="Times New Roman"/>
          <w:sz w:val="24"/>
          <w:szCs w:val="24"/>
        </w:rPr>
      </w:pPr>
      <w:r w:rsidRPr="00154FE7">
        <w:rPr>
          <w:rFonts w:ascii="Times New Roman" w:hAnsi="Times New Roman" w:cs="Times New Roman"/>
          <w:sz w:val="24"/>
          <w:szCs w:val="24"/>
        </w:rPr>
        <w:t xml:space="preserve">Provide details on the procurement procedures utilized and explain variances in standard procedures. </w:t>
      </w:r>
    </w:p>
    <w:p w:rsidR="00B80BEC" w:rsidRPr="00CE29C0" w:rsidRDefault="00B80BEC" w:rsidP="005F39EC">
      <w:pPr>
        <w:pStyle w:val="BodyText"/>
        <w:ind w:left="360"/>
        <w:jc w:val="both"/>
        <w:rPr>
          <w:rFonts w:ascii="Times New Roman" w:hAnsi="Times New Roman" w:cs="Times New Roman"/>
          <w:sz w:val="24"/>
          <w:szCs w:val="24"/>
        </w:rPr>
      </w:pPr>
    </w:p>
    <w:p w:rsidR="00B80BEC" w:rsidRDefault="00B80BEC" w:rsidP="007E5D54">
      <w:pPr>
        <w:pStyle w:val="BodyText"/>
        <w:ind w:left="720"/>
        <w:jc w:val="both"/>
        <w:rPr>
          <w:rFonts w:ascii="Times New Roman" w:hAnsi="Times New Roman" w:cs="Times New Roman"/>
          <w:sz w:val="24"/>
          <w:szCs w:val="24"/>
        </w:rPr>
      </w:pPr>
      <w:r w:rsidRPr="00154FE7">
        <w:rPr>
          <w:rFonts w:ascii="Times New Roman" w:hAnsi="Times New Roman" w:cs="Times New Roman"/>
          <w:sz w:val="24"/>
          <w:szCs w:val="24"/>
        </w:rPr>
        <w:t>In line with all IOM activities, the project is subject to IOM Rules and Regulations, accounting practices and auditing arrangements. All procurement is conducted in line with IOM procedures with no variance to date.</w:t>
      </w:r>
      <w:r w:rsidRPr="0082426F">
        <w:rPr>
          <w:rFonts w:ascii="Times New Roman" w:hAnsi="Times New Roman" w:cs="Times New Roman"/>
          <w:sz w:val="24"/>
          <w:szCs w:val="24"/>
        </w:rPr>
        <w:t xml:space="preserve"> Likewise, all procurement has been subject to standard OHCHR procurement policies and procedures.</w:t>
      </w:r>
      <w:r>
        <w:rPr>
          <w:rFonts w:ascii="Times New Roman" w:hAnsi="Times New Roman" w:cs="Times New Roman"/>
          <w:sz w:val="24"/>
          <w:szCs w:val="24"/>
        </w:rPr>
        <w:t xml:space="preserve"> To date, no contradictions or tensions have been evident in the respective procurement policies and procedures of the two organizations. </w:t>
      </w:r>
    </w:p>
    <w:p w:rsidR="00B80BEC" w:rsidRPr="0082426F" w:rsidRDefault="00B80BEC" w:rsidP="007E5D54">
      <w:pPr>
        <w:pStyle w:val="BodyText"/>
        <w:ind w:left="720"/>
        <w:jc w:val="both"/>
        <w:rPr>
          <w:rFonts w:ascii="Times New Roman" w:hAnsi="Times New Roman" w:cs="Times New Roman"/>
          <w:sz w:val="24"/>
          <w:szCs w:val="24"/>
        </w:rPr>
      </w:pPr>
    </w:p>
    <w:p w:rsidR="00B80BEC" w:rsidRPr="00CE29C0" w:rsidRDefault="00B80BEC" w:rsidP="00AB0274">
      <w:pPr>
        <w:pStyle w:val="BodyText"/>
        <w:numPr>
          <w:ilvl w:val="0"/>
          <w:numId w:val="6"/>
        </w:numPr>
        <w:jc w:val="both"/>
        <w:rPr>
          <w:rFonts w:ascii="Times New Roman" w:hAnsi="Times New Roman" w:cs="Times New Roman"/>
          <w:sz w:val="24"/>
          <w:szCs w:val="24"/>
        </w:rPr>
      </w:pPr>
      <w:r w:rsidRPr="00CE29C0">
        <w:rPr>
          <w:rFonts w:ascii="Times New Roman" w:hAnsi="Times New Roman" w:cs="Times New Roman"/>
          <w:sz w:val="24"/>
          <w:szCs w:val="24"/>
        </w:rPr>
        <w:t xml:space="preserve">Provide details on the monitoring system(s) that are being used and how you identify and incorporate lessons learned into the ongoing project. </w:t>
      </w:r>
    </w:p>
    <w:p w:rsidR="00B80BEC" w:rsidRPr="00CE29C0" w:rsidRDefault="00B80BEC" w:rsidP="00424C51">
      <w:pPr>
        <w:pStyle w:val="BodyText"/>
        <w:ind w:left="720"/>
        <w:jc w:val="both"/>
        <w:rPr>
          <w:rFonts w:ascii="Times New Roman" w:hAnsi="Times New Roman" w:cs="Times New Roman"/>
          <w:sz w:val="24"/>
          <w:szCs w:val="24"/>
        </w:rPr>
      </w:pPr>
    </w:p>
    <w:p w:rsidR="00B80BEC" w:rsidRPr="00CE29C0" w:rsidRDefault="00B80BEC" w:rsidP="00424C51">
      <w:pPr>
        <w:pStyle w:val="BodyText"/>
        <w:ind w:left="720"/>
        <w:jc w:val="both"/>
        <w:rPr>
          <w:rFonts w:ascii="Times New Roman" w:hAnsi="Times New Roman" w:cs="Times New Roman"/>
          <w:sz w:val="24"/>
          <w:szCs w:val="24"/>
        </w:rPr>
      </w:pPr>
      <w:r w:rsidRPr="00154FE7">
        <w:rPr>
          <w:rFonts w:ascii="Times New Roman" w:hAnsi="Times New Roman" w:cs="Times New Roman"/>
          <w:sz w:val="24"/>
          <w:szCs w:val="24"/>
        </w:rPr>
        <w:t xml:space="preserve">The project is monitored at various levels. A project-level Monitoring and Evaluation Framework based on the indicators of the project document was developed in the first few months of the project and progress and variance is recorded and reported on in the quarterly reports. The IOM Resource Manager monitors expenditures against the budget and prepares monthly financial reports which include details of expenditure, amounts committed and remaining amounts for each month. Regular visits from the Reparations Unit from IOM Headquarters substantially contribute to internal monitoring and evaluation. In addition as per the project document, a final evaluation of the project will be conducted towards completion of the project i.e. July 2011. </w:t>
      </w:r>
    </w:p>
    <w:p w:rsidR="00B80BEC" w:rsidRPr="00CE29C0" w:rsidRDefault="00B80BEC" w:rsidP="00424C51">
      <w:pPr>
        <w:pStyle w:val="BodyText"/>
        <w:ind w:left="720"/>
        <w:jc w:val="both"/>
        <w:rPr>
          <w:rFonts w:ascii="Times New Roman" w:hAnsi="Times New Roman" w:cs="Times New Roman"/>
          <w:sz w:val="24"/>
          <w:szCs w:val="24"/>
        </w:rPr>
      </w:pPr>
    </w:p>
    <w:p w:rsidR="00B80BEC" w:rsidRPr="00CE29C0" w:rsidRDefault="00B80BEC" w:rsidP="00424C51">
      <w:pPr>
        <w:pStyle w:val="BodyText"/>
        <w:ind w:left="720"/>
        <w:jc w:val="both"/>
        <w:rPr>
          <w:rFonts w:ascii="Times New Roman" w:hAnsi="Times New Roman" w:cs="Times New Roman"/>
          <w:sz w:val="24"/>
          <w:szCs w:val="24"/>
        </w:rPr>
      </w:pPr>
      <w:r>
        <w:rPr>
          <w:rFonts w:ascii="Times New Roman" w:hAnsi="Times New Roman" w:cs="Times New Roman"/>
          <w:sz w:val="24"/>
          <w:szCs w:val="24"/>
        </w:rPr>
        <w:t xml:space="preserve">As indicated above, the project component to be led by OHCHR has been hampered by delays in the recruitment of the Reparations Policy Advisor. The chief lesson to be learned through this is to allow headquarters a much wider timeframe for recruitment. </w:t>
      </w:r>
    </w:p>
    <w:p w:rsidR="00B80BEC" w:rsidRDefault="00B80BEC" w:rsidP="00424C51">
      <w:pPr>
        <w:pStyle w:val="BodyText"/>
        <w:ind w:left="720"/>
        <w:jc w:val="both"/>
        <w:rPr>
          <w:rFonts w:ascii="Times New Roman" w:hAnsi="Times New Roman" w:cs="Times New Roman"/>
          <w:sz w:val="24"/>
          <w:szCs w:val="24"/>
          <w:highlight w:val="yellow"/>
        </w:rPr>
      </w:pPr>
    </w:p>
    <w:p w:rsidR="00B80BEC" w:rsidRPr="00CE29C0" w:rsidRDefault="00B80BEC" w:rsidP="00424C51">
      <w:pPr>
        <w:pStyle w:val="BodyText"/>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Quarterly reports were regularly submitted to the UNPFN, according to the planned outputs and indicators agreed between IOM, OHCHR-Nepal and UNPFN. </w:t>
      </w:r>
    </w:p>
    <w:p w:rsidR="00B80BEC" w:rsidRPr="00CE29C0" w:rsidRDefault="00B80BEC" w:rsidP="00424C51">
      <w:pPr>
        <w:pStyle w:val="BodyText"/>
        <w:ind w:left="720"/>
        <w:jc w:val="both"/>
        <w:rPr>
          <w:rFonts w:ascii="Times New Roman" w:hAnsi="Times New Roman" w:cs="Times New Roman"/>
          <w:sz w:val="24"/>
          <w:szCs w:val="24"/>
        </w:rPr>
      </w:pPr>
    </w:p>
    <w:p w:rsidR="00B80BEC" w:rsidRPr="00CE29C0" w:rsidRDefault="00B80BEC" w:rsidP="00AB0274">
      <w:pPr>
        <w:pStyle w:val="BodyText"/>
        <w:numPr>
          <w:ilvl w:val="0"/>
          <w:numId w:val="6"/>
        </w:numPr>
        <w:jc w:val="both"/>
        <w:rPr>
          <w:rFonts w:ascii="Times New Roman" w:hAnsi="Times New Roman" w:cs="Times New Roman"/>
          <w:sz w:val="24"/>
          <w:szCs w:val="24"/>
        </w:rPr>
      </w:pPr>
      <w:r w:rsidRPr="00CE29C0">
        <w:rPr>
          <w:rFonts w:ascii="Times New Roman" w:hAnsi="Times New Roman" w:cs="Times New Roman"/>
          <w:sz w:val="24"/>
          <w:szCs w:val="24"/>
        </w:rPr>
        <w:t>Report on any assessments, evaluations or studies undertaken.</w:t>
      </w:r>
    </w:p>
    <w:p w:rsidR="00B80BEC" w:rsidRPr="00CE29C0" w:rsidRDefault="00B80BEC" w:rsidP="000B53FE">
      <w:pPr>
        <w:pStyle w:val="BodyText"/>
        <w:ind w:firstLine="720"/>
        <w:rPr>
          <w:rFonts w:ascii="Times New Roman" w:hAnsi="Times New Roman" w:cs="Times New Roman"/>
          <w:sz w:val="24"/>
          <w:szCs w:val="24"/>
        </w:rPr>
      </w:pPr>
    </w:p>
    <w:p w:rsidR="00B80BEC" w:rsidRPr="00CE29C0" w:rsidRDefault="00B80BEC" w:rsidP="00112B87">
      <w:pPr>
        <w:autoSpaceDE w:val="0"/>
        <w:autoSpaceDN w:val="0"/>
        <w:adjustRightInd w:val="0"/>
        <w:ind w:left="720"/>
        <w:jc w:val="both"/>
      </w:pPr>
      <w:r>
        <w:t xml:space="preserve">In line with the project strategy, </w:t>
      </w:r>
      <w:r w:rsidRPr="00154FE7">
        <w:t xml:space="preserve">IOM </w:t>
      </w:r>
      <w:r>
        <w:t xml:space="preserve">conducted and </w:t>
      </w:r>
      <w:r w:rsidRPr="00154FE7">
        <w:t xml:space="preserve">released the </w:t>
      </w:r>
      <w:r w:rsidRPr="00154FE7">
        <w:rPr>
          <w:i/>
          <w:iCs/>
        </w:rPr>
        <w:t>“Mapping Exercise and Gap Analysis of the Interim Relief and Rehabilitation Programme.</w:t>
      </w:r>
      <w:r w:rsidRPr="00154FE7">
        <w:t xml:space="preserve">” This report presents analysis and recommendations on the implementation mechanisms of the current interim relief and rehabilitation program for conflict victims. The report outlines the administration procedures currently used to provide assistance to various categories of conflict victims and examines their implications in a context of a wider reparations programme. Process flows for the current Interim Relief and Rehabilitation Programme have been developed to clarify procedures and highlight areas of improvement. This has been especially useful in identifying potential gaps in the current processes and developing recommendations for a future and more comprehensive reparations programme. </w:t>
      </w:r>
    </w:p>
    <w:p w:rsidR="00B80BEC" w:rsidRPr="00CE29C0" w:rsidRDefault="00B80BEC" w:rsidP="00B66301">
      <w:pPr>
        <w:pStyle w:val="ListParagraph"/>
        <w:jc w:val="both"/>
      </w:pPr>
    </w:p>
    <w:p w:rsidR="00B80BEC" w:rsidRPr="00CE29C0" w:rsidRDefault="00B80BEC" w:rsidP="00D76415">
      <w:pPr>
        <w:pStyle w:val="ListParagraph"/>
        <w:ind w:left="0"/>
        <w:jc w:val="both"/>
        <w:rPr>
          <w:i/>
          <w:iCs/>
        </w:rPr>
      </w:pPr>
      <w:r w:rsidRPr="005F2694">
        <w:tab/>
      </w:r>
      <w:r w:rsidRPr="00154FE7">
        <w:rPr>
          <w:i/>
          <w:iCs/>
        </w:rPr>
        <w:t>Mapping Report attached with this report</w:t>
      </w:r>
    </w:p>
    <w:p w:rsidR="00B80BEC" w:rsidRPr="00CE29C0" w:rsidRDefault="00B80BEC" w:rsidP="00A232C3">
      <w:pPr>
        <w:pStyle w:val="ListParagraph"/>
        <w:jc w:val="both"/>
      </w:pPr>
      <w:r w:rsidRPr="005F2694">
        <w:tab/>
      </w:r>
    </w:p>
    <w:p w:rsidR="00B80BEC" w:rsidRPr="00CE29C0" w:rsidRDefault="00B80BEC" w:rsidP="0021644A">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6" w:name="_Toc249364486"/>
      <w:r w:rsidRPr="00154FE7">
        <w:rPr>
          <w:rFonts w:ascii="Times New Roman" w:hAnsi="Times New Roman" w:cs="Times New Roman"/>
          <w:sz w:val="24"/>
          <w:szCs w:val="24"/>
        </w:rPr>
        <w:t>Results</w:t>
      </w:r>
      <w:bookmarkEnd w:id="6"/>
      <w:r w:rsidRPr="00154FE7">
        <w:rPr>
          <w:rFonts w:ascii="Times New Roman" w:hAnsi="Times New Roman" w:cs="Times New Roman"/>
          <w:sz w:val="24"/>
          <w:szCs w:val="24"/>
        </w:rPr>
        <w:t xml:space="preserve"> </w:t>
      </w:r>
    </w:p>
    <w:p w:rsidR="00B80BEC" w:rsidRPr="00CE29C0" w:rsidRDefault="00B80BEC" w:rsidP="00AB0274">
      <w:pPr>
        <w:pStyle w:val="BodyText"/>
        <w:numPr>
          <w:ilvl w:val="0"/>
          <w:numId w:val="7"/>
        </w:numPr>
        <w:jc w:val="both"/>
        <w:rPr>
          <w:rFonts w:ascii="Times New Roman" w:hAnsi="Times New Roman" w:cs="Times New Roman"/>
          <w:sz w:val="24"/>
          <w:szCs w:val="24"/>
        </w:rPr>
      </w:pPr>
      <w:r w:rsidRPr="00154FE7">
        <w:rPr>
          <w:rFonts w:ascii="Times New Roman" w:hAnsi="Times New Roman" w:cs="Times New Roman"/>
          <w:sz w:val="24"/>
          <w:szCs w:val="24"/>
        </w:rPr>
        <w:t xml:space="preserve">Provide a summary of Programme progress in relation to planned outcomes and outputs; explain any variance in achieved versus planned outputs during the reporting period. </w:t>
      </w:r>
    </w:p>
    <w:p w:rsidR="00B80BEC" w:rsidRPr="00CE29C0" w:rsidRDefault="00B80BEC" w:rsidP="00910AAF">
      <w:pPr>
        <w:pStyle w:val="BodyText"/>
        <w:jc w:val="both"/>
        <w:rPr>
          <w:rFonts w:ascii="Times New Roman" w:hAnsi="Times New Roman" w:cs="Times New Roman"/>
          <w:sz w:val="24"/>
          <w:szCs w:val="24"/>
        </w:rPr>
      </w:pPr>
    </w:p>
    <w:p w:rsidR="00B80BEC" w:rsidRPr="00CE29C0" w:rsidRDefault="00B80BEC" w:rsidP="00910AAF">
      <w:pPr>
        <w:pStyle w:val="BodyText"/>
        <w:jc w:val="both"/>
        <w:rPr>
          <w:rFonts w:ascii="Times New Roman" w:hAnsi="Times New Roman" w:cs="Times New Roman"/>
          <w:b/>
          <w:bCs/>
          <w:sz w:val="24"/>
          <w:szCs w:val="24"/>
        </w:rPr>
      </w:pPr>
      <w:r w:rsidRPr="00154FE7">
        <w:rPr>
          <w:rFonts w:ascii="Times New Roman" w:hAnsi="Times New Roman" w:cs="Times New Roman"/>
          <w:b/>
          <w:bCs/>
          <w:sz w:val="24"/>
          <w:szCs w:val="24"/>
        </w:rPr>
        <w:t>Outcomes</w:t>
      </w:r>
    </w:p>
    <w:p w:rsidR="00B80BEC" w:rsidRPr="00CE29C0" w:rsidRDefault="00B80BEC" w:rsidP="009278C6">
      <w:pPr>
        <w:pStyle w:val="BodyText"/>
        <w:ind w:left="720"/>
        <w:rPr>
          <w:rFonts w:ascii="Times New Roman" w:hAnsi="Times New Roman" w:cs="Times New Roman"/>
          <w:sz w:val="24"/>
          <w:szCs w:val="24"/>
        </w:rPr>
      </w:pPr>
      <w:r w:rsidRPr="00154FE7">
        <w:rPr>
          <w:rFonts w:ascii="Times New Roman" w:hAnsi="Times New Roman" w:cs="Times New Roman"/>
          <w:sz w:val="24"/>
          <w:szCs w:val="24"/>
        </w:rPr>
        <w:t xml:space="preserve">The project will deliver </w:t>
      </w:r>
      <w:r>
        <w:rPr>
          <w:rFonts w:ascii="Times New Roman" w:hAnsi="Times New Roman" w:cs="Times New Roman"/>
          <w:sz w:val="24"/>
          <w:szCs w:val="24"/>
        </w:rPr>
        <w:t>one</w:t>
      </w:r>
      <w:r w:rsidRPr="00CE29C0">
        <w:rPr>
          <w:rFonts w:ascii="Times New Roman" w:hAnsi="Times New Roman" w:cs="Times New Roman"/>
          <w:sz w:val="24"/>
          <w:szCs w:val="24"/>
        </w:rPr>
        <w:t xml:space="preserve"> major outcome detailed below:</w:t>
      </w:r>
    </w:p>
    <w:p w:rsidR="00B80BEC" w:rsidRPr="00CE29C0" w:rsidRDefault="00B80BEC" w:rsidP="00497937">
      <w:pPr>
        <w:pStyle w:val="BodyText"/>
        <w:numPr>
          <w:ilvl w:val="0"/>
          <w:numId w:val="34"/>
        </w:numPr>
        <w:jc w:val="both"/>
        <w:rPr>
          <w:rFonts w:ascii="Times New Roman" w:hAnsi="Times New Roman" w:cs="Times New Roman"/>
          <w:sz w:val="24"/>
          <w:szCs w:val="24"/>
        </w:rPr>
      </w:pPr>
      <w:r w:rsidRPr="00CE29C0">
        <w:rPr>
          <w:rFonts w:ascii="Times New Roman" w:hAnsi="Times New Roman" w:cs="Times New Roman"/>
          <w:sz w:val="24"/>
          <w:szCs w:val="24"/>
        </w:rPr>
        <w:t xml:space="preserve">Government of Nepal has effective and transparent structures and procedures in place to implement reparations program.   </w:t>
      </w:r>
    </w:p>
    <w:p w:rsidR="00B80BEC" w:rsidRPr="00CE29C0" w:rsidRDefault="00B80BEC" w:rsidP="008364C7">
      <w:pPr>
        <w:pStyle w:val="BodyText"/>
        <w:jc w:val="both"/>
        <w:rPr>
          <w:rFonts w:ascii="Times New Roman" w:hAnsi="Times New Roman" w:cs="Times New Roman"/>
          <w:sz w:val="24"/>
          <w:szCs w:val="24"/>
        </w:rPr>
      </w:pPr>
    </w:p>
    <w:p w:rsidR="00B80BEC" w:rsidRPr="00CE29C0" w:rsidRDefault="00B80BEC" w:rsidP="009C48B4">
      <w:pPr>
        <w:pStyle w:val="BodyText"/>
        <w:ind w:left="720"/>
        <w:jc w:val="both"/>
        <w:rPr>
          <w:rFonts w:ascii="Times New Roman" w:hAnsi="Times New Roman" w:cs="Times New Roman"/>
          <w:sz w:val="24"/>
          <w:szCs w:val="24"/>
        </w:rPr>
      </w:pPr>
      <w:r w:rsidRPr="00CE29C0">
        <w:rPr>
          <w:rFonts w:ascii="Times New Roman" w:hAnsi="Times New Roman" w:cs="Times New Roman"/>
          <w:sz w:val="24"/>
          <w:szCs w:val="24"/>
        </w:rPr>
        <w:t>Progress on the above outcome has been steady since the start of the project</w:t>
      </w:r>
      <w:r>
        <w:rPr>
          <w:rFonts w:ascii="Times New Roman" w:hAnsi="Times New Roman" w:cs="Times New Roman"/>
          <w:sz w:val="24"/>
          <w:szCs w:val="24"/>
        </w:rPr>
        <w:t xml:space="preserve"> in May 2010</w:t>
      </w:r>
      <w:r w:rsidRPr="00CE29C0">
        <w:rPr>
          <w:rFonts w:ascii="Times New Roman" w:hAnsi="Times New Roman" w:cs="Times New Roman"/>
          <w:sz w:val="24"/>
          <w:szCs w:val="24"/>
        </w:rPr>
        <w:t>. MoPR</w:t>
      </w:r>
      <w:r>
        <w:rPr>
          <w:rFonts w:ascii="Times New Roman" w:hAnsi="Times New Roman" w:cs="Times New Roman"/>
          <w:sz w:val="24"/>
          <w:szCs w:val="24"/>
        </w:rPr>
        <w:t>,</w:t>
      </w:r>
      <w:r w:rsidRPr="00CE29C0">
        <w:rPr>
          <w:rFonts w:ascii="Times New Roman" w:hAnsi="Times New Roman" w:cs="Times New Roman"/>
          <w:sz w:val="24"/>
          <w:szCs w:val="24"/>
        </w:rPr>
        <w:t xml:space="preserve"> through substantial financial support from the World Bank since 2008, has established structures and processes for the delivery of immediate relief to conflict victims. While it is acknowledged that much of that support falls short of international standards for reparations</w:t>
      </w:r>
      <w:r>
        <w:rPr>
          <w:rFonts w:ascii="Times New Roman" w:hAnsi="Times New Roman" w:cs="Times New Roman"/>
          <w:sz w:val="24"/>
          <w:szCs w:val="24"/>
        </w:rPr>
        <w:t xml:space="preserve"> per se</w:t>
      </w:r>
      <w:r w:rsidRPr="00CE29C0">
        <w:rPr>
          <w:rFonts w:ascii="Times New Roman" w:hAnsi="Times New Roman" w:cs="Times New Roman"/>
          <w:sz w:val="24"/>
          <w:szCs w:val="24"/>
        </w:rPr>
        <w:t xml:space="preserve">, many of the implementation structures, guidelines and processes </w:t>
      </w:r>
      <w:r>
        <w:rPr>
          <w:rFonts w:ascii="Times New Roman" w:hAnsi="Times New Roman" w:cs="Times New Roman"/>
          <w:sz w:val="24"/>
          <w:szCs w:val="24"/>
        </w:rPr>
        <w:t xml:space="preserve">developed within the interim relief programme </w:t>
      </w:r>
      <w:r w:rsidRPr="00CE29C0">
        <w:rPr>
          <w:rFonts w:ascii="Times New Roman" w:hAnsi="Times New Roman" w:cs="Times New Roman"/>
          <w:sz w:val="24"/>
          <w:szCs w:val="24"/>
        </w:rPr>
        <w:t xml:space="preserve">can be built on </w:t>
      </w:r>
      <w:r>
        <w:rPr>
          <w:rFonts w:ascii="Times New Roman" w:hAnsi="Times New Roman" w:cs="Times New Roman"/>
          <w:sz w:val="24"/>
          <w:szCs w:val="24"/>
        </w:rPr>
        <w:t>for</w:t>
      </w:r>
      <w:r w:rsidRPr="00CE29C0">
        <w:rPr>
          <w:rFonts w:ascii="Times New Roman" w:hAnsi="Times New Roman" w:cs="Times New Roman"/>
          <w:sz w:val="24"/>
          <w:szCs w:val="24"/>
        </w:rPr>
        <w:t xml:space="preserve"> the development of a reparations programme. The first step</w:t>
      </w:r>
      <w:r>
        <w:rPr>
          <w:rFonts w:ascii="Times New Roman" w:hAnsi="Times New Roman" w:cs="Times New Roman"/>
          <w:sz w:val="24"/>
          <w:szCs w:val="24"/>
        </w:rPr>
        <w:t>, therefore, of this project</w:t>
      </w:r>
      <w:r w:rsidRPr="00CE29C0">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CE29C0">
        <w:rPr>
          <w:rFonts w:ascii="Times New Roman" w:hAnsi="Times New Roman" w:cs="Times New Roman"/>
          <w:sz w:val="24"/>
          <w:szCs w:val="24"/>
        </w:rPr>
        <w:t xml:space="preserve">to map the guidelines, procedures and structures </w:t>
      </w:r>
      <w:r>
        <w:rPr>
          <w:rFonts w:ascii="Times New Roman" w:hAnsi="Times New Roman" w:cs="Times New Roman"/>
          <w:sz w:val="24"/>
          <w:szCs w:val="24"/>
        </w:rPr>
        <w:t>of the MoPR interim relief programme with a view to</w:t>
      </w:r>
      <w:r w:rsidRPr="00CE29C0">
        <w:rPr>
          <w:rFonts w:ascii="Times New Roman" w:hAnsi="Times New Roman" w:cs="Times New Roman"/>
          <w:sz w:val="24"/>
          <w:szCs w:val="24"/>
        </w:rPr>
        <w:t xml:space="preserve"> analy</w:t>
      </w:r>
      <w:r>
        <w:rPr>
          <w:rFonts w:ascii="Times New Roman" w:hAnsi="Times New Roman" w:cs="Times New Roman"/>
          <w:sz w:val="24"/>
          <w:szCs w:val="24"/>
        </w:rPr>
        <w:t>zing</w:t>
      </w:r>
      <w:r w:rsidRPr="00CE29C0">
        <w:rPr>
          <w:rFonts w:ascii="Times New Roman" w:hAnsi="Times New Roman" w:cs="Times New Roman"/>
          <w:sz w:val="24"/>
          <w:szCs w:val="24"/>
        </w:rPr>
        <w:t xml:space="preserve"> how they might contribute to implementing a wider reparations programme</w:t>
      </w:r>
      <w:r>
        <w:rPr>
          <w:rFonts w:ascii="Times New Roman" w:hAnsi="Times New Roman" w:cs="Times New Roman"/>
          <w:sz w:val="24"/>
          <w:szCs w:val="24"/>
        </w:rPr>
        <w:t xml:space="preserve">. In addition to this mapping of existing policies and procedures, the project delivered analysis of the gaps and key recommendations to the MoPR as to how structures and procedures may be rendered more efficient effective and more transparent.  This activity </w:t>
      </w:r>
      <w:r w:rsidRPr="00CE29C0">
        <w:rPr>
          <w:rFonts w:ascii="Times New Roman" w:hAnsi="Times New Roman" w:cs="Times New Roman"/>
          <w:sz w:val="24"/>
          <w:szCs w:val="24"/>
        </w:rPr>
        <w:t>was completed in a timely manner</w:t>
      </w:r>
      <w:r>
        <w:rPr>
          <w:rFonts w:ascii="Times New Roman" w:hAnsi="Times New Roman" w:cs="Times New Roman"/>
          <w:sz w:val="24"/>
          <w:szCs w:val="24"/>
        </w:rPr>
        <w:t xml:space="preserve"> and will serve as the basis for concrete interventions to enhance the implementation of the interim relief and future reparations programmes</w:t>
      </w:r>
      <w:r w:rsidRPr="00CE29C0">
        <w:rPr>
          <w:rFonts w:ascii="Times New Roman" w:hAnsi="Times New Roman" w:cs="Times New Roman"/>
          <w:sz w:val="24"/>
          <w:szCs w:val="24"/>
        </w:rPr>
        <w:t xml:space="preserve">. </w:t>
      </w:r>
    </w:p>
    <w:p w:rsidR="00B80BEC" w:rsidRPr="00CE29C0" w:rsidRDefault="00B80BEC" w:rsidP="00E747FB">
      <w:pPr>
        <w:pStyle w:val="BodyText"/>
        <w:ind w:left="720"/>
        <w:jc w:val="both"/>
        <w:rPr>
          <w:rFonts w:ascii="Times New Roman" w:hAnsi="Times New Roman" w:cs="Times New Roman"/>
          <w:sz w:val="24"/>
          <w:szCs w:val="24"/>
        </w:rPr>
      </w:pPr>
    </w:p>
    <w:p w:rsidR="00B80BEC" w:rsidRPr="00D568FF" w:rsidRDefault="00B80BEC" w:rsidP="00AC69B8">
      <w:pPr>
        <w:ind w:left="720"/>
        <w:jc w:val="both"/>
        <w:rPr>
          <w:color w:val="000000"/>
        </w:rPr>
      </w:pPr>
      <w:r w:rsidRPr="00154FE7">
        <w:t xml:space="preserve">In the absence of the TRC and </w:t>
      </w:r>
      <w:r w:rsidRPr="00B148D0">
        <w:t>Commissi</w:t>
      </w:r>
      <w:r>
        <w:t>on of Inquiry on Disappearances (</w:t>
      </w:r>
      <w:r w:rsidRPr="00154FE7">
        <w:t>CoI-D</w:t>
      </w:r>
      <w:r>
        <w:t>)</w:t>
      </w:r>
      <w:r w:rsidRPr="00154FE7">
        <w:t xml:space="preserve"> and the ongoing funding commitments by the World Bank to the interim relief programme until at least mid-2012, there have been significant challenges in gaining sufficient political traction to engage the GoN in developing a </w:t>
      </w:r>
      <w:r>
        <w:t>comprehensive</w:t>
      </w:r>
      <w:r w:rsidRPr="00CE29C0">
        <w:t xml:space="preserve"> reparations programme</w:t>
      </w:r>
      <w:r>
        <w:t xml:space="preserve"> that meets internationally established human rights norms and standards</w:t>
      </w:r>
      <w:r w:rsidRPr="00CE29C0">
        <w:t xml:space="preserve">. Since 2008, cash, education scholarships, medical treatment and reimbursements as well as IDP returns and property compensation have been the principal forms of assistance under the interim relief programme. Many of these programmes are coming to an end and MoPR </w:t>
      </w:r>
      <w:r w:rsidRPr="00D568FF">
        <w:t xml:space="preserve">is understandably reluctant to make significant changes to implementation for the remaining residual caseload. Policy development has similarly been delayed with the scheduled delayed arrival </w:t>
      </w:r>
      <w:r w:rsidRPr="00D568FF">
        <w:lastRenderedPageBreak/>
        <w:t xml:space="preserve">of the OHCHR reparations policy adviser in January 2011. A joint workshop was organized by the project in February between GoN, civil society and the donor community to engage in preliminary discussions on options for reparations considering the delay in the passage of the bills. In this context, it may be useful to look at experiences elsewhere, such as in Morocco, where a compensation programme was followed by a truth commission that in turn had a substantial reparations programme. The Moroccan experience, among others, offers an example for Nepal of the limitation, in and of itself, of monetary compensation for gross violations of human rights, such as enforced or involuntary disappearance, and the need for a comprehensive reparations programme that provides victims </w:t>
      </w:r>
      <w:r>
        <w:t xml:space="preserve">with </w:t>
      </w:r>
      <w:r w:rsidRPr="00D568FF">
        <w:t>“satisfaction”</w:t>
      </w:r>
      <w:r>
        <w:t xml:space="preserve"> (to draw on the </w:t>
      </w:r>
      <w:r w:rsidRPr="00D568FF">
        <w:t>language of the UN’s guiding document on Reparations "Basic Principles and Guidelines on the Right to a Remedy and Reparation for Victims of Gross Violations of International Human Rights Law and Serious Violations of I</w:t>
      </w:r>
      <w:r>
        <w:t>nternational Humanitarian Law", a</w:t>
      </w:r>
      <w:r w:rsidRPr="00D568FF">
        <w:t>dopted and proclaimed by General Assembly resolution 60/147 of 16 December 2005)</w:t>
      </w:r>
      <w:r>
        <w:t>.</w:t>
      </w:r>
    </w:p>
    <w:p w:rsidR="00B80BEC" w:rsidRPr="00D568FF" w:rsidRDefault="00B80BEC" w:rsidP="00E747FB">
      <w:pPr>
        <w:pStyle w:val="BodyText"/>
        <w:ind w:left="720"/>
        <w:jc w:val="both"/>
        <w:rPr>
          <w:rFonts w:ascii="Times New Roman" w:hAnsi="Times New Roman" w:cs="Times New Roman"/>
          <w:sz w:val="24"/>
          <w:szCs w:val="24"/>
        </w:rPr>
      </w:pPr>
    </w:p>
    <w:p w:rsidR="00B80BEC" w:rsidRDefault="00B80BEC" w:rsidP="00E747FB">
      <w:pPr>
        <w:pStyle w:val="BodyText"/>
        <w:ind w:left="720"/>
        <w:jc w:val="both"/>
        <w:rPr>
          <w:rFonts w:ascii="Times New Roman" w:hAnsi="Times New Roman" w:cs="Times New Roman"/>
          <w:sz w:val="24"/>
          <w:szCs w:val="24"/>
        </w:rPr>
      </w:pPr>
      <w:r w:rsidRPr="00AA51A2">
        <w:rPr>
          <w:rFonts w:ascii="Times New Roman" w:hAnsi="Times New Roman" w:cs="Times New Roman"/>
          <w:sz w:val="24"/>
          <w:szCs w:val="24"/>
        </w:rPr>
        <w:t xml:space="preserve">Project staff from IOM and OHCHR have additionally made regular inputs to a newly established </w:t>
      </w:r>
      <w:r>
        <w:rPr>
          <w:rFonts w:ascii="Times New Roman" w:hAnsi="Times New Roman" w:cs="Times New Roman"/>
          <w:sz w:val="24"/>
          <w:szCs w:val="24"/>
        </w:rPr>
        <w:t>pilot</w:t>
      </w:r>
      <w:r w:rsidRPr="00AA51A2">
        <w:rPr>
          <w:rFonts w:ascii="Times New Roman" w:hAnsi="Times New Roman" w:cs="Times New Roman"/>
          <w:sz w:val="24"/>
          <w:szCs w:val="24"/>
        </w:rPr>
        <w:t xml:space="preserve"> interim relief project, World Bank-funded Employment and Skills Training Programme. The modality and extent of future support to this project is still not clear but continuing engagement is envisaged, given the project’s clear links with key deliverables on the present project, including the formulation of </w:t>
      </w:r>
      <w:r>
        <w:rPr>
          <w:rFonts w:ascii="Times New Roman" w:hAnsi="Times New Roman" w:cs="Times New Roman"/>
          <w:sz w:val="24"/>
          <w:szCs w:val="24"/>
        </w:rPr>
        <w:t xml:space="preserve">an outreach strategy, </w:t>
      </w:r>
      <w:r w:rsidRPr="00AA51A2">
        <w:rPr>
          <w:rFonts w:ascii="Times New Roman" w:hAnsi="Times New Roman" w:cs="Times New Roman"/>
          <w:sz w:val="24"/>
          <w:szCs w:val="24"/>
        </w:rPr>
        <w:t>SOPs, guidelines, and process flows in line</w:t>
      </w:r>
      <w:r>
        <w:rPr>
          <w:rFonts w:ascii="Times New Roman" w:hAnsi="Times New Roman" w:cs="Times New Roman"/>
          <w:sz w:val="24"/>
          <w:szCs w:val="24"/>
        </w:rPr>
        <w:t xml:space="preserve"> with project deliverables.</w:t>
      </w:r>
    </w:p>
    <w:p w:rsidR="00B80BEC" w:rsidRPr="00AA51A2" w:rsidRDefault="00B80BEC" w:rsidP="00E747FB">
      <w:pPr>
        <w:pStyle w:val="BodyText"/>
        <w:ind w:left="720"/>
        <w:jc w:val="both"/>
        <w:rPr>
          <w:rFonts w:ascii="Times New Roman" w:hAnsi="Times New Roman" w:cs="Times New Roman"/>
          <w:sz w:val="24"/>
          <w:szCs w:val="24"/>
        </w:rPr>
      </w:pPr>
      <w:r w:rsidRPr="00AA51A2">
        <w:rPr>
          <w:rFonts w:ascii="Times New Roman" w:hAnsi="Times New Roman" w:cs="Times New Roman"/>
          <w:sz w:val="24"/>
          <w:szCs w:val="24"/>
        </w:rPr>
        <w:t>.</w:t>
      </w:r>
    </w:p>
    <w:p w:rsidR="00B80BEC" w:rsidRPr="00CE29C0" w:rsidRDefault="00B80BEC" w:rsidP="00E747FB">
      <w:pPr>
        <w:pStyle w:val="BodyText"/>
        <w:ind w:left="720"/>
        <w:jc w:val="both"/>
        <w:rPr>
          <w:rFonts w:ascii="Times New Roman" w:hAnsi="Times New Roman" w:cs="Times New Roman"/>
          <w:sz w:val="24"/>
          <w:szCs w:val="24"/>
        </w:rPr>
      </w:pPr>
      <w:r>
        <w:rPr>
          <w:rFonts w:ascii="Times New Roman" w:hAnsi="Times New Roman" w:cs="Times New Roman"/>
          <w:sz w:val="24"/>
          <w:szCs w:val="24"/>
        </w:rPr>
        <w:t>For</w:t>
      </w:r>
      <w:r w:rsidRPr="00AA51A2">
        <w:rPr>
          <w:rFonts w:ascii="Times New Roman" w:hAnsi="Times New Roman" w:cs="Times New Roman"/>
          <w:sz w:val="24"/>
          <w:szCs w:val="24"/>
        </w:rPr>
        <w:t xml:space="preserve"> the first quarter of 2011, IOM has agreed to conduct a rapid</w:t>
      </w:r>
      <w:r w:rsidRPr="00154FE7">
        <w:rPr>
          <w:rFonts w:ascii="Times New Roman" w:hAnsi="Times New Roman" w:cs="Times New Roman"/>
          <w:sz w:val="24"/>
          <w:szCs w:val="24"/>
        </w:rPr>
        <w:t xml:space="preserve"> capacity assessment of the MoPR, Relief and Rehabilitation Unit (RRU - principal implementation arm for the interim relief programme) and three district offices. This is considered a key step to guide the</w:t>
      </w:r>
      <w:r>
        <w:rPr>
          <w:rFonts w:ascii="Times New Roman" w:hAnsi="Times New Roman" w:cs="Times New Roman"/>
          <w:sz w:val="24"/>
          <w:szCs w:val="24"/>
        </w:rPr>
        <w:t xml:space="preserve"> project</w:t>
      </w:r>
      <w:r w:rsidRPr="00154FE7">
        <w:rPr>
          <w:rFonts w:ascii="Times New Roman" w:hAnsi="Times New Roman" w:cs="Times New Roman"/>
          <w:sz w:val="24"/>
          <w:szCs w:val="24"/>
        </w:rPr>
        <w:t xml:space="preserve"> capacity building strategy in terms of institutional strengthening required, human resource capacity needs as well logistics requirements.</w:t>
      </w:r>
    </w:p>
    <w:p w:rsidR="00B80BEC" w:rsidRPr="00CE29C0" w:rsidRDefault="00B80BEC" w:rsidP="00E747FB">
      <w:pPr>
        <w:pStyle w:val="BodyText"/>
        <w:ind w:left="720"/>
        <w:jc w:val="both"/>
        <w:rPr>
          <w:rFonts w:ascii="Times New Roman" w:hAnsi="Times New Roman" w:cs="Times New Roman"/>
          <w:sz w:val="24"/>
          <w:szCs w:val="24"/>
        </w:rPr>
      </w:pPr>
    </w:p>
    <w:p w:rsidR="00B80BEC" w:rsidRPr="00154FE7" w:rsidRDefault="00B80BEC" w:rsidP="00154FE7">
      <w:pPr>
        <w:autoSpaceDE w:val="0"/>
        <w:autoSpaceDN w:val="0"/>
        <w:adjustRightInd w:val="0"/>
        <w:ind w:left="720"/>
        <w:jc w:val="both"/>
      </w:pPr>
      <w:r>
        <w:t xml:space="preserve">Ahead of the arrival of the Reparations Policy Advisor, </w:t>
      </w:r>
      <w:r w:rsidRPr="00154FE7">
        <w:t xml:space="preserve">OHCHR completed </w:t>
      </w:r>
      <w:r>
        <w:t xml:space="preserve">a </w:t>
      </w:r>
      <w:r w:rsidRPr="00154FE7">
        <w:t xml:space="preserve">mapping of organizations working on Transitional Justice (TJ) issues in Nepal with </w:t>
      </w:r>
      <w:r>
        <w:t xml:space="preserve">a particular </w:t>
      </w:r>
      <w:r w:rsidRPr="00154FE7">
        <w:t xml:space="preserve">focus on reparations and victim support.  </w:t>
      </w:r>
      <w:r>
        <w:t xml:space="preserve">Research and </w:t>
      </w:r>
      <w:r w:rsidRPr="00154FE7">
        <w:t xml:space="preserve">analysis of international best policies and practices on reparations has also </w:t>
      </w:r>
      <w:r>
        <w:t>begun. D</w:t>
      </w:r>
      <w:r w:rsidRPr="00154FE7">
        <w:t>ay</w:t>
      </w:r>
      <w:r>
        <w:t>-</w:t>
      </w:r>
      <w:r w:rsidRPr="00154FE7">
        <w:t xml:space="preserve">long workshops have been </w:t>
      </w:r>
      <w:r>
        <w:t xml:space="preserve">conceptualized and are now in the planning stages for victim consultations in </w:t>
      </w:r>
      <w:r w:rsidRPr="00154FE7">
        <w:t xml:space="preserve">all five development regions. </w:t>
      </w:r>
    </w:p>
    <w:p w:rsidR="00B80BEC" w:rsidRPr="00CE29C0" w:rsidRDefault="00B80BEC" w:rsidP="00E747FB">
      <w:pPr>
        <w:pStyle w:val="BodyText"/>
        <w:ind w:left="720"/>
        <w:jc w:val="both"/>
        <w:rPr>
          <w:rFonts w:ascii="Times New Roman" w:hAnsi="Times New Roman" w:cs="Times New Roman"/>
          <w:sz w:val="24"/>
          <w:szCs w:val="24"/>
        </w:rPr>
      </w:pPr>
    </w:p>
    <w:p w:rsidR="00B80BEC" w:rsidRPr="00CE29C0" w:rsidRDefault="00B80BEC" w:rsidP="00910AAF">
      <w:pPr>
        <w:pStyle w:val="BodyText"/>
        <w:jc w:val="both"/>
        <w:rPr>
          <w:rFonts w:ascii="Times New Roman" w:hAnsi="Times New Roman" w:cs="Times New Roman"/>
          <w:b/>
          <w:bCs/>
          <w:sz w:val="24"/>
          <w:szCs w:val="24"/>
        </w:rPr>
      </w:pPr>
    </w:p>
    <w:p w:rsidR="00B80BEC" w:rsidRPr="00CE29C0" w:rsidRDefault="00B80BEC" w:rsidP="00910AAF">
      <w:pPr>
        <w:pStyle w:val="BodyText"/>
        <w:jc w:val="both"/>
        <w:rPr>
          <w:rFonts w:ascii="Times New Roman" w:hAnsi="Times New Roman" w:cs="Times New Roman"/>
          <w:b/>
          <w:bCs/>
          <w:sz w:val="24"/>
          <w:szCs w:val="24"/>
        </w:rPr>
      </w:pPr>
      <w:r w:rsidRPr="00CE29C0">
        <w:rPr>
          <w:rFonts w:ascii="Times New Roman" w:hAnsi="Times New Roman" w:cs="Times New Roman"/>
          <w:b/>
          <w:bCs/>
          <w:sz w:val="24"/>
          <w:szCs w:val="24"/>
        </w:rPr>
        <w:t>Outputs</w:t>
      </w:r>
    </w:p>
    <w:p w:rsidR="00B80BEC" w:rsidRPr="00CE29C0" w:rsidRDefault="00B80BEC" w:rsidP="00E73BEB">
      <w:pPr>
        <w:ind w:left="720"/>
      </w:pPr>
      <w:r w:rsidRPr="00CE29C0">
        <w:t xml:space="preserve">The project proposal identifies three main outputs over the 15 months project period to achieve the planned outcomes. The project commenced in May, therefore inputs described below are used to measure the project progress over an eight months period. </w:t>
      </w:r>
    </w:p>
    <w:p w:rsidR="00B80BEC" w:rsidRPr="00CE29C0" w:rsidRDefault="00B80BEC" w:rsidP="00E73BEB">
      <w:pPr>
        <w:ind w:left="720"/>
      </w:pPr>
    </w:p>
    <w:p w:rsidR="00B80BEC" w:rsidRDefault="00B80BEC" w:rsidP="00154FE7">
      <w:pPr>
        <w:numPr>
          <w:ilvl w:val="0"/>
          <w:numId w:val="33"/>
        </w:numPr>
      </w:pPr>
      <w:r w:rsidRPr="00CE29C0">
        <w:rPr>
          <w:i/>
          <w:iCs/>
        </w:rPr>
        <w:t>Comprehensive Policy on Reparations</w:t>
      </w:r>
      <w:r w:rsidRPr="00CE29C0">
        <w:t xml:space="preserve">: </w:t>
      </w:r>
    </w:p>
    <w:p w:rsidR="00B80BEC" w:rsidRDefault="00B80BEC" w:rsidP="00154FE7">
      <w:pPr>
        <w:ind w:left="720"/>
      </w:pPr>
    </w:p>
    <w:p w:rsidR="00B80BEC" w:rsidRDefault="00B80BEC" w:rsidP="0082426F">
      <w:pPr>
        <w:ind w:left="720"/>
      </w:pPr>
      <w:r>
        <w:t>Establishing this policy will be the principle task of the Reparations Policy Advisor, once s/he arrives. To date, OHCHR’s engagement have largely been restricted to informal inputs and the establishment of a working rapport with stakeholders.</w:t>
      </w:r>
    </w:p>
    <w:p w:rsidR="00B80BEC" w:rsidRPr="00CE29C0" w:rsidRDefault="00B80BEC" w:rsidP="00E73BEB">
      <w:pPr>
        <w:ind w:left="720"/>
      </w:pPr>
    </w:p>
    <w:p w:rsidR="00B80BEC" w:rsidRPr="00CE29C0" w:rsidRDefault="00B80BEC" w:rsidP="00E73BEB">
      <w:pPr>
        <w:ind w:left="720"/>
        <w:rPr>
          <w:i/>
          <w:iCs/>
        </w:rPr>
      </w:pPr>
      <w:r w:rsidRPr="00154FE7">
        <w:t xml:space="preserve">b) </w:t>
      </w:r>
      <w:r w:rsidRPr="00154FE7">
        <w:rPr>
          <w:i/>
          <w:iCs/>
        </w:rPr>
        <w:t xml:space="preserve">Capacity of the Relief and Rehabilitation Unit and three selected District Administration Offices enhanced to support reparations programmes: </w:t>
      </w:r>
    </w:p>
    <w:p w:rsidR="00B80BEC" w:rsidRPr="00CE29C0" w:rsidRDefault="00B80BEC" w:rsidP="00E73BEB">
      <w:pPr>
        <w:ind w:left="720"/>
      </w:pPr>
    </w:p>
    <w:p w:rsidR="00B80BEC" w:rsidRPr="00CE29C0" w:rsidRDefault="00B80BEC" w:rsidP="00E73BEB">
      <w:pPr>
        <w:ind w:left="720"/>
      </w:pPr>
      <w:r w:rsidRPr="00154FE7">
        <w:lastRenderedPageBreak/>
        <w:t>IOM produced an analysis of existing interim relief programmes and implementation mechanisms in December 2010 as part of the Mapping Exercise and Gap Analysis report. This will be complemented in early 2011 with a rapid capacity assessment of the Relief and Rehabilitation Unit (RRU) and district offices to determine capacity building needs and identify areas of concrete implementation support IOM can provide. Training and logistical support will be provided in the last two quarters of the project in conjunction with the pilot in three districts.</w:t>
      </w:r>
    </w:p>
    <w:p w:rsidR="00B80BEC" w:rsidRPr="00CE29C0" w:rsidRDefault="00B80BEC" w:rsidP="00E73BEB">
      <w:pPr>
        <w:ind w:left="720"/>
      </w:pPr>
    </w:p>
    <w:p w:rsidR="00B80BEC" w:rsidRPr="00CE29C0" w:rsidRDefault="00B80BEC" w:rsidP="00976F24">
      <w:pPr>
        <w:ind w:left="1080"/>
        <w:jc w:val="both"/>
      </w:pPr>
      <w:r>
        <w:rPr>
          <w:i/>
          <w:iCs/>
        </w:rPr>
        <w:t xml:space="preserve">c) </w:t>
      </w:r>
      <w:r w:rsidRPr="00154FE7">
        <w:rPr>
          <w:i/>
          <w:iCs/>
        </w:rPr>
        <w:t>Processes, guidelines, Standard Operating Procedures (SOPs), forms and procedures for various reparations benefits prepared and tested</w:t>
      </w:r>
      <w:r w:rsidRPr="00154FE7">
        <w:t xml:space="preserve">: </w:t>
      </w:r>
    </w:p>
    <w:p w:rsidR="00B80BEC" w:rsidRPr="00CE29C0" w:rsidRDefault="00B80BEC" w:rsidP="005E4501">
      <w:pPr>
        <w:ind w:left="720"/>
        <w:jc w:val="both"/>
      </w:pPr>
    </w:p>
    <w:p w:rsidR="00B80BEC" w:rsidRPr="00CE29C0" w:rsidRDefault="00B80BEC" w:rsidP="005E4501">
      <w:pPr>
        <w:ind w:left="720"/>
        <w:jc w:val="both"/>
      </w:pPr>
      <w:r w:rsidRPr="00154FE7">
        <w:t>The project aims to ensure that the government has effective implementation mechanisms, procedures and trained staff in place to support both the current relief program and any future reparations program. As part of developing the required processes, guidelines, SOPs, forms, procedures for future reparations program, a preliminary mapping exercise and gap analysis was conducted to identify existing and potential gaps and procedural challenges inherent in the current Interim Relief and Rehabilitation Program. Analysis of existing policy and procedural guidelines of the interim relief program as well as practical implementation experience was taken into consideration while preparing this report. Draft process flows (from receiving claim from the victim to the delivery of benefits), SOPs and tools required to provide a defined range of reparations benefits have been developed.  Areas requiring further work in relation to this output are the development and adoption of a comprehensive outreach strategy that would substantially enhance beneficiary access and transparency of the current interim relief programme and inform a future reparations programme. Equally, ensuring a comprehensive database of conflict victims receiving benefits under the interim relief programme is developed will be essential in any future reparations programme. This activity is dependent on the World Bank</w:t>
      </w:r>
      <w:r>
        <w:t>,</w:t>
      </w:r>
      <w:r w:rsidRPr="00154FE7">
        <w:t xml:space="preserve"> </w:t>
      </w:r>
      <w:r>
        <w:t>Management Information System (</w:t>
      </w:r>
      <w:r w:rsidRPr="00154FE7">
        <w:t>MIS</w:t>
      </w:r>
      <w:r>
        <w:t>)</w:t>
      </w:r>
      <w:r w:rsidRPr="00154FE7">
        <w:t xml:space="preserve"> system for the MoPR that is somewhat delayed.</w:t>
      </w:r>
    </w:p>
    <w:p w:rsidR="00B80BEC" w:rsidRPr="00CE29C0" w:rsidRDefault="00B80BEC" w:rsidP="00EC0892">
      <w:pPr>
        <w:ind w:left="720"/>
        <w:jc w:val="both"/>
        <w:rPr>
          <w:i/>
          <w:iCs/>
        </w:rPr>
      </w:pPr>
    </w:p>
    <w:p w:rsidR="00B80BEC" w:rsidRPr="00CE29C0" w:rsidRDefault="00B80BEC" w:rsidP="008D2D0C">
      <w:pPr>
        <w:ind w:left="720"/>
      </w:pPr>
      <w:r w:rsidRPr="00154FE7">
        <w:t xml:space="preserve"> </w:t>
      </w:r>
    </w:p>
    <w:p w:rsidR="00B80BEC" w:rsidRPr="00CE29C0" w:rsidRDefault="00B80BEC" w:rsidP="00D05B73">
      <w:pPr>
        <w:pStyle w:val="BodyText"/>
        <w:numPr>
          <w:ilvl w:val="0"/>
          <w:numId w:val="7"/>
        </w:numPr>
        <w:tabs>
          <w:tab w:val="left" w:pos="1080"/>
        </w:tabs>
        <w:ind w:left="1080" w:hanging="720"/>
        <w:jc w:val="both"/>
        <w:rPr>
          <w:rFonts w:ascii="Times New Roman" w:hAnsi="Times New Roman" w:cs="Times New Roman"/>
          <w:sz w:val="24"/>
          <w:szCs w:val="24"/>
        </w:rPr>
      </w:pPr>
      <w:r w:rsidRPr="005F2694">
        <w:rPr>
          <w:rFonts w:ascii="Times New Roman" w:hAnsi="Times New Roman" w:cs="Times New Roman"/>
          <w:sz w:val="24"/>
          <w:szCs w:val="24"/>
        </w:rPr>
        <w:t xml:space="preserve">Report on the key outputs achieved in the reporting period including # and nature of the activities (inputs), % of completion and beneficiaries. </w:t>
      </w:r>
    </w:p>
    <w:p w:rsidR="00B80BEC" w:rsidRPr="00CE29C0" w:rsidRDefault="00B80BEC" w:rsidP="00A92CB5">
      <w:pPr>
        <w:pStyle w:val="BodyText"/>
        <w:tabs>
          <w:tab w:val="left" w:pos="720"/>
          <w:tab w:val="left" w:pos="885"/>
        </w:tabs>
        <w:ind w:left="720"/>
        <w:jc w:val="both"/>
        <w:rPr>
          <w:rFonts w:ascii="Times New Roman" w:hAnsi="Times New Roman" w:cs="Times New Roman"/>
          <w:sz w:val="24"/>
          <w:szCs w:val="24"/>
        </w:rPr>
      </w:pPr>
    </w:p>
    <w:p w:rsidR="00B80BEC" w:rsidRPr="00CE29C0" w:rsidRDefault="00B80BEC" w:rsidP="00A92CB5">
      <w:pPr>
        <w:pStyle w:val="BodyText"/>
        <w:tabs>
          <w:tab w:val="left" w:pos="720"/>
          <w:tab w:val="left" w:pos="885"/>
        </w:tabs>
        <w:ind w:left="720"/>
        <w:jc w:val="both"/>
        <w:rPr>
          <w:rFonts w:ascii="Times New Roman" w:hAnsi="Times New Roman" w:cs="Times New Roman"/>
          <w:sz w:val="24"/>
          <w:szCs w:val="24"/>
        </w:rPr>
      </w:pPr>
      <w:r w:rsidRPr="005F2694">
        <w:rPr>
          <w:rFonts w:ascii="Times New Roman" w:hAnsi="Times New Roman" w:cs="Times New Roman"/>
          <w:i/>
          <w:iCs/>
          <w:sz w:val="24"/>
          <w:szCs w:val="24"/>
        </w:rPr>
        <w:t>Output 1: Comprehensive Policy on Reparations</w:t>
      </w:r>
      <w:r w:rsidRPr="005F2694">
        <w:rPr>
          <w:rFonts w:ascii="Times New Roman" w:hAnsi="Times New Roman" w:cs="Times New Roman"/>
          <w:sz w:val="24"/>
          <w:szCs w:val="24"/>
        </w:rPr>
        <w:t xml:space="preserve">: </w:t>
      </w:r>
    </w:p>
    <w:p w:rsidR="00B80BEC" w:rsidRDefault="00B80BEC" w:rsidP="00A92CB5">
      <w:pPr>
        <w:pStyle w:val="BodyText"/>
        <w:tabs>
          <w:tab w:val="left" w:pos="720"/>
          <w:tab w:val="left" w:pos="885"/>
        </w:tabs>
        <w:ind w:left="720"/>
        <w:jc w:val="both"/>
        <w:rPr>
          <w:rFonts w:ascii="Times New Roman" w:hAnsi="Times New Roman" w:cs="Times New Roman"/>
          <w:sz w:val="24"/>
          <w:szCs w:val="24"/>
        </w:rPr>
      </w:pPr>
    </w:p>
    <w:p w:rsidR="00B80BEC" w:rsidRDefault="00B80BEC" w:rsidP="00224694">
      <w:pPr>
        <w:pStyle w:val="BodyText"/>
        <w:ind w:left="720"/>
        <w:jc w:val="both"/>
        <w:rPr>
          <w:rFonts w:ascii="Times New Roman" w:hAnsi="Times New Roman" w:cs="Times New Roman"/>
          <w:sz w:val="24"/>
          <w:szCs w:val="24"/>
        </w:rPr>
      </w:pPr>
      <w:r>
        <w:rPr>
          <w:rFonts w:ascii="Times New Roman" w:hAnsi="Times New Roman" w:cs="Times New Roman"/>
          <w:sz w:val="24"/>
          <w:szCs w:val="24"/>
        </w:rPr>
        <w:t>10% complete. Delays in OHCHR’s recruitment of the Reparations Policy Advisor have meant that the initial, logical sequence of work has been severely disrupted. According to the project proposal, the first output was to be the establishment of a policy for reparations, both feasible and in line with international norms and standards, followed by the implementation phases. The latter have necessarily proceeded in the absence of the Reparations Policy Advisor, and a strategic review is envisaged once s/he arrives.</w:t>
      </w:r>
    </w:p>
    <w:p w:rsidR="00B80BEC" w:rsidRPr="00CE29C0" w:rsidRDefault="00B80BEC" w:rsidP="00A92CB5">
      <w:pPr>
        <w:pStyle w:val="BodyText"/>
        <w:tabs>
          <w:tab w:val="left" w:pos="720"/>
          <w:tab w:val="left" w:pos="885"/>
        </w:tabs>
        <w:ind w:left="720"/>
        <w:jc w:val="both"/>
        <w:rPr>
          <w:rFonts w:ascii="Times New Roman" w:hAnsi="Times New Roman" w:cs="Times New Roman"/>
          <w:sz w:val="24"/>
          <w:szCs w:val="24"/>
        </w:rPr>
      </w:pPr>
    </w:p>
    <w:p w:rsidR="00B80BEC" w:rsidRPr="00CE29C0" w:rsidRDefault="00B80BEC" w:rsidP="00224694">
      <w:pPr>
        <w:ind w:left="720"/>
        <w:jc w:val="both"/>
      </w:pPr>
      <w:r w:rsidRPr="00CE29C0">
        <w:rPr>
          <w:i/>
          <w:iCs/>
        </w:rPr>
        <w:t>Output 2:</w:t>
      </w:r>
      <w:r w:rsidRPr="00CE29C0">
        <w:t xml:space="preserve"> </w:t>
      </w:r>
      <w:r w:rsidRPr="00CE29C0">
        <w:rPr>
          <w:i/>
          <w:iCs/>
        </w:rPr>
        <w:t>Capacity of the Relief and Rehabilitation Unit and three selected District Administration Offices enhanced to support reparations programmes</w:t>
      </w:r>
      <w:r w:rsidRPr="00154FE7">
        <w:rPr>
          <w:i/>
          <w:iCs/>
        </w:rPr>
        <w:t xml:space="preserve">: </w:t>
      </w:r>
    </w:p>
    <w:p w:rsidR="00B80BEC" w:rsidRPr="00CE29C0" w:rsidRDefault="00B80BEC" w:rsidP="00A92CB5">
      <w:pPr>
        <w:pStyle w:val="BodyText"/>
        <w:tabs>
          <w:tab w:val="left" w:pos="720"/>
          <w:tab w:val="left" w:pos="885"/>
        </w:tabs>
        <w:ind w:left="720"/>
        <w:jc w:val="both"/>
        <w:rPr>
          <w:rFonts w:ascii="Times New Roman" w:hAnsi="Times New Roman" w:cs="Times New Roman"/>
          <w:sz w:val="24"/>
          <w:szCs w:val="24"/>
        </w:rPr>
      </w:pPr>
    </w:p>
    <w:p w:rsidR="00B80BEC" w:rsidRPr="00CE29C0" w:rsidRDefault="00B80BEC" w:rsidP="00A92CB5">
      <w:pPr>
        <w:pStyle w:val="BodyText"/>
        <w:tabs>
          <w:tab w:val="left" w:pos="720"/>
          <w:tab w:val="left" w:pos="885"/>
        </w:tabs>
        <w:ind w:left="720"/>
        <w:jc w:val="both"/>
        <w:rPr>
          <w:rFonts w:ascii="Times New Roman" w:hAnsi="Times New Roman" w:cs="Times New Roman"/>
          <w:sz w:val="24"/>
          <w:szCs w:val="24"/>
        </w:rPr>
      </w:pPr>
      <w:r w:rsidRPr="005F2694">
        <w:rPr>
          <w:rFonts w:ascii="Times New Roman" w:hAnsi="Times New Roman" w:cs="Times New Roman"/>
          <w:i/>
          <w:iCs/>
          <w:sz w:val="24"/>
          <w:szCs w:val="24"/>
        </w:rPr>
        <w:t>Output 3: Processes, Guidelines, SOPs, forms, procedures for various reparations benefits prepared</w:t>
      </w:r>
      <w:r w:rsidRPr="005F2694">
        <w:rPr>
          <w:rFonts w:ascii="Times New Roman" w:hAnsi="Times New Roman" w:cs="Times New Roman"/>
          <w:sz w:val="24"/>
          <w:szCs w:val="24"/>
        </w:rPr>
        <w:t xml:space="preserve">: </w:t>
      </w:r>
    </w:p>
    <w:p w:rsidR="00B80BEC" w:rsidRPr="00CE29C0" w:rsidRDefault="00B80BEC" w:rsidP="00A92CB5">
      <w:pPr>
        <w:pStyle w:val="BodyText"/>
        <w:tabs>
          <w:tab w:val="left" w:pos="720"/>
          <w:tab w:val="left" w:pos="885"/>
        </w:tabs>
        <w:ind w:left="720"/>
        <w:jc w:val="both"/>
        <w:rPr>
          <w:rFonts w:ascii="Times New Roman" w:hAnsi="Times New Roman" w:cs="Times New Roman"/>
          <w:sz w:val="24"/>
          <w:szCs w:val="24"/>
        </w:rPr>
      </w:pPr>
    </w:p>
    <w:p w:rsidR="00B80BEC" w:rsidRPr="00CE29C0" w:rsidRDefault="00B80BEC" w:rsidP="00A92CB5">
      <w:pPr>
        <w:pStyle w:val="BodyText"/>
        <w:tabs>
          <w:tab w:val="left" w:pos="720"/>
          <w:tab w:val="left" w:pos="885"/>
        </w:tabs>
        <w:ind w:left="720"/>
        <w:jc w:val="both"/>
        <w:rPr>
          <w:rFonts w:ascii="Times New Roman" w:hAnsi="Times New Roman" w:cs="Times New Roman"/>
          <w:sz w:val="24"/>
          <w:szCs w:val="24"/>
        </w:rPr>
      </w:pPr>
      <w:r w:rsidRPr="005F2694">
        <w:rPr>
          <w:rFonts w:ascii="Times New Roman" w:hAnsi="Times New Roman" w:cs="Times New Roman"/>
          <w:sz w:val="24"/>
          <w:szCs w:val="24"/>
        </w:rPr>
        <w:t xml:space="preserve">In order to achieve outputs 2 &amp; 3, various activities were planned which are described as follows: </w:t>
      </w:r>
    </w:p>
    <w:p w:rsidR="00B80BEC" w:rsidRPr="00CE29C0" w:rsidRDefault="00B80BEC" w:rsidP="00915168">
      <w:pPr>
        <w:pStyle w:val="BodyText"/>
        <w:tabs>
          <w:tab w:val="left" w:pos="720"/>
          <w:tab w:val="left" w:pos="1125"/>
        </w:tabs>
        <w:ind w:left="720"/>
        <w:jc w:val="both"/>
        <w:rPr>
          <w:rFonts w:ascii="Times New Roman" w:hAnsi="Times New Roman" w:cs="Times New Roman"/>
          <w:i/>
          <w:iCs/>
          <w:sz w:val="24"/>
          <w:szCs w:val="24"/>
        </w:rPr>
      </w:pPr>
    </w:p>
    <w:p w:rsidR="00B80BEC" w:rsidRPr="00CE29C0" w:rsidRDefault="00B80BEC" w:rsidP="00FD5B02">
      <w:pPr>
        <w:pStyle w:val="BodyText"/>
        <w:tabs>
          <w:tab w:val="left" w:pos="720"/>
          <w:tab w:val="left" w:pos="1125"/>
        </w:tabs>
        <w:ind w:left="720"/>
        <w:jc w:val="both"/>
        <w:rPr>
          <w:rFonts w:ascii="Times New Roman" w:hAnsi="Times New Roman" w:cs="Times New Roman"/>
          <w:i/>
          <w:iCs/>
          <w:sz w:val="24"/>
          <w:szCs w:val="24"/>
        </w:rPr>
      </w:pPr>
      <w:r w:rsidRPr="005F2694">
        <w:rPr>
          <w:rFonts w:ascii="Times New Roman" w:hAnsi="Times New Roman" w:cs="Times New Roman"/>
          <w:i/>
          <w:iCs/>
          <w:sz w:val="24"/>
          <w:szCs w:val="24"/>
        </w:rPr>
        <w:lastRenderedPageBreak/>
        <w:t>1. Map existing interim relief mechanisms and develop a concrete set of recommendations for improving their delivery, processing and reporting.</w:t>
      </w:r>
    </w:p>
    <w:p w:rsidR="00B80BEC" w:rsidRPr="00CE29C0" w:rsidRDefault="00B80BEC" w:rsidP="00FD5B02">
      <w:pPr>
        <w:pStyle w:val="BodyText"/>
        <w:tabs>
          <w:tab w:val="left" w:pos="720"/>
          <w:tab w:val="left" w:pos="1125"/>
        </w:tabs>
        <w:ind w:left="720"/>
        <w:jc w:val="both"/>
        <w:rPr>
          <w:rFonts w:ascii="Times New Roman" w:hAnsi="Times New Roman" w:cs="Times New Roman"/>
          <w:i/>
          <w:iCs/>
          <w:sz w:val="24"/>
          <w:szCs w:val="24"/>
        </w:rPr>
      </w:pPr>
    </w:p>
    <w:p w:rsidR="00B80BEC" w:rsidRPr="00CE29C0" w:rsidRDefault="00B80BEC" w:rsidP="00FD5B02">
      <w:pPr>
        <w:pStyle w:val="BodyText"/>
        <w:tabs>
          <w:tab w:val="left" w:pos="720"/>
          <w:tab w:val="left" w:pos="1125"/>
        </w:tabs>
        <w:ind w:left="720"/>
        <w:jc w:val="both"/>
        <w:rPr>
          <w:rFonts w:ascii="Times New Roman" w:hAnsi="Times New Roman" w:cs="Times New Roman"/>
          <w:sz w:val="24"/>
          <w:szCs w:val="24"/>
        </w:rPr>
      </w:pPr>
      <w:r w:rsidRPr="005F2694">
        <w:rPr>
          <w:rFonts w:ascii="Times New Roman" w:hAnsi="Times New Roman" w:cs="Times New Roman"/>
          <w:sz w:val="24"/>
          <w:szCs w:val="24"/>
        </w:rPr>
        <w:t xml:space="preserve">100% complete. See attached report. As new interim relief programmes are developed, IOM will continue to revise and update this mapping and gap analysis report. Field missions, questionnaires, and interviews were used to gather the data required for the report. A </w:t>
      </w:r>
      <w:r>
        <w:rPr>
          <w:rFonts w:ascii="Times New Roman" w:hAnsi="Times New Roman" w:cs="Times New Roman"/>
          <w:sz w:val="24"/>
          <w:szCs w:val="24"/>
        </w:rPr>
        <w:t>two</w:t>
      </w:r>
      <w:r w:rsidRPr="005F2694">
        <w:rPr>
          <w:rFonts w:ascii="Times New Roman" w:hAnsi="Times New Roman" w:cs="Times New Roman"/>
          <w:sz w:val="24"/>
          <w:szCs w:val="24"/>
        </w:rPr>
        <w:t>-day inter-ministerial national and district GoN workshop was held to validate and confirm the findings and a one-day joint workshop held with MoPR, civil society and donor groups to generate discussion on the findings of the report.</w:t>
      </w:r>
      <w:r>
        <w:rPr>
          <w:rFonts w:ascii="Times New Roman" w:hAnsi="Times New Roman" w:cs="Times New Roman"/>
          <w:sz w:val="24"/>
          <w:szCs w:val="24"/>
        </w:rPr>
        <w:t xml:space="preserve"> This report will serve as the base document for recommending improvements in the implementation of a wider reparations programme.</w:t>
      </w:r>
    </w:p>
    <w:p w:rsidR="00B80BEC" w:rsidRPr="00CE29C0" w:rsidRDefault="00B80BEC" w:rsidP="00FD5B02">
      <w:pPr>
        <w:pStyle w:val="BodyText"/>
        <w:tabs>
          <w:tab w:val="left" w:pos="720"/>
          <w:tab w:val="left" w:pos="1125"/>
        </w:tabs>
        <w:ind w:left="720"/>
        <w:jc w:val="both"/>
        <w:rPr>
          <w:rFonts w:ascii="Times New Roman" w:hAnsi="Times New Roman" w:cs="Times New Roman"/>
          <w:sz w:val="24"/>
          <w:szCs w:val="24"/>
        </w:rPr>
      </w:pPr>
    </w:p>
    <w:p w:rsidR="00B80BEC" w:rsidRPr="00CE29C0" w:rsidRDefault="00B80BEC" w:rsidP="00FD5B02">
      <w:pPr>
        <w:pStyle w:val="BodyText"/>
        <w:tabs>
          <w:tab w:val="left" w:pos="720"/>
          <w:tab w:val="left" w:pos="1125"/>
        </w:tabs>
        <w:ind w:left="720"/>
        <w:jc w:val="both"/>
        <w:rPr>
          <w:rFonts w:ascii="Times New Roman" w:hAnsi="Times New Roman" w:cs="Times New Roman"/>
          <w:i/>
          <w:iCs/>
          <w:sz w:val="24"/>
          <w:szCs w:val="24"/>
        </w:rPr>
      </w:pPr>
      <w:r>
        <w:rPr>
          <w:rFonts w:ascii="Times New Roman" w:hAnsi="Times New Roman" w:cs="Times New Roman"/>
          <w:i/>
          <w:iCs/>
          <w:sz w:val="24"/>
          <w:szCs w:val="24"/>
        </w:rPr>
        <w:t xml:space="preserve">2. Design an outreach strategy (including an outreach implementation plan): </w:t>
      </w:r>
    </w:p>
    <w:p w:rsidR="00B80BEC" w:rsidRPr="00CE29C0" w:rsidRDefault="00B80BEC" w:rsidP="00FD5B02">
      <w:pPr>
        <w:pStyle w:val="BodyText"/>
        <w:tabs>
          <w:tab w:val="left" w:pos="720"/>
          <w:tab w:val="left" w:pos="1125"/>
        </w:tabs>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B80BEC" w:rsidRPr="00CE29C0" w:rsidRDefault="00B80BEC" w:rsidP="00FD5B02">
      <w:pPr>
        <w:pStyle w:val="BodyText"/>
        <w:tabs>
          <w:tab w:val="left" w:pos="720"/>
          <w:tab w:val="left" w:pos="1125"/>
        </w:tabs>
        <w:ind w:left="720"/>
        <w:jc w:val="both"/>
        <w:rPr>
          <w:rFonts w:ascii="Times New Roman" w:hAnsi="Times New Roman" w:cs="Times New Roman"/>
          <w:sz w:val="24"/>
          <w:szCs w:val="24"/>
        </w:rPr>
      </w:pPr>
      <w:r>
        <w:rPr>
          <w:rFonts w:ascii="Times New Roman" w:hAnsi="Times New Roman" w:cs="Times New Roman"/>
          <w:sz w:val="24"/>
          <w:szCs w:val="24"/>
        </w:rPr>
        <w:t xml:space="preserve">50% complete. Draft document for outreach and implementation plan, timeline and budget on new interim relief measure (skills and employment training) was shared with MoPR. Once full reparations policy development is underway, this document can be expanded to include outreach on all components of a full reparations programme. Engagement of non-state actors particularly victim groups in this activity is a key component of this strategy. </w:t>
      </w:r>
    </w:p>
    <w:p w:rsidR="00B80BEC" w:rsidRPr="00CE29C0" w:rsidRDefault="00B80BEC" w:rsidP="00FD5B02">
      <w:pPr>
        <w:pStyle w:val="BodyText"/>
        <w:tabs>
          <w:tab w:val="left" w:pos="720"/>
          <w:tab w:val="left" w:pos="1125"/>
        </w:tabs>
        <w:ind w:left="720"/>
        <w:jc w:val="both"/>
        <w:rPr>
          <w:rFonts w:ascii="Times New Roman" w:hAnsi="Times New Roman" w:cs="Times New Roman"/>
          <w:sz w:val="24"/>
          <w:szCs w:val="24"/>
        </w:rPr>
      </w:pPr>
    </w:p>
    <w:p w:rsidR="00B80BEC" w:rsidRPr="00CE29C0" w:rsidRDefault="00B80BEC" w:rsidP="00FD5B02">
      <w:pPr>
        <w:pStyle w:val="BodyText"/>
        <w:tabs>
          <w:tab w:val="left" w:pos="720"/>
          <w:tab w:val="left" w:pos="1125"/>
        </w:tabs>
        <w:ind w:left="720"/>
        <w:jc w:val="both"/>
        <w:rPr>
          <w:rFonts w:ascii="Times New Roman" w:hAnsi="Times New Roman" w:cs="Times New Roman"/>
          <w:i/>
          <w:iCs/>
          <w:sz w:val="24"/>
          <w:szCs w:val="24"/>
        </w:rPr>
      </w:pPr>
      <w:r>
        <w:rPr>
          <w:rFonts w:ascii="Times New Roman" w:hAnsi="Times New Roman" w:cs="Times New Roman"/>
          <w:i/>
          <w:iCs/>
          <w:sz w:val="24"/>
          <w:szCs w:val="24"/>
        </w:rPr>
        <w:t>3. Design a comprehensive strategy for the collection and registration of victims and beneficiary data, including the development of a victim and beneficiary data collection standard.</w:t>
      </w:r>
    </w:p>
    <w:p w:rsidR="00B80BEC" w:rsidRPr="00CE29C0" w:rsidRDefault="00B80BEC" w:rsidP="00FD5B02">
      <w:pPr>
        <w:pStyle w:val="BodyText"/>
        <w:tabs>
          <w:tab w:val="left" w:pos="720"/>
          <w:tab w:val="left" w:pos="1125"/>
        </w:tabs>
        <w:ind w:left="720"/>
        <w:jc w:val="both"/>
        <w:rPr>
          <w:rFonts w:ascii="Times New Roman" w:hAnsi="Times New Roman" w:cs="Times New Roman"/>
          <w:i/>
          <w:iCs/>
          <w:sz w:val="24"/>
          <w:szCs w:val="24"/>
        </w:rPr>
      </w:pPr>
    </w:p>
    <w:p w:rsidR="00B80BEC" w:rsidRPr="00CE29C0" w:rsidRDefault="00B80BEC" w:rsidP="00FD5B02">
      <w:pPr>
        <w:pStyle w:val="BodyText"/>
        <w:tabs>
          <w:tab w:val="left" w:pos="720"/>
          <w:tab w:val="left" w:pos="1125"/>
        </w:tabs>
        <w:ind w:left="720"/>
        <w:jc w:val="both"/>
        <w:rPr>
          <w:rFonts w:ascii="Times New Roman" w:hAnsi="Times New Roman" w:cs="Times New Roman"/>
          <w:sz w:val="24"/>
          <w:szCs w:val="24"/>
        </w:rPr>
      </w:pPr>
      <w:r>
        <w:rPr>
          <w:rFonts w:ascii="Times New Roman" w:hAnsi="Times New Roman" w:cs="Times New Roman"/>
          <w:sz w:val="24"/>
          <w:szCs w:val="24"/>
        </w:rPr>
        <w:t>20% complete. The World Bank through the Emergency Peace Support Project is investing considerable resources in the establishment of a comprehensive MIS system for the MoPR. While there have been a series of meetings between IOM and World Bank, there has yet to be concrete progress in defining the parameters of the data management requirements of a reparations database. This is principally as a result of the slow progress of this component of the World Bank programme. To mitigate this, in 2011, as part of a rapid capacity assessment of the Relief and Rehabilitation Unit, IOM proposes to analyze the current Task Force database and detail improvements particularly in relation to inter-ministerial data sharing on the scholarship and health programmes to contribute to a more comprehensive database on conflict victims and the assistance they have received under the interim relief programme.</w:t>
      </w:r>
    </w:p>
    <w:p w:rsidR="00B80BEC" w:rsidRPr="00CE29C0" w:rsidRDefault="00B80BEC" w:rsidP="00FD5B02">
      <w:pPr>
        <w:pStyle w:val="BodyText"/>
        <w:tabs>
          <w:tab w:val="left" w:pos="720"/>
          <w:tab w:val="left" w:pos="1125"/>
        </w:tabs>
        <w:ind w:left="720"/>
        <w:jc w:val="both"/>
        <w:rPr>
          <w:rFonts w:ascii="Times New Roman" w:hAnsi="Times New Roman" w:cs="Times New Roman"/>
          <w:sz w:val="24"/>
          <w:szCs w:val="24"/>
        </w:rPr>
      </w:pPr>
    </w:p>
    <w:p w:rsidR="00B80BEC" w:rsidRPr="00CE29C0" w:rsidRDefault="00B80BEC" w:rsidP="00095017">
      <w:pPr>
        <w:pStyle w:val="BodyText"/>
        <w:tabs>
          <w:tab w:val="left" w:pos="720"/>
          <w:tab w:val="left" w:pos="1125"/>
        </w:tabs>
        <w:ind w:left="720"/>
        <w:jc w:val="both"/>
        <w:rPr>
          <w:rFonts w:ascii="Times New Roman" w:hAnsi="Times New Roman" w:cs="Times New Roman"/>
          <w:sz w:val="24"/>
          <w:szCs w:val="24"/>
        </w:rPr>
      </w:pPr>
      <w:r w:rsidRPr="005F2694">
        <w:rPr>
          <w:rFonts w:ascii="Times New Roman" w:hAnsi="Times New Roman" w:cs="Times New Roman"/>
          <w:i/>
          <w:iCs/>
          <w:sz w:val="24"/>
          <w:szCs w:val="24"/>
        </w:rPr>
        <w:t>4. Design process flows and SOP’s for the processing of victims reparation claims and the provision of reparations benefits</w:t>
      </w:r>
      <w:r w:rsidRPr="005F2694">
        <w:rPr>
          <w:rFonts w:ascii="Times New Roman" w:hAnsi="Times New Roman" w:cs="Times New Roman"/>
          <w:sz w:val="24"/>
          <w:szCs w:val="24"/>
        </w:rPr>
        <w:t xml:space="preserve">: </w:t>
      </w:r>
    </w:p>
    <w:p w:rsidR="00B80BEC" w:rsidRPr="00CE29C0" w:rsidRDefault="00B80BEC" w:rsidP="00095017">
      <w:pPr>
        <w:pStyle w:val="BodyText"/>
        <w:tabs>
          <w:tab w:val="left" w:pos="720"/>
          <w:tab w:val="left" w:pos="1125"/>
        </w:tabs>
        <w:ind w:left="720"/>
        <w:jc w:val="both"/>
        <w:rPr>
          <w:rFonts w:ascii="Times New Roman" w:hAnsi="Times New Roman" w:cs="Times New Roman"/>
          <w:sz w:val="24"/>
          <w:szCs w:val="24"/>
        </w:rPr>
      </w:pPr>
    </w:p>
    <w:p w:rsidR="00B80BEC" w:rsidRPr="00CE29C0" w:rsidRDefault="00B80BEC" w:rsidP="00095017">
      <w:pPr>
        <w:pStyle w:val="BodyText"/>
        <w:tabs>
          <w:tab w:val="left" w:pos="720"/>
          <w:tab w:val="left" w:pos="1125"/>
        </w:tabs>
        <w:ind w:left="720"/>
        <w:jc w:val="both"/>
        <w:rPr>
          <w:rFonts w:ascii="Times New Roman" w:hAnsi="Times New Roman" w:cs="Times New Roman"/>
          <w:sz w:val="24"/>
          <w:szCs w:val="24"/>
        </w:rPr>
      </w:pPr>
      <w:r w:rsidRPr="005F2694">
        <w:rPr>
          <w:rFonts w:ascii="Times New Roman" w:hAnsi="Times New Roman" w:cs="Times New Roman"/>
          <w:sz w:val="24"/>
          <w:szCs w:val="24"/>
        </w:rPr>
        <w:t>30% complete. Process flows jointly developed for all existing programmes with recommendations made for adjustments. Process flows developed for new interim relief programme (skills training and employment) however as yet no adoption by MoPR.</w:t>
      </w:r>
    </w:p>
    <w:p w:rsidR="00B80BEC" w:rsidRPr="00CE29C0" w:rsidRDefault="00B80BEC" w:rsidP="00095017">
      <w:pPr>
        <w:pStyle w:val="BodyText"/>
        <w:tabs>
          <w:tab w:val="left" w:pos="720"/>
          <w:tab w:val="left" w:pos="1125"/>
        </w:tabs>
        <w:ind w:left="720"/>
        <w:jc w:val="both"/>
        <w:rPr>
          <w:rFonts w:ascii="Times New Roman" w:hAnsi="Times New Roman" w:cs="Times New Roman"/>
          <w:sz w:val="24"/>
          <w:szCs w:val="24"/>
        </w:rPr>
      </w:pPr>
    </w:p>
    <w:p w:rsidR="00B80BEC" w:rsidRPr="00CE29C0" w:rsidRDefault="00B80BEC" w:rsidP="00095017">
      <w:pPr>
        <w:pStyle w:val="BodyText"/>
        <w:tabs>
          <w:tab w:val="left" w:pos="720"/>
          <w:tab w:val="left" w:pos="1125"/>
        </w:tabs>
        <w:ind w:left="720"/>
        <w:jc w:val="both"/>
        <w:rPr>
          <w:rFonts w:ascii="Times New Roman" w:hAnsi="Times New Roman" w:cs="Times New Roman"/>
          <w:i/>
          <w:iCs/>
          <w:sz w:val="24"/>
          <w:szCs w:val="24"/>
        </w:rPr>
      </w:pPr>
      <w:r w:rsidRPr="005F2694">
        <w:rPr>
          <w:rFonts w:ascii="Times New Roman" w:hAnsi="Times New Roman" w:cs="Times New Roman"/>
          <w:i/>
          <w:iCs/>
          <w:sz w:val="24"/>
          <w:szCs w:val="24"/>
        </w:rPr>
        <w:t>5. Testing of the reparations mechanisms developed in 3 pilot districts</w:t>
      </w:r>
    </w:p>
    <w:p w:rsidR="00B80BEC" w:rsidRPr="00CE29C0" w:rsidRDefault="00B80BEC" w:rsidP="00095017">
      <w:pPr>
        <w:pStyle w:val="BodyText"/>
        <w:tabs>
          <w:tab w:val="left" w:pos="720"/>
          <w:tab w:val="left" w:pos="1125"/>
        </w:tabs>
        <w:ind w:left="720"/>
        <w:jc w:val="both"/>
        <w:rPr>
          <w:rFonts w:ascii="Times New Roman" w:hAnsi="Times New Roman" w:cs="Times New Roman"/>
          <w:i/>
          <w:iCs/>
          <w:sz w:val="24"/>
          <w:szCs w:val="24"/>
        </w:rPr>
      </w:pPr>
    </w:p>
    <w:p w:rsidR="00B80BEC" w:rsidRPr="00CE29C0" w:rsidRDefault="00B80BEC" w:rsidP="00095017">
      <w:pPr>
        <w:pStyle w:val="BodyText"/>
        <w:tabs>
          <w:tab w:val="left" w:pos="720"/>
          <w:tab w:val="left" w:pos="1125"/>
        </w:tabs>
        <w:ind w:left="720"/>
        <w:jc w:val="both"/>
        <w:rPr>
          <w:rFonts w:ascii="Times New Roman" w:hAnsi="Times New Roman" w:cs="Times New Roman"/>
          <w:sz w:val="24"/>
          <w:szCs w:val="24"/>
        </w:rPr>
      </w:pPr>
      <w:r>
        <w:rPr>
          <w:rFonts w:ascii="Times New Roman" w:hAnsi="Times New Roman" w:cs="Times New Roman"/>
          <w:sz w:val="24"/>
          <w:szCs w:val="24"/>
        </w:rPr>
        <w:t>5</w:t>
      </w:r>
      <w:r w:rsidRPr="005F2694">
        <w:rPr>
          <w:rFonts w:ascii="Times New Roman" w:hAnsi="Times New Roman" w:cs="Times New Roman"/>
          <w:sz w:val="24"/>
          <w:szCs w:val="24"/>
        </w:rPr>
        <w:t>% complete. Most current interim relief mechanisms are coming to an end except for the new employment skills training programme that is being piloted in 12 districts in 2011. There is some delay in IOM becoming actively involved in this new programme.</w:t>
      </w:r>
    </w:p>
    <w:p w:rsidR="00B80BEC" w:rsidRPr="00CE29C0" w:rsidRDefault="00B80BEC" w:rsidP="00657402">
      <w:pPr>
        <w:pStyle w:val="BodyText"/>
        <w:ind w:left="720"/>
        <w:jc w:val="both"/>
        <w:rPr>
          <w:rFonts w:ascii="Times New Roman" w:hAnsi="Times New Roman" w:cs="Times New Roman"/>
          <w:sz w:val="24"/>
          <w:szCs w:val="24"/>
        </w:rPr>
      </w:pPr>
    </w:p>
    <w:p w:rsidR="00B80BEC" w:rsidRPr="00CE29C0" w:rsidRDefault="00B80BEC" w:rsidP="001E26A1">
      <w:pPr>
        <w:pStyle w:val="BodyText"/>
        <w:numPr>
          <w:ilvl w:val="0"/>
          <w:numId w:val="7"/>
        </w:numPr>
        <w:jc w:val="both"/>
        <w:rPr>
          <w:rFonts w:ascii="Times New Roman" w:hAnsi="Times New Roman" w:cs="Times New Roman"/>
          <w:sz w:val="24"/>
          <w:szCs w:val="24"/>
        </w:rPr>
      </w:pPr>
      <w:r w:rsidRPr="005F2694">
        <w:rPr>
          <w:rFonts w:ascii="Times New Roman" w:hAnsi="Times New Roman" w:cs="Times New Roman"/>
          <w:sz w:val="24"/>
          <w:szCs w:val="24"/>
        </w:rPr>
        <w:t>Explain, if relevant, delays in programme implementation, the nature of the constraints, actions taken to mitigate future delays and lessons learned in the process.</w:t>
      </w:r>
    </w:p>
    <w:p w:rsidR="00B80BEC" w:rsidRPr="00CE29C0" w:rsidRDefault="00B80BEC" w:rsidP="00486B62">
      <w:pPr>
        <w:pStyle w:val="BodyText"/>
        <w:ind w:firstLine="720"/>
        <w:jc w:val="both"/>
        <w:rPr>
          <w:rFonts w:ascii="Times New Roman" w:hAnsi="Times New Roman" w:cs="Times New Roman"/>
          <w:sz w:val="24"/>
          <w:szCs w:val="24"/>
        </w:rPr>
      </w:pPr>
    </w:p>
    <w:p w:rsidR="00B80BEC" w:rsidRPr="00CE29C0" w:rsidRDefault="00B80BEC" w:rsidP="002035CB">
      <w:pPr>
        <w:pStyle w:val="BodyText"/>
        <w:ind w:left="720"/>
        <w:jc w:val="both"/>
        <w:rPr>
          <w:rFonts w:ascii="Times New Roman" w:hAnsi="Times New Roman" w:cs="Times New Roman"/>
          <w:sz w:val="24"/>
          <w:szCs w:val="24"/>
        </w:rPr>
      </w:pPr>
      <w:r w:rsidRPr="005F2694">
        <w:rPr>
          <w:rFonts w:ascii="Times New Roman" w:hAnsi="Times New Roman" w:cs="Times New Roman"/>
          <w:i/>
          <w:iCs/>
          <w:sz w:val="24"/>
          <w:szCs w:val="24"/>
        </w:rPr>
        <w:lastRenderedPageBreak/>
        <w:t>1. MoPR has little incentive to change interim relief implementation mechanisms</w:t>
      </w:r>
      <w:r w:rsidRPr="00B351B6">
        <w:rPr>
          <w:rFonts w:ascii="Times New Roman" w:hAnsi="Times New Roman" w:cs="Times New Roman"/>
          <w:sz w:val="24"/>
          <w:szCs w:val="24"/>
        </w:rPr>
        <w:t>:-</w:t>
      </w:r>
      <w:r w:rsidRPr="005F2694">
        <w:rPr>
          <w:rFonts w:ascii="Times New Roman" w:hAnsi="Times New Roman" w:cs="Times New Roman"/>
          <w:sz w:val="24"/>
          <w:szCs w:val="24"/>
        </w:rPr>
        <w:t xml:space="preserve"> The interim relief programme has been implemented since 2008 with GoN and World Bank funding. Despite some criticism of the implementation modalities, there has been little incentive to improve the implementation record as the programme is nearing completion. IOM has therefore actively engaged the World Bank and MoPR in discussions around the new interim relief programmes of employment and skills training to conflict victims and their families. </w:t>
      </w:r>
      <w:r>
        <w:rPr>
          <w:rFonts w:ascii="Times New Roman" w:hAnsi="Times New Roman" w:cs="Times New Roman"/>
          <w:sz w:val="24"/>
          <w:szCs w:val="24"/>
        </w:rPr>
        <w:t>The project</w:t>
      </w:r>
      <w:r w:rsidRPr="005F2694">
        <w:rPr>
          <w:rFonts w:ascii="Times New Roman" w:hAnsi="Times New Roman" w:cs="Times New Roman"/>
          <w:sz w:val="24"/>
          <w:szCs w:val="24"/>
        </w:rPr>
        <w:t xml:space="preserve"> to date has had limited success in gaining traction to improve the implementation of this programme to make it more victim centered. Further engagement of the programme donor</w:t>
      </w:r>
      <w:r>
        <w:rPr>
          <w:rFonts w:ascii="Times New Roman" w:hAnsi="Times New Roman" w:cs="Times New Roman"/>
          <w:sz w:val="24"/>
          <w:szCs w:val="24"/>
        </w:rPr>
        <w:t xml:space="preserve"> (World Bank) and implementing partner (MoPR) is</w:t>
      </w:r>
      <w:r w:rsidRPr="005F2694">
        <w:rPr>
          <w:rFonts w:ascii="Times New Roman" w:hAnsi="Times New Roman" w:cs="Times New Roman"/>
          <w:sz w:val="24"/>
          <w:szCs w:val="24"/>
        </w:rPr>
        <w:t xml:space="preserve"> required. </w:t>
      </w:r>
    </w:p>
    <w:p w:rsidR="00B80BEC" w:rsidRPr="00CE29C0" w:rsidRDefault="00B80BEC" w:rsidP="002035CB">
      <w:pPr>
        <w:pStyle w:val="BodyText"/>
        <w:ind w:left="720"/>
        <w:jc w:val="both"/>
        <w:rPr>
          <w:rFonts w:ascii="Times New Roman" w:hAnsi="Times New Roman" w:cs="Times New Roman"/>
          <w:sz w:val="24"/>
          <w:szCs w:val="24"/>
        </w:rPr>
      </w:pPr>
    </w:p>
    <w:p w:rsidR="00B80BEC" w:rsidRPr="00CE29C0" w:rsidRDefault="00B80BEC" w:rsidP="002035CB">
      <w:pPr>
        <w:pStyle w:val="BodyText"/>
        <w:ind w:left="720"/>
        <w:jc w:val="both"/>
        <w:rPr>
          <w:rFonts w:ascii="Times New Roman" w:hAnsi="Times New Roman" w:cs="Times New Roman"/>
          <w:sz w:val="24"/>
          <w:szCs w:val="24"/>
        </w:rPr>
      </w:pPr>
      <w:r w:rsidRPr="005F2694">
        <w:rPr>
          <w:rFonts w:ascii="Times New Roman" w:hAnsi="Times New Roman" w:cs="Times New Roman"/>
          <w:i/>
          <w:iCs/>
          <w:sz w:val="24"/>
          <w:szCs w:val="24"/>
        </w:rPr>
        <w:t xml:space="preserve">2. Delayed passing of the TRC and </w:t>
      </w:r>
      <w:r>
        <w:rPr>
          <w:rFonts w:ascii="Times New Roman" w:hAnsi="Times New Roman" w:cs="Times New Roman"/>
          <w:i/>
          <w:iCs/>
          <w:sz w:val="24"/>
          <w:szCs w:val="24"/>
        </w:rPr>
        <w:t>Disappearances</w:t>
      </w:r>
      <w:r w:rsidRPr="005F2694">
        <w:rPr>
          <w:rFonts w:ascii="Times New Roman" w:hAnsi="Times New Roman" w:cs="Times New Roman"/>
          <w:i/>
          <w:iCs/>
          <w:sz w:val="24"/>
          <w:szCs w:val="24"/>
        </w:rPr>
        <w:t xml:space="preserve"> bills:- </w:t>
      </w:r>
      <w:r w:rsidRPr="005F2694">
        <w:rPr>
          <w:rFonts w:ascii="Times New Roman" w:hAnsi="Times New Roman" w:cs="Times New Roman"/>
          <w:sz w:val="24"/>
          <w:szCs w:val="24"/>
        </w:rPr>
        <w:t>Based on international transitional justice models, perceptions among GoN officials of the sequencing of reparations to follow truth-seeking has limited substantive discussion on reparations as the</w:t>
      </w:r>
      <w:r>
        <w:rPr>
          <w:rFonts w:ascii="Times New Roman" w:hAnsi="Times New Roman" w:cs="Times New Roman"/>
          <w:sz w:val="24"/>
          <w:szCs w:val="24"/>
        </w:rPr>
        <w:t xml:space="preserve"> government officials</w:t>
      </w:r>
      <w:r w:rsidRPr="005F2694">
        <w:rPr>
          <w:rFonts w:ascii="Times New Roman" w:hAnsi="Times New Roman" w:cs="Times New Roman"/>
          <w:sz w:val="24"/>
          <w:szCs w:val="24"/>
        </w:rPr>
        <w:t xml:space="preserve"> wait for the passing of the TRC and </w:t>
      </w:r>
      <w:r>
        <w:rPr>
          <w:rFonts w:ascii="Times New Roman" w:hAnsi="Times New Roman" w:cs="Times New Roman"/>
          <w:sz w:val="24"/>
          <w:szCs w:val="24"/>
        </w:rPr>
        <w:t xml:space="preserve">Disappearances </w:t>
      </w:r>
      <w:r w:rsidRPr="005F2694">
        <w:rPr>
          <w:rFonts w:ascii="Times New Roman" w:hAnsi="Times New Roman" w:cs="Times New Roman"/>
          <w:sz w:val="24"/>
          <w:szCs w:val="24"/>
        </w:rPr>
        <w:t>bills. IOM has held workshops and presented international models of how reparations can be used as the vehicle for transitional justice mechanisms. This has met with some success and the MoPR is willing to engage in further discussions of how reparations can be conducted in the delay of the commissions. IOM is planning a study tour to Col</w:t>
      </w:r>
      <w:r>
        <w:rPr>
          <w:rFonts w:ascii="Times New Roman" w:hAnsi="Times New Roman" w:cs="Times New Roman"/>
          <w:sz w:val="24"/>
          <w:szCs w:val="24"/>
        </w:rPr>
        <w:t>o</w:t>
      </w:r>
      <w:r w:rsidRPr="005F2694">
        <w:rPr>
          <w:rFonts w:ascii="Times New Roman" w:hAnsi="Times New Roman" w:cs="Times New Roman"/>
          <w:sz w:val="24"/>
          <w:szCs w:val="24"/>
        </w:rPr>
        <w:t>mbia for MoPR officials to better understand how reparations can be conducted in the absence of a TRC and further analy</w:t>
      </w:r>
      <w:r>
        <w:rPr>
          <w:rFonts w:ascii="Times New Roman" w:hAnsi="Times New Roman" w:cs="Times New Roman"/>
          <w:sz w:val="24"/>
          <w:szCs w:val="24"/>
        </w:rPr>
        <w:t>z</w:t>
      </w:r>
      <w:r w:rsidRPr="005F2694">
        <w:rPr>
          <w:rFonts w:ascii="Times New Roman" w:hAnsi="Times New Roman" w:cs="Times New Roman"/>
          <w:sz w:val="24"/>
          <w:szCs w:val="24"/>
        </w:rPr>
        <w:t>e implementation mechanisms.</w:t>
      </w:r>
    </w:p>
    <w:p w:rsidR="00B80BEC" w:rsidRPr="00CE29C0" w:rsidRDefault="00B80BEC" w:rsidP="002035CB">
      <w:pPr>
        <w:pStyle w:val="BodyText"/>
        <w:ind w:left="720"/>
        <w:jc w:val="both"/>
        <w:rPr>
          <w:rFonts w:ascii="Times New Roman" w:hAnsi="Times New Roman" w:cs="Times New Roman"/>
          <w:sz w:val="24"/>
          <w:szCs w:val="24"/>
        </w:rPr>
      </w:pPr>
    </w:p>
    <w:p w:rsidR="00B80BEC" w:rsidRPr="00CE29C0" w:rsidRDefault="00B80BEC" w:rsidP="002035CB">
      <w:pPr>
        <w:pStyle w:val="BodyText"/>
        <w:ind w:left="720"/>
        <w:jc w:val="both"/>
        <w:rPr>
          <w:rFonts w:ascii="Times New Roman" w:hAnsi="Times New Roman" w:cs="Times New Roman"/>
          <w:sz w:val="24"/>
          <w:szCs w:val="24"/>
        </w:rPr>
      </w:pPr>
      <w:r w:rsidRPr="005F2694">
        <w:rPr>
          <w:rFonts w:ascii="Times New Roman" w:hAnsi="Times New Roman" w:cs="Times New Roman"/>
          <w:i/>
          <w:iCs/>
          <w:sz w:val="24"/>
          <w:szCs w:val="24"/>
        </w:rPr>
        <w:t xml:space="preserve">3. Late recruitment of OHCHR Reparations </w:t>
      </w:r>
      <w:r>
        <w:rPr>
          <w:rFonts w:ascii="Times New Roman" w:hAnsi="Times New Roman" w:cs="Times New Roman"/>
          <w:i/>
          <w:iCs/>
          <w:sz w:val="24"/>
          <w:szCs w:val="24"/>
        </w:rPr>
        <w:t>Policy Advisor</w:t>
      </w:r>
      <w:r w:rsidRPr="00CE29C0">
        <w:rPr>
          <w:rFonts w:ascii="Times New Roman" w:hAnsi="Times New Roman" w:cs="Times New Roman"/>
          <w:i/>
          <w:iCs/>
          <w:sz w:val="24"/>
          <w:szCs w:val="24"/>
        </w:rPr>
        <w:t xml:space="preserve">:- </w:t>
      </w:r>
      <w:r w:rsidRPr="00CE29C0">
        <w:rPr>
          <w:rFonts w:ascii="Times New Roman" w:hAnsi="Times New Roman" w:cs="Times New Roman"/>
          <w:sz w:val="24"/>
          <w:szCs w:val="24"/>
        </w:rPr>
        <w:t>Policy development has been delayed due to the late recruitment of the OHCHR reparations expert. While general implementation mechanisms can be developed based on the existing interim relief programme, it is still unclear what direction the policy development will take. IOM has developed general guidelines that can be adapted and refined once the policy framework starts to gather shape.</w:t>
      </w:r>
    </w:p>
    <w:p w:rsidR="00B80BEC" w:rsidRPr="00CE29C0" w:rsidRDefault="00B80BEC" w:rsidP="002035CB">
      <w:pPr>
        <w:pStyle w:val="BodyText"/>
        <w:ind w:left="720"/>
        <w:jc w:val="both"/>
        <w:rPr>
          <w:rFonts w:ascii="Times New Roman" w:hAnsi="Times New Roman" w:cs="Times New Roman"/>
          <w:sz w:val="24"/>
          <w:szCs w:val="24"/>
        </w:rPr>
      </w:pPr>
    </w:p>
    <w:p w:rsidR="00B80BEC" w:rsidRPr="00CE29C0" w:rsidRDefault="00B80BEC" w:rsidP="002035CB">
      <w:pPr>
        <w:pStyle w:val="BodyText"/>
        <w:ind w:left="720"/>
        <w:jc w:val="both"/>
        <w:rPr>
          <w:rFonts w:ascii="Times New Roman" w:hAnsi="Times New Roman" w:cs="Times New Roman"/>
          <w:sz w:val="24"/>
          <w:szCs w:val="24"/>
        </w:rPr>
      </w:pPr>
      <w:r w:rsidRPr="005F2694">
        <w:rPr>
          <w:rFonts w:ascii="Times New Roman" w:hAnsi="Times New Roman" w:cs="Times New Roman"/>
          <w:i/>
          <w:iCs/>
          <w:sz w:val="24"/>
          <w:szCs w:val="24"/>
        </w:rPr>
        <w:t>4. Limited support from the World Bank</w:t>
      </w:r>
      <w:r w:rsidRPr="005F2694">
        <w:rPr>
          <w:rFonts w:ascii="Times New Roman" w:hAnsi="Times New Roman" w:cs="Times New Roman"/>
          <w:sz w:val="24"/>
          <w:szCs w:val="24"/>
        </w:rPr>
        <w:t>:- As the principal donor to the MoPR’s interim relief programme, the World Bank has a strong position of influence in terms of setting criteria to MoPR for the implementation of the programme. The World Bank has not used this leverage to recommend that interim relief be enhanced to approach international reparations standards nor to substantively improve the efficiency or transparency of the interim relief implementation. The World Bank’s position is that IOM should work through the MoPR however with limited leverage</w:t>
      </w:r>
      <w:r>
        <w:rPr>
          <w:rFonts w:ascii="Times New Roman" w:hAnsi="Times New Roman" w:cs="Times New Roman"/>
          <w:sz w:val="24"/>
          <w:szCs w:val="24"/>
        </w:rPr>
        <w:t>;</w:t>
      </w:r>
      <w:r w:rsidRPr="005F2694">
        <w:rPr>
          <w:rFonts w:ascii="Times New Roman" w:hAnsi="Times New Roman" w:cs="Times New Roman"/>
          <w:sz w:val="24"/>
          <w:szCs w:val="24"/>
        </w:rPr>
        <w:t xml:space="preserve"> IOM provides advice and recommendations that are not often incorporated into the programmes. With the arrival of the OHCHR reparations adviser in early 2011, the establishment of a working group between IOM, OHCHR, the WB and MoPR as detailed in the project document will be pursued. </w:t>
      </w:r>
    </w:p>
    <w:p w:rsidR="00B80BEC" w:rsidRPr="00CE29C0" w:rsidRDefault="00B80BEC" w:rsidP="00486B62">
      <w:pPr>
        <w:pStyle w:val="BodyText"/>
        <w:jc w:val="both"/>
        <w:rPr>
          <w:rFonts w:ascii="Times New Roman" w:hAnsi="Times New Roman" w:cs="Times New Roman"/>
          <w:sz w:val="24"/>
          <w:szCs w:val="24"/>
        </w:rPr>
      </w:pPr>
    </w:p>
    <w:p w:rsidR="00B80BEC" w:rsidRPr="00CE29C0" w:rsidRDefault="00B80BEC" w:rsidP="00AB0274">
      <w:pPr>
        <w:pStyle w:val="BodyText"/>
        <w:numPr>
          <w:ilvl w:val="0"/>
          <w:numId w:val="7"/>
        </w:numPr>
        <w:jc w:val="both"/>
        <w:rPr>
          <w:rFonts w:ascii="Times New Roman" w:hAnsi="Times New Roman" w:cs="Times New Roman"/>
          <w:sz w:val="24"/>
          <w:szCs w:val="24"/>
        </w:rPr>
      </w:pPr>
      <w:r w:rsidRPr="005F2694">
        <w:rPr>
          <w:rFonts w:ascii="Times New Roman" w:hAnsi="Times New Roman" w:cs="Times New Roman"/>
          <w:sz w:val="24"/>
          <w:szCs w:val="24"/>
        </w:rPr>
        <w:t>List the key partnerships and collaborations, and explain how such relationships impact on the achievement of results.</w:t>
      </w:r>
    </w:p>
    <w:p w:rsidR="00B80BEC" w:rsidRPr="00CE29C0" w:rsidRDefault="00B80BEC" w:rsidP="00A37304">
      <w:pPr>
        <w:pStyle w:val="BodyText"/>
        <w:ind w:left="360"/>
        <w:jc w:val="both"/>
        <w:rPr>
          <w:rFonts w:ascii="Times New Roman" w:hAnsi="Times New Roman" w:cs="Times New Roman"/>
          <w:sz w:val="24"/>
          <w:szCs w:val="24"/>
        </w:rPr>
      </w:pPr>
    </w:p>
    <w:p w:rsidR="00B80BEC" w:rsidRPr="00CE29C0" w:rsidRDefault="00B80BEC" w:rsidP="00A37304">
      <w:pPr>
        <w:pStyle w:val="BodyText"/>
        <w:ind w:left="720"/>
        <w:jc w:val="both"/>
        <w:rPr>
          <w:rFonts w:ascii="Times New Roman" w:hAnsi="Times New Roman" w:cs="Times New Roman"/>
          <w:sz w:val="24"/>
          <w:szCs w:val="24"/>
        </w:rPr>
      </w:pPr>
      <w:r w:rsidRPr="005F2694">
        <w:rPr>
          <w:rFonts w:ascii="Times New Roman" w:hAnsi="Times New Roman" w:cs="Times New Roman"/>
          <w:sz w:val="24"/>
          <w:szCs w:val="24"/>
        </w:rPr>
        <w:t>Collaboration with GoN agencies:-</w:t>
      </w:r>
    </w:p>
    <w:p w:rsidR="00B80BEC" w:rsidRPr="00CE29C0" w:rsidRDefault="00B80BEC" w:rsidP="00A37304">
      <w:pPr>
        <w:pStyle w:val="BodyText"/>
        <w:ind w:left="720"/>
        <w:jc w:val="both"/>
        <w:rPr>
          <w:rFonts w:ascii="Times New Roman" w:hAnsi="Times New Roman" w:cs="Times New Roman"/>
          <w:sz w:val="24"/>
          <w:szCs w:val="24"/>
        </w:rPr>
      </w:pPr>
      <w:r w:rsidRPr="005F2694">
        <w:rPr>
          <w:rFonts w:ascii="Times New Roman" w:hAnsi="Times New Roman" w:cs="Times New Roman"/>
          <w:sz w:val="24"/>
          <w:szCs w:val="24"/>
        </w:rPr>
        <w:t>1. National:- Ministry of Peace and Reconstruction (MoPR) Relief and Rehabilitation Unit (RRU), Task Force of MoPR, , Ministry of Education, Ministry of Health and Population (MoHP), Ministry of Home Affairs</w:t>
      </w:r>
    </w:p>
    <w:p w:rsidR="00B80BEC" w:rsidRPr="00CE29C0" w:rsidRDefault="00B80BEC" w:rsidP="00A37304">
      <w:pPr>
        <w:pStyle w:val="BodyText"/>
        <w:ind w:left="720"/>
        <w:jc w:val="both"/>
        <w:rPr>
          <w:rFonts w:ascii="Times New Roman" w:hAnsi="Times New Roman" w:cs="Times New Roman"/>
          <w:sz w:val="24"/>
          <w:szCs w:val="24"/>
        </w:rPr>
      </w:pPr>
      <w:r w:rsidRPr="005F2694">
        <w:rPr>
          <w:rFonts w:ascii="Times New Roman" w:hAnsi="Times New Roman" w:cs="Times New Roman"/>
          <w:sz w:val="24"/>
          <w:szCs w:val="24"/>
        </w:rPr>
        <w:t xml:space="preserve">2. District:- District Administration Offices (DAO) District Education Offices (DEO) District Development Committees (DDC), District health Officer and Local Peace Committees of Bhaktapur, Kathmandu, Nepaljung and Biratngar, </w:t>
      </w:r>
    </w:p>
    <w:p w:rsidR="00B80BEC" w:rsidRPr="00CE29C0" w:rsidRDefault="00B80BEC" w:rsidP="00A37304">
      <w:pPr>
        <w:pStyle w:val="BodyText"/>
        <w:ind w:left="720"/>
        <w:jc w:val="both"/>
        <w:rPr>
          <w:rFonts w:ascii="Times New Roman" w:hAnsi="Times New Roman" w:cs="Times New Roman"/>
          <w:sz w:val="24"/>
          <w:szCs w:val="24"/>
        </w:rPr>
      </w:pPr>
    </w:p>
    <w:p w:rsidR="00B80BEC" w:rsidRPr="00CE29C0" w:rsidRDefault="00B80BEC" w:rsidP="00A37304">
      <w:pPr>
        <w:pStyle w:val="BodyText"/>
        <w:ind w:left="720"/>
        <w:jc w:val="both"/>
        <w:rPr>
          <w:rFonts w:ascii="Times New Roman" w:hAnsi="Times New Roman" w:cs="Times New Roman"/>
          <w:sz w:val="24"/>
          <w:szCs w:val="24"/>
        </w:rPr>
      </w:pPr>
      <w:r w:rsidRPr="005F2694">
        <w:rPr>
          <w:rFonts w:ascii="Times New Roman" w:hAnsi="Times New Roman" w:cs="Times New Roman"/>
          <w:sz w:val="24"/>
          <w:szCs w:val="24"/>
        </w:rPr>
        <w:lastRenderedPageBreak/>
        <w:t>Ensuring good working relationships with both national and district level GoN implementation agencies has been essential in gaining a better understanding of their challenges and capacities and recommending practical amendments to enhance fairness and efficiency.</w:t>
      </w:r>
    </w:p>
    <w:p w:rsidR="00B80BEC" w:rsidRPr="00CE29C0" w:rsidRDefault="00B80BEC" w:rsidP="00A37304">
      <w:pPr>
        <w:pStyle w:val="BodyText"/>
        <w:ind w:left="720"/>
        <w:jc w:val="both"/>
        <w:rPr>
          <w:rFonts w:ascii="Times New Roman" w:hAnsi="Times New Roman" w:cs="Times New Roman"/>
          <w:sz w:val="24"/>
          <w:szCs w:val="24"/>
        </w:rPr>
      </w:pPr>
    </w:p>
    <w:p w:rsidR="00B80BEC" w:rsidRPr="00CE29C0" w:rsidRDefault="00B80BEC" w:rsidP="00A37304">
      <w:pPr>
        <w:pStyle w:val="BodyText"/>
        <w:ind w:left="720"/>
        <w:jc w:val="both"/>
        <w:rPr>
          <w:rFonts w:ascii="Times New Roman" w:hAnsi="Times New Roman" w:cs="Times New Roman"/>
          <w:sz w:val="24"/>
          <w:szCs w:val="24"/>
        </w:rPr>
      </w:pPr>
      <w:r w:rsidRPr="005F2694">
        <w:rPr>
          <w:rFonts w:ascii="Times New Roman" w:hAnsi="Times New Roman" w:cs="Times New Roman"/>
          <w:sz w:val="24"/>
          <w:szCs w:val="24"/>
        </w:rPr>
        <w:t xml:space="preserve">Civil society and international organisations:- </w:t>
      </w:r>
    </w:p>
    <w:p w:rsidR="00B80BEC" w:rsidRPr="00CE29C0" w:rsidRDefault="00B80BEC" w:rsidP="00A37304">
      <w:pPr>
        <w:pStyle w:val="BodyText"/>
        <w:ind w:left="720"/>
        <w:jc w:val="both"/>
        <w:rPr>
          <w:rFonts w:ascii="Times New Roman" w:hAnsi="Times New Roman" w:cs="Times New Roman"/>
          <w:sz w:val="24"/>
          <w:szCs w:val="24"/>
        </w:rPr>
      </w:pPr>
      <w:r w:rsidRPr="005F2694">
        <w:rPr>
          <w:rFonts w:ascii="Times New Roman" w:hAnsi="Times New Roman" w:cs="Times New Roman"/>
          <w:sz w:val="24"/>
          <w:szCs w:val="24"/>
        </w:rPr>
        <w:t xml:space="preserve">Conflict Victims Society for Justice (CVSJ), Advocacy Forum (AF), International Centre for Transitional Justice (ICTJ), United Nations Development Program (UNDP), World Bank (WB),  </w:t>
      </w:r>
      <w:r>
        <w:rPr>
          <w:rFonts w:ascii="Times New Roman" w:hAnsi="Times New Roman" w:cs="Times New Roman"/>
          <w:sz w:val="24"/>
          <w:szCs w:val="24"/>
        </w:rPr>
        <w:t>German International Cooperation (</w:t>
      </w:r>
      <w:r w:rsidRPr="005F2694">
        <w:rPr>
          <w:rFonts w:ascii="Times New Roman" w:hAnsi="Times New Roman" w:cs="Times New Roman"/>
          <w:sz w:val="24"/>
          <w:szCs w:val="24"/>
        </w:rPr>
        <w:t>GIZ</w:t>
      </w:r>
      <w:r>
        <w:rPr>
          <w:rFonts w:ascii="Times New Roman" w:hAnsi="Times New Roman" w:cs="Times New Roman"/>
          <w:sz w:val="24"/>
          <w:szCs w:val="24"/>
        </w:rPr>
        <w:t>)</w:t>
      </w:r>
      <w:r w:rsidRPr="005F2694">
        <w:rPr>
          <w:rFonts w:ascii="Times New Roman" w:hAnsi="Times New Roman" w:cs="Times New Roman"/>
          <w:sz w:val="24"/>
          <w:szCs w:val="24"/>
        </w:rPr>
        <w:t>, The Carter Centre, International Commission of Jurist (ICJ), International Committee of the Red Cross (ICRC), UNWomen and UNICEF</w:t>
      </w:r>
      <w:r w:rsidRPr="00CE29C0">
        <w:rPr>
          <w:rFonts w:ascii="Times New Roman" w:hAnsi="Times New Roman" w:cs="Times New Roman"/>
          <w:sz w:val="24"/>
          <w:szCs w:val="24"/>
        </w:rPr>
        <w:t xml:space="preserve">. </w:t>
      </w:r>
    </w:p>
    <w:p w:rsidR="00B80BEC" w:rsidRPr="00CE29C0" w:rsidRDefault="00B80BEC" w:rsidP="00A37304">
      <w:pPr>
        <w:pStyle w:val="BodyText"/>
        <w:ind w:left="720"/>
        <w:jc w:val="both"/>
        <w:rPr>
          <w:rFonts w:ascii="Times New Roman" w:hAnsi="Times New Roman" w:cs="Times New Roman"/>
          <w:sz w:val="24"/>
          <w:szCs w:val="24"/>
        </w:rPr>
      </w:pPr>
    </w:p>
    <w:p w:rsidR="00B80BEC" w:rsidRPr="00CE29C0" w:rsidRDefault="00B80BEC" w:rsidP="00A37304">
      <w:pPr>
        <w:pStyle w:val="BodyText"/>
        <w:ind w:left="720"/>
        <w:jc w:val="both"/>
        <w:rPr>
          <w:rFonts w:ascii="Times New Roman" w:hAnsi="Times New Roman" w:cs="Times New Roman"/>
          <w:sz w:val="24"/>
          <w:szCs w:val="24"/>
        </w:rPr>
      </w:pPr>
      <w:r w:rsidRPr="00CE29C0">
        <w:rPr>
          <w:rFonts w:ascii="Times New Roman" w:hAnsi="Times New Roman" w:cs="Times New Roman"/>
          <w:sz w:val="24"/>
          <w:szCs w:val="24"/>
        </w:rPr>
        <w:t>An informal group of non-state actors working on reparations and interim relief has met every few months to discuss progress, establish common positions and prevent duplications or overlap. This informal group has been instrumental in ensuring that project resources are maximized by ensuring good coordination. In particular there has been very close coordination between OHCHR, IOM &amp; ICTJ who are directly tasked to work on reparations.</w:t>
      </w:r>
    </w:p>
    <w:p w:rsidR="00B80BEC" w:rsidRPr="00CE29C0" w:rsidRDefault="00B80BEC" w:rsidP="00A37304">
      <w:pPr>
        <w:pStyle w:val="BodyText"/>
        <w:ind w:left="720"/>
        <w:jc w:val="both"/>
        <w:rPr>
          <w:rFonts w:ascii="Times New Roman" w:hAnsi="Times New Roman" w:cs="Times New Roman"/>
          <w:sz w:val="24"/>
          <w:szCs w:val="24"/>
        </w:rPr>
      </w:pPr>
    </w:p>
    <w:p w:rsidR="00B80BEC" w:rsidRPr="00CE29C0" w:rsidRDefault="00B80BEC" w:rsidP="00A37304">
      <w:pPr>
        <w:pStyle w:val="BodyText"/>
        <w:ind w:left="720"/>
        <w:jc w:val="both"/>
        <w:rPr>
          <w:rFonts w:ascii="Times New Roman" w:hAnsi="Times New Roman" w:cs="Times New Roman"/>
          <w:sz w:val="24"/>
          <w:szCs w:val="24"/>
        </w:rPr>
      </w:pPr>
      <w:r w:rsidRPr="00CE29C0">
        <w:rPr>
          <w:rFonts w:ascii="Times New Roman" w:hAnsi="Times New Roman" w:cs="Times New Roman"/>
          <w:sz w:val="24"/>
          <w:szCs w:val="24"/>
        </w:rPr>
        <w:t xml:space="preserve">Donors:- </w:t>
      </w:r>
    </w:p>
    <w:p w:rsidR="00B80BEC" w:rsidRPr="00CE29C0" w:rsidRDefault="00B80BEC" w:rsidP="00A37304">
      <w:pPr>
        <w:pStyle w:val="BodyText"/>
        <w:ind w:left="720"/>
        <w:jc w:val="both"/>
        <w:rPr>
          <w:rFonts w:ascii="Times New Roman" w:hAnsi="Times New Roman" w:cs="Times New Roman"/>
          <w:sz w:val="24"/>
          <w:szCs w:val="24"/>
        </w:rPr>
      </w:pPr>
      <w:r w:rsidRPr="00CE29C0">
        <w:rPr>
          <w:rFonts w:ascii="Times New Roman" w:hAnsi="Times New Roman" w:cs="Times New Roman"/>
          <w:sz w:val="24"/>
          <w:szCs w:val="24"/>
        </w:rPr>
        <w:t xml:space="preserve">USAID, British Embassy, Norwegian Embassy, Danish Embassy, Nepal Peace Trust Fund (NPTF), GIZ, PBF. </w:t>
      </w:r>
    </w:p>
    <w:p w:rsidR="00B80BEC" w:rsidRPr="00CE29C0" w:rsidRDefault="00B80BEC" w:rsidP="00A37304">
      <w:pPr>
        <w:pStyle w:val="BodyText"/>
        <w:ind w:left="720"/>
        <w:jc w:val="both"/>
        <w:rPr>
          <w:rFonts w:ascii="Times New Roman" w:hAnsi="Times New Roman" w:cs="Times New Roman"/>
          <w:sz w:val="24"/>
          <w:szCs w:val="24"/>
        </w:rPr>
      </w:pPr>
    </w:p>
    <w:p w:rsidR="00B80BEC" w:rsidRPr="00CE29C0" w:rsidRDefault="00B80BEC" w:rsidP="00A37304">
      <w:pPr>
        <w:pStyle w:val="BodyText"/>
        <w:ind w:left="720"/>
        <w:jc w:val="both"/>
        <w:rPr>
          <w:rFonts w:ascii="Times New Roman" w:hAnsi="Times New Roman" w:cs="Times New Roman"/>
          <w:sz w:val="24"/>
          <w:szCs w:val="24"/>
        </w:rPr>
      </w:pPr>
      <w:r w:rsidRPr="00CE29C0">
        <w:rPr>
          <w:rFonts w:ascii="Times New Roman" w:hAnsi="Times New Roman" w:cs="Times New Roman"/>
          <w:sz w:val="24"/>
          <w:szCs w:val="24"/>
        </w:rPr>
        <w:t>Ensuring the donor community is well aware of new initiatives in this sector is essential especially through the cluster groups of the NPTF where proposals in this sector are vetted and amended.</w:t>
      </w:r>
    </w:p>
    <w:p w:rsidR="00B80BEC" w:rsidRPr="00CE29C0" w:rsidRDefault="00B80BEC" w:rsidP="00A37304">
      <w:pPr>
        <w:pStyle w:val="BodyText"/>
        <w:ind w:left="720"/>
        <w:jc w:val="both"/>
        <w:rPr>
          <w:rFonts w:ascii="Times New Roman" w:hAnsi="Times New Roman" w:cs="Times New Roman"/>
          <w:sz w:val="24"/>
          <w:szCs w:val="24"/>
        </w:rPr>
      </w:pPr>
    </w:p>
    <w:p w:rsidR="00B80BEC" w:rsidRPr="00CE29C0" w:rsidRDefault="00B80BEC" w:rsidP="00A37304">
      <w:pPr>
        <w:pStyle w:val="BodyText"/>
        <w:ind w:left="720"/>
        <w:jc w:val="both"/>
        <w:rPr>
          <w:rFonts w:ascii="Times New Roman" w:hAnsi="Times New Roman" w:cs="Times New Roman"/>
          <w:sz w:val="24"/>
          <w:szCs w:val="24"/>
        </w:rPr>
      </w:pPr>
      <w:r w:rsidRPr="00CE29C0">
        <w:rPr>
          <w:rFonts w:ascii="Times New Roman" w:hAnsi="Times New Roman" w:cs="Times New Roman"/>
          <w:sz w:val="24"/>
          <w:szCs w:val="24"/>
        </w:rPr>
        <w:t>In addition, the project created an email network</w:t>
      </w:r>
      <w:r>
        <w:rPr>
          <w:rFonts w:ascii="Times New Roman" w:hAnsi="Times New Roman" w:cs="Times New Roman"/>
          <w:sz w:val="24"/>
          <w:szCs w:val="24"/>
        </w:rPr>
        <w:t>, which incorporates a wide range of stakeholders such as donors, UN agencies, civil society, international and national NGOs as well as Government of Nepal,</w:t>
      </w:r>
      <w:r w:rsidRPr="00CE29C0">
        <w:rPr>
          <w:rFonts w:ascii="Times New Roman" w:hAnsi="Times New Roman" w:cs="Times New Roman"/>
          <w:sz w:val="24"/>
          <w:szCs w:val="24"/>
        </w:rPr>
        <w:t xml:space="preserve"> for information sharing. The email network </w:t>
      </w:r>
      <w:r w:rsidRPr="005F2694">
        <w:rPr>
          <w:rFonts w:ascii="Times New Roman" w:hAnsi="Times New Roman" w:cs="Times New Roman"/>
          <w:sz w:val="24"/>
          <w:szCs w:val="24"/>
        </w:rPr>
        <w:t>was used to disseminate project publications such as Reparations Newsletter, Project Information Sheet and Mapping and Gap Analysis report to stakeholders and regularly update the stakeholders o</w:t>
      </w:r>
      <w:r>
        <w:rPr>
          <w:rFonts w:ascii="Times New Roman" w:hAnsi="Times New Roman" w:cs="Times New Roman"/>
          <w:sz w:val="24"/>
          <w:szCs w:val="24"/>
        </w:rPr>
        <w:t>n</w:t>
      </w:r>
      <w:r w:rsidRPr="005F2694">
        <w:rPr>
          <w:rFonts w:ascii="Times New Roman" w:hAnsi="Times New Roman" w:cs="Times New Roman"/>
          <w:sz w:val="24"/>
          <w:szCs w:val="24"/>
        </w:rPr>
        <w:t xml:space="preserve"> project activities. </w:t>
      </w:r>
    </w:p>
    <w:p w:rsidR="00B80BEC" w:rsidRPr="00CE29C0" w:rsidRDefault="00B80BEC" w:rsidP="00A37304">
      <w:pPr>
        <w:pStyle w:val="BodyText"/>
        <w:ind w:left="720"/>
        <w:jc w:val="both"/>
        <w:rPr>
          <w:rFonts w:ascii="Times New Roman" w:hAnsi="Times New Roman" w:cs="Times New Roman"/>
          <w:sz w:val="24"/>
          <w:szCs w:val="24"/>
        </w:rPr>
      </w:pPr>
    </w:p>
    <w:p w:rsidR="00B80BEC" w:rsidRPr="00CE29C0" w:rsidRDefault="00B80BEC" w:rsidP="00AB0274">
      <w:pPr>
        <w:pStyle w:val="BodyText"/>
        <w:numPr>
          <w:ilvl w:val="0"/>
          <w:numId w:val="7"/>
        </w:numPr>
        <w:jc w:val="both"/>
        <w:rPr>
          <w:rFonts w:ascii="Times New Roman" w:hAnsi="Times New Roman" w:cs="Times New Roman"/>
          <w:sz w:val="24"/>
          <w:szCs w:val="24"/>
        </w:rPr>
      </w:pPr>
      <w:r w:rsidRPr="005F2694">
        <w:rPr>
          <w:rFonts w:ascii="Times New Roman" w:hAnsi="Times New Roman" w:cs="Times New Roman"/>
          <w:sz w:val="24"/>
          <w:szCs w:val="24"/>
        </w:rPr>
        <w:t>Other highlights and cross-cutting issues pertinent to the results being reported on.</w:t>
      </w:r>
    </w:p>
    <w:p w:rsidR="00B80BEC" w:rsidRPr="00CE29C0" w:rsidRDefault="00B80BEC" w:rsidP="004E7CC3">
      <w:pPr>
        <w:pStyle w:val="BodyText"/>
        <w:ind w:left="720"/>
        <w:jc w:val="both"/>
        <w:rPr>
          <w:rFonts w:ascii="Times New Roman" w:hAnsi="Times New Roman" w:cs="Times New Roman"/>
          <w:sz w:val="24"/>
          <w:szCs w:val="24"/>
        </w:rPr>
      </w:pPr>
    </w:p>
    <w:p w:rsidR="00B80BEC" w:rsidRPr="00CE29C0" w:rsidRDefault="00B80BEC" w:rsidP="004E7CC3">
      <w:pPr>
        <w:pStyle w:val="BodyText"/>
        <w:jc w:val="both"/>
        <w:rPr>
          <w:rFonts w:ascii="Times New Roman" w:hAnsi="Times New Roman" w:cs="Times New Roman"/>
          <w:sz w:val="24"/>
          <w:szCs w:val="24"/>
        </w:rPr>
      </w:pPr>
    </w:p>
    <w:p w:rsidR="00B80BEC" w:rsidRPr="00CE29C0" w:rsidRDefault="00B80BEC" w:rsidP="00D10850">
      <w:pPr>
        <w:pStyle w:val="BodyText"/>
        <w:numPr>
          <w:ilvl w:val="0"/>
          <w:numId w:val="7"/>
        </w:numPr>
        <w:rPr>
          <w:rFonts w:ascii="Times New Roman" w:hAnsi="Times New Roman" w:cs="Times New Roman"/>
          <w:sz w:val="24"/>
          <w:szCs w:val="24"/>
        </w:rPr>
      </w:pPr>
      <w:r w:rsidRPr="005F2694">
        <w:rPr>
          <w:rFonts w:ascii="Times New Roman" w:hAnsi="Times New Roman" w:cs="Times New Roman"/>
          <w:sz w:val="24"/>
          <w:szCs w:val="24"/>
        </w:rPr>
        <w:t xml:space="preserve">Provide an assessment of the programme/ project based on performance indicators as per approved project document using the template in Section VIII, if applicable. </w:t>
      </w:r>
    </w:p>
    <w:p w:rsidR="00B80BEC" w:rsidRPr="00CE29C0" w:rsidRDefault="00B80BEC" w:rsidP="004E7CC3">
      <w:pPr>
        <w:pStyle w:val="BodyText"/>
        <w:rPr>
          <w:rFonts w:ascii="Times New Roman" w:hAnsi="Times New Roman" w:cs="Times New Roman"/>
          <w:sz w:val="24"/>
          <w:szCs w:val="24"/>
        </w:rPr>
      </w:pPr>
    </w:p>
    <w:p w:rsidR="00B80BEC" w:rsidRPr="00CE29C0" w:rsidRDefault="00B80BEC" w:rsidP="004E7CC3">
      <w:pPr>
        <w:pStyle w:val="BodyText"/>
        <w:ind w:left="720"/>
        <w:rPr>
          <w:rFonts w:ascii="Times New Roman" w:hAnsi="Times New Roman" w:cs="Times New Roman"/>
          <w:sz w:val="24"/>
          <w:szCs w:val="24"/>
        </w:rPr>
      </w:pPr>
      <w:r w:rsidRPr="005F2694">
        <w:rPr>
          <w:rFonts w:ascii="Times New Roman" w:hAnsi="Times New Roman" w:cs="Times New Roman"/>
          <w:sz w:val="24"/>
          <w:szCs w:val="24"/>
        </w:rPr>
        <w:t>See section VIII below</w:t>
      </w:r>
    </w:p>
    <w:p w:rsidR="00B80BEC" w:rsidRPr="00CE29C0" w:rsidRDefault="00B80BEC" w:rsidP="00AB0274">
      <w:pPr>
        <w:pStyle w:val="BodyText"/>
        <w:ind w:left="360"/>
        <w:rPr>
          <w:rFonts w:ascii="Times New Roman" w:hAnsi="Times New Roman" w:cs="Times New Roman"/>
          <w:sz w:val="24"/>
          <w:szCs w:val="24"/>
        </w:rPr>
      </w:pPr>
    </w:p>
    <w:p w:rsidR="00B80BEC" w:rsidRPr="00CE29C0" w:rsidRDefault="00B80BEC" w:rsidP="0021644A">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7" w:name="_Toc249364487"/>
      <w:r w:rsidRPr="00154FE7">
        <w:rPr>
          <w:rFonts w:ascii="Times New Roman" w:hAnsi="Times New Roman" w:cs="Times New Roman"/>
          <w:sz w:val="24"/>
          <w:szCs w:val="24"/>
        </w:rPr>
        <w:t>Future Work Plan (if applicable)</w:t>
      </w:r>
      <w:bookmarkEnd w:id="7"/>
    </w:p>
    <w:p w:rsidR="00B80BEC" w:rsidRPr="00CE29C0" w:rsidRDefault="00B80BEC" w:rsidP="0021644A">
      <w:pPr>
        <w:pStyle w:val="BodyText"/>
        <w:numPr>
          <w:ilvl w:val="0"/>
          <w:numId w:val="8"/>
        </w:numPr>
        <w:tabs>
          <w:tab w:val="left" w:pos="360"/>
        </w:tabs>
        <w:jc w:val="both"/>
        <w:rPr>
          <w:rFonts w:ascii="Times New Roman" w:hAnsi="Times New Roman" w:cs="Times New Roman"/>
          <w:sz w:val="24"/>
          <w:szCs w:val="24"/>
        </w:rPr>
      </w:pPr>
      <w:r w:rsidRPr="005F2694">
        <w:rPr>
          <w:rFonts w:ascii="Times New Roman" w:hAnsi="Times New Roman" w:cs="Times New Roman"/>
          <w:sz w:val="24"/>
          <w:szCs w:val="24"/>
        </w:rPr>
        <w:t>Summarize the projected activities and expenditures for the following reporting period (1 January-31 December 2011), using the lessons learned during the previous reporting period.</w:t>
      </w:r>
    </w:p>
    <w:p w:rsidR="00B80BEC" w:rsidRPr="00CE29C0" w:rsidRDefault="00B80BEC" w:rsidP="004E7CC3">
      <w:pPr>
        <w:pStyle w:val="BodyText"/>
        <w:tabs>
          <w:tab w:val="left" w:pos="360"/>
        </w:tabs>
        <w:jc w:val="both"/>
        <w:rPr>
          <w:rFonts w:ascii="Times New Roman" w:hAnsi="Times New Roman" w:cs="Times New Roman"/>
          <w:sz w:val="24"/>
          <w:szCs w:val="24"/>
        </w:rPr>
      </w:pPr>
    </w:p>
    <w:p w:rsidR="00B80BEC" w:rsidRDefault="00B80BEC" w:rsidP="004E7CC3">
      <w:pPr>
        <w:pStyle w:val="BodyText"/>
        <w:tabs>
          <w:tab w:val="left" w:pos="360"/>
        </w:tabs>
        <w:ind w:left="720"/>
        <w:jc w:val="both"/>
        <w:rPr>
          <w:rFonts w:ascii="Times New Roman" w:hAnsi="Times New Roman" w:cs="Times New Roman"/>
          <w:sz w:val="24"/>
          <w:szCs w:val="24"/>
        </w:rPr>
      </w:pPr>
      <w:r>
        <w:rPr>
          <w:rFonts w:ascii="Times New Roman" w:hAnsi="Times New Roman" w:cs="Times New Roman"/>
          <w:sz w:val="24"/>
          <w:szCs w:val="24"/>
        </w:rPr>
        <w:t xml:space="preserve"> OHCHR’s Reparations Policy Advisor is expected to join the project in February 2011. A strategic review is envisaged at that point and a workplan for 2011 will be developed and attached to this annual report.</w:t>
      </w:r>
    </w:p>
    <w:p w:rsidR="00B80BEC" w:rsidRPr="00CE29C0" w:rsidRDefault="00B80BEC" w:rsidP="004E7CC3">
      <w:pPr>
        <w:pStyle w:val="BodyText"/>
        <w:tabs>
          <w:tab w:val="left" w:pos="360"/>
        </w:tabs>
        <w:ind w:left="720"/>
        <w:jc w:val="both"/>
        <w:rPr>
          <w:rFonts w:ascii="Times New Roman" w:hAnsi="Times New Roman" w:cs="Times New Roman"/>
          <w:sz w:val="24"/>
          <w:szCs w:val="24"/>
        </w:rPr>
      </w:pPr>
    </w:p>
    <w:p w:rsidR="00B80BEC" w:rsidRPr="00CE29C0" w:rsidRDefault="00B80BEC" w:rsidP="00C416C0">
      <w:pPr>
        <w:pStyle w:val="BodyText"/>
        <w:numPr>
          <w:ilvl w:val="0"/>
          <w:numId w:val="8"/>
        </w:numPr>
        <w:tabs>
          <w:tab w:val="left" w:pos="360"/>
        </w:tabs>
        <w:jc w:val="both"/>
        <w:rPr>
          <w:rFonts w:ascii="Times New Roman" w:hAnsi="Times New Roman" w:cs="Times New Roman"/>
          <w:sz w:val="24"/>
          <w:szCs w:val="24"/>
        </w:rPr>
      </w:pPr>
      <w:r w:rsidRPr="00CE29C0">
        <w:rPr>
          <w:rFonts w:ascii="Times New Roman" w:hAnsi="Times New Roman" w:cs="Times New Roman"/>
          <w:sz w:val="24"/>
          <w:szCs w:val="24"/>
        </w:rPr>
        <w:t xml:space="preserve">Indicate any major adjustments in strategies, targets or key outcomes and outputs planned. </w:t>
      </w:r>
    </w:p>
    <w:p w:rsidR="00B80BEC" w:rsidRPr="00CE29C0" w:rsidRDefault="00B80BEC" w:rsidP="00C416C0">
      <w:pPr>
        <w:pStyle w:val="BodyText"/>
        <w:tabs>
          <w:tab w:val="left" w:pos="360"/>
        </w:tabs>
        <w:ind w:left="720"/>
        <w:jc w:val="both"/>
        <w:rPr>
          <w:rFonts w:ascii="Times New Roman" w:hAnsi="Times New Roman" w:cs="Times New Roman"/>
          <w:sz w:val="24"/>
          <w:szCs w:val="24"/>
        </w:rPr>
      </w:pPr>
    </w:p>
    <w:p w:rsidR="00B80BEC" w:rsidRPr="00CE29C0" w:rsidRDefault="00B80BEC" w:rsidP="0000702E">
      <w:pPr>
        <w:ind w:left="360" w:hanging="360"/>
        <w:sectPr w:rsidR="00B80BEC" w:rsidRPr="00CE29C0" w:rsidSect="00C416C0">
          <w:footerReference w:type="default" r:id="rId10"/>
          <w:pgSz w:w="12240" w:h="15840" w:code="1"/>
          <w:pgMar w:top="810" w:right="990" w:bottom="1354" w:left="806" w:header="720" w:footer="418" w:gutter="0"/>
          <w:cols w:space="720"/>
          <w:docGrid w:linePitch="360"/>
        </w:sectPr>
      </w:pPr>
      <w:r>
        <w:t xml:space="preserve"> </w:t>
      </w:r>
      <w:r>
        <w:tab/>
        <w:t>Given the recruitment delays indicated in this report and based on the above mentioned review, a request for a no cost extension is envisaged for this project. This will also be reflected in the 2011 workplan.</w:t>
      </w:r>
    </w:p>
    <w:p w:rsidR="00B80BEC" w:rsidRPr="00CE29C0" w:rsidRDefault="00B80BEC" w:rsidP="00C416C0">
      <w:pPr>
        <w:pStyle w:val="BodyText"/>
        <w:tabs>
          <w:tab w:val="left" w:pos="360"/>
        </w:tabs>
        <w:ind w:left="720"/>
        <w:jc w:val="both"/>
        <w:rPr>
          <w:rFonts w:ascii="Times New Roman" w:hAnsi="Times New Roman" w:cs="Times New Roman"/>
          <w:sz w:val="24"/>
          <w:szCs w:val="24"/>
        </w:rPr>
      </w:pPr>
    </w:p>
    <w:p w:rsidR="00B80BEC" w:rsidRPr="00CE29C0" w:rsidRDefault="006C75A3" w:rsidP="00D10850">
      <w:pPr>
        <w:pStyle w:val="BodyText"/>
        <w:tabs>
          <w:tab w:val="left" w:pos="360"/>
        </w:tabs>
        <w:jc w:val="both"/>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165735</wp:posOffset>
                </wp:positionV>
                <wp:extent cx="6172200" cy="291465"/>
                <wp:effectExtent l="11430" t="13335"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B80BEC" w:rsidRPr="001613F4" w:rsidRDefault="00B80BEC" w:rsidP="00AC7FD3">
                            <w:pPr>
                              <w:ind w:left="360"/>
                              <w:rPr>
                                <w:b/>
                                <w:bCs/>
                              </w:rPr>
                            </w:pPr>
                            <w:r>
                              <w:rPr>
                                <w:b/>
                                <w:bCs/>
                              </w:rPr>
                              <w:t>VIII.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3.05pt;width:486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" fillcolor="#f2f2f2" strokecolor="#d8d8d8">
                <v:textbox>
                  <w:txbxContent>
                    <w:p w:rsidR="00B80BEC" w:rsidRPr="001613F4" w:rsidRDefault="00B80BEC" w:rsidP="00AC7FD3">
                      <w:pPr>
                        <w:ind w:left="360"/>
                        <w:rPr>
                          <w:b/>
                          <w:bCs/>
                        </w:rPr>
                      </w:pPr>
                      <w:r>
                        <w:rPr>
                          <w:b/>
                          <w:bCs/>
                        </w:rPr>
                        <w:t>VIII. INDICATOR BASED PERFORMANCE ASSESSMENT</w:t>
                      </w:r>
                    </w:p>
                  </w:txbxContent>
                </v:textbox>
              </v:shape>
            </w:pict>
          </mc:Fallback>
        </mc:AlternateContent>
      </w:r>
    </w:p>
    <w:p w:rsidR="00B80BEC" w:rsidRPr="00CE29C0" w:rsidRDefault="00B80BEC" w:rsidP="00CA38FE">
      <w:pPr>
        <w:pStyle w:val="BodyText"/>
        <w:tabs>
          <w:tab w:val="left" w:pos="360"/>
        </w:tabs>
        <w:ind w:left="720"/>
        <w:jc w:val="both"/>
        <w:rPr>
          <w:rFonts w:ascii="Times New Roman" w:hAnsi="Times New Roman" w:cs="Times New Roman"/>
          <w:sz w:val="24"/>
          <w:szCs w:val="24"/>
        </w:rPr>
      </w:pPr>
    </w:p>
    <w:p w:rsidR="00B80BEC" w:rsidRPr="00CE29C0" w:rsidRDefault="00B80BEC" w:rsidP="00CA38FE">
      <w:pPr>
        <w:pStyle w:val="BodyText"/>
        <w:tabs>
          <w:tab w:val="left" w:pos="360"/>
        </w:tabs>
        <w:ind w:left="720"/>
        <w:jc w:val="both"/>
        <w:rPr>
          <w:rFonts w:ascii="Times New Roman" w:hAnsi="Times New Roman" w:cs="Times New Roman"/>
          <w:sz w:val="24"/>
          <w:szCs w:val="24"/>
        </w:rPr>
      </w:pPr>
    </w:p>
    <w:p w:rsidR="00B80BEC" w:rsidRPr="00CE29C0" w:rsidRDefault="00B80BEC" w:rsidP="00CA38FE">
      <w:pPr>
        <w:pStyle w:val="BodyText"/>
        <w:tabs>
          <w:tab w:val="left" w:pos="360"/>
        </w:tabs>
        <w:ind w:left="720"/>
        <w:jc w:val="both"/>
        <w:rPr>
          <w:rFonts w:ascii="Times New Roman" w:hAnsi="Times New Roman" w:cs="Times New Roman"/>
          <w:sz w:val="24"/>
          <w:szCs w:val="24"/>
        </w:rPr>
      </w:pPr>
    </w:p>
    <w:tbl>
      <w:tblPr>
        <w:tblW w:w="139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9"/>
        <w:gridCol w:w="2002"/>
        <w:gridCol w:w="1643"/>
        <w:gridCol w:w="1457"/>
        <w:gridCol w:w="1709"/>
        <w:gridCol w:w="1752"/>
        <w:gridCol w:w="21"/>
        <w:gridCol w:w="2154"/>
        <w:gridCol w:w="1391"/>
      </w:tblGrid>
      <w:tr w:rsidR="00B80BEC" w:rsidRPr="00CE29C0">
        <w:tc>
          <w:tcPr>
            <w:tcW w:w="1958" w:type="dxa"/>
          </w:tcPr>
          <w:p w:rsidR="00B80BEC" w:rsidRPr="00CE29C0" w:rsidRDefault="00B80BEC" w:rsidP="00AC7FD3">
            <w:pPr>
              <w:jc w:val="center"/>
            </w:pPr>
          </w:p>
        </w:tc>
        <w:tc>
          <w:tcPr>
            <w:tcW w:w="2002" w:type="dxa"/>
          </w:tcPr>
          <w:p w:rsidR="00B80BEC" w:rsidRPr="00CE29C0" w:rsidRDefault="00B80BEC" w:rsidP="00AC7FD3">
            <w:pPr>
              <w:jc w:val="center"/>
              <w:rPr>
                <w:b/>
                <w:bCs/>
              </w:rPr>
            </w:pPr>
            <w:r w:rsidRPr="00154FE7">
              <w:rPr>
                <w:b/>
                <w:bCs/>
              </w:rPr>
              <w:t>Performance Indicators</w:t>
            </w:r>
          </w:p>
        </w:tc>
        <w:tc>
          <w:tcPr>
            <w:tcW w:w="1549" w:type="dxa"/>
          </w:tcPr>
          <w:p w:rsidR="00B80BEC" w:rsidRPr="00CE29C0" w:rsidRDefault="00B80BEC" w:rsidP="00AC7FD3">
            <w:pPr>
              <w:jc w:val="center"/>
              <w:rPr>
                <w:b/>
                <w:bCs/>
              </w:rPr>
            </w:pPr>
            <w:r w:rsidRPr="00154FE7">
              <w:rPr>
                <w:b/>
                <w:bCs/>
              </w:rPr>
              <w:t>Indicator Baselines</w:t>
            </w:r>
          </w:p>
        </w:tc>
        <w:tc>
          <w:tcPr>
            <w:tcW w:w="1383" w:type="dxa"/>
          </w:tcPr>
          <w:p w:rsidR="00B80BEC" w:rsidRPr="00CE29C0" w:rsidRDefault="00B80BEC" w:rsidP="00AC7FD3">
            <w:pPr>
              <w:jc w:val="center"/>
              <w:rPr>
                <w:b/>
                <w:bCs/>
              </w:rPr>
            </w:pPr>
            <w:r w:rsidRPr="00154FE7">
              <w:rPr>
                <w:b/>
                <w:bCs/>
              </w:rPr>
              <w:t>Planned Indicator Targets</w:t>
            </w:r>
          </w:p>
        </w:tc>
        <w:tc>
          <w:tcPr>
            <w:tcW w:w="1516" w:type="dxa"/>
          </w:tcPr>
          <w:p w:rsidR="00B80BEC" w:rsidRPr="00CE29C0" w:rsidRDefault="00B80BEC" w:rsidP="00AC7FD3">
            <w:pPr>
              <w:jc w:val="center"/>
              <w:rPr>
                <w:b/>
                <w:bCs/>
              </w:rPr>
            </w:pPr>
            <w:r w:rsidRPr="00154FE7">
              <w:rPr>
                <w:b/>
                <w:bCs/>
              </w:rPr>
              <w:t>Achieved Indicator Targets</w:t>
            </w:r>
          </w:p>
        </w:tc>
        <w:tc>
          <w:tcPr>
            <w:tcW w:w="1969" w:type="dxa"/>
          </w:tcPr>
          <w:p w:rsidR="00B80BEC" w:rsidRPr="00CE29C0" w:rsidRDefault="00B80BEC" w:rsidP="00AC7FD3">
            <w:pPr>
              <w:jc w:val="center"/>
              <w:rPr>
                <w:b/>
                <w:bCs/>
              </w:rPr>
            </w:pPr>
            <w:r w:rsidRPr="00154FE7">
              <w:rPr>
                <w:b/>
                <w:bCs/>
              </w:rPr>
              <w:t>Reasons for Variance</w:t>
            </w:r>
          </w:p>
          <w:p w:rsidR="00B80BEC" w:rsidRPr="00CE29C0" w:rsidRDefault="00B80BEC" w:rsidP="00AC7FD3">
            <w:pPr>
              <w:jc w:val="center"/>
              <w:rPr>
                <w:b/>
                <w:bCs/>
              </w:rPr>
            </w:pPr>
            <w:r w:rsidRPr="00154FE7">
              <w:rPr>
                <w:b/>
                <w:bCs/>
              </w:rPr>
              <w:t>(if any)</w:t>
            </w:r>
          </w:p>
        </w:tc>
        <w:tc>
          <w:tcPr>
            <w:tcW w:w="1851" w:type="dxa"/>
            <w:gridSpan w:val="2"/>
          </w:tcPr>
          <w:p w:rsidR="00B80BEC" w:rsidRPr="00CE29C0" w:rsidRDefault="00B80BEC" w:rsidP="00AC7FD3">
            <w:pPr>
              <w:jc w:val="center"/>
              <w:rPr>
                <w:b/>
                <w:bCs/>
              </w:rPr>
            </w:pPr>
            <w:r w:rsidRPr="00154FE7">
              <w:rPr>
                <w:b/>
                <w:bCs/>
              </w:rPr>
              <w:t>Source of Verification</w:t>
            </w:r>
          </w:p>
        </w:tc>
        <w:tc>
          <w:tcPr>
            <w:tcW w:w="1740" w:type="dxa"/>
          </w:tcPr>
          <w:p w:rsidR="00B80BEC" w:rsidRPr="00CE29C0" w:rsidRDefault="00B80BEC" w:rsidP="00AC7FD3">
            <w:pPr>
              <w:jc w:val="center"/>
              <w:rPr>
                <w:b/>
                <w:bCs/>
              </w:rPr>
            </w:pPr>
            <w:r w:rsidRPr="00154FE7">
              <w:rPr>
                <w:b/>
                <w:bCs/>
              </w:rPr>
              <w:t xml:space="preserve">Comments </w:t>
            </w:r>
          </w:p>
          <w:p w:rsidR="00B80BEC" w:rsidRPr="00CE29C0" w:rsidRDefault="00B80BEC" w:rsidP="00AC7FD3">
            <w:pPr>
              <w:jc w:val="center"/>
              <w:rPr>
                <w:b/>
                <w:bCs/>
              </w:rPr>
            </w:pPr>
            <w:r w:rsidRPr="00154FE7">
              <w:rPr>
                <w:b/>
                <w:bCs/>
              </w:rPr>
              <w:t>(if any)</w:t>
            </w:r>
          </w:p>
        </w:tc>
      </w:tr>
      <w:tr w:rsidR="00B80BEC" w:rsidRPr="00CE29C0">
        <w:tc>
          <w:tcPr>
            <w:tcW w:w="13968" w:type="dxa"/>
            <w:gridSpan w:val="9"/>
          </w:tcPr>
          <w:p w:rsidR="00B80BEC" w:rsidRPr="00CE29C0" w:rsidRDefault="00B80BEC" w:rsidP="00915168">
            <w:pPr>
              <w:rPr>
                <w:b/>
                <w:bCs/>
              </w:rPr>
            </w:pPr>
            <w:r w:rsidRPr="00154FE7">
              <w:rPr>
                <w:b/>
                <w:bCs/>
              </w:rPr>
              <w:t>Outcome 1: Government has effective and transparent structures mechanisms to provide reparations to the victims of the armed conflict</w:t>
            </w:r>
          </w:p>
          <w:p w:rsidR="00B80BEC" w:rsidRPr="00CE29C0" w:rsidRDefault="00B80BEC" w:rsidP="00AC7FD3">
            <w:r w:rsidRPr="00154FE7">
              <w:rPr>
                <w:b/>
                <w:bCs/>
              </w:rPr>
              <w:t xml:space="preserve">Improved Capacity of the Ministry of Peace and Reconstruction and three selected District Administration Offices for the implementation of the Reparations Program </w:t>
            </w:r>
          </w:p>
        </w:tc>
      </w:tr>
      <w:tr w:rsidR="00B80BEC" w:rsidRPr="00CE29C0">
        <w:trPr>
          <w:trHeight w:val="548"/>
        </w:trPr>
        <w:tc>
          <w:tcPr>
            <w:tcW w:w="1958" w:type="dxa"/>
            <w:vMerge w:val="restart"/>
          </w:tcPr>
          <w:p w:rsidR="00B80BEC" w:rsidRPr="00CE29C0" w:rsidRDefault="00B80BEC" w:rsidP="00AC7FD3">
            <w:pPr>
              <w:rPr>
                <w:b/>
                <w:bCs/>
              </w:rPr>
            </w:pPr>
            <w:r w:rsidRPr="00154FE7">
              <w:rPr>
                <w:b/>
                <w:bCs/>
              </w:rPr>
              <w:t xml:space="preserve">Output 1.1: Comprehensive Policy on Reparations Prepared  </w:t>
            </w:r>
          </w:p>
          <w:p w:rsidR="00B80BEC" w:rsidRPr="00CE29C0" w:rsidRDefault="00B80BEC" w:rsidP="00AC7FD3"/>
        </w:tc>
        <w:tc>
          <w:tcPr>
            <w:tcW w:w="2002" w:type="dxa"/>
          </w:tcPr>
          <w:p w:rsidR="00B80BEC" w:rsidRPr="00E62320" w:rsidRDefault="00B80BEC" w:rsidP="00AC7FD3">
            <w:pPr>
              <w:jc w:val="both"/>
            </w:pPr>
            <w:r w:rsidRPr="00E62320">
              <w:rPr>
                <w:spacing w:val="-2"/>
              </w:rPr>
              <w:t>Technical Adviser on Reparation  appointed and working</w:t>
            </w:r>
          </w:p>
        </w:tc>
        <w:tc>
          <w:tcPr>
            <w:tcW w:w="1549" w:type="dxa"/>
          </w:tcPr>
          <w:p w:rsidR="00B80BEC" w:rsidRPr="00AF4ECC" w:rsidRDefault="00B80BEC" w:rsidP="00AF4ECC">
            <w:pPr>
              <w:tabs>
                <w:tab w:val="left" w:pos="-720"/>
                <w:tab w:val="left" w:pos="4500"/>
              </w:tabs>
              <w:suppressAutoHyphens/>
              <w:rPr>
                <w:spacing w:val="-2"/>
              </w:rPr>
            </w:pPr>
            <w:r>
              <w:rPr>
                <w:spacing w:val="-2"/>
              </w:rPr>
              <w:t>No advisor or plan.</w:t>
            </w:r>
            <w:r w:rsidRPr="001C124B" w:rsidDel="00B6367E">
              <w:rPr>
                <w:spacing w:val="-2"/>
              </w:rPr>
              <w:t xml:space="preserve"> </w:t>
            </w:r>
          </w:p>
          <w:p w:rsidR="00B80BEC" w:rsidRPr="00CE29C0" w:rsidRDefault="00B80BEC" w:rsidP="00AC7FD3"/>
        </w:tc>
        <w:tc>
          <w:tcPr>
            <w:tcW w:w="1383" w:type="dxa"/>
          </w:tcPr>
          <w:p w:rsidR="00B80BEC" w:rsidRPr="00CE29C0" w:rsidRDefault="00B80BEC" w:rsidP="00AF4ECC">
            <w:r>
              <w:t>Adviser recruited and plan developed</w:t>
            </w:r>
          </w:p>
        </w:tc>
        <w:tc>
          <w:tcPr>
            <w:tcW w:w="1516" w:type="dxa"/>
          </w:tcPr>
          <w:p w:rsidR="00B80BEC" w:rsidRPr="00CE29C0" w:rsidRDefault="00B80BEC" w:rsidP="00B6367E">
            <w:r>
              <w:t xml:space="preserve">Not recruited in 2010 (the advisor was recruited in early 2011). </w:t>
            </w:r>
          </w:p>
        </w:tc>
        <w:tc>
          <w:tcPr>
            <w:tcW w:w="2030" w:type="dxa"/>
            <w:gridSpan w:val="2"/>
          </w:tcPr>
          <w:p w:rsidR="00B80BEC" w:rsidRPr="00CE29C0" w:rsidRDefault="00B80BEC" w:rsidP="00AC7FD3"/>
        </w:tc>
        <w:tc>
          <w:tcPr>
            <w:tcW w:w="1790" w:type="dxa"/>
          </w:tcPr>
          <w:p w:rsidR="00B80BEC" w:rsidRDefault="00B80BEC">
            <w:pPr>
              <w:widowControl w:val="0"/>
              <w:tabs>
                <w:tab w:val="left" w:pos="-720"/>
                <w:tab w:val="left" w:pos="4500"/>
              </w:tabs>
              <w:suppressAutoHyphens/>
              <w:rPr>
                <w:spacing w:val="-2"/>
              </w:rPr>
            </w:pPr>
            <w:r w:rsidRPr="008F2AF6">
              <w:rPr>
                <w:spacing w:val="-2"/>
              </w:rPr>
              <w:t>OHCHR Reports</w:t>
            </w:r>
          </w:p>
          <w:p w:rsidR="00B80BEC" w:rsidRPr="00E62320" w:rsidRDefault="00B80BEC" w:rsidP="00E62320"/>
        </w:tc>
        <w:tc>
          <w:tcPr>
            <w:tcW w:w="1740" w:type="dxa"/>
          </w:tcPr>
          <w:p w:rsidR="00B80BEC" w:rsidRPr="00CE29C0" w:rsidRDefault="00B80BEC" w:rsidP="00AC7FD3"/>
        </w:tc>
      </w:tr>
      <w:tr w:rsidR="00B80BEC" w:rsidRPr="00CE29C0">
        <w:trPr>
          <w:trHeight w:val="512"/>
        </w:trPr>
        <w:tc>
          <w:tcPr>
            <w:tcW w:w="1958" w:type="dxa"/>
            <w:vMerge/>
          </w:tcPr>
          <w:p w:rsidR="00B80BEC" w:rsidRPr="00CE29C0" w:rsidRDefault="00B80BEC" w:rsidP="00AC7FD3"/>
        </w:tc>
        <w:tc>
          <w:tcPr>
            <w:tcW w:w="2002" w:type="dxa"/>
          </w:tcPr>
          <w:p w:rsidR="00B80BEC" w:rsidRPr="00E62320" w:rsidRDefault="00B80BEC" w:rsidP="003C27A6">
            <w:pPr>
              <w:jc w:val="both"/>
            </w:pPr>
            <w:r w:rsidRPr="001C124B">
              <w:rPr>
                <w:spacing w:val="-2"/>
              </w:rPr>
              <w:t xml:space="preserve">Reparation policy in </w:t>
            </w:r>
            <w:r>
              <w:rPr>
                <w:spacing w:val="-2"/>
              </w:rPr>
              <w:t>accord with</w:t>
            </w:r>
            <w:r w:rsidRPr="001C124B">
              <w:rPr>
                <w:spacing w:val="-2"/>
              </w:rPr>
              <w:t xml:space="preserve"> international human rights standards is </w:t>
            </w:r>
            <w:r>
              <w:rPr>
                <w:spacing w:val="-2"/>
              </w:rPr>
              <w:t>drafted</w:t>
            </w:r>
            <w:r w:rsidRPr="00E62320" w:rsidDel="00E62320">
              <w:t xml:space="preserve"> </w:t>
            </w:r>
            <w:r w:rsidRPr="001C124B">
              <w:rPr>
                <w:spacing w:val="-2"/>
              </w:rPr>
              <w:t xml:space="preserve"> </w:t>
            </w:r>
          </w:p>
        </w:tc>
        <w:tc>
          <w:tcPr>
            <w:tcW w:w="1549" w:type="dxa"/>
          </w:tcPr>
          <w:p w:rsidR="00B80BEC" w:rsidRPr="00CE29C0" w:rsidRDefault="00B80BEC" w:rsidP="00AC7FD3">
            <w:r>
              <w:rPr>
                <w:spacing w:val="-3"/>
              </w:rPr>
              <w:t>Pending establishment of strategy, participation in</w:t>
            </w:r>
            <w:r w:rsidRPr="001C124B">
              <w:rPr>
                <w:spacing w:val="-3"/>
              </w:rPr>
              <w:t xml:space="preserve"> meetings and consultations</w:t>
            </w:r>
            <w:r>
              <w:rPr>
                <w:spacing w:val="-3"/>
              </w:rPr>
              <w:t xml:space="preserve"> </w:t>
            </w:r>
            <w:r w:rsidRPr="001C124B">
              <w:rPr>
                <w:spacing w:val="-3"/>
              </w:rPr>
              <w:t>victims groups,</w:t>
            </w:r>
            <w:r>
              <w:rPr>
                <w:spacing w:val="-3"/>
              </w:rPr>
              <w:t xml:space="preserve"> CSOs</w:t>
            </w:r>
            <w:r w:rsidRPr="001C124B">
              <w:rPr>
                <w:spacing w:val="-3"/>
              </w:rPr>
              <w:t xml:space="preserve">and government agencies </w:t>
            </w:r>
            <w:r>
              <w:rPr>
                <w:spacing w:val="-3"/>
              </w:rPr>
              <w:t>were initiated and a mapping of stakeholders established.</w:t>
            </w:r>
          </w:p>
        </w:tc>
        <w:tc>
          <w:tcPr>
            <w:tcW w:w="1383" w:type="dxa"/>
          </w:tcPr>
          <w:p w:rsidR="00B80BEC" w:rsidRPr="008C5F48" w:rsidRDefault="00B80BEC" w:rsidP="003C27A6">
            <w:r>
              <w:rPr>
                <w:spacing w:val="-2"/>
              </w:rPr>
              <w:t>Research and production of policy related papers; consultations with stakeholders in order to ensure feasibility of project.</w:t>
            </w:r>
          </w:p>
        </w:tc>
        <w:tc>
          <w:tcPr>
            <w:tcW w:w="1516" w:type="dxa"/>
          </w:tcPr>
          <w:p w:rsidR="00B80BEC" w:rsidRPr="00CE29C0" w:rsidRDefault="00B80BEC" w:rsidP="003C27A6">
            <w:r>
              <w:t>Partial, preliminary and preparatory steps taken, pending arrival of Reparations Policy Advisor</w:t>
            </w:r>
          </w:p>
        </w:tc>
        <w:tc>
          <w:tcPr>
            <w:tcW w:w="2030" w:type="dxa"/>
            <w:gridSpan w:val="2"/>
          </w:tcPr>
          <w:p w:rsidR="00B80BEC" w:rsidRPr="00CE29C0" w:rsidRDefault="00B80BEC" w:rsidP="00AC7FD3">
            <w:r>
              <w:t>Delays in recruitment of Reparations Policy Advisor.</w:t>
            </w:r>
          </w:p>
        </w:tc>
        <w:tc>
          <w:tcPr>
            <w:tcW w:w="1790" w:type="dxa"/>
          </w:tcPr>
          <w:p w:rsidR="00B80BEC" w:rsidRDefault="00B80BEC">
            <w:pPr>
              <w:widowControl w:val="0"/>
              <w:tabs>
                <w:tab w:val="left" w:pos="-720"/>
                <w:tab w:val="left" w:pos="4500"/>
              </w:tabs>
              <w:suppressAutoHyphens/>
              <w:rPr>
                <w:spacing w:val="-2"/>
              </w:rPr>
            </w:pPr>
            <w:r w:rsidRPr="008F2AF6">
              <w:rPr>
                <w:spacing w:val="-2"/>
              </w:rPr>
              <w:t>Reports of workshops/meetings for the formulation of the reparation policy</w:t>
            </w:r>
          </w:p>
          <w:p w:rsidR="00B80BEC" w:rsidRDefault="00B80BEC">
            <w:pPr>
              <w:widowControl w:val="0"/>
              <w:tabs>
                <w:tab w:val="left" w:pos="-720"/>
                <w:tab w:val="left" w:pos="4500"/>
              </w:tabs>
              <w:suppressAutoHyphens/>
              <w:rPr>
                <w:rFonts w:ascii="Arial" w:hAnsi="Arial" w:cs="Arial"/>
                <w:spacing w:val="-2"/>
              </w:rPr>
            </w:pPr>
            <w:r w:rsidRPr="008F2AF6">
              <w:rPr>
                <w:spacing w:val="-2"/>
              </w:rPr>
              <w:t>Reparation Policy Document</w:t>
            </w:r>
          </w:p>
          <w:p w:rsidR="00B80BEC" w:rsidRPr="00E62320" w:rsidRDefault="00B80BEC" w:rsidP="00E62320"/>
        </w:tc>
        <w:tc>
          <w:tcPr>
            <w:tcW w:w="1740" w:type="dxa"/>
          </w:tcPr>
          <w:p w:rsidR="00B80BEC" w:rsidRPr="00CE29C0" w:rsidRDefault="00B80BEC" w:rsidP="00AC7FD3"/>
        </w:tc>
      </w:tr>
      <w:tr w:rsidR="00B80BEC" w:rsidRPr="00CE29C0">
        <w:trPr>
          <w:trHeight w:val="512"/>
        </w:trPr>
        <w:tc>
          <w:tcPr>
            <w:tcW w:w="1958" w:type="dxa"/>
            <w:vMerge/>
          </w:tcPr>
          <w:p w:rsidR="00B80BEC" w:rsidRPr="00CE29C0" w:rsidRDefault="00B80BEC" w:rsidP="00AC7FD3"/>
        </w:tc>
        <w:tc>
          <w:tcPr>
            <w:tcW w:w="2002" w:type="dxa"/>
          </w:tcPr>
          <w:p w:rsidR="00B80BEC" w:rsidRPr="00E62320" w:rsidRDefault="00B80BEC" w:rsidP="00AE417E">
            <w:pPr>
              <w:jc w:val="both"/>
            </w:pPr>
            <w:r w:rsidRPr="001C124B">
              <w:rPr>
                <w:spacing w:val="-2"/>
              </w:rPr>
              <w:t>MoPR adopts Reparation Policy</w:t>
            </w:r>
          </w:p>
        </w:tc>
        <w:tc>
          <w:tcPr>
            <w:tcW w:w="1549" w:type="dxa"/>
          </w:tcPr>
          <w:p w:rsidR="00B80BEC" w:rsidRPr="00B8569A" w:rsidRDefault="00B80BEC" w:rsidP="00B8569A">
            <w:pPr>
              <w:tabs>
                <w:tab w:val="left" w:pos="-720"/>
                <w:tab w:val="left" w:pos="4500"/>
              </w:tabs>
              <w:suppressAutoHyphens/>
              <w:rPr>
                <w:spacing w:val="-2"/>
              </w:rPr>
            </w:pPr>
            <w:r w:rsidRPr="001C124B">
              <w:rPr>
                <w:spacing w:val="-2"/>
              </w:rPr>
              <w:t xml:space="preserve">Government </w:t>
            </w:r>
            <w:r>
              <w:rPr>
                <w:spacing w:val="-2"/>
              </w:rPr>
              <w:t xml:space="preserve">shows evidence of </w:t>
            </w:r>
            <w:r w:rsidRPr="001C124B">
              <w:rPr>
                <w:spacing w:val="-2"/>
              </w:rPr>
              <w:t xml:space="preserve"> willing</w:t>
            </w:r>
            <w:r>
              <w:rPr>
                <w:spacing w:val="-2"/>
              </w:rPr>
              <w:t>ness</w:t>
            </w:r>
            <w:r w:rsidRPr="001C124B">
              <w:rPr>
                <w:spacing w:val="-2"/>
              </w:rPr>
              <w:t xml:space="preserve"> </w:t>
            </w:r>
            <w:r>
              <w:rPr>
                <w:spacing w:val="-2"/>
              </w:rPr>
              <w:t xml:space="preserve">to </w:t>
            </w:r>
            <w:r w:rsidRPr="001C124B">
              <w:rPr>
                <w:spacing w:val="-2"/>
              </w:rPr>
              <w:t>support</w:t>
            </w:r>
            <w:r>
              <w:rPr>
                <w:spacing w:val="-2"/>
              </w:rPr>
              <w:t xml:space="preserve"> a comprehensive</w:t>
            </w:r>
            <w:r w:rsidRPr="001C124B">
              <w:rPr>
                <w:spacing w:val="-2"/>
              </w:rPr>
              <w:t xml:space="preserve"> </w:t>
            </w:r>
            <w:r w:rsidRPr="001C124B">
              <w:rPr>
                <w:spacing w:val="-2"/>
              </w:rPr>
              <w:lastRenderedPageBreak/>
              <w:t>reparation policy</w:t>
            </w:r>
            <w:r>
              <w:rPr>
                <w:spacing w:val="-2"/>
              </w:rPr>
              <w:t xml:space="preserve"> that accords with international norms and standards</w:t>
            </w:r>
          </w:p>
          <w:p w:rsidR="00B80BEC" w:rsidRPr="00CE29C0" w:rsidRDefault="00B80BEC" w:rsidP="00B8569A"/>
        </w:tc>
        <w:tc>
          <w:tcPr>
            <w:tcW w:w="1383" w:type="dxa"/>
          </w:tcPr>
          <w:p w:rsidR="00B80BEC" w:rsidRPr="00CE29C0" w:rsidRDefault="00B80BEC" w:rsidP="00AC7FD3">
            <w:r w:rsidRPr="001C124B">
              <w:rPr>
                <w:spacing w:val="-2"/>
              </w:rPr>
              <w:lastRenderedPageBreak/>
              <w:t xml:space="preserve">Government is willing to collaborate with the project in formulation </w:t>
            </w:r>
            <w:r w:rsidRPr="001C124B">
              <w:rPr>
                <w:spacing w:val="-2"/>
              </w:rPr>
              <w:lastRenderedPageBreak/>
              <w:t>of the policy</w:t>
            </w:r>
          </w:p>
        </w:tc>
        <w:tc>
          <w:tcPr>
            <w:tcW w:w="1516" w:type="dxa"/>
          </w:tcPr>
          <w:p w:rsidR="00B80BEC" w:rsidRPr="00CE29C0" w:rsidRDefault="00B80BEC" w:rsidP="00AC7FD3">
            <w:r>
              <w:lastRenderedPageBreak/>
              <w:t>Mutual coordination and communication with MoPR established</w:t>
            </w:r>
          </w:p>
        </w:tc>
        <w:tc>
          <w:tcPr>
            <w:tcW w:w="2030" w:type="dxa"/>
            <w:gridSpan w:val="2"/>
          </w:tcPr>
          <w:p w:rsidR="00B80BEC" w:rsidRPr="00CE29C0" w:rsidRDefault="00B80BEC" w:rsidP="00AC7FD3"/>
        </w:tc>
        <w:tc>
          <w:tcPr>
            <w:tcW w:w="1790" w:type="dxa"/>
          </w:tcPr>
          <w:p w:rsidR="00B80BEC" w:rsidRDefault="00B80BEC">
            <w:pPr>
              <w:widowControl w:val="0"/>
              <w:tabs>
                <w:tab w:val="left" w:pos="-720"/>
                <w:tab w:val="left" w:pos="4500"/>
              </w:tabs>
              <w:suppressAutoHyphens/>
              <w:rPr>
                <w:rFonts w:ascii="Arial" w:hAnsi="Arial" w:cs="Arial"/>
                <w:spacing w:val="-2"/>
              </w:rPr>
            </w:pPr>
            <w:r w:rsidRPr="008F2AF6">
              <w:rPr>
                <w:spacing w:val="-2"/>
              </w:rPr>
              <w:t>Reports of MoPR</w:t>
            </w:r>
          </w:p>
          <w:p w:rsidR="00B80BEC" w:rsidRPr="00E62320" w:rsidRDefault="00B80BEC" w:rsidP="00E62320"/>
        </w:tc>
        <w:tc>
          <w:tcPr>
            <w:tcW w:w="1740" w:type="dxa"/>
          </w:tcPr>
          <w:p w:rsidR="00B80BEC" w:rsidRPr="00CE29C0" w:rsidRDefault="00B80BEC" w:rsidP="00AC7FD3"/>
        </w:tc>
      </w:tr>
      <w:tr w:rsidR="00B80BEC" w:rsidRPr="00CE29C0">
        <w:trPr>
          <w:trHeight w:val="422"/>
        </w:trPr>
        <w:tc>
          <w:tcPr>
            <w:tcW w:w="1958" w:type="dxa"/>
            <w:vMerge w:val="restart"/>
          </w:tcPr>
          <w:p w:rsidR="00B80BEC" w:rsidRPr="00CE29C0" w:rsidRDefault="00B80BEC" w:rsidP="00AC7FD3">
            <w:pPr>
              <w:rPr>
                <w:b/>
                <w:bCs/>
              </w:rPr>
            </w:pPr>
            <w:r w:rsidRPr="00154FE7">
              <w:rPr>
                <w:b/>
                <w:bCs/>
              </w:rPr>
              <w:lastRenderedPageBreak/>
              <w:t xml:space="preserve">Output 1.2 Capacity of the Relief and Rehabilitation Unit and three selected District Administration Offices enhanced </w:t>
            </w:r>
          </w:p>
        </w:tc>
        <w:tc>
          <w:tcPr>
            <w:tcW w:w="2002" w:type="dxa"/>
          </w:tcPr>
          <w:p w:rsidR="00B80BEC" w:rsidRPr="00CE29C0" w:rsidRDefault="00B80BEC" w:rsidP="00AC7FD3">
            <w:pPr>
              <w:jc w:val="both"/>
            </w:pPr>
            <w:r w:rsidRPr="00154FE7">
              <w:t>MoPR and 3 selected pilot districts have trained staff and necessary infrastructure</w:t>
            </w:r>
          </w:p>
        </w:tc>
        <w:tc>
          <w:tcPr>
            <w:tcW w:w="1549" w:type="dxa"/>
          </w:tcPr>
          <w:p w:rsidR="00B80BEC" w:rsidRPr="00CE29C0" w:rsidRDefault="00B80BEC" w:rsidP="00AC7FD3">
            <w:r w:rsidRPr="00154FE7">
              <w:t>Limited MoPR training and no district training. Minimal infrastructure in place especially at district level</w:t>
            </w:r>
          </w:p>
        </w:tc>
        <w:tc>
          <w:tcPr>
            <w:tcW w:w="1383" w:type="dxa"/>
          </w:tcPr>
          <w:p w:rsidR="00B80BEC" w:rsidRPr="00CE29C0" w:rsidRDefault="00B80BEC" w:rsidP="00AC7FD3">
            <w:r w:rsidRPr="00154FE7">
              <w:t>Staff from MoPR and 3 districts receive training in reparations policy and UNSCR 1325 and 1820</w:t>
            </w:r>
          </w:p>
        </w:tc>
        <w:tc>
          <w:tcPr>
            <w:tcW w:w="1516" w:type="dxa"/>
          </w:tcPr>
          <w:p w:rsidR="00B80BEC" w:rsidRPr="00CE29C0" w:rsidRDefault="00B80BEC" w:rsidP="00AC7FD3">
            <w:r w:rsidRPr="00154FE7">
              <w:t>Capacity assessment being developed to identify training and resource needs.</w:t>
            </w:r>
          </w:p>
          <w:p w:rsidR="00B80BEC" w:rsidRPr="00CE29C0" w:rsidRDefault="00B80BEC" w:rsidP="00AC7FD3">
            <w:r w:rsidRPr="00154FE7">
              <w:t xml:space="preserve">Training modules for employment and skills training programme under development. </w:t>
            </w:r>
          </w:p>
          <w:p w:rsidR="00B80BEC" w:rsidRPr="00CE29C0" w:rsidRDefault="00B80BEC" w:rsidP="00AC7FD3"/>
        </w:tc>
        <w:tc>
          <w:tcPr>
            <w:tcW w:w="2030" w:type="dxa"/>
            <w:gridSpan w:val="2"/>
          </w:tcPr>
          <w:p w:rsidR="00B80BEC" w:rsidRPr="00CE29C0" w:rsidRDefault="00B80BEC" w:rsidP="00AC7FD3"/>
        </w:tc>
        <w:tc>
          <w:tcPr>
            <w:tcW w:w="1790" w:type="dxa"/>
          </w:tcPr>
          <w:p w:rsidR="00B80BEC" w:rsidRPr="00CE29C0" w:rsidRDefault="00B80BEC" w:rsidP="00AC7FD3">
            <w:r w:rsidRPr="00154FE7">
              <w:t>Results of capacity assessment</w:t>
            </w:r>
          </w:p>
          <w:p w:rsidR="00B80BEC" w:rsidRPr="00CE29C0" w:rsidRDefault="00B80BEC" w:rsidP="00AC7FD3">
            <w:r w:rsidRPr="00154FE7">
              <w:t>Training modules</w:t>
            </w:r>
          </w:p>
          <w:p w:rsidR="00B80BEC" w:rsidRPr="00CE29C0" w:rsidRDefault="00B80BEC" w:rsidP="00AC7FD3">
            <w:r w:rsidRPr="00154FE7">
              <w:t>Attendance records</w:t>
            </w:r>
          </w:p>
          <w:p w:rsidR="00B80BEC" w:rsidRPr="00CE29C0" w:rsidRDefault="00B80BEC" w:rsidP="00AC7FD3">
            <w:r w:rsidRPr="00154FE7">
              <w:t>Procurement of materials</w:t>
            </w:r>
          </w:p>
        </w:tc>
        <w:tc>
          <w:tcPr>
            <w:tcW w:w="1740" w:type="dxa"/>
          </w:tcPr>
          <w:p w:rsidR="00B80BEC" w:rsidRPr="00CE29C0" w:rsidRDefault="00B80BEC" w:rsidP="00AC7FD3"/>
        </w:tc>
      </w:tr>
      <w:tr w:rsidR="00B80BEC" w:rsidRPr="00CE29C0">
        <w:trPr>
          <w:trHeight w:val="458"/>
        </w:trPr>
        <w:tc>
          <w:tcPr>
            <w:tcW w:w="1958" w:type="dxa"/>
            <w:vMerge/>
          </w:tcPr>
          <w:p w:rsidR="00B80BEC" w:rsidRPr="00CE29C0" w:rsidRDefault="00B80BEC" w:rsidP="00AC7FD3">
            <w:pPr>
              <w:rPr>
                <w:b/>
                <w:bCs/>
              </w:rPr>
            </w:pPr>
          </w:p>
        </w:tc>
        <w:tc>
          <w:tcPr>
            <w:tcW w:w="2002" w:type="dxa"/>
          </w:tcPr>
          <w:p w:rsidR="00B80BEC" w:rsidRPr="00CE29C0" w:rsidRDefault="00B80BEC" w:rsidP="00AC7FD3">
            <w:pPr>
              <w:jc w:val="both"/>
            </w:pPr>
            <w:r w:rsidRPr="00154FE7">
              <w:t>Appeals/grievance mechanism developed for the reparations programme</w:t>
            </w:r>
          </w:p>
        </w:tc>
        <w:tc>
          <w:tcPr>
            <w:tcW w:w="1549" w:type="dxa"/>
          </w:tcPr>
          <w:p w:rsidR="00B80BEC" w:rsidRPr="00CE29C0" w:rsidRDefault="00B80BEC" w:rsidP="00AC7FD3">
            <w:r w:rsidRPr="00154FE7">
              <w:t>No formal grievance mechanism in place</w:t>
            </w:r>
          </w:p>
        </w:tc>
        <w:tc>
          <w:tcPr>
            <w:tcW w:w="1383" w:type="dxa"/>
          </w:tcPr>
          <w:p w:rsidR="00B80BEC" w:rsidRPr="00CE29C0" w:rsidRDefault="00B80BEC" w:rsidP="00AC7FD3">
            <w:r>
              <w:t xml:space="preserve">Forms for appeals/ grievance mechanism developed for future reparations </w:t>
            </w:r>
          </w:p>
        </w:tc>
        <w:tc>
          <w:tcPr>
            <w:tcW w:w="1516" w:type="dxa"/>
          </w:tcPr>
          <w:p w:rsidR="00B80BEC" w:rsidRPr="00CE29C0" w:rsidRDefault="00B80BEC" w:rsidP="00AC7FD3">
            <w:r>
              <w:t xml:space="preserve">No progress  </w:t>
            </w:r>
          </w:p>
        </w:tc>
        <w:tc>
          <w:tcPr>
            <w:tcW w:w="2030" w:type="dxa"/>
            <w:gridSpan w:val="2"/>
          </w:tcPr>
          <w:p w:rsidR="00B80BEC" w:rsidRPr="00CE29C0" w:rsidRDefault="00B80BEC" w:rsidP="00AC7FD3">
            <w:r w:rsidRPr="00154FE7">
              <w:t xml:space="preserve">Awaiting direction of reparations policy before further developing </w:t>
            </w:r>
            <w:r>
              <w:t xml:space="preserve">grievance mechanism </w:t>
            </w:r>
          </w:p>
        </w:tc>
        <w:tc>
          <w:tcPr>
            <w:tcW w:w="1790" w:type="dxa"/>
          </w:tcPr>
          <w:p w:rsidR="00B80BEC" w:rsidRPr="00CE29C0" w:rsidRDefault="00B80BEC" w:rsidP="00AC7FD3">
            <w:r w:rsidRPr="00154FE7">
              <w:t>No. of complaints made and follow up</w:t>
            </w:r>
          </w:p>
        </w:tc>
        <w:tc>
          <w:tcPr>
            <w:tcW w:w="1740" w:type="dxa"/>
          </w:tcPr>
          <w:p w:rsidR="00B80BEC" w:rsidRPr="00CE29C0" w:rsidRDefault="00B80BEC" w:rsidP="00AC7FD3"/>
        </w:tc>
      </w:tr>
      <w:tr w:rsidR="00B80BEC" w:rsidRPr="00CE29C0">
        <w:trPr>
          <w:trHeight w:val="512"/>
        </w:trPr>
        <w:tc>
          <w:tcPr>
            <w:tcW w:w="1958" w:type="dxa"/>
            <w:vMerge w:val="restart"/>
          </w:tcPr>
          <w:p w:rsidR="00B80BEC" w:rsidRPr="00CE29C0" w:rsidRDefault="00B80BEC" w:rsidP="00AC7FD3">
            <w:pPr>
              <w:rPr>
                <w:b/>
                <w:bCs/>
              </w:rPr>
            </w:pPr>
            <w:r w:rsidRPr="00154FE7">
              <w:rPr>
                <w:b/>
                <w:bCs/>
              </w:rPr>
              <w:t xml:space="preserve">Output 1.3: Processes, guidelines, SOPs, forms, procedures for various reparations </w:t>
            </w:r>
            <w:r w:rsidRPr="00154FE7">
              <w:rPr>
                <w:b/>
                <w:bCs/>
              </w:rPr>
              <w:lastRenderedPageBreak/>
              <w:t xml:space="preserve">benefits prepared </w:t>
            </w:r>
          </w:p>
        </w:tc>
        <w:tc>
          <w:tcPr>
            <w:tcW w:w="2002" w:type="dxa"/>
          </w:tcPr>
          <w:p w:rsidR="00B80BEC" w:rsidRPr="00CE29C0" w:rsidRDefault="00B80BEC" w:rsidP="00AC7FD3">
            <w:pPr>
              <w:jc w:val="both"/>
            </w:pPr>
            <w:r w:rsidRPr="00154FE7">
              <w:lastRenderedPageBreak/>
              <w:t>Outreach strategy prepared (including gender perspectives)</w:t>
            </w:r>
          </w:p>
        </w:tc>
        <w:tc>
          <w:tcPr>
            <w:tcW w:w="1549" w:type="dxa"/>
          </w:tcPr>
          <w:p w:rsidR="00B80BEC" w:rsidRPr="00CE29C0" w:rsidRDefault="00B80BEC" w:rsidP="00AC7FD3">
            <w:r w:rsidRPr="00154FE7">
              <w:t xml:space="preserve">No outreach strategy document and little in way of outreach. </w:t>
            </w:r>
          </w:p>
        </w:tc>
        <w:tc>
          <w:tcPr>
            <w:tcW w:w="1383" w:type="dxa"/>
          </w:tcPr>
          <w:p w:rsidR="00B80BEC" w:rsidRPr="00CE29C0" w:rsidRDefault="00B80BEC" w:rsidP="00133CB8">
            <w:r w:rsidRPr="00154FE7">
              <w:t xml:space="preserve">Outreach strategy document for future reparations </w:t>
            </w:r>
          </w:p>
        </w:tc>
        <w:tc>
          <w:tcPr>
            <w:tcW w:w="1516" w:type="dxa"/>
          </w:tcPr>
          <w:p w:rsidR="00B80BEC" w:rsidRPr="00CE29C0" w:rsidRDefault="00B80BEC" w:rsidP="00AC7FD3">
            <w:r w:rsidRPr="00154FE7">
              <w:t>Draft document on outreach strategy developed</w:t>
            </w:r>
          </w:p>
        </w:tc>
        <w:tc>
          <w:tcPr>
            <w:tcW w:w="2030" w:type="dxa"/>
            <w:gridSpan w:val="2"/>
          </w:tcPr>
          <w:p w:rsidR="00B80BEC" w:rsidRPr="00CE29C0" w:rsidRDefault="00B80BEC" w:rsidP="00AC7FD3">
            <w:r w:rsidRPr="00154FE7">
              <w:t xml:space="preserve">Awaiting direction of reparations policy before further developing outreach </w:t>
            </w:r>
            <w:r w:rsidRPr="00154FE7">
              <w:lastRenderedPageBreak/>
              <w:t>modalities</w:t>
            </w:r>
          </w:p>
        </w:tc>
        <w:tc>
          <w:tcPr>
            <w:tcW w:w="1790" w:type="dxa"/>
          </w:tcPr>
          <w:p w:rsidR="00B80BEC" w:rsidRPr="00CE29C0" w:rsidRDefault="00B80BEC" w:rsidP="00AC7FD3">
            <w:r w:rsidRPr="00154FE7">
              <w:lastRenderedPageBreak/>
              <w:t xml:space="preserve">Draft Outreach Strategy Document </w:t>
            </w:r>
          </w:p>
        </w:tc>
        <w:tc>
          <w:tcPr>
            <w:tcW w:w="1740" w:type="dxa"/>
          </w:tcPr>
          <w:p w:rsidR="00B80BEC" w:rsidRPr="00CE29C0" w:rsidRDefault="00B80BEC" w:rsidP="00AC7FD3"/>
        </w:tc>
      </w:tr>
      <w:tr w:rsidR="00B80BEC" w:rsidRPr="00CE29C0">
        <w:trPr>
          <w:trHeight w:val="458"/>
        </w:trPr>
        <w:tc>
          <w:tcPr>
            <w:tcW w:w="1958" w:type="dxa"/>
            <w:vMerge/>
          </w:tcPr>
          <w:p w:rsidR="00B80BEC" w:rsidRPr="00CE29C0" w:rsidRDefault="00B80BEC" w:rsidP="00AC7FD3"/>
        </w:tc>
        <w:tc>
          <w:tcPr>
            <w:tcW w:w="2002" w:type="dxa"/>
          </w:tcPr>
          <w:p w:rsidR="00B80BEC" w:rsidRPr="00CE29C0" w:rsidRDefault="00B80BEC" w:rsidP="00AC7FD3">
            <w:pPr>
              <w:jc w:val="both"/>
            </w:pPr>
            <w:r w:rsidRPr="00154FE7">
              <w:t>Process for collection of victims and beneficiary information designed (with sex disaggregated data)</w:t>
            </w:r>
          </w:p>
        </w:tc>
        <w:tc>
          <w:tcPr>
            <w:tcW w:w="1549" w:type="dxa"/>
          </w:tcPr>
          <w:p w:rsidR="00B80BEC" w:rsidRPr="00CE29C0" w:rsidRDefault="00B80BEC" w:rsidP="00AC7FD3">
            <w:r w:rsidRPr="00154FE7">
              <w:t>No disaggregated data; Total beneficiary data unavailable</w:t>
            </w:r>
          </w:p>
        </w:tc>
        <w:tc>
          <w:tcPr>
            <w:tcW w:w="1383" w:type="dxa"/>
          </w:tcPr>
          <w:p w:rsidR="00B80BEC" w:rsidRPr="00CE29C0" w:rsidRDefault="00B80BEC" w:rsidP="00133CB8">
            <w:r w:rsidRPr="00154FE7">
              <w:t xml:space="preserve">Database design input document </w:t>
            </w:r>
          </w:p>
        </w:tc>
        <w:tc>
          <w:tcPr>
            <w:tcW w:w="1516" w:type="dxa"/>
          </w:tcPr>
          <w:p w:rsidR="00B80BEC" w:rsidRPr="00CE29C0" w:rsidRDefault="00B80BEC" w:rsidP="00AC7FD3">
            <w:r w:rsidRPr="00154FE7">
              <w:t>No progress</w:t>
            </w:r>
          </w:p>
        </w:tc>
        <w:tc>
          <w:tcPr>
            <w:tcW w:w="2030" w:type="dxa"/>
            <w:gridSpan w:val="2"/>
          </w:tcPr>
          <w:p w:rsidR="00B80BEC" w:rsidRPr="00CE29C0" w:rsidRDefault="00B80BEC" w:rsidP="00AC7FD3">
            <w:r w:rsidRPr="00154FE7">
              <w:t>Waiting further engagement from the World Bank who are designing a comprehensive MIS system for the MoPR</w:t>
            </w:r>
          </w:p>
        </w:tc>
        <w:tc>
          <w:tcPr>
            <w:tcW w:w="1790" w:type="dxa"/>
          </w:tcPr>
          <w:p w:rsidR="00B80BEC" w:rsidRPr="00CE29C0" w:rsidRDefault="00B80BEC" w:rsidP="00AC7FD3">
            <w:r w:rsidRPr="00154FE7">
              <w:t>Victim depository and database design document</w:t>
            </w:r>
          </w:p>
        </w:tc>
        <w:tc>
          <w:tcPr>
            <w:tcW w:w="1740" w:type="dxa"/>
          </w:tcPr>
          <w:p w:rsidR="00B80BEC" w:rsidRPr="00CE29C0" w:rsidRDefault="00B80BEC" w:rsidP="00AC7FD3"/>
        </w:tc>
      </w:tr>
      <w:tr w:rsidR="00B80BEC" w:rsidRPr="00CE29C0">
        <w:trPr>
          <w:trHeight w:val="512"/>
        </w:trPr>
        <w:tc>
          <w:tcPr>
            <w:tcW w:w="1958" w:type="dxa"/>
            <w:vMerge/>
          </w:tcPr>
          <w:p w:rsidR="00B80BEC" w:rsidRPr="00CE29C0" w:rsidRDefault="00B80BEC" w:rsidP="00AC7FD3"/>
        </w:tc>
        <w:tc>
          <w:tcPr>
            <w:tcW w:w="2002" w:type="dxa"/>
          </w:tcPr>
          <w:p w:rsidR="00B80BEC" w:rsidRPr="00CE29C0" w:rsidRDefault="00B80BEC" w:rsidP="00900AF3">
            <w:r w:rsidRPr="00154FE7">
              <w:t>Guidelines, SOPs, Forms for determination of entitlements</w:t>
            </w:r>
          </w:p>
        </w:tc>
        <w:tc>
          <w:tcPr>
            <w:tcW w:w="1549" w:type="dxa"/>
          </w:tcPr>
          <w:p w:rsidR="00B80BEC" w:rsidRPr="00CE29C0" w:rsidRDefault="00B80BEC" w:rsidP="00AC7FD3">
            <w:r w:rsidRPr="00154FE7">
              <w:t xml:space="preserve">Existing MoPR guidelines for disbursement of cash and non cash benefits </w:t>
            </w:r>
          </w:p>
        </w:tc>
        <w:tc>
          <w:tcPr>
            <w:tcW w:w="1383" w:type="dxa"/>
          </w:tcPr>
          <w:p w:rsidR="00B80BEC" w:rsidRPr="00CE29C0" w:rsidRDefault="00B80BEC" w:rsidP="00AC7FD3">
            <w:r w:rsidRPr="00154FE7">
              <w:t xml:space="preserve">Processing, verification, payment and benefit provision guidelines  </w:t>
            </w:r>
          </w:p>
        </w:tc>
        <w:tc>
          <w:tcPr>
            <w:tcW w:w="1516" w:type="dxa"/>
          </w:tcPr>
          <w:p w:rsidR="00B80BEC" w:rsidRPr="00CE29C0" w:rsidRDefault="00B80BEC" w:rsidP="00AC7FD3">
            <w:r w:rsidRPr="00154FE7">
              <w:t>Draft process flows, SOPs and forms developed</w:t>
            </w:r>
          </w:p>
        </w:tc>
        <w:tc>
          <w:tcPr>
            <w:tcW w:w="2030" w:type="dxa"/>
            <w:gridSpan w:val="2"/>
          </w:tcPr>
          <w:p w:rsidR="00B80BEC" w:rsidRPr="00CE29C0" w:rsidRDefault="00B80BEC" w:rsidP="00AC7FD3">
            <w:r w:rsidRPr="00154FE7">
              <w:t>Awaiting direction of reparations policy before further developing implementation mechanisms</w:t>
            </w:r>
          </w:p>
        </w:tc>
        <w:tc>
          <w:tcPr>
            <w:tcW w:w="1790" w:type="dxa"/>
          </w:tcPr>
          <w:p w:rsidR="00B80BEC" w:rsidRPr="00CE29C0" w:rsidRDefault="00B80BEC" w:rsidP="00AC7FD3">
            <w:r w:rsidRPr="00154FE7">
              <w:t>Documents on Process flow, standard forms, Standard Operating Procedure, Monitoring, Evaluation and Reporting Framework</w:t>
            </w:r>
          </w:p>
        </w:tc>
        <w:tc>
          <w:tcPr>
            <w:tcW w:w="1740" w:type="dxa"/>
          </w:tcPr>
          <w:p w:rsidR="00B80BEC" w:rsidRPr="00CE29C0" w:rsidRDefault="00B80BEC" w:rsidP="00AC7FD3"/>
        </w:tc>
      </w:tr>
    </w:tbl>
    <w:p w:rsidR="00B80BEC" w:rsidRPr="00CE29C0" w:rsidRDefault="006C75A3" w:rsidP="0036774E">
      <w:pPr>
        <w:pStyle w:val="BodyText"/>
        <w:jc w:val="both"/>
        <w:rPr>
          <w:rFonts w:ascii="Times New Roman" w:hAnsi="Times New Roman" w:cs="Times New Roman"/>
          <w:sz w:val="24"/>
          <w:szCs w:val="24"/>
        </w:rPr>
      </w:pPr>
      <w:bookmarkStart w:id="8" w:name="_PictureBullets"/>
      <w:r>
        <w:rPr>
          <w:noProof/>
          <w:vanish/>
          <w:lang w:val="en-GB" w:eastAsia="en-GB"/>
        </w:rPr>
        <w:drawing>
          <wp:inline distT="0" distB="0" distL="0" distR="0">
            <wp:extent cx="6667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noProof/>
          <w:vanish/>
          <w:lang w:val="en-GB" w:eastAsia="en-GB"/>
        </w:rPr>
        <w:drawing>
          <wp:inline distT="0" distB="0" distL="0" distR="0">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8"/>
    </w:p>
    <w:sectPr w:rsidR="00B80BEC" w:rsidRPr="00CE29C0" w:rsidSect="001944C0">
      <w:pgSz w:w="15840" w:h="12240" w:orient="landscape" w:code="1"/>
      <w:pgMar w:top="806" w:right="810" w:bottom="810" w:left="135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48" w:rsidRDefault="009C5948">
      <w:r>
        <w:separator/>
      </w:r>
    </w:p>
  </w:endnote>
  <w:endnote w:type="continuationSeparator" w:id="0">
    <w:p w:rsidR="009C5948" w:rsidRDefault="009C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EC" w:rsidRDefault="00B80BEC">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6C75A3">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48" w:rsidRDefault="009C5948">
      <w:r>
        <w:separator/>
      </w:r>
    </w:p>
  </w:footnote>
  <w:footnote w:type="continuationSeparator" w:id="0">
    <w:p w:rsidR="009C5948" w:rsidRDefault="009C5948">
      <w:r>
        <w:continuationSeparator/>
      </w:r>
    </w:p>
  </w:footnote>
  <w:footnote w:id="1">
    <w:p w:rsidR="00B80BEC" w:rsidRDefault="00B80BEC"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B80BEC" w:rsidRDefault="00B80BEC">
      <w:pPr>
        <w:pStyle w:val="FootnoteText"/>
      </w:pPr>
      <w:r>
        <w:rPr>
          <w:rStyle w:val="FootnoteReference"/>
        </w:rPr>
        <w:footnoteRef/>
      </w:r>
      <w:r>
        <w:t xml:space="preserve"> Priority Area for the Peacebuilding Fund; Sector for the UNDG ITF.</w:t>
      </w:r>
    </w:p>
  </w:footnote>
  <w:footnote w:id="3">
    <w:p w:rsidR="00B80BEC" w:rsidRDefault="00B80BEC"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B80BEC" w:rsidRDefault="00B80BEC" w:rsidP="000134CC">
      <w:pPr>
        <w:pStyle w:val="FootnoteText"/>
      </w:pPr>
      <w:r>
        <w:rPr>
          <w:rStyle w:val="FootnoteReference"/>
        </w:rPr>
        <w:footnoteRef/>
      </w:r>
      <w:r>
        <w:t xml:space="preserve"> All activities for which a Participating Organization is responsible under an approved MDTF programme have been completed. Agencies to advise the MDTF Office.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94"/>
    <w:multiLevelType w:val="hybridMultilevel"/>
    <w:tmpl w:val="B7B65DA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DB2B0A"/>
    <w:multiLevelType w:val="hybridMultilevel"/>
    <w:tmpl w:val="013CA1B0"/>
    <w:lvl w:ilvl="0" w:tplc="7F4CEB6A">
      <w:start w:val="1"/>
      <w:numFmt w:val="lowerLetter"/>
      <w:lvlText w:val="%1)"/>
      <w:lvlJc w:val="left"/>
      <w:pPr>
        <w:tabs>
          <w:tab w:val="num" w:pos="1080"/>
        </w:tabs>
        <w:ind w:left="1080" w:hanging="360"/>
      </w:pPr>
      <w:rPr>
        <w:rFonts w:cs="Times New Roman" w:hint="default"/>
      </w:rPr>
    </w:lvl>
    <w:lvl w:ilvl="1" w:tplc="53903456">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7DC36FE"/>
    <w:multiLevelType w:val="hybridMultilevel"/>
    <w:tmpl w:val="E092F63E"/>
    <w:lvl w:ilvl="0" w:tplc="553A1326">
      <w:start w:val="1"/>
      <w:numFmt w:val="lowerLetter"/>
      <w:lvlText w:val="%1)"/>
      <w:lvlJc w:val="left"/>
      <w:pPr>
        <w:tabs>
          <w:tab w:val="num" w:pos="1080"/>
        </w:tabs>
        <w:ind w:left="1080" w:hanging="360"/>
      </w:pPr>
      <w:rPr>
        <w:rFonts w:cs="Times New Roman" w:hint="default"/>
        <w:sz w:val="24"/>
        <w:szCs w:val="24"/>
      </w:rPr>
    </w:lvl>
    <w:lvl w:ilvl="1" w:tplc="599AF740">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EA3BF0"/>
    <w:multiLevelType w:val="hybridMultilevel"/>
    <w:tmpl w:val="434069B6"/>
    <w:lvl w:ilvl="0" w:tplc="8A80DC8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0FEB5570"/>
    <w:multiLevelType w:val="hybridMultilevel"/>
    <w:tmpl w:val="012092BC"/>
    <w:lvl w:ilvl="0" w:tplc="A0624842">
      <w:start w:val="1"/>
      <w:numFmt w:val="upperRoman"/>
      <w:lvlText w:val="%1."/>
      <w:lvlJc w:val="left"/>
      <w:pPr>
        <w:tabs>
          <w:tab w:val="num" w:pos="1080"/>
        </w:tabs>
        <w:ind w:left="1080"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6">
    <w:nsid w:val="10CB78CB"/>
    <w:multiLevelType w:val="hybridMultilevel"/>
    <w:tmpl w:val="891096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12015B4C"/>
    <w:multiLevelType w:val="multilevel"/>
    <w:tmpl w:val="73226B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F65240"/>
    <w:multiLevelType w:val="multilevel"/>
    <w:tmpl w:val="CE204D7C"/>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1C5E7EA8"/>
    <w:multiLevelType w:val="hybridMultilevel"/>
    <w:tmpl w:val="AA80A1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D6606D3"/>
    <w:multiLevelType w:val="hybridMultilevel"/>
    <w:tmpl w:val="99C81D1E"/>
    <w:lvl w:ilvl="0" w:tplc="087AA8C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1EF96AC1"/>
    <w:multiLevelType w:val="hybridMultilevel"/>
    <w:tmpl w:val="C3425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BC0E66"/>
    <w:multiLevelType w:val="hybridMultilevel"/>
    <w:tmpl w:val="2DEC0CA0"/>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start w:val="1"/>
      <w:numFmt w:val="bullet"/>
      <w:lvlText w:val="o"/>
      <w:lvlJc w:val="left"/>
      <w:pPr>
        <w:tabs>
          <w:tab w:val="num" w:pos="3582"/>
        </w:tabs>
        <w:ind w:left="3582" w:hanging="360"/>
      </w:pPr>
      <w:rPr>
        <w:rFonts w:ascii="Courier New" w:hAnsi="Courier New" w:hint="default"/>
      </w:rPr>
    </w:lvl>
    <w:lvl w:ilvl="5" w:tplc="04090005">
      <w:start w:val="1"/>
      <w:numFmt w:val="bullet"/>
      <w:lvlText w:val=""/>
      <w:lvlJc w:val="left"/>
      <w:pPr>
        <w:tabs>
          <w:tab w:val="num" w:pos="4302"/>
        </w:tabs>
        <w:ind w:left="4302" w:hanging="360"/>
      </w:pPr>
      <w:rPr>
        <w:rFonts w:ascii="Wingdings" w:hAnsi="Wingdings" w:hint="default"/>
      </w:rPr>
    </w:lvl>
    <w:lvl w:ilvl="6" w:tplc="04090001">
      <w:start w:val="1"/>
      <w:numFmt w:val="bullet"/>
      <w:lvlText w:val=""/>
      <w:lvlJc w:val="left"/>
      <w:pPr>
        <w:tabs>
          <w:tab w:val="num" w:pos="5022"/>
        </w:tabs>
        <w:ind w:left="5022" w:hanging="360"/>
      </w:pPr>
      <w:rPr>
        <w:rFonts w:ascii="Symbol" w:hAnsi="Symbol" w:hint="default"/>
      </w:rPr>
    </w:lvl>
    <w:lvl w:ilvl="7" w:tplc="04090003">
      <w:start w:val="1"/>
      <w:numFmt w:val="bullet"/>
      <w:lvlText w:val="o"/>
      <w:lvlJc w:val="left"/>
      <w:pPr>
        <w:tabs>
          <w:tab w:val="num" w:pos="5742"/>
        </w:tabs>
        <w:ind w:left="5742" w:hanging="360"/>
      </w:pPr>
      <w:rPr>
        <w:rFonts w:ascii="Courier New" w:hAnsi="Courier New" w:hint="default"/>
      </w:rPr>
    </w:lvl>
    <w:lvl w:ilvl="8" w:tplc="04090005">
      <w:start w:val="1"/>
      <w:numFmt w:val="bullet"/>
      <w:lvlText w:val=""/>
      <w:lvlJc w:val="left"/>
      <w:pPr>
        <w:tabs>
          <w:tab w:val="num" w:pos="6462"/>
        </w:tabs>
        <w:ind w:left="6462" w:hanging="360"/>
      </w:pPr>
      <w:rPr>
        <w:rFonts w:ascii="Wingdings" w:hAnsi="Wingdings" w:hint="default"/>
      </w:rPr>
    </w:lvl>
  </w:abstractNum>
  <w:abstractNum w:abstractNumId="13">
    <w:nsid w:val="21155A32"/>
    <w:multiLevelType w:val="hybridMultilevel"/>
    <w:tmpl w:val="D832B1F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19164E8"/>
    <w:multiLevelType w:val="hybridMultilevel"/>
    <w:tmpl w:val="AB2686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4A62A71"/>
    <w:multiLevelType w:val="hybridMultilevel"/>
    <w:tmpl w:val="910E2BEE"/>
    <w:lvl w:ilvl="0" w:tplc="1A7442C2">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B521A1E"/>
    <w:multiLevelType w:val="hybridMultilevel"/>
    <w:tmpl w:val="DB5E3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34E6F35"/>
    <w:multiLevelType w:val="hybridMultilevel"/>
    <w:tmpl w:val="2862A4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4525BE1"/>
    <w:multiLevelType w:val="hybridMultilevel"/>
    <w:tmpl w:val="AFF25972"/>
    <w:lvl w:ilvl="0" w:tplc="98FC9B4E">
      <w:start w:val="1"/>
      <w:numFmt w:val="lowerLetter"/>
      <w:lvlText w:val="%1)"/>
      <w:lvlJc w:val="left"/>
      <w:pPr>
        <w:tabs>
          <w:tab w:val="num" w:pos="1245"/>
        </w:tabs>
        <w:ind w:left="1245" w:hanging="360"/>
      </w:pPr>
      <w:rPr>
        <w:rFonts w:cs="Times New Roman" w:hint="default"/>
      </w:rPr>
    </w:lvl>
    <w:lvl w:ilvl="1" w:tplc="04090019">
      <w:start w:val="1"/>
      <w:numFmt w:val="lowerLetter"/>
      <w:lvlText w:val="%2."/>
      <w:lvlJc w:val="left"/>
      <w:pPr>
        <w:tabs>
          <w:tab w:val="num" w:pos="1965"/>
        </w:tabs>
        <w:ind w:left="1965" w:hanging="360"/>
      </w:pPr>
      <w:rPr>
        <w:rFonts w:cs="Times New Roman"/>
      </w:rPr>
    </w:lvl>
    <w:lvl w:ilvl="2" w:tplc="0409001B">
      <w:start w:val="1"/>
      <w:numFmt w:val="lowerRoman"/>
      <w:lvlText w:val="%3."/>
      <w:lvlJc w:val="right"/>
      <w:pPr>
        <w:tabs>
          <w:tab w:val="num" w:pos="2685"/>
        </w:tabs>
        <w:ind w:left="2685" w:hanging="180"/>
      </w:pPr>
      <w:rPr>
        <w:rFonts w:cs="Times New Roman"/>
      </w:rPr>
    </w:lvl>
    <w:lvl w:ilvl="3" w:tplc="0409000F">
      <w:start w:val="1"/>
      <w:numFmt w:val="decimal"/>
      <w:lvlText w:val="%4."/>
      <w:lvlJc w:val="left"/>
      <w:pPr>
        <w:tabs>
          <w:tab w:val="num" w:pos="3405"/>
        </w:tabs>
        <w:ind w:left="3405" w:hanging="360"/>
      </w:pPr>
      <w:rPr>
        <w:rFonts w:cs="Times New Roman"/>
      </w:rPr>
    </w:lvl>
    <w:lvl w:ilvl="4" w:tplc="04090019">
      <w:start w:val="1"/>
      <w:numFmt w:val="lowerLetter"/>
      <w:lvlText w:val="%5."/>
      <w:lvlJc w:val="left"/>
      <w:pPr>
        <w:tabs>
          <w:tab w:val="num" w:pos="4125"/>
        </w:tabs>
        <w:ind w:left="4125" w:hanging="360"/>
      </w:pPr>
      <w:rPr>
        <w:rFonts w:cs="Times New Roman"/>
      </w:rPr>
    </w:lvl>
    <w:lvl w:ilvl="5" w:tplc="0409001B">
      <w:start w:val="1"/>
      <w:numFmt w:val="lowerRoman"/>
      <w:lvlText w:val="%6."/>
      <w:lvlJc w:val="right"/>
      <w:pPr>
        <w:tabs>
          <w:tab w:val="num" w:pos="4845"/>
        </w:tabs>
        <w:ind w:left="4845" w:hanging="180"/>
      </w:pPr>
      <w:rPr>
        <w:rFonts w:cs="Times New Roman"/>
      </w:rPr>
    </w:lvl>
    <w:lvl w:ilvl="6" w:tplc="0409000F">
      <w:start w:val="1"/>
      <w:numFmt w:val="decimal"/>
      <w:lvlText w:val="%7."/>
      <w:lvlJc w:val="left"/>
      <w:pPr>
        <w:tabs>
          <w:tab w:val="num" w:pos="5565"/>
        </w:tabs>
        <w:ind w:left="5565" w:hanging="360"/>
      </w:pPr>
      <w:rPr>
        <w:rFonts w:cs="Times New Roman"/>
      </w:rPr>
    </w:lvl>
    <w:lvl w:ilvl="7" w:tplc="04090019">
      <w:start w:val="1"/>
      <w:numFmt w:val="lowerLetter"/>
      <w:lvlText w:val="%8."/>
      <w:lvlJc w:val="left"/>
      <w:pPr>
        <w:tabs>
          <w:tab w:val="num" w:pos="6285"/>
        </w:tabs>
        <w:ind w:left="6285" w:hanging="360"/>
      </w:pPr>
      <w:rPr>
        <w:rFonts w:cs="Times New Roman"/>
      </w:rPr>
    </w:lvl>
    <w:lvl w:ilvl="8" w:tplc="0409001B">
      <w:start w:val="1"/>
      <w:numFmt w:val="lowerRoman"/>
      <w:lvlText w:val="%9."/>
      <w:lvlJc w:val="right"/>
      <w:pPr>
        <w:tabs>
          <w:tab w:val="num" w:pos="7005"/>
        </w:tabs>
        <w:ind w:left="7005" w:hanging="180"/>
      </w:pPr>
      <w:rPr>
        <w:rFonts w:cs="Times New Roman"/>
      </w:rPr>
    </w:lvl>
  </w:abstractNum>
  <w:abstractNum w:abstractNumId="19">
    <w:nsid w:val="377F44D2"/>
    <w:multiLevelType w:val="hybridMultilevel"/>
    <w:tmpl w:val="7AB02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1550FC1"/>
    <w:multiLevelType w:val="hybridMultilevel"/>
    <w:tmpl w:val="3094F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16D2D91"/>
    <w:multiLevelType w:val="hybridMultilevel"/>
    <w:tmpl w:val="E43448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1C96C5D"/>
    <w:multiLevelType w:val="hybridMultilevel"/>
    <w:tmpl w:val="EEE8EC9C"/>
    <w:lvl w:ilvl="0" w:tplc="3A9E07C8">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50A5E4D"/>
    <w:multiLevelType w:val="hybridMultilevel"/>
    <w:tmpl w:val="77044962"/>
    <w:lvl w:ilvl="0" w:tplc="04090001">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7D32BD9"/>
    <w:multiLevelType w:val="hybridMultilevel"/>
    <w:tmpl w:val="1A466FBE"/>
    <w:lvl w:ilvl="0" w:tplc="9F8C468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4A207CC4"/>
    <w:multiLevelType w:val="hybridMultilevel"/>
    <w:tmpl w:val="630E64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4A530BBE"/>
    <w:multiLevelType w:val="hybridMultilevel"/>
    <w:tmpl w:val="4C14F236"/>
    <w:lvl w:ilvl="0" w:tplc="0409000F">
      <w:start w:val="1"/>
      <w:numFmt w:val="decimal"/>
      <w:lvlText w:val="%1."/>
      <w:lvlJc w:val="left"/>
      <w:pPr>
        <w:tabs>
          <w:tab w:val="num" w:pos="720"/>
        </w:tabs>
        <w:ind w:left="720" w:hanging="360"/>
      </w:pPr>
      <w:rPr>
        <w:rFonts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D9519C4"/>
    <w:multiLevelType w:val="hybridMultilevel"/>
    <w:tmpl w:val="600664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63A43E4"/>
    <w:multiLevelType w:val="hybridMultilevel"/>
    <w:tmpl w:val="437075AE"/>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6BC2B2A"/>
    <w:multiLevelType w:val="hybridMultilevel"/>
    <w:tmpl w:val="D832B1F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5E495D76"/>
    <w:multiLevelType w:val="hybridMultilevel"/>
    <w:tmpl w:val="1B4A6652"/>
    <w:lvl w:ilvl="0" w:tplc="43E893F6">
      <w:start w:val="1"/>
      <w:numFmt w:val="decimal"/>
      <w:lvlText w:val="%1."/>
      <w:lvlJc w:val="left"/>
      <w:pPr>
        <w:tabs>
          <w:tab w:val="num" w:pos="284"/>
        </w:tabs>
        <w:ind w:left="284" w:hanging="28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5FFF7B0E"/>
    <w:multiLevelType w:val="hybridMultilevel"/>
    <w:tmpl w:val="3DBEFA96"/>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1A95E9F"/>
    <w:multiLevelType w:val="hybridMultilevel"/>
    <w:tmpl w:val="E9B0AFDE"/>
    <w:lvl w:ilvl="0" w:tplc="4D76092A">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8112396"/>
    <w:multiLevelType w:val="hybridMultilevel"/>
    <w:tmpl w:val="CE204D7C"/>
    <w:lvl w:ilvl="0" w:tplc="4D76092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69773664"/>
    <w:multiLevelType w:val="multilevel"/>
    <w:tmpl w:val="CE204D7C"/>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6A2E3302"/>
    <w:multiLevelType w:val="hybridMultilevel"/>
    <w:tmpl w:val="FED4A0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8C27BA4"/>
    <w:multiLevelType w:val="hybridMultilevel"/>
    <w:tmpl w:val="39F4CC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9AD4206"/>
    <w:multiLevelType w:val="hybridMultilevel"/>
    <w:tmpl w:val="5DE8FA34"/>
    <w:lvl w:ilvl="0" w:tplc="AC26D7B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3">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24"/>
  </w:num>
  <w:num w:numId="5">
    <w:abstractNumId w:val="40"/>
  </w:num>
  <w:num w:numId="6">
    <w:abstractNumId w:val="3"/>
  </w:num>
  <w:num w:numId="7">
    <w:abstractNumId w:val="23"/>
  </w:num>
  <w:num w:numId="8">
    <w:abstractNumId w:val="31"/>
  </w:num>
  <w:num w:numId="9">
    <w:abstractNumId w:val="25"/>
  </w:num>
  <w:num w:numId="10">
    <w:abstractNumId w:val="39"/>
  </w:num>
  <w:num w:numId="11">
    <w:abstractNumId w:val="11"/>
  </w:num>
  <w:num w:numId="12">
    <w:abstractNumId w:val="19"/>
  </w:num>
  <w:num w:numId="13">
    <w:abstractNumId w:val="43"/>
  </w:num>
  <w:num w:numId="14">
    <w:abstractNumId w:val="16"/>
  </w:num>
  <w:num w:numId="15">
    <w:abstractNumId w:val="12"/>
  </w:num>
  <w:num w:numId="16">
    <w:abstractNumId w:val="21"/>
  </w:num>
  <w:num w:numId="17">
    <w:abstractNumId w:val="15"/>
  </w:num>
  <w:num w:numId="18">
    <w:abstractNumId w:val="34"/>
  </w:num>
  <w:num w:numId="19">
    <w:abstractNumId w:val="9"/>
  </w:num>
  <w:num w:numId="20">
    <w:abstractNumId w:val="28"/>
  </w:num>
  <w:num w:numId="21">
    <w:abstractNumId w:val="1"/>
  </w:num>
  <w:num w:numId="22">
    <w:abstractNumId w:val="10"/>
  </w:num>
  <w:num w:numId="23">
    <w:abstractNumId w:val="4"/>
  </w:num>
  <w:num w:numId="24">
    <w:abstractNumId w:val="18"/>
  </w:num>
  <w:num w:numId="25">
    <w:abstractNumId w:val="22"/>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36"/>
  </w:num>
  <w:num w:numId="30">
    <w:abstractNumId w:val="8"/>
  </w:num>
  <w:num w:numId="31">
    <w:abstractNumId w:val="37"/>
  </w:num>
  <w:num w:numId="32">
    <w:abstractNumId w:val="35"/>
  </w:num>
  <w:num w:numId="33">
    <w:abstractNumId w:val="27"/>
  </w:num>
  <w:num w:numId="34">
    <w:abstractNumId w:val="42"/>
  </w:num>
  <w:num w:numId="35">
    <w:abstractNumId w:val="29"/>
  </w:num>
  <w:num w:numId="36">
    <w:abstractNumId w:val="14"/>
  </w:num>
  <w:num w:numId="37">
    <w:abstractNumId w:val="1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41"/>
  </w:num>
  <w:num w:numId="42">
    <w:abstractNumId w:val="33"/>
  </w:num>
  <w:num w:numId="43">
    <w:abstractNumId w:val="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1513"/>
    <w:rsid w:val="0000166A"/>
    <w:rsid w:val="00003786"/>
    <w:rsid w:val="00003AEB"/>
    <w:rsid w:val="0000553D"/>
    <w:rsid w:val="0000702E"/>
    <w:rsid w:val="000078BC"/>
    <w:rsid w:val="00007ECE"/>
    <w:rsid w:val="000121B0"/>
    <w:rsid w:val="000134CC"/>
    <w:rsid w:val="00016418"/>
    <w:rsid w:val="00017031"/>
    <w:rsid w:val="00020D7E"/>
    <w:rsid w:val="00023C33"/>
    <w:rsid w:val="00024F9B"/>
    <w:rsid w:val="00025A02"/>
    <w:rsid w:val="0002752A"/>
    <w:rsid w:val="000304BA"/>
    <w:rsid w:val="000308D4"/>
    <w:rsid w:val="00031DC9"/>
    <w:rsid w:val="00035B58"/>
    <w:rsid w:val="0004231D"/>
    <w:rsid w:val="00042B96"/>
    <w:rsid w:val="00043245"/>
    <w:rsid w:val="00044A2B"/>
    <w:rsid w:val="000453E3"/>
    <w:rsid w:val="0004625E"/>
    <w:rsid w:val="00050E0A"/>
    <w:rsid w:val="0005204F"/>
    <w:rsid w:val="00052FF4"/>
    <w:rsid w:val="00053BAA"/>
    <w:rsid w:val="00053CB6"/>
    <w:rsid w:val="00057A0D"/>
    <w:rsid w:val="00057F39"/>
    <w:rsid w:val="00061096"/>
    <w:rsid w:val="000615E2"/>
    <w:rsid w:val="00061ED3"/>
    <w:rsid w:val="00063C6A"/>
    <w:rsid w:val="00064125"/>
    <w:rsid w:val="00064352"/>
    <w:rsid w:val="00066978"/>
    <w:rsid w:val="00073581"/>
    <w:rsid w:val="00075B17"/>
    <w:rsid w:val="00077A3C"/>
    <w:rsid w:val="00081439"/>
    <w:rsid w:val="00084BBE"/>
    <w:rsid w:val="00090D90"/>
    <w:rsid w:val="00091F02"/>
    <w:rsid w:val="00092501"/>
    <w:rsid w:val="00094B2F"/>
    <w:rsid w:val="00095017"/>
    <w:rsid w:val="00095CDB"/>
    <w:rsid w:val="00096711"/>
    <w:rsid w:val="000968C1"/>
    <w:rsid w:val="000975E8"/>
    <w:rsid w:val="000A126F"/>
    <w:rsid w:val="000A146E"/>
    <w:rsid w:val="000A1B6C"/>
    <w:rsid w:val="000A3E48"/>
    <w:rsid w:val="000A4AA9"/>
    <w:rsid w:val="000A4D10"/>
    <w:rsid w:val="000A5536"/>
    <w:rsid w:val="000A57EC"/>
    <w:rsid w:val="000A6726"/>
    <w:rsid w:val="000A7FCB"/>
    <w:rsid w:val="000B0EB8"/>
    <w:rsid w:val="000B2514"/>
    <w:rsid w:val="000B4A50"/>
    <w:rsid w:val="000B5358"/>
    <w:rsid w:val="000B53FE"/>
    <w:rsid w:val="000B599B"/>
    <w:rsid w:val="000B7D96"/>
    <w:rsid w:val="000C0119"/>
    <w:rsid w:val="000C03EE"/>
    <w:rsid w:val="000C0B78"/>
    <w:rsid w:val="000C2A11"/>
    <w:rsid w:val="000C3411"/>
    <w:rsid w:val="000C35B0"/>
    <w:rsid w:val="000C439D"/>
    <w:rsid w:val="000C656D"/>
    <w:rsid w:val="000D0855"/>
    <w:rsid w:val="000D45A5"/>
    <w:rsid w:val="000D5FBD"/>
    <w:rsid w:val="000D6A09"/>
    <w:rsid w:val="000D6D9C"/>
    <w:rsid w:val="000D7357"/>
    <w:rsid w:val="000F08FB"/>
    <w:rsid w:val="000F1D9C"/>
    <w:rsid w:val="000F23F3"/>
    <w:rsid w:val="000F4AC4"/>
    <w:rsid w:val="000F6BE0"/>
    <w:rsid w:val="000F7F50"/>
    <w:rsid w:val="00103409"/>
    <w:rsid w:val="00106A96"/>
    <w:rsid w:val="00107760"/>
    <w:rsid w:val="001124CF"/>
    <w:rsid w:val="00112B87"/>
    <w:rsid w:val="00113CFB"/>
    <w:rsid w:val="00114C7D"/>
    <w:rsid w:val="0011699C"/>
    <w:rsid w:val="001177BE"/>
    <w:rsid w:val="00122622"/>
    <w:rsid w:val="0012303A"/>
    <w:rsid w:val="001231BF"/>
    <w:rsid w:val="00123EC0"/>
    <w:rsid w:val="00124B56"/>
    <w:rsid w:val="00126292"/>
    <w:rsid w:val="001262B4"/>
    <w:rsid w:val="00131BA2"/>
    <w:rsid w:val="00132552"/>
    <w:rsid w:val="00133CB8"/>
    <w:rsid w:val="0013530A"/>
    <w:rsid w:val="0013612C"/>
    <w:rsid w:val="00136A69"/>
    <w:rsid w:val="0014297B"/>
    <w:rsid w:val="00144ED5"/>
    <w:rsid w:val="0014549D"/>
    <w:rsid w:val="001455A5"/>
    <w:rsid w:val="00145891"/>
    <w:rsid w:val="00145B5D"/>
    <w:rsid w:val="00146E76"/>
    <w:rsid w:val="00147BBA"/>
    <w:rsid w:val="00152AEF"/>
    <w:rsid w:val="0015467C"/>
    <w:rsid w:val="0015472D"/>
    <w:rsid w:val="00154FE7"/>
    <w:rsid w:val="00155757"/>
    <w:rsid w:val="001573F5"/>
    <w:rsid w:val="0015763B"/>
    <w:rsid w:val="001602DF"/>
    <w:rsid w:val="00160579"/>
    <w:rsid w:val="001613F4"/>
    <w:rsid w:val="001614A0"/>
    <w:rsid w:val="00161C29"/>
    <w:rsid w:val="00161F5D"/>
    <w:rsid w:val="00164610"/>
    <w:rsid w:val="001649DC"/>
    <w:rsid w:val="00165038"/>
    <w:rsid w:val="00170DD0"/>
    <w:rsid w:val="00171470"/>
    <w:rsid w:val="001727C0"/>
    <w:rsid w:val="001737DA"/>
    <w:rsid w:val="00180E2A"/>
    <w:rsid w:val="00185221"/>
    <w:rsid w:val="00185243"/>
    <w:rsid w:val="001854AB"/>
    <w:rsid w:val="001876BE"/>
    <w:rsid w:val="00190468"/>
    <w:rsid w:val="0019071D"/>
    <w:rsid w:val="001917C2"/>
    <w:rsid w:val="00193B41"/>
    <w:rsid w:val="001944C0"/>
    <w:rsid w:val="001957DC"/>
    <w:rsid w:val="001958CD"/>
    <w:rsid w:val="00197282"/>
    <w:rsid w:val="00197C6B"/>
    <w:rsid w:val="001A03C4"/>
    <w:rsid w:val="001A1289"/>
    <w:rsid w:val="001A2817"/>
    <w:rsid w:val="001A2C73"/>
    <w:rsid w:val="001A5801"/>
    <w:rsid w:val="001B08F3"/>
    <w:rsid w:val="001B1D99"/>
    <w:rsid w:val="001B227A"/>
    <w:rsid w:val="001B58EA"/>
    <w:rsid w:val="001B62BC"/>
    <w:rsid w:val="001C014B"/>
    <w:rsid w:val="001C0BF5"/>
    <w:rsid w:val="001C1156"/>
    <w:rsid w:val="001C124B"/>
    <w:rsid w:val="001C1A74"/>
    <w:rsid w:val="001C1E68"/>
    <w:rsid w:val="001C209F"/>
    <w:rsid w:val="001C4291"/>
    <w:rsid w:val="001D0F82"/>
    <w:rsid w:val="001D1580"/>
    <w:rsid w:val="001D242B"/>
    <w:rsid w:val="001D2F74"/>
    <w:rsid w:val="001D4CA5"/>
    <w:rsid w:val="001D699E"/>
    <w:rsid w:val="001D6E3C"/>
    <w:rsid w:val="001D757B"/>
    <w:rsid w:val="001E101F"/>
    <w:rsid w:val="001E1F5F"/>
    <w:rsid w:val="001E21A6"/>
    <w:rsid w:val="001E26A1"/>
    <w:rsid w:val="001E2946"/>
    <w:rsid w:val="001E6A53"/>
    <w:rsid w:val="001F20D1"/>
    <w:rsid w:val="001F3C10"/>
    <w:rsid w:val="001F4683"/>
    <w:rsid w:val="001F4D9E"/>
    <w:rsid w:val="00200F05"/>
    <w:rsid w:val="00202E11"/>
    <w:rsid w:val="002035CB"/>
    <w:rsid w:val="00205F81"/>
    <w:rsid w:val="00206941"/>
    <w:rsid w:val="002101B1"/>
    <w:rsid w:val="0021081D"/>
    <w:rsid w:val="00210AC0"/>
    <w:rsid w:val="0021182F"/>
    <w:rsid w:val="00211CB8"/>
    <w:rsid w:val="00212FEB"/>
    <w:rsid w:val="00213E87"/>
    <w:rsid w:val="002147B2"/>
    <w:rsid w:val="00215D1B"/>
    <w:rsid w:val="0021644A"/>
    <w:rsid w:val="002169FA"/>
    <w:rsid w:val="00216F57"/>
    <w:rsid w:val="002179BB"/>
    <w:rsid w:val="00220D29"/>
    <w:rsid w:val="00224694"/>
    <w:rsid w:val="00224D32"/>
    <w:rsid w:val="00233E28"/>
    <w:rsid w:val="0023529C"/>
    <w:rsid w:val="002436BF"/>
    <w:rsid w:val="00243F99"/>
    <w:rsid w:val="00246CB7"/>
    <w:rsid w:val="00251130"/>
    <w:rsid w:val="00252ABF"/>
    <w:rsid w:val="002538F8"/>
    <w:rsid w:val="00255B0E"/>
    <w:rsid w:val="0025606E"/>
    <w:rsid w:val="002564AC"/>
    <w:rsid w:val="00256A5D"/>
    <w:rsid w:val="00262646"/>
    <w:rsid w:val="002637DC"/>
    <w:rsid w:val="00263E75"/>
    <w:rsid w:val="00266B3E"/>
    <w:rsid w:val="0027001F"/>
    <w:rsid w:val="00270043"/>
    <w:rsid w:val="00271AF0"/>
    <w:rsid w:val="00274F02"/>
    <w:rsid w:val="00274FAF"/>
    <w:rsid w:val="00275A4A"/>
    <w:rsid w:val="002769D9"/>
    <w:rsid w:val="002778D5"/>
    <w:rsid w:val="002801C6"/>
    <w:rsid w:val="002805D4"/>
    <w:rsid w:val="0028091C"/>
    <w:rsid w:val="00280FB9"/>
    <w:rsid w:val="00284411"/>
    <w:rsid w:val="00285AE2"/>
    <w:rsid w:val="00287945"/>
    <w:rsid w:val="00291E49"/>
    <w:rsid w:val="00295715"/>
    <w:rsid w:val="00295E9A"/>
    <w:rsid w:val="0029735C"/>
    <w:rsid w:val="002A02A4"/>
    <w:rsid w:val="002A1B88"/>
    <w:rsid w:val="002A3031"/>
    <w:rsid w:val="002A340B"/>
    <w:rsid w:val="002A345C"/>
    <w:rsid w:val="002A5950"/>
    <w:rsid w:val="002A6952"/>
    <w:rsid w:val="002A7665"/>
    <w:rsid w:val="002B14C9"/>
    <w:rsid w:val="002B2B6B"/>
    <w:rsid w:val="002B4D3C"/>
    <w:rsid w:val="002B7CD0"/>
    <w:rsid w:val="002C0042"/>
    <w:rsid w:val="002C00D3"/>
    <w:rsid w:val="002C126A"/>
    <w:rsid w:val="002C19F6"/>
    <w:rsid w:val="002C1ADF"/>
    <w:rsid w:val="002C37F8"/>
    <w:rsid w:val="002C447D"/>
    <w:rsid w:val="002C4A03"/>
    <w:rsid w:val="002C690B"/>
    <w:rsid w:val="002D180F"/>
    <w:rsid w:val="002D3074"/>
    <w:rsid w:val="002E50CF"/>
    <w:rsid w:val="002E77D1"/>
    <w:rsid w:val="002F1156"/>
    <w:rsid w:val="002F1DEF"/>
    <w:rsid w:val="002F2BF9"/>
    <w:rsid w:val="002F3EFE"/>
    <w:rsid w:val="002F5953"/>
    <w:rsid w:val="003043BF"/>
    <w:rsid w:val="0030509D"/>
    <w:rsid w:val="00307856"/>
    <w:rsid w:val="003100F3"/>
    <w:rsid w:val="00310168"/>
    <w:rsid w:val="00310C19"/>
    <w:rsid w:val="00311ABB"/>
    <w:rsid w:val="00312685"/>
    <w:rsid w:val="0031477A"/>
    <w:rsid w:val="00314A5F"/>
    <w:rsid w:val="003176C6"/>
    <w:rsid w:val="00320895"/>
    <w:rsid w:val="00322C40"/>
    <w:rsid w:val="00323766"/>
    <w:rsid w:val="003239D2"/>
    <w:rsid w:val="00330077"/>
    <w:rsid w:val="00330EE7"/>
    <w:rsid w:val="0033414C"/>
    <w:rsid w:val="00335C3F"/>
    <w:rsid w:val="0033662C"/>
    <w:rsid w:val="003369D5"/>
    <w:rsid w:val="003427C2"/>
    <w:rsid w:val="0034386B"/>
    <w:rsid w:val="00346FFE"/>
    <w:rsid w:val="00347B20"/>
    <w:rsid w:val="0035183A"/>
    <w:rsid w:val="00351A14"/>
    <w:rsid w:val="00356D08"/>
    <w:rsid w:val="00360431"/>
    <w:rsid w:val="00360501"/>
    <w:rsid w:val="00360945"/>
    <w:rsid w:val="00360F5E"/>
    <w:rsid w:val="0036248F"/>
    <w:rsid w:val="00366D7F"/>
    <w:rsid w:val="00366DAB"/>
    <w:rsid w:val="0036774E"/>
    <w:rsid w:val="00372F6D"/>
    <w:rsid w:val="00375FFA"/>
    <w:rsid w:val="0037631A"/>
    <w:rsid w:val="00377C83"/>
    <w:rsid w:val="00377CA2"/>
    <w:rsid w:val="003815EF"/>
    <w:rsid w:val="00382483"/>
    <w:rsid w:val="00382573"/>
    <w:rsid w:val="003879DF"/>
    <w:rsid w:val="00390F98"/>
    <w:rsid w:val="00394875"/>
    <w:rsid w:val="003949C7"/>
    <w:rsid w:val="00396D76"/>
    <w:rsid w:val="003A1AF5"/>
    <w:rsid w:val="003A5807"/>
    <w:rsid w:val="003A77A2"/>
    <w:rsid w:val="003B0303"/>
    <w:rsid w:val="003B4083"/>
    <w:rsid w:val="003B454A"/>
    <w:rsid w:val="003B5795"/>
    <w:rsid w:val="003C1A52"/>
    <w:rsid w:val="003C27A6"/>
    <w:rsid w:val="003C3941"/>
    <w:rsid w:val="003C3C8B"/>
    <w:rsid w:val="003C3FC0"/>
    <w:rsid w:val="003C4D74"/>
    <w:rsid w:val="003C7ADD"/>
    <w:rsid w:val="003D0ED4"/>
    <w:rsid w:val="003D13A8"/>
    <w:rsid w:val="003D210A"/>
    <w:rsid w:val="003D268E"/>
    <w:rsid w:val="003D2E93"/>
    <w:rsid w:val="003D31D4"/>
    <w:rsid w:val="003D3325"/>
    <w:rsid w:val="003D4331"/>
    <w:rsid w:val="003D73F1"/>
    <w:rsid w:val="003E51E4"/>
    <w:rsid w:val="003E62C0"/>
    <w:rsid w:val="003F0F0D"/>
    <w:rsid w:val="003F2D00"/>
    <w:rsid w:val="003F4C02"/>
    <w:rsid w:val="00400682"/>
    <w:rsid w:val="00405A55"/>
    <w:rsid w:val="00410580"/>
    <w:rsid w:val="0041185F"/>
    <w:rsid w:val="00411992"/>
    <w:rsid w:val="0041253A"/>
    <w:rsid w:val="00413014"/>
    <w:rsid w:val="004132CE"/>
    <w:rsid w:val="00415469"/>
    <w:rsid w:val="004160BF"/>
    <w:rsid w:val="00417B11"/>
    <w:rsid w:val="00422D8B"/>
    <w:rsid w:val="00423521"/>
    <w:rsid w:val="00424C51"/>
    <w:rsid w:val="00427179"/>
    <w:rsid w:val="00431229"/>
    <w:rsid w:val="00432267"/>
    <w:rsid w:val="00435C09"/>
    <w:rsid w:val="0043652E"/>
    <w:rsid w:val="00442C6B"/>
    <w:rsid w:val="004457CF"/>
    <w:rsid w:val="00452ED1"/>
    <w:rsid w:val="00454D81"/>
    <w:rsid w:val="00455DEA"/>
    <w:rsid w:val="004600E3"/>
    <w:rsid w:val="00462644"/>
    <w:rsid w:val="00463B87"/>
    <w:rsid w:val="00464FF7"/>
    <w:rsid w:val="004658BE"/>
    <w:rsid w:val="00465B26"/>
    <w:rsid w:val="00466449"/>
    <w:rsid w:val="00466DEB"/>
    <w:rsid w:val="00466E3B"/>
    <w:rsid w:val="00470009"/>
    <w:rsid w:val="00471088"/>
    <w:rsid w:val="00471235"/>
    <w:rsid w:val="0047708F"/>
    <w:rsid w:val="00477374"/>
    <w:rsid w:val="00480C5E"/>
    <w:rsid w:val="004814EB"/>
    <w:rsid w:val="00482220"/>
    <w:rsid w:val="00484A50"/>
    <w:rsid w:val="004863CF"/>
    <w:rsid w:val="00486B62"/>
    <w:rsid w:val="00486E66"/>
    <w:rsid w:val="004918C7"/>
    <w:rsid w:val="00497937"/>
    <w:rsid w:val="004A0A50"/>
    <w:rsid w:val="004A658E"/>
    <w:rsid w:val="004A6614"/>
    <w:rsid w:val="004B5AAB"/>
    <w:rsid w:val="004B5BBF"/>
    <w:rsid w:val="004B6856"/>
    <w:rsid w:val="004B696F"/>
    <w:rsid w:val="004C5BB8"/>
    <w:rsid w:val="004C62BF"/>
    <w:rsid w:val="004D1571"/>
    <w:rsid w:val="004D350B"/>
    <w:rsid w:val="004D4098"/>
    <w:rsid w:val="004D52B0"/>
    <w:rsid w:val="004E2E7F"/>
    <w:rsid w:val="004E4B51"/>
    <w:rsid w:val="004E4E00"/>
    <w:rsid w:val="004E7392"/>
    <w:rsid w:val="004E7CC3"/>
    <w:rsid w:val="004F0625"/>
    <w:rsid w:val="004F3F07"/>
    <w:rsid w:val="004F5F38"/>
    <w:rsid w:val="004F6B31"/>
    <w:rsid w:val="004F6E91"/>
    <w:rsid w:val="004F71AC"/>
    <w:rsid w:val="0050025C"/>
    <w:rsid w:val="005014CA"/>
    <w:rsid w:val="00501696"/>
    <w:rsid w:val="00510055"/>
    <w:rsid w:val="00510D98"/>
    <w:rsid w:val="00514855"/>
    <w:rsid w:val="0051608A"/>
    <w:rsid w:val="00521AD3"/>
    <w:rsid w:val="00521F30"/>
    <w:rsid w:val="0052663C"/>
    <w:rsid w:val="005268DC"/>
    <w:rsid w:val="00526DF5"/>
    <w:rsid w:val="0052760B"/>
    <w:rsid w:val="00533EB2"/>
    <w:rsid w:val="0053545E"/>
    <w:rsid w:val="00537107"/>
    <w:rsid w:val="00537CAD"/>
    <w:rsid w:val="00540142"/>
    <w:rsid w:val="00540389"/>
    <w:rsid w:val="00540833"/>
    <w:rsid w:val="005429E2"/>
    <w:rsid w:val="00544436"/>
    <w:rsid w:val="00545077"/>
    <w:rsid w:val="00546039"/>
    <w:rsid w:val="005473D7"/>
    <w:rsid w:val="0054764F"/>
    <w:rsid w:val="005526D0"/>
    <w:rsid w:val="00555A12"/>
    <w:rsid w:val="005564A5"/>
    <w:rsid w:val="005575A2"/>
    <w:rsid w:val="005578E7"/>
    <w:rsid w:val="00561BA5"/>
    <w:rsid w:val="00565146"/>
    <w:rsid w:val="005657D6"/>
    <w:rsid w:val="00570144"/>
    <w:rsid w:val="00570EF1"/>
    <w:rsid w:val="00572361"/>
    <w:rsid w:val="00573DAD"/>
    <w:rsid w:val="00576DF9"/>
    <w:rsid w:val="0057742C"/>
    <w:rsid w:val="0057771E"/>
    <w:rsid w:val="0058152D"/>
    <w:rsid w:val="00581F54"/>
    <w:rsid w:val="00584E50"/>
    <w:rsid w:val="00591540"/>
    <w:rsid w:val="00592559"/>
    <w:rsid w:val="00592D97"/>
    <w:rsid w:val="005933AF"/>
    <w:rsid w:val="0059646F"/>
    <w:rsid w:val="005A0F3F"/>
    <w:rsid w:val="005A2427"/>
    <w:rsid w:val="005A4C1B"/>
    <w:rsid w:val="005A64C6"/>
    <w:rsid w:val="005B120B"/>
    <w:rsid w:val="005B1272"/>
    <w:rsid w:val="005B1CBB"/>
    <w:rsid w:val="005B1DB6"/>
    <w:rsid w:val="005B25EF"/>
    <w:rsid w:val="005B3BCE"/>
    <w:rsid w:val="005B4AEE"/>
    <w:rsid w:val="005B4B46"/>
    <w:rsid w:val="005B607F"/>
    <w:rsid w:val="005C0233"/>
    <w:rsid w:val="005C1731"/>
    <w:rsid w:val="005C6E71"/>
    <w:rsid w:val="005C6EB6"/>
    <w:rsid w:val="005D0E60"/>
    <w:rsid w:val="005D1385"/>
    <w:rsid w:val="005D256F"/>
    <w:rsid w:val="005D27D4"/>
    <w:rsid w:val="005D4470"/>
    <w:rsid w:val="005D5826"/>
    <w:rsid w:val="005D5D53"/>
    <w:rsid w:val="005D746B"/>
    <w:rsid w:val="005E12CA"/>
    <w:rsid w:val="005E4501"/>
    <w:rsid w:val="005E4EDD"/>
    <w:rsid w:val="005E66F9"/>
    <w:rsid w:val="005F0467"/>
    <w:rsid w:val="005F2694"/>
    <w:rsid w:val="005F39EC"/>
    <w:rsid w:val="005F44F8"/>
    <w:rsid w:val="005F55CF"/>
    <w:rsid w:val="006002EE"/>
    <w:rsid w:val="00601920"/>
    <w:rsid w:val="00601E0F"/>
    <w:rsid w:val="006020B1"/>
    <w:rsid w:val="00603897"/>
    <w:rsid w:val="00603DF7"/>
    <w:rsid w:val="006053F9"/>
    <w:rsid w:val="006117B9"/>
    <w:rsid w:val="00615E8B"/>
    <w:rsid w:val="00616267"/>
    <w:rsid w:val="00617CFC"/>
    <w:rsid w:val="00621591"/>
    <w:rsid w:val="00621685"/>
    <w:rsid w:val="006237EB"/>
    <w:rsid w:val="00625A82"/>
    <w:rsid w:val="0063123F"/>
    <w:rsid w:val="00631CBB"/>
    <w:rsid w:val="006346B6"/>
    <w:rsid w:val="006346E1"/>
    <w:rsid w:val="006350B7"/>
    <w:rsid w:val="00640DFE"/>
    <w:rsid w:val="00641437"/>
    <w:rsid w:val="006447B1"/>
    <w:rsid w:val="00645E3A"/>
    <w:rsid w:val="00647D24"/>
    <w:rsid w:val="00650E20"/>
    <w:rsid w:val="006534C3"/>
    <w:rsid w:val="0065359C"/>
    <w:rsid w:val="006539F1"/>
    <w:rsid w:val="0065590C"/>
    <w:rsid w:val="00655D27"/>
    <w:rsid w:val="00656759"/>
    <w:rsid w:val="00657402"/>
    <w:rsid w:val="006602F1"/>
    <w:rsid w:val="006701CB"/>
    <w:rsid w:val="00673516"/>
    <w:rsid w:val="00674792"/>
    <w:rsid w:val="00674CB7"/>
    <w:rsid w:val="00675124"/>
    <w:rsid w:val="00675934"/>
    <w:rsid w:val="0067626E"/>
    <w:rsid w:val="00676369"/>
    <w:rsid w:val="00677F7A"/>
    <w:rsid w:val="0068225F"/>
    <w:rsid w:val="00685A5A"/>
    <w:rsid w:val="00685ABC"/>
    <w:rsid w:val="00685E53"/>
    <w:rsid w:val="006869B8"/>
    <w:rsid w:val="006933B7"/>
    <w:rsid w:val="00693899"/>
    <w:rsid w:val="00694606"/>
    <w:rsid w:val="006A032E"/>
    <w:rsid w:val="006A1378"/>
    <w:rsid w:val="006A2301"/>
    <w:rsid w:val="006A3385"/>
    <w:rsid w:val="006A4FF9"/>
    <w:rsid w:val="006B3B2E"/>
    <w:rsid w:val="006B42EB"/>
    <w:rsid w:val="006B6412"/>
    <w:rsid w:val="006B6EED"/>
    <w:rsid w:val="006C260B"/>
    <w:rsid w:val="006C4A2D"/>
    <w:rsid w:val="006C75A3"/>
    <w:rsid w:val="006C7734"/>
    <w:rsid w:val="006C78A0"/>
    <w:rsid w:val="006D3D21"/>
    <w:rsid w:val="006D559D"/>
    <w:rsid w:val="006E2F07"/>
    <w:rsid w:val="006E41A1"/>
    <w:rsid w:val="006F0970"/>
    <w:rsid w:val="006F0C6E"/>
    <w:rsid w:val="006F1D4C"/>
    <w:rsid w:val="006F4639"/>
    <w:rsid w:val="006F4E81"/>
    <w:rsid w:val="006F65BF"/>
    <w:rsid w:val="006F7271"/>
    <w:rsid w:val="00700E83"/>
    <w:rsid w:val="0070287D"/>
    <w:rsid w:val="007041E5"/>
    <w:rsid w:val="0070460B"/>
    <w:rsid w:val="0070551D"/>
    <w:rsid w:val="0070583F"/>
    <w:rsid w:val="00707856"/>
    <w:rsid w:val="00710D88"/>
    <w:rsid w:val="00712EC0"/>
    <w:rsid w:val="007145FD"/>
    <w:rsid w:val="0071507D"/>
    <w:rsid w:val="00716767"/>
    <w:rsid w:val="00717598"/>
    <w:rsid w:val="00717C7A"/>
    <w:rsid w:val="00717FF7"/>
    <w:rsid w:val="00722988"/>
    <w:rsid w:val="0072529D"/>
    <w:rsid w:val="00725A1E"/>
    <w:rsid w:val="00730077"/>
    <w:rsid w:val="00733BB2"/>
    <w:rsid w:val="00734284"/>
    <w:rsid w:val="00737B0A"/>
    <w:rsid w:val="007416AC"/>
    <w:rsid w:val="00744618"/>
    <w:rsid w:val="00744B43"/>
    <w:rsid w:val="00745727"/>
    <w:rsid w:val="00747763"/>
    <w:rsid w:val="007501B3"/>
    <w:rsid w:val="00757893"/>
    <w:rsid w:val="00760206"/>
    <w:rsid w:val="007602A5"/>
    <w:rsid w:val="007626D9"/>
    <w:rsid w:val="00764769"/>
    <w:rsid w:val="00764B24"/>
    <w:rsid w:val="00765C85"/>
    <w:rsid w:val="00766AF4"/>
    <w:rsid w:val="00766B02"/>
    <w:rsid w:val="00767A58"/>
    <w:rsid w:val="007702E6"/>
    <w:rsid w:val="00771F7F"/>
    <w:rsid w:val="007723A7"/>
    <w:rsid w:val="0077310A"/>
    <w:rsid w:val="00773115"/>
    <w:rsid w:val="00773755"/>
    <w:rsid w:val="007764DC"/>
    <w:rsid w:val="00782335"/>
    <w:rsid w:val="00784EE8"/>
    <w:rsid w:val="0078782A"/>
    <w:rsid w:val="00787E40"/>
    <w:rsid w:val="00787F23"/>
    <w:rsid w:val="007A1D29"/>
    <w:rsid w:val="007A2210"/>
    <w:rsid w:val="007A342A"/>
    <w:rsid w:val="007A39FD"/>
    <w:rsid w:val="007A77B0"/>
    <w:rsid w:val="007B1DAD"/>
    <w:rsid w:val="007B494F"/>
    <w:rsid w:val="007B5531"/>
    <w:rsid w:val="007B641A"/>
    <w:rsid w:val="007B7735"/>
    <w:rsid w:val="007B7F5F"/>
    <w:rsid w:val="007C0B56"/>
    <w:rsid w:val="007C4C77"/>
    <w:rsid w:val="007D120A"/>
    <w:rsid w:val="007D187C"/>
    <w:rsid w:val="007D198E"/>
    <w:rsid w:val="007D3A51"/>
    <w:rsid w:val="007D4623"/>
    <w:rsid w:val="007D5B8F"/>
    <w:rsid w:val="007D76F9"/>
    <w:rsid w:val="007E093E"/>
    <w:rsid w:val="007E36E5"/>
    <w:rsid w:val="007E3D59"/>
    <w:rsid w:val="007E3DC3"/>
    <w:rsid w:val="007E3F21"/>
    <w:rsid w:val="007E4300"/>
    <w:rsid w:val="007E464F"/>
    <w:rsid w:val="007E4FE2"/>
    <w:rsid w:val="007E5D54"/>
    <w:rsid w:val="007E6F6A"/>
    <w:rsid w:val="007F0D26"/>
    <w:rsid w:val="007F1E32"/>
    <w:rsid w:val="007F4A58"/>
    <w:rsid w:val="007F4FAB"/>
    <w:rsid w:val="007F5010"/>
    <w:rsid w:val="007F55B7"/>
    <w:rsid w:val="007F5FCC"/>
    <w:rsid w:val="008000B2"/>
    <w:rsid w:val="00800A8A"/>
    <w:rsid w:val="0080284B"/>
    <w:rsid w:val="0081084E"/>
    <w:rsid w:val="00811889"/>
    <w:rsid w:val="00811972"/>
    <w:rsid w:val="00811DC6"/>
    <w:rsid w:val="008132FD"/>
    <w:rsid w:val="00813AC1"/>
    <w:rsid w:val="00814B1B"/>
    <w:rsid w:val="00817408"/>
    <w:rsid w:val="0082426F"/>
    <w:rsid w:val="0082546F"/>
    <w:rsid w:val="0082670A"/>
    <w:rsid w:val="008318E6"/>
    <w:rsid w:val="00832740"/>
    <w:rsid w:val="008364C7"/>
    <w:rsid w:val="0084010D"/>
    <w:rsid w:val="00840C08"/>
    <w:rsid w:val="00841234"/>
    <w:rsid w:val="008413BA"/>
    <w:rsid w:val="00842DE4"/>
    <w:rsid w:val="00843477"/>
    <w:rsid w:val="00843F83"/>
    <w:rsid w:val="008441AB"/>
    <w:rsid w:val="00847324"/>
    <w:rsid w:val="00853F9E"/>
    <w:rsid w:val="0085504F"/>
    <w:rsid w:val="008552F1"/>
    <w:rsid w:val="008554EE"/>
    <w:rsid w:val="00860249"/>
    <w:rsid w:val="00860BEC"/>
    <w:rsid w:val="00862256"/>
    <w:rsid w:val="008652FA"/>
    <w:rsid w:val="008654FB"/>
    <w:rsid w:val="00865CD9"/>
    <w:rsid w:val="008678FD"/>
    <w:rsid w:val="008679D3"/>
    <w:rsid w:val="00867D22"/>
    <w:rsid w:val="00872986"/>
    <w:rsid w:val="00872B6C"/>
    <w:rsid w:val="0087336E"/>
    <w:rsid w:val="00875EE5"/>
    <w:rsid w:val="00876584"/>
    <w:rsid w:val="0087770B"/>
    <w:rsid w:val="008809EA"/>
    <w:rsid w:val="00881946"/>
    <w:rsid w:val="0088302C"/>
    <w:rsid w:val="00883579"/>
    <w:rsid w:val="00886242"/>
    <w:rsid w:val="008877E3"/>
    <w:rsid w:val="008901B9"/>
    <w:rsid w:val="00890B79"/>
    <w:rsid w:val="00891010"/>
    <w:rsid w:val="00892409"/>
    <w:rsid w:val="008A153A"/>
    <w:rsid w:val="008A23EE"/>
    <w:rsid w:val="008A295D"/>
    <w:rsid w:val="008B236F"/>
    <w:rsid w:val="008B4442"/>
    <w:rsid w:val="008B609E"/>
    <w:rsid w:val="008B618F"/>
    <w:rsid w:val="008C02AA"/>
    <w:rsid w:val="008C1C25"/>
    <w:rsid w:val="008C224A"/>
    <w:rsid w:val="008C4182"/>
    <w:rsid w:val="008C479C"/>
    <w:rsid w:val="008C493E"/>
    <w:rsid w:val="008C5F48"/>
    <w:rsid w:val="008C7B0B"/>
    <w:rsid w:val="008D2D0C"/>
    <w:rsid w:val="008D76B2"/>
    <w:rsid w:val="008E0959"/>
    <w:rsid w:val="008E156B"/>
    <w:rsid w:val="008E2A08"/>
    <w:rsid w:val="008E31E2"/>
    <w:rsid w:val="008E5B7B"/>
    <w:rsid w:val="008E5BE7"/>
    <w:rsid w:val="008E650C"/>
    <w:rsid w:val="008F196B"/>
    <w:rsid w:val="008F1BEF"/>
    <w:rsid w:val="008F2AC2"/>
    <w:rsid w:val="008F2AF6"/>
    <w:rsid w:val="008F2BCF"/>
    <w:rsid w:val="008F3395"/>
    <w:rsid w:val="008F657A"/>
    <w:rsid w:val="008F7F03"/>
    <w:rsid w:val="00900AF3"/>
    <w:rsid w:val="00901F8C"/>
    <w:rsid w:val="00903ED8"/>
    <w:rsid w:val="00904CA8"/>
    <w:rsid w:val="00906395"/>
    <w:rsid w:val="00910018"/>
    <w:rsid w:val="00910AAF"/>
    <w:rsid w:val="00913C2F"/>
    <w:rsid w:val="00914C3D"/>
    <w:rsid w:val="00915168"/>
    <w:rsid w:val="00915588"/>
    <w:rsid w:val="00916967"/>
    <w:rsid w:val="0092093C"/>
    <w:rsid w:val="009222DF"/>
    <w:rsid w:val="00923C17"/>
    <w:rsid w:val="0092412D"/>
    <w:rsid w:val="00925EE6"/>
    <w:rsid w:val="009261CF"/>
    <w:rsid w:val="009278C6"/>
    <w:rsid w:val="00930D82"/>
    <w:rsid w:val="00931C5B"/>
    <w:rsid w:val="00937093"/>
    <w:rsid w:val="00942A18"/>
    <w:rsid w:val="00944A91"/>
    <w:rsid w:val="00953BFD"/>
    <w:rsid w:val="00954AD0"/>
    <w:rsid w:val="00954F9C"/>
    <w:rsid w:val="00955ABE"/>
    <w:rsid w:val="009578B5"/>
    <w:rsid w:val="00961D83"/>
    <w:rsid w:val="00962458"/>
    <w:rsid w:val="00962E51"/>
    <w:rsid w:val="00963300"/>
    <w:rsid w:val="009654E0"/>
    <w:rsid w:val="0096704B"/>
    <w:rsid w:val="00967129"/>
    <w:rsid w:val="00971F63"/>
    <w:rsid w:val="00972C57"/>
    <w:rsid w:val="00976E29"/>
    <w:rsid w:val="00976F24"/>
    <w:rsid w:val="0097720F"/>
    <w:rsid w:val="00977A91"/>
    <w:rsid w:val="00977ED4"/>
    <w:rsid w:val="00983256"/>
    <w:rsid w:val="009848E7"/>
    <w:rsid w:val="009854A5"/>
    <w:rsid w:val="00986BA5"/>
    <w:rsid w:val="00987C49"/>
    <w:rsid w:val="00994B6E"/>
    <w:rsid w:val="00995566"/>
    <w:rsid w:val="009A4BCC"/>
    <w:rsid w:val="009A5EA2"/>
    <w:rsid w:val="009A6317"/>
    <w:rsid w:val="009B286A"/>
    <w:rsid w:val="009B3EC0"/>
    <w:rsid w:val="009C05C5"/>
    <w:rsid w:val="009C1C57"/>
    <w:rsid w:val="009C1CC7"/>
    <w:rsid w:val="009C4246"/>
    <w:rsid w:val="009C48B4"/>
    <w:rsid w:val="009C5948"/>
    <w:rsid w:val="009C5C27"/>
    <w:rsid w:val="009C644F"/>
    <w:rsid w:val="009C7423"/>
    <w:rsid w:val="009D03B5"/>
    <w:rsid w:val="009D0955"/>
    <w:rsid w:val="009D0C16"/>
    <w:rsid w:val="009D4FB1"/>
    <w:rsid w:val="009D5D55"/>
    <w:rsid w:val="009E1FDA"/>
    <w:rsid w:val="009E2819"/>
    <w:rsid w:val="009E3952"/>
    <w:rsid w:val="009E78BC"/>
    <w:rsid w:val="009F043F"/>
    <w:rsid w:val="009F266F"/>
    <w:rsid w:val="009F3E07"/>
    <w:rsid w:val="009F58E8"/>
    <w:rsid w:val="009F5AF1"/>
    <w:rsid w:val="009F649C"/>
    <w:rsid w:val="009F72D3"/>
    <w:rsid w:val="009F74C3"/>
    <w:rsid w:val="009F7707"/>
    <w:rsid w:val="00A013D7"/>
    <w:rsid w:val="00A02078"/>
    <w:rsid w:val="00A026AF"/>
    <w:rsid w:val="00A03233"/>
    <w:rsid w:val="00A04694"/>
    <w:rsid w:val="00A04D66"/>
    <w:rsid w:val="00A06DA5"/>
    <w:rsid w:val="00A10E44"/>
    <w:rsid w:val="00A17825"/>
    <w:rsid w:val="00A17B13"/>
    <w:rsid w:val="00A232C3"/>
    <w:rsid w:val="00A23616"/>
    <w:rsid w:val="00A2458B"/>
    <w:rsid w:val="00A24858"/>
    <w:rsid w:val="00A252FD"/>
    <w:rsid w:val="00A26508"/>
    <w:rsid w:val="00A32238"/>
    <w:rsid w:val="00A32FDA"/>
    <w:rsid w:val="00A33A02"/>
    <w:rsid w:val="00A34DCC"/>
    <w:rsid w:val="00A35012"/>
    <w:rsid w:val="00A359B9"/>
    <w:rsid w:val="00A37304"/>
    <w:rsid w:val="00A43C6C"/>
    <w:rsid w:val="00A46E8F"/>
    <w:rsid w:val="00A5133D"/>
    <w:rsid w:val="00A51C7F"/>
    <w:rsid w:val="00A5382A"/>
    <w:rsid w:val="00A60F26"/>
    <w:rsid w:val="00A60F7C"/>
    <w:rsid w:val="00A61216"/>
    <w:rsid w:val="00A621A9"/>
    <w:rsid w:val="00A7197E"/>
    <w:rsid w:val="00A71C24"/>
    <w:rsid w:val="00A7226A"/>
    <w:rsid w:val="00A72D8A"/>
    <w:rsid w:val="00A734CD"/>
    <w:rsid w:val="00A73CB8"/>
    <w:rsid w:val="00A81AC4"/>
    <w:rsid w:val="00A81BD8"/>
    <w:rsid w:val="00A81EFE"/>
    <w:rsid w:val="00A82839"/>
    <w:rsid w:val="00A82D0D"/>
    <w:rsid w:val="00A87EF3"/>
    <w:rsid w:val="00A9121A"/>
    <w:rsid w:val="00A91552"/>
    <w:rsid w:val="00A91A74"/>
    <w:rsid w:val="00A91C6E"/>
    <w:rsid w:val="00A92CB5"/>
    <w:rsid w:val="00A93049"/>
    <w:rsid w:val="00A94428"/>
    <w:rsid w:val="00A96288"/>
    <w:rsid w:val="00AA0852"/>
    <w:rsid w:val="00AA4D9C"/>
    <w:rsid w:val="00AA51A2"/>
    <w:rsid w:val="00AA5AB5"/>
    <w:rsid w:val="00AA6424"/>
    <w:rsid w:val="00AA78D1"/>
    <w:rsid w:val="00AA7EC8"/>
    <w:rsid w:val="00AB0274"/>
    <w:rsid w:val="00AB111E"/>
    <w:rsid w:val="00AB166A"/>
    <w:rsid w:val="00AB36A9"/>
    <w:rsid w:val="00AB4503"/>
    <w:rsid w:val="00AB5DE6"/>
    <w:rsid w:val="00AC0B78"/>
    <w:rsid w:val="00AC2CF0"/>
    <w:rsid w:val="00AC417A"/>
    <w:rsid w:val="00AC4360"/>
    <w:rsid w:val="00AC4620"/>
    <w:rsid w:val="00AC5D88"/>
    <w:rsid w:val="00AC5EF6"/>
    <w:rsid w:val="00AC6753"/>
    <w:rsid w:val="00AC69B8"/>
    <w:rsid w:val="00AC6E12"/>
    <w:rsid w:val="00AC7FD3"/>
    <w:rsid w:val="00AD0719"/>
    <w:rsid w:val="00AD1065"/>
    <w:rsid w:val="00AD285C"/>
    <w:rsid w:val="00AD3286"/>
    <w:rsid w:val="00AD4F41"/>
    <w:rsid w:val="00AD7894"/>
    <w:rsid w:val="00AD7BFD"/>
    <w:rsid w:val="00AE18D9"/>
    <w:rsid w:val="00AE1F6B"/>
    <w:rsid w:val="00AE3237"/>
    <w:rsid w:val="00AE3459"/>
    <w:rsid w:val="00AE352E"/>
    <w:rsid w:val="00AE417E"/>
    <w:rsid w:val="00AE4871"/>
    <w:rsid w:val="00AE4A17"/>
    <w:rsid w:val="00AE51B3"/>
    <w:rsid w:val="00AE5B35"/>
    <w:rsid w:val="00AE6F3E"/>
    <w:rsid w:val="00AF0548"/>
    <w:rsid w:val="00AF2C89"/>
    <w:rsid w:val="00AF4ECC"/>
    <w:rsid w:val="00AF6095"/>
    <w:rsid w:val="00AF7B8F"/>
    <w:rsid w:val="00B05C07"/>
    <w:rsid w:val="00B11575"/>
    <w:rsid w:val="00B11C4C"/>
    <w:rsid w:val="00B12B1F"/>
    <w:rsid w:val="00B140FD"/>
    <w:rsid w:val="00B148D0"/>
    <w:rsid w:val="00B148EC"/>
    <w:rsid w:val="00B17714"/>
    <w:rsid w:val="00B21C60"/>
    <w:rsid w:val="00B220C1"/>
    <w:rsid w:val="00B22A33"/>
    <w:rsid w:val="00B23D63"/>
    <w:rsid w:val="00B244F6"/>
    <w:rsid w:val="00B24CE1"/>
    <w:rsid w:val="00B253BD"/>
    <w:rsid w:val="00B26E7E"/>
    <w:rsid w:val="00B30E23"/>
    <w:rsid w:val="00B351B6"/>
    <w:rsid w:val="00B35BE0"/>
    <w:rsid w:val="00B36B8A"/>
    <w:rsid w:val="00B37C5C"/>
    <w:rsid w:val="00B40666"/>
    <w:rsid w:val="00B447C7"/>
    <w:rsid w:val="00B45B58"/>
    <w:rsid w:val="00B466EC"/>
    <w:rsid w:val="00B50BD2"/>
    <w:rsid w:val="00B538FF"/>
    <w:rsid w:val="00B54645"/>
    <w:rsid w:val="00B54704"/>
    <w:rsid w:val="00B6367E"/>
    <w:rsid w:val="00B66301"/>
    <w:rsid w:val="00B66729"/>
    <w:rsid w:val="00B67EEC"/>
    <w:rsid w:val="00B70412"/>
    <w:rsid w:val="00B72C73"/>
    <w:rsid w:val="00B73072"/>
    <w:rsid w:val="00B734EC"/>
    <w:rsid w:val="00B75D15"/>
    <w:rsid w:val="00B776E8"/>
    <w:rsid w:val="00B7777C"/>
    <w:rsid w:val="00B80BEC"/>
    <w:rsid w:val="00B811ED"/>
    <w:rsid w:val="00B826D3"/>
    <w:rsid w:val="00B84453"/>
    <w:rsid w:val="00B84BA4"/>
    <w:rsid w:val="00B8569A"/>
    <w:rsid w:val="00B91186"/>
    <w:rsid w:val="00B912E2"/>
    <w:rsid w:val="00B922EB"/>
    <w:rsid w:val="00B9637A"/>
    <w:rsid w:val="00B97FBF"/>
    <w:rsid w:val="00BA1C27"/>
    <w:rsid w:val="00BA3272"/>
    <w:rsid w:val="00BA3663"/>
    <w:rsid w:val="00BA5995"/>
    <w:rsid w:val="00BB0A3A"/>
    <w:rsid w:val="00BB17B3"/>
    <w:rsid w:val="00BB1EF4"/>
    <w:rsid w:val="00BB294F"/>
    <w:rsid w:val="00BB3696"/>
    <w:rsid w:val="00BB5A76"/>
    <w:rsid w:val="00BB6CD1"/>
    <w:rsid w:val="00BB7074"/>
    <w:rsid w:val="00BC621A"/>
    <w:rsid w:val="00BD03FD"/>
    <w:rsid w:val="00BD17AE"/>
    <w:rsid w:val="00BD2E45"/>
    <w:rsid w:val="00BD3F20"/>
    <w:rsid w:val="00BD55D5"/>
    <w:rsid w:val="00BD7791"/>
    <w:rsid w:val="00BE0EF4"/>
    <w:rsid w:val="00BE25ED"/>
    <w:rsid w:val="00BE2CB8"/>
    <w:rsid w:val="00BE31C8"/>
    <w:rsid w:val="00BE3B0B"/>
    <w:rsid w:val="00BE5B12"/>
    <w:rsid w:val="00BF0F84"/>
    <w:rsid w:val="00BF126A"/>
    <w:rsid w:val="00BF149D"/>
    <w:rsid w:val="00BF1CC9"/>
    <w:rsid w:val="00BF677D"/>
    <w:rsid w:val="00BF68AD"/>
    <w:rsid w:val="00C01C5C"/>
    <w:rsid w:val="00C02814"/>
    <w:rsid w:val="00C028D7"/>
    <w:rsid w:val="00C02CA8"/>
    <w:rsid w:val="00C03754"/>
    <w:rsid w:val="00C04E8D"/>
    <w:rsid w:val="00C13373"/>
    <w:rsid w:val="00C13478"/>
    <w:rsid w:val="00C1366E"/>
    <w:rsid w:val="00C15A34"/>
    <w:rsid w:val="00C16750"/>
    <w:rsid w:val="00C17F79"/>
    <w:rsid w:val="00C2162B"/>
    <w:rsid w:val="00C21861"/>
    <w:rsid w:val="00C21DC8"/>
    <w:rsid w:val="00C22911"/>
    <w:rsid w:val="00C23B8B"/>
    <w:rsid w:val="00C26EC4"/>
    <w:rsid w:val="00C37214"/>
    <w:rsid w:val="00C40272"/>
    <w:rsid w:val="00C402B0"/>
    <w:rsid w:val="00C416C0"/>
    <w:rsid w:val="00C41CCE"/>
    <w:rsid w:val="00C42FD0"/>
    <w:rsid w:val="00C46AC8"/>
    <w:rsid w:val="00C5358F"/>
    <w:rsid w:val="00C54B7D"/>
    <w:rsid w:val="00C5695E"/>
    <w:rsid w:val="00C57AA9"/>
    <w:rsid w:val="00C57C0B"/>
    <w:rsid w:val="00C60354"/>
    <w:rsid w:val="00C63B5C"/>
    <w:rsid w:val="00C708C2"/>
    <w:rsid w:val="00C744C8"/>
    <w:rsid w:val="00C80CE4"/>
    <w:rsid w:val="00C81746"/>
    <w:rsid w:val="00C823DA"/>
    <w:rsid w:val="00C824DB"/>
    <w:rsid w:val="00C82A2B"/>
    <w:rsid w:val="00C8506A"/>
    <w:rsid w:val="00C85B34"/>
    <w:rsid w:val="00C87E85"/>
    <w:rsid w:val="00C91B1F"/>
    <w:rsid w:val="00C92D39"/>
    <w:rsid w:val="00C92E23"/>
    <w:rsid w:val="00C94870"/>
    <w:rsid w:val="00C96F44"/>
    <w:rsid w:val="00CA01FE"/>
    <w:rsid w:val="00CA0DEC"/>
    <w:rsid w:val="00CA33AC"/>
    <w:rsid w:val="00CA38BE"/>
    <w:rsid w:val="00CA38FE"/>
    <w:rsid w:val="00CA5797"/>
    <w:rsid w:val="00CC0DD4"/>
    <w:rsid w:val="00CC45F5"/>
    <w:rsid w:val="00CC6E5F"/>
    <w:rsid w:val="00CD48E9"/>
    <w:rsid w:val="00CD4E4C"/>
    <w:rsid w:val="00CD4EF8"/>
    <w:rsid w:val="00CD522D"/>
    <w:rsid w:val="00CD6AB8"/>
    <w:rsid w:val="00CD6DD4"/>
    <w:rsid w:val="00CD7AF1"/>
    <w:rsid w:val="00CE0896"/>
    <w:rsid w:val="00CE29C0"/>
    <w:rsid w:val="00CE49E6"/>
    <w:rsid w:val="00CE54A7"/>
    <w:rsid w:val="00CF1DEC"/>
    <w:rsid w:val="00CF201A"/>
    <w:rsid w:val="00CF40A2"/>
    <w:rsid w:val="00CF414A"/>
    <w:rsid w:val="00CF457B"/>
    <w:rsid w:val="00CF4774"/>
    <w:rsid w:val="00CF555A"/>
    <w:rsid w:val="00CF69D4"/>
    <w:rsid w:val="00CF7A7B"/>
    <w:rsid w:val="00CF7DA7"/>
    <w:rsid w:val="00D00906"/>
    <w:rsid w:val="00D00E18"/>
    <w:rsid w:val="00D02106"/>
    <w:rsid w:val="00D02953"/>
    <w:rsid w:val="00D02FD3"/>
    <w:rsid w:val="00D05B73"/>
    <w:rsid w:val="00D077D8"/>
    <w:rsid w:val="00D10850"/>
    <w:rsid w:val="00D10A9A"/>
    <w:rsid w:val="00D111DE"/>
    <w:rsid w:val="00D12D8D"/>
    <w:rsid w:val="00D135FE"/>
    <w:rsid w:val="00D139C9"/>
    <w:rsid w:val="00D14F94"/>
    <w:rsid w:val="00D21769"/>
    <w:rsid w:val="00D218C2"/>
    <w:rsid w:val="00D2236E"/>
    <w:rsid w:val="00D24542"/>
    <w:rsid w:val="00D24A1F"/>
    <w:rsid w:val="00D26B5F"/>
    <w:rsid w:val="00D31C78"/>
    <w:rsid w:val="00D34CE2"/>
    <w:rsid w:val="00D35605"/>
    <w:rsid w:val="00D35F2B"/>
    <w:rsid w:val="00D36941"/>
    <w:rsid w:val="00D4003B"/>
    <w:rsid w:val="00D40FAA"/>
    <w:rsid w:val="00D41AC1"/>
    <w:rsid w:val="00D42DBA"/>
    <w:rsid w:val="00D444C1"/>
    <w:rsid w:val="00D46A1D"/>
    <w:rsid w:val="00D5115E"/>
    <w:rsid w:val="00D5127E"/>
    <w:rsid w:val="00D53D67"/>
    <w:rsid w:val="00D568FF"/>
    <w:rsid w:val="00D605C6"/>
    <w:rsid w:val="00D60A61"/>
    <w:rsid w:val="00D61F0E"/>
    <w:rsid w:val="00D6369A"/>
    <w:rsid w:val="00D64065"/>
    <w:rsid w:val="00D64F6C"/>
    <w:rsid w:val="00D6518E"/>
    <w:rsid w:val="00D658DF"/>
    <w:rsid w:val="00D71781"/>
    <w:rsid w:val="00D72206"/>
    <w:rsid w:val="00D72415"/>
    <w:rsid w:val="00D72A60"/>
    <w:rsid w:val="00D7553F"/>
    <w:rsid w:val="00D76415"/>
    <w:rsid w:val="00D81CE6"/>
    <w:rsid w:val="00D85408"/>
    <w:rsid w:val="00D863FA"/>
    <w:rsid w:val="00D86A12"/>
    <w:rsid w:val="00D92A87"/>
    <w:rsid w:val="00D93FB6"/>
    <w:rsid w:val="00D94E6E"/>
    <w:rsid w:val="00DA50D2"/>
    <w:rsid w:val="00DB0376"/>
    <w:rsid w:val="00DB2AA7"/>
    <w:rsid w:val="00DB3042"/>
    <w:rsid w:val="00DB4C70"/>
    <w:rsid w:val="00DB514C"/>
    <w:rsid w:val="00DB6417"/>
    <w:rsid w:val="00DB6439"/>
    <w:rsid w:val="00DB64B1"/>
    <w:rsid w:val="00DB72BD"/>
    <w:rsid w:val="00DC0996"/>
    <w:rsid w:val="00DC12DE"/>
    <w:rsid w:val="00DC1F68"/>
    <w:rsid w:val="00DC2F33"/>
    <w:rsid w:val="00DD14BB"/>
    <w:rsid w:val="00DD19E5"/>
    <w:rsid w:val="00DD308B"/>
    <w:rsid w:val="00DD32C7"/>
    <w:rsid w:val="00DD32EA"/>
    <w:rsid w:val="00DD3BAE"/>
    <w:rsid w:val="00DD5A33"/>
    <w:rsid w:val="00DD6EE0"/>
    <w:rsid w:val="00DD736F"/>
    <w:rsid w:val="00DE0AB8"/>
    <w:rsid w:val="00DE2EB9"/>
    <w:rsid w:val="00DE47F4"/>
    <w:rsid w:val="00DE6E89"/>
    <w:rsid w:val="00DE7BAF"/>
    <w:rsid w:val="00DE7FC4"/>
    <w:rsid w:val="00DF1355"/>
    <w:rsid w:val="00DF1FC2"/>
    <w:rsid w:val="00DF24F5"/>
    <w:rsid w:val="00DF5CB9"/>
    <w:rsid w:val="00DF773B"/>
    <w:rsid w:val="00E0031B"/>
    <w:rsid w:val="00E00D46"/>
    <w:rsid w:val="00E0160C"/>
    <w:rsid w:val="00E01C77"/>
    <w:rsid w:val="00E0659B"/>
    <w:rsid w:val="00E10174"/>
    <w:rsid w:val="00E13467"/>
    <w:rsid w:val="00E1636A"/>
    <w:rsid w:val="00E20C3E"/>
    <w:rsid w:val="00E2212B"/>
    <w:rsid w:val="00E22F6E"/>
    <w:rsid w:val="00E23180"/>
    <w:rsid w:val="00E24167"/>
    <w:rsid w:val="00E26E3B"/>
    <w:rsid w:val="00E33701"/>
    <w:rsid w:val="00E35E16"/>
    <w:rsid w:val="00E364B9"/>
    <w:rsid w:val="00E36CE2"/>
    <w:rsid w:val="00E43616"/>
    <w:rsid w:val="00E46158"/>
    <w:rsid w:val="00E46826"/>
    <w:rsid w:val="00E474FE"/>
    <w:rsid w:val="00E47C69"/>
    <w:rsid w:val="00E51F14"/>
    <w:rsid w:val="00E527F5"/>
    <w:rsid w:val="00E55382"/>
    <w:rsid w:val="00E55F43"/>
    <w:rsid w:val="00E571C3"/>
    <w:rsid w:val="00E576BB"/>
    <w:rsid w:val="00E61187"/>
    <w:rsid w:val="00E61883"/>
    <w:rsid w:val="00E62320"/>
    <w:rsid w:val="00E626BD"/>
    <w:rsid w:val="00E64927"/>
    <w:rsid w:val="00E7048D"/>
    <w:rsid w:val="00E70A71"/>
    <w:rsid w:val="00E71454"/>
    <w:rsid w:val="00E72340"/>
    <w:rsid w:val="00E7237A"/>
    <w:rsid w:val="00E73BEB"/>
    <w:rsid w:val="00E747FB"/>
    <w:rsid w:val="00E8097F"/>
    <w:rsid w:val="00E812CF"/>
    <w:rsid w:val="00E8188F"/>
    <w:rsid w:val="00E839CD"/>
    <w:rsid w:val="00E905F7"/>
    <w:rsid w:val="00E95C8D"/>
    <w:rsid w:val="00E97A49"/>
    <w:rsid w:val="00EA0555"/>
    <w:rsid w:val="00EA08BF"/>
    <w:rsid w:val="00EA3B64"/>
    <w:rsid w:val="00EA3DBC"/>
    <w:rsid w:val="00EA514B"/>
    <w:rsid w:val="00EA795A"/>
    <w:rsid w:val="00EB1A36"/>
    <w:rsid w:val="00EB1C5C"/>
    <w:rsid w:val="00EB42D7"/>
    <w:rsid w:val="00EB5BFE"/>
    <w:rsid w:val="00EC0892"/>
    <w:rsid w:val="00EC11D2"/>
    <w:rsid w:val="00EC2E93"/>
    <w:rsid w:val="00EC41F6"/>
    <w:rsid w:val="00EC69B7"/>
    <w:rsid w:val="00EC7307"/>
    <w:rsid w:val="00ED068F"/>
    <w:rsid w:val="00ED7531"/>
    <w:rsid w:val="00ED7D51"/>
    <w:rsid w:val="00EE031C"/>
    <w:rsid w:val="00EE0977"/>
    <w:rsid w:val="00EE268F"/>
    <w:rsid w:val="00EE30C8"/>
    <w:rsid w:val="00EE6C4E"/>
    <w:rsid w:val="00EF024F"/>
    <w:rsid w:val="00EF0401"/>
    <w:rsid w:val="00EF0BC0"/>
    <w:rsid w:val="00EF5825"/>
    <w:rsid w:val="00EF6E14"/>
    <w:rsid w:val="00EF75F7"/>
    <w:rsid w:val="00EF78F0"/>
    <w:rsid w:val="00EF7C96"/>
    <w:rsid w:val="00F000D7"/>
    <w:rsid w:val="00F01182"/>
    <w:rsid w:val="00F034DA"/>
    <w:rsid w:val="00F0385E"/>
    <w:rsid w:val="00F06ED4"/>
    <w:rsid w:val="00F0753C"/>
    <w:rsid w:val="00F07E9B"/>
    <w:rsid w:val="00F108B6"/>
    <w:rsid w:val="00F12521"/>
    <w:rsid w:val="00F12BC1"/>
    <w:rsid w:val="00F13269"/>
    <w:rsid w:val="00F1764E"/>
    <w:rsid w:val="00F207F5"/>
    <w:rsid w:val="00F21E22"/>
    <w:rsid w:val="00F22A76"/>
    <w:rsid w:val="00F25119"/>
    <w:rsid w:val="00F316CE"/>
    <w:rsid w:val="00F32B5B"/>
    <w:rsid w:val="00F33E1A"/>
    <w:rsid w:val="00F41298"/>
    <w:rsid w:val="00F418E8"/>
    <w:rsid w:val="00F43AAE"/>
    <w:rsid w:val="00F4434D"/>
    <w:rsid w:val="00F444B3"/>
    <w:rsid w:val="00F46998"/>
    <w:rsid w:val="00F46C21"/>
    <w:rsid w:val="00F51A19"/>
    <w:rsid w:val="00F52029"/>
    <w:rsid w:val="00F57E28"/>
    <w:rsid w:val="00F61995"/>
    <w:rsid w:val="00F61F6D"/>
    <w:rsid w:val="00F6273C"/>
    <w:rsid w:val="00F65954"/>
    <w:rsid w:val="00F6601A"/>
    <w:rsid w:val="00F6638F"/>
    <w:rsid w:val="00F66FD0"/>
    <w:rsid w:val="00F670CC"/>
    <w:rsid w:val="00F70AB5"/>
    <w:rsid w:val="00F719EA"/>
    <w:rsid w:val="00F71E5F"/>
    <w:rsid w:val="00F72106"/>
    <w:rsid w:val="00F735D4"/>
    <w:rsid w:val="00F74E57"/>
    <w:rsid w:val="00F751A1"/>
    <w:rsid w:val="00F755E7"/>
    <w:rsid w:val="00F7637C"/>
    <w:rsid w:val="00F76655"/>
    <w:rsid w:val="00F76656"/>
    <w:rsid w:val="00F76686"/>
    <w:rsid w:val="00F77B53"/>
    <w:rsid w:val="00F77CDC"/>
    <w:rsid w:val="00F80140"/>
    <w:rsid w:val="00F8050D"/>
    <w:rsid w:val="00F80CF2"/>
    <w:rsid w:val="00F80D48"/>
    <w:rsid w:val="00F81681"/>
    <w:rsid w:val="00F825CB"/>
    <w:rsid w:val="00F910DF"/>
    <w:rsid w:val="00F91952"/>
    <w:rsid w:val="00F93AF2"/>
    <w:rsid w:val="00F941A9"/>
    <w:rsid w:val="00F942A2"/>
    <w:rsid w:val="00F971C2"/>
    <w:rsid w:val="00FA0A31"/>
    <w:rsid w:val="00FA2EBE"/>
    <w:rsid w:val="00FA48B5"/>
    <w:rsid w:val="00FA7382"/>
    <w:rsid w:val="00FB2F85"/>
    <w:rsid w:val="00FB326D"/>
    <w:rsid w:val="00FB4B3D"/>
    <w:rsid w:val="00FB4E7E"/>
    <w:rsid w:val="00FB6E89"/>
    <w:rsid w:val="00FB7ECA"/>
    <w:rsid w:val="00FC0C56"/>
    <w:rsid w:val="00FC36F8"/>
    <w:rsid w:val="00FD032B"/>
    <w:rsid w:val="00FD2640"/>
    <w:rsid w:val="00FD3F40"/>
    <w:rsid w:val="00FD506B"/>
    <w:rsid w:val="00FD5475"/>
    <w:rsid w:val="00FD5B02"/>
    <w:rsid w:val="00FD5F02"/>
    <w:rsid w:val="00FE0753"/>
    <w:rsid w:val="00FE1B9B"/>
    <w:rsid w:val="00FE2173"/>
    <w:rsid w:val="00FE3224"/>
    <w:rsid w:val="00FE3C1A"/>
    <w:rsid w:val="00FE4C08"/>
    <w:rsid w:val="00FE7EC1"/>
    <w:rsid w:val="00FF346B"/>
    <w:rsid w:val="00FF4E27"/>
    <w:rsid w:val="00FF5872"/>
    <w:rsid w:val="00FF5F1A"/>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uiPriority w:val="99"/>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uiPriority w:val="99"/>
    <w:qFormat/>
    <w:rsid w:val="00E72340"/>
    <w:pPr>
      <w:keepNext/>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5E7"/>
    <w:rPr>
      <w:rFonts w:ascii="Arial" w:hAnsi="Arial" w:cs="Arial"/>
      <w:b/>
      <w:bCs/>
    </w:rPr>
  </w:style>
  <w:style w:type="character" w:customStyle="1" w:styleId="Heading2Char">
    <w:name w:val="Heading 2 Char"/>
    <w:basedOn w:val="DefaultParagraphFont"/>
    <w:link w:val="Heading2"/>
    <w:uiPriority w:val="99"/>
    <w:locked/>
    <w:rsid w:val="00F755E7"/>
    <w:rPr>
      <w:rFonts w:cs="Times New Roman"/>
      <w:b/>
      <w:bCs/>
      <w:sz w:val="24"/>
      <w:szCs w:val="24"/>
    </w:rPr>
  </w:style>
  <w:style w:type="character" w:styleId="Hyperlink">
    <w:name w:val="Hyperlink"/>
    <w:basedOn w:val="DefaultParagraphFont"/>
    <w:uiPriority w:val="99"/>
    <w:rsid w:val="001A5801"/>
    <w:rPr>
      <w:rFonts w:cs="Times New Roman"/>
      <w:color w:val="0000FF"/>
      <w:u w:val="single"/>
    </w:rPr>
  </w:style>
  <w:style w:type="paragraph" w:styleId="BodyText">
    <w:name w:val="Body Text"/>
    <w:basedOn w:val="Normal"/>
    <w:link w:val="BodyTextChar"/>
    <w:uiPriority w:val="99"/>
    <w:rsid w:val="001A5801"/>
    <w:rPr>
      <w:rFonts w:ascii="Arial" w:hAnsi="Arial" w:cs="Arial"/>
      <w:sz w:val="20"/>
      <w:szCs w:val="20"/>
    </w:rPr>
  </w:style>
  <w:style w:type="character" w:customStyle="1" w:styleId="BodyTextChar">
    <w:name w:val="Body Text Char"/>
    <w:basedOn w:val="DefaultParagraphFont"/>
    <w:link w:val="BodyText"/>
    <w:uiPriority w:val="99"/>
    <w:semiHidden/>
    <w:locked/>
    <w:rsid w:val="00075B17"/>
    <w:rPr>
      <w:rFonts w:cs="Times New Roman"/>
      <w:sz w:val="24"/>
      <w:szCs w:val="24"/>
    </w:rPr>
  </w:style>
  <w:style w:type="paragraph" w:styleId="Header">
    <w:name w:val="header"/>
    <w:basedOn w:val="Normal"/>
    <w:link w:val="HeaderChar"/>
    <w:uiPriority w:val="99"/>
    <w:rsid w:val="001A5801"/>
    <w:pPr>
      <w:tabs>
        <w:tab w:val="center" w:pos="4320"/>
        <w:tab w:val="right" w:pos="8640"/>
      </w:tabs>
    </w:pPr>
  </w:style>
  <w:style w:type="character" w:customStyle="1" w:styleId="HeaderChar">
    <w:name w:val="Header Char"/>
    <w:basedOn w:val="DefaultParagraphFont"/>
    <w:link w:val="Header"/>
    <w:uiPriority w:val="99"/>
    <w:semiHidden/>
    <w:locked/>
    <w:rsid w:val="00075B17"/>
    <w:rPr>
      <w:rFonts w:cs="Times New Roman"/>
      <w:sz w:val="24"/>
      <w:szCs w:val="24"/>
    </w:rPr>
  </w:style>
  <w:style w:type="paragraph" w:styleId="Footer">
    <w:name w:val="footer"/>
    <w:basedOn w:val="Normal"/>
    <w:link w:val="FooterChar"/>
    <w:uiPriority w:val="99"/>
    <w:rsid w:val="001A5801"/>
    <w:pPr>
      <w:tabs>
        <w:tab w:val="center" w:pos="4320"/>
        <w:tab w:val="right" w:pos="8640"/>
      </w:tabs>
    </w:pPr>
  </w:style>
  <w:style w:type="character" w:customStyle="1" w:styleId="FooterChar">
    <w:name w:val="Footer Char"/>
    <w:basedOn w:val="DefaultParagraphFont"/>
    <w:link w:val="Footer"/>
    <w:uiPriority w:val="99"/>
    <w:locked/>
    <w:rsid w:val="00843477"/>
    <w:rPr>
      <w:rFonts w:cs="Times New Roman"/>
      <w:sz w:val="24"/>
      <w:szCs w:val="24"/>
    </w:rPr>
  </w:style>
  <w:style w:type="paragraph" w:styleId="BodyTextIndent">
    <w:name w:val="Body Text Indent"/>
    <w:basedOn w:val="Normal"/>
    <w:link w:val="BodyTextIndentChar"/>
    <w:uiPriority w:val="99"/>
    <w:rsid w:val="001A5801"/>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locked/>
    <w:rsid w:val="00075B17"/>
    <w:rPr>
      <w:rFonts w:cs="Times New Roman"/>
      <w:sz w:val="24"/>
      <w:szCs w:val="24"/>
    </w:rPr>
  </w:style>
  <w:style w:type="paragraph" w:styleId="BodyText2">
    <w:name w:val="Body Text 2"/>
    <w:basedOn w:val="Normal"/>
    <w:link w:val="BodyText2Char"/>
    <w:uiPriority w:val="99"/>
    <w:rsid w:val="001A5801"/>
    <w:pPr>
      <w:jc w:val="both"/>
    </w:pPr>
    <w:rPr>
      <w:rFonts w:ascii="Arial" w:hAnsi="Arial" w:cs="Arial"/>
      <w:sz w:val="20"/>
      <w:szCs w:val="20"/>
    </w:rPr>
  </w:style>
  <w:style w:type="character" w:customStyle="1" w:styleId="BodyText2Char">
    <w:name w:val="Body Text 2 Char"/>
    <w:basedOn w:val="DefaultParagraphFont"/>
    <w:link w:val="BodyText2"/>
    <w:uiPriority w:val="99"/>
    <w:semiHidden/>
    <w:locked/>
    <w:rsid w:val="00075B17"/>
    <w:rPr>
      <w:rFonts w:cs="Times New Roman"/>
      <w:sz w:val="24"/>
      <w:szCs w:val="24"/>
    </w:rPr>
  </w:style>
  <w:style w:type="paragraph" w:styleId="BalloonText">
    <w:name w:val="Balloon Text"/>
    <w:basedOn w:val="Normal"/>
    <w:link w:val="BalloonTextChar"/>
    <w:uiPriority w:val="99"/>
    <w:semiHidden/>
    <w:rsid w:val="001A58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CE6"/>
    <w:rPr>
      <w:rFonts w:ascii="Tahoma" w:hAnsi="Tahoma" w:cs="Tahoma"/>
      <w:sz w:val="16"/>
      <w:szCs w:val="16"/>
      <w:lang w:val="en-US" w:eastAsia="en-US"/>
    </w:rPr>
  </w:style>
  <w:style w:type="paragraph" w:styleId="DocumentMap">
    <w:name w:val="Document Map"/>
    <w:basedOn w:val="Normal"/>
    <w:link w:val="DocumentMapChar"/>
    <w:uiPriority w:val="99"/>
    <w:semiHidden/>
    <w:rsid w:val="001A58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75B17"/>
    <w:rPr>
      <w:rFonts w:cs="Times New Roman"/>
      <w:sz w:val="2"/>
      <w:szCs w:val="2"/>
    </w:rPr>
  </w:style>
  <w:style w:type="paragraph" w:styleId="PlainText">
    <w:name w:val="Plain Text"/>
    <w:basedOn w:val="Normal"/>
    <w:link w:val="PlainTextChar"/>
    <w:uiPriority w:val="99"/>
    <w:rsid w:val="00CC6E5F"/>
    <w:pPr>
      <w:spacing w:before="100" w:beforeAutospacing="1" w:after="100" w:afterAutospacing="1"/>
    </w:pPr>
  </w:style>
  <w:style w:type="character" w:customStyle="1" w:styleId="PlainTextChar">
    <w:name w:val="Plain Text Char"/>
    <w:basedOn w:val="DefaultParagraphFont"/>
    <w:link w:val="PlainText"/>
    <w:uiPriority w:val="99"/>
    <w:locked/>
    <w:rsid w:val="003879DF"/>
    <w:rPr>
      <w:rFonts w:cs="Times New Roman"/>
      <w:sz w:val="24"/>
      <w:szCs w:val="24"/>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99"/>
    <w:qFormat/>
    <w:rsid w:val="00396D76"/>
    <w:pPr>
      <w:ind w:left="720"/>
    </w:pPr>
  </w:style>
  <w:style w:type="character" w:styleId="CommentReference">
    <w:name w:val="annotation reference"/>
    <w:basedOn w:val="DefaultParagraphFont"/>
    <w:uiPriority w:val="99"/>
    <w:semiHidden/>
    <w:rsid w:val="00B36B8A"/>
    <w:rPr>
      <w:rFonts w:cs="Times New Roman"/>
      <w:sz w:val="16"/>
      <w:szCs w:val="16"/>
    </w:rPr>
  </w:style>
  <w:style w:type="paragraph" w:styleId="CommentText">
    <w:name w:val="annotation text"/>
    <w:basedOn w:val="Normal"/>
    <w:link w:val="CommentTextChar"/>
    <w:uiPriority w:val="99"/>
    <w:semiHidden/>
    <w:rsid w:val="00B36B8A"/>
    <w:rPr>
      <w:sz w:val="20"/>
      <w:szCs w:val="20"/>
    </w:rPr>
  </w:style>
  <w:style w:type="character" w:customStyle="1" w:styleId="CommentTextChar">
    <w:name w:val="Comment Text Char"/>
    <w:basedOn w:val="DefaultParagraphFont"/>
    <w:link w:val="CommentText"/>
    <w:uiPriority w:val="99"/>
    <w:locked/>
    <w:rsid w:val="00B36B8A"/>
    <w:rPr>
      <w:rFonts w:cs="Times New Roman"/>
    </w:rPr>
  </w:style>
  <w:style w:type="paragraph" w:styleId="CommentSubject">
    <w:name w:val="annotation subject"/>
    <w:basedOn w:val="CommentText"/>
    <w:next w:val="CommentText"/>
    <w:link w:val="CommentSubjectChar"/>
    <w:uiPriority w:val="99"/>
    <w:semiHidden/>
    <w:rsid w:val="00B36B8A"/>
    <w:rPr>
      <w:b/>
      <w:bCs/>
    </w:rPr>
  </w:style>
  <w:style w:type="character" w:customStyle="1" w:styleId="CommentSubjectChar">
    <w:name w:val="Comment Subject Char"/>
    <w:basedOn w:val="CommentTextChar"/>
    <w:link w:val="CommentSubject"/>
    <w:uiPriority w:val="99"/>
    <w:locked/>
    <w:rsid w:val="00B36B8A"/>
    <w:rPr>
      <w:rFonts w:cs="Times New Roman"/>
      <w:b/>
      <w:bCs/>
    </w:rPr>
  </w:style>
  <w:style w:type="paragraph" w:styleId="FootnoteText">
    <w:name w:val="footnote text"/>
    <w:basedOn w:val="Normal"/>
    <w:link w:val="FootnoteTextChar"/>
    <w:uiPriority w:val="99"/>
    <w:semiHidden/>
    <w:rsid w:val="00967129"/>
    <w:rPr>
      <w:sz w:val="20"/>
      <w:szCs w:val="20"/>
    </w:rPr>
  </w:style>
  <w:style w:type="character" w:customStyle="1" w:styleId="FootnoteTextChar">
    <w:name w:val="Footnote Text Char"/>
    <w:basedOn w:val="DefaultParagraphFont"/>
    <w:link w:val="FootnoteText"/>
    <w:uiPriority w:val="99"/>
    <w:locked/>
    <w:rsid w:val="00967129"/>
    <w:rPr>
      <w:rFonts w:cs="Times New Roman"/>
    </w:rPr>
  </w:style>
  <w:style w:type="character" w:styleId="FootnoteReference">
    <w:name w:val="footnote reference"/>
    <w:basedOn w:val="DefaultParagraphFont"/>
    <w:uiPriority w:val="99"/>
    <w:semiHidden/>
    <w:rsid w:val="00967129"/>
    <w:rPr>
      <w:rFonts w:cs="Times New Roman"/>
      <w:vertAlign w:val="superscript"/>
    </w:rPr>
  </w:style>
  <w:style w:type="character" w:styleId="Strong">
    <w:name w:val="Strong"/>
    <w:basedOn w:val="DefaultParagraphFont"/>
    <w:uiPriority w:val="99"/>
    <w:qFormat/>
    <w:rsid w:val="00092501"/>
    <w:rPr>
      <w:rFonts w:cs="Times New Roman"/>
      <w:b/>
      <w:bCs/>
    </w:rPr>
  </w:style>
  <w:style w:type="table" w:styleId="TableGrid">
    <w:name w:val="Table Grid"/>
    <w:basedOn w:val="TableNormal"/>
    <w:uiPriority w:val="99"/>
    <w:rsid w:val="00F33E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szCs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Cambria"/>
      <w:color w:val="365F91"/>
      <w:sz w:val="28"/>
      <w:szCs w:val="28"/>
    </w:rPr>
  </w:style>
  <w:style w:type="paragraph" w:styleId="TOC2">
    <w:name w:val="toc 2"/>
    <w:basedOn w:val="Normal"/>
    <w:next w:val="Normal"/>
    <w:autoRedefine/>
    <w:uiPriority w:val="99"/>
    <w:semiHidden/>
    <w:rsid w:val="00312685"/>
    <w:pPr>
      <w:tabs>
        <w:tab w:val="left" w:pos="660"/>
        <w:tab w:val="right" w:leader="dot" w:pos="9350"/>
      </w:tabs>
      <w:spacing w:after="240"/>
      <w:ind w:left="200"/>
    </w:pPr>
    <w:rPr>
      <w:b/>
      <w:bCs/>
      <w:noProof/>
      <w:sz w:val="20"/>
      <w:szCs w:val="20"/>
    </w:rPr>
  </w:style>
  <w:style w:type="paragraph" w:styleId="TOC1">
    <w:name w:val="toc 1"/>
    <w:basedOn w:val="Normal"/>
    <w:next w:val="Normal"/>
    <w:autoRedefine/>
    <w:uiPriority w:val="99"/>
    <w:semiHidden/>
    <w:rsid w:val="00DE6E89"/>
  </w:style>
  <w:style w:type="paragraph" w:styleId="EndnoteText">
    <w:name w:val="endnote text"/>
    <w:basedOn w:val="Normal"/>
    <w:link w:val="EndnoteTextChar"/>
    <w:uiPriority w:val="99"/>
    <w:semiHidden/>
    <w:rsid w:val="00090D90"/>
    <w:rPr>
      <w:sz w:val="20"/>
      <w:szCs w:val="20"/>
    </w:rPr>
  </w:style>
  <w:style w:type="character" w:customStyle="1" w:styleId="EndnoteTextChar">
    <w:name w:val="Endnote Text Char"/>
    <w:basedOn w:val="DefaultParagraphFont"/>
    <w:link w:val="EndnoteText"/>
    <w:uiPriority w:val="99"/>
    <w:semiHidden/>
    <w:locked/>
    <w:rsid w:val="00090D90"/>
    <w:rPr>
      <w:rFonts w:cs="Times New Roman"/>
    </w:rPr>
  </w:style>
  <w:style w:type="character" w:styleId="EndnoteReference">
    <w:name w:val="endnote reference"/>
    <w:basedOn w:val="DefaultParagraphFont"/>
    <w:uiPriority w:val="99"/>
    <w:semiHidden/>
    <w:rsid w:val="00090D90"/>
    <w:rPr>
      <w:rFonts w:cs="Times New Roman"/>
      <w:vertAlign w:val="superscript"/>
    </w:rPr>
  </w:style>
  <w:style w:type="character" w:styleId="FollowedHyperlink">
    <w:name w:val="FollowedHyperlink"/>
    <w:basedOn w:val="DefaultParagraphFont"/>
    <w:uiPriority w:val="99"/>
    <w:semiHidden/>
    <w:rsid w:val="00976E29"/>
    <w:rPr>
      <w:rFonts w:cs="Times New Roman"/>
      <w:color w:val="800080"/>
      <w:u w:val="single"/>
    </w:rPr>
  </w:style>
  <w:style w:type="paragraph" w:customStyle="1" w:styleId="H1">
    <w:name w:val="H1"/>
    <w:uiPriority w:val="99"/>
    <w:rsid w:val="000134CC"/>
    <w:pPr>
      <w:spacing w:before="60" w:after="60"/>
    </w:pPr>
    <w:rPr>
      <w:b/>
      <w:bCs/>
      <w:kern w:val="32"/>
      <w:sz w:val="24"/>
      <w:szCs w:val="24"/>
      <w:lang w:val="en-GB"/>
    </w:rPr>
  </w:style>
  <w:style w:type="paragraph" w:customStyle="1" w:styleId="H2">
    <w:name w:val="H2"/>
    <w:uiPriority w:val="99"/>
    <w:rsid w:val="000134CC"/>
    <w:rPr>
      <w:b/>
      <w:bCs/>
      <w:lang w:val="en-GB"/>
    </w:rPr>
  </w:style>
  <w:style w:type="paragraph" w:customStyle="1" w:styleId="CharCharCharCharCharCharCharCharCharChar">
    <w:name w:val="Char Char Char Char Char Char Char Char Char Char"/>
    <w:aliases w:val="Default Paragraph Font11,Char Char Char Char Char Char Char Char Char Char1,Default Paragraph Font111,Default Paragraph Font1,Default Paragraph Font1112"/>
    <w:basedOn w:val="Normal"/>
    <w:uiPriority w:val="99"/>
    <w:rsid w:val="00570144"/>
    <w:pPr>
      <w:spacing w:after="160" w:line="240" w:lineRule="exact"/>
    </w:pPr>
    <w:rPr>
      <w:rFonts w:ascii="Arial" w:hAnsi="Arial" w:cs="Arial"/>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uiPriority w:val="99"/>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uiPriority w:val="99"/>
    <w:qFormat/>
    <w:rsid w:val="00E72340"/>
    <w:pPr>
      <w:keepNext/>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5E7"/>
    <w:rPr>
      <w:rFonts w:ascii="Arial" w:hAnsi="Arial" w:cs="Arial"/>
      <w:b/>
      <w:bCs/>
    </w:rPr>
  </w:style>
  <w:style w:type="character" w:customStyle="1" w:styleId="Heading2Char">
    <w:name w:val="Heading 2 Char"/>
    <w:basedOn w:val="DefaultParagraphFont"/>
    <w:link w:val="Heading2"/>
    <w:uiPriority w:val="99"/>
    <w:locked/>
    <w:rsid w:val="00F755E7"/>
    <w:rPr>
      <w:rFonts w:cs="Times New Roman"/>
      <w:b/>
      <w:bCs/>
      <w:sz w:val="24"/>
      <w:szCs w:val="24"/>
    </w:rPr>
  </w:style>
  <w:style w:type="character" w:styleId="Hyperlink">
    <w:name w:val="Hyperlink"/>
    <w:basedOn w:val="DefaultParagraphFont"/>
    <w:uiPriority w:val="99"/>
    <w:rsid w:val="001A5801"/>
    <w:rPr>
      <w:rFonts w:cs="Times New Roman"/>
      <w:color w:val="0000FF"/>
      <w:u w:val="single"/>
    </w:rPr>
  </w:style>
  <w:style w:type="paragraph" w:styleId="BodyText">
    <w:name w:val="Body Text"/>
    <w:basedOn w:val="Normal"/>
    <w:link w:val="BodyTextChar"/>
    <w:uiPriority w:val="99"/>
    <w:rsid w:val="001A5801"/>
    <w:rPr>
      <w:rFonts w:ascii="Arial" w:hAnsi="Arial" w:cs="Arial"/>
      <w:sz w:val="20"/>
      <w:szCs w:val="20"/>
    </w:rPr>
  </w:style>
  <w:style w:type="character" w:customStyle="1" w:styleId="BodyTextChar">
    <w:name w:val="Body Text Char"/>
    <w:basedOn w:val="DefaultParagraphFont"/>
    <w:link w:val="BodyText"/>
    <w:uiPriority w:val="99"/>
    <w:semiHidden/>
    <w:locked/>
    <w:rsid w:val="00075B17"/>
    <w:rPr>
      <w:rFonts w:cs="Times New Roman"/>
      <w:sz w:val="24"/>
      <w:szCs w:val="24"/>
    </w:rPr>
  </w:style>
  <w:style w:type="paragraph" w:styleId="Header">
    <w:name w:val="header"/>
    <w:basedOn w:val="Normal"/>
    <w:link w:val="HeaderChar"/>
    <w:uiPriority w:val="99"/>
    <w:rsid w:val="001A5801"/>
    <w:pPr>
      <w:tabs>
        <w:tab w:val="center" w:pos="4320"/>
        <w:tab w:val="right" w:pos="8640"/>
      </w:tabs>
    </w:pPr>
  </w:style>
  <w:style w:type="character" w:customStyle="1" w:styleId="HeaderChar">
    <w:name w:val="Header Char"/>
    <w:basedOn w:val="DefaultParagraphFont"/>
    <w:link w:val="Header"/>
    <w:uiPriority w:val="99"/>
    <w:semiHidden/>
    <w:locked/>
    <w:rsid w:val="00075B17"/>
    <w:rPr>
      <w:rFonts w:cs="Times New Roman"/>
      <w:sz w:val="24"/>
      <w:szCs w:val="24"/>
    </w:rPr>
  </w:style>
  <w:style w:type="paragraph" w:styleId="Footer">
    <w:name w:val="footer"/>
    <w:basedOn w:val="Normal"/>
    <w:link w:val="FooterChar"/>
    <w:uiPriority w:val="99"/>
    <w:rsid w:val="001A5801"/>
    <w:pPr>
      <w:tabs>
        <w:tab w:val="center" w:pos="4320"/>
        <w:tab w:val="right" w:pos="8640"/>
      </w:tabs>
    </w:pPr>
  </w:style>
  <w:style w:type="character" w:customStyle="1" w:styleId="FooterChar">
    <w:name w:val="Footer Char"/>
    <w:basedOn w:val="DefaultParagraphFont"/>
    <w:link w:val="Footer"/>
    <w:uiPriority w:val="99"/>
    <w:locked/>
    <w:rsid w:val="00843477"/>
    <w:rPr>
      <w:rFonts w:cs="Times New Roman"/>
      <w:sz w:val="24"/>
      <w:szCs w:val="24"/>
    </w:rPr>
  </w:style>
  <w:style w:type="paragraph" w:styleId="BodyTextIndent">
    <w:name w:val="Body Text Indent"/>
    <w:basedOn w:val="Normal"/>
    <w:link w:val="BodyTextIndentChar"/>
    <w:uiPriority w:val="99"/>
    <w:rsid w:val="001A5801"/>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locked/>
    <w:rsid w:val="00075B17"/>
    <w:rPr>
      <w:rFonts w:cs="Times New Roman"/>
      <w:sz w:val="24"/>
      <w:szCs w:val="24"/>
    </w:rPr>
  </w:style>
  <w:style w:type="paragraph" w:styleId="BodyText2">
    <w:name w:val="Body Text 2"/>
    <w:basedOn w:val="Normal"/>
    <w:link w:val="BodyText2Char"/>
    <w:uiPriority w:val="99"/>
    <w:rsid w:val="001A5801"/>
    <w:pPr>
      <w:jc w:val="both"/>
    </w:pPr>
    <w:rPr>
      <w:rFonts w:ascii="Arial" w:hAnsi="Arial" w:cs="Arial"/>
      <w:sz w:val="20"/>
      <w:szCs w:val="20"/>
    </w:rPr>
  </w:style>
  <w:style w:type="character" w:customStyle="1" w:styleId="BodyText2Char">
    <w:name w:val="Body Text 2 Char"/>
    <w:basedOn w:val="DefaultParagraphFont"/>
    <w:link w:val="BodyText2"/>
    <w:uiPriority w:val="99"/>
    <w:semiHidden/>
    <w:locked/>
    <w:rsid w:val="00075B17"/>
    <w:rPr>
      <w:rFonts w:cs="Times New Roman"/>
      <w:sz w:val="24"/>
      <w:szCs w:val="24"/>
    </w:rPr>
  </w:style>
  <w:style w:type="paragraph" w:styleId="BalloonText">
    <w:name w:val="Balloon Text"/>
    <w:basedOn w:val="Normal"/>
    <w:link w:val="BalloonTextChar"/>
    <w:uiPriority w:val="99"/>
    <w:semiHidden/>
    <w:rsid w:val="001A58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CE6"/>
    <w:rPr>
      <w:rFonts w:ascii="Tahoma" w:hAnsi="Tahoma" w:cs="Tahoma"/>
      <w:sz w:val="16"/>
      <w:szCs w:val="16"/>
      <w:lang w:val="en-US" w:eastAsia="en-US"/>
    </w:rPr>
  </w:style>
  <w:style w:type="paragraph" w:styleId="DocumentMap">
    <w:name w:val="Document Map"/>
    <w:basedOn w:val="Normal"/>
    <w:link w:val="DocumentMapChar"/>
    <w:uiPriority w:val="99"/>
    <w:semiHidden/>
    <w:rsid w:val="001A58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75B17"/>
    <w:rPr>
      <w:rFonts w:cs="Times New Roman"/>
      <w:sz w:val="2"/>
      <w:szCs w:val="2"/>
    </w:rPr>
  </w:style>
  <w:style w:type="paragraph" w:styleId="PlainText">
    <w:name w:val="Plain Text"/>
    <w:basedOn w:val="Normal"/>
    <w:link w:val="PlainTextChar"/>
    <w:uiPriority w:val="99"/>
    <w:rsid w:val="00CC6E5F"/>
    <w:pPr>
      <w:spacing w:before="100" w:beforeAutospacing="1" w:after="100" w:afterAutospacing="1"/>
    </w:pPr>
  </w:style>
  <w:style w:type="character" w:customStyle="1" w:styleId="PlainTextChar">
    <w:name w:val="Plain Text Char"/>
    <w:basedOn w:val="DefaultParagraphFont"/>
    <w:link w:val="PlainText"/>
    <w:uiPriority w:val="99"/>
    <w:locked/>
    <w:rsid w:val="003879DF"/>
    <w:rPr>
      <w:rFonts w:cs="Times New Roman"/>
      <w:sz w:val="24"/>
      <w:szCs w:val="24"/>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99"/>
    <w:qFormat/>
    <w:rsid w:val="00396D76"/>
    <w:pPr>
      <w:ind w:left="720"/>
    </w:pPr>
  </w:style>
  <w:style w:type="character" w:styleId="CommentReference">
    <w:name w:val="annotation reference"/>
    <w:basedOn w:val="DefaultParagraphFont"/>
    <w:uiPriority w:val="99"/>
    <w:semiHidden/>
    <w:rsid w:val="00B36B8A"/>
    <w:rPr>
      <w:rFonts w:cs="Times New Roman"/>
      <w:sz w:val="16"/>
      <w:szCs w:val="16"/>
    </w:rPr>
  </w:style>
  <w:style w:type="paragraph" w:styleId="CommentText">
    <w:name w:val="annotation text"/>
    <w:basedOn w:val="Normal"/>
    <w:link w:val="CommentTextChar"/>
    <w:uiPriority w:val="99"/>
    <w:semiHidden/>
    <w:rsid w:val="00B36B8A"/>
    <w:rPr>
      <w:sz w:val="20"/>
      <w:szCs w:val="20"/>
    </w:rPr>
  </w:style>
  <w:style w:type="character" w:customStyle="1" w:styleId="CommentTextChar">
    <w:name w:val="Comment Text Char"/>
    <w:basedOn w:val="DefaultParagraphFont"/>
    <w:link w:val="CommentText"/>
    <w:uiPriority w:val="99"/>
    <w:locked/>
    <w:rsid w:val="00B36B8A"/>
    <w:rPr>
      <w:rFonts w:cs="Times New Roman"/>
    </w:rPr>
  </w:style>
  <w:style w:type="paragraph" w:styleId="CommentSubject">
    <w:name w:val="annotation subject"/>
    <w:basedOn w:val="CommentText"/>
    <w:next w:val="CommentText"/>
    <w:link w:val="CommentSubjectChar"/>
    <w:uiPriority w:val="99"/>
    <w:semiHidden/>
    <w:rsid w:val="00B36B8A"/>
    <w:rPr>
      <w:b/>
      <w:bCs/>
    </w:rPr>
  </w:style>
  <w:style w:type="character" w:customStyle="1" w:styleId="CommentSubjectChar">
    <w:name w:val="Comment Subject Char"/>
    <w:basedOn w:val="CommentTextChar"/>
    <w:link w:val="CommentSubject"/>
    <w:uiPriority w:val="99"/>
    <w:locked/>
    <w:rsid w:val="00B36B8A"/>
    <w:rPr>
      <w:rFonts w:cs="Times New Roman"/>
      <w:b/>
      <w:bCs/>
    </w:rPr>
  </w:style>
  <w:style w:type="paragraph" w:styleId="FootnoteText">
    <w:name w:val="footnote text"/>
    <w:basedOn w:val="Normal"/>
    <w:link w:val="FootnoteTextChar"/>
    <w:uiPriority w:val="99"/>
    <w:semiHidden/>
    <w:rsid w:val="00967129"/>
    <w:rPr>
      <w:sz w:val="20"/>
      <w:szCs w:val="20"/>
    </w:rPr>
  </w:style>
  <w:style w:type="character" w:customStyle="1" w:styleId="FootnoteTextChar">
    <w:name w:val="Footnote Text Char"/>
    <w:basedOn w:val="DefaultParagraphFont"/>
    <w:link w:val="FootnoteText"/>
    <w:uiPriority w:val="99"/>
    <w:locked/>
    <w:rsid w:val="00967129"/>
    <w:rPr>
      <w:rFonts w:cs="Times New Roman"/>
    </w:rPr>
  </w:style>
  <w:style w:type="character" w:styleId="FootnoteReference">
    <w:name w:val="footnote reference"/>
    <w:basedOn w:val="DefaultParagraphFont"/>
    <w:uiPriority w:val="99"/>
    <w:semiHidden/>
    <w:rsid w:val="00967129"/>
    <w:rPr>
      <w:rFonts w:cs="Times New Roman"/>
      <w:vertAlign w:val="superscript"/>
    </w:rPr>
  </w:style>
  <w:style w:type="character" w:styleId="Strong">
    <w:name w:val="Strong"/>
    <w:basedOn w:val="DefaultParagraphFont"/>
    <w:uiPriority w:val="99"/>
    <w:qFormat/>
    <w:rsid w:val="00092501"/>
    <w:rPr>
      <w:rFonts w:cs="Times New Roman"/>
      <w:b/>
      <w:bCs/>
    </w:rPr>
  </w:style>
  <w:style w:type="table" w:styleId="TableGrid">
    <w:name w:val="Table Grid"/>
    <w:basedOn w:val="TableNormal"/>
    <w:uiPriority w:val="99"/>
    <w:rsid w:val="00F33E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szCs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Cambria"/>
      <w:color w:val="365F91"/>
      <w:sz w:val="28"/>
      <w:szCs w:val="28"/>
    </w:rPr>
  </w:style>
  <w:style w:type="paragraph" w:styleId="TOC2">
    <w:name w:val="toc 2"/>
    <w:basedOn w:val="Normal"/>
    <w:next w:val="Normal"/>
    <w:autoRedefine/>
    <w:uiPriority w:val="99"/>
    <w:semiHidden/>
    <w:rsid w:val="00312685"/>
    <w:pPr>
      <w:tabs>
        <w:tab w:val="left" w:pos="660"/>
        <w:tab w:val="right" w:leader="dot" w:pos="9350"/>
      </w:tabs>
      <w:spacing w:after="240"/>
      <w:ind w:left="200"/>
    </w:pPr>
    <w:rPr>
      <w:b/>
      <w:bCs/>
      <w:noProof/>
      <w:sz w:val="20"/>
      <w:szCs w:val="20"/>
    </w:rPr>
  </w:style>
  <w:style w:type="paragraph" w:styleId="TOC1">
    <w:name w:val="toc 1"/>
    <w:basedOn w:val="Normal"/>
    <w:next w:val="Normal"/>
    <w:autoRedefine/>
    <w:uiPriority w:val="99"/>
    <w:semiHidden/>
    <w:rsid w:val="00DE6E89"/>
  </w:style>
  <w:style w:type="paragraph" w:styleId="EndnoteText">
    <w:name w:val="endnote text"/>
    <w:basedOn w:val="Normal"/>
    <w:link w:val="EndnoteTextChar"/>
    <w:uiPriority w:val="99"/>
    <w:semiHidden/>
    <w:rsid w:val="00090D90"/>
    <w:rPr>
      <w:sz w:val="20"/>
      <w:szCs w:val="20"/>
    </w:rPr>
  </w:style>
  <w:style w:type="character" w:customStyle="1" w:styleId="EndnoteTextChar">
    <w:name w:val="Endnote Text Char"/>
    <w:basedOn w:val="DefaultParagraphFont"/>
    <w:link w:val="EndnoteText"/>
    <w:uiPriority w:val="99"/>
    <w:semiHidden/>
    <w:locked/>
    <w:rsid w:val="00090D90"/>
    <w:rPr>
      <w:rFonts w:cs="Times New Roman"/>
    </w:rPr>
  </w:style>
  <w:style w:type="character" w:styleId="EndnoteReference">
    <w:name w:val="endnote reference"/>
    <w:basedOn w:val="DefaultParagraphFont"/>
    <w:uiPriority w:val="99"/>
    <w:semiHidden/>
    <w:rsid w:val="00090D90"/>
    <w:rPr>
      <w:rFonts w:cs="Times New Roman"/>
      <w:vertAlign w:val="superscript"/>
    </w:rPr>
  </w:style>
  <w:style w:type="character" w:styleId="FollowedHyperlink">
    <w:name w:val="FollowedHyperlink"/>
    <w:basedOn w:val="DefaultParagraphFont"/>
    <w:uiPriority w:val="99"/>
    <w:semiHidden/>
    <w:rsid w:val="00976E29"/>
    <w:rPr>
      <w:rFonts w:cs="Times New Roman"/>
      <w:color w:val="800080"/>
      <w:u w:val="single"/>
    </w:rPr>
  </w:style>
  <w:style w:type="paragraph" w:customStyle="1" w:styleId="H1">
    <w:name w:val="H1"/>
    <w:uiPriority w:val="99"/>
    <w:rsid w:val="000134CC"/>
    <w:pPr>
      <w:spacing w:before="60" w:after="60"/>
    </w:pPr>
    <w:rPr>
      <w:b/>
      <w:bCs/>
      <w:kern w:val="32"/>
      <w:sz w:val="24"/>
      <w:szCs w:val="24"/>
      <w:lang w:val="en-GB"/>
    </w:rPr>
  </w:style>
  <w:style w:type="paragraph" w:customStyle="1" w:styleId="H2">
    <w:name w:val="H2"/>
    <w:uiPriority w:val="99"/>
    <w:rsid w:val="000134CC"/>
    <w:rPr>
      <w:b/>
      <w:bCs/>
      <w:lang w:val="en-GB"/>
    </w:rPr>
  </w:style>
  <w:style w:type="paragraph" w:customStyle="1" w:styleId="CharCharCharCharCharCharCharCharCharChar">
    <w:name w:val="Char Char Char Char Char Char Char Char Char Char"/>
    <w:aliases w:val="Default Paragraph Font11,Char Char Char Char Char Char Char Char Char Char1,Default Paragraph Font111,Default Paragraph Font1,Default Paragraph Font1112"/>
    <w:basedOn w:val="Normal"/>
    <w:uiPriority w:val="99"/>
    <w:rsid w:val="00570144"/>
    <w:pPr>
      <w:spacing w:after="160" w:line="240" w:lineRule="exact"/>
    </w:pPr>
    <w:rPr>
      <w:rFonts w:ascii="Arial" w:hAnsi="Arial" w:cs="Arial"/>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7682">
      <w:marLeft w:val="0"/>
      <w:marRight w:val="0"/>
      <w:marTop w:val="0"/>
      <w:marBottom w:val="0"/>
      <w:divBdr>
        <w:top w:val="none" w:sz="0" w:space="0" w:color="auto"/>
        <w:left w:val="none" w:sz="0" w:space="0" w:color="auto"/>
        <w:bottom w:val="none" w:sz="0" w:space="0" w:color="auto"/>
        <w:right w:val="none" w:sz="0" w:space="0" w:color="auto"/>
      </w:divBdr>
    </w:div>
    <w:div w:id="1965967683">
      <w:marLeft w:val="0"/>
      <w:marRight w:val="0"/>
      <w:marTop w:val="0"/>
      <w:marBottom w:val="0"/>
      <w:divBdr>
        <w:top w:val="none" w:sz="0" w:space="0" w:color="auto"/>
        <w:left w:val="none" w:sz="0" w:space="0" w:color="auto"/>
        <w:bottom w:val="none" w:sz="0" w:space="0" w:color="auto"/>
        <w:right w:val="none" w:sz="0" w:space="0" w:color="auto"/>
      </w:divBdr>
    </w:div>
    <w:div w:id="1965967687">
      <w:marLeft w:val="0"/>
      <w:marRight w:val="0"/>
      <w:marTop w:val="0"/>
      <w:marBottom w:val="0"/>
      <w:divBdr>
        <w:top w:val="none" w:sz="0" w:space="0" w:color="auto"/>
        <w:left w:val="none" w:sz="0" w:space="0" w:color="auto"/>
        <w:bottom w:val="none" w:sz="0" w:space="0" w:color="auto"/>
        <w:right w:val="none" w:sz="0" w:space="0" w:color="auto"/>
      </w:divBdr>
      <w:divsChild>
        <w:div w:id="1965967691">
          <w:marLeft w:val="0"/>
          <w:marRight w:val="0"/>
          <w:marTop w:val="0"/>
          <w:marBottom w:val="360"/>
          <w:divBdr>
            <w:top w:val="none" w:sz="0" w:space="0" w:color="auto"/>
            <w:left w:val="none" w:sz="0" w:space="0" w:color="auto"/>
            <w:bottom w:val="none" w:sz="0" w:space="0" w:color="auto"/>
            <w:right w:val="none" w:sz="0" w:space="0" w:color="auto"/>
          </w:divBdr>
        </w:div>
      </w:divsChild>
    </w:div>
    <w:div w:id="1965967688">
      <w:marLeft w:val="0"/>
      <w:marRight w:val="0"/>
      <w:marTop w:val="0"/>
      <w:marBottom w:val="0"/>
      <w:divBdr>
        <w:top w:val="none" w:sz="0" w:space="0" w:color="auto"/>
        <w:left w:val="none" w:sz="0" w:space="0" w:color="auto"/>
        <w:bottom w:val="none" w:sz="0" w:space="0" w:color="auto"/>
        <w:right w:val="none" w:sz="0" w:space="0" w:color="auto"/>
      </w:divBdr>
    </w:div>
    <w:div w:id="1965967689">
      <w:marLeft w:val="0"/>
      <w:marRight w:val="0"/>
      <w:marTop w:val="0"/>
      <w:marBottom w:val="0"/>
      <w:divBdr>
        <w:top w:val="none" w:sz="0" w:space="0" w:color="auto"/>
        <w:left w:val="none" w:sz="0" w:space="0" w:color="auto"/>
        <w:bottom w:val="none" w:sz="0" w:space="0" w:color="auto"/>
        <w:right w:val="none" w:sz="0" w:space="0" w:color="auto"/>
      </w:divBdr>
      <w:divsChild>
        <w:div w:id="1965967690">
          <w:marLeft w:val="0"/>
          <w:marRight w:val="0"/>
          <w:marTop w:val="0"/>
          <w:marBottom w:val="360"/>
          <w:divBdr>
            <w:top w:val="none" w:sz="0" w:space="0" w:color="auto"/>
            <w:left w:val="none" w:sz="0" w:space="0" w:color="auto"/>
            <w:bottom w:val="none" w:sz="0" w:space="0" w:color="auto"/>
            <w:right w:val="none" w:sz="0" w:space="0" w:color="auto"/>
          </w:divBdr>
        </w:div>
      </w:divsChild>
    </w:div>
    <w:div w:id="1965967692">
      <w:marLeft w:val="0"/>
      <w:marRight w:val="0"/>
      <w:marTop w:val="0"/>
      <w:marBottom w:val="0"/>
      <w:divBdr>
        <w:top w:val="none" w:sz="0" w:space="0" w:color="auto"/>
        <w:left w:val="none" w:sz="0" w:space="0" w:color="auto"/>
        <w:bottom w:val="none" w:sz="0" w:space="0" w:color="auto"/>
        <w:right w:val="none" w:sz="0" w:space="0" w:color="auto"/>
      </w:divBdr>
    </w:div>
    <w:div w:id="1965967693">
      <w:marLeft w:val="0"/>
      <w:marRight w:val="0"/>
      <w:marTop w:val="0"/>
      <w:marBottom w:val="0"/>
      <w:divBdr>
        <w:top w:val="none" w:sz="0" w:space="0" w:color="auto"/>
        <w:left w:val="none" w:sz="0" w:space="0" w:color="auto"/>
        <w:bottom w:val="none" w:sz="0" w:space="0" w:color="auto"/>
        <w:right w:val="none" w:sz="0" w:space="0" w:color="auto"/>
      </w:divBdr>
    </w:div>
    <w:div w:id="1965967694">
      <w:marLeft w:val="0"/>
      <w:marRight w:val="0"/>
      <w:marTop w:val="0"/>
      <w:marBottom w:val="0"/>
      <w:divBdr>
        <w:top w:val="none" w:sz="0" w:space="0" w:color="auto"/>
        <w:left w:val="none" w:sz="0" w:space="0" w:color="auto"/>
        <w:bottom w:val="none" w:sz="0" w:space="0" w:color="auto"/>
        <w:right w:val="none" w:sz="0" w:space="0" w:color="auto"/>
      </w:divBdr>
      <w:divsChild>
        <w:div w:id="1965967686">
          <w:marLeft w:val="0"/>
          <w:marRight w:val="0"/>
          <w:marTop w:val="0"/>
          <w:marBottom w:val="360"/>
          <w:divBdr>
            <w:top w:val="none" w:sz="0" w:space="0" w:color="auto"/>
            <w:left w:val="none" w:sz="0" w:space="0" w:color="auto"/>
            <w:bottom w:val="none" w:sz="0" w:space="0" w:color="auto"/>
            <w:right w:val="none" w:sz="0" w:space="0" w:color="auto"/>
          </w:divBdr>
        </w:div>
      </w:divsChild>
    </w:div>
    <w:div w:id="1965967695">
      <w:marLeft w:val="0"/>
      <w:marRight w:val="0"/>
      <w:marTop w:val="0"/>
      <w:marBottom w:val="0"/>
      <w:divBdr>
        <w:top w:val="none" w:sz="0" w:space="0" w:color="auto"/>
        <w:left w:val="none" w:sz="0" w:space="0" w:color="auto"/>
        <w:bottom w:val="none" w:sz="0" w:space="0" w:color="auto"/>
        <w:right w:val="none" w:sz="0" w:space="0" w:color="auto"/>
      </w:divBdr>
      <w:divsChild>
        <w:div w:id="1965967685">
          <w:marLeft w:val="0"/>
          <w:marRight w:val="0"/>
          <w:marTop w:val="0"/>
          <w:marBottom w:val="360"/>
          <w:divBdr>
            <w:top w:val="none" w:sz="0" w:space="0" w:color="auto"/>
            <w:left w:val="none" w:sz="0" w:space="0" w:color="auto"/>
            <w:bottom w:val="none" w:sz="0" w:space="0" w:color="auto"/>
            <w:right w:val="none" w:sz="0" w:space="0" w:color="auto"/>
          </w:divBdr>
        </w:div>
      </w:divsChild>
    </w:div>
    <w:div w:id="1965967696">
      <w:marLeft w:val="0"/>
      <w:marRight w:val="0"/>
      <w:marTop w:val="0"/>
      <w:marBottom w:val="0"/>
      <w:divBdr>
        <w:top w:val="none" w:sz="0" w:space="0" w:color="auto"/>
        <w:left w:val="none" w:sz="0" w:space="0" w:color="auto"/>
        <w:bottom w:val="none" w:sz="0" w:space="0" w:color="auto"/>
        <w:right w:val="none" w:sz="0" w:space="0" w:color="auto"/>
      </w:divBdr>
      <w:divsChild>
        <w:div w:id="1965967684">
          <w:marLeft w:val="0"/>
          <w:marRight w:val="0"/>
          <w:marTop w:val="0"/>
          <w:marBottom w:val="0"/>
          <w:divBdr>
            <w:top w:val="none" w:sz="0" w:space="0" w:color="auto"/>
            <w:left w:val="none" w:sz="0" w:space="0" w:color="auto"/>
            <w:bottom w:val="none" w:sz="0" w:space="0" w:color="auto"/>
            <w:right w:val="none" w:sz="0" w:space="0" w:color="auto"/>
          </w:divBdr>
        </w:div>
      </w:divsChild>
    </w:div>
    <w:div w:id="1965967697">
      <w:marLeft w:val="0"/>
      <w:marRight w:val="0"/>
      <w:marTop w:val="0"/>
      <w:marBottom w:val="0"/>
      <w:divBdr>
        <w:top w:val="none" w:sz="0" w:space="0" w:color="auto"/>
        <w:left w:val="none" w:sz="0" w:space="0" w:color="auto"/>
        <w:bottom w:val="none" w:sz="0" w:space="0" w:color="auto"/>
        <w:right w:val="none" w:sz="0" w:space="0" w:color="auto"/>
      </w:divBdr>
    </w:div>
    <w:div w:id="1965967698">
      <w:marLeft w:val="0"/>
      <w:marRight w:val="0"/>
      <w:marTop w:val="0"/>
      <w:marBottom w:val="0"/>
      <w:divBdr>
        <w:top w:val="none" w:sz="0" w:space="0" w:color="auto"/>
        <w:left w:val="none" w:sz="0" w:space="0" w:color="auto"/>
        <w:bottom w:val="none" w:sz="0" w:space="0" w:color="auto"/>
        <w:right w:val="none" w:sz="0" w:space="0" w:color="auto"/>
      </w:divBdr>
      <w:divsChild>
        <w:div w:id="1965967681">
          <w:marLeft w:val="0"/>
          <w:marRight w:val="0"/>
          <w:marTop w:val="0"/>
          <w:marBottom w:val="360"/>
          <w:divBdr>
            <w:top w:val="none" w:sz="0" w:space="0" w:color="auto"/>
            <w:left w:val="none" w:sz="0" w:space="0" w:color="auto"/>
            <w:bottom w:val="none" w:sz="0" w:space="0" w:color="auto"/>
            <w:right w:val="none" w:sz="0" w:space="0" w:color="auto"/>
          </w:divBdr>
        </w:div>
      </w:divsChild>
    </w:div>
    <w:div w:id="1965967699">
      <w:marLeft w:val="0"/>
      <w:marRight w:val="0"/>
      <w:marTop w:val="0"/>
      <w:marBottom w:val="0"/>
      <w:divBdr>
        <w:top w:val="none" w:sz="0" w:space="0" w:color="auto"/>
        <w:left w:val="none" w:sz="0" w:space="0" w:color="auto"/>
        <w:bottom w:val="none" w:sz="0" w:space="0" w:color="auto"/>
        <w:right w:val="none" w:sz="0" w:space="0" w:color="auto"/>
      </w:divBdr>
    </w:div>
    <w:div w:id="1965967700">
      <w:marLeft w:val="0"/>
      <w:marRight w:val="0"/>
      <w:marTop w:val="0"/>
      <w:marBottom w:val="0"/>
      <w:divBdr>
        <w:top w:val="none" w:sz="0" w:space="0" w:color="auto"/>
        <w:left w:val="none" w:sz="0" w:space="0" w:color="auto"/>
        <w:bottom w:val="none" w:sz="0" w:space="0" w:color="auto"/>
        <w:right w:val="none" w:sz="0" w:space="0" w:color="auto"/>
      </w:divBdr>
    </w:div>
    <w:div w:id="1965967701">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65967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brewster@iom.i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5257</Words>
  <Characters>29967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35154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Amar Bokhari</cp:lastModifiedBy>
  <cp:revision>2</cp:revision>
  <cp:lastPrinted>2011-03-29T11:04:00Z</cp:lastPrinted>
  <dcterms:created xsi:type="dcterms:W3CDTF">2011-04-08T10:56:00Z</dcterms:created>
  <dcterms:modified xsi:type="dcterms:W3CDTF">2011-04-08T10:56:00Z</dcterms:modified>
</cp:coreProperties>
</file>