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3B9" w:rsidRPr="008B06F4" w:rsidRDefault="00EE03B9" w:rsidP="00EE03B9">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Arial" w:hAnsi="Arial" w:cs="Arial"/>
          <w:b/>
          <w:bCs/>
          <w:sz w:val="22"/>
          <w:szCs w:val="22"/>
        </w:rPr>
      </w:pPr>
      <w:r w:rsidRPr="008B06F4">
        <w:rPr>
          <w:rFonts w:ascii="Arial" w:hAnsi="Arial" w:cs="Arial"/>
          <w:b/>
          <w:bCs/>
          <w:sz w:val="22"/>
          <w:szCs w:val="22"/>
        </w:rPr>
        <w:t>FONDS DE CONSOLIDATION DE LA PAIX (FCP)</w:t>
      </w:r>
    </w:p>
    <w:p w:rsidR="00CD3814" w:rsidRPr="008B06F4" w:rsidRDefault="00317066" w:rsidP="00CD3814">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Arial" w:hAnsi="Arial" w:cs="Arial"/>
          <w:b/>
          <w:spacing w:val="-3"/>
          <w:sz w:val="22"/>
          <w:szCs w:val="22"/>
          <w:u w:val="single"/>
        </w:rPr>
      </w:pPr>
      <w:r w:rsidRPr="008B06F4">
        <w:rPr>
          <w:rFonts w:ascii="Arial" w:hAnsi="Arial" w:cs="Arial"/>
          <w:b/>
          <w:spacing w:val="-3"/>
          <w:sz w:val="22"/>
          <w:szCs w:val="22"/>
          <w:u w:val="single"/>
        </w:rPr>
        <w:t xml:space="preserve">Rapport </w:t>
      </w:r>
      <w:r w:rsidR="00BD5220" w:rsidRPr="008B06F4">
        <w:rPr>
          <w:rFonts w:ascii="Arial" w:hAnsi="Arial" w:cs="Arial"/>
          <w:b/>
          <w:spacing w:val="-3"/>
          <w:sz w:val="22"/>
          <w:szCs w:val="22"/>
          <w:u w:val="single"/>
        </w:rPr>
        <w:t>de mise à jour t</w:t>
      </w:r>
      <w:r w:rsidRPr="008B06F4">
        <w:rPr>
          <w:rFonts w:ascii="Arial" w:hAnsi="Arial" w:cs="Arial"/>
          <w:b/>
          <w:spacing w:val="-3"/>
          <w:sz w:val="22"/>
          <w:szCs w:val="22"/>
          <w:u w:val="single"/>
        </w:rPr>
        <w:t>rimestriel</w:t>
      </w:r>
    </w:p>
    <w:p w:rsidR="00CD3814" w:rsidRPr="00C920F9" w:rsidRDefault="00CD3814" w:rsidP="00CD3814">
      <w:pPr>
        <w:rPr>
          <w:b/>
        </w:rPr>
      </w:pPr>
    </w:p>
    <w:tbl>
      <w:tblPr>
        <w:tblW w:w="139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46"/>
        <w:gridCol w:w="2126"/>
        <w:gridCol w:w="4536"/>
        <w:gridCol w:w="3260"/>
      </w:tblGrid>
      <w:tr w:rsidR="00CD3814" w:rsidRPr="00C920F9" w:rsidTr="008E43FF">
        <w:trPr>
          <w:trHeight w:val="345"/>
        </w:trPr>
        <w:tc>
          <w:tcPr>
            <w:tcW w:w="4046" w:type="dxa"/>
            <w:shd w:val="clear" w:color="auto" w:fill="E6E6E6"/>
          </w:tcPr>
          <w:p w:rsidR="00CD3814" w:rsidRPr="00C920F9" w:rsidRDefault="00C025B5" w:rsidP="003F182F">
            <w:pPr>
              <w:rPr>
                <w:b/>
              </w:rPr>
            </w:pPr>
            <w:r w:rsidRPr="00C920F9">
              <w:rPr>
                <w:b/>
              </w:rPr>
              <w:t>Période</w:t>
            </w:r>
            <w:r w:rsidR="00CD3814" w:rsidRPr="00C920F9">
              <w:rPr>
                <w:b/>
              </w:rPr>
              <w:t xml:space="preserve"> couvert (</w:t>
            </w:r>
            <w:r w:rsidR="00317066" w:rsidRPr="00C920F9">
              <w:rPr>
                <w:b/>
              </w:rPr>
              <w:t>T</w:t>
            </w:r>
            <w:r w:rsidRPr="00C920F9">
              <w:rPr>
                <w:b/>
              </w:rPr>
              <w:t>rimestre</w:t>
            </w:r>
            <w:r w:rsidR="00317066" w:rsidRPr="00C920F9">
              <w:rPr>
                <w:b/>
              </w:rPr>
              <w:t>)</w:t>
            </w:r>
          </w:p>
        </w:tc>
        <w:tc>
          <w:tcPr>
            <w:tcW w:w="9922" w:type="dxa"/>
            <w:gridSpan w:val="3"/>
            <w:shd w:val="clear" w:color="auto" w:fill="auto"/>
            <w:vAlign w:val="center"/>
          </w:tcPr>
          <w:p w:rsidR="00CD3814" w:rsidRPr="00C920F9" w:rsidRDefault="001D4FAF" w:rsidP="004C0FF8">
            <w:r w:rsidRPr="00C920F9">
              <w:t>Avril</w:t>
            </w:r>
            <w:r w:rsidR="000E414E">
              <w:t xml:space="preserve"> </w:t>
            </w:r>
            <w:r w:rsidRPr="00C920F9">
              <w:t>- juin 2011</w:t>
            </w:r>
          </w:p>
        </w:tc>
      </w:tr>
      <w:tr w:rsidR="00CD3814" w:rsidRPr="00C920F9" w:rsidTr="008E43FF">
        <w:trPr>
          <w:trHeight w:val="345"/>
        </w:trPr>
        <w:tc>
          <w:tcPr>
            <w:tcW w:w="4046" w:type="dxa"/>
            <w:shd w:val="clear" w:color="auto" w:fill="E6E6E6"/>
          </w:tcPr>
          <w:p w:rsidR="00CD3814" w:rsidRPr="00C920F9" w:rsidRDefault="00C025B5" w:rsidP="003F182F">
            <w:r w:rsidRPr="00C920F9">
              <w:rPr>
                <w:b/>
              </w:rPr>
              <w:t>Numéro</w:t>
            </w:r>
            <w:r w:rsidR="008F0D90" w:rsidRPr="00C920F9">
              <w:rPr>
                <w:b/>
              </w:rPr>
              <w:t xml:space="preserve"> du</w:t>
            </w:r>
            <w:r w:rsidR="00CD3814" w:rsidRPr="00C920F9">
              <w:rPr>
                <w:b/>
              </w:rPr>
              <w:t xml:space="preserve"> projet et </w:t>
            </w:r>
            <w:r w:rsidR="005E7876" w:rsidRPr="00C920F9">
              <w:rPr>
                <w:b/>
              </w:rPr>
              <w:t xml:space="preserve">le </w:t>
            </w:r>
            <w:r w:rsidR="00027A16" w:rsidRPr="00C920F9">
              <w:rPr>
                <w:b/>
              </w:rPr>
              <w:t>titre</w:t>
            </w:r>
            <w:r w:rsidR="005E7876" w:rsidRPr="00C920F9">
              <w:rPr>
                <w:b/>
              </w:rPr>
              <w:t xml:space="preserve"> du projet</w:t>
            </w:r>
          </w:p>
        </w:tc>
        <w:tc>
          <w:tcPr>
            <w:tcW w:w="9922" w:type="dxa"/>
            <w:gridSpan w:val="3"/>
            <w:shd w:val="clear" w:color="auto" w:fill="auto"/>
            <w:vAlign w:val="center"/>
          </w:tcPr>
          <w:p w:rsidR="00FC089D" w:rsidRPr="00C920F9" w:rsidRDefault="00FC089D" w:rsidP="00FC089D"/>
          <w:p w:rsidR="00CD3814" w:rsidRPr="00C920F9" w:rsidRDefault="007920B6" w:rsidP="004420B6">
            <w:r w:rsidRPr="00660F18">
              <w:t xml:space="preserve">PBF/COM/D-5 : </w:t>
            </w:r>
            <w:r w:rsidRPr="00510062">
              <w:rPr>
                <w:b/>
              </w:rPr>
              <w:t>Promotion des conditions économiques et sociales des jeunes et  femmes dans l’ile de Mohéli au travers l’appui en Agriculture</w:t>
            </w:r>
            <w:r w:rsidRPr="00660F18">
              <w:t>.</w:t>
            </w:r>
          </w:p>
        </w:tc>
      </w:tr>
      <w:tr w:rsidR="00CD3814" w:rsidRPr="00C920F9" w:rsidTr="008E43FF">
        <w:trPr>
          <w:trHeight w:val="436"/>
        </w:trPr>
        <w:tc>
          <w:tcPr>
            <w:tcW w:w="4046" w:type="dxa"/>
            <w:tcBorders>
              <w:bottom w:val="single" w:sz="4" w:space="0" w:color="auto"/>
            </w:tcBorders>
            <w:shd w:val="clear" w:color="auto" w:fill="E6E6E6"/>
          </w:tcPr>
          <w:p w:rsidR="00CD3814" w:rsidRPr="00C920F9" w:rsidRDefault="00CD3814" w:rsidP="003F182F">
            <w:r w:rsidRPr="00C920F9">
              <w:rPr>
                <w:b/>
              </w:rPr>
              <w:t xml:space="preserve">Agence </w:t>
            </w:r>
            <w:r w:rsidR="00443D1C">
              <w:rPr>
                <w:b/>
              </w:rPr>
              <w:t>bénéficiai</w:t>
            </w:r>
            <w:r w:rsidR="004A55DB" w:rsidRPr="00C920F9">
              <w:rPr>
                <w:b/>
              </w:rPr>
              <w:t>re</w:t>
            </w:r>
            <w:r w:rsidRPr="00C920F9">
              <w:rPr>
                <w:b/>
              </w:rPr>
              <w:t xml:space="preserve">:  </w:t>
            </w:r>
          </w:p>
        </w:tc>
        <w:tc>
          <w:tcPr>
            <w:tcW w:w="9922" w:type="dxa"/>
            <w:gridSpan w:val="3"/>
            <w:vAlign w:val="center"/>
          </w:tcPr>
          <w:p w:rsidR="00CD3814" w:rsidRPr="00C920F9" w:rsidRDefault="00443D1C" w:rsidP="00684E57">
            <w:r w:rsidRPr="00C920F9">
              <w:rPr>
                <w:bCs/>
              </w:rPr>
              <w:t>PNUD, ONUDI</w:t>
            </w:r>
          </w:p>
        </w:tc>
      </w:tr>
      <w:tr w:rsidR="00684E57" w:rsidRPr="00C920F9" w:rsidTr="008E43FF">
        <w:trPr>
          <w:trHeight w:val="345"/>
        </w:trPr>
        <w:tc>
          <w:tcPr>
            <w:tcW w:w="4046" w:type="dxa"/>
            <w:shd w:val="clear" w:color="auto" w:fill="E6E6E6"/>
          </w:tcPr>
          <w:p w:rsidR="00684E57" w:rsidRPr="00C920F9" w:rsidRDefault="00684E57" w:rsidP="003F182F">
            <w:pPr>
              <w:rPr>
                <w:bCs/>
              </w:rPr>
            </w:pPr>
            <w:r w:rsidRPr="00C920F9">
              <w:rPr>
                <w:b/>
              </w:rPr>
              <w:t>Partenaires d’exécution (Agence Gouvernementale, Agences NU, Organisations de la Société Civile)</w:t>
            </w:r>
          </w:p>
        </w:tc>
        <w:tc>
          <w:tcPr>
            <w:tcW w:w="9922" w:type="dxa"/>
            <w:gridSpan w:val="3"/>
          </w:tcPr>
          <w:p w:rsidR="007920B6" w:rsidRPr="007920B6" w:rsidRDefault="00022CA2" w:rsidP="007920B6">
            <w:pPr>
              <w:rPr>
                <w:sz w:val="20"/>
                <w:szCs w:val="20"/>
              </w:rPr>
            </w:pPr>
            <w:r w:rsidRPr="00C920F9">
              <w:t xml:space="preserve"> </w:t>
            </w:r>
            <w:r w:rsidR="007920B6" w:rsidRPr="007920B6">
              <w:rPr>
                <w:sz w:val="20"/>
                <w:szCs w:val="20"/>
              </w:rPr>
              <w:t xml:space="preserve">Ministère de l’Agriculture, de l’Environnement et de l’Energie, </w:t>
            </w:r>
          </w:p>
          <w:p w:rsidR="007920B6" w:rsidRPr="007920B6" w:rsidRDefault="007920B6" w:rsidP="007920B6">
            <w:pPr>
              <w:numPr>
                <w:ilvl w:val="0"/>
                <w:numId w:val="22"/>
              </w:numPr>
              <w:rPr>
                <w:sz w:val="20"/>
                <w:szCs w:val="20"/>
              </w:rPr>
            </w:pPr>
            <w:r w:rsidRPr="007920B6">
              <w:rPr>
                <w:sz w:val="20"/>
                <w:szCs w:val="20"/>
              </w:rPr>
              <w:t>Direction Générale de la Production et de l’Environnement de Mwali,</w:t>
            </w:r>
          </w:p>
          <w:p w:rsidR="007920B6" w:rsidRPr="007920B6" w:rsidRDefault="007920B6" w:rsidP="007920B6">
            <w:pPr>
              <w:numPr>
                <w:ilvl w:val="0"/>
                <w:numId w:val="22"/>
              </w:numPr>
              <w:rPr>
                <w:bCs/>
                <w:sz w:val="20"/>
                <w:szCs w:val="20"/>
              </w:rPr>
            </w:pPr>
            <w:r w:rsidRPr="007920B6">
              <w:rPr>
                <w:bCs/>
                <w:sz w:val="20"/>
                <w:szCs w:val="20"/>
              </w:rPr>
              <w:t xml:space="preserve">Direction de la Production et de l’Environnement, </w:t>
            </w:r>
          </w:p>
          <w:p w:rsidR="007920B6" w:rsidRPr="007920B6" w:rsidRDefault="007920B6" w:rsidP="007920B6">
            <w:pPr>
              <w:numPr>
                <w:ilvl w:val="0"/>
                <w:numId w:val="22"/>
              </w:numPr>
              <w:rPr>
                <w:bCs/>
                <w:sz w:val="20"/>
                <w:szCs w:val="20"/>
              </w:rPr>
            </w:pPr>
            <w:r w:rsidRPr="007920B6">
              <w:rPr>
                <w:sz w:val="20"/>
                <w:szCs w:val="20"/>
              </w:rPr>
              <w:t xml:space="preserve">Direction Générale du Plan de Mwali, </w:t>
            </w:r>
          </w:p>
          <w:p w:rsidR="007920B6" w:rsidRPr="007920B6" w:rsidRDefault="007920B6" w:rsidP="007920B6">
            <w:pPr>
              <w:numPr>
                <w:ilvl w:val="0"/>
                <w:numId w:val="22"/>
              </w:numPr>
              <w:rPr>
                <w:bCs/>
                <w:sz w:val="20"/>
                <w:szCs w:val="20"/>
              </w:rPr>
            </w:pPr>
            <w:r w:rsidRPr="007920B6">
              <w:rPr>
                <w:sz w:val="20"/>
                <w:szCs w:val="20"/>
              </w:rPr>
              <w:t xml:space="preserve">FADESIM (Fédération des acteurs de développement de l’île de Mwali), </w:t>
            </w:r>
          </w:p>
          <w:p w:rsidR="007920B6" w:rsidRPr="007920B6" w:rsidRDefault="007920B6" w:rsidP="007920B6">
            <w:pPr>
              <w:numPr>
                <w:ilvl w:val="0"/>
                <w:numId w:val="22"/>
              </w:numPr>
              <w:rPr>
                <w:bCs/>
                <w:sz w:val="20"/>
                <w:szCs w:val="20"/>
              </w:rPr>
            </w:pPr>
            <w:r w:rsidRPr="007920B6">
              <w:rPr>
                <w:sz w:val="20"/>
                <w:szCs w:val="20"/>
              </w:rPr>
              <w:t xml:space="preserve">RNFD (Réseau femmes &amp; développement),  </w:t>
            </w:r>
          </w:p>
          <w:p w:rsidR="007920B6" w:rsidRPr="007920B6" w:rsidRDefault="007920B6" w:rsidP="007920B6">
            <w:pPr>
              <w:numPr>
                <w:ilvl w:val="0"/>
                <w:numId w:val="22"/>
              </w:numPr>
              <w:rPr>
                <w:bCs/>
                <w:sz w:val="20"/>
                <w:szCs w:val="20"/>
              </w:rPr>
            </w:pPr>
            <w:r w:rsidRPr="007920B6">
              <w:rPr>
                <w:sz w:val="20"/>
                <w:szCs w:val="20"/>
              </w:rPr>
              <w:t xml:space="preserve">RENAG (Réseau national des avocats du genre), </w:t>
            </w:r>
          </w:p>
          <w:p w:rsidR="007920B6" w:rsidRPr="007920B6" w:rsidRDefault="007920B6" w:rsidP="007920B6">
            <w:pPr>
              <w:numPr>
                <w:ilvl w:val="0"/>
                <w:numId w:val="22"/>
              </w:numPr>
              <w:rPr>
                <w:bCs/>
                <w:sz w:val="20"/>
                <w:szCs w:val="20"/>
              </w:rPr>
            </w:pPr>
            <w:r w:rsidRPr="007920B6">
              <w:rPr>
                <w:sz w:val="20"/>
                <w:szCs w:val="20"/>
              </w:rPr>
              <w:t xml:space="preserve">SNAC  (Syndicat  national des agriculteurs comoriens), </w:t>
            </w:r>
          </w:p>
          <w:p w:rsidR="007920B6" w:rsidRPr="007920B6" w:rsidRDefault="007920B6" w:rsidP="007920B6">
            <w:pPr>
              <w:numPr>
                <w:ilvl w:val="0"/>
                <w:numId w:val="22"/>
              </w:numPr>
              <w:rPr>
                <w:bCs/>
                <w:sz w:val="20"/>
                <w:szCs w:val="20"/>
              </w:rPr>
            </w:pPr>
            <w:r w:rsidRPr="007920B6">
              <w:rPr>
                <w:sz w:val="20"/>
                <w:szCs w:val="20"/>
              </w:rPr>
              <w:t xml:space="preserve">FNAC (Fédération national des agriculteurs comoriens) </w:t>
            </w:r>
          </w:p>
          <w:p w:rsidR="00022CA2" w:rsidRPr="007920B6" w:rsidRDefault="007920B6" w:rsidP="007920B6">
            <w:pPr>
              <w:numPr>
                <w:ilvl w:val="0"/>
                <w:numId w:val="22"/>
              </w:numPr>
              <w:rPr>
                <w:bCs/>
                <w:sz w:val="20"/>
                <w:szCs w:val="20"/>
              </w:rPr>
            </w:pPr>
            <w:r w:rsidRPr="007920B6">
              <w:rPr>
                <w:bCs/>
                <w:sz w:val="20"/>
                <w:szCs w:val="20"/>
              </w:rPr>
              <w:t>ACTIV-M (association comorienne des techniciens vétérinaires et ingénieurs) Mohéli</w:t>
            </w:r>
          </w:p>
        </w:tc>
      </w:tr>
      <w:tr w:rsidR="00684E57" w:rsidRPr="00C920F9" w:rsidTr="008E43FF">
        <w:trPr>
          <w:trHeight w:val="345"/>
        </w:trPr>
        <w:tc>
          <w:tcPr>
            <w:tcW w:w="4046" w:type="dxa"/>
            <w:shd w:val="clear" w:color="auto" w:fill="E6E6E6"/>
          </w:tcPr>
          <w:p w:rsidR="00684E57" w:rsidRPr="00C920F9" w:rsidRDefault="00684E57" w:rsidP="003F182F">
            <w:pPr>
              <w:rPr>
                <w:b/>
              </w:rPr>
            </w:pPr>
            <w:r w:rsidRPr="00C920F9">
              <w:rPr>
                <w:b/>
              </w:rPr>
              <w:t>Date d’approbation par le Comité de Pilotage:</w:t>
            </w:r>
          </w:p>
        </w:tc>
        <w:tc>
          <w:tcPr>
            <w:tcW w:w="9922" w:type="dxa"/>
            <w:gridSpan w:val="3"/>
            <w:vAlign w:val="center"/>
          </w:tcPr>
          <w:p w:rsidR="00684E57" w:rsidRPr="00C920F9" w:rsidRDefault="00347CF0" w:rsidP="00022CA2">
            <w:r w:rsidRPr="00C920F9">
              <w:t xml:space="preserve"> mars 2011</w:t>
            </w:r>
          </w:p>
        </w:tc>
      </w:tr>
      <w:tr w:rsidR="004420B6" w:rsidRPr="00C920F9" w:rsidTr="008E43FF">
        <w:trPr>
          <w:trHeight w:val="345"/>
        </w:trPr>
        <w:tc>
          <w:tcPr>
            <w:tcW w:w="4046" w:type="dxa"/>
            <w:shd w:val="clear" w:color="auto" w:fill="E6E6E6"/>
          </w:tcPr>
          <w:p w:rsidR="004420B6" w:rsidRPr="00C920F9" w:rsidRDefault="004420B6" w:rsidP="003F182F">
            <w:pPr>
              <w:rPr>
                <w:b/>
              </w:rPr>
            </w:pPr>
            <w:r w:rsidRPr="00C920F9">
              <w:rPr>
                <w:b/>
              </w:rPr>
              <w:t>Budget total alloué</w:t>
            </w:r>
          </w:p>
        </w:tc>
        <w:tc>
          <w:tcPr>
            <w:tcW w:w="9922" w:type="dxa"/>
            <w:gridSpan w:val="3"/>
            <w:vAlign w:val="center"/>
          </w:tcPr>
          <w:p w:rsidR="004420B6" w:rsidRPr="00C920F9" w:rsidRDefault="00443D1C" w:rsidP="00443D1C">
            <w:r>
              <w:t>1.100000</w:t>
            </w:r>
            <w:r w:rsidR="00347CF0" w:rsidRPr="00C920F9">
              <w:t xml:space="preserve"> </w:t>
            </w:r>
            <w:r>
              <w:t>US$</w:t>
            </w:r>
          </w:p>
        </w:tc>
      </w:tr>
      <w:tr w:rsidR="00391585" w:rsidRPr="00C920F9" w:rsidTr="00D46288">
        <w:trPr>
          <w:trHeight w:val="345"/>
        </w:trPr>
        <w:tc>
          <w:tcPr>
            <w:tcW w:w="4046" w:type="dxa"/>
            <w:shd w:val="clear" w:color="auto" w:fill="E6E6E6"/>
          </w:tcPr>
          <w:p w:rsidR="00391585" w:rsidRPr="00C920F9" w:rsidRDefault="00391585" w:rsidP="003F182F">
            <w:pPr>
              <w:rPr>
                <w:b/>
              </w:rPr>
            </w:pPr>
            <w:r w:rsidRPr="00C920F9">
              <w:rPr>
                <w:b/>
              </w:rPr>
              <w:t>Fonds engagés du budget total alloué</w:t>
            </w:r>
            <w:r w:rsidRPr="00C920F9">
              <w:rPr>
                <w:rStyle w:val="Appelnotedebasdep"/>
                <w:b/>
              </w:rPr>
              <w:footnoteReference w:id="1"/>
            </w:r>
            <w:r w:rsidRPr="00C920F9">
              <w:rPr>
                <w:b/>
              </w:rPr>
              <w:t xml:space="preserve"> </w:t>
            </w:r>
          </w:p>
        </w:tc>
        <w:tc>
          <w:tcPr>
            <w:tcW w:w="2126" w:type="dxa"/>
            <w:vAlign w:val="center"/>
          </w:tcPr>
          <w:p w:rsidR="00391585" w:rsidRPr="00C920F9" w:rsidRDefault="00391585" w:rsidP="00205557">
            <w:pPr>
              <w:rPr>
                <w:color w:val="000000"/>
              </w:rPr>
            </w:pPr>
            <w:r>
              <w:rPr>
                <w:color w:val="000000"/>
              </w:rPr>
              <w:t>74911</w:t>
            </w:r>
            <w:r w:rsidRPr="00274D55">
              <w:rPr>
                <w:color w:val="000000"/>
              </w:rPr>
              <w:t xml:space="preserve"> </w:t>
            </w:r>
            <w:r w:rsidRPr="00274D55">
              <w:t>US$</w:t>
            </w:r>
          </w:p>
        </w:tc>
        <w:tc>
          <w:tcPr>
            <w:tcW w:w="4536" w:type="dxa"/>
            <w:shd w:val="clear" w:color="auto" w:fill="E6E6E6"/>
            <w:vAlign w:val="center"/>
          </w:tcPr>
          <w:p w:rsidR="00391585" w:rsidRPr="00C920F9" w:rsidRDefault="00391585" w:rsidP="00684E57">
            <w:pPr>
              <w:rPr>
                <w:b/>
              </w:rPr>
            </w:pPr>
            <w:r w:rsidRPr="00C920F9">
              <w:rPr>
                <w:b/>
              </w:rPr>
              <w:t>% de fonds engagés / budget total alloué:</w:t>
            </w:r>
          </w:p>
        </w:tc>
        <w:tc>
          <w:tcPr>
            <w:tcW w:w="3260" w:type="dxa"/>
            <w:vAlign w:val="center"/>
          </w:tcPr>
          <w:p w:rsidR="00391585" w:rsidRPr="00C920F9" w:rsidRDefault="00391585" w:rsidP="00205557">
            <w:r>
              <w:t>16,36</w:t>
            </w:r>
            <w:r w:rsidRPr="00C920F9">
              <w:t>%</w:t>
            </w:r>
          </w:p>
        </w:tc>
      </w:tr>
      <w:tr w:rsidR="00391585" w:rsidRPr="00C920F9" w:rsidTr="00D46288">
        <w:trPr>
          <w:trHeight w:val="345"/>
        </w:trPr>
        <w:tc>
          <w:tcPr>
            <w:tcW w:w="4046" w:type="dxa"/>
            <w:shd w:val="clear" w:color="auto" w:fill="E6E6E6"/>
          </w:tcPr>
          <w:p w:rsidR="00391585" w:rsidRPr="00C920F9" w:rsidRDefault="00391585" w:rsidP="003F182F">
            <w:pPr>
              <w:rPr>
                <w:b/>
              </w:rPr>
            </w:pPr>
            <w:r w:rsidRPr="00C920F9">
              <w:rPr>
                <w:b/>
              </w:rPr>
              <w:t>Fonds dépensés</w:t>
            </w:r>
            <w:r w:rsidRPr="00C920F9">
              <w:rPr>
                <w:rStyle w:val="Appelnotedebasdep"/>
                <w:b/>
              </w:rPr>
              <w:footnoteReference w:id="2"/>
            </w:r>
            <w:r w:rsidRPr="00C920F9">
              <w:rPr>
                <w:b/>
              </w:rPr>
              <w:t xml:space="preserve"> du budget total alloué:</w:t>
            </w:r>
          </w:p>
        </w:tc>
        <w:tc>
          <w:tcPr>
            <w:tcW w:w="2126" w:type="dxa"/>
            <w:vAlign w:val="center"/>
          </w:tcPr>
          <w:p w:rsidR="00391585" w:rsidRPr="00C920F9" w:rsidRDefault="00391585" w:rsidP="00205557">
            <w:pPr>
              <w:rPr>
                <w:color w:val="000000"/>
              </w:rPr>
            </w:pPr>
            <w:r>
              <w:rPr>
                <w:color w:val="000000"/>
              </w:rPr>
              <w:t>642 229</w:t>
            </w:r>
            <w:r>
              <w:t>US$</w:t>
            </w:r>
          </w:p>
        </w:tc>
        <w:tc>
          <w:tcPr>
            <w:tcW w:w="4536" w:type="dxa"/>
            <w:shd w:val="clear" w:color="auto" w:fill="E6E6E6"/>
            <w:vAlign w:val="center"/>
          </w:tcPr>
          <w:p w:rsidR="00391585" w:rsidRPr="00C920F9" w:rsidRDefault="00391585" w:rsidP="00684E57">
            <w:r w:rsidRPr="00C920F9">
              <w:rPr>
                <w:b/>
              </w:rPr>
              <w:t>% de fonds dépensés / budget total alloué:</w:t>
            </w:r>
          </w:p>
        </w:tc>
        <w:tc>
          <w:tcPr>
            <w:tcW w:w="3260" w:type="dxa"/>
            <w:vAlign w:val="center"/>
          </w:tcPr>
          <w:p w:rsidR="00391585" w:rsidRPr="00C920F9" w:rsidRDefault="00391585" w:rsidP="00205557">
            <w:r>
              <w:t>58,38</w:t>
            </w:r>
            <w:r w:rsidRPr="00274D55">
              <w:t>%</w:t>
            </w:r>
          </w:p>
        </w:tc>
      </w:tr>
      <w:tr w:rsidR="00684E57" w:rsidRPr="00C920F9" w:rsidTr="00D46288">
        <w:trPr>
          <w:trHeight w:val="345"/>
        </w:trPr>
        <w:tc>
          <w:tcPr>
            <w:tcW w:w="4046" w:type="dxa"/>
            <w:shd w:val="clear" w:color="auto" w:fill="E6E6E6"/>
          </w:tcPr>
          <w:p w:rsidR="00684E57" w:rsidRPr="00C920F9" w:rsidRDefault="00684E57" w:rsidP="003F182F">
            <w:pPr>
              <w:rPr>
                <w:b/>
              </w:rPr>
            </w:pPr>
            <w:r w:rsidRPr="00C920F9">
              <w:rPr>
                <w:b/>
              </w:rPr>
              <w:t xml:space="preserve">Date de clôture prévue: </w:t>
            </w:r>
          </w:p>
        </w:tc>
        <w:tc>
          <w:tcPr>
            <w:tcW w:w="2126" w:type="dxa"/>
            <w:vAlign w:val="center"/>
          </w:tcPr>
          <w:p w:rsidR="00684E57" w:rsidRPr="00C920F9" w:rsidRDefault="005910B4" w:rsidP="00684E57">
            <w:pPr>
              <w:rPr>
                <w:color w:val="000000"/>
              </w:rPr>
            </w:pPr>
            <w:r w:rsidRPr="00C920F9">
              <w:rPr>
                <w:color w:val="000000"/>
              </w:rPr>
              <w:t>31 Décembre 2011</w:t>
            </w:r>
          </w:p>
        </w:tc>
        <w:tc>
          <w:tcPr>
            <w:tcW w:w="4536" w:type="dxa"/>
            <w:shd w:val="clear" w:color="auto" w:fill="E6E6E6"/>
            <w:vAlign w:val="center"/>
          </w:tcPr>
          <w:p w:rsidR="00684E57" w:rsidRPr="00C920F9" w:rsidRDefault="00684E57" w:rsidP="00684E57">
            <w:pPr>
              <w:rPr>
                <w:b/>
              </w:rPr>
            </w:pPr>
            <w:r w:rsidRPr="00C920F9">
              <w:rPr>
                <w:b/>
              </w:rPr>
              <w:t>Retard éventuel (mois):</w:t>
            </w:r>
          </w:p>
        </w:tc>
        <w:tc>
          <w:tcPr>
            <w:tcW w:w="3260" w:type="dxa"/>
            <w:vAlign w:val="center"/>
          </w:tcPr>
          <w:p w:rsidR="00684E57" w:rsidRPr="00C920F9" w:rsidRDefault="006E0D10" w:rsidP="00684E57">
            <w:r>
              <w:t>3 mois</w:t>
            </w:r>
          </w:p>
        </w:tc>
      </w:tr>
      <w:tr w:rsidR="008E43FF" w:rsidRPr="00C920F9" w:rsidTr="00D46288">
        <w:trPr>
          <w:trHeight w:val="345"/>
        </w:trPr>
        <w:tc>
          <w:tcPr>
            <w:tcW w:w="6172" w:type="dxa"/>
            <w:gridSpan w:val="2"/>
            <w:shd w:val="clear" w:color="auto" w:fill="E6E6E6"/>
          </w:tcPr>
          <w:p w:rsidR="008E43FF" w:rsidRPr="00C920F9" w:rsidRDefault="008E43FF" w:rsidP="008E43FF">
            <w:pPr>
              <w:rPr>
                <w:b/>
                <w:color w:val="000000"/>
              </w:rPr>
            </w:pPr>
            <w:r w:rsidRPr="00C920F9">
              <w:rPr>
                <w:b/>
                <w:color w:val="000000"/>
              </w:rPr>
              <w:t>Domaine d’investissement :</w:t>
            </w:r>
            <w:r>
              <w:rPr>
                <w:b/>
                <w:color w:val="000000"/>
              </w:rPr>
              <w:t xml:space="preserve"> Agriculture</w:t>
            </w:r>
          </w:p>
          <w:p w:rsidR="008E43FF" w:rsidRPr="00C920F9" w:rsidRDefault="008E43FF" w:rsidP="008E43FF">
            <w:pPr>
              <w:rPr>
                <w:b/>
                <w:color w:val="000000"/>
              </w:rPr>
            </w:pPr>
            <w:r w:rsidRPr="00C920F9">
              <w:rPr>
                <w:b/>
                <w:color w:val="000000"/>
              </w:rPr>
              <w:t>Résultats stratégiques (effets sectoriels):</w:t>
            </w:r>
            <w:r>
              <w:rPr>
                <w:b/>
                <w:color w:val="000000"/>
              </w:rPr>
              <w:t xml:space="preserve"> création de l’emploi des jeunes et femmes dans le secteur agricoles </w:t>
            </w:r>
          </w:p>
          <w:p w:rsidR="008E43FF" w:rsidRDefault="008E43FF" w:rsidP="008E43FF">
            <w:pPr>
              <w:rPr>
                <w:b/>
                <w:color w:val="000000"/>
              </w:rPr>
            </w:pPr>
            <w:r>
              <w:rPr>
                <w:b/>
                <w:color w:val="000000"/>
              </w:rPr>
              <w:t>Indicateurs pour me</w:t>
            </w:r>
            <w:r w:rsidRPr="00C920F9">
              <w:rPr>
                <w:b/>
                <w:color w:val="000000"/>
              </w:rPr>
              <w:t>surer les effets</w:t>
            </w:r>
            <w:r>
              <w:rPr>
                <w:b/>
                <w:color w:val="000000"/>
              </w:rPr>
              <w:t> :</w:t>
            </w:r>
          </w:p>
          <w:p w:rsidR="008E43FF" w:rsidRDefault="008E43FF" w:rsidP="008E43FF">
            <w:pPr>
              <w:rPr>
                <w:b/>
                <w:color w:val="000000"/>
              </w:rPr>
            </w:pPr>
          </w:p>
          <w:p w:rsidR="008E43FF" w:rsidRPr="00C920F9" w:rsidRDefault="008E43FF" w:rsidP="008E43FF">
            <w:pPr>
              <w:rPr>
                <w:b/>
                <w:color w:val="000000"/>
              </w:rPr>
            </w:pPr>
            <w:r>
              <w:rPr>
                <w:b/>
                <w:color w:val="000000"/>
              </w:rPr>
              <w:t>Nombre d’emplois crées</w:t>
            </w:r>
          </w:p>
          <w:p w:rsidR="008E43FF" w:rsidRPr="00C920F9" w:rsidRDefault="008E43FF" w:rsidP="00684E57">
            <w:pPr>
              <w:rPr>
                <w:color w:val="000000"/>
              </w:rPr>
            </w:pPr>
          </w:p>
        </w:tc>
        <w:tc>
          <w:tcPr>
            <w:tcW w:w="4536" w:type="dxa"/>
            <w:shd w:val="clear" w:color="auto" w:fill="E6E6E6"/>
            <w:vAlign w:val="center"/>
          </w:tcPr>
          <w:p w:rsidR="008E43FF" w:rsidRPr="00C920F9" w:rsidRDefault="008E43FF" w:rsidP="008E43FF">
            <w:pPr>
              <w:rPr>
                <w:b/>
                <w:color w:val="000000"/>
              </w:rPr>
            </w:pPr>
            <w:r w:rsidRPr="00C920F9">
              <w:rPr>
                <w:b/>
                <w:color w:val="000000"/>
              </w:rPr>
              <w:lastRenderedPageBreak/>
              <w:t>Domaine de priorité d’investissement :</w:t>
            </w:r>
          </w:p>
          <w:p w:rsidR="008E43FF" w:rsidRPr="00C920F9" w:rsidRDefault="008E43FF" w:rsidP="008E43FF">
            <w:pPr>
              <w:rPr>
                <w:b/>
                <w:color w:val="000000"/>
              </w:rPr>
            </w:pPr>
            <w:r w:rsidRPr="00C920F9">
              <w:rPr>
                <w:b/>
                <w:color w:val="000000"/>
              </w:rPr>
              <w:t>Résultat stratégique (Cadre stratégique du FCP) :</w:t>
            </w:r>
            <w:r>
              <w:rPr>
                <w:b/>
                <w:color w:val="000000"/>
              </w:rPr>
              <w:t xml:space="preserve"> renforcer la cohabitation  des différentes communautés vivant dans l’Ile </w:t>
            </w:r>
          </w:p>
          <w:p w:rsidR="008E43FF" w:rsidRPr="00C920F9" w:rsidRDefault="008E43FF" w:rsidP="00684E57">
            <w:pPr>
              <w:rPr>
                <w:b/>
              </w:rPr>
            </w:pPr>
            <w:r w:rsidRPr="00F14AAA">
              <w:rPr>
                <w:rFonts w:ascii="Arial Narrow" w:hAnsi="Arial Narrow"/>
                <w:i/>
                <w:iCs/>
                <w:sz w:val="22"/>
                <w:szCs w:val="22"/>
              </w:rPr>
              <w:t>Revitalisation de l'économie en mettant l'accent sur les jeunes à risque et les femmes</w:t>
            </w:r>
          </w:p>
        </w:tc>
        <w:tc>
          <w:tcPr>
            <w:tcW w:w="3260" w:type="dxa"/>
            <w:vAlign w:val="center"/>
          </w:tcPr>
          <w:p w:rsidR="008E43FF" w:rsidRDefault="008E43FF" w:rsidP="008E43FF">
            <w:pPr>
              <w:rPr>
                <w:rFonts w:ascii="Arial" w:hAnsi="Arial" w:cs="Arial"/>
                <w:b/>
                <w:sz w:val="18"/>
                <w:szCs w:val="18"/>
              </w:rPr>
            </w:pPr>
            <w:r w:rsidRPr="00FD1C32">
              <w:rPr>
                <w:rFonts w:ascii="Arial" w:hAnsi="Arial" w:cs="Arial"/>
                <w:b/>
                <w:i/>
                <w:sz w:val="18"/>
                <w:szCs w:val="18"/>
                <w:u w:val="single"/>
              </w:rPr>
              <w:t>PMP</w:t>
            </w:r>
            <w:r>
              <w:rPr>
                <w:rFonts w:ascii="Arial" w:hAnsi="Arial" w:cs="Arial"/>
                <w:b/>
                <w:sz w:val="18"/>
                <w:szCs w:val="18"/>
              </w:rPr>
              <w:t xml:space="preserve"> : </w:t>
            </w:r>
          </w:p>
          <w:p w:rsidR="008E43FF" w:rsidRDefault="008E43FF" w:rsidP="008E43FF">
            <w:pPr>
              <w:rPr>
                <w:rFonts w:ascii="Arial" w:hAnsi="Arial" w:cs="Arial"/>
                <w:b/>
                <w:sz w:val="18"/>
                <w:szCs w:val="18"/>
              </w:rPr>
            </w:pPr>
            <w:r>
              <w:rPr>
                <w:rFonts w:ascii="Arial" w:hAnsi="Arial" w:cs="Arial"/>
                <w:b/>
                <w:sz w:val="18"/>
                <w:szCs w:val="18"/>
              </w:rPr>
              <w:t xml:space="preserve">            Résultat 3</w:t>
            </w:r>
          </w:p>
          <w:p w:rsidR="008E43FF" w:rsidRDefault="008E43FF" w:rsidP="008E43FF">
            <w:r>
              <w:rPr>
                <w:rFonts w:ascii="Arial" w:hAnsi="Arial" w:cs="Arial"/>
                <w:b/>
                <w:sz w:val="18"/>
                <w:szCs w:val="18"/>
              </w:rPr>
              <w:t xml:space="preserve">            Indicateur : 3.1     </w:t>
            </w:r>
          </w:p>
        </w:tc>
      </w:tr>
      <w:tr w:rsidR="00857121" w:rsidRPr="00C920F9" w:rsidTr="00D46288">
        <w:trPr>
          <w:trHeight w:val="1160"/>
        </w:trPr>
        <w:tc>
          <w:tcPr>
            <w:tcW w:w="4046" w:type="dxa"/>
          </w:tcPr>
          <w:p w:rsidR="00857121" w:rsidRPr="00C920F9" w:rsidRDefault="00857121" w:rsidP="003F182F">
            <w:pPr>
              <w:rPr>
                <w:b/>
                <w:color w:val="000000"/>
              </w:rPr>
            </w:pPr>
            <w:r w:rsidRPr="00C920F9">
              <w:rPr>
                <w:b/>
              </w:rPr>
              <w:lastRenderedPageBreak/>
              <w:t>R</w:t>
            </w:r>
            <w:r w:rsidRPr="00C920F9">
              <w:rPr>
                <w:b/>
                <w:color w:val="000000"/>
              </w:rPr>
              <w:t>ésultats immédiats </w:t>
            </w:r>
          </w:p>
          <w:p w:rsidR="00857121" w:rsidRPr="00C920F9" w:rsidRDefault="00857121" w:rsidP="003F182F">
            <w:r w:rsidRPr="00C920F9">
              <w:rPr>
                <w:b/>
                <w:color w:val="000000"/>
              </w:rPr>
              <w:t>(= produits projet) avec référence aux indicateurs:</w:t>
            </w:r>
            <w:r w:rsidRPr="00C920F9">
              <w:t xml:space="preserve"> </w:t>
            </w:r>
          </w:p>
          <w:p w:rsidR="00857121" w:rsidRPr="00C920F9" w:rsidRDefault="007920B6" w:rsidP="004B08F8">
            <w:r w:rsidRPr="00660F18">
              <w:rPr>
                <w:b/>
                <w:color w:val="000000"/>
              </w:rPr>
              <w:t>Objectif ou Effet global</w:t>
            </w:r>
            <w:r w:rsidRPr="00660F18">
              <w:rPr>
                <w:color w:val="000000"/>
              </w:rPr>
              <w:t> :</w:t>
            </w:r>
            <w:r w:rsidRPr="00660F18">
              <w:t xml:space="preserve"> Insérer les femmes et les jeunes dans la production économique pour accroître ses revenus et favoriser son insertion sociale en vue de minimiser les tensions sociales et communautaires</w:t>
            </w:r>
          </w:p>
        </w:tc>
        <w:tc>
          <w:tcPr>
            <w:tcW w:w="6662" w:type="dxa"/>
            <w:gridSpan w:val="2"/>
          </w:tcPr>
          <w:p w:rsidR="00435BFE" w:rsidRPr="00C920F9" w:rsidRDefault="00435BFE" w:rsidP="00857121">
            <w:pPr>
              <w:numPr>
                <w:ilvl w:val="0"/>
                <w:numId w:val="17"/>
              </w:numPr>
              <w:jc w:val="both"/>
            </w:pPr>
            <w:r w:rsidRPr="00C920F9">
              <w:t xml:space="preserve"> </w:t>
            </w:r>
            <w:r w:rsidR="00CA4811" w:rsidRPr="00C920F9">
              <w:t xml:space="preserve">Les sites de production sont </w:t>
            </w:r>
            <w:r w:rsidR="00FC758B" w:rsidRPr="00C920F9">
              <w:t>sécurisés</w:t>
            </w:r>
            <w:r w:rsidR="00CA4811" w:rsidRPr="00C920F9">
              <w:t xml:space="preserve"> et aménagés et les bénéficiaires sont installés </w:t>
            </w:r>
            <w:r w:rsidR="00C920F9" w:rsidRPr="00C920F9">
              <w:t>(jeunes</w:t>
            </w:r>
            <w:r w:rsidR="00CA4811" w:rsidRPr="00C920F9">
              <w:t xml:space="preserve"> et femmes)</w:t>
            </w:r>
          </w:p>
          <w:p w:rsidR="00CA4811" w:rsidRPr="00C920F9" w:rsidRDefault="00CA4811" w:rsidP="00857121">
            <w:pPr>
              <w:numPr>
                <w:ilvl w:val="0"/>
                <w:numId w:val="17"/>
              </w:numPr>
              <w:jc w:val="both"/>
            </w:pPr>
            <w:r w:rsidRPr="00C920F9">
              <w:t xml:space="preserve">Les activités maraichères ont </w:t>
            </w:r>
            <w:r w:rsidR="00C920F9" w:rsidRPr="00C920F9">
              <w:t>démarré</w:t>
            </w:r>
            <w:r w:rsidRPr="00C920F9">
              <w:t xml:space="preserve"> dans les sites de Fomboni et </w:t>
            </w:r>
            <w:proofErr w:type="spellStart"/>
            <w:r w:rsidRPr="00C920F9">
              <w:t>Miringoni</w:t>
            </w:r>
            <w:proofErr w:type="spellEnd"/>
            <w:r w:rsidRPr="00C920F9">
              <w:t xml:space="preserve"> </w:t>
            </w:r>
          </w:p>
          <w:p w:rsidR="0069216E" w:rsidRPr="00C920F9" w:rsidRDefault="0069216E" w:rsidP="00857121">
            <w:pPr>
              <w:numPr>
                <w:ilvl w:val="0"/>
                <w:numId w:val="17"/>
              </w:numPr>
              <w:jc w:val="both"/>
            </w:pPr>
            <w:r w:rsidRPr="00C920F9">
              <w:t>Création de l’emploi stable dans le domaine agricole</w:t>
            </w:r>
          </w:p>
          <w:p w:rsidR="0069216E" w:rsidRPr="00C920F9" w:rsidRDefault="00450351" w:rsidP="00857121">
            <w:pPr>
              <w:numPr>
                <w:ilvl w:val="0"/>
                <w:numId w:val="17"/>
              </w:numPr>
              <w:jc w:val="both"/>
            </w:pPr>
            <w:r w:rsidRPr="00C920F9">
              <w:t xml:space="preserve">Cohabitation </w:t>
            </w:r>
          </w:p>
          <w:p w:rsidR="00857121" w:rsidRPr="00C920F9" w:rsidRDefault="00A76E93" w:rsidP="00526FD4">
            <w:pPr>
              <w:numPr>
                <w:ilvl w:val="0"/>
                <w:numId w:val="17"/>
              </w:numPr>
              <w:jc w:val="both"/>
            </w:pPr>
            <w:r w:rsidRPr="00C920F9">
              <w:t>bénéficiaires maraichers sont identifiés et installés dans les site</w:t>
            </w:r>
            <w:r w:rsidR="00526FD4">
              <w:t>s</w:t>
            </w:r>
          </w:p>
        </w:tc>
        <w:tc>
          <w:tcPr>
            <w:tcW w:w="3260" w:type="dxa"/>
          </w:tcPr>
          <w:p w:rsidR="008E43FF" w:rsidRDefault="00857121" w:rsidP="003F182F">
            <w:r w:rsidRPr="00C920F9">
              <w:rPr>
                <w:b/>
              </w:rPr>
              <w:t>Contrainte(s)</w:t>
            </w:r>
            <w:r w:rsidRPr="00C920F9">
              <w:t> : </w:t>
            </w:r>
          </w:p>
          <w:p w:rsidR="00CA4811" w:rsidRPr="00C920F9" w:rsidRDefault="00CA4811" w:rsidP="003F182F">
            <w:r w:rsidRPr="00C920F9">
              <w:t xml:space="preserve">les conditions de branchement en eau du troisième site à </w:t>
            </w:r>
            <w:proofErr w:type="spellStart"/>
            <w:r w:rsidRPr="00C920F9">
              <w:t>Wallah</w:t>
            </w:r>
            <w:proofErr w:type="spellEnd"/>
            <w:r w:rsidRPr="00C920F9">
              <w:t xml:space="preserve"> </w:t>
            </w:r>
          </w:p>
          <w:p w:rsidR="00857121" w:rsidRPr="00C920F9" w:rsidRDefault="00857121" w:rsidP="003F182F"/>
          <w:p w:rsidR="008E43FF" w:rsidRDefault="008E43FF" w:rsidP="003F182F">
            <w:r>
              <w:rPr>
                <w:b/>
              </w:rPr>
              <w:t>Solution(s) p</w:t>
            </w:r>
            <w:r w:rsidR="00857121" w:rsidRPr="00C920F9">
              <w:rPr>
                <w:b/>
              </w:rPr>
              <w:t>roposée(s)</w:t>
            </w:r>
            <w:r w:rsidR="00857121" w:rsidRPr="00C920F9">
              <w:t> : </w:t>
            </w:r>
          </w:p>
          <w:p w:rsidR="00857121" w:rsidRPr="00C920F9" w:rsidRDefault="00857121" w:rsidP="003F182F">
            <w:pPr>
              <w:rPr>
                <w:color w:val="FF0000"/>
              </w:rPr>
            </w:pPr>
            <w:r w:rsidRPr="00C920F9">
              <w:t>trouver des fonds raisonnables pour</w:t>
            </w:r>
            <w:r w:rsidR="00CA4811" w:rsidRPr="00C920F9">
              <w:t xml:space="preserve"> </w:t>
            </w:r>
            <w:r w:rsidRPr="00C920F9">
              <w:t xml:space="preserve"> améliorer</w:t>
            </w:r>
            <w:r w:rsidR="00CA4811" w:rsidRPr="00C920F9">
              <w:t xml:space="preserve"> l’irrigation à </w:t>
            </w:r>
            <w:proofErr w:type="spellStart"/>
            <w:r w:rsidR="00CA4811" w:rsidRPr="00C920F9">
              <w:t>Wallah</w:t>
            </w:r>
            <w:proofErr w:type="spellEnd"/>
            <w:r w:rsidR="00CA4811" w:rsidRPr="00C920F9">
              <w:t xml:space="preserve"> en particulier et</w:t>
            </w:r>
            <w:r w:rsidRPr="00C920F9">
              <w:t xml:space="preserve"> les systèmes </w:t>
            </w:r>
            <w:r w:rsidR="00CA4811" w:rsidRPr="00C920F9">
              <w:t xml:space="preserve">d’irrigation </w:t>
            </w:r>
            <w:r w:rsidRPr="00C920F9">
              <w:t xml:space="preserve"> dans l’ensemble des sites</w:t>
            </w:r>
            <w:r w:rsidRPr="00C920F9">
              <w:rPr>
                <w:color w:val="FF0000"/>
              </w:rPr>
              <w:t xml:space="preserve"> </w:t>
            </w:r>
            <w:r w:rsidR="00CA4811" w:rsidRPr="00C920F9">
              <w:t>en général</w:t>
            </w:r>
          </w:p>
          <w:p w:rsidR="00857121" w:rsidRPr="00C920F9" w:rsidRDefault="00857121" w:rsidP="00362FEB"/>
        </w:tc>
      </w:tr>
      <w:tr w:rsidR="001560CF" w:rsidRPr="00C920F9" w:rsidTr="00D46288">
        <w:trPr>
          <w:trHeight w:val="2684"/>
        </w:trPr>
        <w:tc>
          <w:tcPr>
            <w:tcW w:w="4046" w:type="dxa"/>
            <w:vAlign w:val="center"/>
          </w:tcPr>
          <w:p w:rsidR="001560CF" w:rsidRDefault="001560CF" w:rsidP="001560CF">
            <w:pPr>
              <w:spacing w:before="60"/>
              <w:rPr>
                <w:color w:val="000000"/>
              </w:rPr>
            </w:pPr>
            <w:r w:rsidRPr="00660F18">
              <w:rPr>
                <w:b/>
                <w:color w:val="000000"/>
              </w:rPr>
              <w:t>Indicateurs de résultats</w:t>
            </w:r>
            <w:r w:rsidRPr="00660F18">
              <w:rPr>
                <w:color w:val="000000"/>
              </w:rPr>
              <w:t> :</w:t>
            </w:r>
          </w:p>
          <w:p w:rsidR="00A81972" w:rsidRDefault="00A81972" w:rsidP="001560CF">
            <w:pPr>
              <w:spacing w:before="60"/>
              <w:rPr>
                <w:color w:val="000000"/>
              </w:rPr>
            </w:pPr>
            <w:r>
              <w:rPr>
                <w:color w:val="000000"/>
              </w:rPr>
              <w:t>Volume de production maraichère</w:t>
            </w:r>
          </w:p>
          <w:p w:rsidR="00A81972" w:rsidRPr="001560CF" w:rsidRDefault="00A81972" w:rsidP="001560CF">
            <w:pPr>
              <w:spacing w:before="60"/>
            </w:pPr>
          </w:p>
        </w:tc>
        <w:tc>
          <w:tcPr>
            <w:tcW w:w="6662" w:type="dxa"/>
            <w:gridSpan w:val="2"/>
            <w:vMerge w:val="restart"/>
          </w:tcPr>
          <w:p w:rsidR="001560CF" w:rsidRPr="00C920F9" w:rsidRDefault="001560CF" w:rsidP="00CD73DC">
            <w:pPr>
              <w:tabs>
                <w:tab w:val="left" w:pos="-720"/>
                <w:tab w:val="left" w:pos="4500"/>
              </w:tabs>
              <w:suppressAutoHyphens/>
              <w:spacing w:after="54"/>
            </w:pPr>
            <w:r w:rsidRPr="00C920F9">
              <w:rPr>
                <w:b/>
                <w:color w:val="000000"/>
                <w:u w:val="single"/>
              </w:rPr>
              <w:t>Résultat attendu 1</w:t>
            </w:r>
            <w:r w:rsidRPr="00C920F9">
              <w:rPr>
                <w:b/>
                <w:color w:val="000000"/>
              </w:rPr>
              <w:t> :</w:t>
            </w:r>
            <w:r w:rsidRPr="00C920F9">
              <w:t xml:space="preserve"> </w:t>
            </w:r>
          </w:p>
          <w:p w:rsidR="001560CF" w:rsidRPr="00C920F9" w:rsidRDefault="001560CF" w:rsidP="00FF7239">
            <w:pPr>
              <w:tabs>
                <w:tab w:val="left" w:pos="-720"/>
                <w:tab w:val="left" w:pos="4500"/>
              </w:tabs>
              <w:suppressAutoHyphens/>
              <w:spacing w:after="54"/>
              <w:rPr>
                <w:i/>
                <w:lang w:val="fr-CH"/>
              </w:rPr>
            </w:pPr>
            <w:r w:rsidRPr="00C920F9">
              <w:rPr>
                <w:b/>
                <w:i/>
                <w:color w:val="000000"/>
              </w:rPr>
              <w:t>Les conditions de production sont améliorées et la production protégée</w:t>
            </w:r>
          </w:p>
          <w:p w:rsidR="001560CF" w:rsidRPr="00C920F9" w:rsidRDefault="001560CF" w:rsidP="008B06F4">
            <w:pPr>
              <w:rPr>
                <w:color w:val="000000"/>
              </w:rPr>
            </w:pPr>
            <w:r w:rsidRPr="00C920F9">
              <w:rPr>
                <w:b/>
                <w:color w:val="000000"/>
                <w:u w:val="single"/>
              </w:rPr>
              <w:t>Réalisations accomplies</w:t>
            </w:r>
            <w:r w:rsidRPr="00C920F9">
              <w:rPr>
                <w:b/>
                <w:color w:val="000000"/>
              </w:rPr>
              <w:t> :</w:t>
            </w:r>
            <w:r w:rsidRPr="00C920F9">
              <w:rPr>
                <w:color w:val="000000"/>
              </w:rPr>
              <w:t xml:space="preserve"> </w:t>
            </w:r>
          </w:p>
          <w:p w:rsidR="001560CF" w:rsidRPr="00C920F9" w:rsidRDefault="001560CF" w:rsidP="008B06F4">
            <w:pPr>
              <w:rPr>
                <w:color w:val="000000"/>
              </w:rPr>
            </w:pPr>
          </w:p>
          <w:p w:rsidR="001560CF" w:rsidRPr="00C920F9" w:rsidRDefault="001560CF" w:rsidP="0069216E">
            <w:pPr>
              <w:numPr>
                <w:ilvl w:val="0"/>
                <w:numId w:val="17"/>
              </w:numPr>
              <w:jc w:val="both"/>
            </w:pPr>
            <w:r w:rsidRPr="00C920F9">
              <w:t>Identification, aménagement et lotissement des parcelles dans les sites de production devant abriter les activités maraichères</w:t>
            </w:r>
          </w:p>
          <w:p w:rsidR="001560CF" w:rsidRPr="00C920F9" w:rsidRDefault="001560CF" w:rsidP="0069216E">
            <w:pPr>
              <w:numPr>
                <w:ilvl w:val="0"/>
                <w:numId w:val="17"/>
              </w:numPr>
              <w:jc w:val="both"/>
            </w:pPr>
            <w:r w:rsidRPr="00C920F9">
              <w:t xml:space="preserve">Réalisation dans les deux sites (Fomboni et </w:t>
            </w:r>
            <w:proofErr w:type="spellStart"/>
            <w:r w:rsidRPr="00C920F9">
              <w:t>Miringoni</w:t>
            </w:r>
            <w:proofErr w:type="spellEnd"/>
            <w:r w:rsidRPr="00C920F9">
              <w:t>) des installations d’irrigation</w:t>
            </w:r>
          </w:p>
          <w:p w:rsidR="001560CF" w:rsidRPr="00C920F9" w:rsidRDefault="001560CF" w:rsidP="0069216E">
            <w:pPr>
              <w:numPr>
                <w:ilvl w:val="0"/>
                <w:numId w:val="17"/>
              </w:numPr>
              <w:jc w:val="both"/>
            </w:pPr>
            <w:r w:rsidRPr="00C920F9">
              <w:t xml:space="preserve">Recrutement de l’ONG d’encadrement et le suivi des maraichers dans les sites </w:t>
            </w:r>
          </w:p>
          <w:p w:rsidR="001560CF" w:rsidRPr="00C920F9" w:rsidRDefault="001560CF" w:rsidP="0069216E">
            <w:pPr>
              <w:numPr>
                <w:ilvl w:val="0"/>
                <w:numId w:val="17"/>
              </w:numPr>
              <w:jc w:val="both"/>
            </w:pPr>
            <w:r w:rsidRPr="00C920F9">
              <w:t>Organisation des campagne</w:t>
            </w:r>
            <w:r>
              <w:t>s</w:t>
            </w:r>
            <w:r w:rsidRPr="00C920F9">
              <w:t xml:space="preserve"> d’information et de sensibilisation sur la philosophie du projet</w:t>
            </w:r>
          </w:p>
          <w:p w:rsidR="001560CF" w:rsidRPr="00C920F9" w:rsidRDefault="001560CF" w:rsidP="0069216E">
            <w:pPr>
              <w:numPr>
                <w:ilvl w:val="0"/>
                <w:numId w:val="17"/>
              </w:numPr>
              <w:jc w:val="both"/>
            </w:pPr>
            <w:r w:rsidRPr="00C920F9">
              <w:t>Achat des intrants agricoles et semences des cultures effectué et distribué aux paysans</w:t>
            </w:r>
          </w:p>
          <w:p w:rsidR="001560CF" w:rsidRPr="00C920F9" w:rsidRDefault="001560CF" w:rsidP="00526FD4">
            <w:pPr>
              <w:numPr>
                <w:ilvl w:val="0"/>
                <w:numId w:val="17"/>
              </w:numPr>
              <w:jc w:val="both"/>
            </w:pPr>
            <w:r w:rsidRPr="00C920F9">
              <w:t xml:space="preserve"> mises en place dans les deux sites (Fomboni et </w:t>
            </w:r>
            <w:proofErr w:type="spellStart"/>
            <w:r w:rsidRPr="00C920F9">
              <w:t>Miringoni</w:t>
            </w:r>
            <w:proofErr w:type="spellEnd"/>
            <w:r w:rsidRPr="00C920F9">
              <w:t xml:space="preserve">) et à la direction générale de la production des pépinières pour la production des plants  </w:t>
            </w:r>
          </w:p>
        </w:tc>
        <w:tc>
          <w:tcPr>
            <w:tcW w:w="3260" w:type="dxa"/>
            <w:vMerge w:val="restart"/>
          </w:tcPr>
          <w:p w:rsidR="001560CF" w:rsidRDefault="001560CF" w:rsidP="00362FEB"/>
          <w:p w:rsidR="008E43FF" w:rsidRDefault="008E43FF" w:rsidP="00362FEB">
            <w:r w:rsidRPr="00C920F9">
              <w:rPr>
                <w:b/>
              </w:rPr>
              <w:t>Contrainte(s)</w:t>
            </w:r>
            <w:r>
              <w:t> : aucune</w:t>
            </w:r>
          </w:p>
          <w:p w:rsidR="008E43FF" w:rsidRDefault="008E43FF" w:rsidP="00362FEB"/>
          <w:p w:rsidR="008E43FF" w:rsidRDefault="008E43FF" w:rsidP="00362FEB">
            <w:r w:rsidRPr="00C920F9">
              <w:rPr>
                <w:b/>
              </w:rPr>
              <w:t>Solution(s) Proposée(s)</w:t>
            </w:r>
            <w:r w:rsidRPr="00C920F9">
              <w:t> : </w:t>
            </w:r>
          </w:p>
          <w:p w:rsidR="00D46288" w:rsidRDefault="00D46288" w:rsidP="00362FEB"/>
          <w:p w:rsidR="00D46288" w:rsidRDefault="00D46288" w:rsidP="00362FEB"/>
          <w:p w:rsidR="00D46288" w:rsidRDefault="00D46288" w:rsidP="00362FEB"/>
          <w:p w:rsidR="00D46288" w:rsidRDefault="00D46288" w:rsidP="00362FEB"/>
          <w:p w:rsidR="00D46288" w:rsidRDefault="00D46288" w:rsidP="00362FEB"/>
          <w:p w:rsidR="00D46288" w:rsidRDefault="00D46288" w:rsidP="00362FEB"/>
          <w:p w:rsidR="00D46288" w:rsidRDefault="00D46288" w:rsidP="00362FEB"/>
          <w:p w:rsidR="00D46288" w:rsidRDefault="00D46288" w:rsidP="00362FEB"/>
          <w:p w:rsidR="00D46288" w:rsidRDefault="00D46288" w:rsidP="00362FEB"/>
          <w:p w:rsidR="00D46288" w:rsidRDefault="00D46288" w:rsidP="00362FEB"/>
          <w:p w:rsidR="00D46288" w:rsidRDefault="00D46288" w:rsidP="00362FEB"/>
          <w:p w:rsidR="00D46288" w:rsidRDefault="00D46288" w:rsidP="00362FEB"/>
          <w:p w:rsidR="00D46288" w:rsidRDefault="00D46288" w:rsidP="00362FEB"/>
          <w:p w:rsidR="00D46288" w:rsidRDefault="00D46288" w:rsidP="00362FEB"/>
          <w:p w:rsidR="00D46288" w:rsidRDefault="00D46288" w:rsidP="00362FEB"/>
          <w:p w:rsidR="00D46288" w:rsidRDefault="00D46288" w:rsidP="00362FEB"/>
          <w:p w:rsidR="00D46288" w:rsidRDefault="00D46288" w:rsidP="00362FEB"/>
          <w:p w:rsidR="00D46288" w:rsidRDefault="00D46288" w:rsidP="00362FEB"/>
          <w:p w:rsidR="00D46288" w:rsidRDefault="00D46288" w:rsidP="00362FEB"/>
          <w:p w:rsidR="00D46288" w:rsidRDefault="00D46288" w:rsidP="00D46288">
            <w:r w:rsidRPr="00C920F9">
              <w:rPr>
                <w:b/>
              </w:rPr>
              <w:t>Contrainte(s)</w:t>
            </w:r>
            <w:r>
              <w:t> : aucune</w:t>
            </w:r>
          </w:p>
          <w:p w:rsidR="00D46288" w:rsidRDefault="00D46288" w:rsidP="00D46288"/>
          <w:p w:rsidR="00D46288" w:rsidRDefault="00D46288" w:rsidP="00D46288">
            <w:r w:rsidRPr="00C920F9">
              <w:rPr>
                <w:b/>
              </w:rPr>
              <w:t>Solution(s) Proposée(s)</w:t>
            </w:r>
            <w:r w:rsidRPr="00C920F9">
              <w:t> : </w:t>
            </w:r>
          </w:p>
          <w:p w:rsidR="00D46288" w:rsidRDefault="00D46288" w:rsidP="00D46288"/>
          <w:p w:rsidR="00D46288" w:rsidRDefault="00D46288" w:rsidP="00D46288"/>
          <w:p w:rsidR="00D46288" w:rsidRDefault="00D46288" w:rsidP="00D46288"/>
          <w:p w:rsidR="00D46288" w:rsidRDefault="00D46288" w:rsidP="00D46288"/>
          <w:p w:rsidR="00D46288" w:rsidRDefault="00D46288" w:rsidP="00D46288"/>
          <w:p w:rsidR="00D46288" w:rsidRDefault="00D46288" w:rsidP="00D46288"/>
          <w:p w:rsidR="00D46288" w:rsidRDefault="00D46288" w:rsidP="00D46288"/>
          <w:p w:rsidR="00D46288" w:rsidRDefault="00D46288" w:rsidP="00D46288">
            <w:r w:rsidRPr="00C920F9">
              <w:rPr>
                <w:b/>
              </w:rPr>
              <w:t>Contrainte(s)</w:t>
            </w:r>
            <w:r>
              <w:t> : aucune</w:t>
            </w:r>
          </w:p>
          <w:p w:rsidR="00D46288" w:rsidRDefault="00D46288" w:rsidP="00D46288"/>
          <w:p w:rsidR="00D46288" w:rsidRPr="00C920F9" w:rsidRDefault="00D46288" w:rsidP="00D46288">
            <w:r w:rsidRPr="00C920F9">
              <w:rPr>
                <w:b/>
              </w:rPr>
              <w:t>Solution(s) Proposée(s)</w:t>
            </w:r>
            <w:r w:rsidRPr="00C920F9">
              <w:t> : </w:t>
            </w:r>
          </w:p>
        </w:tc>
      </w:tr>
      <w:tr w:rsidR="001560CF" w:rsidRPr="00C920F9" w:rsidTr="00D46288">
        <w:trPr>
          <w:trHeight w:val="3386"/>
        </w:trPr>
        <w:tc>
          <w:tcPr>
            <w:tcW w:w="4046" w:type="dxa"/>
            <w:vAlign w:val="center"/>
          </w:tcPr>
          <w:p w:rsidR="001560CF" w:rsidRDefault="001560CF" w:rsidP="001560CF">
            <w:pPr>
              <w:pStyle w:val="Paragraphedeliste"/>
              <w:numPr>
                <w:ilvl w:val="0"/>
                <w:numId w:val="22"/>
              </w:numPr>
              <w:spacing w:before="60"/>
            </w:pPr>
            <w:r w:rsidRPr="00660F18">
              <w:t xml:space="preserve">Taux de production maraichère </w:t>
            </w:r>
          </w:p>
          <w:p w:rsidR="001560CF" w:rsidRPr="001560CF" w:rsidRDefault="001560CF" w:rsidP="00D26858">
            <w:pPr>
              <w:spacing w:before="60"/>
            </w:pPr>
          </w:p>
        </w:tc>
        <w:tc>
          <w:tcPr>
            <w:tcW w:w="6662" w:type="dxa"/>
            <w:gridSpan w:val="2"/>
            <w:vMerge/>
          </w:tcPr>
          <w:p w:rsidR="001560CF" w:rsidRPr="00C920F9" w:rsidRDefault="001560CF" w:rsidP="00CD73DC">
            <w:pPr>
              <w:tabs>
                <w:tab w:val="left" w:pos="-720"/>
                <w:tab w:val="left" w:pos="4500"/>
              </w:tabs>
              <w:suppressAutoHyphens/>
              <w:spacing w:after="54"/>
              <w:rPr>
                <w:b/>
                <w:color w:val="000000"/>
                <w:u w:val="single"/>
              </w:rPr>
            </w:pPr>
          </w:p>
        </w:tc>
        <w:tc>
          <w:tcPr>
            <w:tcW w:w="3260" w:type="dxa"/>
            <w:vMerge/>
          </w:tcPr>
          <w:p w:rsidR="001560CF" w:rsidRPr="00C920F9" w:rsidRDefault="001560CF" w:rsidP="00362FEB"/>
        </w:tc>
      </w:tr>
      <w:tr w:rsidR="001560CF" w:rsidRPr="00C920F9" w:rsidTr="00D46288">
        <w:trPr>
          <w:trHeight w:val="557"/>
        </w:trPr>
        <w:tc>
          <w:tcPr>
            <w:tcW w:w="4046" w:type="dxa"/>
          </w:tcPr>
          <w:p w:rsidR="00D26858" w:rsidRPr="00660F18" w:rsidRDefault="00D26858" w:rsidP="00D26858">
            <w:pPr>
              <w:pStyle w:val="Paragraphedeliste"/>
              <w:numPr>
                <w:ilvl w:val="0"/>
                <w:numId w:val="22"/>
              </w:numPr>
              <w:spacing w:before="60"/>
            </w:pPr>
            <w:r w:rsidRPr="00660F18">
              <w:t>Nombre</w:t>
            </w:r>
            <w:r w:rsidRPr="00D26858">
              <w:rPr>
                <w:bCs/>
              </w:rPr>
              <w:t xml:space="preserve"> de jeunes et femmes bénéficiaires du crédit pour monter </w:t>
            </w:r>
            <w:r w:rsidRPr="00D26858">
              <w:rPr>
                <w:bCs/>
              </w:rPr>
              <w:lastRenderedPageBreak/>
              <w:t xml:space="preserve">une </w:t>
            </w:r>
          </w:p>
          <w:p w:rsidR="001560CF" w:rsidRPr="00D26858" w:rsidRDefault="00D26858" w:rsidP="00D26858">
            <w:pPr>
              <w:numPr>
                <w:ilvl w:val="0"/>
                <w:numId w:val="22"/>
              </w:numPr>
              <w:spacing w:before="60"/>
              <w:ind w:left="527" w:hanging="357"/>
            </w:pPr>
            <w:r w:rsidRPr="00660F18">
              <w:rPr>
                <w:bCs/>
              </w:rPr>
              <w:t>AGR/Entreprise</w:t>
            </w:r>
          </w:p>
          <w:p w:rsidR="00D26858" w:rsidRDefault="00D26858" w:rsidP="00D26858">
            <w:pPr>
              <w:spacing w:before="60"/>
              <w:rPr>
                <w:bCs/>
              </w:rPr>
            </w:pPr>
          </w:p>
          <w:p w:rsidR="00D26858" w:rsidRDefault="00D26858" w:rsidP="00D26858">
            <w:pPr>
              <w:spacing w:before="60"/>
              <w:rPr>
                <w:bCs/>
              </w:rPr>
            </w:pPr>
          </w:p>
          <w:p w:rsidR="00D26858" w:rsidRDefault="00D26858" w:rsidP="00D26858">
            <w:pPr>
              <w:spacing w:before="60"/>
              <w:rPr>
                <w:bCs/>
              </w:rPr>
            </w:pPr>
          </w:p>
          <w:p w:rsidR="00D26858" w:rsidRDefault="00D26858" w:rsidP="00D26858">
            <w:pPr>
              <w:spacing w:before="60"/>
              <w:rPr>
                <w:bCs/>
              </w:rPr>
            </w:pPr>
          </w:p>
          <w:p w:rsidR="00D26858" w:rsidRDefault="00D26858" w:rsidP="00D26858">
            <w:pPr>
              <w:spacing w:before="60"/>
              <w:rPr>
                <w:bCs/>
              </w:rPr>
            </w:pPr>
          </w:p>
          <w:p w:rsidR="00D26858" w:rsidRDefault="00D26858" w:rsidP="00D26858">
            <w:pPr>
              <w:spacing w:before="60"/>
              <w:rPr>
                <w:bCs/>
              </w:rPr>
            </w:pPr>
          </w:p>
          <w:p w:rsidR="00D26858" w:rsidRPr="00D26858" w:rsidRDefault="00D26858" w:rsidP="00D26858">
            <w:pPr>
              <w:pStyle w:val="Paragraphedeliste"/>
              <w:numPr>
                <w:ilvl w:val="0"/>
                <w:numId w:val="22"/>
              </w:numPr>
              <w:spacing w:before="60"/>
            </w:pPr>
            <w:r w:rsidRPr="00D26858">
              <w:rPr>
                <w:spacing w:val="-3"/>
              </w:rPr>
              <w:t>Nombre annuel de rupture de stocks d’intrants  par catégorie sur le marché</w:t>
            </w:r>
          </w:p>
          <w:p w:rsidR="00D26858" w:rsidRDefault="00D26858" w:rsidP="00D26858">
            <w:pPr>
              <w:spacing w:before="60"/>
            </w:pPr>
          </w:p>
          <w:p w:rsidR="00D26858" w:rsidRDefault="00D26858" w:rsidP="00D26858">
            <w:pPr>
              <w:spacing w:before="60"/>
            </w:pPr>
          </w:p>
          <w:p w:rsidR="00D26858" w:rsidRDefault="00D26858" w:rsidP="00D26858">
            <w:pPr>
              <w:spacing w:before="60"/>
            </w:pPr>
          </w:p>
          <w:p w:rsidR="00D26858" w:rsidRDefault="00D26858" w:rsidP="00D26858">
            <w:pPr>
              <w:spacing w:before="60"/>
            </w:pPr>
          </w:p>
          <w:p w:rsidR="00D26858" w:rsidRPr="00660F18" w:rsidRDefault="00D26858" w:rsidP="00D26858">
            <w:pPr>
              <w:numPr>
                <w:ilvl w:val="0"/>
                <w:numId w:val="22"/>
              </w:numPr>
              <w:spacing w:before="60"/>
              <w:ind w:left="527" w:hanging="357"/>
              <w:rPr>
                <w:bCs/>
              </w:rPr>
            </w:pPr>
            <w:r w:rsidRPr="00660F18">
              <w:rPr>
                <w:bCs/>
              </w:rPr>
              <w:t>Taux d’accroissement de la production avicole</w:t>
            </w:r>
          </w:p>
          <w:p w:rsidR="00D26858" w:rsidRPr="00660F18" w:rsidRDefault="00D26858" w:rsidP="00D26858">
            <w:pPr>
              <w:spacing w:before="60"/>
            </w:pPr>
          </w:p>
        </w:tc>
        <w:tc>
          <w:tcPr>
            <w:tcW w:w="6662" w:type="dxa"/>
            <w:gridSpan w:val="2"/>
          </w:tcPr>
          <w:p w:rsidR="001560CF" w:rsidRPr="00C920F9" w:rsidRDefault="001560CF" w:rsidP="00173E88">
            <w:pPr>
              <w:rPr>
                <w:b/>
                <w:color w:val="000000"/>
              </w:rPr>
            </w:pPr>
            <w:r w:rsidRPr="00C920F9">
              <w:rPr>
                <w:b/>
                <w:color w:val="000000"/>
                <w:u w:val="single"/>
              </w:rPr>
              <w:lastRenderedPageBreak/>
              <w:t xml:space="preserve">Résultat attendu </w:t>
            </w:r>
            <w:r w:rsidR="00D46288">
              <w:rPr>
                <w:b/>
                <w:color w:val="000000"/>
                <w:u w:val="single"/>
              </w:rPr>
              <w:t>3</w:t>
            </w:r>
            <w:r w:rsidRPr="00C920F9">
              <w:rPr>
                <w:b/>
                <w:color w:val="000000"/>
              </w:rPr>
              <w:t> :</w:t>
            </w:r>
          </w:p>
          <w:p w:rsidR="001560CF" w:rsidRPr="00C920F9" w:rsidRDefault="001560CF" w:rsidP="00173E88">
            <w:pPr>
              <w:rPr>
                <w:i/>
                <w:color w:val="000000"/>
              </w:rPr>
            </w:pPr>
            <w:r w:rsidRPr="00C920F9">
              <w:rPr>
                <w:b/>
                <w:i/>
              </w:rPr>
              <w:t xml:space="preserve">Les intrants pour  la production avicole sont disponibles et </w:t>
            </w:r>
            <w:r w:rsidRPr="00C920F9">
              <w:rPr>
                <w:b/>
                <w:i/>
              </w:rPr>
              <w:lastRenderedPageBreak/>
              <w:t>accessibles</w:t>
            </w:r>
          </w:p>
          <w:p w:rsidR="001560CF" w:rsidRPr="00C920F9" w:rsidRDefault="001560CF" w:rsidP="006F160F">
            <w:pPr>
              <w:rPr>
                <w:b/>
                <w:color w:val="000000"/>
                <w:u w:val="single"/>
              </w:rPr>
            </w:pPr>
          </w:p>
          <w:p w:rsidR="001560CF" w:rsidRPr="00C920F9" w:rsidRDefault="001560CF" w:rsidP="006F160F">
            <w:pPr>
              <w:rPr>
                <w:b/>
                <w:color w:val="000000"/>
              </w:rPr>
            </w:pPr>
            <w:r w:rsidRPr="00C920F9">
              <w:rPr>
                <w:b/>
                <w:color w:val="000000"/>
                <w:u w:val="single"/>
              </w:rPr>
              <w:t>Réalisations accomplies</w:t>
            </w:r>
            <w:r w:rsidRPr="00C920F9">
              <w:rPr>
                <w:b/>
                <w:color w:val="000000"/>
              </w:rPr>
              <w:t> :</w:t>
            </w:r>
          </w:p>
          <w:p w:rsidR="001560CF" w:rsidRPr="00C920F9" w:rsidRDefault="001560CF" w:rsidP="00586741">
            <w:pPr>
              <w:numPr>
                <w:ilvl w:val="0"/>
                <w:numId w:val="17"/>
              </w:numPr>
              <w:jc w:val="both"/>
            </w:pPr>
            <w:r w:rsidRPr="00C920F9">
              <w:t>Identification des promoteurs pour la filière avicole</w:t>
            </w:r>
          </w:p>
          <w:p w:rsidR="001560CF" w:rsidRPr="00C920F9" w:rsidRDefault="001560CF" w:rsidP="00586741">
            <w:pPr>
              <w:numPr>
                <w:ilvl w:val="0"/>
                <w:numId w:val="17"/>
              </w:numPr>
              <w:jc w:val="both"/>
            </w:pPr>
            <w:r w:rsidRPr="00C920F9">
              <w:t>Recrutement de l’ONG pour le suivi des aviculteurs</w:t>
            </w:r>
          </w:p>
          <w:p w:rsidR="001560CF" w:rsidRPr="00C920F9" w:rsidRDefault="001560CF" w:rsidP="00586741">
            <w:pPr>
              <w:numPr>
                <w:ilvl w:val="0"/>
                <w:numId w:val="17"/>
              </w:numPr>
              <w:jc w:val="both"/>
            </w:pPr>
            <w:r w:rsidRPr="00C920F9">
              <w:t>TDR publiés pour l’approvisionnement des poussins, provende et les intrants avicoles</w:t>
            </w:r>
          </w:p>
          <w:p w:rsidR="001560CF" w:rsidRPr="00C920F9" w:rsidRDefault="001560CF" w:rsidP="00586741">
            <w:pPr>
              <w:jc w:val="both"/>
            </w:pPr>
          </w:p>
          <w:p w:rsidR="001560CF" w:rsidRPr="00C920F9" w:rsidRDefault="001560CF" w:rsidP="00586741">
            <w:pPr>
              <w:rPr>
                <w:b/>
                <w:color w:val="000000"/>
              </w:rPr>
            </w:pPr>
            <w:r w:rsidRPr="00C920F9">
              <w:rPr>
                <w:b/>
                <w:color w:val="000000"/>
                <w:u w:val="single"/>
              </w:rPr>
              <w:t xml:space="preserve">Résultat attendu </w:t>
            </w:r>
            <w:r w:rsidR="00D46288">
              <w:rPr>
                <w:b/>
                <w:color w:val="000000"/>
                <w:u w:val="single"/>
              </w:rPr>
              <w:t>5</w:t>
            </w:r>
            <w:r w:rsidRPr="00C920F9">
              <w:rPr>
                <w:b/>
                <w:color w:val="000000"/>
              </w:rPr>
              <w:t> :</w:t>
            </w:r>
          </w:p>
          <w:p w:rsidR="001560CF" w:rsidRPr="00C920F9" w:rsidRDefault="001560CF" w:rsidP="00586741">
            <w:pPr>
              <w:rPr>
                <w:b/>
                <w:color w:val="000000"/>
              </w:rPr>
            </w:pPr>
            <w:r w:rsidRPr="00C920F9">
              <w:rPr>
                <w:b/>
                <w:bCs/>
                <w:i/>
                <w:iCs/>
                <w:lang w:eastAsia="fr-FR"/>
              </w:rPr>
              <w:t>Les principaux produits agricoles pertinents sont bien conservés et/ou transformés localement</w:t>
            </w:r>
          </w:p>
          <w:p w:rsidR="001560CF" w:rsidRPr="00C920F9" w:rsidRDefault="001560CF" w:rsidP="00450351">
            <w:pPr>
              <w:pStyle w:val="Paragraphedeliste"/>
              <w:rPr>
                <w:b/>
                <w:color w:val="000000"/>
                <w:u w:val="single"/>
              </w:rPr>
            </w:pPr>
          </w:p>
          <w:p w:rsidR="001560CF" w:rsidRPr="00C920F9" w:rsidRDefault="001560CF" w:rsidP="00586741">
            <w:pPr>
              <w:rPr>
                <w:b/>
                <w:color w:val="000000"/>
              </w:rPr>
            </w:pPr>
            <w:r w:rsidRPr="00C920F9">
              <w:rPr>
                <w:b/>
                <w:color w:val="000000"/>
                <w:u w:val="single"/>
              </w:rPr>
              <w:t>Réalisations accomplies</w:t>
            </w:r>
            <w:r w:rsidRPr="00C920F9">
              <w:rPr>
                <w:b/>
                <w:color w:val="000000"/>
              </w:rPr>
              <w:t> :</w:t>
            </w:r>
          </w:p>
          <w:p w:rsidR="001560CF" w:rsidRPr="00C920F9" w:rsidRDefault="001560CF" w:rsidP="00450351">
            <w:pPr>
              <w:pStyle w:val="Paragraphedeliste"/>
              <w:numPr>
                <w:ilvl w:val="0"/>
                <w:numId w:val="19"/>
              </w:numPr>
              <w:jc w:val="both"/>
            </w:pPr>
            <w:r w:rsidRPr="00C920F9">
              <w:t>Achat du matériel pour la commercialisation (</w:t>
            </w:r>
            <w:proofErr w:type="spellStart"/>
            <w:r w:rsidRPr="00C920F9">
              <w:t>pick</w:t>
            </w:r>
            <w:proofErr w:type="spellEnd"/>
            <w:r w:rsidRPr="00C920F9">
              <w:t xml:space="preserve"> up simple cabine, bateau) en cours</w:t>
            </w:r>
          </w:p>
          <w:p w:rsidR="001560CF" w:rsidRPr="00C920F9" w:rsidRDefault="001560CF" w:rsidP="00450351">
            <w:pPr>
              <w:pStyle w:val="Paragraphedeliste"/>
              <w:numPr>
                <w:ilvl w:val="0"/>
                <w:numId w:val="19"/>
              </w:numPr>
              <w:spacing w:after="200" w:line="360" w:lineRule="auto"/>
              <w:jc w:val="both"/>
            </w:pPr>
            <w:r w:rsidRPr="00C920F9">
              <w:t>Recrutement  et installation de l’équipe technique</w:t>
            </w:r>
            <w:r w:rsidR="00D26858">
              <w:t xml:space="preserve"> </w:t>
            </w:r>
            <w:r w:rsidRPr="00C920F9">
              <w:t>(Chargé de la composante pour le projet chaine de valeur)</w:t>
            </w:r>
          </w:p>
          <w:p w:rsidR="00D26858" w:rsidRDefault="001560CF" w:rsidP="00450351">
            <w:pPr>
              <w:pStyle w:val="Paragraphedeliste"/>
              <w:numPr>
                <w:ilvl w:val="0"/>
                <w:numId w:val="19"/>
              </w:numPr>
              <w:spacing w:after="200" w:line="360" w:lineRule="auto"/>
              <w:jc w:val="both"/>
            </w:pPr>
            <w:r w:rsidRPr="00C920F9">
              <w:t>L’identification de deux unités de tra</w:t>
            </w:r>
            <w:r w:rsidR="00D26858">
              <w:t>nsformations et de conservation</w:t>
            </w:r>
          </w:p>
          <w:p w:rsidR="001560CF" w:rsidRPr="00C920F9" w:rsidRDefault="001560CF" w:rsidP="00D26858">
            <w:pPr>
              <w:pStyle w:val="Paragraphedeliste"/>
              <w:spacing w:after="200" w:line="360" w:lineRule="auto"/>
              <w:jc w:val="both"/>
            </w:pPr>
            <w:proofErr w:type="gramStart"/>
            <w:r w:rsidRPr="00C920F9">
              <w:t>( Fomboni</w:t>
            </w:r>
            <w:proofErr w:type="gramEnd"/>
            <w:r w:rsidRPr="00C920F9">
              <w:t xml:space="preserve"> et </w:t>
            </w:r>
            <w:proofErr w:type="spellStart"/>
            <w:r w:rsidRPr="00C920F9">
              <w:t>Miringoni</w:t>
            </w:r>
            <w:proofErr w:type="spellEnd"/>
            <w:r w:rsidRPr="00C920F9">
              <w:t>),</w:t>
            </w:r>
          </w:p>
          <w:p w:rsidR="001560CF" w:rsidRPr="00C920F9" w:rsidRDefault="001560CF" w:rsidP="00450351">
            <w:pPr>
              <w:pStyle w:val="Paragraphedeliste"/>
              <w:numPr>
                <w:ilvl w:val="0"/>
                <w:numId w:val="19"/>
              </w:numPr>
              <w:spacing w:after="200" w:line="360" w:lineRule="auto"/>
              <w:jc w:val="both"/>
            </w:pPr>
            <w:r w:rsidRPr="00C920F9">
              <w:t>La formation des techniciens en gestion des cultures horticoles,</w:t>
            </w:r>
          </w:p>
          <w:p w:rsidR="001560CF" w:rsidRPr="00C920F9" w:rsidRDefault="001560CF" w:rsidP="00450351">
            <w:pPr>
              <w:pStyle w:val="Paragraphedeliste"/>
              <w:numPr>
                <w:ilvl w:val="0"/>
                <w:numId w:val="19"/>
              </w:numPr>
              <w:spacing w:after="200" w:line="360" w:lineRule="auto"/>
              <w:jc w:val="both"/>
            </w:pPr>
            <w:r w:rsidRPr="00C920F9">
              <w:t>Identification et sensibilisation des bénéficiaires pour les formations en techniques de conservation et de transformation,</w:t>
            </w:r>
          </w:p>
          <w:p w:rsidR="001560CF" w:rsidRPr="00C920F9" w:rsidRDefault="001560CF" w:rsidP="00450351">
            <w:pPr>
              <w:pStyle w:val="Paragraphedeliste"/>
              <w:numPr>
                <w:ilvl w:val="0"/>
                <w:numId w:val="19"/>
              </w:numPr>
              <w:spacing w:after="200" w:line="360" w:lineRule="auto"/>
              <w:jc w:val="both"/>
            </w:pPr>
            <w:r w:rsidRPr="00C920F9">
              <w:t>Une étude pour identification des  principaux produits à transformer à plus grande échelle,</w:t>
            </w:r>
          </w:p>
          <w:p w:rsidR="001560CF" w:rsidRPr="00C920F9" w:rsidRDefault="001560CF" w:rsidP="00450351">
            <w:pPr>
              <w:pStyle w:val="Paragraphedeliste"/>
              <w:numPr>
                <w:ilvl w:val="0"/>
                <w:numId w:val="19"/>
              </w:numPr>
              <w:spacing w:after="200" w:line="360" w:lineRule="auto"/>
              <w:jc w:val="both"/>
            </w:pPr>
            <w:r w:rsidRPr="00C920F9">
              <w:t>Identification d’un calendrier agricole  et les pics de production sur l’ensemble de l’ile,</w:t>
            </w:r>
          </w:p>
          <w:p w:rsidR="001560CF" w:rsidRPr="00526FD4" w:rsidRDefault="001560CF" w:rsidP="00526FD4">
            <w:pPr>
              <w:pStyle w:val="Paragraphedeliste"/>
              <w:numPr>
                <w:ilvl w:val="0"/>
                <w:numId w:val="19"/>
              </w:numPr>
              <w:jc w:val="both"/>
            </w:pPr>
            <w:r w:rsidRPr="00C920F9">
              <w:t>Identification des machines appropriés à acquérir pour la transformation et la conservation des produits retenus</w:t>
            </w:r>
            <w:r w:rsidRPr="00526FD4">
              <w:rPr>
                <w:color w:val="000000"/>
              </w:rPr>
              <w:t xml:space="preserve"> </w:t>
            </w:r>
          </w:p>
        </w:tc>
        <w:tc>
          <w:tcPr>
            <w:tcW w:w="3260" w:type="dxa"/>
            <w:vMerge/>
          </w:tcPr>
          <w:p w:rsidR="001560CF" w:rsidRPr="00C920F9" w:rsidRDefault="001560CF" w:rsidP="00362FEB"/>
        </w:tc>
      </w:tr>
      <w:tr w:rsidR="001560CF" w:rsidRPr="00C920F9" w:rsidTr="00D46288">
        <w:trPr>
          <w:trHeight w:val="5235"/>
        </w:trPr>
        <w:tc>
          <w:tcPr>
            <w:tcW w:w="10708" w:type="dxa"/>
            <w:gridSpan w:val="3"/>
          </w:tcPr>
          <w:p w:rsidR="001560CF" w:rsidRPr="00C920F9" w:rsidRDefault="001560CF" w:rsidP="00F55021">
            <w:pPr>
              <w:rPr>
                <w:color w:val="000000"/>
              </w:rPr>
            </w:pPr>
            <w:r w:rsidRPr="00C920F9">
              <w:rPr>
                <w:color w:val="000000"/>
              </w:rPr>
              <w:lastRenderedPageBreak/>
              <w:t>R</w:t>
            </w:r>
            <w:r w:rsidRPr="00C920F9">
              <w:rPr>
                <w:b/>
                <w:color w:val="000000"/>
              </w:rPr>
              <w:t>éalisations accomplies par rapport aux prévisions avec référence aux indicateurs des résultats stratégiques (effets sectoriels)</w:t>
            </w:r>
          </w:p>
          <w:p w:rsidR="001560CF" w:rsidRPr="00C920F9" w:rsidRDefault="001560CF" w:rsidP="00F55021">
            <w:pPr>
              <w:rPr>
                <w:color w:val="000000"/>
              </w:rPr>
            </w:pPr>
          </w:p>
          <w:p w:rsidR="001560CF" w:rsidRPr="00C920F9" w:rsidRDefault="001560CF" w:rsidP="004F72D2">
            <w:pPr>
              <w:autoSpaceDE w:val="0"/>
              <w:autoSpaceDN w:val="0"/>
              <w:adjustRightInd w:val="0"/>
              <w:rPr>
                <w:color w:val="000000"/>
              </w:rPr>
            </w:pPr>
            <w:r w:rsidRPr="00C920F9">
              <w:rPr>
                <w:i/>
                <w:color w:val="000000"/>
                <w:u w:val="single"/>
              </w:rPr>
              <w:t>Note </w:t>
            </w:r>
            <w:r w:rsidRPr="00C920F9">
              <w:rPr>
                <w:color w:val="000000"/>
              </w:rPr>
              <w:t xml:space="preserve">: </w:t>
            </w:r>
          </w:p>
          <w:p w:rsidR="001560CF" w:rsidRPr="00C920F9" w:rsidRDefault="001560CF" w:rsidP="004F72D2">
            <w:pPr>
              <w:autoSpaceDE w:val="0"/>
              <w:autoSpaceDN w:val="0"/>
              <w:adjustRightInd w:val="0"/>
              <w:rPr>
                <w:color w:val="000000"/>
              </w:rPr>
            </w:pPr>
          </w:p>
          <w:p w:rsidR="001560CF" w:rsidRDefault="001560CF" w:rsidP="004F72D2">
            <w:pPr>
              <w:autoSpaceDE w:val="0"/>
              <w:autoSpaceDN w:val="0"/>
              <w:adjustRightInd w:val="0"/>
              <w:rPr>
                <w:color w:val="000000"/>
              </w:rPr>
            </w:pPr>
            <w:r w:rsidRPr="00C920F9">
              <w:rPr>
                <w:color w:val="000000"/>
              </w:rPr>
              <w:t xml:space="preserve">- Expliquez brièvement (4 to 5 constats au maximum) dans quelle mesure la performance du projet de ‘livrer les produits attendus’ contribue aux résultats du PMP ? </w:t>
            </w:r>
          </w:p>
          <w:p w:rsidR="00391585" w:rsidRPr="00C920F9" w:rsidRDefault="00391585" w:rsidP="004F72D2">
            <w:pPr>
              <w:autoSpaceDE w:val="0"/>
              <w:autoSpaceDN w:val="0"/>
              <w:adjustRightInd w:val="0"/>
              <w:rPr>
                <w:color w:val="000000"/>
              </w:rPr>
            </w:pPr>
          </w:p>
          <w:p w:rsidR="001560CF" w:rsidRPr="00C920F9" w:rsidRDefault="001560CF" w:rsidP="004F72D2">
            <w:pPr>
              <w:autoSpaceDE w:val="0"/>
              <w:autoSpaceDN w:val="0"/>
              <w:adjustRightInd w:val="0"/>
              <w:rPr>
                <w:color w:val="000000"/>
              </w:rPr>
            </w:pPr>
            <w:r w:rsidRPr="00C920F9">
              <w:rPr>
                <w:color w:val="000000"/>
              </w:rPr>
              <w:t xml:space="preserve">- Qu’est ce qui a été prévu d’atteindre en fin 2011, et qu’est ce qui a été réalisé mi-parcours? </w:t>
            </w:r>
          </w:p>
          <w:p w:rsidR="001560CF" w:rsidRPr="00C920F9" w:rsidRDefault="001560CF" w:rsidP="004F72D2">
            <w:pPr>
              <w:autoSpaceDE w:val="0"/>
              <w:autoSpaceDN w:val="0"/>
              <w:adjustRightInd w:val="0"/>
              <w:rPr>
                <w:b/>
                <w:color w:val="000000"/>
              </w:rPr>
            </w:pPr>
            <w:r w:rsidRPr="00C920F9">
              <w:rPr>
                <w:b/>
                <w:color w:val="000000"/>
              </w:rPr>
              <w:t xml:space="preserve">Pendant l’année il est prévu de mettre en place les infrastructures d’irrigation dans les sites de production et de lancer les activités agricoles. Deux de trois sites identifiés sont branchés en eau et le troisième les travaux sont en cours. Dans les sites (FOMBONI ET MIRINGONI) la production a effectivement commencé par la mise en place d’unité de production. </w:t>
            </w:r>
          </w:p>
          <w:p w:rsidR="001560CF" w:rsidRPr="00C920F9" w:rsidRDefault="001560CF" w:rsidP="004F72D2">
            <w:pPr>
              <w:autoSpaceDE w:val="0"/>
              <w:autoSpaceDN w:val="0"/>
              <w:adjustRightInd w:val="0"/>
              <w:rPr>
                <w:b/>
                <w:color w:val="000000"/>
              </w:rPr>
            </w:pPr>
            <w:r w:rsidRPr="00C920F9">
              <w:rPr>
                <w:b/>
                <w:color w:val="000000"/>
              </w:rPr>
              <w:t xml:space="preserve"> </w:t>
            </w:r>
          </w:p>
          <w:p w:rsidR="001560CF" w:rsidRPr="00C920F9" w:rsidRDefault="001560CF" w:rsidP="004F72D2">
            <w:pPr>
              <w:autoSpaceDE w:val="0"/>
              <w:autoSpaceDN w:val="0"/>
              <w:adjustRightInd w:val="0"/>
              <w:rPr>
                <w:color w:val="000000"/>
              </w:rPr>
            </w:pPr>
            <w:r w:rsidRPr="00C920F9">
              <w:rPr>
                <w:color w:val="000000"/>
              </w:rPr>
              <w:t xml:space="preserve">- Donnez des bonnes et des mauvais exemples de vos pratiques des projets? </w:t>
            </w:r>
          </w:p>
          <w:p w:rsidR="001560CF" w:rsidRPr="00C920F9" w:rsidRDefault="001560CF" w:rsidP="004F72D2">
            <w:pPr>
              <w:autoSpaceDE w:val="0"/>
              <w:autoSpaceDN w:val="0"/>
              <w:adjustRightInd w:val="0"/>
              <w:rPr>
                <w:b/>
                <w:color w:val="000000"/>
              </w:rPr>
            </w:pPr>
            <w:r w:rsidRPr="00C920F9">
              <w:rPr>
                <w:b/>
                <w:color w:val="000000"/>
              </w:rPr>
              <w:t>Bon exemple : le recrutement et l’implication des ONG intermédiaires et les bénéficiaires dans certains travaux (comme les travaux de branchement en eau) et  dans l’exécution du projet</w:t>
            </w:r>
          </w:p>
          <w:p w:rsidR="001560CF" w:rsidRPr="00C920F9" w:rsidRDefault="001560CF" w:rsidP="004F72D2">
            <w:pPr>
              <w:autoSpaceDE w:val="0"/>
              <w:autoSpaceDN w:val="0"/>
              <w:adjustRightInd w:val="0"/>
              <w:rPr>
                <w:b/>
                <w:color w:val="000000"/>
              </w:rPr>
            </w:pPr>
          </w:p>
          <w:p w:rsidR="001560CF" w:rsidRPr="00C920F9" w:rsidRDefault="001560CF" w:rsidP="004F72D2">
            <w:pPr>
              <w:autoSpaceDE w:val="0"/>
              <w:autoSpaceDN w:val="0"/>
              <w:adjustRightInd w:val="0"/>
              <w:rPr>
                <w:color w:val="000000"/>
              </w:rPr>
            </w:pPr>
            <w:r w:rsidRPr="00C920F9">
              <w:rPr>
                <w:color w:val="000000"/>
              </w:rPr>
              <w:t xml:space="preserve">- Comment vous allez améliorer la performance des projets d’atteindre les résultats escomptes?  </w:t>
            </w:r>
          </w:p>
          <w:p w:rsidR="001560CF" w:rsidRDefault="001560CF" w:rsidP="004F72D2">
            <w:pPr>
              <w:autoSpaceDE w:val="0"/>
              <w:autoSpaceDN w:val="0"/>
              <w:adjustRightInd w:val="0"/>
              <w:rPr>
                <w:color w:val="000000"/>
              </w:rPr>
            </w:pPr>
            <w:r w:rsidRPr="00C920F9">
              <w:rPr>
                <w:b/>
                <w:color w:val="000000"/>
              </w:rPr>
              <w:t>Renforcer les capacités des bénéficiaires en matière de développement agricole et améliorer les infrastructures d’irrigations en place pour l’intensification.</w:t>
            </w:r>
            <w:r w:rsidRPr="00C920F9">
              <w:rPr>
                <w:color w:val="000000"/>
              </w:rPr>
              <w:t xml:space="preserve">    </w:t>
            </w:r>
          </w:p>
          <w:p w:rsidR="001560CF" w:rsidRDefault="001560CF" w:rsidP="004F72D2">
            <w:pPr>
              <w:autoSpaceDE w:val="0"/>
              <w:autoSpaceDN w:val="0"/>
              <w:adjustRightInd w:val="0"/>
              <w:rPr>
                <w:color w:val="000000"/>
              </w:rPr>
            </w:pPr>
          </w:p>
          <w:p w:rsidR="001560CF" w:rsidRDefault="001560CF" w:rsidP="004F72D2">
            <w:pPr>
              <w:autoSpaceDE w:val="0"/>
              <w:autoSpaceDN w:val="0"/>
              <w:adjustRightInd w:val="0"/>
              <w:rPr>
                <w:color w:val="000000"/>
              </w:rPr>
            </w:pPr>
          </w:p>
          <w:p w:rsidR="001560CF" w:rsidRDefault="001560CF" w:rsidP="007920B6">
            <w:r>
              <w:t>Réponses aux questions</w:t>
            </w:r>
          </w:p>
          <w:p w:rsidR="001560CF" w:rsidRDefault="001560CF" w:rsidP="007920B6">
            <w:pPr>
              <w:pStyle w:val="Paragraphedeliste"/>
              <w:numPr>
                <w:ilvl w:val="0"/>
                <w:numId w:val="21"/>
              </w:numPr>
              <w:spacing w:after="200" w:line="276" w:lineRule="auto"/>
              <w:jc w:val="both"/>
            </w:pPr>
            <w:r>
              <w:t>Le projet CVM  va pouvoir permettre  une insertion sociale des jeunes et femmes de l’ile de Mohéli à travers la création de l’emploi</w:t>
            </w:r>
            <w:r w:rsidR="00B52AD0">
              <w:t xml:space="preserve"> des jeunes et femmes</w:t>
            </w:r>
            <w:r>
              <w:t>, la promotion de la femme dans le développement économique de l’Ile et la cohabitation des différentes communautés vivant dans l’ile.</w:t>
            </w:r>
          </w:p>
          <w:p w:rsidR="001560CF" w:rsidRDefault="001560CF" w:rsidP="007920B6">
            <w:pPr>
              <w:pStyle w:val="Paragraphedeliste"/>
              <w:numPr>
                <w:ilvl w:val="0"/>
                <w:numId w:val="21"/>
              </w:numPr>
              <w:spacing w:after="200" w:line="276" w:lineRule="auto"/>
              <w:jc w:val="both"/>
            </w:pPr>
            <w:r>
              <w:t xml:space="preserve"> En 2011 il est prévu (ii)  de lancer les activités maraichères dans les trois sites de production identifiés (ii) de démarrer les activités avicoles avec les 10 promoteurs sélectionnés et de (iii) commencer les opérations de  conservation, transformation et de commercialisation des produits agricoles. De nos jours deux des trois sites choisis sont opérationnels le troisième étant aménagé,  découpé en petites parcelles et en chantier pour les travaux d’irrigation. Pour les aviculteurs, les séances de formation ont commencé avec l’ONG ACTIV et l’achat de  l’outillage avicole en cours. Quant aux aspects de commercialisation des études du marché  sont réalisées par les experts internationaux ONUDI et le chargé de la composante ONUDI, l’achat du bateau pour faciliter l’écoulement en cours et  deux unités de transformation en cours de réhabilitation. </w:t>
            </w:r>
          </w:p>
          <w:p w:rsidR="001560CF" w:rsidRDefault="001560CF" w:rsidP="007920B6">
            <w:pPr>
              <w:pStyle w:val="Paragraphedeliste"/>
              <w:numPr>
                <w:ilvl w:val="0"/>
                <w:numId w:val="21"/>
              </w:numPr>
              <w:spacing w:after="200" w:line="276" w:lineRule="auto"/>
              <w:jc w:val="both"/>
            </w:pPr>
            <w:r>
              <w:lastRenderedPageBreak/>
              <w:t xml:space="preserve"> Le projet CVM est un projet initialement conçu  pour deux ans. Compte tenu des difficultés liées au  démarrage  certaines  activités programmées accusent des légers retards. Néanmoins, les expériences développées sur le terrain et l’implication des </w:t>
            </w:r>
            <w:proofErr w:type="spellStart"/>
            <w:r>
              <w:t>ONGs</w:t>
            </w:r>
            <w:proofErr w:type="spellEnd"/>
            <w:r>
              <w:t xml:space="preserve"> partenaires et des bénéficiaires vont permettre d’obtenir les résultats escomptés.</w:t>
            </w:r>
          </w:p>
          <w:p w:rsidR="001560CF" w:rsidRPr="007857F7" w:rsidRDefault="001560CF" w:rsidP="008B06F4">
            <w:pPr>
              <w:pStyle w:val="Paragraphedeliste"/>
              <w:numPr>
                <w:ilvl w:val="0"/>
                <w:numId w:val="21"/>
              </w:numPr>
              <w:spacing w:after="200" w:line="276" w:lineRule="auto"/>
              <w:jc w:val="both"/>
            </w:pPr>
            <w:r>
              <w:t xml:space="preserve">Dans un avenir proche nous comptons intensifier les campagnes de sensibilisation des bénéficiaires dans le troisième site à </w:t>
            </w:r>
            <w:proofErr w:type="spellStart"/>
            <w:r>
              <w:t>Wallah</w:t>
            </w:r>
            <w:proofErr w:type="spellEnd"/>
            <w:r>
              <w:t xml:space="preserve"> pour faciliter le repiquage des cultures. Pour ce qui est des aviculteurs nous attendons la réception des intrants avicoles et de la provende pour lancer la commande des poussins d’un jour et démarrer les activités proprement dites </w:t>
            </w:r>
            <w:proofErr w:type="gramStart"/>
            <w:r>
              <w:t>la</w:t>
            </w:r>
            <w:proofErr w:type="gramEnd"/>
            <w:r>
              <w:t xml:space="preserve"> mois prochain. Et pour les aspects conservation, transformation et commercialisation l’ONUDI va commencer les formations de transformation et de commercialisation mi-aout. Pour la commercialisation ONUDI compte soumettre rapidement un modèle de stratégie de commercialisation adaptée aux Comores.</w:t>
            </w:r>
          </w:p>
        </w:tc>
        <w:tc>
          <w:tcPr>
            <w:tcW w:w="3260" w:type="dxa"/>
            <w:vMerge/>
          </w:tcPr>
          <w:p w:rsidR="001560CF" w:rsidRPr="00C920F9" w:rsidRDefault="001560CF" w:rsidP="00362FEB"/>
        </w:tc>
      </w:tr>
    </w:tbl>
    <w:p w:rsidR="00CD3814" w:rsidRPr="00C920F9" w:rsidRDefault="00CD3814"/>
    <w:sectPr w:rsidR="00CD3814" w:rsidRPr="00C920F9" w:rsidSect="008E43F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241" w:rsidRDefault="004C1241">
      <w:r>
        <w:separator/>
      </w:r>
    </w:p>
  </w:endnote>
  <w:endnote w:type="continuationSeparator" w:id="0">
    <w:p w:rsidR="004C1241" w:rsidRDefault="004C124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A67" w:rsidRDefault="00D153A0" w:rsidP="00B4416B">
    <w:pPr>
      <w:pStyle w:val="Pieddepage"/>
      <w:framePr w:wrap="around" w:vAnchor="text" w:hAnchor="margin" w:xAlign="center" w:y="1"/>
      <w:rPr>
        <w:rStyle w:val="Numrodepage"/>
      </w:rPr>
    </w:pPr>
    <w:r>
      <w:rPr>
        <w:rStyle w:val="Numrodepage"/>
      </w:rPr>
      <w:fldChar w:fldCharType="begin"/>
    </w:r>
    <w:r w:rsidR="009A5A67">
      <w:rPr>
        <w:rStyle w:val="Numrodepage"/>
      </w:rPr>
      <w:instrText xml:space="preserve">PAGE  </w:instrText>
    </w:r>
    <w:r>
      <w:rPr>
        <w:rStyle w:val="Numrodepage"/>
      </w:rPr>
      <w:fldChar w:fldCharType="end"/>
    </w:r>
  </w:p>
  <w:p w:rsidR="009A5A67" w:rsidRDefault="009A5A6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A67" w:rsidRDefault="00D153A0" w:rsidP="00B4416B">
    <w:pPr>
      <w:pStyle w:val="Pieddepage"/>
      <w:framePr w:wrap="around" w:vAnchor="text" w:hAnchor="margin" w:xAlign="center" w:y="1"/>
      <w:rPr>
        <w:rStyle w:val="Numrodepage"/>
      </w:rPr>
    </w:pPr>
    <w:r>
      <w:rPr>
        <w:rStyle w:val="Numrodepage"/>
      </w:rPr>
      <w:fldChar w:fldCharType="begin"/>
    </w:r>
    <w:r w:rsidR="009A5A67">
      <w:rPr>
        <w:rStyle w:val="Numrodepage"/>
      </w:rPr>
      <w:instrText xml:space="preserve">PAGE  </w:instrText>
    </w:r>
    <w:r>
      <w:rPr>
        <w:rStyle w:val="Numrodepage"/>
      </w:rPr>
      <w:fldChar w:fldCharType="separate"/>
    </w:r>
    <w:r w:rsidR="00D46288">
      <w:rPr>
        <w:rStyle w:val="Numrodepage"/>
        <w:noProof/>
      </w:rPr>
      <w:t>4</w:t>
    </w:r>
    <w:r>
      <w:rPr>
        <w:rStyle w:val="Numrodepage"/>
      </w:rPr>
      <w:fldChar w:fldCharType="end"/>
    </w:r>
  </w:p>
  <w:p w:rsidR="009A5A67" w:rsidRDefault="009A5A6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241" w:rsidRDefault="004C1241">
      <w:r>
        <w:separator/>
      </w:r>
    </w:p>
  </w:footnote>
  <w:footnote w:type="continuationSeparator" w:id="0">
    <w:p w:rsidR="004C1241" w:rsidRDefault="004C1241">
      <w:r>
        <w:continuationSeparator/>
      </w:r>
    </w:p>
  </w:footnote>
  <w:footnote w:id="1">
    <w:p w:rsidR="00391585" w:rsidRDefault="00391585" w:rsidP="00FF7239">
      <w:pPr>
        <w:jc w:val="both"/>
        <w:outlineLvl w:val="0"/>
        <w:rPr>
          <w:rFonts w:ascii="Arial" w:hAnsi="Arial" w:cs="Arial"/>
          <w:sz w:val="20"/>
          <w:szCs w:val="20"/>
        </w:rPr>
      </w:pPr>
      <w:r>
        <w:rPr>
          <w:rStyle w:val="Appelnotedebasdep"/>
          <w:sz w:val="20"/>
          <w:szCs w:val="20"/>
        </w:rPr>
        <w:footnoteRef/>
      </w:r>
      <w:r>
        <w:rPr>
          <w:sz w:val="20"/>
          <w:szCs w:val="20"/>
        </w:rPr>
        <w:t xml:space="preserve"> Fonds engagés  sont définis comme des contrats légaux pour des services, des travaux tels que régis par les procédures et régulations financières des agences </w:t>
      </w:r>
    </w:p>
    <w:p w:rsidR="00391585" w:rsidRDefault="00391585" w:rsidP="00FF7239">
      <w:pPr>
        <w:jc w:val="both"/>
        <w:outlineLvl w:val="0"/>
        <w:rPr>
          <w:sz w:val="20"/>
          <w:szCs w:val="20"/>
        </w:rPr>
      </w:pPr>
      <w:r>
        <w:rPr>
          <w:rStyle w:val="Appelnotedebasdep"/>
          <w:sz w:val="20"/>
          <w:szCs w:val="20"/>
        </w:rPr>
        <w:t>2</w:t>
      </w:r>
      <w:r>
        <w:rPr>
          <w:sz w:val="20"/>
          <w:szCs w:val="20"/>
        </w:rPr>
        <w:t xml:space="preserve"> Paiement (services, travaux) sur les engagements. </w:t>
      </w:r>
    </w:p>
    <w:p w:rsidR="00391585" w:rsidRDefault="00391585" w:rsidP="00FF7239">
      <w:pPr>
        <w:pStyle w:val="Notedebasdepage"/>
        <w:rPr>
          <w:lang w:val="fr-FR"/>
        </w:rPr>
      </w:pPr>
    </w:p>
    <w:p w:rsidR="00391585" w:rsidRPr="004A55DB" w:rsidRDefault="00391585" w:rsidP="00C025B5">
      <w:pPr>
        <w:jc w:val="both"/>
        <w:outlineLvl w:val="0"/>
        <w:rPr>
          <w:rFonts w:ascii="Arial" w:hAnsi="Arial" w:cs="Arial"/>
          <w:sz w:val="20"/>
          <w:szCs w:val="20"/>
        </w:rPr>
      </w:pPr>
    </w:p>
  </w:footnote>
  <w:footnote w:id="2">
    <w:p w:rsidR="00391585" w:rsidRPr="00F51E4D" w:rsidRDefault="00391585" w:rsidP="00F51E4D">
      <w:pPr>
        <w:jc w:val="both"/>
        <w:outlineLvl w:val="0"/>
        <w:rPr>
          <w:sz w:val="20"/>
          <w:szCs w:val="20"/>
        </w:rPr>
      </w:pPr>
    </w:p>
    <w:p w:rsidR="00391585" w:rsidRPr="00FF7239" w:rsidRDefault="00391585" w:rsidP="00CD3814">
      <w:pPr>
        <w:pStyle w:val="Notedebasdepage"/>
        <w:rPr>
          <w:lang w:val="fr-F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618"/>
    <w:multiLevelType w:val="hybridMultilevel"/>
    <w:tmpl w:val="AEBE4E2E"/>
    <w:lvl w:ilvl="0" w:tplc="E21E1FC8">
      <w:start w:val="60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45A4D"/>
    <w:multiLevelType w:val="hybridMultilevel"/>
    <w:tmpl w:val="180CFC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5834A1"/>
    <w:multiLevelType w:val="hybridMultilevel"/>
    <w:tmpl w:val="A69E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27208"/>
    <w:multiLevelType w:val="hybridMultilevel"/>
    <w:tmpl w:val="38F0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567CD5"/>
    <w:multiLevelType w:val="hybridMultilevel"/>
    <w:tmpl w:val="7698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C91090"/>
    <w:multiLevelType w:val="hybridMultilevel"/>
    <w:tmpl w:val="1D6C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74350D"/>
    <w:multiLevelType w:val="hybridMultilevel"/>
    <w:tmpl w:val="C5B2BCCE"/>
    <w:lvl w:ilvl="0" w:tplc="04090001">
      <w:start w:val="1"/>
      <w:numFmt w:val="bullet"/>
      <w:lvlText w:val=""/>
      <w:lvlJc w:val="left"/>
      <w:pPr>
        <w:ind w:left="530" w:hanging="360"/>
      </w:pPr>
      <w:rPr>
        <w:rFonts w:ascii="Symbol" w:hAnsi="Symbol"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7">
    <w:nsid w:val="425F0B9B"/>
    <w:multiLevelType w:val="hybridMultilevel"/>
    <w:tmpl w:val="EDACA5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660190F"/>
    <w:multiLevelType w:val="hybridMultilevel"/>
    <w:tmpl w:val="30D6D46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EA43AEC"/>
    <w:multiLevelType w:val="hybridMultilevel"/>
    <w:tmpl w:val="3B7C5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1AC0589"/>
    <w:multiLevelType w:val="hybridMultilevel"/>
    <w:tmpl w:val="320E99C6"/>
    <w:lvl w:ilvl="0" w:tplc="E21E1FC8">
      <w:start w:val="60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CC2A33"/>
    <w:multiLevelType w:val="hybridMultilevel"/>
    <w:tmpl w:val="44B0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D0A42"/>
    <w:multiLevelType w:val="hybridMultilevel"/>
    <w:tmpl w:val="55424A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655248"/>
    <w:multiLevelType w:val="hybridMultilevel"/>
    <w:tmpl w:val="F7201BFA"/>
    <w:lvl w:ilvl="0" w:tplc="84E610F8">
      <w:start w:val="6"/>
      <w:numFmt w:val="bullet"/>
      <w:lvlText w:val="-"/>
      <w:lvlJc w:val="left"/>
      <w:pPr>
        <w:ind w:left="360" w:hanging="360"/>
      </w:pPr>
      <w:rPr>
        <w:rFonts w:ascii="Arial" w:eastAsia="Times New Roman" w:hAnsi="Arial" w:cs="Arial"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63160965"/>
    <w:multiLevelType w:val="hybridMultilevel"/>
    <w:tmpl w:val="055AB0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74A6231"/>
    <w:multiLevelType w:val="hybridMultilevel"/>
    <w:tmpl w:val="9E9657E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FF06A7"/>
    <w:multiLevelType w:val="hybridMultilevel"/>
    <w:tmpl w:val="65C4B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0372ABD"/>
    <w:multiLevelType w:val="hybridMultilevel"/>
    <w:tmpl w:val="10D40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64B6140"/>
    <w:multiLevelType w:val="hybridMultilevel"/>
    <w:tmpl w:val="C35E698E"/>
    <w:lvl w:ilvl="0" w:tplc="EACE752E">
      <w:start w:val="60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FC0B19"/>
    <w:multiLevelType w:val="hybridMultilevel"/>
    <w:tmpl w:val="15F4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98714C"/>
    <w:multiLevelType w:val="hybridMultilevel"/>
    <w:tmpl w:val="A31E3738"/>
    <w:lvl w:ilvl="0" w:tplc="B37ABCF8">
      <w:start w:val="12"/>
      <w:numFmt w:val="bullet"/>
      <w:lvlText w:val="-"/>
      <w:lvlJc w:val="left"/>
      <w:pPr>
        <w:ind w:left="360" w:hanging="360"/>
      </w:pPr>
      <w:rPr>
        <w:rFonts w:ascii="Arial" w:eastAsia="Times New Roman" w:hAnsi="Arial" w:cs="Arial" w:hint="default"/>
        <w:color w:val="auto"/>
      </w:rPr>
    </w:lvl>
    <w:lvl w:ilvl="1" w:tplc="040C0003">
      <w:start w:val="1"/>
      <w:numFmt w:val="bullet"/>
      <w:lvlText w:val="o"/>
      <w:lvlJc w:val="left"/>
      <w:pPr>
        <w:ind w:left="1015" w:hanging="360"/>
      </w:pPr>
      <w:rPr>
        <w:rFonts w:ascii="Courier New" w:hAnsi="Courier New" w:cs="Courier New" w:hint="default"/>
      </w:rPr>
    </w:lvl>
    <w:lvl w:ilvl="2" w:tplc="040C0005" w:tentative="1">
      <w:start w:val="1"/>
      <w:numFmt w:val="bullet"/>
      <w:lvlText w:val=""/>
      <w:lvlJc w:val="left"/>
      <w:pPr>
        <w:ind w:left="1735" w:hanging="360"/>
      </w:pPr>
      <w:rPr>
        <w:rFonts w:ascii="Wingdings" w:hAnsi="Wingdings" w:hint="default"/>
      </w:rPr>
    </w:lvl>
    <w:lvl w:ilvl="3" w:tplc="040C0001" w:tentative="1">
      <w:start w:val="1"/>
      <w:numFmt w:val="bullet"/>
      <w:lvlText w:val=""/>
      <w:lvlJc w:val="left"/>
      <w:pPr>
        <w:ind w:left="2455" w:hanging="360"/>
      </w:pPr>
      <w:rPr>
        <w:rFonts w:ascii="Symbol" w:hAnsi="Symbol" w:hint="default"/>
      </w:rPr>
    </w:lvl>
    <w:lvl w:ilvl="4" w:tplc="040C0003" w:tentative="1">
      <w:start w:val="1"/>
      <w:numFmt w:val="bullet"/>
      <w:lvlText w:val="o"/>
      <w:lvlJc w:val="left"/>
      <w:pPr>
        <w:ind w:left="3175" w:hanging="360"/>
      </w:pPr>
      <w:rPr>
        <w:rFonts w:ascii="Courier New" w:hAnsi="Courier New" w:cs="Courier New" w:hint="default"/>
      </w:rPr>
    </w:lvl>
    <w:lvl w:ilvl="5" w:tplc="040C0005" w:tentative="1">
      <w:start w:val="1"/>
      <w:numFmt w:val="bullet"/>
      <w:lvlText w:val=""/>
      <w:lvlJc w:val="left"/>
      <w:pPr>
        <w:ind w:left="3895" w:hanging="360"/>
      </w:pPr>
      <w:rPr>
        <w:rFonts w:ascii="Wingdings" w:hAnsi="Wingdings" w:hint="default"/>
      </w:rPr>
    </w:lvl>
    <w:lvl w:ilvl="6" w:tplc="040C0001" w:tentative="1">
      <w:start w:val="1"/>
      <w:numFmt w:val="bullet"/>
      <w:lvlText w:val=""/>
      <w:lvlJc w:val="left"/>
      <w:pPr>
        <w:ind w:left="4615" w:hanging="360"/>
      </w:pPr>
      <w:rPr>
        <w:rFonts w:ascii="Symbol" w:hAnsi="Symbol" w:hint="default"/>
      </w:rPr>
    </w:lvl>
    <w:lvl w:ilvl="7" w:tplc="040C0003" w:tentative="1">
      <w:start w:val="1"/>
      <w:numFmt w:val="bullet"/>
      <w:lvlText w:val="o"/>
      <w:lvlJc w:val="left"/>
      <w:pPr>
        <w:ind w:left="5335" w:hanging="360"/>
      </w:pPr>
      <w:rPr>
        <w:rFonts w:ascii="Courier New" w:hAnsi="Courier New" w:cs="Courier New" w:hint="default"/>
      </w:rPr>
    </w:lvl>
    <w:lvl w:ilvl="8" w:tplc="040C0005" w:tentative="1">
      <w:start w:val="1"/>
      <w:numFmt w:val="bullet"/>
      <w:lvlText w:val=""/>
      <w:lvlJc w:val="left"/>
      <w:pPr>
        <w:ind w:left="6055" w:hanging="360"/>
      </w:pPr>
      <w:rPr>
        <w:rFonts w:ascii="Wingdings" w:hAnsi="Wingdings" w:hint="default"/>
      </w:rPr>
    </w:lvl>
  </w:abstractNum>
  <w:abstractNum w:abstractNumId="21">
    <w:nsid w:val="7DEF7E8E"/>
    <w:multiLevelType w:val="hybridMultilevel"/>
    <w:tmpl w:val="D0F872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DFC06F6"/>
    <w:multiLevelType w:val="hybridMultilevel"/>
    <w:tmpl w:val="878A5E32"/>
    <w:lvl w:ilvl="0" w:tplc="922AEB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21"/>
  </w:num>
  <w:num w:numId="3">
    <w:abstractNumId w:val="3"/>
  </w:num>
  <w:num w:numId="4">
    <w:abstractNumId w:val="19"/>
  </w:num>
  <w:num w:numId="5">
    <w:abstractNumId w:val="18"/>
  </w:num>
  <w:num w:numId="6">
    <w:abstractNumId w:val="0"/>
  </w:num>
  <w:num w:numId="7">
    <w:abstractNumId w:val="10"/>
  </w:num>
  <w:num w:numId="8">
    <w:abstractNumId w:val="15"/>
  </w:num>
  <w:num w:numId="9">
    <w:abstractNumId w:val="11"/>
  </w:num>
  <w:num w:numId="10">
    <w:abstractNumId w:val="12"/>
  </w:num>
  <w:num w:numId="11">
    <w:abstractNumId w:val="5"/>
  </w:num>
  <w:num w:numId="12">
    <w:abstractNumId w:val="4"/>
  </w:num>
  <w:num w:numId="13">
    <w:abstractNumId w:val="16"/>
  </w:num>
  <w:num w:numId="14">
    <w:abstractNumId w:val="20"/>
  </w:num>
  <w:num w:numId="15">
    <w:abstractNumId w:val="6"/>
  </w:num>
  <w:num w:numId="16">
    <w:abstractNumId w:val="17"/>
  </w:num>
  <w:num w:numId="17">
    <w:abstractNumId w:val="1"/>
  </w:num>
  <w:num w:numId="18">
    <w:abstractNumId w:val="7"/>
  </w:num>
  <w:num w:numId="19">
    <w:abstractNumId w:val="14"/>
  </w:num>
  <w:num w:numId="20">
    <w:abstractNumId w:val="8"/>
  </w:num>
  <w:num w:numId="21">
    <w:abstractNumId w:val="22"/>
  </w:num>
  <w:num w:numId="22">
    <w:abstractNumId w:val="13"/>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D3814"/>
    <w:rsid w:val="00016D35"/>
    <w:rsid w:val="00022CA2"/>
    <w:rsid w:val="000251DC"/>
    <w:rsid w:val="00026E40"/>
    <w:rsid w:val="00027A16"/>
    <w:rsid w:val="0005034B"/>
    <w:rsid w:val="000572D0"/>
    <w:rsid w:val="00060610"/>
    <w:rsid w:val="00063505"/>
    <w:rsid w:val="00073038"/>
    <w:rsid w:val="00091918"/>
    <w:rsid w:val="00094F67"/>
    <w:rsid w:val="0009752E"/>
    <w:rsid w:val="000B5B9A"/>
    <w:rsid w:val="000C0AEA"/>
    <w:rsid w:val="000C53B2"/>
    <w:rsid w:val="000D5813"/>
    <w:rsid w:val="000E414E"/>
    <w:rsid w:val="000F0AA0"/>
    <w:rsid w:val="000F3BE0"/>
    <w:rsid w:val="00100CDE"/>
    <w:rsid w:val="001066AD"/>
    <w:rsid w:val="001173A2"/>
    <w:rsid w:val="001203EA"/>
    <w:rsid w:val="00123C93"/>
    <w:rsid w:val="00124A94"/>
    <w:rsid w:val="00130644"/>
    <w:rsid w:val="001560CF"/>
    <w:rsid w:val="00157BDE"/>
    <w:rsid w:val="00160221"/>
    <w:rsid w:val="00173E88"/>
    <w:rsid w:val="00187138"/>
    <w:rsid w:val="00197312"/>
    <w:rsid w:val="001B002D"/>
    <w:rsid w:val="001B29FB"/>
    <w:rsid w:val="001B7666"/>
    <w:rsid w:val="001C4D51"/>
    <w:rsid w:val="001C6938"/>
    <w:rsid w:val="001D4FAF"/>
    <w:rsid w:val="00212BFA"/>
    <w:rsid w:val="00217A59"/>
    <w:rsid w:val="00226C2B"/>
    <w:rsid w:val="00240E01"/>
    <w:rsid w:val="002465F6"/>
    <w:rsid w:val="00251B14"/>
    <w:rsid w:val="00254771"/>
    <w:rsid w:val="00255AD4"/>
    <w:rsid w:val="00274D55"/>
    <w:rsid w:val="0028729B"/>
    <w:rsid w:val="002A6C67"/>
    <w:rsid w:val="002B03D4"/>
    <w:rsid w:val="002B23AC"/>
    <w:rsid w:val="002E243C"/>
    <w:rsid w:val="002E77E8"/>
    <w:rsid w:val="002F7C09"/>
    <w:rsid w:val="0031425B"/>
    <w:rsid w:val="00317066"/>
    <w:rsid w:val="00320487"/>
    <w:rsid w:val="003264C7"/>
    <w:rsid w:val="003265B3"/>
    <w:rsid w:val="0034259E"/>
    <w:rsid w:val="00347CF0"/>
    <w:rsid w:val="00362715"/>
    <w:rsid w:val="00362FEB"/>
    <w:rsid w:val="00391585"/>
    <w:rsid w:val="00397090"/>
    <w:rsid w:val="003A5BB7"/>
    <w:rsid w:val="003B6901"/>
    <w:rsid w:val="003C0441"/>
    <w:rsid w:val="003C07E8"/>
    <w:rsid w:val="003C1194"/>
    <w:rsid w:val="003C2496"/>
    <w:rsid w:val="003C2633"/>
    <w:rsid w:val="003D1F2D"/>
    <w:rsid w:val="003D6940"/>
    <w:rsid w:val="003E4E87"/>
    <w:rsid w:val="003F182F"/>
    <w:rsid w:val="00411218"/>
    <w:rsid w:val="00411D20"/>
    <w:rsid w:val="004174D5"/>
    <w:rsid w:val="0043134C"/>
    <w:rsid w:val="00431BFD"/>
    <w:rsid w:val="004327E0"/>
    <w:rsid w:val="00435BFE"/>
    <w:rsid w:val="004368C5"/>
    <w:rsid w:val="004420B6"/>
    <w:rsid w:val="004430E4"/>
    <w:rsid w:val="00443D1C"/>
    <w:rsid w:val="00445DC5"/>
    <w:rsid w:val="004473D3"/>
    <w:rsid w:val="00450351"/>
    <w:rsid w:val="00451074"/>
    <w:rsid w:val="00453B20"/>
    <w:rsid w:val="004639DE"/>
    <w:rsid w:val="00471168"/>
    <w:rsid w:val="004741E0"/>
    <w:rsid w:val="00482026"/>
    <w:rsid w:val="00491D90"/>
    <w:rsid w:val="0049641D"/>
    <w:rsid w:val="004A1EA6"/>
    <w:rsid w:val="004A55DB"/>
    <w:rsid w:val="004A5C06"/>
    <w:rsid w:val="004B08F8"/>
    <w:rsid w:val="004B3884"/>
    <w:rsid w:val="004B4720"/>
    <w:rsid w:val="004C0FF8"/>
    <w:rsid w:val="004C1241"/>
    <w:rsid w:val="004D1379"/>
    <w:rsid w:val="004D6075"/>
    <w:rsid w:val="004E0C17"/>
    <w:rsid w:val="004E0D3A"/>
    <w:rsid w:val="004F13FE"/>
    <w:rsid w:val="004F300B"/>
    <w:rsid w:val="004F32A2"/>
    <w:rsid w:val="004F72D2"/>
    <w:rsid w:val="0050593A"/>
    <w:rsid w:val="00505DB7"/>
    <w:rsid w:val="005148B4"/>
    <w:rsid w:val="00526FD4"/>
    <w:rsid w:val="005421C3"/>
    <w:rsid w:val="00554119"/>
    <w:rsid w:val="00574DF7"/>
    <w:rsid w:val="00576643"/>
    <w:rsid w:val="00586741"/>
    <w:rsid w:val="005910B4"/>
    <w:rsid w:val="00597AF3"/>
    <w:rsid w:val="005B1BDB"/>
    <w:rsid w:val="005C12F4"/>
    <w:rsid w:val="005C57BF"/>
    <w:rsid w:val="005C7B70"/>
    <w:rsid w:val="005D72A0"/>
    <w:rsid w:val="005E1CA1"/>
    <w:rsid w:val="005E6718"/>
    <w:rsid w:val="005E7876"/>
    <w:rsid w:val="005F20D5"/>
    <w:rsid w:val="005F6E6C"/>
    <w:rsid w:val="00601517"/>
    <w:rsid w:val="00603A3B"/>
    <w:rsid w:val="00611D55"/>
    <w:rsid w:val="00623C85"/>
    <w:rsid w:val="00624A75"/>
    <w:rsid w:val="00635762"/>
    <w:rsid w:val="006709B5"/>
    <w:rsid w:val="00680B71"/>
    <w:rsid w:val="00683A38"/>
    <w:rsid w:val="00684E57"/>
    <w:rsid w:val="0069216E"/>
    <w:rsid w:val="006A02D8"/>
    <w:rsid w:val="006B0F2C"/>
    <w:rsid w:val="006C7941"/>
    <w:rsid w:val="006E0D10"/>
    <w:rsid w:val="006E5613"/>
    <w:rsid w:val="006E746F"/>
    <w:rsid w:val="006F160F"/>
    <w:rsid w:val="006F602E"/>
    <w:rsid w:val="00701C54"/>
    <w:rsid w:val="00705710"/>
    <w:rsid w:val="00705B17"/>
    <w:rsid w:val="00716C54"/>
    <w:rsid w:val="00725ECC"/>
    <w:rsid w:val="00730E69"/>
    <w:rsid w:val="0074134F"/>
    <w:rsid w:val="007419E6"/>
    <w:rsid w:val="0074220E"/>
    <w:rsid w:val="007565D7"/>
    <w:rsid w:val="00761FD8"/>
    <w:rsid w:val="00762537"/>
    <w:rsid w:val="0077616C"/>
    <w:rsid w:val="00776E50"/>
    <w:rsid w:val="00780A18"/>
    <w:rsid w:val="007857F7"/>
    <w:rsid w:val="007920B6"/>
    <w:rsid w:val="007971D0"/>
    <w:rsid w:val="007A55B1"/>
    <w:rsid w:val="007A6F1C"/>
    <w:rsid w:val="007B2CD7"/>
    <w:rsid w:val="007B4B5F"/>
    <w:rsid w:val="007D1DB0"/>
    <w:rsid w:val="007E412D"/>
    <w:rsid w:val="007F0D5E"/>
    <w:rsid w:val="007F2877"/>
    <w:rsid w:val="007F69CA"/>
    <w:rsid w:val="0080368F"/>
    <w:rsid w:val="0081450E"/>
    <w:rsid w:val="00826A74"/>
    <w:rsid w:val="00830A3F"/>
    <w:rsid w:val="008360C5"/>
    <w:rsid w:val="008453E4"/>
    <w:rsid w:val="008546E7"/>
    <w:rsid w:val="00857121"/>
    <w:rsid w:val="008704B6"/>
    <w:rsid w:val="008933B2"/>
    <w:rsid w:val="00896F7A"/>
    <w:rsid w:val="008A070A"/>
    <w:rsid w:val="008A66EB"/>
    <w:rsid w:val="008B06F4"/>
    <w:rsid w:val="008B3E69"/>
    <w:rsid w:val="008B5E5D"/>
    <w:rsid w:val="008B62CF"/>
    <w:rsid w:val="008B66EE"/>
    <w:rsid w:val="008C0EF7"/>
    <w:rsid w:val="008C6E10"/>
    <w:rsid w:val="008E0EBA"/>
    <w:rsid w:val="008E2224"/>
    <w:rsid w:val="008E43FF"/>
    <w:rsid w:val="008E7187"/>
    <w:rsid w:val="008F0D90"/>
    <w:rsid w:val="009027FC"/>
    <w:rsid w:val="00912FC8"/>
    <w:rsid w:val="00925408"/>
    <w:rsid w:val="009335B2"/>
    <w:rsid w:val="00941877"/>
    <w:rsid w:val="00956755"/>
    <w:rsid w:val="009640B9"/>
    <w:rsid w:val="009714DB"/>
    <w:rsid w:val="00991C7F"/>
    <w:rsid w:val="009A5A67"/>
    <w:rsid w:val="009A7D25"/>
    <w:rsid w:val="009D47BA"/>
    <w:rsid w:val="009F3336"/>
    <w:rsid w:val="00A13331"/>
    <w:rsid w:val="00A2023B"/>
    <w:rsid w:val="00A24EAE"/>
    <w:rsid w:val="00A35039"/>
    <w:rsid w:val="00A57B8D"/>
    <w:rsid w:val="00A60231"/>
    <w:rsid w:val="00A63086"/>
    <w:rsid w:val="00A76E93"/>
    <w:rsid w:val="00A77411"/>
    <w:rsid w:val="00A81972"/>
    <w:rsid w:val="00A90948"/>
    <w:rsid w:val="00A91703"/>
    <w:rsid w:val="00A937FE"/>
    <w:rsid w:val="00A93B13"/>
    <w:rsid w:val="00A9553F"/>
    <w:rsid w:val="00AA6C79"/>
    <w:rsid w:val="00AB1F63"/>
    <w:rsid w:val="00AD0372"/>
    <w:rsid w:val="00AD33FC"/>
    <w:rsid w:val="00AD3DCB"/>
    <w:rsid w:val="00AE0E48"/>
    <w:rsid w:val="00AE2527"/>
    <w:rsid w:val="00B03667"/>
    <w:rsid w:val="00B3267A"/>
    <w:rsid w:val="00B4416B"/>
    <w:rsid w:val="00B50E64"/>
    <w:rsid w:val="00B52AD0"/>
    <w:rsid w:val="00B54183"/>
    <w:rsid w:val="00B66A98"/>
    <w:rsid w:val="00B751A8"/>
    <w:rsid w:val="00B86DAE"/>
    <w:rsid w:val="00B90D17"/>
    <w:rsid w:val="00BA48E5"/>
    <w:rsid w:val="00BB795E"/>
    <w:rsid w:val="00BC3F68"/>
    <w:rsid w:val="00BC74F2"/>
    <w:rsid w:val="00BD2A87"/>
    <w:rsid w:val="00BD5220"/>
    <w:rsid w:val="00C02375"/>
    <w:rsid w:val="00C025B5"/>
    <w:rsid w:val="00C0515C"/>
    <w:rsid w:val="00C06E78"/>
    <w:rsid w:val="00C32DA9"/>
    <w:rsid w:val="00C55990"/>
    <w:rsid w:val="00C55C3C"/>
    <w:rsid w:val="00C7560A"/>
    <w:rsid w:val="00C84489"/>
    <w:rsid w:val="00C920F9"/>
    <w:rsid w:val="00CA4811"/>
    <w:rsid w:val="00CC07CA"/>
    <w:rsid w:val="00CC6A74"/>
    <w:rsid w:val="00CC70A0"/>
    <w:rsid w:val="00CD0BAB"/>
    <w:rsid w:val="00CD3814"/>
    <w:rsid w:val="00CD5F03"/>
    <w:rsid w:val="00CD73DC"/>
    <w:rsid w:val="00CE096C"/>
    <w:rsid w:val="00CE22BF"/>
    <w:rsid w:val="00CF41C3"/>
    <w:rsid w:val="00CF6C89"/>
    <w:rsid w:val="00D06478"/>
    <w:rsid w:val="00D153A0"/>
    <w:rsid w:val="00D26858"/>
    <w:rsid w:val="00D31668"/>
    <w:rsid w:val="00D34139"/>
    <w:rsid w:val="00D3419D"/>
    <w:rsid w:val="00D46288"/>
    <w:rsid w:val="00D51287"/>
    <w:rsid w:val="00D57484"/>
    <w:rsid w:val="00D6244A"/>
    <w:rsid w:val="00D62F9A"/>
    <w:rsid w:val="00D817B6"/>
    <w:rsid w:val="00DA7522"/>
    <w:rsid w:val="00DB5E35"/>
    <w:rsid w:val="00DC46C4"/>
    <w:rsid w:val="00DC7D3E"/>
    <w:rsid w:val="00E00692"/>
    <w:rsid w:val="00E05D12"/>
    <w:rsid w:val="00E06C3D"/>
    <w:rsid w:val="00E17295"/>
    <w:rsid w:val="00E2328A"/>
    <w:rsid w:val="00E31968"/>
    <w:rsid w:val="00E42E3E"/>
    <w:rsid w:val="00E4708D"/>
    <w:rsid w:val="00E50C88"/>
    <w:rsid w:val="00E832ED"/>
    <w:rsid w:val="00E87031"/>
    <w:rsid w:val="00E906BE"/>
    <w:rsid w:val="00EA07AF"/>
    <w:rsid w:val="00EA4488"/>
    <w:rsid w:val="00EB1C94"/>
    <w:rsid w:val="00EB2E22"/>
    <w:rsid w:val="00EB34B3"/>
    <w:rsid w:val="00EB37E5"/>
    <w:rsid w:val="00EC00B0"/>
    <w:rsid w:val="00EC7F74"/>
    <w:rsid w:val="00ED1D4F"/>
    <w:rsid w:val="00EE03B9"/>
    <w:rsid w:val="00EE7CB2"/>
    <w:rsid w:val="00F05E1D"/>
    <w:rsid w:val="00F074A4"/>
    <w:rsid w:val="00F07604"/>
    <w:rsid w:val="00F07929"/>
    <w:rsid w:val="00F07B68"/>
    <w:rsid w:val="00F152CB"/>
    <w:rsid w:val="00F202DA"/>
    <w:rsid w:val="00F24A84"/>
    <w:rsid w:val="00F34847"/>
    <w:rsid w:val="00F44E47"/>
    <w:rsid w:val="00F51758"/>
    <w:rsid w:val="00F51E4D"/>
    <w:rsid w:val="00F55021"/>
    <w:rsid w:val="00F600F0"/>
    <w:rsid w:val="00F64C69"/>
    <w:rsid w:val="00F67445"/>
    <w:rsid w:val="00F82DE8"/>
    <w:rsid w:val="00F93E26"/>
    <w:rsid w:val="00FA1D2F"/>
    <w:rsid w:val="00FC089D"/>
    <w:rsid w:val="00FC758B"/>
    <w:rsid w:val="00FD14BD"/>
    <w:rsid w:val="00FD30D1"/>
    <w:rsid w:val="00FD4CAD"/>
    <w:rsid w:val="00FE1CC5"/>
    <w:rsid w:val="00FF0C3A"/>
    <w:rsid w:val="00FF72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14"/>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CD3814"/>
    <w:pPr>
      <w:widowControl w:val="0"/>
    </w:pPr>
    <w:rPr>
      <w:snapToGrid w:val="0"/>
      <w:sz w:val="20"/>
      <w:szCs w:val="20"/>
      <w:lang w:val="en-GB"/>
    </w:rPr>
  </w:style>
  <w:style w:type="character" w:styleId="Appelnotedebasdep">
    <w:name w:val="footnote reference"/>
    <w:basedOn w:val="Policepardfaut"/>
    <w:semiHidden/>
    <w:rsid w:val="00CD3814"/>
    <w:rPr>
      <w:vertAlign w:val="superscript"/>
    </w:rPr>
  </w:style>
  <w:style w:type="paragraph" w:styleId="Pieddepage">
    <w:name w:val="footer"/>
    <w:basedOn w:val="Normal"/>
    <w:link w:val="PieddepageCar"/>
    <w:uiPriority w:val="99"/>
    <w:rsid w:val="000C0AEA"/>
    <w:pPr>
      <w:tabs>
        <w:tab w:val="center" w:pos="4320"/>
        <w:tab w:val="right" w:pos="8640"/>
      </w:tabs>
    </w:pPr>
  </w:style>
  <w:style w:type="character" w:styleId="Numrodepage">
    <w:name w:val="page number"/>
    <w:basedOn w:val="Policepardfaut"/>
    <w:rsid w:val="000C0AEA"/>
  </w:style>
  <w:style w:type="character" w:customStyle="1" w:styleId="longtext">
    <w:name w:val="long_text"/>
    <w:basedOn w:val="Policepardfaut"/>
    <w:rsid w:val="00705B17"/>
  </w:style>
  <w:style w:type="character" w:styleId="lev">
    <w:name w:val="Strong"/>
    <w:basedOn w:val="Policepardfaut"/>
    <w:uiPriority w:val="22"/>
    <w:qFormat/>
    <w:rsid w:val="003265B3"/>
    <w:rPr>
      <w:b/>
      <w:bCs/>
    </w:rPr>
  </w:style>
  <w:style w:type="paragraph" w:styleId="Sansinterligne">
    <w:name w:val="No Spacing"/>
    <w:uiPriority w:val="1"/>
    <w:qFormat/>
    <w:rsid w:val="00F202DA"/>
    <w:rPr>
      <w:sz w:val="24"/>
      <w:szCs w:val="24"/>
      <w:lang w:eastAsia="en-US"/>
    </w:rPr>
  </w:style>
  <w:style w:type="character" w:customStyle="1" w:styleId="NotedebasdepageCar">
    <w:name w:val="Note de bas de page Car"/>
    <w:basedOn w:val="Policepardfaut"/>
    <w:link w:val="Notedebasdepage"/>
    <w:semiHidden/>
    <w:rsid w:val="00FF7239"/>
    <w:rPr>
      <w:snapToGrid w:val="0"/>
      <w:lang w:val="en-GB"/>
    </w:rPr>
  </w:style>
  <w:style w:type="paragraph" w:styleId="Paragraphedeliste">
    <w:name w:val="List Paragraph"/>
    <w:basedOn w:val="Normal"/>
    <w:uiPriority w:val="34"/>
    <w:qFormat/>
    <w:rsid w:val="00450351"/>
    <w:pPr>
      <w:ind w:left="720"/>
      <w:contextualSpacing/>
    </w:pPr>
  </w:style>
  <w:style w:type="character" w:customStyle="1" w:styleId="PieddepageCar">
    <w:name w:val="Pied de page Car"/>
    <w:basedOn w:val="Policepardfaut"/>
    <w:link w:val="Pieddepage"/>
    <w:uiPriority w:val="99"/>
    <w:rsid w:val="001560CF"/>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57405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1340</Words>
  <Characters>7371</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QUARTERLY PROJECT  UPDATE</vt:lpstr>
      <vt:lpstr>QUARTERLY PROJECT  UPDATE </vt:lpstr>
    </vt:vector>
  </TitlesOfParts>
  <Company>United Nations</Company>
  <LinksUpToDate>false</LinksUpToDate>
  <CharactersWithSpaces>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PROJECT  UPDATE</dc:title>
  <dc:creator>United Nations</dc:creator>
  <cp:lastModifiedBy>Admin</cp:lastModifiedBy>
  <cp:revision>3</cp:revision>
  <cp:lastPrinted>2010-07-16T15:10:00Z</cp:lastPrinted>
  <dcterms:created xsi:type="dcterms:W3CDTF">2011-07-18T12:48:00Z</dcterms:created>
  <dcterms:modified xsi:type="dcterms:W3CDTF">2011-07-19T12:43:00Z</dcterms:modified>
</cp:coreProperties>
</file>