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9" w:rsidRPr="0044619D" w:rsidRDefault="00EE03B9" w:rsidP="00EE03B9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44619D">
        <w:rPr>
          <w:rFonts w:ascii="Arial" w:hAnsi="Arial" w:cs="Arial"/>
          <w:b/>
          <w:bCs/>
          <w:sz w:val="22"/>
          <w:szCs w:val="22"/>
        </w:rPr>
        <w:t>FONDS DE CONSOLIDATION DE LA PAIX (FCP)</w:t>
      </w:r>
    </w:p>
    <w:p w:rsidR="00CD3814" w:rsidRPr="0044619D" w:rsidRDefault="00317066" w:rsidP="00CD3814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44619D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Rapport </w:t>
      </w:r>
      <w:r w:rsidR="00BD5220" w:rsidRPr="0044619D">
        <w:rPr>
          <w:rFonts w:ascii="Arial" w:hAnsi="Arial" w:cs="Arial"/>
          <w:b/>
          <w:spacing w:val="-3"/>
          <w:sz w:val="22"/>
          <w:szCs w:val="22"/>
          <w:u w:val="single"/>
        </w:rPr>
        <w:t>de mise à jour t</w:t>
      </w:r>
      <w:r w:rsidRPr="0044619D">
        <w:rPr>
          <w:rFonts w:ascii="Arial" w:hAnsi="Arial" w:cs="Arial"/>
          <w:b/>
          <w:spacing w:val="-3"/>
          <w:sz w:val="22"/>
          <w:szCs w:val="22"/>
          <w:u w:val="single"/>
        </w:rPr>
        <w:t>rimestriel</w:t>
      </w:r>
    </w:p>
    <w:p w:rsidR="00CD3814" w:rsidRPr="0044619D" w:rsidRDefault="00CD3814" w:rsidP="00CD381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4"/>
        <w:gridCol w:w="36"/>
        <w:gridCol w:w="2480"/>
        <w:gridCol w:w="2551"/>
        <w:gridCol w:w="5229"/>
      </w:tblGrid>
      <w:tr w:rsidR="00CD3814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CD3814" w:rsidRPr="0044619D" w:rsidRDefault="00C025B5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Période</w:t>
            </w:r>
            <w:r w:rsidR="00CD3814" w:rsidRPr="0044619D">
              <w:rPr>
                <w:rFonts w:ascii="Arial" w:hAnsi="Arial" w:cs="Arial"/>
                <w:b/>
                <w:sz w:val="18"/>
                <w:szCs w:val="18"/>
              </w:rPr>
              <w:t xml:space="preserve"> couvert (</w:t>
            </w:r>
            <w:r w:rsidR="00317066" w:rsidRPr="0044619D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44619D">
              <w:rPr>
                <w:rFonts w:ascii="Arial" w:hAnsi="Arial" w:cs="Arial"/>
                <w:b/>
                <w:sz w:val="18"/>
                <w:szCs w:val="18"/>
              </w:rPr>
              <w:t>rimestre</w:t>
            </w:r>
            <w:r w:rsidR="00317066" w:rsidRPr="004461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296" w:type="dxa"/>
            <w:gridSpan w:val="4"/>
            <w:shd w:val="clear" w:color="auto" w:fill="auto"/>
            <w:vAlign w:val="center"/>
          </w:tcPr>
          <w:p w:rsidR="00CD3814" w:rsidRPr="0044619D" w:rsidRDefault="00BB7F6D" w:rsidP="004C0FF8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sz w:val="18"/>
                <w:szCs w:val="18"/>
              </w:rPr>
              <w:t>Avril à juin 2011</w:t>
            </w:r>
          </w:p>
        </w:tc>
      </w:tr>
      <w:tr w:rsidR="00CD3814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CD3814" w:rsidRPr="0044619D" w:rsidRDefault="00C025B5" w:rsidP="003F182F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Numéro</w:t>
            </w:r>
            <w:r w:rsidR="008F0D90" w:rsidRPr="0044619D">
              <w:rPr>
                <w:rFonts w:ascii="Arial" w:hAnsi="Arial" w:cs="Arial"/>
                <w:b/>
                <w:sz w:val="18"/>
                <w:szCs w:val="18"/>
              </w:rPr>
              <w:t xml:space="preserve"> du</w:t>
            </w:r>
            <w:r w:rsidR="00CD3814" w:rsidRPr="0044619D">
              <w:rPr>
                <w:rFonts w:ascii="Arial" w:hAnsi="Arial" w:cs="Arial"/>
                <w:b/>
                <w:sz w:val="18"/>
                <w:szCs w:val="18"/>
              </w:rPr>
              <w:t xml:space="preserve"> projet et </w:t>
            </w:r>
            <w:r w:rsidR="005E7876" w:rsidRPr="0044619D">
              <w:rPr>
                <w:rFonts w:ascii="Arial" w:hAnsi="Arial" w:cs="Arial"/>
                <w:b/>
                <w:sz w:val="18"/>
                <w:szCs w:val="18"/>
              </w:rPr>
              <w:t xml:space="preserve">le </w:t>
            </w:r>
            <w:r w:rsidR="00027A16" w:rsidRPr="0044619D">
              <w:rPr>
                <w:rFonts w:ascii="Arial" w:hAnsi="Arial" w:cs="Arial"/>
                <w:b/>
                <w:sz w:val="18"/>
                <w:szCs w:val="18"/>
              </w:rPr>
              <w:t>titre</w:t>
            </w:r>
            <w:r w:rsidR="005E7876" w:rsidRPr="0044619D">
              <w:rPr>
                <w:rFonts w:ascii="Arial" w:hAnsi="Arial" w:cs="Arial"/>
                <w:b/>
                <w:sz w:val="18"/>
                <w:szCs w:val="18"/>
              </w:rPr>
              <w:t xml:space="preserve"> du projet</w:t>
            </w:r>
          </w:p>
        </w:tc>
        <w:tc>
          <w:tcPr>
            <w:tcW w:w="10296" w:type="dxa"/>
            <w:gridSpan w:val="4"/>
            <w:shd w:val="clear" w:color="auto" w:fill="auto"/>
            <w:vAlign w:val="center"/>
          </w:tcPr>
          <w:p w:rsidR="00FC089D" w:rsidRPr="0044619D" w:rsidRDefault="00BB7F6D" w:rsidP="00FC089D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bCs/>
                <w:sz w:val="22"/>
                <w:szCs w:val="22"/>
              </w:rPr>
              <w:t>PBF/COM/D-4</w:t>
            </w:r>
            <w:r w:rsidR="00C81CBA">
              <w:rPr>
                <w:rFonts w:ascii="Arial" w:hAnsi="Arial" w:cs="Arial"/>
                <w:sz w:val="22"/>
                <w:szCs w:val="22"/>
              </w:rPr>
              <w:t> : </w:t>
            </w:r>
            <w:r w:rsidRPr="00C81CBA">
              <w:rPr>
                <w:rFonts w:ascii="Arial" w:hAnsi="Arial" w:cs="Arial"/>
                <w:b/>
                <w:sz w:val="22"/>
                <w:szCs w:val="22"/>
              </w:rPr>
              <w:t>Appui pédagogique et préparation à la réinsertion professionnelle des jeunes</w:t>
            </w:r>
            <w:r w:rsidRPr="0044619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CD3814" w:rsidRPr="0044619D" w:rsidRDefault="00CD3814" w:rsidP="00442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814" w:rsidRPr="0044619D" w:rsidTr="00FD1C32">
        <w:trPr>
          <w:trHeight w:val="436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E6E6E6"/>
          </w:tcPr>
          <w:p w:rsidR="00CD3814" w:rsidRPr="0044619D" w:rsidRDefault="00CD3814" w:rsidP="00C81CBA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 xml:space="preserve">Agence </w:t>
            </w:r>
            <w:r w:rsidR="004A55DB" w:rsidRPr="0044619D">
              <w:rPr>
                <w:rFonts w:ascii="Arial" w:hAnsi="Arial" w:cs="Arial"/>
                <w:b/>
                <w:sz w:val="18"/>
                <w:szCs w:val="18"/>
              </w:rPr>
              <w:t>bénéfici</w:t>
            </w:r>
            <w:r w:rsidR="00C81CBA">
              <w:rPr>
                <w:rFonts w:ascii="Arial" w:hAnsi="Arial" w:cs="Arial"/>
                <w:b/>
                <w:sz w:val="18"/>
                <w:szCs w:val="18"/>
              </w:rPr>
              <w:t>ai</w:t>
            </w:r>
            <w:r w:rsidR="004A55DB" w:rsidRPr="0044619D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Pr="0044619D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10296" w:type="dxa"/>
            <w:gridSpan w:val="4"/>
            <w:vAlign w:val="center"/>
          </w:tcPr>
          <w:p w:rsidR="00CD3814" w:rsidRPr="0044619D" w:rsidRDefault="00BB7F6D" w:rsidP="00684E57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sz w:val="18"/>
                <w:szCs w:val="18"/>
              </w:rPr>
              <w:t>UNESCO</w:t>
            </w:r>
          </w:p>
        </w:tc>
      </w:tr>
      <w:tr w:rsidR="00684E57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684E57" w:rsidRPr="0044619D" w:rsidRDefault="00684E57" w:rsidP="003F18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Partenaires d’exécution (Agence Gouvernementale, Agences NU, Organisations de la Société Civile)</w:t>
            </w:r>
          </w:p>
        </w:tc>
        <w:tc>
          <w:tcPr>
            <w:tcW w:w="10296" w:type="dxa"/>
            <w:gridSpan w:val="4"/>
          </w:tcPr>
          <w:p w:rsidR="002A6C67" w:rsidRPr="0044619D" w:rsidRDefault="00022CA2" w:rsidP="008B06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1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7F6D" w:rsidRPr="0044619D" w:rsidRDefault="00BB7F6D" w:rsidP="00BB7F6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>Ministère de l’Education Nationale, de la Recherche, de la Culture et des arts,</w:t>
            </w:r>
          </w:p>
          <w:p w:rsidR="00BB7F6D" w:rsidRPr="0044619D" w:rsidRDefault="00BB7F6D" w:rsidP="00BB7F6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 xml:space="preserve">Commissariat de l’Education des îles autonomes, </w:t>
            </w:r>
          </w:p>
          <w:p w:rsidR="00BB7F6D" w:rsidRPr="0044619D" w:rsidRDefault="00BB7F6D" w:rsidP="00BB7F6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 xml:space="preserve">Lycées publics, </w:t>
            </w:r>
          </w:p>
          <w:p w:rsidR="00BB7F6D" w:rsidRPr="0044619D" w:rsidRDefault="00BB7F6D" w:rsidP="00BB7F6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 xml:space="preserve">Coopérative des élèves, </w:t>
            </w:r>
          </w:p>
          <w:p w:rsidR="00BB7F6D" w:rsidRPr="00FA452E" w:rsidRDefault="00BB7F6D" w:rsidP="00BB7F6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>Radios et Té</w:t>
            </w:r>
            <w:r w:rsidR="00FA452E">
              <w:rPr>
                <w:rFonts w:ascii="Arial" w:hAnsi="Arial" w:cs="Arial"/>
                <w:sz w:val="22"/>
                <w:szCs w:val="22"/>
              </w:rPr>
              <w:t>lévision nationale et insulaires</w:t>
            </w:r>
            <w:r w:rsidRPr="0044619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22CA2" w:rsidRPr="00FA452E" w:rsidRDefault="00BB7F6D" w:rsidP="00BB7F6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A452E">
              <w:rPr>
                <w:rFonts w:ascii="Arial" w:hAnsi="Arial" w:cs="Arial"/>
                <w:sz w:val="22"/>
                <w:szCs w:val="22"/>
              </w:rPr>
              <w:t xml:space="preserve"> UNICEF, PNUD et BIT.</w:t>
            </w:r>
          </w:p>
        </w:tc>
      </w:tr>
      <w:tr w:rsidR="00684E57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684E57" w:rsidRPr="0044619D" w:rsidRDefault="00684E57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Date d’approbation par le Comité de Pilotage:</w:t>
            </w:r>
          </w:p>
        </w:tc>
        <w:tc>
          <w:tcPr>
            <w:tcW w:w="10296" w:type="dxa"/>
            <w:gridSpan w:val="4"/>
            <w:vAlign w:val="center"/>
          </w:tcPr>
          <w:p w:rsidR="00684E57" w:rsidRPr="0044619D" w:rsidRDefault="00BB7F6D" w:rsidP="00022CA2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>04 mars 2010</w:t>
            </w:r>
          </w:p>
        </w:tc>
      </w:tr>
      <w:tr w:rsidR="004420B6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4420B6" w:rsidRPr="0044619D" w:rsidRDefault="004420B6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Budget total alloué</w:t>
            </w:r>
          </w:p>
        </w:tc>
        <w:tc>
          <w:tcPr>
            <w:tcW w:w="10296" w:type="dxa"/>
            <w:gridSpan w:val="4"/>
            <w:vAlign w:val="center"/>
          </w:tcPr>
          <w:p w:rsidR="004420B6" w:rsidRPr="0044619D" w:rsidRDefault="00BB7F6D" w:rsidP="008E7187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sz w:val="22"/>
                <w:szCs w:val="22"/>
              </w:rPr>
              <w:t>300 000 US$</w:t>
            </w:r>
          </w:p>
        </w:tc>
      </w:tr>
      <w:tr w:rsidR="004420B6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4420B6" w:rsidRPr="0044619D" w:rsidRDefault="004420B6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Fonds engagés du budget total alloué</w:t>
            </w:r>
            <w:r w:rsidRPr="0044619D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4461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2"/>
            <w:vAlign w:val="center"/>
          </w:tcPr>
          <w:p w:rsidR="004420B6" w:rsidRPr="0044619D" w:rsidRDefault="00C81CBA" w:rsidP="008E71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1CBA">
              <w:rPr>
                <w:rFonts w:ascii="Arial" w:hAnsi="Arial" w:cs="Arial"/>
                <w:sz w:val="22"/>
                <w:szCs w:val="22"/>
              </w:rPr>
              <w:t xml:space="preserve">265 530 </w:t>
            </w:r>
            <w:r w:rsidRPr="0044619D">
              <w:rPr>
                <w:rFonts w:ascii="Arial" w:hAnsi="Arial" w:cs="Arial"/>
                <w:sz w:val="22"/>
                <w:szCs w:val="22"/>
              </w:rPr>
              <w:t>US$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4420B6" w:rsidRPr="0044619D" w:rsidRDefault="004420B6" w:rsidP="00684E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% de fonds engagés</w:t>
            </w:r>
            <w:r w:rsidR="00226C2B" w:rsidRPr="004461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619D">
              <w:rPr>
                <w:rFonts w:ascii="Arial" w:hAnsi="Arial" w:cs="Arial"/>
                <w:b/>
                <w:sz w:val="18"/>
                <w:szCs w:val="18"/>
              </w:rPr>
              <w:t>/ budget total alloué:</w:t>
            </w:r>
          </w:p>
        </w:tc>
        <w:tc>
          <w:tcPr>
            <w:tcW w:w="5229" w:type="dxa"/>
            <w:vAlign w:val="center"/>
          </w:tcPr>
          <w:p w:rsidR="004420B6" w:rsidRPr="0044619D" w:rsidRDefault="00BB7F6D" w:rsidP="008E7187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sz w:val="18"/>
                <w:szCs w:val="18"/>
              </w:rPr>
              <w:t>88, 51%</w:t>
            </w:r>
          </w:p>
        </w:tc>
      </w:tr>
      <w:tr w:rsidR="004420B6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4420B6" w:rsidRPr="0044619D" w:rsidRDefault="004420B6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Fonds dépensés</w:t>
            </w:r>
            <w:r w:rsidRPr="0044619D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Pr="0044619D">
              <w:rPr>
                <w:rFonts w:ascii="Arial" w:hAnsi="Arial" w:cs="Arial"/>
                <w:b/>
                <w:sz w:val="18"/>
                <w:szCs w:val="18"/>
              </w:rPr>
              <w:t xml:space="preserve"> du budget total alloué:</w:t>
            </w:r>
          </w:p>
        </w:tc>
        <w:tc>
          <w:tcPr>
            <w:tcW w:w="2516" w:type="dxa"/>
            <w:gridSpan w:val="2"/>
            <w:vAlign w:val="center"/>
          </w:tcPr>
          <w:p w:rsidR="004420B6" w:rsidRPr="0044619D" w:rsidRDefault="00C81CBA" w:rsidP="008E71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180 000 </w:t>
            </w:r>
            <w:r w:rsidRPr="0044619D">
              <w:rPr>
                <w:rFonts w:ascii="Arial" w:hAnsi="Arial" w:cs="Arial"/>
                <w:sz w:val="22"/>
                <w:szCs w:val="22"/>
              </w:rPr>
              <w:t>US$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4420B6" w:rsidRPr="0044619D" w:rsidRDefault="004420B6" w:rsidP="00684E57">
            <w:pPr>
              <w:rPr>
                <w:rFonts w:ascii="Arial" w:hAnsi="Arial" w:cs="Arial"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% de fonds dépensés</w:t>
            </w:r>
            <w:r w:rsidR="00226C2B" w:rsidRPr="004461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619D">
              <w:rPr>
                <w:rFonts w:ascii="Arial" w:hAnsi="Arial" w:cs="Arial"/>
                <w:b/>
                <w:sz w:val="18"/>
                <w:szCs w:val="18"/>
              </w:rPr>
              <w:t>/ budget total alloué:</w:t>
            </w:r>
          </w:p>
        </w:tc>
        <w:tc>
          <w:tcPr>
            <w:tcW w:w="5229" w:type="dxa"/>
            <w:vAlign w:val="center"/>
          </w:tcPr>
          <w:p w:rsidR="004420B6" w:rsidRPr="0044619D" w:rsidRDefault="00C81CBA" w:rsidP="008E71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60 %</w:t>
            </w:r>
          </w:p>
        </w:tc>
      </w:tr>
      <w:tr w:rsidR="00684E57" w:rsidRPr="0044619D" w:rsidTr="00FD1C32">
        <w:trPr>
          <w:trHeight w:val="345"/>
        </w:trPr>
        <w:tc>
          <w:tcPr>
            <w:tcW w:w="2664" w:type="dxa"/>
            <w:shd w:val="clear" w:color="auto" w:fill="E6E6E6"/>
          </w:tcPr>
          <w:p w:rsidR="00684E57" w:rsidRPr="0044619D" w:rsidRDefault="00684E57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 xml:space="preserve">Date de clôture prévue: </w:t>
            </w:r>
          </w:p>
        </w:tc>
        <w:tc>
          <w:tcPr>
            <w:tcW w:w="2516" w:type="dxa"/>
            <w:gridSpan w:val="2"/>
            <w:vAlign w:val="center"/>
          </w:tcPr>
          <w:p w:rsidR="00684E57" w:rsidRPr="0044619D" w:rsidRDefault="00BB7F6D" w:rsidP="00684E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color w:val="000000"/>
                <w:sz w:val="18"/>
                <w:szCs w:val="18"/>
              </w:rPr>
              <w:t>Mars 2012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684E57" w:rsidRPr="0044619D" w:rsidRDefault="00684E57" w:rsidP="00684E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sz w:val="18"/>
                <w:szCs w:val="18"/>
              </w:rPr>
              <w:t>Retard éventuel (mois):</w:t>
            </w:r>
          </w:p>
        </w:tc>
        <w:tc>
          <w:tcPr>
            <w:tcW w:w="5229" w:type="dxa"/>
            <w:vAlign w:val="center"/>
          </w:tcPr>
          <w:p w:rsidR="00684E57" w:rsidRPr="0044619D" w:rsidRDefault="00684E57" w:rsidP="00684E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E88" w:rsidRPr="0044619D" w:rsidTr="00FD1C32">
        <w:trPr>
          <w:trHeight w:val="418"/>
        </w:trPr>
        <w:tc>
          <w:tcPr>
            <w:tcW w:w="2700" w:type="dxa"/>
            <w:gridSpan w:val="2"/>
            <w:shd w:val="clear" w:color="auto" w:fill="E6E6E6"/>
          </w:tcPr>
          <w:p w:rsidR="0074220E" w:rsidRPr="0044619D" w:rsidRDefault="0074220E" w:rsidP="003F182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Domaine d’investissement :</w:t>
            </w:r>
          </w:p>
          <w:p w:rsidR="00CD3814" w:rsidRPr="0044619D" w:rsidRDefault="0074220E" w:rsidP="003F182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sultats strat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giques</w:t>
            </w:r>
            <w:r w:rsidR="00482026"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="00DB5E35"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ffet</w:t>
            </w: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="00DB5E35"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sectoriels</w:t>
            </w:r>
            <w:r w:rsidR="00482026"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CD3814"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7A55B1" w:rsidRPr="0044619D" w:rsidRDefault="007A55B1" w:rsidP="003F182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Indicateurs pour m</w:t>
            </w:r>
            <w:r w:rsidR="0094793E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surer les effets</w:t>
            </w:r>
          </w:p>
          <w:p w:rsidR="0074220E" w:rsidRPr="0044619D" w:rsidRDefault="0074220E" w:rsidP="003F182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1" w:type="dxa"/>
            <w:gridSpan w:val="2"/>
            <w:shd w:val="clear" w:color="auto" w:fill="E6E6E6"/>
          </w:tcPr>
          <w:p w:rsidR="004174D5" w:rsidRPr="0044619D" w:rsidRDefault="004174D5" w:rsidP="003F18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Domaine de priorité d’investissement :</w:t>
            </w:r>
          </w:p>
          <w:p w:rsidR="004174D5" w:rsidRPr="0044619D" w:rsidRDefault="004174D5" w:rsidP="003F18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Résultat stratégique (Cadre stratégique du FCP) :</w:t>
            </w:r>
          </w:p>
          <w:p w:rsidR="00CD3814" w:rsidRDefault="00CD3814" w:rsidP="003F182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1C32" w:rsidRPr="0044619D" w:rsidRDefault="00FD1C32" w:rsidP="003F182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t>Revitalisation de l’économie avec accent sur les jeunes</w:t>
            </w:r>
          </w:p>
        </w:tc>
        <w:tc>
          <w:tcPr>
            <w:tcW w:w="5229" w:type="dxa"/>
            <w:shd w:val="clear" w:color="auto" w:fill="E6E6E6"/>
          </w:tcPr>
          <w:p w:rsidR="005C7B70" w:rsidRDefault="005C7B70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10CA" w:rsidRDefault="005010CA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0C17" w:rsidRDefault="005010CA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1C3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PMP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  <w:p w:rsidR="005010CA" w:rsidRDefault="00E30C17" w:rsidP="003F18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R</w:t>
            </w:r>
            <w:r w:rsidR="005010CA">
              <w:rPr>
                <w:rFonts w:ascii="Arial" w:hAnsi="Arial" w:cs="Arial"/>
                <w:b/>
                <w:sz w:val="18"/>
                <w:szCs w:val="18"/>
              </w:rPr>
              <w:t>ésultat 3</w:t>
            </w:r>
          </w:p>
          <w:p w:rsidR="005010CA" w:rsidRPr="0044619D" w:rsidRDefault="005010CA" w:rsidP="00E30C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Indicateur : 3.1     </w:t>
            </w:r>
          </w:p>
        </w:tc>
      </w:tr>
      <w:tr w:rsidR="00716C54" w:rsidRPr="0044619D" w:rsidTr="00FD1C32">
        <w:trPr>
          <w:trHeight w:val="1160"/>
        </w:trPr>
        <w:tc>
          <w:tcPr>
            <w:tcW w:w="2700" w:type="dxa"/>
            <w:gridSpan w:val="2"/>
          </w:tcPr>
          <w:p w:rsidR="003B6901" w:rsidRPr="0044619D" w:rsidRDefault="005C7B70" w:rsidP="003F18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ésultat</w:t>
            </w:r>
            <w:r w:rsidR="003B6901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7A55B1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immédiats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FA452E" w:rsidRDefault="003B6901" w:rsidP="003F18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7A55B1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= 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produits projet</w:t>
            </w:r>
            <w:r w:rsidR="00FA452E">
              <w:rPr>
                <w:rFonts w:ascii="Arial" w:hAnsi="Arial" w:cs="Arial"/>
                <w:b/>
                <w:color w:val="000000"/>
                <w:sz w:val="20"/>
                <w:szCs w:val="20"/>
              </w:rPr>
              <w:t>) avec référence aux indicateur</w:t>
            </w:r>
            <w:r w:rsidR="005C7B70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716C54" w:rsidRPr="0044619D" w:rsidRDefault="00716C54" w:rsidP="003F182F">
            <w:pPr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6C54" w:rsidRPr="0044619D" w:rsidRDefault="00A836E1" w:rsidP="004B08F8">
            <w:pPr>
              <w:rPr>
                <w:rFonts w:ascii="Arial" w:hAnsi="Arial" w:cs="Arial"/>
                <w:sz w:val="22"/>
                <w:szCs w:val="22"/>
              </w:rPr>
            </w:pP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>Des élèves des lycées publics seront mieux préparés et qualifiés en révision afin de permettre un plus grand nombre d'élèves à remplir et à passer le Bac avec un maximum de bons résultats</w:t>
            </w:r>
          </w:p>
        </w:tc>
        <w:tc>
          <w:tcPr>
            <w:tcW w:w="5031" w:type="dxa"/>
            <w:gridSpan w:val="2"/>
          </w:tcPr>
          <w:p w:rsidR="00716C54" w:rsidRPr="0044619D" w:rsidRDefault="00716C54" w:rsidP="003D1F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Résultat attendu 1</w:t>
            </w:r>
            <w:r w:rsidRPr="0044619D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</w:p>
          <w:p w:rsidR="00A836E1" w:rsidRPr="0044619D" w:rsidRDefault="00A836E1" w:rsidP="003D1F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36E1" w:rsidRPr="0044619D" w:rsidRDefault="00A836E1" w:rsidP="00A836E1">
            <w:pPr>
              <w:rPr>
                <w:rFonts w:ascii="Arial" w:hAnsi="Arial" w:cs="Arial"/>
              </w:rPr>
            </w:pPr>
            <w:r w:rsidRPr="0044619D">
              <w:rPr>
                <w:rFonts w:ascii="Arial" w:hAnsi="Arial" w:cs="Arial"/>
                <w:sz w:val="22"/>
                <w:szCs w:val="22"/>
                <w:lang w:val="fr-CH"/>
              </w:rPr>
              <w:t>Renforcement des méthodologies de travail et amélioration du niveau des élèves.</w:t>
            </w:r>
          </w:p>
          <w:p w:rsidR="00A836E1" w:rsidRPr="0044619D" w:rsidRDefault="00A836E1" w:rsidP="00A836E1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A836E1" w:rsidRPr="0044619D" w:rsidRDefault="00A836E1" w:rsidP="003D1F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6C54" w:rsidRPr="0044619D" w:rsidRDefault="00716C54" w:rsidP="006F160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Réalisations accomplies</w:t>
            </w:r>
            <w:r w:rsidRPr="0044619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:</w:t>
            </w:r>
          </w:p>
          <w:p w:rsidR="00017416" w:rsidRPr="0044619D" w:rsidRDefault="00017416" w:rsidP="006F160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7416" w:rsidRPr="0044619D" w:rsidRDefault="00017416" w:rsidP="0001741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44619D">
              <w:rPr>
                <w:rFonts w:ascii="Arial" w:hAnsi="Arial" w:cs="Arial"/>
                <w:color w:val="000000"/>
              </w:rPr>
              <w:t>Elaboration, multiplication et diffusion d’un guide pratique pour la préparation du bac</w:t>
            </w:r>
          </w:p>
          <w:p w:rsidR="00017416" w:rsidRDefault="00017416" w:rsidP="0001741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44619D">
              <w:rPr>
                <w:rFonts w:ascii="Arial" w:hAnsi="Arial" w:cs="Arial"/>
                <w:color w:val="000000"/>
              </w:rPr>
              <w:t>Organisation des cours de soutien pour l’appropriation du guide</w:t>
            </w:r>
            <w:r w:rsidR="00032B56">
              <w:rPr>
                <w:rFonts w:ascii="Arial" w:hAnsi="Arial" w:cs="Arial"/>
                <w:color w:val="000000"/>
              </w:rPr>
              <w:t xml:space="preserve"> et la préparation aux examens</w:t>
            </w:r>
          </w:p>
          <w:p w:rsidR="0044619D" w:rsidRPr="0044619D" w:rsidRDefault="0044619D" w:rsidP="0001741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des émissions radio et de télévision</w:t>
            </w:r>
          </w:p>
          <w:p w:rsidR="00716C54" w:rsidRPr="0044619D" w:rsidRDefault="00716C54" w:rsidP="008B06F4">
            <w:pPr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</w:p>
        </w:tc>
        <w:tc>
          <w:tcPr>
            <w:tcW w:w="5229" w:type="dxa"/>
          </w:tcPr>
          <w:p w:rsidR="00716C54" w:rsidRPr="0044619D" w:rsidRDefault="00716C54" w:rsidP="003F182F">
            <w:pPr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Contrainte(s)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</w:p>
          <w:p w:rsidR="008B06F4" w:rsidRDefault="00943FEF" w:rsidP="003F182F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</w:t>
            </w:r>
            <w:r w:rsidR="0044619D" w:rsidRPr="0044619D">
              <w:rPr>
                <w:rFonts w:ascii="Arial" w:hAnsi="Arial" w:cs="Arial"/>
              </w:rPr>
              <w:t>rève des enseignants a pertubé l</w:t>
            </w:r>
            <w:r>
              <w:rPr>
                <w:rFonts w:ascii="Arial" w:hAnsi="Arial" w:cs="Arial"/>
              </w:rPr>
              <w:t>e</w:t>
            </w:r>
            <w:r w:rsidR="0044619D" w:rsidRPr="004461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déroulement normal des</w:t>
            </w:r>
            <w:r w:rsidR="0044619D" w:rsidRPr="0044619D">
              <w:rPr>
                <w:rFonts w:ascii="Arial" w:hAnsi="Arial" w:cs="Arial"/>
              </w:rPr>
              <w:t xml:space="preserve"> cours </w:t>
            </w:r>
          </w:p>
          <w:p w:rsidR="0044619D" w:rsidRPr="0044619D" w:rsidRDefault="0044619D" w:rsidP="0044619D">
            <w:pPr>
              <w:pStyle w:val="Paragraphedeliste"/>
              <w:rPr>
                <w:rFonts w:ascii="Arial" w:hAnsi="Arial" w:cs="Arial"/>
              </w:rPr>
            </w:pPr>
          </w:p>
          <w:p w:rsidR="00716C54" w:rsidRDefault="00716C54" w:rsidP="003F1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Solution(s) Proposée(s)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  <w:r w:rsidRPr="004461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44619D" w:rsidRDefault="0044619D" w:rsidP="003F1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4619D" w:rsidRPr="00943FEF" w:rsidRDefault="0044619D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>Le gouvernement a trouvé un compromis avec le syndicat des enseignants</w:t>
            </w:r>
            <w:r w:rsidR="00943F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43FEF" w:rsidRPr="00943FEF">
              <w:rPr>
                <w:rFonts w:ascii="Arial" w:hAnsi="Arial" w:cs="Arial"/>
                <w:color w:val="000000" w:themeColor="text1"/>
                <w:sz w:val="20"/>
                <w:szCs w:val="20"/>
              </w:rPr>
              <w:t>et les cours ont repris.</w:t>
            </w:r>
          </w:p>
          <w:p w:rsidR="00716C54" w:rsidRPr="0044619D" w:rsidRDefault="00716C54" w:rsidP="004A5C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6C54" w:rsidRPr="0044619D" w:rsidRDefault="00716C54" w:rsidP="00362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C54" w:rsidRPr="0044619D" w:rsidTr="00FD1C32">
        <w:trPr>
          <w:trHeight w:val="179"/>
        </w:trPr>
        <w:tc>
          <w:tcPr>
            <w:tcW w:w="2700" w:type="dxa"/>
            <w:gridSpan w:val="2"/>
          </w:tcPr>
          <w:p w:rsidR="00017416" w:rsidRPr="0044619D" w:rsidRDefault="003B6901" w:rsidP="00017416">
            <w:pPr>
              <w:spacing w:before="60"/>
              <w:rPr>
                <w:rStyle w:val="longtext"/>
                <w:rFonts w:ascii="Arial" w:hAnsi="Arial" w:cs="Arial"/>
                <w:sz w:val="22"/>
                <w:szCs w:val="22"/>
              </w:rPr>
            </w:pPr>
            <w:r w:rsidRPr="00446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17416" w:rsidRPr="0044619D">
              <w:rPr>
                <w:rStyle w:val="longtext"/>
                <w:rFonts w:ascii="Arial" w:hAnsi="Arial" w:cs="Arial"/>
                <w:sz w:val="22"/>
                <w:szCs w:val="22"/>
              </w:rPr>
              <w:t xml:space="preserve">Indicateurs : </w:t>
            </w:r>
          </w:p>
          <w:p w:rsidR="00017416" w:rsidRPr="0044619D" w:rsidRDefault="00017416" w:rsidP="0001741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>Les écoles ont complété une évaluation de base.</w:t>
            </w:r>
          </w:p>
          <w:p w:rsidR="00017416" w:rsidRPr="0044619D" w:rsidRDefault="00017416" w:rsidP="0001741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>Toutes les écoles auront un plan pour reconnaître et célébrer la réussite des élèves et développer une méthode pour enregistrer les résultats de ceux-ci.</w:t>
            </w:r>
          </w:p>
          <w:p w:rsidR="00716C54" w:rsidRPr="0044619D" w:rsidRDefault="00716C54" w:rsidP="0044619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1" w:type="dxa"/>
            <w:gridSpan w:val="2"/>
          </w:tcPr>
          <w:p w:rsidR="00716C54" w:rsidRDefault="00716C54" w:rsidP="0034259E">
            <w:pPr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Résultat attendu 2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Pr="004461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619D" w:rsidRDefault="0044619D" w:rsidP="003425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D72A0" w:rsidRPr="0044619D" w:rsidRDefault="0044619D" w:rsidP="0034259E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Meilleure gouvernance des lycées publics</w:t>
            </w:r>
          </w:p>
          <w:p w:rsidR="00716C54" w:rsidRDefault="00716C54" w:rsidP="0034259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Réalisations accomplies</w:t>
            </w:r>
            <w:r w:rsidRPr="0044619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:</w:t>
            </w:r>
          </w:p>
          <w:p w:rsidR="0044619D" w:rsidRDefault="0044619D" w:rsidP="0034259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43FEF" w:rsidRDefault="00943FEF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des réunion</w:t>
            </w:r>
            <w:r w:rsidR="00FA452E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d’évaluation interne des lycées</w:t>
            </w:r>
          </w:p>
          <w:p w:rsidR="0044619D" w:rsidRPr="0044619D" w:rsidRDefault="0044619D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44619D">
              <w:rPr>
                <w:rFonts w:ascii="Arial" w:hAnsi="Arial" w:cs="Arial"/>
                <w:color w:val="000000"/>
              </w:rPr>
              <w:t>Organisation des réunions mensuels des chefs d’établissement.</w:t>
            </w:r>
          </w:p>
          <w:p w:rsidR="0044619D" w:rsidRPr="0044619D" w:rsidRDefault="0044619D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44619D">
              <w:rPr>
                <w:rFonts w:ascii="Arial" w:hAnsi="Arial" w:cs="Arial"/>
                <w:color w:val="000000"/>
              </w:rPr>
              <w:t>Mise en place de conseil d’administration et ou des comités de pilotages des lycées publics</w:t>
            </w:r>
          </w:p>
          <w:p w:rsidR="00716C54" w:rsidRPr="0044619D" w:rsidRDefault="00716C54" w:rsidP="008B06F4">
            <w:pPr>
              <w:spacing w:before="120"/>
              <w:ind w:left="17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  <w:vMerge w:val="restart"/>
          </w:tcPr>
          <w:p w:rsidR="00FB1131" w:rsidRPr="0044619D" w:rsidRDefault="00FB1131" w:rsidP="00FB1131">
            <w:pPr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Contrainte(s)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</w:p>
          <w:p w:rsidR="00FB1131" w:rsidRPr="00943FEF" w:rsidRDefault="00943FEF" w:rsidP="00FB1131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43FEF">
              <w:rPr>
                <w:rFonts w:ascii="Arial" w:hAnsi="Arial" w:cs="Arial"/>
              </w:rPr>
              <w:t>La g</w:t>
            </w:r>
            <w:r w:rsidR="00FB1131" w:rsidRPr="00943FEF">
              <w:rPr>
                <w:rFonts w:ascii="Arial" w:hAnsi="Arial" w:cs="Arial"/>
              </w:rPr>
              <w:t xml:space="preserve">rève des enseignants  a pertubé </w:t>
            </w:r>
            <w:r w:rsidRPr="00943FEF">
              <w:rPr>
                <w:rFonts w:ascii="Arial" w:hAnsi="Arial" w:cs="Arial"/>
              </w:rPr>
              <w:t>le fonctionnement normal des lycées publics.</w:t>
            </w:r>
            <w:r w:rsidR="00FB1131" w:rsidRPr="00943FEF">
              <w:rPr>
                <w:rFonts w:ascii="Arial" w:hAnsi="Arial" w:cs="Arial"/>
              </w:rPr>
              <w:t xml:space="preserve"> </w:t>
            </w:r>
          </w:p>
          <w:p w:rsidR="00FB1131" w:rsidRPr="00943FEF" w:rsidRDefault="00FB1131" w:rsidP="00FB1131">
            <w:pPr>
              <w:pStyle w:val="Paragraphedeliste"/>
              <w:rPr>
                <w:rFonts w:ascii="Arial" w:hAnsi="Arial" w:cs="Arial"/>
              </w:rPr>
            </w:pP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Solution(s) Proposée(s)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  <w:r w:rsidRPr="004461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Default="00943FEF" w:rsidP="00FB1131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 tournées de sensibilisation </w:t>
            </w:r>
            <w:r w:rsidR="000A4118">
              <w:rPr>
                <w:rFonts w:ascii="Arial" w:hAnsi="Arial" w:cs="Arial"/>
                <w:color w:val="000000" w:themeColor="text1"/>
                <w:sz w:val="20"/>
                <w:szCs w:val="20"/>
              </w:rPr>
              <w:t>ont été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organisées durant la grève pour sensibiliser les proviseurs et organiser dans la mesure du possible des cours de soutien au profit des élèves.</w:t>
            </w: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43FEF" w:rsidRDefault="00943FEF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43FEF" w:rsidRDefault="00943FEF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Default="00FB1131" w:rsidP="00FB1131">
            <w:pPr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Contrainte(s)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</w:p>
          <w:p w:rsidR="00FB1131" w:rsidRPr="00FB1131" w:rsidRDefault="00FB1131" w:rsidP="00FB1131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 sur la commande et la livraison du matériel informatique au profit de cinq lycées publics</w:t>
            </w: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Solution(s) Proposée(s)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  <w:r w:rsidRPr="004461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Pr="00943FEF" w:rsidRDefault="00FB1131" w:rsidP="00FB1131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3F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commande est déjà faite et nous attendons incessamment la livraison du matériel. </w:t>
            </w:r>
            <w:r w:rsidR="00943FEF" w:rsidRPr="00943FEF">
              <w:rPr>
                <w:rFonts w:ascii="Arial" w:hAnsi="Arial" w:cs="Arial"/>
                <w:color w:val="000000" w:themeColor="text1"/>
                <w:sz w:val="20"/>
                <w:szCs w:val="20"/>
              </w:rPr>
              <w:t>Le cinq salles internet seront normalement opérationnels courant juillet.</w:t>
            </w:r>
          </w:p>
          <w:p w:rsidR="00FB1131" w:rsidRDefault="00FB1131" w:rsidP="00FB1131">
            <w:pPr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Contrainte(s)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</w:p>
          <w:p w:rsidR="00FB1131" w:rsidRPr="0044619D" w:rsidRDefault="00FB1131" w:rsidP="00FB1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Absence d’outils adéquats pour l’éducation civique et l’éducation à la culture de la paix</w:t>
            </w:r>
          </w:p>
          <w:p w:rsidR="00FB1131" w:rsidRDefault="00FB1131" w:rsidP="00FB1131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sz w:val="20"/>
                <w:szCs w:val="20"/>
              </w:rPr>
              <w:t>Solution(s) Proposée(s)</w:t>
            </w:r>
            <w:r w:rsidRPr="0044619D">
              <w:rPr>
                <w:rFonts w:ascii="Arial" w:hAnsi="Arial" w:cs="Arial"/>
                <w:sz w:val="20"/>
                <w:szCs w:val="20"/>
              </w:rPr>
              <w:t> : </w:t>
            </w:r>
            <w:r w:rsidRPr="004461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Pr="0044619D" w:rsidRDefault="00FB1131" w:rsidP="00FB1131">
            <w:pPr>
              <w:rPr>
                <w:rFonts w:ascii="Arial" w:hAnsi="Arial" w:cs="Arial"/>
                <w:sz w:val="20"/>
                <w:szCs w:val="20"/>
              </w:rPr>
            </w:pPr>
            <w:r w:rsidRPr="00FB1131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Elaboration des outils pour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l’éducation civique et l’éducation à la culture de la paix</w:t>
            </w:r>
          </w:p>
          <w:p w:rsidR="00FB1131" w:rsidRDefault="00FB1131" w:rsidP="00FB1131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P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P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1131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FB1131" w:rsidRPr="0044619D" w:rsidRDefault="00FB1131" w:rsidP="00F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131" w:rsidRPr="00FB1131" w:rsidRDefault="00FB1131" w:rsidP="00FB11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B1131" w:rsidRPr="0044619D" w:rsidRDefault="00FB1131" w:rsidP="00F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6C54" w:rsidRDefault="00716C54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52E" w:rsidRDefault="00FA452E" w:rsidP="00362FEB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70F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452E">
              <w:rPr>
                <w:rFonts w:ascii="Arial" w:hAnsi="Arial" w:cs="Arial"/>
                <w:spacing w:val="-2"/>
                <w:sz w:val="22"/>
                <w:szCs w:val="22"/>
              </w:rPr>
              <w:t xml:space="preserve">L’objectif global de consolidation de la paix dans le cadre de ce projet devait se traduire par un bon encadrement des jeunes à travers des nouvelles  méthodologies d’apprentissage et l’éducation à la culture de la paix. </w:t>
            </w:r>
          </w:p>
          <w:p w:rsidR="008E670F" w:rsidRDefault="008E670F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FA452E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452E">
              <w:rPr>
                <w:rFonts w:ascii="Arial" w:hAnsi="Arial" w:cs="Arial"/>
                <w:spacing w:val="-2"/>
                <w:sz w:val="22"/>
                <w:szCs w:val="22"/>
              </w:rPr>
              <w:t>A neuf mois avant la clôture du projet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, l’essentiel des activités sont réalisées, sauf l’ouverture des salles internet et une partie des émissions.</w:t>
            </w:r>
          </w:p>
          <w:p w:rsidR="00FA452E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FA452E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Il est encore tôt pour tirer des conclusions, mais l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atout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du projet 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 xml:space="preserve">sont essentiellement l’introduction des nouvelles méthodologies d’apprentissage ;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l’approche intégré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>e et participativ</w:t>
            </w:r>
            <w:r w:rsidR="00032B56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 xml:space="preserve"> qui permettent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de toucher du doigt un certain nombre de défis du système éducatif comorien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 xml:space="preserve"> tout en aidant les acteurs principaux à identifier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eux-mêmes les solutions pertinentes.</w:t>
            </w:r>
          </w:p>
          <w:p w:rsidR="00FA452E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FA452E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La grosse difficulté est  structurelle : l’insuffisance criante des moyens techniques, financiers et humains. Ainsi nous avons 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 xml:space="preserve">mis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l’élève au centre de</w:t>
            </w:r>
            <w:r w:rsidR="008E670F">
              <w:rPr>
                <w:rFonts w:ascii="Arial" w:hAnsi="Arial" w:cs="Arial"/>
                <w:spacing w:val="-2"/>
                <w:sz w:val="22"/>
                <w:szCs w:val="22"/>
              </w:rPr>
              <w:t xml:space="preserve"> la stratégie, tout en développant des nouvelles approches et organisations susceptible de renforcer les capacités des lycées publics, des chefs d’établissement et des enseignants.</w:t>
            </w:r>
          </w:p>
          <w:p w:rsidR="00FA452E" w:rsidRPr="00FA452E" w:rsidRDefault="00FA452E" w:rsidP="00FA452E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FA452E" w:rsidRPr="0044619D" w:rsidRDefault="00FA452E" w:rsidP="00FA45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C54" w:rsidRPr="0044619D" w:rsidTr="00FD1C32">
        <w:trPr>
          <w:trHeight w:val="179"/>
        </w:trPr>
        <w:tc>
          <w:tcPr>
            <w:tcW w:w="2700" w:type="dxa"/>
            <w:gridSpan w:val="2"/>
          </w:tcPr>
          <w:p w:rsidR="00017416" w:rsidRPr="0044619D" w:rsidRDefault="00017416" w:rsidP="00017416">
            <w:pPr>
              <w:spacing w:before="60"/>
              <w:rPr>
                <w:rStyle w:val="longtext"/>
                <w:rFonts w:ascii="Arial" w:hAnsi="Arial" w:cs="Arial"/>
                <w:sz w:val="22"/>
                <w:szCs w:val="22"/>
              </w:rPr>
            </w:pPr>
            <w:r w:rsidRPr="0044619D">
              <w:rPr>
                <w:rStyle w:val="longtext"/>
                <w:rFonts w:ascii="Arial" w:hAnsi="Arial" w:cs="Arial"/>
                <w:sz w:val="22"/>
                <w:szCs w:val="22"/>
              </w:rPr>
              <w:t>Indicateurs :</w:t>
            </w:r>
          </w:p>
          <w:p w:rsidR="00017416" w:rsidRPr="0044619D" w:rsidRDefault="00017416" w:rsidP="0001741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19D">
              <w:rPr>
                <w:rStyle w:val="longtext"/>
                <w:rFonts w:ascii="Arial" w:hAnsi="Arial" w:cs="Arial"/>
                <w:sz w:val="22"/>
                <w:szCs w:val="22"/>
              </w:rPr>
              <w:t xml:space="preserve"> </w:t>
            </w: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 élèves auront accès à de nouvelles sources de matériel de référence, pour l'amélioration de leurs travaux de recherche et le développement de la pensée critique.  </w:t>
            </w:r>
          </w:p>
          <w:p w:rsidR="00017416" w:rsidRPr="0044619D" w:rsidRDefault="00017416" w:rsidP="0001741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 groupe d’élèves dans chaque communauté sera formé à la gestion du matériel ainsi que pour l’utilisation des nouvelles compétences  des centres Internet. </w:t>
            </w:r>
          </w:p>
          <w:p w:rsidR="003B6901" w:rsidRPr="0044619D" w:rsidRDefault="003B6901" w:rsidP="008B06F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1" w:type="dxa"/>
            <w:gridSpan w:val="2"/>
          </w:tcPr>
          <w:p w:rsidR="00716C54" w:rsidRPr="0044619D" w:rsidRDefault="00716C54" w:rsidP="00CD73DC">
            <w:pPr>
              <w:tabs>
                <w:tab w:val="left" w:pos="-720"/>
                <w:tab w:val="left" w:pos="4500"/>
              </w:tabs>
              <w:suppressAutoHyphens/>
              <w:spacing w:after="54"/>
              <w:rPr>
                <w:rFonts w:ascii="Arial" w:hAnsi="Arial" w:cs="Arial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Résultat attendu 3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Pr="004461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1131" w:rsidRPr="00FB1131" w:rsidRDefault="00FB1131" w:rsidP="00FB1131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FB1131">
              <w:rPr>
                <w:rFonts w:ascii="Arial" w:hAnsi="Arial" w:cs="Arial"/>
                <w:color w:val="000000" w:themeColor="text1"/>
                <w:sz w:val="22"/>
                <w:szCs w:val="22"/>
                <w:lang w:val="fr-CH"/>
              </w:rPr>
              <w:t>Des salles de connexion internet sont opérationnelles.</w:t>
            </w:r>
          </w:p>
          <w:p w:rsidR="0044619D" w:rsidRDefault="0044619D" w:rsidP="008B06F4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fr-CH"/>
              </w:rPr>
            </w:pPr>
          </w:p>
          <w:p w:rsidR="00943FEF" w:rsidRPr="00FB1131" w:rsidRDefault="00943FEF" w:rsidP="008B06F4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fr-CH"/>
              </w:rPr>
            </w:pPr>
          </w:p>
          <w:p w:rsidR="0044619D" w:rsidRDefault="0044619D" w:rsidP="008B06F4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716C54" w:rsidRDefault="00716C54" w:rsidP="008B0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Réalisations accomplies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Pr="004461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3FEF" w:rsidRDefault="00943FEF" w:rsidP="008B0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FEF" w:rsidRDefault="00032B56" w:rsidP="00943FEF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Sélection du fournisseur</w:t>
            </w:r>
          </w:p>
          <w:p w:rsidR="00032B56" w:rsidRDefault="00032B56" w:rsidP="00943FEF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5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943FEF" w:rsidRPr="00032B56">
              <w:rPr>
                <w:rFonts w:ascii="Arial" w:hAnsi="Arial" w:cs="Arial"/>
                <w:color w:val="000000"/>
                <w:sz w:val="20"/>
                <w:szCs w:val="20"/>
              </w:rPr>
              <w:t xml:space="preserve">ommande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 matériel</w:t>
            </w:r>
          </w:p>
          <w:p w:rsidR="00943FEF" w:rsidRPr="00032B56" w:rsidRDefault="00763187" w:rsidP="00943FEF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B56">
              <w:rPr>
                <w:rFonts w:ascii="Arial" w:hAnsi="Arial" w:cs="Arial"/>
                <w:color w:val="000000"/>
                <w:sz w:val="20"/>
                <w:szCs w:val="20"/>
              </w:rPr>
              <w:t>La livraison est programmée pour la première quinzaine de juillet 2011</w:t>
            </w:r>
          </w:p>
          <w:p w:rsidR="008B06F4" w:rsidRPr="0044619D" w:rsidRDefault="008B06F4" w:rsidP="008B0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6C54" w:rsidRPr="0044619D" w:rsidRDefault="00716C54" w:rsidP="00E06C3D">
            <w:pPr>
              <w:spacing w:before="60"/>
              <w:ind w:left="18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  <w:vMerge/>
          </w:tcPr>
          <w:p w:rsidR="00716C54" w:rsidRPr="0044619D" w:rsidRDefault="00716C54" w:rsidP="00362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C54" w:rsidRPr="0044619D" w:rsidTr="00FD1C32">
        <w:trPr>
          <w:trHeight w:val="1826"/>
        </w:trPr>
        <w:tc>
          <w:tcPr>
            <w:tcW w:w="2700" w:type="dxa"/>
            <w:gridSpan w:val="2"/>
          </w:tcPr>
          <w:p w:rsidR="00716C54" w:rsidRPr="0044619D" w:rsidRDefault="00017416" w:rsidP="008B06F4">
            <w:pPr>
              <w:spacing w:before="60"/>
              <w:rPr>
                <w:rStyle w:val="longtext"/>
                <w:rFonts w:ascii="Arial" w:hAnsi="Arial" w:cs="Arial"/>
                <w:sz w:val="22"/>
                <w:szCs w:val="22"/>
              </w:rPr>
            </w:pPr>
            <w:r w:rsidRPr="0044619D">
              <w:rPr>
                <w:rStyle w:val="longtext"/>
                <w:rFonts w:ascii="Arial" w:hAnsi="Arial" w:cs="Arial"/>
                <w:sz w:val="22"/>
                <w:szCs w:val="22"/>
              </w:rPr>
              <w:t xml:space="preserve">Indicateur : </w:t>
            </w:r>
          </w:p>
          <w:p w:rsidR="00017416" w:rsidRPr="0044619D" w:rsidRDefault="00017416" w:rsidP="008B06F4">
            <w:pPr>
              <w:spacing w:before="60"/>
              <w:rPr>
                <w:rStyle w:val="longtext"/>
                <w:rFonts w:ascii="Arial" w:hAnsi="Arial" w:cs="Arial"/>
                <w:sz w:val="22"/>
                <w:szCs w:val="22"/>
              </w:rPr>
            </w:pPr>
          </w:p>
          <w:p w:rsidR="00716C54" w:rsidRPr="0044619D" w:rsidRDefault="00017416" w:rsidP="00FF7239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44619D">
              <w:rPr>
                <w:rFonts w:ascii="Arial" w:hAnsi="Arial" w:cs="Arial"/>
                <w:color w:val="000000" w:themeColor="text1"/>
                <w:sz w:val="20"/>
                <w:szCs w:val="20"/>
              </w:rPr>
              <w:t>Les modules d'enseignement de la culture de la paix seront intégrés dans le curriculum d'éducation civique</w:t>
            </w:r>
          </w:p>
          <w:p w:rsidR="003B6901" w:rsidRPr="0044619D" w:rsidRDefault="003B6901" w:rsidP="00FF7239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 w:rsidRPr="00446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1" w:type="dxa"/>
            <w:gridSpan w:val="2"/>
          </w:tcPr>
          <w:p w:rsidR="00716C54" w:rsidRDefault="00716C54" w:rsidP="00173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Résultat attendu 4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763187" w:rsidRPr="0044619D" w:rsidRDefault="00763187" w:rsidP="00173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836E1" w:rsidRPr="0044619D" w:rsidRDefault="00A836E1" w:rsidP="00A836E1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44619D">
              <w:rPr>
                <w:rFonts w:ascii="Arial" w:hAnsi="Arial" w:cs="Arial"/>
                <w:sz w:val="22"/>
                <w:szCs w:val="22"/>
                <w:lang w:val="fr-CH"/>
              </w:rPr>
              <w:t xml:space="preserve">L’éducation civique et l’éducation à la culture de la paix sont développées </w:t>
            </w:r>
          </w:p>
          <w:p w:rsidR="00A836E1" w:rsidRPr="0044619D" w:rsidRDefault="00A836E1" w:rsidP="00A836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16C54" w:rsidRPr="0044619D" w:rsidRDefault="00716C54" w:rsidP="00173E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16C54" w:rsidRDefault="00716C54" w:rsidP="006F16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Réalisations accomplies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44619D" w:rsidRDefault="0044619D" w:rsidP="006F16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B1131" w:rsidRDefault="00FB1131" w:rsidP="006F16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B1131" w:rsidRDefault="00FB1131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des ateliers de formation au niveau de chaque île regroupant les principaux acteurs</w:t>
            </w:r>
          </w:p>
          <w:p w:rsidR="0044619D" w:rsidRDefault="0044619D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des émissions radio et de télévision</w:t>
            </w:r>
            <w:r w:rsidR="00FB1131">
              <w:rPr>
                <w:rFonts w:ascii="Arial" w:hAnsi="Arial" w:cs="Arial"/>
                <w:color w:val="000000"/>
              </w:rPr>
              <w:t xml:space="preserve"> sur les jeunes et la culture de la paix</w:t>
            </w:r>
          </w:p>
          <w:p w:rsidR="00FB1131" w:rsidRPr="0044619D" w:rsidRDefault="00FB1131" w:rsidP="004461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Elaboration d’un guide sur l’éducation à la culture de la paix</w:t>
            </w:r>
          </w:p>
          <w:p w:rsidR="0044619D" w:rsidRPr="0044619D" w:rsidRDefault="0044619D" w:rsidP="006F16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B5E5D" w:rsidRPr="0044619D" w:rsidRDefault="008B5E5D" w:rsidP="005D72A0">
            <w:pPr>
              <w:spacing w:before="60"/>
              <w:ind w:left="18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9" w:type="dxa"/>
            <w:vMerge/>
          </w:tcPr>
          <w:p w:rsidR="00716C54" w:rsidRPr="0044619D" w:rsidRDefault="00716C54" w:rsidP="00362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4D5" w:rsidRPr="0044619D" w:rsidTr="00FD1C32">
        <w:trPr>
          <w:trHeight w:val="179"/>
        </w:trPr>
        <w:tc>
          <w:tcPr>
            <w:tcW w:w="7731" w:type="dxa"/>
            <w:gridSpan w:val="4"/>
          </w:tcPr>
          <w:p w:rsidR="004174D5" w:rsidRPr="0044619D" w:rsidRDefault="004174D5" w:rsidP="00F550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19D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éalisations accomplies par rapport </w:t>
            </w:r>
            <w:r w:rsidR="004F72D2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aux prévisions avec référence </w:t>
            </w:r>
            <w:r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aux indicateurs des résultats stratégiques </w:t>
            </w:r>
            <w:r w:rsidR="004F72D2" w:rsidRPr="0044619D">
              <w:rPr>
                <w:rFonts w:ascii="Arial" w:hAnsi="Arial" w:cs="Arial"/>
                <w:b/>
                <w:color w:val="000000"/>
                <w:sz w:val="20"/>
                <w:szCs w:val="20"/>
              </w:rPr>
              <w:t>(effets sectoriels)</w:t>
            </w:r>
          </w:p>
          <w:p w:rsidR="004174D5" w:rsidRPr="0044619D" w:rsidRDefault="004174D5" w:rsidP="00F550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72D2" w:rsidRPr="0044619D" w:rsidRDefault="004F72D2" w:rsidP="004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  <w:t>Note </w:t>
            </w:r>
            <w:r w:rsidRPr="0044619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4F72D2" w:rsidRPr="0044619D" w:rsidRDefault="004F72D2" w:rsidP="004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72D2" w:rsidRPr="0044619D" w:rsidRDefault="004F72D2" w:rsidP="004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color w:val="000000"/>
                <w:sz w:val="18"/>
                <w:szCs w:val="18"/>
              </w:rPr>
              <w:t xml:space="preserve">- Expliquez brièvement (4 to 5 constats au maximum) dans quelle mesure la performance du projet de ‘livrer les produits attendus’ contribue aux résultats du PMP ? </w:t>
            </w:r>
          </w:p>
          <w:p w:rsidR="004F72D2" w:rsidRPr="0044619D" w:rsidRDefault="004F72D2" w:rsidP="004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color w:val="000000"/>
                <w:sz w:val="18"/>
                <w:szCs w:val="18"/>
              </w:rPr>
              <w:t xml:space="preserve">- Qu’est ce qui a été prévu d’atteindre en fin 2011, et qu’est ce qui a été réalisé mi-parcours? </w:t>
            </w:r>
          </w:p>
          <w:p w:rsidR="004F72D2" w:rsidRPr="0044619D" w:rsidRDefault="004F72D2" w:rsidP="004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color w:val="000000"/>
                <w:sz w:val="18"/>
                <w:szCs w:val="18"/>
              </w:rPr>
              <w:t xml:space="preserve">- Donnez des bonnes et des mauvais exemples de vos pratiques des projets? </w:t>
            </w:r>
          </w:p>
          <w:p w:rsidR="004F72D2" w:rsidRPr="0044619D" w:rsidRDefault="004F72D2" w:rsidP="004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19D">
              <w:rPr>
                <w:rFonts w:ascii="Arial" w:hAnsi="Arial" w:cs="Arial"/>
                <w:color w:val="000000"/>
                <w:sz w:val="18"/>
                <w:szCs w:val="18"/>
              </w:rPr>
              <w:t xml:space="preserve">- Comment vous allez améliorer la performance des projets d’atteindre les résultats escomptes?      </w:t>
            </w:r>
          </w:p>
          <w:p w:rsidR="004174D5" w:rsidRPr="0044619D" w:rsidRDefault="004174D5" w:rsidP="008B06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29" w:type="dxa"/>
            <w:vMerge/>
          </w:tcPr>
          <w:p w:rsidR="004174D5" w:rsidRPr="0044619D" w:rsidRDefault="004174D5" w:rsidP="00362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3814" w:rsidRPr="0044619D" w:rsidRDefault="00CD3814">
      <w:pPr>
        <w:rPr>
          <w:rFonts w:ascii="Arial" w:hAnsi="Arial" w:cs="Arial"/>
          <w:sz w:val="22"/>
          <w:szCs w:val="22"/>
        </w:rPr>
      </w:pPr>
    </w:p>
    <w:sectPr w:rsidR="00CD3814" w:rsidRPr="0044619D" w:rsidSect="005D72A0">
      <w:footerReference w:type="even" r:id="rId7"/>
      <w:footerReference w:type="default" r:id="rId8"/>
      <w:pgSz w:w="15840" w:h="12240" w:orient="landscape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AE" w:rsidRDefault="00982CAE">
      <w:r>
        <w:separator/>
      </w:r>
    </w:p>
  </w:endnote>
  <w:endnote w:type="continuationSeparator" w:id="0">
    <w:p w:rsidR="00982CAE" w:rsidRDefault="0098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3E" w:rsidRDefault="003B6648" w:rsidP="00B4416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4793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4793E" w:rsidRDefault="0094793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3E" w:rsidRDefault="003B6648" w:rsidP="00B4416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4793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E670F">
      <w:rPr>
        <w:rStyle w:val="Numrodepage"/>
        <w:noProof/>
      </w:rPr>
      <w:t>4</w:t>
    </w:r>
    <w:r>
      <w:rPr>
        <w:rStyle w:val="Numrodepage"/>
      </w:rPr>
      <w:fldChar w:fldCharType="end"/>
    </w:r>
  </w:p>
  <w:p w:rsidR="0094793E" w:rsidRDefault="009479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AE" w:rsidRDefault="00982CAE">
      <w:r>
        <w:separator/>
      </w:r>
    </w:p>
  </w:footnote>
  <w:footnote w:type="continuationSeparator" w:id="0">
    <w:p w:rsidR="00982CAE" w:rsidRDefault="00982CAE">
      <w:r>
        <w:continuationSeparator/>
      </w:r>
    </w:p>
  </w:footnote>
  <w:footnote w:id="1">
    <w:p w:rsidR="0094793E" w:rsidRDefault="0094793E" w:rsidP="00FF7239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Style w:val="Appelnotedebasdep"/>
          <w:sz w:val="20"/>
          <w:szCs w:val="20"/>
        </w:rPr>
        <w:footnoteRef/>
      </w:r>
      <w:r>
        <w:rPr>
          <w:sz w:val="20"/>
          <w:szCs w:val="20"/>
        </w:rPr>
        <w:t xml:space="preserve"> Fonds engagés  sont définis comme des contrats légaux pour des services, des travaux tels que régis par les procédures et régulations financières des agences </w:t>
      </w:r>
    </w:p>
    <w:p w:rsidR="0094793E" w:rsidRDefault="0094793E" w:rsidP="00FF7239">
      <w:pPr>
        <w:jc w:val="both"/>
        <w:outlineLvl w:val="0"/>
        <w:rPr>
          <w:sz w:val="20"/>
          <w:szCs w:val="20"/>
        </w:rPr>
      </w:pPr>
      <w:r>
        <w:rPr>
          <w:rStyle w:val="Appelnotedebasdep"/>
          <w:sz w:val="20"/>
          <w:szCs w:val="20"/>
        </w:rPr>
        <w:t>2</w:t>
      </w:r>
      <w:r>
        <w:rPr>
          <w:sz w:val="20"/>
          <w:szCs w:val="20"/>
        </w:rPr>
        <w:t xml:space="preserve"> Paiement (services, travaux) sur les engagements. </w:t>
      </w:r>
    </w:p>
    <w:p w:rsidR="0094793E" w:rsidRDefault="0094793E" w:rsidP="00FF7239">
      <w:pPr>
        <w:pStyle w:val="Notedebasdepage"/>
        <w:rPr>
          <w:lang w:val="fr-FR"/>
        </w:rPr>
      </w:pPr>
    </w:p>
    <w:p w:rsidR="0094793E" w:rsidRPr="004A55DB" w:rsidRDefault="0094793E" w:rsidP="00C025B5">
      <w:pPr>
        <w:jc w:val="both"/>
        <w:outlineLvl w:val="0"/>
        <w:rPr>
          <w:rFonts w:ascii="Arial" w:hAnsi="Arial" w:cs="Arial"/>
          <w:sz w:val="20"/>
          <w:szCs w:val="20"/>
        </w:rPr>
      </w:pPr>
    </w:p>
  </w:footnote>
  <w:footnote w:id="2">
    <w:p w:rsidR="0094793E" w:rsidRPr="00F51E4D" w:rsidRDefault="0094793E" w:rsidP="00F51E4D">
      <w:pPr>
        <w:jc w:val="both"/>
        <w:outlineLvl w:val="0"/>
        <w:rPr>
          <w:sz w:val="20"/>
          <w:szCs w:val="20"/>
        </w:rPr>
      </w:pPr>
    </w:p>
    <w:p w:rsidR="0094793E" w:rsidRPr="00FF7239" w:rsidRDefault="0094793E" w:rsidP="00CD3814">
      <w:pPr>
        <w:pStyle w:val="Notedebasdepage"/>
        <w:rPr>
          <w:lang w:val="fr-F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618"/>
    <w:multiLevelType w:val="hybridMultilevel"/>
    <w:tmpl w:val="AEBE4E2E"/>
    <w:lvl w:ilvl="0" w:tplc="E21E1FC8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4A1"/>
    <w:multiLevelType w:val="hybridMultilevel"/>
    <w:tmpl w:val="A69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27208"/>
    <w:multiLevelType w:val="hybridMultilevel"/>
    <w:tmpl w:val="38F0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1C00"/>
    <w:multiLevelType w:val="hybridMultilevel"/>
    <w:tmpl w:val="2E1AEAFA"/>
    <w:lvl w:ilvl="0" w:tplc="ACB4EAE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67CD5"/>
    <w:multiLevelType w:val="hybridMultilevel"/>
    <w:tmpl w:val="7698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91090"/>
    <w:multiLevelType w:val="hybridMultilevel"/>
    <w:tmpl w:val="1D6C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4350D"/>
    <w:multiLevelType w:val="hybridMultilevel"/>
    <w:tmpl w:val="C5B2BCCE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460F7B5D"/>
    <w:multiLevelType w:val="multilevel"/>
    <w:tmpl w:val="F676BE8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0000"/>
      </w:rPr>
    </w:lvl>
  </w:abstractNum>
  <w:abstractNum w:abstractNumId="8">
    <w:nsid w:val="51AC0589"/>
    <w:multiLevelType w:val="hybridMultilevel"/>
    <w:tmpl w:val="320E99C6"/>
    <w:lvl w:ilvl="0" w:tplc="E21E1FC8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C2A33"/>
    <w:multiLevelType w:val="hybridMultilevel"/>
    <w:tmpl w:val="44B0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D0A42"/>
    <w:multiLevelType w:val="hybridMultilevel"/>
    <w:tmpl w:val="55424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A6231"/>
    <w:multiLevelType w:val="hybridMultilevel"/>
    <w:tmpl w:val="9E96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F06A7"/>
    <w:multiLevelType w:val="hybridMultilevel"/>
    <w:tmpl w:val="65C4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72ABD"/>
    <w:multiLevelType w:val="hybridMultilevel"/>
    <w:tmpl w:val="10D4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4B6140"/>
    <w:multiLevelType w:val="hybridMultilevel"/>
    <w:tmpl w:val="C35E698E"/>
    <w:lvl w:ilvl="0" w:tplc="EACE752E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C0B19"/>
    <w:multiLevelType w:val="hybridMultilevel"/>
    <w:tmpl w:val="15F4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8714C"/>
    <w:multiLevelType w:val="hybridMultilevel"/>
    <w:tmpl w:val="A31E3738"/>
    <w:lvl w:ilvl="0" w:tplc="B37ABCF8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>
    <w:nsid w:val="7DEF7E8E"/>
    <w:multiLevelType w:val="hybridMultilevel"/>
    <w:tmpl w:val="D0F87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814"/>
    <w:rsid w:val="00012C77"/>
    <w:rsid w:val="00015EEA"/>
    <w:rsid w:val="00016D35"/>
    <w:rsid w:val="00017416"/>
    <w:rsid w:val="00022CA2"/>
    <w:rsid w:val="000251DC"/>
    <w:rsid w:val="00026E40"/>
    <w:rsid w:val="00027A16"/>
    <w:rsid w:val="00032B56"/>
    <w:rsid w:val="0005034B"/>
    <w:rsid w:val="000572D0"/>
    <w:rsid w:val="00060610"/>
    <w:rsid w:val="00063505"/>
    <w:rsid w:val="00091918"/>
    <w:rsid w:val="00094F67"/>
    <w:rsid w:val="0009752E"/>
    <w:rsid w:val="000A4118"/>
    <w:rsid w:val="000B20B6"/>
    <w:rsid w:val="000B5B9A"/>
    <w:rsid w:val="000C0AEA"/>
    <w:rsid w:val="000C53B2"/>
    <w:rsid w:val="000D5813"/>
    <w:rsid w:val="000F278B"/>
    <w:rsid w:val="000F3BE0"/>
    <w:rsid w:val="00100CDE"/>
    <w:rsid w:val="001066AD"/>
    <w:rsid w:val="001173A2"/>
    <w:rsid w:val="001203EA"/>
    <w:rsid w:val="00123C93"/>
    <w:rsid w:val="00124A94"/>
    <w:rsid w:val="00130644"/>
    <w:rsid w:val="00157BDE"/>
    <w:rsid w:val="00160221"/>
    <w:rsid w:val="00173E88"/>
    <w:rsid w:val="00187138"/>
    <w:rsid w:val="00197312"/>
    <w:rsid w:val="001B002D"/>
    <w:rsid w:val="001B29FB"/>
    <w:rsid w:val="001B7666"/>
    <w:rsid w:val="001C4D51"/>
    <w:rsid w:val="001C6938"/>
    <w:rsid w:val="00202C47"/>
    <w:rsid w:val="00212BFA"/>
    <w:rsid w:val="00217A59"/>
    <w:rsid w:val="00226C2B"/>
    <w:rsid w:val="00240E01"/>
    <w:rsid w:val="002465F6"/>
    <w:rsid w:val="00251B14"/>
    <w:rsid w:val="00254771"/>
    <w:rsid w:val="00255AD4"/>
    <w:rsid w:val="0026674D"/>
    <w:rsid w:val="0028729B"/>
    <w:rsid w:val="002A6C67"/>
    <w:rsid w:val="002B03D4"/>
    <w:rsid w:val="002B23AC"/>
    <w:rsid w:val="002E2014"/>
    <w:rsid w:val="002E243C"/>
    <w:rsid w:val="002E77E8"/>
    <w:rsid w:val="002F7C09"/>
    <w:rsid w:val="00303ACE"/>
    <w:rsid w:val="0031425B"/>
    <w:rsid w:val="00317066"/>
    <w:rsid w:val="00320487"/>
    <w:rsid w:val="003264C7"/>
    <w:rsid w:val="003265B3"/>
    <w:rsid w:val="0034259E"/>
    <w:rsid w:val="00362715"/>
    <w:rsid w:val="00362FEB"/>
    <w:rsid w:val="003944BC"/>
    <w:rsid w:val="00397090"/>
    <w:rsid w:val="003A28AC"/>
    <w:rsid w:val="003A5BB7"/>
    <w:rsid w:val="003B6648"/>
    <w:rsid w:val="003B6901"/>
    <w:rsid w:val="003C0441"/>
    <w:rsid w:val="003C07E8"/>
    <w:rsid w:val="003C1194"/>
    <w:rsid w:val="003C2496"/>
    <w:rsid w:val="003C2633"/>
    <w:rsid w:val="003D1F2D"/>
    <w:rsid w:val="003D6940"/>
    <w:rsid w:val="003E4E87"/>
    <w:rsid w:val="003F182F"/>
    <w:rsid w:val="00411218"/>
    <w:rsid w:val="004120C7"/>
    <w:rsid w:val="004174D5"/>
    <w:rsid w:val="0043134C"/>
    <w:rsid w:val="00431BFD"/>
    <w:rsid w:val="004420B6"/>
    <w:rsid w:val="004430E4"/>
    <w:rsid w:val="00445DC5"/>
    <w:rsid w:val="0044619D"/>
    <w:rsid w:val="004473D3"/>
    <w:rsid w:val="00450B55"/>
    <w:rsid w:val="00453B20"/>
    <w:rsid w:val="004639DE"/>
    <w:rsid w:val="00471168"/>
    <w:rsid w:val="004741E0"/>
    <w:rsid w:val="00482026"/>
    <w:rsid w:val="00491D90"/>
    <w:rsid w:val="0049641D"/>
    <w:rsid w:val="004A1EA6"/>
    <w:rsid w:val="004A55DB"/>
    <w:rsid w:val="004A5C06"/>
    <w:rsid w:val="004B08F8"/>
    <w:rsid w:val="004B3884"/>
    <w:rsid w:val="004B4720"/>
    <w:rsid w:val="004C0FF8"/>
    <w:rsid w:val="004D1379"/>
    <w:rsid w:val="004D6075"/>
    <w:rsid w:val="004E0C17"/>
    <w:rsid w:val="004E0D3A"/>
    <w:rsid w:val="004F13FE"/>
    <w:rsid w:val="004F300B"/>
    <w:rsid w:val="004F32A2"/>
    <w:rsid w:val="004F72D2"/>
    <w:rsid w:val="005010CA"/>
    <w:rsid w:val="00503166"/>
    <w:rsid w:val="0050593A"/>
    <w:rsid w:val="00505DB7"/>
    <w:rsid w:val="005148B4"/>
    <w:rsid w:val="00574DF7"/>
    <w:rsid w:val="00576643"/>
    <w:rsid w:val="00597AF3"/>
    <w:rsid w:val="005C12F4"/>
    <w:rsid w:val="005C35E9"/>
    <w:rsid w:val="005C7B70"/>
    <w:rsid w:val="005C7D8A"/>
    <w:rsid w:val="005D72A0"/>
    <w:rsid w:val="005E1CA1"/>
    <w:rsid w:val="005E6718"/>
    <w:rsid w:val="005E7876"/>
    <w:rsid w:val="005F20D5"/>
    <w:rsid w:val="005F6385"/>
    <w:rsid w:val="005F6E6C"/>
    <w:rsid w:val="00601517"/>
    <w:rsid w:val="00603A3B"/>
    <w:rsid w:val="00611D55"/>
    <w:rsid w:val="00621F19"/>
    <w:rsid w:val="00623C85"/>
    <w:rsid w:val="00624A75"/>
    <w:rsid w:val="00680B71"/>
    <w:rsid w:val="00683A38"/>
    <w:rsid w:val="00684E57"/>
    <w:rsid w:val="006A02D8"/>
    <w:rsid w:val="006B0F2C"/>
    <w:rsid w:val="006C7941"/>
    <w:rsid w:val="006E3FEC"/>
    <w:rsid w:val="006E5613"/>
    <w:rsid w:val="006E746F"/>
    <w:rsid w:val="006F160F"/>
    <w:rsid w:val="006F602E"/>
    <w:rsid w:val="00701C54"/>
    <w:rsid w:val="00705B17"/>
    <w:rsid w:val="00716C54"/>
    <w:rsid w:val="00725ECC"/>
    <w:rsid w:val="0074134F"/>
    <w:rsid w:val="007419E6"/>
    <w:rsid w:val="0074220E"/>
    <w:rsid w:val="007565D7"/>
    <w:rsid w:val="00761FD8"/>
    <w:rsid w:val="00762537"/>
    <w:rsid w:val="00763187"/>
    <w:rsid w:val="007759E9"/>
    <w:rsid w:val="00776E50"/>
    <w:rsid w:val="00780A18"/>
    <w:rsid w:val="007971D0"/>
    <w:rsid w:val="007A55B1"/>
    <w:rsid w:val="007A6F1C"/>
    <w:rsid w:val="007B2CD7"/>
    <w:rsid w:val="007B4B5F"/>
    <w:rsid w:val="007D1DB0"/>
    <w:rsid w:val="007E412D"/>
    <w:rsid w:val="007F0D5E"/>
    <w:rsid w:val="007F2877"/>
    <w:rsid w:val="007F69CA"/>
    <w:rsid w:val="0080368F"/>
    <w:rsid w:val="008066E6"/>
    <w:rsid w:val="0081450E"/>
    <w:rsid w:val="00826A74"/>
    <w:rsid w:val="008360C5"/>
    <w:rsid w:val="008453E4"/>
    <w:rsid w:val="008546E7"/>
    <w:rsid w:val="008933B2"/>
    <w:rsid w:val="008A070A"/>
    <w:rsid w:val="008A66EB"/>
    <w:rsid w:val="008B06F4"/>
    <w:rsid w:val="008B3E69"/>
    <w:rsid w:val="008B5E5D"/>
    <w:rsid w:val="008B62CF"/>
    <w:rsid w:val="008B66EE"/>
    <w:rsid w:val="008E0EBA"/>
    <w:rsid w:val="008E670F"/>
    <w:rsid w:val="008E7187"/>
    <w:rsid w:val="008F0D90"/>
    <w:rsid w:val="009027FC"/>
    <w:rsid w:val="00912FC8"/>
    <w:rsid w:val="00925408"/>
    <w:rsid w:val="009335B2"/>
    <w:rsid w:val="00941877"/>
    <w:rsid w:val="00943FEF"/>
    <w:rsid w:val="0094793E"/>
    <w:rsid w:val="00956755"/>
    <w:rsid w:val="009640B9"/>
    <w:rsid w:val="009714DB"/>
    <w:rsid w:val="00982CAE"/>
    <w:rsid w:val="00991C7F"/>
    <w:rsid w:val="009A5A67"/>
    <w:rsid w:val="009A7D25"/>
    <w:rsid w:val="009D47BA"/>
    <w:rsid w:val="009F3336"/>
    <w:rsid w:val="00A13331"/>
    <w:rsid w:val="00A2023B"/>
    <w:rsid w:val="00A24EAE"/>
    <w:rsid w:val="00A35039"/>
    <w:rsid w:val="00A57B8D"/>
    <w:rsid w:val="00A77411"/>
    <w:rsid w:val="00A836E1"/>
    <w:rsid w:val="00A90948"/>
    <w:rsid w:val="00A937FE"/>
    <w:rsid w:val="00A93B13"/>
    <w:rsid w:val="00A9553F"/>
    <w:rsid w:val="00A9585C"/>
    <w:rsid w:val="00AA6C79"/>
    <w:rsid w:val="00AC4E89"/>
    <w:rsid w:val="00AD0372"/>
    <w:rsid w:val="00AD33FC"/>
    <w:rsid w:val="00AD3DCB"/>
    <w:rsid w:val="00AE0E48"/>
    <w:rsid w:val="00AE2527"/>
    <w:rsid w:val="00B03667"/>
    <w:rsid w:val="00B4416B"/>
    <w:rsid w:val="00B50E64"/>
    <w:rsid w:val="00B54183"/>
    <w:rsid w:val="00B66A98"/>
    <w:rsid w:val="00B751A8"/>
    <w:rsid w:val="00B86DAE"/>
    <w:rsid w:val="00B90D17"/>
    <w:rsid w:val="00BA48E5"/>
    <w:rsid w:val="00BB795E"/>
    <w:rsid w:val="00BB7F6D"/>
    <w:rsid w:val="00BC2889"/>
    <w:rsid w:val="00BC2D9B"/>
    <w:rsid w:val="00BC3F68"/>
    <w:rsid w:val="00BC74F2"/>
    <w:rsid w:val="00BD2A87"/>
    <w:rsid w:val="00BD5220"/>
    <w:rsid w:val="00C02375"/>
    <w:rsid w:val="00C025B5"/>
    <w:rsid w:val="00C0515C"/>
    <w:rsid w:val="00C06E78"/>
    <w:rsid w:val="00C17335"/>
    <w:rsid w:val="00C31435"/>
    <w:rsid w:val="00C32DA9"/>
    <w:rsid w:val="00C55990"/>
    <w:rsid w:val="00C55C3C"/>
    <w:rsid w:val="00C7560A"/>
    <w:rsid w:val="00C81CBA"/>
    <w:rsid w:val="00C84489"/>
    <w:rsid w:val="00CC07CA"/>
    <w:rsid w:val="00CC6A74"/>
    <w:rsid w:val="00CC70A0"/>
    <w:rsid w:val="00CD0BAB"/>
    <w:rsid w:val="00CD3814"/>
    <w:rsid w:val="00CD5F03"/>
    <w:rsid w:val="00CD73DC"/>
    <w:rsid w:val="00CE096C"/>
    <w:rsid w:val="00CE22BF"/>
    <w:rsid w:val="00CF41C3"/>
    <w:rsid w:val="00D06478"/>
    <w:rsid w:val="00D31668"/>
    <w:rsid w:val="00D3419D"/>
    <w:rsid w:val="00D57484"/>
    <w:rsid w:val="00D6244A"/>
    <w:rsid w:val="00D62F9A"/>
    <w:rsid w:val="00D817B6"/>
    <w:rsid w:val="00D91F5F"/>
    <w:rsid w:val="00DA7522"/>
    <w:rsid w:val="00DB5E35"/>
    <w:rsid w:val="00DC46C4"/>
    <w:rsid w:val="00DC7D3E"/>
    <w:rsid w:val="00E00692"/>
    <w:rsid w:val="00E05D12"/>
    <w:rsid w:val="00E06C3D"/>
    <w:rsid w:val="00E17295"/>
    <w:rsid w:val="00E2328A"/>
    <w:rsid w:val="00E30C17"/>
    <w:rsid w:val="00E31968"/>
    <w:rsid w:val="00E42E3E"/>
    <w:rsid w:val="00E4708D"/>
    <w:rsid w:val="00E50C88"/>
    <w:rsid w:val="00E832ED"/>
    <w:rsid w:val="00E87031"/>
    <w:rsid w:val="00E906BE"/>
    <w:rsid w:val="00E96BF1"/>
    <w:rsid w:val="00EA07AF"/>
    <w:rsid w:val="00EA4488"/>
    <w:rsid w:val="00EB1C94"/>
    <w:rsid w:val="00EB2E22"/>
    <w:rsid w:val="00EB34B3"/>
    <w:rsid w:val="00EB37E5"/>
    <w:rsid w:val="00EC7F74"/>
    <w:rsid w:val="00ED1D4F"/>
    <w:rsid w:val="00EE03B9"/>
    <w:rsid w:val="00EE7CB2"/>
    <w:rsid w:val="00EF75CD"/>
    <w:rsid w:val="00F05E1D"/>
    <w:rsid w:val="00F074A4"/>
    <w:rsid w:val="00F07929"/>
    <w:rsid w:val="00F07C10"/>
    <w:rsid w:val="00F152CB"/>
    <w:rsid w:val="00F202DA"/>
    <w:rsid w:val="00F24A84"/>
    <w:rsid w:val="00F34847"/>
    <w:rsid w:val="00F44E47"/>
    <w:rsid w:val="00F51E4D"/>
    <w:rsid w:val="00F55021"/>
    <w:rsid w:val="00F600F0"/>
    <w:rsid w:val="00F64C69"/>
    <w:rsid w:val="00F67445"/>
    <w:rsid w:val="00F82DE8"/>
    <w:rsid w:val="00F93E26"/>
    <w:rsid w:val="00FA452E"/>
    <w:rsid w:val="00FB1131"/>
    <w:rsid w:val="00FB42EE"/>
    <w:rsid w:val="00FC089D"/>
    <w:rsid w:val="00FD14BD"/>
    <w:rsid w:val="00FD1C32"/>
    <w:rsid w:val="00FD30D1"/>
    <w:rsid w:val="00FD4CAD"/>
    <w:rsid w:val="00FF0C3A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814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CD3814"/>
    <w:pPr>
      <w:widowControl w:val="0"/>
    </w:pPr>
    <w:rPr>
      <w:snapToGrid w:val="0"/>
      <w:sz w:val="20"/>
      <w:szCs w:val="20"/>
      <w:lang w:val="en-GB"/>
    </w:rPr>
  </w:style>
  <w:style w:type="character" w:styleId="Appelnotedebasdep">
    <w:name w:val="footnote reference"/>
    <w:basedOn w:val="Policepardfaut"/>
    <w:semiHidden/>
    <w:rsid w:val="00CD3814"/>
    <w:rPr>
      <w:vertAlign w:val="superscript"/>
    </w:rPr>
  </w:style>
  <w:style w:type="paragraph" w:styleId="Pieddepage">
    <w:name w:val="footer"/>
    <w:basedOn w:val="Normal"/>
    <w:rsid w:val="000C0AE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C0AEA"/>
  </w:style>
  <w:style w:type="character" w:customStyle="1" w:styleId="longtext">
    <w:name w:val="long_text"/>
    <w:basedOn w:val="Policepardfaut"/>
    <w:rsid w:val="00705B17"/>
  </w:style>
  <w:style w:type="character" w:styleId="lev">
    <w:name w:val="Strong"/>
    <w:basedOn w:val="Policepardfaut"/>
    <w:uiPriority w:val="22"/>
    <w:qFormat/>
    <w:rsid w:val="003265B3"/>
    <w:rPr>
      <w:b/>
      <w:bCs/>
    </w:rPr>
  </w:style>
  <w:style w:type="paragraph" w:styleId="Sansinterligne">
    <w:name w:val="No Spacing"/>
    <w:uiPriority w:val="1"/>
    <w:qFormat/>
    <w:rsid w:val="00F202DA"/>
    <w:rPr>
      <w:sz w:val="24"/>
      <w:szCs w:val="24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FF7239"/>
    <w:rPr>
      <w:snapToGrid w:val="0"/>
      <w:lang w:val="en-GB"/>
    </w:rPr>
  </w:style>
  <w:style w:type="paragraph" w:styleId="Paragraphedeliste">
    <w:name w:val="List Paragraph"/>
    <w:basedOn w:val="Normal"/>
    <w:uiPriority w:val="34"/>
    <w:qFormat/>
    <w:rsid w:val="00A836E1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964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QUARTERLY PROJECT  UPDATE</vt:lpstr>
      <vt:lpstr>QUARTERLY PROJECT  UPDATE </vt:lpstr>
    </vt:vector>
  </TitlesOfParts>
  <Company>United Nations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PROJECT  UPDATE</dc:title>
  <dc:creator>United Nations</dc:creator>
  <cp:lastModifiedBy>Admin</cp:lastModifiedBy>
  <cp:revision>7</cp:revision>
  <cp:lastPrinted>2011-06-27T12:53:00Z</cp:lastPrinted>
  <dcterms:created xsi:type="dcterms:W3CDTF">2011-07-06T09:10:00Z</dcterms:created>
  <dcterms:modified xsi:type="dcterms:W3CDTF">2011-07-19T05:24:00Z</dcterms:modified>
</cp:coreProperties>
</file>