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CC" w:rsidRPr="003B2732" w:rsidRDefault="00D74E56" w:rsidP="00F147E3">
      <w:pPr>
        <w:jc w:val="center"/>
        <w:rPr>
          <w:rFonts w:ascii="Calibri" w:hAnsi="Calibri" w:cs="Arial"/>
          <w:b/>
          <w:sz w:val="32"/>
          <w:lang w:val="en-US"/>
        </w:rPr>
      </w:pPr>
      <w:r w:rsidRPr="003B2732">
        <w:rPr>
          <w:rFonts w:ascii="Calibri" w:hAnsi="Calibri" w:cs="Arial"/>
          <w:b/>
          <w:sz w:val="32"/>
          <w:lang w:val="en-US"/>
        </w:rPr>
        <w:fldChar w:fldCharType="begin"/>
      </w:r>
      <w:r w:rsidR="00A65720" w:rsidRPr="003B2732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3B2732">
        <w:rPr>
          <w:rFonts w:ascii="Calibri" w:hAnsi="Calibri" w:cs="Arial"/>
          <w:b/>
          <w:sz w:val="32"/>
          <w:lang w:val="en-US"/>
        </w:rPr>
        <w:fldChar w:fldCharType="separate"/>
      </w:r>
      <w:r w:rsidR="00A65720" w:rsidRPr="003B2732">
        <w:rPr>
          <w:rFonts w:ascii="Calibri" w:hAnsi="Calibri" w:cs="Arial"/>
          <w:b/>
          <w:noProof/>
          <w:sz w:val="32"/>
          <w:lang w:val="en-US"/>
        </w:rPr>
        <w:t>Uruguay</w:t>
      </w:r>
      <w:r w:rsidRPr="003B2732">
        <w:rPr>
          <w:rFonts w:ascii="Calibri" w:hAnsi="Calibri" w:cs="Arial"/>
          <w:b/>
          <w:sz w:val="32"/>
          <w:lang w:val="en-US"/>
        </w:rPr>
        <w:fldChar w:fldCharType="end"/>
      </w:r>
    </w:p>
    <w:p w:rsidR="00A65720" w:rsidRPr="0095425F" w:rsidRDefault="00A65720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10260" w:type="dxa"/>
        <w:jc w:val="center"/>
        <w:tblInd w:w="-342" w:type="dxa"/>
        <w:tblLook w:val="00A0"/>
      </w:tblPr>
      <w:tblGrid>
        <w:gridCol w:w="3861"/>
        <w:gridCol w:w="6372"/>
        <w:gridCol w:w="27"/>
      </w:tblGrid>
      <w:tr w:rsidR="002A46CC" w:rsidRPr="00304A4D" w:rsidTr="004F2ED4">
        <w:trPr>
          <w:gridAfter w:val="1"/>
          <w:wAfter w:w="27" w:type="dxa"/>
          <w:jc w:val="center"/>
        </w:trPr>
        <w:tc>
          <w:tcPr>
            <w:tcW w:w="3861" w:type="dxa"/>
          </w:tcPr>
          <w:p w:rsidR="002A46CC" w:rsidRPr="00157E8F" w:rsidRDefault="002A46CC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  <w:lang w:val="en-US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>Programme Title:</w:t>
            </w:r>
            <w:r w:rsidRPr="00157E8F">
              <w:rPr>
                <w:rFonts w:asciiTheme="minorHAnsi" w:hAnsiTheme="minorHAnsi"/>
                <w:lang w:val="en-US"/>
              </w:rPr>
              <w:t xml:space="preserve">  </w:t>
            </w:r>
          </w:p>
        </w:tc>
        <w:tc>
          <w:tcPr>
            <w:tcW w:w="6372" w:type="dxa"/>
          </w:tcPr>
          <w:p w:rsidR="00031224" w:rsidRPr="00157E8F" w:rsidRDefault="00D74E56" w:rsidP="00031224">
            <w:pPr>
              <w:spacing w:before="100" w:beforeAutospacing="1" w:after="100" w:afterAutospacing="1"/>
              <w:rPr>
                <w:rFonts w:asciiTheme="minorHAnsi" w:hAnsiTheme="minorHAnsi"/>
                <w:lang w:val="en-US"/>
              </w:rPr>
            </w:pPr>
            <w:r w:rsidRPr="00157E8F">
              <w:rPr>
                <w:rFonts w:asciiTheme="minorHAnsi" w:hAnsiTheme="minorHAnsi"/>
                <w:lang w:val="en-US"/>
              </w:rPr>
              <w:fldChar w:fldCharType="begin"/>
            </w:r>
            <w:r w:rsidR="002A46CC" w:rsidRPr="00157E8F">
              <w:rPr>
                <w:rFonts w:asciiTheme="minorHAnsi" w:hAnsiTheme="minorHAnsi"/>
                <w:lang w:val="en-US"/>
              </w:rPr>
              <w:instrText xml:space="preserve"> MERGEFIELD Long_desc </w:instrText>
            </w:r>
            <w:r w:rsidRPr="00157E8F">
              <w:rPr>
                <w:rFonts w:asciiTheme="minorHAnsi" w:hAnsiTheme="minorHAnsi"/>
                <w:lang w:val="en-US"/>
              </w:rPr>
              <w:fldChar w:fldCharType="separate"/>
            </w:r>
            <w:r w:rsidR="002A46CC" w:rsidRPr="00157E8F">
              <w:rPr>
                <w:rFonts w:asciiTheme="minorHAnsi" w:hAnsiTheme="minorHAnsi"/>
                <w:noProof/>
                <w:lang w:val="en-US"/>
              </w:rPr>
              <w:t>Strengthening Cultural Industries and improving access to the cultural goods and services of Uruguay</w:t>
            </w:r>
            <w:r w:rsidRPr="00157E8F"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  <w:tr w:rsidR="002A46CC" w:rsidRPr="00157E8F" w:rsidTr="004F2ED4">
        <w:trPr>
          <w:gridAfter w:val="1"/>
          <w:wAfter w:w="27" w:type="dxa"/>
          <w:jc w:val="center"/>
        </w:trPr>
        <w:tc>
          <w:tcPr>
            <w:tcW w:w="3861" w:type="dxa"/>
          </w:tcPr>
          <w:p w:rsidR="002A46CC" w:rsidRPr="00157E8F" w:rsidRDefault="002A46CC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  <w:lang w:val="en-US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>Programme number &amp; MDTF ref:</w:t>
            </w:r>
          </w:p>
        </w:tc>
        <w:tc>
          <w:tcPr>
            <w:tcW w:w="6372" w:type="dxa"/>
          </w:tcPr>
          <w:p w:rsidR="002A46CC" w:rsidRPr="00157E8F" w:rsidRDefault="00D74E56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157E8F">
              <w:rPr>
                <w:rFonts w:asciiTheme="minorHAnsi" w:hAnsiTheme="minorHAnsi"/>
              </w:rPr>
              <w:fldChar w:fldCharType="begin"/>
            </w:r>
            <w:r w:rsidR="002A46CC" w:rsidRPr="00157E8F">
              <w:rPr>
                <w:rFonts w:asciiTheme="minorHAnsi" w:hAnsiTheme="minorHAnsi"/>
              </w:rPr>
              <w:instrText xml:space="preserve"> MERGEFIELD Project_descr </w:instrText>
            </w:r>
            <w:r w:rsidRPr="00157E8F">
              <w:rPr>
                <w:rFonts w:asciiTheme="minorHAnsi" w:hAnsiTheme="minorHAnsi"/>
              </w:rPr>
              <w:fldChar w:fldCharType="separate"/>
            </w:r>
            <w:r w:rsidR="002A46CC" w:rsidRPr="00157E8F">
              <w:rPr>
                <w:rFonts w:asciiTheme="minorHAnsi" w:hAnsiTheme="minorHAnsi"/>
                <w:noProof/>
              </w:rPr>
              <w:t>MDGF-1763-G-URY Culture</w:t>
            </w:r>
            <w:r w:rsidRPr="00157E8F">
              <w:rPr>
                <w:rFonts w:asciiTheme="minorHAnsi" w:hAnsiTheme="minorHAnsi"/>
              </w:rPr>
              <w:fldChar w:fldCharType="end"/>
            </w:r>
            <w:r w:rsidR="002A46CC" w:rsidRPr="00157E8F">
              <w:rPr>
                <w:rFonts w:asciiTheme="minorHAnsi" w:hAnsiTheme="minorHAnsi"/>
              </w:rPr>
              <w:t xml:space="preserve"> (</w:t>
            </w:r>
            <w:r w:rsidRPr="00157E8F">
              <w:rPr>
                <w:rFonts w:asciiTheme="minorHAnsi" w:hAnsiTheme="minorHAnsi"/>
              </w:rPr>
              <w:fldChar w:fldCharType="begin"/>
            </w:r>
            <w:r w:rsidR="002A46CC" w:rsidRPr="00157E8F">
              <w:rPr>
                <w:rFonts w:asciiTheme="minorHAnsi" w:hAnsiTheme="minorHAnsi"/>
              </w:rPr>
              <w:instrText xml:space="preserve"> MERGEFIELD Project_ID </w:instrText>
            </w:r>
            <w:r w:rsidRPr="00157E8F">
              <w:rPr>
                <w:rFonts w:asciiTheme="minorHAnsi" w:hAnsiTheme="minorHAnsi"/>
              </w:rPr>
              <w:fldChar w:fldCharType="separate"/>
            </w:r>
            <w:r w:rsidR="002A46CC" w:rsidRPr="00157E8F">
              <w:rPr>
                <w:rFonts w:asciiTheme="minorHAnsi" w:hAnsiTheme="minorHAnsi"/>
                <w:noProof/>
              </w:rPr>
              <w:t>67173</w:t>
            </w:r>
            <w:r w:rsidRPr="00157E8F">
              <w:rPr>
                <w:rFonts w:asciiTheme="minorHAnsi" w:hAnsiTheme="minorHAnsi"/>
              </w:rPr>
              <w:fldChar w:fldCharType="end"/>
            </w:r>
            <w:r w:rsidR="002A46CC" w:rsidRPr="00157E8F">
              <w:rPr>
                <w:rFonts w:asciiTheme="minorHAnsi" w:hAnsiTheme="minorHAnsi"/>
              </w:rPr>
              <w:t>)</w:t>
            </w:r>
          </w:p>
        </w:tc>
      </w:tr>
      <w:tr w:rsidR="002A46CC" w:rsidRPr="00157E8F" w:rsidTr="004F2ED4">
        <w:trPr>
          <w:gridAfter w:val="1"/>
          <w:wAfter w:w="27" w:type="dxa"/>
          <w:jc w:val="center"/>
        </w:trPr>
        <w:tc>
          <w:tcPr>
            <w:tcW w:w="3861" w:type="dxa"/>
          </w:tcPr>
          <w:p w:rsidR="002A46CC" w:rsidRPr="00157E8F" w:rsidRDefault="002A46CC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  <w:lang w:val="en-US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>Window:</w:t>
            </w:r>
          </w:p>
        </w:tc>
        <w:tc>
          <w:tcPr>
            <w:tcW w:w="6372" w:type="dxa"/>
          </w:tcPr>
          <w:p w:rsidR="002A46CC" w:rsidRPr="00157E8F" w:rsidRDefault="00D74E56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lang w:val="en-US"/>
              </w:rPr>
            </w:pPr>
            <w:r w:rsidRPr="00157E8F">
              <w:rPr>
                <w:rFonts w:asciiTheme="minorHAnsi" w:hAnsiTheme="minorHAnsi"/>
                <w:lang w:val="en-US"/>
              </w:rPr>
              <w:fldChar w:fldCharType="begin"/>
            </w:r>
            <w:r w:rsidR="002A46CC" w:rsidRPr="00157E8F">
              <w:rPr>
                <w:rFonts w:asciiTheme="minorHAnsi" w:hAnsiTheme="minorHAnsi"/>
                <w:lang w:val="en-US"/>
              </w:rPr>
              <w:instrText xml:space="preserve"> MERGEFIELD Theme </w:instrText>
            </w:r>
            <w:r w:rsidRPr="00157E8F">
              <w:rPr>
                <w:rFonts w:asciiTheme="minorHAnsi" w:hAnsiTheme="minorHAnsi"/>
                <w:lang w:val="en-US"/>
              </w:rPr>
              <w:fldChar w:fldCharType="separate"/>
            </w:r>
            <w:r w:rsidR="002A46CC" w:rsidRPr="00157E8F">
              <w:rPr>
                <w:rFonts w:asciiTheme="minorHAnsi" w:hAnsiTheme="minorHAnsi"/>
                <w:noProof/>
                <w:lang w:val="en-US"/>
              </w:rPr>
              <w:t>Culture &amp; Development</w:t>
            </w:r>
            <w:r w:rsidRPr="00157E8F"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  <w:tr w:rsidR="002A46CC" w:rsidRPr="00157E8F" w:rsidTr="004F2ED4">
        <w:trPr>
          <w:gridAfter w:val="1"/>
          <w:wAfter w:w="27" w:type="dxa"/>
          <w:jc w:val="center"/>
        </w:trPr>
        <w:tc>
          <w:tcPr>
            <w:tcW w:w="3861" w:type="dxa"/>
          </w:tcPr>
          <w:p w:rsidR="002A46CC" w:rsidRPr="00157E8F" w:rsidRDefault="002A46CC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  <w:lang w:val="en-US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>Approved Budget by NSC (US$):</w:t>
            </w:r>
          </w:p>
        </w:tc>
        <w:tc>
          <w:tcPr>
            <w:tcW w:w="6372" w:type="dxa"/>
          </w:tcPr>
          <w:p w:rsidR="002A46CC" w:rsidRPr="00157E8F" w:rsidRDefault="00D74E56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lang w:val="da-DK"/>
              </w:rPr>
            </w:pPr>
            <w:r w:rsidRPr="00157E8F">
              <w:rPr>
                <w:rFonts w:asciiTheme="minorHAnsi" w:hAnsiTheme="minorHAnsi"/>
                <w:lang w:val="da-DK"/>
              </w:rPr>
              <w:fldChar w:fldCharType="begin"/>
            </w:r>
            <w:r w:rsidR="002A46CC" w:rsidRPr="00157E8F">
              <w:rPr>
                <w:rFonts w:asciiTheme="minorHAnsi" w:hAnsiTheme="minorHAnsi"/>
                <w:lang w:val="da-DK"/>
              </w:rPr>
              <w:instrText xml:space="preserve"> MERGEFIELD Budget_mv </w:instrText>
            </w:r>
            <w:r w:rsidRPr="00157E8F">
              <w:rPr>
                <w:rFonts w:asciiTheme="minorHAnsi" w:hAnsiTheme="minorHAnsi"/>
                <w:lang w:val="da-DK"/>
              </w:rPr>
              <w:fldChar w:fldCharType="separate"/>
            </w:r>
            <w:r w:rsidR="002A46CC" w:rsidRPr="00157E8F">
              <w:rPr>
                <w:rFonts w:asciiTheme="minorHAnsi" w:hAnsiTheme="minorHAnsi"/>
                <w:noProof/>
                <w:lang w:val="da-DK"/>
              </w:rPr>
              <w:t>3.37</w:t>
            </w:r>
            <w:r w:rsidRPr="00157E8F">
              <w:rPr>
                <w:rFonts w:asciiTheme="minorHAnsi" w:hAnsiTheme="minorHAnsi"/>
                <w:lang w:val="da-DK"/>
              </w:rPr>
              <w:fldChar w:fldCharType="end"/>
            </w:r>
            <w:r w:rsidR="002A46CC" w:rsidRPr="00157E8F">
              <w:rPr>
                <w:rFonts w:asciiTheme="minorHAnsi" w:hAnsiTheme="minorHAnsi"/>
                <w:lang w:val="en-US"/>
              </w:rPr>
              <w:t xml:space="preserve"> </w:t>
            </w:r>
            <w:r w:rsidR="002A46CC" w:rsidRPr="00157E8F">
              <w:rPr>
                <w:rFonts w:asciiTheme="minorHAnsi" w:hAnsiTheme="minorHAnsi"/>
                <w:lang w:val="da-DK"/>
              </w:rPr>
              <w:t>million</w:t>
            </w:r>
          </w:p>
        </w:tc>
      </w:tr>
      <w:tr w:rsidR="002A46CC" w:rsidRPr="00157E8F" w:rsidTr="004F2ED4">
        <w:trPr>
          <w:gridAfter w:val="1"/>
          <w:wAfter w:w="27" w:type="dxa"/>
          <w:jc w:val="center"/>
        </w:trPr>
        <w:tc>
          <w:tcPr>
            <w:tcW w:w="3861" w:type="dxa"/>
          </w:tcPr>
          <w:p w:rsidR="002A46CC" w:rsidRPr="00157E8F" w:rsidRDefault="002A46CC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  <w:lang w:val="en-US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>Participating Organizations:</w:t>
            </w:r>
          </w:p>
        </w:tc>
        <w:tc>
          <w:tcPr>
            <w:tcW w:w="6372" w:type="dxa"/>
          </w:tcPr>
          <w:p w:rsidR="002A46CC" w:rsidRPr="00157E8F" w:rsidRDefault="00D74E56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157E8F">
              <w:rPr>
                <w:rFonts w:asciiTheme="minorHAnsi" w:hAnsiTheme="minorHAnsi"/>
              </w:rPr>
              <w:fldChar w:fldCharType="begin"/>
            </w:r>
            <w:r w:rsidR="002A46CC" w:rsidRPr="00157E8F">
              <w:rPr>
                <w:rFonts w:asciiTheme="minorHAnsi" w:hAnsiTheme="minorHAnsi"/>
              </w:rPr>
              <w:instrText xml:space="preserve"> MERGEFIELD agencies </w:instrText>
            </w:r>
            <w:r w:rsidRPr="00157E8F">
              <w:rPr>
                <w:rFonts w:asciiTheme="minorHAnsi" w:hAnsiTheme="minorHAnsi"/>
              </w:rPr>
              <w:fldChar w:fldCharType="separate"/>
            </w:r>
            <w:r w:rsidR="002A46CC" w:rsidRPr="00157E8F">
              <w:rPr>
                <w:rFonts w:asciiTheme="minorHAnsi" w:hAnsiTheme="minorHAnsi"/>
              </w:rPr>
              <w:t xml:space="preserve">UNDP, UNESCO, UNFPA, UNIDO, UNICEF, UNIFEM </w:t>
            </w:r>
            <w:r w:rsidRPr="00157E8F">
              <w:rPr>
                <w:rFonts w:asciiTheme="minorHAnsi" w:hAnsiTheme="minorHAnsi"/>
              </w:rPr>
              <w:fldChar w:fldCharType="end"/>
            </w:r>
          </w:p>
        </w:tc>
      </w:tr>
      <w:tr w:rsidR="002A46CC" w:rsidRPr="00157E8F" w:rsidTr="004F2ED4">
        <w:trPr>
          <w:gridAfter w:val="1"/>
          <w:wAfter w:w="27" w:type="dxa"/>
          <w:jc w:val="center"/>
        </w:trPr>
        <w:tc>
          <w:tcPr>
            <w:tcW w:w="3861" w:type="dxa"/>
          </w:tcPr>
          <w:p w:rsidR="002A46CC" w:rsidRPr="00157E8F" w:rsidRDefault="002A46CC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  <w:lang w:val="da-DK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>First Tranche transferred on:</w:t>
            </w:r>
          </w:p>
        </w:tc>
        <w:tc>
          <w:tcPr>
            <w:tcW w:w="6372" w:type="dxa"/>
          </w:tcPr>
          <w:p w:rsidR="002A46CC" w:rsidRPr="00157E8F" w:rsidRDefault="00D74E56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lang w:val="da-DK"/>
              </w:rPr>
            </w:pPr>
            <w:r w:rsidRPr="00157E8F">
              <w:rPr>
                <w:rFonts w:asciiTheme="minorHAnsi" w:hAnsiTheme="minorHAnsi"/>
                <w:lang w:val="da-DK"/>
              </w:rPr>
              <w:fldChar w:fldCharType="begin"/>
            </w:r>
            <w:r w:rsidR="002A46CC" w:rsidRPr="00157E8F">
              <w:rPr>
                <w:rFonts w:asciiTheme="minorHAnsi" w:hAnsiTheme="minorHAnsi"/>
                <w:lang w:val="da-DK"/>
              </w:rPr>
              <w:instrText xml:space="preserve"> MERGEFIELD First_trans </w:instrText>
            </w:r>
            <w:r w:rsidRPr="00157E8F">
              <w:rPr>
                <w:rFonts w:asciiTheme="minorHAnsi" w:hAnsiTheme="minorHAnsi"/>
                <w:lang w:val="da-DK"/>
              </w:rPr>
              <w:fldChar w:fldCharType="separate"/>
            </w:r>
            <w:r w:rsidR="002A46CC" w:rsidRPr="00157E8F">
              <w:rPr>
                <w:rFonts w:asciiTheme="minorHAnsi" w:hAnsiTheme="minorHAnsi"/>
                <w:noProof/>
                <w:lang w:val="da-DK"/>
              </w:rPr>
              <w:t>11-Aug-2008</w:t>
            </w:r>
            <w:r w:rsidRPr="00157E8F">
              <w:rPr>
                <w:rFonts w:asciiTheme="minorHAnsi" w:hAnsiTheme="minorHAnsi"/>
                <w:lang w:val="da-DK"/>
              </w:rPr>
              <w:fldChar w:fldCharType="end"/>
            </w:r>
          </w:p>
        </w:tc>
      </w:tr>
      <w:tr w:rsidR="00DD15F6" w:rsidRPr="00157E8F" w:rsidTr="004F2ED4">
        <w:trPr>
          <w:gridAfter w:val="1"/>
          <w:wAfter w:w="27" w:type="dxa"/>
          <w:jc w:val="center"/>
        </w:trPr>
        <w:tc>
          <w:tcPr>
            <w:tcW w:w="3861" w:type="dxa"/>
          </w:tcPr>
          <w:p w:rsidR="00DD15F6" w:rsidRPr="00157E8F" w:rsidRDefault="00DD15F6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  <w:lang w:val="da-DK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>Second Tranche transferred on:</w:t>
            </w:r>
          </w:p>
        </w:tc>
        <w:tc>
          <w:tcPr>
            <w:tcW w:w="6372" w:type="dxa"/>
          </w:tcPr>
          <w:p w:rsidR="00DD15F6" w:rsidRPr="00157E8F" w:rsidRDefault="00D74E56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lang w:val="da-DK"/>
              </w:rPr>
            </w:pPr>
            <w:r w:rsidRPr="00157E8F">
              <w:rPr>
                <w:rFonts w:asciiTheme="minorHAnsi" w:hAnsiTheme="minorHAnsi"/>
                <w:lang w:val="da-DK"/>
              </w:rPr>
              <w:fldChar w:fldCharType="begin"/>
            </w:r>
            <w:r w:rsidR="00DD15F6" w:rsidRPr="00157E8F">
              <w:rPr>
                <w:rFonts w:asciiTheme="minorHAnsi" w:hAnsiTheme="minorHAnsi"/>
                <w:lang w:val="da-DK"/>
              </w:rPr>
              <w:instrText xml:space="preserve"> MERGEFIELD First_trans </w:instrText>
            </w:r>
            <w:r w:rsidRPr="00157E8F">
              <w:rPr>
                <w:rFonts w:asciiTheme="minorHAnsi" w:hAnsiTheme="minorHAnsi"/>
                <w:lang w:val="da-DK"/>
              </w:rPr>
              <w:fldChar w:fldCharType="separate"/>
            </w:r>
            <w:r w:rsidR="00DD15F6" w:rsidRPr="00157E8F">
              <w:rPr>
                <w:rFonts w:asciiTheme="minorHAnsi" w:hAnsiTheme="minorHAnsi"/>
                <w:noProof/>
                <w:lang w:val="da-DK"/>
              </w:rPr>
              <w:t>28-Sep-2009</w:t>
            </w:r>
            <w:r w:rsidRPr="00157E8F">
              <w:rPr>
                <w:rFonts w:asciiTheme="minorHAnsi" w:hAnsiTheme="minorHAnsi"/>
                <w:lang w:val="da-DK"/>
              </w:rPr>
              <w:fldChar w:fldCharType="end"/>
            </w:r>
          </w:p>
        </w:tc>
      </w:tr>
      <w:tr w:rsidR="00DD15F6" w:rsidRPr="00157E8F" w:rsidTr="004F2ED4">
        <w:trPr>
          <w:gridAfter w:val="1"/>
          <w:wAfter w:w="27" w:type="dxa"/>
          <w:trHeight w:val="396"/>
          <w:jc w:val="center"/>
        </w:trPr>
        <w:tc>
          <w:tcPr>
            <w:tcW w:w="3861" w:type="dxa"/>
          </w:tcPr>
          <w:p w:rsidR="00DD15F6" w:rsidRPr="00157E8F" w:rsidRDefault="00DD15F6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  <w:lang w:val="da-DK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>Third Tranche transferred on:</w:t>
            </w:r>
          </w:p>
        </w:tc>
        <w:tc>
          <w:tcPr>
            <w:tcW w:w="6372" w:type="dxa"/>
          </w:tcPr>
          <w:p w:rsidR="00DD15F6" w:rsidRPr="00157E8F" w:rsidRDefault="00D74E56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lang w:val="da-DK"/>
              </w:rPr>
            </w:pPr>
            <w:r w:rsidRPr="00157E8F">
              <w:rPr>
                <w:rFonts w:asciiTheme="minorHAnsi" w:hAnsiTheme="minorHAnsi"/>
                <w:lang w:val="da-DK"/>
              </w:rPr>
              <w:fldChar w:fldCharType="begin"/>
            </w:r>
            <w:r w:rsidR="00DD15F6" w:rsidRPr="00157E8F">
              <w:rPr>
                <w:rFonts w:asciiTheme="minorHAnsi" w:hAnsiTheme="minorHAnsi"/>
                <w:lang w:val="da-DK"/>
              </w:rPr>
              <w:instrText xml:space="preserve"> MERGEFIELD First_trans </w:instrText>
            </w:r>
            <w:r w:rsidRPr="00157E8F">
              <w:rPr>
                <w:rFonts w:asciiTheme="minorHAnsi" w:hAnsiTheme="minorHAnsi"/>
                <w:lang w:val="da-DK"/>
              </w:rPr>
              <w:fldChar w:fldCharType="separate"/>
            </w:r>
            <w:r w:rsidR="00DD15F6" w:rsidRPr="00157E8F">
              <w:rPr>
                <w:rFonts w:asciiTheme="minorHAnsi" w:hAnsiTheme="minorHAnsi"/>
                <w:noProof/>
                <w:lang w:val="da-DK"/>
              </w:rPr>
              <w:t>12-Oct-2010</w:t>
            </w:r>
            <w:r w:rsidRPr="00157E8F">
              <w:rPr>
                <w:rFonts w:asciiTheme="minorHAnsi" w:hAnsiTheme="minorHAnsi"/>
                <w:lang w:val="da-DK"/>
              </w:rPr>
              <w:fldChar w:fldCharType="end"/>
            </w:r>
          </w:p>
        </w:tc>
      </w:tr>
      <w:tr w:rsidR="002965AA" w:rsidRPr="00157E8F" w:rsidTr="004F2ED4">
        <w:trPr>
          <w:gridAfter w:val="1"/>
          <w:wAfter w:w="27" w:type="dxa"/>
          <w:trHeight w:val="396"/>
          <w:jc w:val="center"/>
        </w:trPr>
        <w:tc>
          <w:tcPr>
            <w:tcW w:w="3861" w:type="dxa"/>
          </w:tcPr>
          <w:p w:rsidR="002965AA" w:rsidRPr="00157E8F" w:rsidRDefault="002965AA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372" w:type="dxa"/>
          </w:tcPr>
          <w:p w:rsidR="002965AA" w:rsidRPr="00157E8F" w:rsidRDefault="002965AA" w:rsidP="004F2ED4">
            <w:pPr>
              <w:spacing w:before="100" w:beforeAutospacing="1" w:after="100" w:afterAutospacing="1" w:line="360" w:lineRule="auto"/>
              <w:rPr>
                <w:rFonts w:asciiTheme="minorHAnsi" w:hAnsiTheme="minorHAnsi"/>
                <w:lang w:val="da-DK"/>
              </w:rPr>
            </w:pPr>
          </w:p>
        </w:tc>
      </w:tr>
      <w:tr w:rsidR="002A46CC" w:rsidRPr="00157E8F" w:rsidTr="004F2ED4">
        <w:trPr>
          <w:jc w:val="center"/>
        </w:trPr>
        <w:tc>
          <w:tcPr>
            <w:tcW w:w="10260" w:type="dxa"/>
            <w:gridSpan w:val="3"/>
          </w:tcPr>
          <w:p w:rsidR="002A46CC" w:rsidRPr="00157E8F" w:rsidRDefault="002A46CC" w:rsidP="004F2ED4">
            <w:pPr>
              <w:spacing w:before="100" w:beforeAutospacing="1" w:after="100" w:afterAutospacing="1"/>
              <w:rPr>
                <w:rFonts w:asciiTheme="minorHAnsi" w:hAnsiTheme="minorHAnsi"/>
                <w:b/>
                <w:caps/>
                <w:lang w:val="en-US"/>
              </w:rPr>
            </w:pPr>
            <w:r w:rsidRPr="00157E8F">
              <w:rPr>
                <w:rFonts w:asciiTheme="minorHAnsi" w:hAnsiTheme="minorHAnsi"/>
                <w:b/>
                <w:caps/>
                <w:lang w:val="en-US"/>
              </w:rPr>
              <w:t>ACTIVITIES Reported:</w:t>
            </w:r>
          </w:p>
        </w:tc>
      </w:tr>
      <w:tr w:rsidR="002A46CC" w:rsidRPr="00157E8F" w:rsidTr="004F2ED4">
        <w:trPr>
          <w:jc w:val="center"/>
        </w:trPr>
        <w:tc>
          <w:tcPr>
            <w:tcW w:w="10260" w:type="dxa"/>
            <w:gridSpan w:val="3"/>
          </w:tcPr>
          <w:p w:rsidR="004F2ED4" w:rsidRPr="00157E8F" w:rsidRDefault="002A46CC" w:rsidP="004F2ED4">
            <w:pPr>
              <w:rPr>
                <w:rFonts w:asciiTheme="minorHAnsi" w:hAnsiTheme="minorHAnsi"/>
                <w:lang w:val="en-US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>Main Substantive Activities:</w:t>
            </w:r>
          </w:p>
        </w:tc>
      </w:tr>
      <w:tr w:rsidR="00DD15F6" w:rsidRPr="004F2ED4" w:rsidTr="004F2ED4">
        <w:trPr>
          <w:jc w:val="center"/>
        </w:trPr>
        <w:tc>
          <w:tcPr>
            <w:tcW w:w="10260" w:type="dxa"/>
            <w:gridSpan w:val="3"/>
            <w:vAlign w:val="bottom"/>
          </w:tcPr>
          <w:p w:rsidR="00DD15F6" w:rsidRPr="00304A4D" w:rsidRDefault="00F2635F" w:rsidP="00304A4D">
            <w:pPr>
              <w:jc w:val="both"/>
              <w:rPr>
                <w:lang w:val="en-US"/>
              </w:rPr>
            </w:pPr>
            <w:r w:rsidRPr="00304A4D">
              <w:rPr>
                <w:lang w:val="en-US"/>
              </w:rPr>
              <w:t>Strategic plans for the music and editorial industries developed. Training on handicraft production design and marketing provided. Cultural enterprise incubators established in several areas of the country</w:t>
            </w:r>
            <w:r w:rsidR="004F2ED4" w:rsidRPr="00304A4D">
              <w:rPr>
                <w:lang w:val="en-US"/>
              </w:rPr>
              <w:t xml:space="preserve"> (</w:t>
            </w:r>
            <w:r w:rsidR="004F2ED4" w:rsidRPr="00304A4D">
              <w:rPr>
                <w:lang w:val="en-GB"/>
              </w:rPr>
              <w:t xml:space="preserve">18 projects elaborated business plans and </w:t>
            </w:r>
            <w:smartTag w:uri="urn:schemas-microsoft-com:office:smarttags" w:element="metricconverter">
              <w:smartTagPr>
                <w:attr w:name="ProductID" w:val="5 in"/>
              </w:smartTagPr>
              <w:r w:rsidR="004F2ED4" w:rsidRPr="00304A4D">
                <w:rPr>
                  <w:lang w:val="en-GB"/>
                </w:rPr>
                <w:t>5 in</w:t>
              </w:r>
            </w:smartTag>
            <w:r w:rsidR="004F2ED4" w:rsidRPr="00304A4D">
              <w:rPr>
                <w:lang w:val="en-GB"/>
              </w:rPr>
              <w:t xml:space="preserve"> progress)</w:t>
            </w:r>
            <w:r w:rsidRPr="00304A4D">
              <w:rPr>
                <w:lang w:val="en-US"/>
              </w:rPr>
              <w:t>.</w:t>
            </w:r>
            <w:r w:rsidR="004F2ED4" w:rsidRPr="00304A4D">
              <w:rPr>
                <w:lang w:val="en-US"/>
              </w:rPr>
              <w:t xml:space="preserve"> </w:t>
            </w:r>
            <w:r w:rsidR="004F2ED4" w:rsidRPr="00304A4D">
              <w:rPr>
                <w:lang w:val="en-GB"/>
              </w:rPr>
              <w:t>Furnished 5 cultural factories with musical and audio visual equipment in vulnerable areas.</w:t>
            </w:r>
            <w:r w:rsidRPr="00304A4D">
              <w:rPr>
                <w:lang w:val="en-US"/>
              </w:rPr>
              <w:t xml:space="preserve"> Boys and girls received artistic training. Artistic training provided in jails, halfway houses and community centers.</w:t>
            </w:r>
            <w:r w:rsidR="004F2ED4" w:rsidRPr="00304A4D">
              <w:rPr>
                <w:lang w:val="en-US"/>
              </w:rPr>
              <w:t xml:space="preserve"> </w:t>
            </w:r>
            <w:r w:rsidR="004F2ED4" w:rsidRPr="00304A4D">
              <w:rPr>
                <w:lang w:val="en-GB"/>
              </w:rPr>
              <w:t xml:space="preserve">26 artistic training and sensitization workshops organized in Montevideo and </w:t>
            </w:r>
            <w:smartTag w:uri="urn:schemas-microsoft-com:office:smarttags" w:element="metricconverter">
              <w:smartTagPr>
                <w:attr w:name="ProductID" w:val="27 in"/>
              </w:smartTagPr>
              <w:r w:rsidR="004F2ED4" w:rsidRPr="00304A4D">
                <w:rPr>
                  <w:lang w:val="en-GB"/>
                </w:rPr>
                <w:t>27 in</w:t>
              </w:r>
            </w:smartTag>
            <w:r w:rsidR="004F2ED4" w:rsidRPr="00304A4D">
              <w:rPr>
                <w:lang w:val="en-GB"/>
              </w:rPr>
              <w:t xml:space="preserve"> other Departments with 1,723 participants, 866 men and 857 women.</w:t>
            </w:r>
            <w:r w:rsidRPr="00304A4D">
              <w:rPr>
                <w:lang w:val="en-US"/>
              </w:rPr>
              <w:t xml:space="preserve"> </w:t>
            </w:r>
            <w:r w:rsidR="004F2ED4" w:rsidRPr="00304A4D">
              <w:rPr>
                <w:lang w:val="en-GB"/>
              </w:rPr>
              <w:t>Cultural mediators: 8 projects supported with 150 direct beneficiaries and over 800 spectators in 10 cities around the country</w:t>
            </w:r>
            <w:r w:rsidR="004F2ED4" w:rsidRPr="00304A4D">
              <w:rPr>
                <w:lang w:val="en-US"/>
              </w:rPr>
              <w:t xml:space="preserve">. </w:t>
            </w:r>
            <w:r w:rsidRPr="00304A4D">
              <w:rPr>
                <w:lang w:val="en-US"/>
              </w:rPr>
              <w:t xml:space="preserve">Several regional studies on cultural matters completed.      </w:t>
            </w:r>
          </w:p>
        </w:tc>
      </w:tr>
      <w:tr w:rsidR="00DD15F6" w:rsidRPr="004F2ED4" w:rsidTr="004F2ED4">
        <w:trPr>
          <w:jc w:val="center"/>
        </w:trPr>
        <w:tc>
          <w:tcPr>
            <w:tcW w:w="10260" w:type="dxa"/>
            <w:gridSpan w:val="3"/>
          </w:tcPr>
          <w:p w:rsidR="00DD15F6" w:rsidRPr="00157E8F" w:rsidRDefault="00DD15F6" w:rsidP="007F2D8E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D15F6" w:rsidRPr="00157E8F" w:rsidTr="004F2ED4">
        <w:trPr>
          <w:jc w:val="center"/>
        </w:trPr>
        <w:tc>
          <w:tcPr>
            <w:tcW w:w="10260" w:type="dxa"/>
            <w:gridSpan w:val="3"/>
          </w:tcPr>
          <w:p w:rsidR="00A35363" w:rsidRDefault="00DD15F6">
            <w:pPr>
              <w:rPr>
                <w:rFonts w:asciiTheme="minorHAnsi" w:hAnsiTheme="minorHAnsi"/>
                <w:lang w:val="en-US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>Problems and lessons learned</w:t>
            </w:r>
            <w:r w:rsidR="004F2ED4">
              <w:rPr>
                <w:rFonts w:asciiTheme="minorHAnsi" w:hAnsiTheme="minorHAnsi"/>
                <w:lang w:val="en-US"/>
              </w:rPr>
              <w:t>:</w:t>
            </w:r>
          </w:p>
        </w:tc>
      </w:tr>
      <w:tr w:rsidR="00DD15F6" w:rsidRPr="00304A4D" w:rsidTr="004F2ED4">
        <w:trPr>
          <w:jc w:val="center"/>
        </w:trPr>
        <w:tc>
          <w:tcPr>
            <w:tcW w:w="10260" w:type="dxa"/>
            <w:gridSpan w:val="3"/>
            <w:vAlign w:val="bottom"/>
          </w:tcPr>
          <w:p w:rsidR="00DD15F6" w:rsidRPr="00304A4D" w:rsidRDefault="00F2635F" w:rsidP="00304A4D">
            <w:pPr>
              <w:jc w:val="both"/>
              <w:rPr>
                <w:lang w:val="en-US"/>
              </w:rPr>
            </w:pPr>
            <w:r w:rsidRPr="00304A4D">
              <w:rPr>
                <w:lang w:val="en-US"/>
              </w:rPr>
              <w:t xml:space="preserve">UN Agency coordination </w:t>
            </w:r>
            <w:r w:rsidR="004F2ED4" w:rsidRPr="00304A4D">
              <w:rPr>
                <w:lang w:val="en-GB"/>
              </w:rPr>
              <w:t>improved from 2009</w:t>
            </w:r>
            <w:r w:rsidR="004F2ED4" w:rsidRPr="00304A4D">
              <w:rPr>
                <w:lang w:val="en-US"/>
              </w:rPr>
              <w:t xml:space="preserve">. In March 2010, a new Administration took office and the project encountered certain delays. </w:t>
            </w:r>
            <w:r w:rsidR="00031224" w:rsidRPr="00304A4D">
              <w:rPr>
                <w:lang w:val="en-US"/>
              </w:rPr>
              <w:t>A new Programme Coordinator has begun worked and the operational progress of the programme has improved.</w:t>
            </w:r>
          </w:p>
        </w:tc>
      </w:tr>
      <w:tr w:rsidR="00DD15F6" w:rsidRPr="00304A4D" w:rsidTr="004F2ED4">
        <w:trPr>
          <w:jc w:val="center"/>
        </w:trPr>
        <w:tc>
          <w:tcPr>
            <w:tcW w:w="10260" w:type="dxa"/>
            <w:gridSpan w:val="3"/>
          </w:tcPr>
          <w:p w:rsidR="00031224" w:rsidRDefault="004F2ED4" w:rsidP="004F2ED4">
            <w:pPr>
              <w:rPr>
                <w:rFonts w:ascii="Calibri" w:hAnsi="Calibri"/>
                <w:b/>
                <w:lang w:val="en-US"/>
              </w:rPr>
            </w:pPr>
            <w:r w:rsidRPr="00304A4D">
              <w:rPr>
                <w:rFonts w:ascii="Calibri" w:hAnsi="Calibri"/>
                <w:b/>
                <w:lang w:val="en-US"/>
              </w:rPr>
              <w:t>Lessons learned</w:t>
            </w:r>
            <w:r w:rsidR="00304A4D">
              <w:rPr>
                <w:rFonts w:ascii="Calibri" w:hAnsi="Calibri"/>
                <w:b/>
                <w:lang w:val="en-US"/>
              </w:rPr>
              <w:t>:</w:t>
            </w:r>
          </w:p>
          <w:p w:rsidR="00304A4D" w:rsidRPr="00304A4D" w:rsidRDefault="00304A4D" w:rsidP="004F2ED4">
            <w:pPr>
              <w:rPr>
                <w:rFonts w:ascii="Calibri" w:hAnsi="Calibri"/>
                <w:b/>
                <w:lang w:val="en-US"/>
              </w:rPr>
            </w:pPr>
          </w:p>
          <w:p w:rsidR="00D74E56" w:rsidRPr="00304A4D" w:rsidRDefault="004F2ED4" w:rsidP="00304A4D">
            <w:pPr>
              <w:jc w:val="both"/>
              <w:rPr>
                <w:lang w:val="en-GB"/>
              </w:rPr>
            </w:pPr>
            <w:r w:rsidRPr="00304A4D">
              <w:rPr>
                <w:b/>
                <w:lang w:val="en-US"/>
              </w:rPr>
              <w:t>Program design:</w:t>
            </w:r>
            <w:r w:rsidR="00304A4D" w:rsidRPr="00304A4D">
              <w:rPr>
                <w:b/>
                <w:lang w:val="en-US"/>
              </w:rPr>
              <w:t xml:space="preserve">  </w:t>
            </w:r>
            <w:r w:rsidRPr="00304A4D">
              <w:rPr>
                <w:lang w:val="en-GB"/>
              </w:rPr>
              <w:t xml:space="preserve">Flexibility in the design phase is important as well as to allow strategic adjustments from the original design; </w:t>
            </w:r>
            <w:r w:rsidR="00304A4D">
              <w:rPr>
                <w:lang w:val="en-GB"/>
              </w:rPr>
              <w:t>a</w:t>
            </w:r>
            <w:r w:rsidRPr="00304A4D">
              <w:rPr>
                <w:lang w:val="en-GB"/>
              </w:rPr>
              <w:t>ll joint programmes must expect changes in Gover</w:t>
            </w:r>
            <w:r w:rsidR="00031224" w:rsidRPr="00304A4D">
              <w:rPr>
                <w:lang w:val="en-GB"/>
              </w:rPr>
              <w:t>n</w:t>
            </w:r>
            <w:r w:rsidRPr="00304A4D">
              <w:rPr>
                <w:lang w:val="en-GB"/>
              </w:rPr>
              <w:t xml:space="preserve">ment hierarchy and counterparts; be aware of oversized activities and consider that Joint planning is a “continuous” work. </w:t>
            </w:r>
          </w:p>
          <w:p w:rsidR="004F2ED4" w:rsidRPr="00304A4D" w:rsidRDefault="004F2ED4" w:rsidP="00304A4D">
            <w:pPr>
              <w:jc w:val="both"/>
              <w:rPr>
                <w:lang w:val="en-GB"/>
              </w:rPr>
            </w:pPr>
            <w:r w:rsidRPr="00304A4D">
              <w:rPr>
                <w:b/>
                <w:lang w:val="en-GB"/>
              </w:rPr>
              <w:t xml:space="preserve">Governability: </w:t>
            </w:r>
            <w:r w:rsidRPr="00304A4D">
              <w:rPr>
                <w:lang w:val="en-GB"/>
              </w:rPr>
              <w:t xml:space="preserve"> Progressive empowerment; Management and Steering Committees </w:t>
            </w:r>
            <w:r w:rsidR="00031224" w:rsidRPr="00304A4D">
              <w:rPr>
                <w:lang w:val="en-GB"/>
              </w:rPr>
              <w:t xml:space="preserve">serve </w:t>
            </w:r>
            <w:r w:rsidRPr="00304A4D">
              <w:rPr>
                <w:lang w:val="en-GB"/>
              </w:rPr>
              <w:t>as substantive discussion spaces.</w:t>
            </w:r>
          </w:p>
          <w:p w:rsidR="00D74E56" w:rsidRDefault="004F2ED4" w:rsidP="00304A4D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04A4D">
              <w:rPr>
                <w:b/>
                <w:bCs/>
                <w:lang w:val="en-GB"/>
              </w:rPr>
              <w:t>Communication:</w:t>
            </w:r>
            <w:r w:rsidR="00891863" w:rsidRPr="00304A4D">
              <w:rPr>
                <w:b/>
                <w:bCs/>
                <w:lang w:val="en-GB"/>
              </w:rPr>
              <w:t xml:space="preserve"> </w:t>
            </w:r>
            <w:r w:rsidR="00891863" w:rsidRPr="00304A4D">
              <w:rPr>
                <w:bCs/>
                <w:lang w:val="en-GB"/>
              </w:rPr>
              <w:t>Importance to communicate</w:t>
            </w:r>
            <w:r w:rsidRPr="00304A4D">
              <w:rPr>
                <w:lang w:val="en-GB"/>
              </w:rPr>
              <w:t xml:space="preserve"> the MDG-Fund and how it works</w:t>
            </w:r>
            <w:r w:rsidR="00891863" w:rsidRPr="00304A4D">
              <w:rPr>
                <w:lang w:val="en-GB"/>
              </w:rPr>
              <w:t xml:space="preserve"> and importance of including the MDGs early in the communication strategy.</w:t>
            </w:r>
            <w:r w:rsidR="00891863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DD15F6" w:rsidRPr="00304A4D" w:rsidTr="004F2ED4">
        <w:trPr>
          <w:jc w:val="center"/>
        </w:trPr>
        <w:tc>
          <w:tcPr>
            <w:tcW w:w="10260" w:type="dxa"/>
            <w:gridSpan w:val="3"/>
          </w:tcPr>
          <w:p w:rsidR="00DD15F6" w:rsidRPr="00157E8F" w:rsidRDefault="00DD15F6" w:rsidP="00DB6FE5">
            <w:pPr>
              <w:rPr>
                <w:rFonts w:asciiTheme="minorHAnsi" w:hAnsiTheme="minorHAnsi"/>
                <w:b/>
                <w:caps/>
                <w:lang w:val="en-US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 xml:space="preserve">The programme reports relevant linkage to the UNDAF: </w:t>
            </w:r>
            <w:r w:rsidR="00D74E56" w:rsidRPr="00157E8F">
              <w:rPr>
                <w:rFonts w:asciiTheme="minorHAnsi" w:hAnsiTheme="minorHAnsi"/>
                <w:lang w:val="en-US"/>
              </w:rPr>
              <w:fldChar w:fldCharType="begin"/>
            </w:r>
            <w:r w:rsidRPr="00157E8F">
              <w:rPr>
                <w:rFonts w:asciiTheme="minorHAnsi" w:hAnsiTheme="minorHAnsi"/>
                <w:lang w:val="en-US"/>
              </w:rPr>
              <w:instrText xml:space="preserve"> MERGEFIELD UNDAF_RELATED </w:instrText>
            </w:r>
            <w:r w:rsidR="00D74E56" w:rsidRPr="00157E8F">
              <w:rPr>
                <w:rFonts w:asciiTheme="minorHAnsi" w:hAnsiTheme="minorHAnsi"/>
                <w:lang w:val="en-US"/>
              </w:rPr>
              <w:fldChar w:fldCharType="separate"/>
            </w:r>
            <w:r w:rsidRPr="00157E8F">
              <w:rPr>
                <w:rFonts w:asciiTheme="minorHAnsi" w:hAnsiTheme="minorHAnsi"/>
                <w:noProof/>
                <w:lang w:val="en-US"/>
              </w:rPr>
              <w:t>Yes</w:t>
            </w:r>
            <w:r w:rsidR="00D74E56" w:rsidRPr="00157E8F">
              <w:rPr>
                <w:rFonts w:asciiTheme="minorHAnsi" w:hAnsiTheme="minorHAnsi"/>
                <w:lang w:val="en-US"/>
              </w:rPr>
              <w:fldChar w:fldCharType="end"/>
            </w:r>
          </w:p>
        </w:tc>
      </w:tr>
      <w:tr w:rsidR="00DD15F6" w:rsidRPr="00304A4D" w:rsidTr="004F2ED4">
        <w:trPr>
          <w:jc w:val="center"/>
        </w:trPr>
        <w:tc>
          <w:tcPr>
            <w:tcW w:w="10260" w:type="dxa"/>
            <w:gridSpan w:val="3"/>
          </w:tcPr>
          <w:p w:rsidR="00DD15F6" w:rsidRPr="00157E8F" w:rsidRDefault="00DD15F6" w:rsidP="00DD15F6">
            <w:pPr>
              <w:rPr>
                <w:rFonts w:asciiTheme="minorHAnsi" w:hAnsiTheme="minorHAnsi"/>
                <w:b/>
                <w:caps/>
                <w:lang w:val="en-US"/>
              </w:rPr>
            </w:pPr>
            <w:r w:rsidRPr="00157E8F">
              <w:rPr>
                <w:rFonts w:asciiTheme="minorHAnsi" w:hAnsiTheme="minorHAnsi"/>
                <w:b/>
                <w:lang w:val="en-US"/>
              </w:rPr>
              <w:t xml:space="preserve">The programme has communications strategy in place: </w:t>
            </w:r>
            <w:r w:rsidRPr="00157E8F">
              <w:rPr>
                <w:rFonts w:asciiTheme="minorHAnsi" w:hAnsiTheme="minorHAnsi"/>
                <w:lang w:val="en-US"/>
              </w:rPr>
              <w:t>Yes</w:t>
            </w:r>
          </w:p>
        </w:tc>
      </w:tr>
    </w:tbl>
    <w:p w:rsidR="004F2ED4" w:rsidRDefault="004F2ED4" w:rsidP="003564B2">
      <w:pPr>
        <w:jc w:val="center"/>
        <w:rPr>
          <w:rFonts w:ascii="Calibri" w:hAnsi="Calibri" w:cs="Arial"/>
          <w:lang w:val="en-US"/>
        </w:rPr>
      </w:pPr>
    </w:p>
    <w:p w:rsidR="002A46CC" w:rsidRPr="0095425F" w:rsidRDefault="002A46CC" w:rsidP="003564B2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CHARTS &amp; FIGURES</w:t>
      </w:r>
    </w:p>
    <w:p w:rsidR="002A46CC" w:rsidRDefault="002A46CC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DD15F6">
        <w:rPr>
          <w:rFonts w:ascii="Calibri" w:hAnsi="Calibri" w:cs="Arial"/>
          <w:lang w:val="en-US"/>
        </w:rPr>
        <w:t>10</w:t>
      </w:r>
    </w:p>
    <w:p w:rsidR="002965AA" w:rsidRDefault="002965AA" w:rsidP="00F147E3">
      <w:pPr>
        <w:jc w:val="center"/>
        <w:rPr>
          <w:rFonts w:ascii="Calibri" w:hAnsi="Calibri" w:cs="Arial"/>
          <w:lang w:val="en-US"/>
        </w:rPr>
      </w:pPr>
    </w:p>
    <w:p w:rsidR="002A46CC" w:rsidRDefault="00891863" w:rsidP="00F147E3">
      <w:pPr>
        <w:jc w:val="center"/>
        <w:rPr>
          <w:rFonts w:ascii="Calibri" w:hAnsi="Calibri" w:cs="Arial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32805" cy="60921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CC" w:rsidRDefault="002A46CC" w:rsidP="000E1DE3">
      <w:pPr>
        <w:ind w:left="-900" w:right="-270"/>
        <w:jc w:val="center"/>
        <w:rPr>
          <w:rFonts w:ascii="Calibri" w:hAnsi="Calibri" w:cs="Arial"/>
          <w:lang w:val="en-US"/>
        </w:rPr>
      </w:pPr>
    </w:p>
    <w:p w:rsidR="002A46CC" w:rsidRDefault="002A46CC" w:rsidP="00B65500">
      <w:pPr>
        <w:ind w:left="-450" w:right="-360"/>
        <w:rPr>
          <w:rFonts w:ascii="Calibri" w:hAnsi="Calibri" w:cs="Arial"/>
          <w:b/>
          <w:lang w:val="en-US"/>
        </w:rPr>
      </w:pPr>
    </w:p>
    <w:p w:rsidR="002A46CC" w:rsidRDefault="002A46CC" w:rsidP="00F25E26">
      <w:pPr>
        <w:jc w:val="center"/>
        <w:rPr>
          <w:rFonts w:ascii="Calibri" w:hAnsi="Calibri" w:cs="Arial"/>
          <w:b/>
          <w:lang w:val="en-US"/>
        </w:rPr>
      </w:pPr>
    </w:p>
    <w:p w:rsidR="002A46CC" w:rsidRDefault="002A46CC" w:rsidP="00F25E26">
      <w:pPr>
        <w:jc w:val="center"/>
        <w:rPr>
          <w:rFonts w:ascii="Calibri" w:hAnsi="Calibri" w:cs="Arial"/>
          <w:b/>
          <w:lang w:val="en-US"/>
        </w:rPr>
      </w:pPr>
    </w:p>
    <w:p w:rsidR="002A46CC" w:rsidRDefault="002A46CC" w:rsidP="00F25E26">
      <w:pPr>
        <w:jc w:val="center"/>
        <w:rPr>
          <w:rFonts w:ascii="Calibri" w:hAnsi="Calibri" w:cs="Arial"/>
          <w:b/>
          <w:lang w:val="en-US"/>
        </w:rPr>
      </w:pPr>
    </w:p>
    <w:sectPr w:rsidR="002A46CC" w:rsidSect="001D191C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D4" w:rsidRDefault="004F2ED4" w:rsidP="00F147E3">
      <w:r>
        <w:separator/>
      </w:r>
    </w:p>
  </w:endnote>
  <w:endnote w:type="continuationSeparator" w:id="1">
    <w:p w:rsidR="004F2ED4" w:rsidRDefault="004F2ED4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D4" w:rsidRDefault="004F2ED4" w:rsidP="00F147E3">
      <w:r>
        <w:separator/>
      </w:r>
    </w:p>
  </w:footnote>
  <w:footnote w:type="continuationSeparator" w:id="1">
    <w:p w:rsidR="004F2ED4" w:rsidRDefault="004F2ED4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D4" w:rsidRDefault="00891863">
    <w:pPr>
      <w:pStyle w:val="Header"/>
      <w:rPr>
        <w:rFonts w:ascii="Arial" w:hAnsi="Arial" w:cs="Arial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2ED4" w:rsidRPr="00F147E3">
      <w:rPr>
        <w:rFonts w:ascii="Arial" w:hAnsi="Arial" w:cs="Arial"/>
        <w:lang w:val="en-US"/>
      </w:rPr>
      <w:t>Multi-Donor Trust Fund Office</w:t>
    </w:r>
  </w:p>
  <w:p w:rsidR="004F2ED4" w:rsidRPr="00F147E3" w:rsidRDefault="004F2ED4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4F2ED4" w:rsidRPr="00F147E3" w:rsidRDefault="004F2ED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C3064"/>
    <w:multiLevelType w:val="hybridMultilevel"/>
    <w:tmpl w:val="2DC8B0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33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147E3"/>
    <w:rsid w:val="00005CFF"/>
    <w:rsid w:val="00016C17"/>
    <w:rsid w:val="000277F7"/>
    <w:rsid w:val="00027A1E"/>
    <w:rsid w:val="00031224"/>
    <w:rsid w:val="00054857"/>
    <w:rsid w:val="00084D2A"/>
    <w:rsid w:val="0009617E"/>
    <w:rsid w:val="000A33F0"/>
    <w:rsid w:val="000E0785"/>
    <w:rsid w:val="000E1DE3"/>
    <w:rsid w:val="000F3A77"/>
    <w:rsid w:val="00112151"/>
    <w:rsid w:val="00143186"/>
    <w:rsid w:val="00157E8F"/>
    <w:rsid w:val="0016327D"/>
    <w:rsid w:val="001D191C"/>
    <w:rsid w:val="00240992"/>
    <w:rsid w:val="00287A32"/>
    <w:rsid w:val="002965AA"/>
    <w:rsid w:val="002A46CC"/>
    <w:rsid w:val="002B59E7"/>
    <w:rsid w:val="002C2EC7"/>
    <w:rsid w:val="002D24BB"/>
    <w:rsid w:val="00302A0B"/>
    <w:rsid w:val="00304A4D"/>
    <w:rsid w:val="00306CE1"/>
    <w:rsid w:val="003424F6"/>
    <w:rsid w:val="003564B2"/>
    <w:rsid w:val="00363AC9"/>
    <w:rsid w:val="0036542F"/>
    <w:rsid w:val="003774EF"/>
    <w:rsid w:val="003B2732"/>
    <w:rsid w:val="003B39A3"/>
    <w:rsid w:val="003E233C"/>
    <w:rsid w:val="003E53E6"/>
    <w:rsid w:val="004011D3"/>
    <w:rsid w:val="00410281"/>
    <w:rsid w:val="004108C8"/>
    <w:rsid w:val="004139A4"/>
    <w:rsid w:val="004219E0"/>
    <w:rsid w:val="00451128"/>
    <w:rsid w:val="0048330C"/>
    <w:rsid w:val="00494D51"/>
    <w:rsid w:val="004A0CE0"/>
    <w:rsid w:val="004F2ED4"/>
    <w:rsid w:val="00504924"/>
    <w:rsid w:val="00540079"/>
    <w:rsid w:val="005640E5"/>
    <w:rsid w:val="00565D95"/>
    <w:rsid w:val="00571D8A"/>
    <w:rsid w:val="00572B64"/>
    <w:rsid w:val="005730EF"/>
    <w:rsid w:val="00584FF7"/>
    <w:rsid w:val="005931F3"/>
    <w:rsid w:val="00597D63"/>
    <w:rsid w:val="005B591E"/>
    <w:rsid w:val="005D0337"/>
    <w:rsid w:val="005D2D80"/>
    <w:rsid w:val="00614453"/>
    <w:rsid w:val="00621551"/>
    <w:rsid w:val="00624760"/>
    <w:rsid w:val="006A715E"/>
    <w:rsid w:val="006B0EA3"/>
    <w:rsid w:val="006B1E58"/>
    <w:rsid w:val="006C0F30"/>
    <w:rsid w:val="006C6D83"/>
    <w:rsid w:val="006D3BEC"/>
    <w:rsid w:val="006E4615"/>
    <w:rsid w:val="006E7FD7"/>
    <w:rsid w:val="006F1B8D"/>
    <w:rsid w:val="00730C01"/>
    <w:rsid w:val="007442F4"/>
    <w:rsid w:val="0074642F"/>
    <w:rsid w:val="007647A5"/>
    <w:rsid w:val="00791D5B"/>
    <w:rsid w:val="007B2751"/>
    <w:rsid w:val="007B2FA8"/>
    <w:rsid w:val="007F2D8E"/>
    <w:rsid w:val="007F5190"/>
    <w:rsid w:val="00815141"/>
    <w:rsid w:val="00824BDF"/>
    <w:rsid w:val="008472A6"/>
    <w:rsid w:val="00853611"/>
    <w:rsid w:val="008575EA"/>
    <w:rsid w:val="00891863"/>
    <w:rsid w:val="008B10E1"/>
    <w:rsid w:val="008B4D5F"/>
    <w:rsid w:val="008F05E5"/>
    <w:rsid w:val="00940012"/>
    <w:rsid w:val="00944CD9"/>
    <w:rsid w:val="00953D4B"/>
    <w:rsid w:val="0095425F"/>
    <w:rsid w:val="0095596F"/>
    <w:rsid w:val="00976886"/>
    <w:rsid w:val="00993168"/>
    <w:rsid w:val="009A5E48"/>
    <w:rsid w:val="009D5085"/>
    <w:rsid w:val="009D6220"/>
    <w:rsid w:val="00A14829"/>
    <w:rsid w:val="00A2658C"/>
    <w:rsid w:val="00A31793"/>
    <w:rsid w:val="00A3484C"/>
    <w:rsid w:val="00A35363"/>
    <w:rsid w:val="00A52DB9"/>
    <w:rsid w:val="00A56749"/>
    <w:rsid w:val="00A57FCF"/>
    <w:rsid w:val="00A6046F"/>
    <w:rsid w:val="00A64828"/>
    <w:rsid w:val="00A65720"/>
    <w:rsid w:val="00A9307A"/>
    <w:rsid w:val="00AA43A4"/>
    <w:rsid w:val="00AA7A3B"/>
    <w:rsid w:val="00AA7E38"/>
    <w:rsid w:val="00AB160A"/>
    <w:rsid w:val="00AD5522"/>
    <w:rsid w:val="00AE4F7D"/>
    <w:rsid w:val="00AE77EE"/>
    <w:rsid w:val="00B06560"/>
    <w:rsid w:val="00B07AEC"/>
    <w:rsid w:val="00B31180"/>
    <w:rsid w:val="00B65500"/>
    <w:rsid w:val="00B74F03"/>
    <w:rsid w:val="00B859E2"/>
    <w:rsid w:val="00BD3358"/>
    <w:rsid w:val="00BE22DC"/>
    <w:rsid w:val="00BF729B"/>
    <w:rsid w:val="00C12E3C"/>
    <w:rsid w:val="00C25604"/>
    <w:rsid w:val="00C2786B"/>
    <w:rsid w:val="00C45CDE"/>
    <w:rsid w:val="00C631F1"/>
    <w:rsid w:val="00C662DD"/>
    <w:rsid w:val="00C759A9"/>
    <w:rsid w:val="00CD42A8"/>
    <w:rsid w:val="00D01072"/>
    <w:rsid w:val="00D01ADA"/>
    <w:rsid w:val="00D10593"/>
    <w:rsid w:val="00D10C68"/>
    <w:rsid w:val="00D16657"/>
    <w:rsid w:val="00D17367"/>
    <w:rsid w:val="00D178BE"/>
    <w:rsid w:val="00D2252A"/>
    <w:rsid w:val="00D22F32"/>
    <w:rsid w:val="00D37045"/>
    <w:rsid w:val="00D721EE"/>
    <w:rsid w:val="00D74E56"/>
    <w:rsid w:val="00DB6FE5"/>
    <w:rsid w:val="00DD15F6"/>
    <w:rsid w:val="00DD4FE8"/>
    <w:rsid w:val="00DE080D"/>
    <w:rsid w:val="00DE2D26"/>
    <w:rsid w:val="00DE4F4B"/>
    <w:rsid w:val="00DF3869"/>
    <w:rsid w:val="00E260DD"/>
    <w:rsid w:val="00E34F58"/>
    <w:rsid w:val="00E3763B"/>
    <w:rsid w:val="00E45D20"/>
    <w:rsid w:val="00E4675B"/>
    <w:rsid w:val="00E57BF7"/>
    <w:rsid w:val="00E9218B"/>
    <w:rsid w:val="00EE17F3"/>
    <w:rsid w:val="00F101CA"/>
    <w:rsid w:val="00F12124"/>
    <w:rsid w:val="00F147E3"/>
    <w:rsid w:val="00F25E26"/>
    <w:rsid w:val="00F2635F"/>
    <w:rsid w:val="00F60570"/>
    <w:rsid w:val="00F66E6B"/>
    <w:rsid w:val="00F917CA"/>
    <w:rsid w:val="00FB0066"/>
    <w:rsid w:val="00FB1030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Title:  </vt:lpstr>
    </vt:vector>
  </TitlesOfParts>
  <Company> 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Title:  </dc:title>
  <dc:subject/>
  <dc:creator>UNDP</dc:creator>
  <cp:keywords/>
  <dc:description/>
  <cp:lastModifiedBy>UNDP</cp:lastModifiedBy>
  <cp:revision>3</cp:revision>
  <cp:lastPrinted>2010-05-17T16:22:00Z</cp:lastPrinted>
  <dcterms:created xsi:type="dcterms:W3CDTF">2011-05-26T21:53:00Z</dcterms:created>
  <dcterms:modified xsi:type="dcterms:W3CDTF">2011-06-01T00:56:00Z</dcterms:modified>
</cp:coreProperties>
</file>