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49" w:rsidRDefault="00784B49" w:rsidP="00784B49">
      <w:bookmarkStart w:id="0" w:name="_GoBack"/>
      <w:bookmarkEnd w:id="0"/>
    </w:p>
    <w:p w:rsidR="00784B49" w:rsidRDefault="00C75C13" w:rsidP="00784B49">
      <w:r>
        <w:tab/>
      </w:r>
      <w:r>
        <w:tab/>
      </w:r>
      <w:r>
        <w:tab/>
      </w:r>
      <w:r>
        <w:tab/>
      </w:r>
      <w:r>
        <w:tab/>
      </w:r>
      <w:r>
        <w:tab/>
      </w:r>
      <w:r>
        <w:tab/>
      </w:r>
      <w:r>
        <w:tab/>
        <w:t xml:space="preserve">July </w:t>
      </w:r>
      <w:r w:rsidR="00143009">
        <w:t>28</w:t>
      </w:r>
      <w:r>
        <w:t>, 2013</w:t>
      </w:r>
    </w:p>
    <w:p w:rsidR="00784B49" w:rsidRDefault="00784B49" w:rsidP="00784B49"/>
    <w:p w:rsidR="00784B49" w:rsidRDefault="00784B49" w:rsidP="00784B49"/>
    <w:p w:rsidR="00784B49" w:rsidRDefault="00784B49" w:rsidP="00784B49"/>
    <w:p w:rsidR="00784B49" w:rsidRPr="00291FF0" w:rsidRDefault="00784B49" w:rsidP="00784B49">
      <w:pPr>
        <w:jc w:val="center"/>
        <w:rPr>
          <w:b/>
          <w:sz w:val="36"/>
          <w:szCs w:val="36"/>
        </w:rPr>
      </w:pPr>
      <w:r w:rsidRPr="00291FF0">
        <w:rPr>
          <w:b/>
          <w:sz w:val="36"/>
          <w:szCs w:val="36"/>
        </w:rPr>
        <w:t>MDG Fund – 2010-2013</w:t>
      </w:r>
    </w:p>
    <w:p w:rsidR="00784B49" w:rsidRPr="00291FF0" w:rsidRDefault="00784B49" w:rsidP="00784B49">
      <w:pPr>
        <w:jc w:val="center"/>
        <w:rPr>
          <w:b/>
          <w:sz w:val="36"/>
          <w:szCs w:val="36"/>
        </w:rPr>
      </w:pPr>
    </w:p>
    <w:p w:rsidR="00541FA2" w:rsidRDefault="00784B49" w:rsidP="00784B49">
      <w:pPr>
        <w:jc w:val="center"/>
        <w:rPr>
          <w:b/>
          <w:sz w:val="36"/>
          <w:szCs w:val="36"/>
        </w:rPr>
      </w:pPr>
      <w:r w:rsidRPr="00291FF0">
        <w:rPr>
          <w:b/>
          <w:sz w:val="36"/>
          <w:szCs w:val="36"/>
        </w:rPr>
        <w:t xml:space="preserve">Protecting and Promoting Food Security and </w:t>
      </w:r>
    </w:p>
    <w:p w:rsidR="00541FA2" w:rsidRDefault="00541FA2" w:rsidP="00784B49">
      <w:pPr>
        <w:jc w:val="center"/>
        <w:rPr>
          <w:b/>
          <w:sz w:val="36"/>
          <w:szCs w:val="36"/>
        </w:rPr>
      </w:pPr>
    </w:p>
    <w:p w:rsidR="00784B49" w:rsidRPr="00291FF0" w:rsidRDefault="00784B49" w:rsidP="00784B49">
      <w:pPr>
        <w:jc w:val="center"/>
        <w:rPr>
          <w:b/>
          <w:sz w:val="36"/>
          <w:szCs w:val="36"/>
        </w:rPr>
      </w:pPr>
      <w:r w:rsidRPr="00291FF0">
        <w:rPr>
          <w:b/>
          <w:sz w:val="36"/>
          <w:szCs w:val="36"/>
        </w:rPr>
        <w:t>Nutrition</w:t>
      </w:r>
    </w:p>
    <w:p w:rsidR="00784B49" w:rsidRPr="00291FF0" w:rsidRDefault="00784B49" w:rsidP="00784B49">
      <w:pPr>
        <w:jc w:val="center"/>
        <w:rPr>
          <w:b/>
          <w:sz w:val="36"/>
          <w:szCs w:val="36"/>
        </w:rPr>
      </w:pPr>
    </w:p>
    <w:p w:rsidR="00784B49" w:rsidRPr="00291FF0" w:rsidRDefault="00784B49" w:rsidP="00784B49">
      <w:pPr>
        <w:jc w:val="center"/>
        <w:rPr>
          <w:b/>
          <w:sz w:val="36"/>
          <w:szCs w:val="36"/>
        </w:rPr>
      </w:pPr>
      <w:r w:rsidRPr="00291FF0">
        <w:rPr>
          <w:b/>
          <w:sz w:val="36"/>
          <w:szCs w:val="36"/>
        </w:rPr>
        <w:t>for Families and Children in Bangladesh</w:t>
      </w:r>
    </w:p>
    <w:p w:rsidR="00784B49" w:rsidRPr="00291FF0" w:rsidRDefault="00784B49" w:rsidP="00784B49">
      <w:pPr>
        <w:jc w:val="center"/>
        <w:rPr>
          <w:b/>
          <w:sz w:val="36"/>
          <w:szCs w:val="36"/>
        </w:rPr>
      </w:pPr>
    </w:p>
    <w:p w:rsidR="00784B49" w:rsidRPr="00291FF0" w:rsidRDefault="00784B49" w:rsidP="00784B49">
      <w:pPr>
        <w:jc w:val="center"/>
        <w:rPr>
          <w:b/>
          <w:sz w:val="36"/>
          <w:szCs w:val="36"/>
        </w:rPr>
      </w:pPr>
    </w:p>
    <w:p w:rsidR="00784B49" w:rsidRPr="00291FF0" w:rsidRDefault="00784B49" w:rsidP="00784B49">
      <w:pPr>
        <w:jc w:val="center"/>
        <w:rPr>
          <w:b/>
          <w:sz w:val="36"/>
          <w:szCs w:val="36"/>
        </w:rPr>
      </w:pPr>
    </w:p>
    <w:p w:rsidR="00784B49" w:rsidRPr="00291FF0" w:rsidRDefault="00784B49" w:rsidP="00784B49">
      <w:pPr>
        <w:jc w:val="center"/>
        <w:rPr>
          <w:b/>
          <w:sz w:val="36"/>
          <w:szCs w:val="36"/>
        </w:rPr>
      </w:pPr>
    </w:p>
    <w:p w:rsidR="00784B49" w:rsidRPr="00291FF0" w:rsidRDefault="00784B49" w:rsidP="00784B49">
      <w:pPr>
        <w:jc w:val="center"/>
        <w:rPr>
          <w:b/>
          <w:sz w:val="36"/>
          <w:szCs w:val="36"/>
        </w:rPr>
      </w:pPr>
    </w:p>
    <w:p w:rsidR="00784B49" w:rsidRPr="00291FF0" w:rsidRDefault="00784B49" w:rsidP="00784B49">
      <w:pPr>
        <w:jc w:val="center"/>
        <w:rPr>
          <w:b/>
          <w:sz w:val="36"/>
          <w:szCs w:val="36"/>
        </w:rPr>
      </w:pPr>
      <w:r w:rsidRPr="00291FF0">
        <w:rPr>
          <w:b/>
          <w:sz w:val="36"/>
          <w:szCs w:val="36"/>
        </w:rPr>
        <w:t>Final Evaluation</w:t>
      </w:r>
    </w:p>
    <w:p w:rsidR="00784B49" w:rsidRDefault="00784B49" w:rsidP="00784B49">
      <w:pPr>
        <w:jc w:val="center"/>
        <w:rPr>
          <w:b/>
          <w:sz w:val="32"/>
          <w:szCs w:val="32"/>
        </w:rPr>
      </w:pPr>
    </w:p>
    <w:p w:rsidR="00784B49" w:rsidRDefault="00784B49" w:rsidP="00784B49">
      <w:pPr>
        <w:jc w:val="center"/>
        <w:rPr>
          <w:b/>
          <w:sz w:val="32"/>
          <w:szCs w:val="32"/>
        </w:rPr>
      </w:pPr>
    </w:p>
    <w:p w:rsidR="00784B49" w:rsidRDefault="00784B49" w:rsidP="00784B49">
      <w:pPr>
        <w:jc w:val="center"/>
        <w:rPr>
          <w:b/>
          <w:sz w:val="32"/>
          <w:szCs w:val="32"/>
        </w:rPr>
      </w:pPr>
    </w:p>
    <w:p w:rsidR="00784B49" w:rsidRDefault="00784B49" w:rsidP="00784B49">
      <w:pPr>
        <w:jc w:val="center"/>
        <w:rPr>
          <w:b/>
          <w:sz w:val="32"/>
          <w:szCs w:val="32"/>
        </w:rPr>
      </w:pPr>
    </w:p>
    <w:p w:rsidR="00784B49" w:rsidRDefault="00784B49" w:rsidP="00784B49">
      <w:pPr>
        <w:jc w:val="center"/>
        <w:rPr>
          <w:b/>
          <w:sz w:val="32"/>
          <w:szCs w:val="32"/>
        </w:rPr>
      </w:pPr>
    </w:p>
    <w:p w:rsidR="00784B49" w:rsidRDefault="00784B49" w:rsidP="00784B49">
      <w:pPr>
        <w:jc w:val="center"/>
        <w:rPr>
          <w:b/>
          <w:sz w:val="32"/>
          <w:szCs w:val="32"/>
        </w:rPr>
      </w:pPr>
    </w:p>
    <w:p w:rsidR="00784B49" w:rsidRPr="001852D1" w:rsidRDefault="00784B49" w:rsidP="00784B49">
      <w:pPr>
        <w:jc w:val="center"/>
        <w:rPr>
          <w:b/>
          <w:sz w:val="32"/>
          <w:szCs w:val="32"/>
        </w:rPr>
      </w:pPr>
    </w:p>
    <w:p w:rsidR="00784B49" w:rsidRDefault="00784B49" w:rsidP="00784B49"/>
    <w:p w:rsidR="00784B49" w:rsidRPr="00291FF0" w:rsidRDefault="00784B49" w:rsidP="00784B49">
      <w:pPr>
        <w:jc w:val="center"/>
        <w:rPr>
          <w:b/>
          <w:sz w:val="28"/>
          <w:szCs w:val="28"/>
        </w:rPr>
      </w:pPr>
      <w:r>
        <w:rPr>
          <w:b/>
          <w:sz w:val="28"/>
          <w:szCs w:val="28"/>
        </w:rPr>
        <w:t>F. James Levinson and Delwar Hussain</w:t>
      </w:r>
    </w:p>
    <w:p w:rsidR="00784B49" w:rsidRDefault="00784B49" w:rsidP="00784B49"/>
    <w:p w:rsidR="00784B49" w:rsidRDefault="00784B49" w:rsidP="00784B49"/>
    <w:p w:rsidR="00784B49" w:rsidRDefault="00784B49" w:rsidP="00784B49"/>
    <w:p w:rsidR="00784B49" w:rsidRDefault="00784B49" w:rsidP="00784B49"/>
    <w:p w:rsidR="00784B49" w:rsidRDefault="00784B49" w:rsidP="00784B49"/>
    <w:p w:rsidR="00784B49" w:rsidRDefault="00784B49" w:rsidP="00784B49"/>
    <w:p w:rsidR="00784B49" w:rsidRDefault="00784B49" w:rsidP="00784B49"/>
    <w:p w:rsidR="00784B49" w:rsidRDefault="00784B49" w:rsidP="00784B49"/>
    <w:p w:rsidR="00784B49" w:rsidRDefault="00784B49" w:rsidP="00784B49"/>
    <w:p w:rsidR="00784B49" w:rsidRDefault="00784B49" w:rsidP="00784B49"/>
    <w:sdt>
      <w:sdtPr>
        <w:rPr>
          <w:rFonts w:asciiTheme="minorHAnsi" w:eastAsiaTheme="minorEastAsia" w:hAnsiTheme="minorHAnsi" w:cstheme="minorBidi"/>
          <w:b w:val="0"/>
          <w:bCs w:val="0"/>
          <w:color w:val="auto"/>
          <w:sz w:val="24"/>
          <w:szCs w:val="24"/>
        </w:rPr>
        <w:id w:val="-1268079180"/>
        <w:docPartObj>
          <w:docPartGallery w:val="Table of Contents"/>
          <w:docPartUnique/>
        </w:docPartObj>
      </w:sdtPr>
      <w:sdtEndPr>
        <w:rPr>
          <w:noProof/>
        </w:rPr>
      </w:sdtEndPr>
      <w:sdtContent>
        <w:p w:rsidR="00350A3E" w:rsidRPr="00A31AE7" w:rsidRDefault="005D2FE8" w:rsidP="00A31AE7">
          <w:pPr>
            <w:pStyle w:val="TOCHeading"/>
            <w:spacing w:before="0"/>
            <w:jc w:val="center"/>
            <w:rPr>
              <w:color w:val="000000" w:themeColor="text1"/>
            </w:rPr>
          </w:pPr>
          <w:r w:rsidRPr="009B1310">
            <w:rPr>
              <w:color w:val="000000" w:themeColor="text1"/>
            </w:rPr>
            <w:t>Table of Contents</w:t>
          </w:r>
        </w:p>
        <w:p w:rsidR="00350A3E" w:rsidRPr="00350A3E" w:rsidRDefault="00350A3E" w:rsidP="00350A3E">
          <w:r w:rsidRPr="00350A3E">
            <w:rPr>
              <w:b/>
            </w:rPr>
            <w:t>Acronyms</w:t>
          </w:r>
          <w:r>
            <w:rPr>
              <w:b/>
            </w:rPr>
            <w:t>………………………………………………………………………………………………………1</w:t>
          </w:r>
        </w:p>
        <w:p w:rsidR="00BF7C4B" w:rsidRDefault="005D2FE8">
          <w:pPr>
            <w:pStyle w:val="TOC1"/>
            <w:tabs>
              <w:tab w:val="right" w:leader="dot" w:pos="8630"/>
            </w:tabs>
            <w:rPr>
              <w:b w:val="0"/>
              <w:noProof/>
              <w:lang w:eastAsia="ja-JP"/>
            </w:rPr>
          </w:pPr>
          <w:r>
            <w:rPr>
              <w:b w:val="0"/>
            </w:rPr>
            <w:fldChar w:fldCharType="begin"/>
          </w:r>
          <w:r>
            <w:instrText xml:space="preserve"> TOC \o "1-3" \h \z \u </w:instrText>
          </w:r>
          <w:r>
            <w:rPr>
              <w:b w:val="0"/>
            </w:rPr>
            <w:fldChar w:fldCharType="separate"/>
          </w:r>
          <w:r w:rsidR="00BF7C4B">
            <w:rPr>
              <w:noProof/>
            </w:rPr>
            <w:t>Executive Summary</w:t>
          </w:r>
          <w:r w:rsidR="00BF7C4B">
            <w:rPr>
              <w:noProof/>
            </w:rPr>
            <w:tab/>
          </w:r>
          <w:r w:rsidR="001F12DB">
            <w:rPr>
              <w:noProof/>
            </w:rPr>
            <w:t>2</w:t>
          </w:r>
        </w:p>
        <w:p w:rsidR="00BF7C4B" w:rsidRDefault="00BF7C4B">
          <w:pPr>
            <w:pStyle w:val="TOC1"/>
            <w:tabs>
              <w:tab w:val="right" w:leader="dot" w:pos="8630"/>
            </w:tabs>
            <w:rPr>
              <w:b w:val="0"/>
              <w:noProof/>
              <w:lang w:eastAsia="ja-JP"/>
            </w:rPr>
          </w:pPr>
          <w:r>
            <w:rPr>
              <w:noProof/>
            </w:rPr>
            <w:t>Introduction</w:t>
          </w:r>
          <w:r>
            <w:rPr>
              <w:noProof/>
            </w:rPr>
            <w:tab/>
          </w:r>
          <w:r w:rsidR="001F12DB">
            <w:rPr>
              <w:noProof/>
            </w:rPr>
            <w:t>7</w:t>
          </w:r>
        </w:p>
        <w:p w:rsidR="00BF7C4B" w:rsidRDefault="00BF7C4B">
          <w:pPr>
            <w:pStyle w:val="TOC1"/>
            <w:tabs>
              <w:tab w:val="right" w:leader="dot" w:pos="8630"/>
            </w:tabs>
            <w:rPr>
              <w:b w:val="0"/>
              <w:noProof/>
              <w:lang w:eastAsia="ja-JP"/>
            </w:rPr>
          </w:pPr>
          <w:r>
            <w:rPr>
              <w:noProof/>
            </w:rPr>
            <w:t>Quantitative Data Review</w:t>
          </w:r>
          <w:r>
            <w:rPr>
              <w:noProof/>
            </w:rPr>
            <w:tab/>
          </w:r>
          <w:r w:rsidR="001F12DB">
            <w:rPr>
              <w:noProof/>
            </w:rPr>
            <w:t>11</w:t>
          </w:r>
        </w:p>
        <w:p w:rsidR="00BF7C4B" w:rsidRDefault="00BF7C4B">
          <w:pPr>
            <w:pStyle w:val="TOC1"/>
            <w:tabs>
              <w:tab w:val="right" w:leader="dot" w:pos="8630"/>
            </w:tabs>
            <w:rPr>
              <w:b w:val="0"/>
              <w:noProof/>
              <w:lang w:eastAsia="ja-JP"/>
            </w:rPr>
          </w:pPr>
          <w:r>
            <w:rPr>
              <w:noProof/>
            </w:rPr>
            <w:t>The Screening/CMAM Component</w:t>
          </w:r>
          <w:r>
            <w:rPr>
              <w:noProof/>
            </w:rPr>
            <w:tab/>
          </w:r>
          <w:r w:rsidR="001F12DB">
            <w:rPr>
              <w:noProof/>
            </w:rPr>
            <w:t>12</w:t>
          </w:r>
        </w:p>
        <w:p w:rsidR="00BF7C4B" w:rsidRDefault="00BF7C4B">
          <w:pPr>
            <w:pStyle w:val="TOC1"/>
            <w:tabs>
              <w:tab w:val="right" w:leader="dot" w:pos="8630"/>
            </w:tabs>
            <w:rPr>
              <w:b w:val="0"/>
              <w:noProof/>
              <w:lang w:eastAsia="ja-JP"/>
            </w:rPr>
          </w:pPr>
          <w:r>
            <w:rPr>
              <w:noProof/>
            </w:rPr>
            <w:t>The Food Security Component</w:t>
          </w:r>
          <w:r>
            <w:rPr>
              <w:noProof/>
            </w:rPr>
            <w:tab/>
          </w:r>
          <w:r w:rsidR="001F12DB">
            <w:rPr>
              <w:noProof/>
            </w:rPr>
            <w:t>14</w:t>
          </w:r>
        </w:p>
        <w:p w:rsidR="00BF7C4B" w:rsidRDefault="00BF7C4B">
          <w:pPr>
            <w:pStyle w:val="TOC1"/>
            <w:tabs>
              <w:tab w:val="right" w:leader="dot" w:pos="8630"/>
            </w:tabs>
            <w:rPr>
              <w:b w:val="0"/>
              <w:noProof/>
              <w:lang w:eastAsia="ja-JP"/>
            </w:rPr>
          </w:pPr>
          <w:r>
            <w:rPr>
              <w:noProof/>
            </w:rPr>
            <w:t>School-based Activities</w:t>
          </w:r>
          <w:r>
            <w:rPr>
              <w:noProof/>
            </w:rPr>
            <w:tab/>
          </w:r>
          <w:r w:rsidR="001F12DB">
            <w:rPr>
              <w:noProof/>
            </w:rPr>
            <w:t>17</w:t>
          </w:r>
        </w:p>
        <w:p w:rsidR="00BF7C4B" w:rsidRDefault="00BF7C4B">
          <w:pPr>
            <w:pStyle w:val="TOC1"/>
            <w:tabs>
              <w:tab w:val="right" w:leader="dot" w:pos="8630"/>
            </w:tabs>
            <w:rPr>
              <w:b w:val="0"/>
              <w:noProof/>
              <w:lang w:eastAsia="ja-JP"/>
            </w:rPr>
          </w:pPr>
          <w:r>
            <w:rPr>
              <w:noProof/>
            </w:rPr>
            <w:t>Anemia Reduction</w:t>
          </w:r>
          <w:r>
            <w:rPr>
              <w:noProof/>
            </w:rPr>
            <w:tab/>
          </w:r>
          <w:r w:rsidR="001F12DB">
            <w:rPr>
              <w:noProof/>
            </w:rPr>
            <w:t>17</w:t>
          </w:r>
        </w:p>
        <w:p w:rsidR="00BF7C4B" w:rsidRDefault="00BF7C4B">
          <w:pPr>
            <w:pStyle w:val="TOC1"/>
            <w:tabs>
              <w:tab w:val="right" w:leader="dot" w:pos="8630"/>
            </w:tabs>
            <w:rPr>
              <w:b w:val="0"/>
              <w:noProof/>
              <w:lang w:eastAsia="ja-JP"/>
            </w:rPr>
          </w:pPr>
          <w:r>
            <w:rPr>
              <w:noProof/>
            </w:rPr>
            <w:t>Outcome 5: Data/Information</w:t>
          </w:r>
          <w:r>
            <w:rPr>
              <w:noProof/>
            </w:rPr>
            <w:tab/>
          </w:r>
          <w:r w:rsidR="001F12DB">
            <w:rPr>
              <w:noProof/>
            </w:rPr>
            <w:t>19</w:t>
          </w:r>
        </w:p>
        <w:p w:rsidR="00BF7C4B" w:rsidRDefault="00BF7C4B">
          <w:pPr>
            <w:pStyle w:val="TOC1"/>
            <w:tabs>
              <w:tab w:val="right" w:leader="dot" w:pos="8630"/>
            </w:tabs>
            <w:rPr>
              <w:b w:val="0"/>
              <w:noProof/>
              <w:lang w:eastAsia="ja-JP"/>
            </w:rPr>
          </w:pPr>
          <w:r>
            <w:rPr>
              <w:noProof/>
            </w:rPr>
            <w:t>Women’s Empowerment</w:t>
          </w:r>
          <w:r>
            <w:rPr>
              <w:noProof/>
            </w:rPr>
            <w:tab/>
          </w:r>
          <w:r w:rsidR="00A31AE7">
            <w:rPr>
              <w:noProof/>
            </w:rPr>
            <w:t>20</w:t>
          </w:r>
        </w:p>
        <w:p w:rsidR="00BF7C4B" w:rsidRDefault="00BF7C4B">
          <w:pPr>
            <w:pStyle w:val="TOC1"/>
            <w:tabs>
              <w:tab w:val="right" w:leader="dot" w:pos="8630"/>
            </w:tabs>
            <w:rPr>
              <w:b w:val="0"/>
              <w:noProof/>
              <w:lang w:eastAsia="ja-JP"/>
            </w:rPr>
          </w:pPr>
          <w:r>
            <w:rPr>
              <w:noProof/>
            </w:rPr>
            <w:t>Pregnancy Behaviors</w:t>
          </w:r>
          <w:r>
            <w:rPr>
              <w:noProof/>
            </w:rPr>
            <w:tab/>
          </w:r>
          <w:r w:rsidR="00A31AE7">
            <w:rPr>
              <w:noProof/>
            </w:rPr>
            <w:t>20</w:t>
          </w:r>
        </w:p>
        <w:p w:rsidR="00BF7C4B" w:rsidRDefault="00BF7C4B">
          <w:pPr>
            <w:pStyle w:val="TOC1"/>
            <w:tabs>
              <w:tab w:val="right" w:leader="dot" w:pos="8630"/>
            </w:tabs>
            <w:rPr>
              <w:noProof/>
            </w:rPr>
          </w:pPr>
          <w:r>
            <w:rPr>
              <w:noProof/>
            </w:rPr>
            <w:t>Program Costs</w:t>
          </w:r>
          <w:r>
            <w:rPr>
              <w:noProof/>
            </w:rPr>
            <w:tab/>
          </w:r>
          <w:r w:rsidR="00A31AE7">
            <w:rPr>
              <w:noProof/>
            </w:rPr>
            <w:t>21</w:t>
          </w:r>
        </w:p>
        <w:p w:rsidR="00F70002" w:rsidRDefault="00F70002" w:rsidP="00F70002">
          <w:pPr>
            <w:rPr>
              <w:i/>
              <w:sz w:val="22"/>
              <w:szCs w:val="22"/>
            </w:rPr>
          </w:pPr>
          <w:r>
            <w:tab/>
          </w:r>
          <w:r>
            <w:rPr>
              <w:i/>
              <w:sz w:val="22"/>
              <w:szCs w:val="22"/>
            </w:rPr>
            <w:t>Program efficiency………………………………………………………………………………………………….22</w:t>
          </w:r>
        </w:p>
        <w:p w:rsidR="00F70002" w:rsidRDefault="00F70002" w:rsidP="00F70002">
          <w:pPr>
            <w:ind w:firstLine="720"/>
            <w:rPr>
              <w:i/>
              <w:sz w:val="22"/>
              <w:szCs w:val="22"/>
            </w:rPr>
          </w:pPr>
          <w:r>
            <w:rPr>
              <w:i/>
              <w:sz w:val="22"/>
              <w:szCs w:val="22"/>
            </w:rPr>
            <w:t>Expenditure rates..………………………………………………………………………………………………….22</w:t>
          </w:r>
        </w:p>
        <w:p w:rsidR="00F70002" w:rsidRDefault="00F70002" w:rsidP="00F70002">
          <w:pPr>
            <w:ind w:firstLine="720"/>
            <w:rPr>
              <w:i/>
              <w:sz w:val="22"/>
              <w:szCs w:val="22"/>
            </w:rPr>
          </w:pPr>
          <w:r>
            <w:rPr>
              <w:i/>
              <w:sz w:val="22"/>
              <w:szCs w:val="22"/>
            </w:rPr>
            <w:t>Fund allocation process…………………………………………………………………………………………..23</w:t>
          </w:r>
        </w:p>
        <w:p w:rsidR="00F70002" w:rsidRPr="00F70002" w:rsidRDefault="00F70002" w:rsidP="00F70002">
          <w:pPr>
            <w:ind w:firstLine="720"/>
            <w:rPr>
              <w:i/>
              <w:sz w:val="22"/>
              <w:szCs w:val="22"/>
            </w:rPr>
          </w:pPr>
          <w:r>
            <w:rPr>
              <w:i/>
              <w:sz w:val="22"/>
              <w:szCs w:val="22"/>
            </w:rPr>
            <w:t>Coverage by outcome……………………………………………………………………………………………...23</w:t>
          </w:r>
        </w:p>
        <w:p w:rsidR="00F70002" w:rsidRDefault="00F70002" w:rsidP="00F70002">
          <w:pPr>
            <w:ind w:firstLine="720"/>
            <w:rPr>
              <w:i/>
              <w:sz w:val="22"/>
              <w:szCs w:val="22"/>
            </w:rPr>
          </w:pPr>
          <w:r>
            <w:rPr>
              <w:i/>
              <w:sz w:val="22"/>
              <w:szCs w:val="22"/>
            </w:rPr>
            <w:t>Overall Government governance, coordination and communication………………………...23</w:t>
          </w:r>
        </w:p>
        <w:p w:rsidR="00F70002" w:rsidRDefault="00522AC1" w:rsidP="00522AC1">
          <w:pPr>
            <w:ind w:firstLine="720"/>
            <w:rPr>
              <w:i/>
              <w:sz w:val="22"/>
              <w:szCs w:val="22"/>
            </w:rPr>
          </w:pPr>
          <w:r>
            <w:rPr>
              <w:i/>
              <w:sz w:val="22"/>
              <w:szCs w:val="22"/>
            </w:rPr>
            <w:t>Capacity development…..</w:t>
          </w:r>
          <w:r w:rsidR="00F70002">
            <w:rPr>
              <w:i/>
              <w:sz w:val="22"/>
              <w:szCs w:val="22"/>
            </w:rPr>
            <w:t>………………………………………………………………………………………...23</w:t>
          </w:r>
        </w:p>
        <w:p w:rsidR="00522AC1" w:rsidRPr="00F70002" w:rsidRDefault="00522AC1" w:rsidP="00522AC1">
          <w:pPr>
            <w:ind w:firstLine="720"/>
            <w:rPr>
              <w:i/>
              <w:sz w:val="22"/>
              <w:szCs w:val="22"/>
            </w:rPr>
          </w:pPr>
          <w:r>
            <w:rPr>
              <w:i/>
              <w:sz w:val="22"/>
              <w:szCs w:val="22"/>
            </w:rPr>
            <w:t>Government ownership and relevance to National Government policies...………………...24</w:t>
          </w:r>
        </w:p>
        <w:p w:rsidR="00522AC1" w:rsidRPr="00F70002" w:rsidRDefault="00522AC1" w:rsidP="00522AC1">
          <w:pPr>
            <w:ind w:firstLine="720"/>
            <w:rPr>
              <w:i/>
              <w:sz w:val="22"/>
              <w:szCs w:val="22"/>
            </w:rPr>
          </w:pPr>
        </w:p>
        <w:p w:rsidR="00F70002" w:rsidRPr="00F70002" w:rsidRDefault="00F70002" w:rsidP="00F70002">
          <w:pPr>
            <w:ind w:firstLine="720"/>
            <w:rPr>
              <w:i/>
              <w:sz w:val="22"/>
              <w:szCs w:val="22"/>
            </w:rPr>
          </w:pPr>
        </w:p>
        <w:p w:rsidR="00F70002" w:rsidRPr="00F70002" w:rsidRDefault="00F70002" w:rsidP="00F70002">
          <w:pPr>
            <w:ind w:firstLine="720"/>
            <w:rPr>
              <w:i/>
              <w:sz w:val="22"/>
              <w:szCs w:val="22"/>
            </w:rPr>
          </w:pPr>
        </w:p>
        <w:p w:rsidR="00F70002" w:rsidRDefault="00F70002" w:rsidP="00F70002">
          <w:pPr>
            <w:rPr>
              <w:i/>
              <w:sz w:val="22"/>
              <w:szCs w:val="22"/>
            </w:rPr>
          </w:pPr>
        </w:p>
        <w:p w:rsidR="00F70002" w:rsidRPr="00F70002" w:rsidRDefault="00F70002" w:rsidP="00F70002">
          <w:pPr>
            <w:rPr>
              <w:i/>
              <w:sz w:val="22"/>
              <w:szCs w:val="22"/>
            </w:rPr>
          </w:pPr>
        </w:p>
        <w:p w:rsidR="00BF7C4B" w:rsidRDefault="00BF7C4B">
          <w:pPr>
            <w:pStyle w:val="TOC1"/>
            <w:tabs>
              <w:tab w:val="right" w:leader="dot" w:pos="8630"/>
            </w:tabs>
            <w:rPr>
              <w:b w:val="0"/>
              <w:noProof/>
              <w:lang w:eastAsia="ja-JP"/>
            </w:rPr>
          </w:pPr>
          <w:r>
            <w:rPr>
              <w:noProof/>
            </w:rPr>
            <w:t>Larger Program Issues and Perceptions of Participating UN Organizations in Dhaka</w:t>
          </w:r>
          <w:r>
            <w:rPr>
              <w:noProof/>
            </w:rPr>
            <w:tab/>
          </w:r>
          <w:r w:rsidR="00A31AE7">
            <w:rPr>
              <w:noProof/>
            </w:rPr>
            <w:t>25</w:t>
          </w:r>
        </w:p>
        <w:p w:rsidR="00BF7C4B" w:rsidRDefault="00BF7C4B">
          <w:pPr>
            <w:pStyle w:val="TOC2"/>
            <w:tabs>
              <w:tab w:val="right" w:leader="dot" w:pos="8630"/>
            </w:tabs>
            <w:rPr>
              <w:b w:val="0"/>
              <w:noProof/>
              <w:sz w:val="24"/>
              <w:szCs w:val="24"/>
              <w:lang w:eastAsia="ja-JP"/>
            </w:rPr>
          </w:pPr>
          <w:r w:rsidRPr="00DE5A52">
            <w:rPr>
              <w:b w:val="0"/>
              <w:i/>
              <w:noProof/>
            </w:rPr>
            <w:t>Treatment vs. prevention</w:t>
          </w:r>
          <w:r>
            <w:rPr>
              <w:noProof/>
            </w:rPr>
            <w:tab/>
          </w:r>
          <w:r w:rsidR="00A31AE7">
            <w:rPr>
              <w:noProof/>
            </w:rPr>
            <w:t>25</w:t>
          </w:r>
        </w:p>
        <w:p w:rsidR="00BF7C4B" w:rsidRDefault="00BF7C4B">
          <w:pPr>
            <w:pStyle w:val="TOC2"/>
            <w:tabs>
              <w:tab w:val="right" w:leader="dot" w:pos="8630"/>
            </w:tabs>
            <w:rPr>
              <w:b w:val="0"/>
              <w:noProof/>
              <w:sz w:val="24"/>
              <w:szCs w:val="24"/>
              <w:lang w:eastAsia="ja-JP"/>
            </w:rPr>
          </w:pPr>
          <w:r w:rsidRPr="00DE5A52">
            <w:rPr>
              <w:b w:val="0"/>
              <w:i/>
              <w:noProof/>
            </w:rPr>
            <w:t>Short program duration</w:t>
          </w:r>
          <w:r>
            <w:rPr>
              <w:noProof/>
            </w:rPr>
            <w:tab/>
          </w:r>
          <w:r w:rsidR="00A31AE7">
            <w:rPr>
              <w:noProof/>
            </w:rPr>
            <w:t>25</w:t>
          </w:r>
        </w:p>
        <w:p w:rsidR="00BF7C4B" w:rsidRDefault="00BF7C4B">
          <w:pPr>
            <w:pStyle w:val="TOC2"/>
            <w:tabs>
              <w:tab w:val="right" w:leader="dot" w:pos="8630"/>
            </w:tabs>
            <w:rPr>
              <w:b w:val="0"/>
              <w:noProof/>
              <w:sz w:val="24"/>
              <w:szCs w:val="24"/>
              <w:lang w:eastAsia="ja-JP"/>
            </w:rPr>
          </w:pPr>
          <w:r w:rsidRPr="00DE5A52">
            <w:rPr>
              <w:b w:val="0"/>
              <w:i/>
              <w:noProof/>
            </w:rPr>
            <w:t>Missing sectoral inputs</w:t>
          </w:r>
          <w:r>
            <w:rPr>
              <w:noProof/>
            </w:rPr>
            <w:tab/>
          </w:r>
          <w:r w:rsidR="00A31AE7">
            <w:rPr>
              <w:noProof/>
            </w:rPr>
            <w:t>26</w:t>
          </w:r>
        </w:p>
        <w:p w:rsidR="00BF7C4B" w:rsidRDefault="00BF7C4B">
          <w:pPr>
            <w:pStyle w:val="TOC2"/>
            <w:tabs>
              <w:tab w:val="right" w:leader="dot" w:pos="8630"/>
            </w:tabs>
            <w:rPr>
              <w:b w:val="0"/>
              <w:noProof/>
              <w:sz w:val="24"/>
              <w:szCs w:val="24"/>
              <w:lang w:eastAsia="ja-JP"/>
            </w:rPr>
          </w:pPr>
          <w:r w:rsidRPr="00DE5A52">
            <w:rPr>
              <w:b w:val="0"/>
              <w:i/>
              <w:noProof/>
            </w:rPr>
            <w:t>Program decision making</w:t>
          </w:r>
          <w:r>
            <w:rPr>
              <w:noProof/>
            </w:rPr>
            <w:tab/>
          </w:r>
          <w:r w:rsidR="00A31AE7">
            <w:rPr>
              <w:noProof/>
            </w:rPr>
            <w:t>26</w:t>
          </w:r>
        </w:p>
        <w:p w:rsidR="00BF7C4B" w:rsidRDefault="00BF7C4B">
          <w:pPr>
            <w:pStyle w:val="TOC2"/>
            <w:tabs>
              <w:tab w:val="right" w:leader="dot" w:pos="8630"/>
            </w:tabs>
            <w:rPr>
              <w:b w:val="0"/>
              <w:noProof/>
              <w:sz w:val="24"/>
              <w:szCs w:val="24"/>
              <w:lang w:eastAsia="ja-JP"/>
            </w:rPr>
          </w:pPr>
          <w:r w:rsidRPr="00DE5A52">
            <w:rPr>
              <w:b w:val="0"/>
              <w:i/>
              <w:noProof/>
            </w:rPr>
            <w:t>Program monitoring</w:t>
          </w:r>
          <w:r>
            <w:rPr>
              <w:noProof/>
            </w:rPr>
            <w:tab/>
          </w:r>
          <w:r w:rsidR="00A31AE7">
            <w:rPr>
              <w:noProof/>
            </w:rPr>
            <w:t>26</w:t>
          </w:r>
        </w:p>
        <w:p w:rsidR="00BF7C4B" w:rsidRDefault="00BF7C4B">
          <w:pPr>
            <w:pStyle w:val="TOC2"/>
            <w:tabs>
              <w:tab w:val="right" w:leader="dot" w:pos="8630"/>
            </w:tabs>
            <w:rPr>
              <w:b w:val="0"/>
              <w:noProof/>
              <w:sz w:val="24"/>
              <w:szCs w:val="24"/>
              <w:lang w:eastAsia="ja-JP"/>
            </w:rPr>
          </w:pPr>
          <w:r w:rsidRPr="00DE5A52">
            <w:rPr>
              <w:b w:val="0"/>
              <w:i/>
              <w:noProof/>
            </w:rPr>
            <w:t>Shortages of positions, high vacancy rates and high turnover</w:t>
          </w:r>
          <w:r>
            <w:rPr>
              <w:noProof/>
            </w:rPr>
            <w:tab/>
          </w:r>
          <w:r w:rsidR="00A31AE7">
            <w:rPr>
              <w:noProof/>
            </w:rPr>
            <w:t>27</w:t>
          </w:r>
        </w:p>
        <w:p w:rsidR="00BF7C4B" w:rsidRDefault="00BF7C4B">
          <w:pPr>
            <w:pStyle w:val="TOC2"/>
            <w:tabs>
              <w:tab w:val="right" w:leader="dot" w:pos="8630"/>
            </w:tabs>
            <w:rPr>
              <w:b w:val="0"/>
              <w:noProof/>
              <w:sz w:val="24"/>
              <w:szCs w:val="24"/>
              <w:lang w:eastAsia="ja-JP"/>
            </w:rPr>
          </w:pPr>
          <w:r w:rsidRPr="00DE5A52">
            <w:rPr>
              <w:b w:val="0"/>
              <w:i/>
              <w:noProof/>
            </w:rPr>
            <w:t>Praise for the program</w:t>
          </w:r>
          <w:r>
            <w:rPr>
              <w:noProof/>
            </w:rPr>
            <w:tab/>
          </w:r>
          <w:r w:rsidR="00A31AE7">
            <w:rPr>
              <w:noProof/>
            </w:rPr>
            <w:t>27</w:t>
          </w:r>
        </w:p>
        <w:p w:rsidR="00BF7C4B" w:rsidRDefault="00BF7C4B">
          <w:pPr>
            <w:pStyle w:val="TOC2"/>
            <w:tabs>
              <w:tab w:val="right" w:leader="dot" w:pos="8630"/>
            </w:tabs>
            <w:rPr>
              <w:b w:val="0"/>
              <w:noProof/>
              <w:sz w:val="24"/>
              <w:szCs w:val="24"/>
              <w:lang w:eastAsia="ja-JP"/>
            </w:rPr>
          </w:pPr>
          <w:r w:rsidRPr="00DE5A52">
            <w:rPr>
              <w:b w:val="0"/>
              <w:i/>
              <w:noProof/>
            </w:rPr>
            <w:t>Other responses</w:t>
          </w:r>
          <w:r>
            <w:rPr>
              <w:noProof/>
            </w:rPr>
            <w:tab/>
          </w:r>
          <w:r w:rsidR="00A31AE7">
            <w:rPr>
              <w:noProof/>
            </w:rPr>
            <w:t>27</w:t>
          </w:r>
        </w:p>
        <w:p w:rsidR="00BF7C4B" w:rsidRDefault="00BF7C4B">
          <w:pPr>
            <w:pStyle w:val="TOC2"/>
            <w:tabs>
              <w:tab w:val="right" w:leader="dot" w:pos="8630"/>
            </w:tabs>
            <w:rPr>
              <w:b w:val="0"/>
              <w:noProof/>
              <w:sz w:val="24"/>
              <w:szCs w:val="24"/>
              <w:lang w:eastAsia="ja-JP"/>
            </w:rPr>
          </w:pPr>
          <w:r w:rsidRPr="00DE5A52">
            <w:rPr>
              <w:b w:val="0"/>
              <w:i/>
              <w:noProof/>
            </w:rPr>
            <w:t>Overall reaction</w:t>
          </w:r>
          <w:r>
            <w:rPr>
              <w:noProof/>
            </w:rPr>
            <w:tab/>
          </w:r>
          <w:r w:rsidR="00A31AE7">
            <w:rPr>
              <w:noProof/>
            </w:rPr>
            <w:t>28</w:t>
          </w:r>
        </w:p>
        <w:p w:rsidR="00BF7C4B" w:rsidRDefault="00BF7C4B">
          <w:pPr>
            <w:pStyle w:val="TOC1"/>
            <w:tabs>
              <w:tab w:val="right" w:leader="dot" w:pos="8630"/>
            </w:tabs>
            <w:rPr>
              <w:noProof/>
            </w:rPr>
          </w:pPr>
          <w:r>
            <w:rPr>
              <w:noProof/>
            </w:rPr>
            <w:t>Conclusions</w:t>
          </w:r>
          <w:r>
            <w:rPr>
              <w:noProof/>
            </w:rPr>
            <w:tab/>
          </w:r>
          <w:r w:rsidR="00A31AE7">
            <w:rPr>
              <w:noProof/>
            </w:rPr>
            <w:t>30</w:t>
          </w:r>
        </w:p>
        <w:p w:rsidR="00146362" w:rsidRPr="00146362" w:rsidRDefault="00146362" w:rsidP="00146362">
          <w:pPr>
            <w:rPr>
              <w:b/>
            </w:rPr>
          </w:pPr>
          <w:r w:rsidRPr="00146362">
            <w:rPr>
              <w:b/>
            </w:rPr>
            <w:t>Lessons learned</w:t>
          </w:r>
          <w:r>
            <w:rPr>
              <w:b/>
            </w:rPr>
            <w:t>..…………………………………………………………………………………………..31</w:t>
          </w:r>
        </w:p>
        <w:p w:rsidR="00BF7C4B" w:rsidRDefault="00BF7C4B">
          <w:pPr>
            <w:pStyle w:val="TOC1"/>
            <w:tabs>
              <w:tab w:val="right" w:leader="dot" w:pos="8630"/>
            </w:tabs>
            <w:rPr>
              <w:b w:val="0"/>
              <w:noProof/>
              <w:lang w:eastAsia="ja-JP"/>
            </w:rPr>
          </w:pPr>
          <w:r>
            <w:rPr>
              <w:noProof/>
            </w:rPr>
            <w:t>Options for the Future</w:t>
          </w:r>
          <w:r>
            <w:rPr>
              <w:noProof/>
            </w:rPr>
            <w:tab/>
          </w:r>
          <w:r w:rsidR="00A31AE7">
            <w:rPr>
              <w:noProof/>
            </w:rPr>
            <w:t>32</w:t>
          </w:r>
        </w:p>
        <w:p w:rsidR="00BF7C4B" w:rsidRDefault="00BF7C4B">
          <w:pPr>
            <w:pStyle w:val="TOC1"/>
            <w:tabs>
              <w:tab w:val="right" w:leader="dot" w:pos="8630"/>
            </w:tabs>
            <w:rPr>
              <w:noProof/>
            </w:rPr>
          </w:pPr>
          <w:r>
            <w:rPr>
              <w:noProof/>
            </w:rPr>
            <w:t>Evaluating MDG/F Program Sustainability</w:t>
          </w:r>
          <w:r>
            <w:rPr>
              <w:noProof/>
            </w:rPr>
            <w:tab/>
          </w:r>
          <w:r w:rsidR="00A31AE7">
            <w:rPr>
              <w:noProof/>
            </w:rPr>
            <w:t>33</w:t>
          </w:r>
        </w:p>
        <w:p w:rsidR="00146362" w:rsidRDefault="00146362" w:rsidP="00146362">
          <w:pPr>
            <w:pStyle w:val="TOC1"/>
            <w:tabs>
              <w:tab w:val="right" w:leader="dot" w:pos="8630"/>
            </w:tabs>
            <w:rPr>
              <w:b w:val="0"/>
              <w:noProof/>
              <w:lang w:eastAsia="ja-JP"/>
            </w:rPr>
          </w:pPr>
          <w:r>
            <w:rPr>
              <w:noProof/>
            </w:rPr>
            <w:lastRenderedPageBreak/>
            <w:t>Other recommendations</w:t>
          </w:r>
          <w:r>
            <w:rPr>
              <w:noProof/>
            </w:rPr>
            <w:tab/>
            <w:t>33</w:t>
          </w:r>
        </w:p>
        <w:p w:rsidR="00146362" w:rsidRDefault="00146362" w:rsidP="00146362">
          <w:pPr>
            <w:pStyle w:val="TOC1"/>
            <w:tabs>
              <w:tab w:val="right" w:leader="dot" w:pos="8630"/>
            </w:tabs>
            <w:rPr>
              <w:b w:val="0"/>
              <w:noProof/>
              <w:lang w:eastAsia="ja-JP"/>
            </w:rPr>
          </w:pPr>
          <w:r>
            <w:rPr>
              <w:noProof/>
            </w:rPr>
            <w:t>References</w:t>
          </w:r>
          <w:r>
            <w:rPr>
              <w:noProof/>
            </w:rPr>
            <w:tab/>
            <w:t>35</w:t>
          </w:r>
        </w:p>
        <w:p w:rsidR="00146362" w:rsidRDefault="00146362" w:rsidP="00146362">
          <w:pPr>
            <w:pStyle w:val="TOC1"/>
            <w:tabs>
              <w:tab w:val="right" w:leader="dot" w:pos="8630"/>
            </w:tabs>
            <w:rPr>
              <w:b w:val="0"/>
              <w:noProof/>
              <w:lang w:eastAsia="ja-JP"/>
            </w:rPr>
          </w:pPr>
          <w:r>
            <w:rPr>
              <w:noProof/>
            </w:rPr>
            <w:t>Appendix</w:t>
          </w:r>
          <w:r>
            <w:rPr>
              <w:noProof/>
            </w:rPr>
            <w:tab/>
            <w:t>36</w:t>
          </w:r>
        </w:p>
        <w:p w:rsidR="00146362" w:rsidRPr="00146362" w:rsidRDefault="00146362" w:rsidP="00146362"/>
        <w:p w:rsidR="005D2FE8" w:rsidRDefault="005D2FE8">
          <w:r>
            <w:rPr>
              <w:b/>
              <w:bCs/>
              <w:noProof/>
            </w:rPr>
            <w:fldChar w:fldCharType="end"/>
          </w:r>
        </w:p>
      </w:sdtContent>
    </w:sdt>
    <w:p w:rsidR="009B1310" w:rsidRDefault="005D2FE8">
      <w:pPr>
        <w:pStyle w:val="TableofFigures"/>
        <w:tabs>
          <w:tab w:val="right" w:leader="dot" w:pos="8630"/>
        </w:tabs>
        <w:rPr>
          <w:noProof/>
          <w:lang w:eastAsia="ja-JP"/>
        </w:rPr>
      </w:pPr>
      <w:r>
        <w:rPr>
          <w:b/>
          <w:sz w:val="28"/>
          <w:szCs w:val="28"/>
        </w:rPr>
        <w:fldChar w:fldCharType="begin"/>
      </w:r>
      <w:r>
        <w:rPr>
          <w:b/>
          <w:sz w:val="28"/>
          <w:szCs w:val="28"/>
        </w:rPr>
        <w:instrText xml:space="preserve"> TOC \t "Caption" \c </w:instrText>
      </w:r>
      <w:r>
        <w:rPr>
          <w:b/>
          <w:sz w:val="28"/>
          <w:szCs w:val="28"/>
        </w:rPr>
        <w:fldChar w:fldCharType="separate"/>
      </w:r>
      <w:r w:rsidR="009B1310">
        <w:rPr>
          <w:noProof/>
        </w:rPr>
        <w:t>Figure 1: The Program Constraints Assessment</w:t>
      </w:r>
      <w:r w:rsidR="009B1310">
        <w:rPr>
          <w:noProof/>
        </w:rPr>
        <w:tab/>
      </w:r>
      <w:r w:rsidR="00EF3BAE">
        <w:rPr>
          <w:noProof/>
        </w:rPr>
        <w:t>12</w:t>
      </w:r>
    </w:p>
    <w:p w:rsidR="009B1310" w:rsidRDefault="009B1310">
      <w:pPr>
        <w:pStyle w:val="TableofFigures"/>
        <w:tabs>
          <w:tab w:val="right" w:leader="dot" w:pos="8630"/>
        </w:tabs>
        <w:rPr>
          <w:noProof/>
          <w:lang w:eastAsia="ja-JP"/>
        </w:rPr>
      </w:pPr>
      <w:r>
        <w:rPr>
          <w:noProof/>
        </w:rPr>
        <w:t>Figure 2: Program Constraints Assessment - CMAM</w:t>
      </w:r>
      <w:r>
        <w:rPr>
          <w:noProof/>
        </w:rPr>
        <w:tab/>
      </w:r>
      <w:r w:rsidR="00EF3BAE">
        <w:rPr>
          <w:noProof/>
        </w:rPr>
        <w:t>13</w:t>
      </w:r>
    </w:p>
    <w:p w:rsidR="009B1310" w:rsidRDefault="009B1310">
      <w:pPr>
        <w:pStyle w:val="TableofFigures"/>
        <w:tabs>
          <w:tab w:val="right" w:leader="dot" w:pos="8630"/>
        </w:tabs>
        <w:rPr>
          <w:noProof/>
          <w:lang w:eastAsia="ja-JP"/>
        </w:rPr>
      </w:pPr>
      <w:r>
        <w:rPr>
          <w:noProof/>
        </w:rPr>
        <w:t>Figure 3: Program Constraints Assessment - Food Security Intervention</w:t>
      </w:r>
      <w:r>
        <w:rPr>
          <w:noProof/>
        </w:rPr>
        <w:tab/>
      </w:r>
      <w:r w:rsidR="00EF3BAE">
        <w:rPr>
          <w:noProof/>
        </w:rPr>
        <w:t>16</w:t>
      </w:r>
    </w:p>
    <w:p w:rsidR="009B1310" w:rsidRDefault="009B1310">
      <w:pPr>
        <w:pStyle w:val="TableofFigures"/>
        <w:tabs>
          <w:tab w:val="right" w:leader="dot" w:pos="8630"/>
        </w:tabs>
        <w:rPr>
          <w:noProof/>
          <w:lang w:eastAsia="ja-JP"/>
        </w:rPr>
      </w:pPr>
      <w:r>
        <w:rPr>
          <w:noProof/>
        </w:rPr>
        <w:t>Figure 4: 19 Low Income Households in Charfasson</w:t>
      </w:r>
      <w:r>
        <w:rPr>
          <w:noProof/>
        </w:rPr>
        <w:tab/>
      </w:r>
      <w:r w:rsidR="00EF3BAE">
        <w:rPr>
          <w:noProof/>
        </w:rPr>
        <w:t>17</w:t>
      </w:r>
    </w:p>
    <w:p w:rsidR="009B1310" w:rsidRDefault="009B1310">
      <w:pPr>
        <w:pStyle w:val="TableofFigures"/>
        <w:tabs>
          <w:tab w:val="right" w:leader="dot" w:pos="8630"/>
        </w:tabs>
        <w:rPr>
          <w:noProof/>
          <w:lang w:eastAsia="ja-JP"/>
        </w:rPr>
      </w:pPr>
      <w:r>
        <w:rPr>
          <w:noProof/>
        </w:rPr>
        <w:t>Figure 5: Three Families in Bamna</w:t>
      </w:r>
      <w:r>
        <w:rPr>
          <w:noProof/>
        </w:rPr>
        <w:tab/>
      </w:r>
      <w:r w:rsidR="00EF3BAE">
        <w:rPr>
          <w:noProof/>
        </w:rPr>
        <w:t>18</w:t>
      </w:r>
    </w:p>
    <w:p w:rsidR="009B1310" w:rsidRDefault="009B1310">
      <w:pPr>
        <w:pStyle w:val="TableofFigures"/>
        <w:tabs>
          <w:tab w:val="right" w:leader="dot" w:pos="8630"/>
        </w:tabs>
        <w:rPr>
          <w:noProof/>
          <w:lang w:eastAsia="ja-JP"/>
        </w:rPr>
      </w:pPr>
      <w:r>
        <w:rPr>
          <w:noProof/>
        </w:rPr>
        <w:t>Figure 6: Program Constraints Assessment - Anemia</w:t>
      </w:r>
      <w:r>
        <w:rPr>
          <w:noProof/>
        </w:rPr>
        <w:tab/>
      </w:r>
      <w:r w:rsidR="00EF3BAE">
        <w:rPr>
          <w:noProof/>
        </w:rPr>
        <w:t>19</w:t>
      </w:r>
    </w:p>
    <w:p w:rsidR="009B1310" w:rsidRDefault="009B1310">
      <w:pPr>
        <w:pStyle w:val="TableofFigures"/>
        <w:tabs>
          <w:tab w:val="right" w:leader="dot" w:pos="8630"/>
        </w:tabs>
        <w:rPr>
          <w:noProof/>
          <w:lang w:eastAsia="ja-JP"/>
        </w:rPr>
      </w:pPr>
      <w:r>
        <w:rPr>
          <w:noProof/>
        </w:rPr>
        <w:t>Figure 7: Percentages of women believing their decision-making role in the household to be greater than the previous year</w:t>
      </w:r>
      <w:r>
        <w:rPr>
          <w:noProof/>
        </w:rPr>
        <w:tab/>
      </w:r>
      <w:r w:rsidR="00EF3BAE">
        <w:rPr>
          <w:noProof/>
        </w:rPr>
        <w:t>20</w:t>
      </w:r>
    </w:p>
    <w:p w:rsidR="009B1310" w:rsidRDefault="009B1310">
      <w:pPr>
        <w:pStyle w:val="TableofFigures"/>
        <w:tabs>
          <w:tab w:val="right" w:leader="dot" w:pos="8630"/>
        </w:tabs>
        <w:rPr>
          <w:noProof/>
          <w:lang w:eastAsia="ja-JP"/>
        </w:rPr>
      </w:pPr>
      <w:r>
        <w:rPr>
          <w:noProof/>
        </w:rPr>
        <w:t>Figure 8: Pregnancy Behaviors, Pre-Post, Project and Control Areas</w:t>
      </w:r>
      <w:r>
        <w:rPr>
          <w:noProof/>
        </w:rPr>
        <w:tab/>
      </w:r>
      <w:r w:rsidR="00135DC2">
        <w:rPr>
          <w:noProof/>
        </w:rPr>
        <w:t>21</w:t>
      </w:r>
    </w:p>
    <w:p w:rsidR="009B1310" w:rsidRDefault="009B1310">
      <w:pPr>
        <w:pStyle w:val="TableofFigures"/>
        <w:tabs>
          <w:tab w:val="right" w:leader="dot" w:pos="8630"/>
        </w:tabs>
        <w:rPr>
          <w:noProof/>
          <w:lang w:eastAsia="ja-JP"/>
        </w:rPr>
      </w:pPr>
      <w:r>
        <w:rPr>
          <w:noProof/>
        </w:rPr>
        <w:t>Figure 9: Program Costs</w:t>
      </w:r>
      <w:r>
        <w:rPr>
          <w:noProof/>
        </w:rPr>
        <w:tab/>
      </w:r>
      <w:r w:rsidR="00135DC2">
        <w:rPr>
          <w:noProof/>
        </w:rPr>
        <w:t>21</w:t>
      </w:r>
    </w:p>
    <w:p w:rsidR="009B1310" w:rsidRDefault="009B1310">
      <w:pPr>
        <w:pStyle w:val="TableofFigures"/>
        <w:tabs>
          <w:tab w:val="right" w:leader="dot" w:pos="8630"/>
        </w:tabs>
        <w:rPr>
          <w:noProof/>
          <w:lang w:eastAsia="ja-JP"/>
        </w:rPr>
      </w:pPr>
      <w:r>
        <w:rPr>
          <w:noProof/>
        </w:rPr>
        <w:t>Figure 10: Program Constraints Assessment - Overall Program</w:t>
      </w:r>
      <w:r>
        <w:rPr>
          <w:noProof/>
        </w:rPr>
        <w:tab/>
      </w:r>
      <w:r w:rsidR="00844133">
        <w:rPr>
          <w:noProof/>
        </w:rPr>
        <w:t>29</w:t>
      </w:r>
    </w:p>
    <w:p w:rsidR="009B1310" w:rsidRDefault="009B1310">
      <w:pPr>
        <w:pStyle w:val="TableofFigures"/>
        <w:tabs>
          <w:tab w:val="right" w:leader="dot" w:pos="8630"/>
        </w:tabs>
        <w:rPr>
          <w:noProof/>
          <w:lang w:eastAsia="ja-JP"/>
        </w:rPr>
      </w:pPr>
      <w:r>
        <w:rPr>
          <w:noProof/>
        </w:rPr>
        <w:t>Figure 11: Outlying Areas Mean Significantly Reduced Benefits</w:t>
      </w:r>
      <w:r>
        <w:rPr>
          <w:noProof/>
        </w:rPr>
        <w:tab/>
      </w:r>
      <w:r w:rsidR="00844133">
        <w:rPr>
          <w:noProof/>
        </w:rPr>
        <w:t>36</w:t>
      </w:r>
    </w:p>
    <w:p w:rsidR="009B1310" w:rsidRDefault="005D2FE8">
      <w:pPr>
        <w:rPr>
          <w:b/>
          <w:sz w:val="28"/>
          <w:szCs w:val="28"/>
        </w:rPr>
        <w:sectPr w:rsidR="009B1310" w:rsidSect="00E31222">
          <w:footerReference w:type="even" r:id="rId9"/>
          <w:footerReference w:type="default" r:id="rId10"/>
          <w:pgSz w:w="12240" w:h="15840"/>
          <w:pgMar w:top="1440" w:right="1800" w:bottom="1440" w:left="1800" w:header="720" w:footer="720" w:gutter="0"/>
          <w:cols w:space="720"/>
        </w:sectPr>
      </w:pPr>
      <w:r>
        <w:rPr>
          <w:b/>
          <w:sz w:val="28"/>
          <w:szCs w:val="28"/>
        </w:rPr>
        <w:fldChar w:fldCharType="end"/>
      </w:r>
    </w:p>
    <w:p w:rsidR="00350A3E" w:rsidRPr="00350A3E" w:rsidRDefault="00350A3E" w:rsidP="00350A3E">
      <w:pPr>
        <w:rPr>
          <w:b/>
        </w:rPr>
      </w:pPr>
      <w:bookmarkStart w:id="1" w:name="_Toc236372986"/>
      <w:r w:rsidRPr="00350A3E">
        <w:rPr>
          <w:b/>
        </w:rPr>
        <w:t>Acronyms</w:t>
      </w:r>
    </w:p>
    <w:p w:rsidR="00350A3E" w:rsidRDefault="00350A3E" w:rsidP="00350A3E">
      <w:r>
        <w:t>ANC-Ante Natal Care</w:t>
      </w:r>
    </w:p>
    <w:p w:rsidR="00350A3E" w:rsidRDefault="00350A3E" w:rsidP="00350A3E">
      <w:r>
        <w:t>CARE-Cooperation of American Relief Everywhere</w:t>
      </w:r>
    </w:p>
    <w:p w:rsidR="00350A3E" w:rsidRPr="00222056" w:rsidRDefault="00350A3E" w:rsidP="00350A3E">
      <w:r>
        <w:t>CMAM-Community Management of Acute Malnutrition</w:t>
      </w:r>
    </w:p>
    <w:p w:rsidR="00350A3E" w:rsidRDefault="00350A3E" w:rsidP="00350A3E">
      <w:r>
        <w:t>CNS-Community Nutrition Supervisor</w:t>
      </w:r>
    </w:p>
    <w:p w:rsidR="00350A3E" w:rsidRDefault="00350A3E" w:rsidP="00350A3E">
      <w:r>
        <w:t>CNW-Community Nutrition Worker</w:t>
      </w:r>
    </w:p>
    <w:p w:rsidR="00350A3E" w:rsidRDefault="00350A3E" w:rsidP="00350A3E">
      <w:r>
        <w:t>DVM-Doctor of Veterinary Medicine</w:t>
      </w:r>
    </w:p>
    <w:p w:rsidR="00350A3E" w:rsidRDefault="00350A3E" w:rsidP="00350A3E">
      <w:r>
        <w:t>FAO-Food and Agriculture Organization</w:t>
      </w:r>
    </w:p>
    <w:p w:rsidR="00350A3E" w:rsidRDefault="00350A3E" w:rsidP="00350A3E">
      <w:r>
        <w:t>FCS-Food Consumption Score</w:t>
      </w:r>
    </w:p>
    <w:p w:rsidR="00350A3E" w:rsidRDefault="00350A3E" w:rsidP="00350A3E">
      <w:r>
        <w:t>FSNIS-</w:t>
      </w:r>
      <w:r w:rsidRPr="00222056">
        <w:t xml:space="preserve"> </w:t>
      </w:r>
      <w:r>
        <w:t>Food Security and Nutrition Information System</w:t>
      </w:r>
    </w:p>
    <w:p w:rsidR="00350A3E" w:rsidRDefault="00350A3E" w:rsidP="00350A3E">
      <w:r>
        <w:t xml:space="preserve">FSNSP-Food Security and Nutrition Surveillance Project </w:t>
      </w:r>
    </w:p>
    <w:p w:rsidR="00350A3E" w:rsidRDefault="00350A3E" w:rsidP="00350A3E">
      <w:r>
        <w:t>GoB-Government of Bangladesh</w:t>
      </w:r>
    </w:p>
    <w:p w:rsidR="00350A3E" w:rsidRDefault="00350A3E" w:rsidP="00350A3E">
      <w:r>
        <w:t xml:space="preserve">ICDDR,B-International Centre for Diarrhoeal Disease Research, Bangladesh </w:t>
      </w:r>
    </w:p>
    <w:p w:rsidR="00350A3E" w:rsidRDefault="00350A3E" w:rsidP="00350A3E">
      <w:r>
        <w:t>MAM-Moderately Acute Malnutrition</w:t>
      </w:r>
    </w:p>
    <w:p w:rsidR="00350A3E" w:rsidRDefault="00350A3E" w:rsidP="00350A3E">
      <w:r>
        <w:t>MDG/F-Millennium Development Goal- Fund</w:t>
      </w:r>
    </w:p>
    <w:p w:rsidR="00350A3E" w:rsidRDefault="00350A3E" w:rsidP="00350A3E">
      <w:r>
        <w:t>MNP-Micronutrient Powder</w:t>
      </w:r>
    </w:p>
    <w:p w:rsidR="00350A3E" w:rsidRDefault="00350A3E" w:rsidP="00350A3E">
      <w:r>
        <w:t>MUAC-Mid Upper Arm Circumference</w:t>
      </w:r>
    </w:p>
    <w:p w:rsidR="00350A3E" w:rsidRDefault="00350A3E" w:rsidP="00350A3E">
      <w:r>
        <w:t>MYCANSIA-</w:t>
      </w:r>
      <w:r w:rsidR="00522AC1">
        <w:t>Maternal and Young Child Nutrition Security in Asia</w:t>
      </w:r>
    </w:p>
    <w:p w:rsidR="00350A3E" w:rsidRDefault="00350A3E" w:rsidP="00350A3E">
      <w:r>
        <w:t>NNS-National Nutrition services</w:t>
      </w:r>
    </w:p>
    <w:p w:rsidR="00350A3E" w:rsidRDefault="00350A3E" w:rsidP="00350A3E">
      <w:r>
        <w:t>PCA-</w:t>
      </w:r>
      <w:r w:rsidRPr="00222056">
        <w:t xml:space="preserve"> </w:t>
      </w:r>
      <w:r>
        <w:t xml:space="preserve">Program Constraints Assessment </w:t>
      </w:r>
    </w:p>
    <w:p w:rsidR="00350A3E" w:rsidRDefault="00350A3E" w:rsidP="00350A3E">
      <w:r>
        <w:t xml:space="preserve">PMC-Program Management Committee </w:t>
      </w:r>
    </w:p>
    <w:p w:rsidR="00350A3E" w:rsidRDefault="00350A3E" w:rsidP="00350A3E">
      <w:r>
        <w:t>RUTF-Ready to Use Therapeutic food</w:t>
      </w:r>
    </w:p>
    <w:p w:rsidR="00350A3E" w:rsidRDefault="00350A3E" w:rsidP="00350A3E">
      <w:r>
        <w:t>SAM-Severe Acute Malnutrition</w:t>
      </w:r>
    </w:p>
    <w:p w:rsidR="00350A3E" w:rsidRDefault="00350A3E" w:rsidP="00350A3E">
      <w:r>
        <w:t>SUN-Scaling Up of Nutrition</w:t>
      </w:r>
    </w:p>
    <w:p w:rsidR="00350A3E" w:rsidRDefault="00350A3E" w:rsidP="00350A3E">
      <w:r>
        <w:t>UN-United Nations Organization</w:t>
      </w:r>
    </w:p>
    <w:p w:rsidR="00350A3E" w:rsidRDefault="00350A3E" w:rsidP="00350A3E">
      <w:r>
        <w:t>UNDAF-United Nations Development Action Framework</w:t>
      </w:r>
    </w:p>
    <w:p w:rsidR="00350A3E" w:rsidRDefault="00350A3E" w:rsidP="00350A3E">
      <w:r>
        <w:t>UNICEF-United Nations Children’s Emergency Fund</w:t>
      </w:r>
    </w:p>
    <w:p w:rsidR="00350A3E" w:rsidRDefault="00350A3E" w:rsidP="00350A3E">
      <w:r>
        <w:t>WASH-Water And Sanitation Hygiene</w:t>
      </w:r>
    </w:p>
    <w:p w:rsidR="00350A3E" w:rsidRDefault="00350A3E" w:rsidP="00350A3E">
      <w:r>
        <w:t>WFP-World Food Program</w:t>
      </w:r>
    </w:p>
    <w:p w:rsidR="00350A3E" w:rsidRDefault="00350A3E" w:rsidP="00F65CEA">
      <w:pPr>
        <w:pStyle w:val="Heading1"/>
      </w:pPr>
    </w:p>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Default="00350A3E" w:rsidP="00350A3E"/>
    <w:p w:rsidR="00350A3E" w:rsidRPr="00350A3E" w:rsidRDefault="00350A3E" w:rsidP="00350A3E"/>
    <w:p w:rsidR="00784B49" w:rsidRPr="005B029F" w:rsidRDefault="00784B49" w:rsidP="00F65CEA">
      <w:pPr>
        <w:pStyle w:val="Heading1"/>
      </w:pPr>
      <w:r>
        <w:t>Executive Summary</w:t>
      </w:r>
      <w:bookmarkEnd w:id="1"/>
    </w:p>
    <w:p w:rsidR="00784B49" w:rsidRDefault="00784B49" w:rsidP="00784B49"/>
    <w:p w:rsidR="00784B49" w:rsidRDefault="00784B49" w:rsidP="00784B49">
      <w:r>
        <w:t>With funding from the Spanish Government-financed MDG Fund, departments of the Bangladesh</w:t>
      </w:r>
      <w:r w:rsidR="00DB70D3">
        <w:t xml:space="preserve"> Government with the collaboration</w:t>
      </w:r>
      <w:r>
        <w:t xml:space="preserve"> of three U.N. development partners, undertook a bold experiment. In contrast to earlier and present approaches to nutrition improvement in the country – phased expansion of community-based programming, and a primarily health facility-based “nutrition mainstreaming” program, the Bang</w:t>
      </w:r>
      <w:r w:rsidR="00860FBC">
        <w:t>ladesh MDG/Fund program chose a</w:t>
      </w:r>
      <w:r>
        <w:t xml:space="preserve"> new and different modality – referred to as the “convergence” approach, and utilized with great success in Peru and Brazil. The success of the MDG/Fund with this approach provides the Bangladesh government with a</w:t>
      </w:r>
      <w:r w:rsidR="00352020">
        <w:t>n attractive new dimension</w:t>
      </w:r>
      <w:r>
        <w:t xml:space="preserve"> </w:t>
      </w:r>
      <w:r w:rsidR="00352020">
        <w:t>to consider in its strategic programming designed</w:t>
      </w:r>
      <w:r>
        <w:t xml:space="preserve"> to reducing malnutrition in the country.</w:t>
      </w:r>
    </w:p>
    <w:p w:rsidR="00784B49" w:rsidRDefault="00784B49" w:rsidP="00784B49"/>
    <w:p w:rsidR="00784B49" w:rsidRDefault="00784B49" w:rsidP="00784B49">
      <w:r>
        <w:t>The convergence approach</w:t>
      </w:r>
      <w:r w:rsidR="00D14285">
        <w:t xml:space="preserve"> </w:t>
      </w:r>
      <w:r>
        <w:t xml:space="preserve">selects priority geographic areas based on malnutrition and food insecurity mapping, and concentrates in these areas inputs from each of the sectors which address the underlying determinants of malnutrition – plus the health sector addressing the problem directly. </w:t>
      </w:r>
      <w:r w:rsidR="00752F93">
        <w:t>The convergence or co-location of these multisectoral inputs appears to provide benefits that are not simply additiv</w:t>
      </w:r>
      <w:r w:rsidR="00442043">
        <w:t xml:space="preserve">e but also synergistic (e.g. 1+1+1=5.) </w:t>
      </w:r>
      <w:r>
        <w:t>Evidence from Latin America – and from the Sho</w:t>
      </w:r>
      <w:r w:rsidR="00D14285">
        <w:t>u</w:t>
      </w:r>
      <w:r>
        <w:t>hardo program in Bangladesh suggests that this targeted, multisectoral convergence approach</w:t>
      </w:r>
      <w:r w:rsidR="00AB0B77">
        <w:t>, capable of annual reduction in stunting prevalence of more than 4 percentage points per year,</w:t>
      </w:r>
      <w:r>
        <w:t xml:space="preserve"> can be superior to phased programs seeking national coverage with inputs primarily from the health sector, and more valuable than efforts made to “coordinate” inputs from relevant sectors that are neither convergent nor highly nutrition-sensitive.</w:t>
      </w:r>
      <w:r w:rsidR="00752F93">
        <w:t xml:space="preserve"> </w:t>
      </w:r>
    </w:p>
    <w:p w:rsidR="002F3C97" w:rsidRDefault="002F3C97" w:rsidP="00784B49"/>
    <w:p w:rsidR="002F3C97" w:rsidRDefault="002F3C97" w:rsidP="00784B49">
      <w:r>
        <w:t xml:space="preserve">In addition to exemplifying the value of the convergence approach, the MDG/F program was successful in </w:t>
      </w:r>
      <w:r w:rsidR="002400C4">
        <w:t>demonstrating the value of well-</w:t>
      </w:r>
      <w:r>
        <w:t>operated nutrition-sensitive interventions in the country – critically important means of addressing the determinants of malnutrition</w:t>
      </w:r>
      <w:r w:rsidR="00607BF0">
        <w:t xml:space="preserve"> – and the importance, now of scaling them up</w:t>
      </w:r>
      <w:r>
        <w:t xml:space="preserve">. International experience suggests that the development of </w:t>
      </w:r>
      <w:r w:rsidR="002400C4">
        <w:t xml:space="preserve">effective nutrition sensitive interventions in the food and agriculture, education, social protection and WASH sectors are vitally important complements to nutrition-specific action – carried out primarily through the health sector. </w:t>
      </w:r>
    </w:p>
    <w:p w:rsidR="00784B49" w:rsidRDefault="00784B49" w:rsidP="00784B49"/>
    <w:p w:rsidR="00784B49" w:rsidRDefault="00784B49" w:rsidP="00784B49">
      <w:r>
        <w:t xml:space="preserve">While the MDG Fund program in Bangladesh did not include all of the sectors which would constitute an ideal convergence program – </w:t>
      </w:r>
      <w:r w:rsidR="00352020">
        <w:t xml:space="preserve">hardware elements of </w:t>
      </w:r>
      <w:r>
        <w:t>WASH and employment generation activities were missing, and while the program duration was considerably shorter than desirable</w:t>
      </w:r>
      <w:r w:rsidR="00D14285">
        <w:t>,</w:t>
      </w:r>
      <w:r>
        <w:t xml:space="preserve"> its targeting of agricultural, health and educational inputs in particularly vulnerable coastal areas of southern Bangladesh resulted in </w:t>
      </w:r>
      <w:r w:rsidR="00D14285">
        <w:t>an almost total elimination of young chil</w:t>
      </w:r>
      <w:r w:rsidR="00AE5690">
        <w:t>d wasting in program areas, a significant but</w:t>
      </w:r>
      <w:r w:rsidR="00D14285">
        <w:t xml:space="preserve"> smaller reduction in malnutrition amo</w:t>
      </w:r>
      <w:r w:rsidR="00AE5690">
        <w:t xml:space="preserve">ng pregnant </w:t>
      </w:r>
      <w:r w:rsidR="00AB0B77">
        <w:t xml:space="preserve">and lactating women, and </w:t>
      </w:r>
      <w:r w:rsidR="00AE5690">
        <w:t>significant improvements in household food security</w:t>
      </w:r>
      <w:r w:rsidR="00AB0B77">
        <w:t>.</w:t>
      </w:r>
    </w:p>
    <w:p w:rsidR="00784B49" w:rsidRDefault="00784B49" w:rsidP="00784B49"/>
    <w:p w:rsidR="00AE5690" w:rsidRDefault="00C75C13" w:rsidP="00784B49">
      <w:r>
        <w:t xml:space="preserve">The endline survey data, while otherwise </w:t>
      </w:r>
      <w:r w:rsidR="00596FA4">
        <w:t xml:space="preserve">highly </w:t>
      </w:r>
      <w:r>
        <w:t>useful despite seasonal differences and the provision of project services in some of the original control areas, has faced problems of incomplete and internally inconsistent anthropometric data. Part of the problem has related to inconsistencies between weight for height and MUAC data. Accordingly</w:t>
      </w:r>
      <w:r w:rsidR="00784B49">
        <w:t xml:space="preserve">, </w:t>
      </w:r>
      <w:r>
        <w:t>a decision was made to utilize project monitoring data to assess the project’s anthropometric effects despite the absence of a control comparison. This</w:t>
      </w:r>
      <w:r w:rsidR="00784B49">
        <w:t xml:space="preserve"> project monitoring data provides a clear indication that child wasting and maternal malnutrition were significantly reduced and in some cases virtually eliminated in program areas. The prevalence of severe acute malnutrition (SAM) in children under age 5 fell to zero from initial prevalence rates of between 2.12% and 0.89%, rising subsequently only to 0.02% and 0.04%. Moderate acute malnutrition fell from between 9 and 11% to 1% with rare occasions of relapse. Malnutrition in pregnant and lactating women using mid-upper ar</w:t>
      </w:r>
      <w:r w:rsidR="00AE5690">
        <w:t>m circumference (MUAC) tapes – a</w:t>
      </w:r>
      <w:r w:rsidR="00784B49">
        <w:t>n inadequate measure when used alone, fell less sharply – from 7.0</w:t>
      </w:r>
      <w:r w:rsidR="007A71FB">
        <w:t>%</w:t>
      </w:r>
      <w:r w:rsidR="00784B49">
        <w:t xml:space="preserve"> to 5.1%.</w:t>
      </w:r>
    </w:p>
    <w:p w:rsidR="00AE5690" w:rsidRDefault="00AE5690" w:rsidP="00784B49"/>
    <w:p w:rsidR="00AE5690" w:rsidRDefault="001B0B49" w:rsidP="00AE5690">
      <w:r>
        <w:t>Data from the program endline evaluation indicates that the program also improved household food co</w:t>
      </w:r>
      <w:r w:rsidR="00AE5690">
        <w:t xml:space="preserve">nsumption. </w:t>
      </w:r>
      <w:r>
        <w:t>The endline survey reveals that the percentage of households in program areas with gardens increased over four fold, and that the percentage of household income derived from gardens and poultry increased more than three times, from 2.7% at baseline to 9.3% at endline – although still far from adequate to eliminate fo</w:t>
      </w:r>
      <w:r w:rsidR="00682221">
        <w:t>od insecurity in these families</w:t>
      </w:r>
      <w:r>
        <w:t xml:space="preserve">. </w:t>
      </w:r>
      <w:r w:rsidR="00AE5690">
        <w:t>As a result, the percentage of households with food cons</w:t>
      </w:r>
      <w:r w:rsidR="000340E8">
        <w:t xml:space="preserve">umption scores </w:t>
      </w:r>
      <w:r w:rsidR="00596FA4">
        <w:t xml:space="preserve">(FCS) </w:t>
      </w:r>
      <w:r w:rsidR="000340E8">
        <w:t>considered minimally</w:t>
      </w:r>
      <w:r w:rsidR="00AE5690">
        <w:t xml:space="preserve"> adequate or higher – is 86.7% in program areas compared with 63.9% in control areas. (Unfortunately, no comparable data is available from the baseline survey.) In the poorest wealth quintile, the actual average FCS in program areas was found to be 51.8 compared with 40.0 in control areas.</w:t>
      </w:r>
    </w:p>
    <w:p w:rsidR="00AE5690" w:rsidRDefault="00AE5690" w:rsidP="00784B49"/>
    <w:p w:rsidR="001B0B49" w:rsidRDefault="001B0B49" w:rsidP="00784B49">
      <w:r>
        <w:t>The survey also found that the percentage of households consuming eggs or meat on the day previous to the survey more than doubled</w:t>
      </w:r>
      <w:r w:rsidR="00AE5690">
        <w:t xml:space="preserve"> between baseline and endline</w:t>
      </w:r>
      <w:r>
        <w:t xml:space="preserve"> (from 20.4% to 44.1%),</w:t>
      </w:r>
      <w:r w:rsidR="00682221">
        <w:t xml:space="preserve"> while</w:t>
      </w:r>
      <w:r>
        <w:t xml:space="preserve"> the percentage consuming a milk product increased significantly from 16.8 to 24.7%.</w:t>
      </w:r>
    </w:p>
    <w:p w:rsidR="001B0B49" w:rsidRDefault="001B0B49" w:rsidP="00784B49"/>
    <w:p w:rsidR="0096008B" w:rsidRDefault="0096008B" w:rsidP="0096008B">
      <w:pPr>
        <w:rPr>
          <w:b/>
        </w:rPr>
      </w:pPr>
      <w:r>
        <w:t>Monitoring of the school program found significant increases in both enrollment and attendance plus considerable anecdotal evidence of school children taking messages home in a “change agent” capacity.</w:t>
      </w:r>
    </w:p>
    <w:p w:rsidR="001B0B49" w:rsidRDefault="001B0B49" w:rsidP="00784B49"/>
    <w:p w:rsidR="001B0B49" w:rsidRDefault="0096008B" w:rsidP="00784B49">
      <w:r>
        <w:t xml:space="preserve">Although endline evaluation data on hemoglobin testing </w:t>
      </w:r>
      <w:r w:rsidR="001455A7">
        <w:t xml:space="preserve">is not yet </w:t>
      </w:r>
      <w:r w:rsidR="00D833BE">
        <w:t>available</w:t>
      </w:r>
      <w:r w:rsidR="001455A7">
        <w:t>, qualitative data indicates that problems of MNP and iron folate supply were reduced over the life of the program as was reticence by mothers to feed MNP to their children.</w:t>
      </w:r>
    </w:p>
    <w:p w:rsidR="001455A7" w:rsidRDefault="001455A7" w:rsidP="00784B49"/>
    <w:p w:rsidR="001455A7" w:rsidRDefault="001455A7" w:rsidP="001455A7">
      <w:r>
        <w:t xml:space="preserve">The Outcome 5 effort to improve nutrition and food security-related data and information produced an important health/nutrition assessment of urban slums in the country, a valuable mapping exercise and studies on women’s empowerment and MUAC, and </w:t>
      </w:r>
      <w:r w:rsidR="00FD5B25">
        <w:t>permitted the development of</w:t>
      </w:r>
      <w:r>
        <w:t xml:space="preserve"> an integrated database likely to be useful in future multisectoral pursuits.</w:t>
      </w:r>
      <w:r w:rsidR="003B5A02">
        <w:t xml:space="preserve"> The program’s failure to utilize the findings and tools of the Food Security and Nutrition Surveillance Project (FSNSP), however, may have been a missed opportunity.</w:t>
      </w:r>
    </w:p>
    <w:p w:rsidR="001455A7" w:rsidRDefault="001455A7" w:rsidP="00784B49"/>
    <w:p w:rsidR="00784B49" w:rsidRDefault="001455A7" w:rsidP="00784B49">
      <w:r>
        <w:t xml:space="preserve">The program also had </w:t>
      </w:r>
      <w:r w:rsidR="00FD5B25">
        <w:t>a major effect o</w:t>
      </w:r>
      <w:r w:rsidR="00784B49">
        <w:t>n women’s empowerment – not identified as a primary program outcome, although it might have been. Mothers questioned on their role in household decision making relative to the previous year – overall, and specifically on decisions relating to gardens, small livestock, and children’s food consumption, reported far higher percentages than were found in control areas.</w:t>
      </w:r>
    </w:p>
    <w:p w:rsidR="001455A7" w:rsidRDefault="001455A7">
      <w:pPr>
        <w:rPr>
          <w:b/>
        </w:rPr>
      </w:pPr>
    </w:p>
    <w:p w:rsidR="001455A7" w:rsidRDefault="001455A7" w:rsidP="001455A7">
      <w:r>
        <w:t>And the program had a positive effect on pregnancy behaviors, with the practice of consuming more food during pregnancy (as opposed to the frequent practice of “eating down” dur</w:t>
      </w:r>
      <w:r w:rsidR="00E41998">
        <w:t>ing pregnancy) more than doubling</w:t>
      </w:r>
      <w:r>
        <w:t xml:space="preserve"> in program are</w:t>
      </w:r>
      <w:r w:rsidR="00E41998">
        <w:t>as between baseline and endline, and t</w:t>
      </w:r>
      <w:r>
        <w:t xml:space="preserve">he practice of </w:t>
      </w:r>
      <w:r w:rsidR="00E41998">
        <w:t xml:space="preserve">pregnant women </w:t>
      </w:r>
      <w:r>
        <w:t>get</w:t>
      </w:r>
      <w:r w:rsidR="00E41998">
        <w:t>ting more daytime rest increasing</w:t>
      </w:r>
      <w:r>
        <w:t xml:space="preserve"> slightly. </w:t>
      </w:r>
    </w:p>
    <w:p w:rsidR="003B5A02" w:rsidRDefault="003B5A02" w:rsidP="001455A7"/>
    <w:p w:rsidR="003B5A02" w:rsidRPr="00C27196" w:rsidRDefault="003B5A02" w:rsidP="001455A7">
      <w:r>
        <w:t>Effective capacity building was instrumental in program success, particularly in the areas of CMAM, facility upgrading and agricultural extension (garden and small livestock activities.)</w:t>
      </w:r>
    </w:p>
    <w:p w:rsidR="00E41998" w:rsidRDefault="00E41998">
      <w:pPr>
        <w:rPr>
          <w:b/>
        </w:rPr>
      </w:pPr>
    </w:p>
    <w:p w:rsidR="00DD65C5" w:rsidRDefault="00DD65C5">
      <w:r>
        <w:t xml:space="preserve">It is difficult to get a clear sense of costs in a program of such short duration with little opportunity to assess likely longer term costs. </w:t>
      </w:r>
      <w:r w:rsidR="00FD5B25">
        <w:t>However “establishment costs” are</w:t>
      </w:r>
      <w:r>
        <w:t xml:space="preserve"> presented and discussed. The high cost of treatment – and possible alternatives – are discussed, and MNP distribution, anemia counseling and school-based nutrition education are identified as potentially </w:t>
      </w:r>
      <w:r w:rsidR="00FD5B25">
        <w:t xml:space="preserve">highly </w:t>
      </w:r>
      <w:r>
        <w:t>cost-effective activities.</w:t>
      </w:r>
    </w:p>
    <w:p w:rsidR="003B5A02" w:rsidRDefault="003B5A02"/>
    <w:p w:rsidR="003B5A02" w:rsidRDefault="003B5A02">
      <w:r>
        <w:t>Program efficiency varied according to category. On the plus side, the program demonstrated exceptionally high program coverage for each of the program’s outcome areas, efficient national level program governance and highly regarded program coordinat</w:t>
      </w:r>
      <w:r w:rsidR="00596FA4">
        <w:t xml:space="preserve">ion. On the minus side, </w:t>
      </w:r>
      <w:r>
        <w:t>expenditure rates were unusually slow early in the program; the program suffered from an unwieldy fund allocation process; there was inadequate participation by local governments; and associated NGOs, which otherwise performed remarkably well in the program</w:t>
      </w:r>
      <w:r w:rsidR="00596FA4">
        <w:t>,</w:t>
      </w:r>
      <w:r>
        <w:t xml:space="preserve"> suffered from high rates of turnover which adversely affected program monitoring.</w:t>
      </w:r>
    </w:p>
    <w:p w:rsidR="003B5A02" w:rsidRDefault="003B5A02"/>
    <w:p w:rsidR="00DD65C5" w:rsidRDefault="00E41998">
      <w:r>
        <w:t>Perceptions of the program as a whole, by program managers and representatives of participating UN agencies were unusually positive.</w:t>
      </w:r>
      <w:r w:rsidR="00DD65C5">
        <w:t xml:space="preserve"> While comments were made about treatment vs. prevention, the short program duration, missing sectoral inputs, program monitoring, and vacancy rates in government departments, and suggestions </w:t>
      </w:r>
      <w:r w:rsidR="00D833BE">
        <w:t xml:space="preserve">were </w:t>
      </w:r>
      <w:r w:rsidR="00BE4042">
        <w:t>made on Tanah</w:t>
      </w:r>
      <w:r w:rsidR="00DD65C5">
        <w:t>ashi or bottleneck analysis, quality assurance teams, the utilization of positive deviance families and the use of beneficiaries as change agents, overall reactions to the program were highly positive. UN and government stakeholders were in agreement that:</w:t>
      </w:r>
    </w:p>
    <w:p w:rsidR="00DD65C5" w:rsidRDefault="00DD65C5" w:rsidP="00DD65C5"/>
    <w:p w:rsidR="00DD65C5" w:rsidRDefault="00DD65C5" w:rsidP="00DD65C5">
      <w:pPr>
        <w:pStyle w:val="ListParagraph"/>
        <w:numPr>
          <w:ilvl w:val="0"/>
          <w:numId w:val="3"/>
        </w:numPr>
      </w:pPr>
      <w:r>
        <w:t>Program planning and implementation were well executed despite challenges</w:t>
      </w:r>
    </w:p>
    <w:p w:rsidR="00DD65C5" w:rsidRDefault="00DD65C5" w:rsidP="00DD65C5">
      <w:pPr>
        <w:pStyle w:val="ListParagraph"/>
        <w:numPr>
          <w:ilvl w:val="0"/>
          <w:numId w:val="3"/>
        </w:numPr>
      </w:pPr>
      <w:r>
        <w:t>Coordination was far better than anticipated</w:t>
      </w:r>
    </w:p>
    <w:p w:rsidR="00DD65C5" w:rsidRDefault="00DD65C5" w:rsidP="00DD65C5">
      <w:pPr>
        <w:pStyle w:val="ListParagraph"/>
        <w:numPr>
          <w:ilvl w:val="0"/>
          <w:numId w:val="3"/>
        </w:numPr>
      </w:pPr>
      <w:r>
        <w:t>Good decisions were made on fund utilization (including the extra funds available when MUAC screening produced fewer SAM/MAM cases than expected.)</w:t>
      </w:r>
    </w:p>
    <w:p w:rsidR="00DD65C5" w:rsidRDefault="00DD65C5" w:rsidP="00DD65C5">
      <w:pPr>
        <w:pStyle w:val="ListParagraph"/>
      </w:pPr>
    </w:p>
    <w:p w:rsidR="00DD65C5" w:rsidRDefault="00DD65C5" w:rsidP="00DD65C5">
      <w:pPr>
        <w:pStyle w:val="ListParagraph"/>
        <w:ind w:left="0"/>
      </w:pPr>
      <w:r>
        <w:t>There was unanimity among UN stakeholders in Dhaka that, despite obstacles, the advantages of the three UN agencies and their counterparts working together in this “convergence” program far outweighed the “transaction costs.”</w:t>
      </w:r>
    </w:p>
    <w:p w:rsidR="00DD65C5" w:rsidRDefault="00DD65C5" w:rsidP="00DD65C5">
      <w:pPr>
        <w:pStyle w:val="ListParagraph"/>
        <w:ind w:left="0"/>
      </w:pPr>
    </w:p>
    <w:p w:rsidR="002D3ABE" w:rsidRDefault="002D3ABE" w:rsidP="00DD65C5">
      <w:pPr>
        <w:pStyle w:val="ListParagraph"/>
        <w:ind w:left="0"/>
      </w:pPr>
      <w:r>
        <w:t xml:space="preserve">In </w:t>
      </w:r>
      <w:r w:rsidR="006A7AAC">
        <w:t>addition to the v</w:t>
      </w:r>
      <w:r>
        <w:t>alue of the convergence approach, other lessons learned from the program include:</w:t>
      </w:r>
    </w:p>
    <w:p w:rsidR="002D3ABE" w:rsidRDefault="002D3ABE" w:rsidP="00DD65C5">
      <w:pPr>
        <w:pStyle w:val="ListParagraph"/>
        <w:ind w:left="0"/>
      </w:pPr>
    </w:p>
    <w:p w:rsidR="002D3ABE" w:rsidRDefault="002D3ABE" w:rsidP="002D3ABE">
      <w:pPr>
        <w:pStyle w:val="ListParagraph"/>
        <w:numPr>
          <w:ilvl w:val="0"/>
          <w:numId w:val="15"/>
        </w:numPr>
      </w:pPr>
      <w:r>
        <w:t>The program disruption resulting from the government’s banning of RUTF imports suggests that the development of mitigation plans may be appropriate in cases where a program is vulnerable to such changes in government policy. Sustainability and program cost questions are also triggered by such a reliance of patented imports, as discussed in this report.</w:t>
      </w:r>
    </w:p>
    <w:p w:rsidR="002D3ABE" w:rsidRDefault="002D3ABE" w:rsidP="002D3ABE">
      <w:pPr>
        <w:pStyle w:val="ListParagraph"/>
      </w:pPr>
    </w:p>
    <w:p w:rsidR="002D3ABE" w:rsidRDefault="002D3ABE" w:rsidP="002D3ABE">
      <w:pPr>
        <w:pStyle w:val="ListParagraph"/>
        <w:numPr>
          <w:ilvl w:val="0"/>
          <w:numId w:val="15"/>
        </w:numPr>
      </w:pPr>
      <w:r>
        <w:t>House to house CMAM screening should be used only as follow-up when young children or pregnant or la</w:t>
      </w:r>
      <w:r w:rsidR="001F3F58">
        <w:t xml:space="preserve">ctating women fail to appear at community-based screening sessions. </w:t>
      </w:r>
    </w:p>
    <w:p w:rsidR="001F3F58" w:rsidRDefault="001F3F58" w:rsidP="001F3F58"/>
    <w:p w:rsidR="001F3F58" w:rsidRDefault="001F3F58" w:rsidP="002D3ABE">
      <w:pPr>
        <w:pStyle w:val="ListParagraph"/>
        <w:numPr>
          <w:ilvl w:val="0"/>
          <w:numId w:val="15"/>
        </w:numPr>
      </w:pPr>
      <w:r>
        <w:t>Referral transport to more distant health facilities should be arranged by program staff.</w:t>
      </w:r>
    </w:p>
    <w:p w:rsidR="001F3F58" w:rsidRDefault="001F3F58" w:rsidP="001F3F58"/>
    <w:p w:rsidR="001F3F58" w:rsidRDefault="001F3F58" w:rsidP="002D3ABE">
      <w:pPr>
        <w:pStyle w:val="ListParagraph"/>
        <w:numPr>
          <w:ilvl w:val="0"/>
          <w:numId w:val="15"/>
        </w:numPr>
      </w:pPr>
      <w:r>
        <w:t>Well implemented school meals and gardens can improve school enrollment and attendance significantly and should be actively encouraged.</w:t>
      </w:r>
    </w:p>
    <w:p w:rsidR="002D3ABE" w:rsidRDefault="002D3ABE" w:rsidP="00DD65C5">
      <w:pPr>
        <w:pStyle w:val="ListParagraph"/>
        <w:ind w:left="0"/>
      </w:pPr>
    </w:p>
    <w:p w:rsidR="00122799" w:rsidRDefault="00122799" w:rsidP="00DD65C5">
      <w:pPr>
        <w:pStyle w:val="ListParagraph"/>
        <w:ind w:left="0"/>
      </w:pPr>
      <w:r>
        <w:t>The report present</w:t>
      </w:r>
      <w:r w:rsidR="00FD5B25">
        <w:t>s</w:t>
      </w:r>
      <w:r>
        <w:t xml:space="preserve"> three options</w:t>
      </w:r>
      <w:r w:rsidR="00FD5B25">
        <w:t xml:space="preserve"> – not mutually exclusive -</w:t>
      </w:r>
      <w:r>
        <w:t xml:space="preserve"> for the future of MDG/F type activity in the program area:</w:t>
      </w:r>
    </w:p>
    <w:p w:rsidR="00122799" w:rsidRDefault="00122799" w:rsidP="00DD65C5">
      <w:pPr>
        <w:pStyle w:val="ListParagraph"/>
        <w:ind w:left="0"/>
      </w:pPr>
    </w:p>
    <w:p w:rsidR="00122799" w:rsidRDefault="00122799" w:rsidP="00122799">
      <w:pPr>
        <w:pStyle w:val="ListParagraph"/>
        <w:numPr>
          <w:ilvl w:val="0"/>
          <w:numId w:val="12"/>
        </w:numPr>
      </w:pPr>
      <w:r>
        <w:t>The continued incorporation of MDG/F program activities into existing or new national or regional programs;</w:t>
      </w:r>
    </w:p>
    <w:p w:rsidR="00122799" w:rsidRDefault="00352020" w:rsidP="00122799">
      <w:pPr>
        <w:pStyle w:val="ListParagraph"/>
        <w:numPr>
          <w:ilvl w:val="0"/>
          <w:numId w:val="12"/>
        </w:numPr>
      </w:pPr>
      <w:r>
        <w:t xml:space="preserve">The initiation of an NNS </w:t>
      </w:r>
      <w:r w:rsidR="00122799">
        <w:t>program in this geographic area building on activity and training that already has taken place;</w:t>
      </w:r>
    </w:p>
    <w:p w:rsidR="00122799" w:rsidRDefault="00860FBC" w:rsidP="00FD5B25">
      <w:pPr>
        <w:pStyle w:val="ListParagraph"/>
        <w:numPr>
          <w:ilvl w:val="0"/>
          <w:numId w:val="12"/>
        </w:numPr>
      </w:pPr>
      <w:r>
        <w:t>Using another</w:t>
      </w:r>
      <w:r w:rsidR="00122799">
        <w:t xml:space="preserve"> Peru/Brazil model, experimenting with a UN or GoB Union or Upazila Incentive Fund, in which unions or upazilas meeting specified targets would receive additional funding. </w:t>
      </w:r>
    </w:p>
    <w:p w:rsidR="00122799" w:rsidRDefault="00122799" w:rsidP="00122799">
      <w:pPr>
        <w:rPr>
          <w:b/>
        </w:rPr>
      </w:pPr>
    </w:p>
    <w:p w:rsidR="00122799" w:rsidRPr="005734AE" w:rsidRDefault="00122799" w:rsidP="00122799">
      <w:r>
        <w:t>Regardless of the option</w:t>
      </w:r>
      <w:r w:rsidR="00FD5B25">
        <w:t>(s)</w:t>
      </w:r>
      <w:r>
        <w:t xml:space="preserve"> selected, a program of this importance requires an evaluation of its sustainability – which means returning to </w:t>
      </w:r>
      <w:r w:rsidR="00FD5B25">
        <w:t>the area between 12-24 months after</w:t>
      </w:r>
      <w:r>
        <w:t xml:space="preserve"> project completion and collecting key information on activity and impact indicators. Funding from concerned government departments and UN partners should be sought to finance this important sustainability evaluation. </w:t>
      </w:r>
    </w:p>
    <w:p w:rsidR="00122799" w:rsidRDefault="00122799" w:rsidP="00DD65C5">
      <w:pPr>
        <w:pStyle w:val="ListParagraph"/>
        <w:ind w:left="0"/>
      </w:pPr>
    </w:p>
    <w:p w:rsidR="00B66C07" w:rsidRDefault="00B66C07" w:rsidP="00DD65C5">
      <w:pPr>
        <w:pStyle w:val="ListParagraph"/>
        <w:ind w:left="0"/>
      </w:pPr>
    </w:p>
    <w:p w:rsidR="001F3F58" w:rsidRDefault="001F3F58" w:rsidP="00DD65C5">
      <w:pPr>
        <w:pStyle w:val="ListParagraph"/>
        <w:ind w:left="0"/>
      </w:pPr>
      <w:r>
        <w:t>Other recommendations include:</w:t>
      </w:r>
    </w:p>
    <w:p w:rsidR="001F3F58" w:rsidRDefault="001F3F58" w:rsidP="001F3F58">
      <w:pPr>
        <w:pStyle w:val="ListParagraph"/>
      </w:pPr>
    </w:p>
    <w:p w:rsidR="001F3F58" w:rsidRDefault="001F3F58" w:rsidP="001F3F58">
      <w:pPr>
        <w:pStyle w:val="ListParagraph"/>
        <w:numPr>
          <w:ilvl w:val="0"/>
          <w:numId w:val="14"/>
        </w:numPr>
      </w:pPr>
      <w:r>
        <w:t>Important programs such as that undertaken by the MDG Fund require a duration of at least five years.</w:t>
      </w:r>
    </w:p>
    <w:p w:rsidR="001F3F58" w:rsidRDefault="001F3F58" w:rsidP="001F3F58"/>
    <w:p w:rsidR="001F3F58" w:rsidRDefault="001F3F58" w:rsidP="001F3F58">
      <w:pPr>
        <w:pStyle w:val="ListParagraph"/>
        <w:numPr>
          <w:ilvl w:val="0"/>
          <w:numId w:val="14"/>
        </w:numPr>
      </w:pPr>
      <w:r>
        <w:t>Except in emergency situations, the balance in such programs between prevention and treatment intervention needs to be shifted substantially toward the former.</w:t>
      </w:r>
    </w:p>
    <w:p w:rsidR="001F3F58" w:rsidRDefault="001F3F58" w:rsidP="001F3F58"/>
    <w:p w:rsidR="001F3F58" w:rsidRDefault="001F3F58" w:rsidP="001F3F58">
      <w:pPr>
        <w:pStyle w:val="ListParagraph"/>
        <w:numPr>
          <w:ilvl w:val="0"/>
          <w:numId w:val="14"/>
        </w:numPr>
      </w:pPr>
      <w:r>
        <w:t>Small farm households in Bangladesh require intensified assistance in home gardening and in marketing, the latter both through the encouragement of cooperatives and through government purchase of food commodities from assisted households for school meal programs.</w:t>
      </w:r>
    </w:p>
    <w:p w:rsidR="001F3F58" w:rsidRDefault="001F3F58" w:rsidP="001F3F58"/>
    <w:p w:rsidR="001F3F58" w:rsidRDefault="001F3F58" w:rsidP="001F3F58">
      <w:pPr>
        <w:pStyle w:val="ListParagraph"/>
        <w:numPr>
          <w:ilvl w:val="0"/>
          <w:numId w:val="14"/>
        </w:numPr>
      </w:pPr>
      <w:r>
        <w:t>Such assistance can be facilitated where women doing garden and agricultural activity are organized into groups.</w:t>
      </w:r>
    </w:p>
    <w:p w:rsidR="001F3F58" w:rsidRDefault="001F3F58" w:rsidP="001F3F58"/>
    <w:p w:rsidR="001F3F58" w:rsidRDefault="001F3F58" w:rsidP="001F3F58">
      <w:pPr>
        <w:pStyle w:val="ListParagraph"/>
        <w:numPr>
          <w:ilvl w:val="0"/>
          <w:numId w:val="14"/>
        </w:numPr>
      </w:pPr>
      <w:r>
        <w:t>Intensified efforts are needed to provide life skills counseling and weekly iron tablets to adolescent girls – both those in and out of school.</w:t>
      </w:r>
    </w:p>
    <w:p w:rsidR="001F3F58" w:rsidRDefault="001F3F58" w:rsidP="001F3F58"/>
    <w:p w:rsidR="001F3F58" w:rsidRDefault="00B66C07" w:rsidP="001F3F58">
      <w:pPr>
        <w:pStyle w:val="ListParagraph"/>
        <w:numPr>
          <w:ilvl w:val="0"/>
          <w:numId w:val="14"/>
        </w:numPr>
      </w:pPr>
      <w:r>
        <w:t>The use of management-by-</w:t>
      </w:r>
      <w:r w:rsidR="001F3F58">
        <w:t>exception techniques in project monitoring are essential to assure rapid local utilization of data.</w:t>
      </w:r>
    </w:p>
    <w:p w:rsidR="001F3F58" w:rsidRDefault="001F3F58" w:rsidP="001F3F58"/>
    <w:p w:rsidR="001F3F58" w:rsidRDefault="001F3F58" w:rsidP="001F3F58">
      <w:pPr>
        <w:pStyle w:val="ListParagraph"/>
        <w:numPr>
          <w:ilvl w:val="0"/>
          <w:numId w:val="14"/>
        </w:numPr>
      </w:pPr>
      <w:r>
        <w:t>Future programs such as that undertaken by the MDG/F could benefit considerably from the use of quality assurance teams and from Tanahashi or bottleneck analysis.</w:t>
      </w:r>
    </w:p>
    <w:p w:rsidR="001F3F58" w:rsidRDefault="001F3F58" w:rsidP="001F3F58"/>
    <w:p w:rsidR="001F3F58" w:rsidRDefault="001F3F58" w:rsidP="001F3F58">
      <w:pPr>
        <w:pStyle w:val="ListParagraph"/>
        <w:numPr>
          <w:ilvl w:val="0"/>
          <w:numId w:val="14"/>
        </w:numPr>
      </w:pPr>
      <w:r>
        <w:t>Shortages of government positions and high vacancy rates in rural areas deserve priority attention by the government.</w:t>
      </w:r>
    </w:p>
    <w:p w:rsidR="001F3F58" w:rsidRDefault="001F3F58" w:rsidP="001F3F58"/>
    <w:p w:rsidR="001F3F58" w:rsidRDefault="001F3F58" w:rsidP="001F3F58">
      <w:pPr>
        <w:pStyle w:val="ListParagraph"/>
        <w:numPr>
          <w:ilvl w:val="0"/>
          <w:numId w:val="14"/>
        </w:numPr>
      </w:pPr>
      <w:r>
        <w:t>The civil society nutrition advocacy groups now in existence in the country deserve active encouragement.</w:t>
      </w:r>
    </w:p>
    <w:p w:rsidR="001F3F58" w:rsidRDefault="001F3F58" w:rsidP="00DD65C5">
      <w:pPr>
        <w:pStyle w:val="ListParagraph"/>
        <w:ind w:left="0"/>
      </w:pPr>
    </w:p>
    <w:p w:rsidR="001F3F58" w:rsidRDefault="001F3F58" w:rsidP="00DD65C5">
      <w:pPr>
        <w:pStyle w:val="ListParagraph"/>
        <w:ind w:left="0"/>
      </w:pPr>
    </w:p>
    <w:p w:rsidR="00DD65C5" w:rsidRPr="00ED0029" w:rsidRDefault="00DD65C5" w:rsidP="00DD65C5">
      <w:pPr>
        <w:pStyle w:val="ListParagraph"/>
        <w:ind w:left="0"/>
      </w:pPr>
      <w:r>
        <w:t xml:space="preserve">In sum, the MDG/F program has provided the Government of Bangladesh and the international nutrition community with a highly valuable model of nutrition programming, one that, ultimately, may prove more important than, for example, the coordination of sectors at the national level. The </w:t>
      </w:r>
      <w:r w:rsidR="0051595D">
        <w:t xml:space="preserve">multisectoral nutrition </w:t>
      </w:r>
      <w:r>
        <w:t>convergence approach, targeted to vulnerable areas</w:t>
      </w:r>
      <w:r w:rsidR="0051595D">
        <w:t xml:space="preserve"> appears viable, capable of major impact, and likely to be highly cost-effective.</w:t>
      </w:r>
      <w:r>
        <w:t xml:space="preserve"> </w:t>
      </w:r>
    </w:p>
    <w:p w:rsidR="00DD65C5" w:rsidRDefault="00DD65C5" w:rsidP="00DD65C5">
      <w:pPr>
        <w:pStyle w:val="ListParagraph"/>
      </w:pPr>
      <w:r>
        <w:t xml:space="preserve"> </w:t>
      </w:r>
    </w:p>
    <w:p w:rsidR="00122799" w:rsidRDefault="00122799">
      <w:pPr>
        <w:rPr>
          <w:b/>
        </w:rPr>
      </w:pPr>
    </w:p>
    <w:p w:rsidR="00FD5B25" w:rsidRDefault="00FD5B25">
      <w:pPr>
        <w:rPr>
          <w:b/>
        </w:rPr>
      </w:pPr>
      <w:r>
        <w:rPr>
          <w:b/>
        </w:rPr>
        <w:br w:type="page"/>
      </w:r>
    </w:p>
    <w:p w:rsidR="00CD30A8" w:rsidRDefault="00CD30A8" w:rsidP="00F65CEA">
      <w:pPr>
        <w:pStyle w:val="Heading1"/>
      </w:pPr>
      <w:bookmarkStart w:id="2" w:name="_Toc236372987"/>
      <w:r>
        <w:t>Introduction</w:t>
      </w:r>
      <w:bookmarkEnd w:id="2"/>
    </w:p>
    <w:p w:rsidR="00CD30A8" w:rsidRDefault="00CD30A8">
      <w:pPr>
        <w:rPr>
          <w:b/>
        </w:rPr>
      </w:pPr>
    </w:p>
    <w:p w:rsidR="00C243C9" w:rsidRPr="00C243C9" w:rsidRDefault="005E3F2F" w:rsidP="006060CE">
      <w:pPr>
        <w:tabs>
          <w:tab w:val="left" w:pos="9648"/>
        </w:tabs>
        <w:jc w:val="both"/>
        <w:outlineLvl w:val="0"/>
      </w:pPr>
      <w:r w:rsidRPr="00C243C9">
        <w:t>With a grant from the Government of Spain to the United Nations</w:t>
      </w:r>
      <w:r w:rsidR="00C243C9" w:rsidRPr="00C243C9">
        <w:t>, the MDG</w:t>
      </w:r>
      <w:r w:rsidR="00C243C9">
        <w:t xml:space="preserve"> Fund was established in 2010 designed to assist a set of low income countries in meeting their Millenium Development Goals. The Bangladesh MDG Fund program titled Protecting and Promoting Food Security and Nutrition for Families and Children in Bangladesh was organized and implemented by three U.N. agencies: </w:t>
      </w:r>
      <w:r w:rsidR="00FD5B25">
        <w:t xml:space="preserve">the </w:t>
      </w:r>
      <w:r w:rsidR="00C243C9">
        <w:t>World Food Program (WFP), the Food and Agriculture Organization (FAO) and UNICEF – an unusual UN arrangement – and their Government of Bangladesh counterparts:</w:t>
      </w:r>
    </w:p>
    <w:p w:rsidR="005E3F2F" w:rsidRDefault="005E3F2F" w:rsidP="006060CE">
      <w:pPr>
        <w:tabs>
          <w:tab w:val="left" w:pos="9648"/>
        </w:tabs>
        <w:jc w:val="both"/>
        <w:outlineLvl w:val="0"/>
        <w:rPr>
          <w:sz w:val="22"/>
          <w:szCs w:val="22"/>
        </w:rPr>
      </w:pPr>
    </w:p>
    <w:p w:rsidR="00B34C31" w:rsidRDefault="00C243C9" w:rsidP="00C243C9">
      <w:pPr>
        <w:pStyle w:val="BodyText2"/>
        <w:numPr>
          <w:ilvl w:val="0"/>
          <w:numId w:val="8"/>
        </w:numPr>
        <w:spacing w:after="0" w:line="240" w:lineRule="auto"/>
        <w:jc w:val="both"/>
      </w:pPr>
      <w:r w:rsidRPr="00C243C9">
        <w:t xml:space="preserve">Ministry of Food </w:t>
      </w:r>
    </w:p>
    <w:p w:rsidR="00C243C9" w:rsidRPr="00C243C9" w:rsidRDefault="00B34C31" w:rsidP="00C243C9">
      <w:pPr>
        <w:pStyle w:val="BodyText2"/>
        <w:numPr>
          <w:ilvl w:val="0"/>
          <w:numId w:val="8"/>
        </w:numPr>
        <w:spacing w:after="0" w:line="240" w:lineRule="auto"/>
        <w:jc w:val="both"/>
      </w:pPr>
      <w:r>
        <w:t xml:space="preserve">Ministry of Women’s and Children’s Affairs </w:t>
      </w:r>
    </w:p>
    <w:p w:rsidR="00C243C9" w:rsidRPr="00C243C9" w:rsidRDefault="00C243C9" w:rsidP="00C243C9">
      <w:pPr>
        <w:pStyle w:val="BodyText2"/>
        <w:numPr>
          <w:ilvl w:val="0"/>
          <w:numId w:val="8"/>
        </w:numPr>
        <w:spacing w:after="0" w:line="240" w:lineRule="auto"/>
        <w:jc w:val="both"/>
      </w:pPr>
      <w:r w:rsidRPr="00C243C9">
        <w:t>Ministry of Health and Family Welfare</w:t>
      </w:r>
    </w:p>
    <w:p w:rsidR="00B34C31" w:rsidRDefault="00C243C9" w:rsidP="00C243C9">
      <w:pPr>
        <w:pStyle w:val="BodyText2"/>
        <w:numPr>
          <w:ilvl w:val="0"/>
          <w:numId w:val="8"/>
        </w:numPr>
        <w:spacing w:after="0" w:line="240" w:lineRule="auto"/>
        <w:jc w:val="both"/>
      </w:pPr>
      <w:r w:rsidRPr="00C243C9">
        <w:t>Ministry of Agriculture</w:t>
      </w:r>
      <w:r w:rsidR="00DB70D3">
        <w:t xml:space="preserve"> </w:t>
      </w:r>
    </w:p>
    <w:p w:rsidR="00C243C9" w:rsidRPr="00C243C9" w:rsidRDefault="00B34C31" w:rsidP="00C243C9">
      <w:pPr>
        <w:pStyle w:val="BodyText2"/>
        <w:numPr>
          <w:ilvl w:val="0"/>
          <w:numId w:val="8"/>
        </w:numPr>
        <w:spacing w:after="0" w:line="240" w:lineRule="auto"/>
        <w:jc w:val="both"/>
      </w:pPr>
      <w:r>
        <w:t xml:space="preserve">Ministry of Fisheries and </w:t>
      </w:r>
      <w:r w:rsidR="00DB70D3">
        <w:t>Livestock</w:t>
      </w:r>
    </w:p>
    <w:p w:rsidR="00C243C9" w:rsidRPr="00C243C9" w:rsidRDefault="00C243C9" w:rsidP="00C243C9">
      <w:pPr>
        <w:pStyle w:val="BodyText2"/>
        <w:numPr>
          <w:ilvl w:val="0"/>
          <w:numId w:val="8"/>
        </w:numPr>
        <w:spacing w:after="0" w:line="240" w:lineRule="auto"/>
        <w:jc w:val="both"/>
      </w:pPr>
      <w:r w:rsidRPr="00C243C9">
        <w:t xml:space="preserve">Ministry of Primary and Mass Education </w:t>
      </w:r>
    </w:p>
    <w:p w:rsidR="00C243C9" w:rsidRPr="00C243C9" w:rsidRDefault="00C243C9" w:rsidP="00C243C9">
      <w:pPr>
        <w:pStyle w:val="BodyText2"/>
        <w:numPr>
          <w:ilvl w:val="0"/>
          <w:numId w:val="8"/>
        </w:numPr>
        <w:spacing w:after="0" w:line="240" w:lineRule="auto"/>
        <w:jc w:val="both"/>
      </w:pPr>
      <w:r w:rsidRPr="00C243C9">
        <w:t>Economic Relations Division</w:t>
      </w:r>
    </w:p>
    <w:p w:rsidR="00C243C9" w:rsidRPr="00C243C9" w:rsidRDefault="00C243C9" w:rsidP="00C243C9">
      <w:pPr>
        <w:pStyle w:val="BodyText2"/>
        <w:numPr>
          <w:ilvl w:val="0"/>
          <w:numId w:val="8"/>
        </w:numPr>
        <w:spacing w:after="0" w:line="240" w:lineRule="auto"/>
        <w:jc w:val="both"/>
      </w:pPr>
      <w:r w:rsidRPr="00C243C9">
        <w:t>Institute of Public Health Nutrition</w:t>
      </w:r>
    </w:p>
    <w:p w:rsidR="005E3F2F" w:rsidRDefault="005E3F2F" w:rsidP="006060CE">
      <w:pPr>
        <w:tabs>
          <w:tab w:val="left" w:pos="9648"/>
        </w:tabs>
        <w:jc w:val="both"/>
        <w:outlineLvl w:val="0"/>
        <w:rPr>
          <w:sz w:val="22"/>
          <w:szCs w:val="22"/>
        </w:rPr>
      </w:pPr>
    </w:p>
    <w:p w:rsidR="000E45F0" w:rsidRDefault="000E45F0" w:rsidP="006060CE">
      <w:pPr>
        <w:tabs>
          <w:tab w:val="left" w:pos="9648"/>
        </w:tabs>
        <w:jc w:val="both"/>
        <w:outlineLvl w:val="0"/>
      </w:pPr>
      <w:r>
        <w:t xml:space="preserve">Among the UN agencies, UNICEF had </w:t>
      </w:r>
      <w:r w:rsidR="00B34C31">
        <w:t xml:space="preserve">the </w:t>
      </w:r>
      <w:r>
        <w:t xml:space="preserve">responsibility for the </w:t>
      </w:r>
      <w:r w:rsidR="00B34C31">
        <w:t xml:space="preserve">treatment of Severe Acute Malnutrition and </w:t>
      </w:r>
      <w:r>
        <w:t xml:space="preserve">health sector-based nutrition-specific interventions, FAO for agriculture, small livestock and gardens, and WFP </w:t>
      </w:r>
      <w:r w:rsidR="00B34C31">
        <w:t xml:space="preserve">for treatment of Moderate Acute Malnutrition among children and pregnant and lactating women, </w:t>
      </w:r>
      <w:r>
        <w:t>on school feeding, information management and overall coordination.</w:t>
      </w:r>
      <w:r w:rsidR="00DB70D3">
        <w:t xml:space="preserve"> Each program intervention included considerable training and behavioral change communications.</w:t>
      </w:r>
    </w:p>
    <w:p w:rsidR="000E45F0" w:rsidRDefault="000E45F0" w:rsidP="006060CE">
      <w:pPr>
        <w:tabs>
          <w:tab w:val="left" w:pos="9648"/>
        </w:tabs>
        <w:jc w:val="both"/>
        <w:outlineLvl w:val="0"/>
      </w:pPr>
    </w:p>
    <w:p w:rsidR="00971E5E" w:rsidRDefault="00971E5E" w:rsidP="006060CE">
      <w:pPr>
        <w:tabs>
          <w:tab w:val="left" w:pos="9648"/>
        </w:tabs>
        <w:jc w:val="both"/>
        <w:outlineLvl w:val="0"/>
      </w:pPr>
      <w:r>
        <w:t>In the wake of floods</w:t>
      </w:r>
      <w:r w:rsidR="00FD5B25">
        <w:t xml:space="preserve"> </w:t>
      </w:r>
      <w:r>
        <w:t>and with volatile food prices, t</w:t>
      </w:r>
      <w:r w:rsidR="00C243C9">
        <w:t>he program was designed to improve food security and nutrition for vulnerable children and mothers</w:t>
      </w:r>
      <w:r>
        <w:t>, and address specifically the MDG-1 hunger redu</w:t>
      </w:r>
      <w:r w:rsidR="00D833BE">
        <w:t xml:space="preserve">ction target. The program </w:t>
      </w:r>
      <w:r>
        <w:t>has received considerable international attention as an example of the “convergence” model of nutrition improvement</w:t>
      </w:r>
      <w:r w:rsidR="00FD5B25">
        <w:t>,</w:t>
      </w:r>
      <w:r>
        <w:t xml:space="preserve"> brought into prominence </w:t>
      </w:r>
      <w:r w:rsidR="00FD5B25">
        <w:t xml:space="preserve">in Peru and </w:t>
      </w:r>
      <w:r>
        <w:t>by Brazil’s “Zero Hunger” initiative</w:t>
      </w:r>
      <w:r w:rsidR="00FD5B25">
        <w:t>,</w:t>
      </w:r>
      <w:r>
        <w:t xml:space="preserve"> </w:t>
      </w:r>
      <w:r w:rsidR="00FD5B25">
        <w:t>which targets</w:t>
      </w:r>
      <w:r w:rsidR="00EA0F63">
        <w:t xml:space="preserve"> vulnerable geographic</w:t>
      </w:r>
      <w:r w:rsidR="00FD5B25">
        <w:t xml:space="preserve"> areas with</w:t>
      </w:r>
      <w:r>
        <w:t xml:space="preserve"> both nutrition specific (primarily health sect</w:t>
      </w:r>
      <w:r w:rsidR="00FD5B25">
        <w:t>or) interventions addressing</w:t>
      </w:r>
      <w:r>
        <w:t xml:space="preserve"> malnutrition problem</w:t>
      </w:r>
      <w:r w:rsidR="00FD5B25">
        <w:t>s</w:t>
      </w:r>
      <w:r>
        <w:t xml:space="preserve"> directly, and nutrition-sensitive interventions addressing the</w:t>
      </w:r>
      <w:r w:rsidR="00FD5B25">
        <w:t>ir</w:t>
      </w:r>
      <w:r>
        <w:t xml:space="preserve"> underlying and basic determinants.</w:t>
      </w:r>
    </w:p>
    <w:p w:rsidR="00971E5E" w:rsidRDefault="00971E5E" w:rsidP="006060CE">
      <w:pPr>
        <w:tabs>
          <w:tab w:val="left" w:pos="9648"/>
        </w:tabs>
        <w:jc w:val="both"/>
        <w:outlineLvl w:val="0"/>
      </w:pPr>
    </w:p>
    <w:p w:rsidR="00971E5E" w:rsidRPr="00EA0F63" w:rsidRDefault="00971E5E" w:rsidP="00EA0F63">
      <w:pPr>
        <w:tabs>
          <w:tab w:val="left" w:pos="9648"/>
        </w:tabs>
        <w:jc w:val="both"/>
        <w:outlineLvl w:val="0"/>
      </w:pPr>
      <w:r>
        <w:t xml:space="preserve">The convergence approach utilized by the MDG/F program </w:t>
      </w:r>
      <w:r w:rsidR="00CB2CE7">
        <w:t xml:space="preserve">has </w:t>
      </w:r>
      <w:r>
        <w:t xml:space="preserve">had one </w:t>
      </w:r>
      <w:r w:rsidR="00ED7556">
        <w:t xml:space="preserve">particularly </w:t>
      </w:r>
      <w:r>
        <w:t>instructive</w:t>
      </w:r>
      <w:r w:rsidR="00EA0F63">
        <w:t xml:space="preserve"> precedent in the country, the </w:t>
      </w:r>
      <w:r w:rsidRPr="00971E5E">
        <w:rPr>
          <w:rFonts w:ascii="Cambria" w:hAnsi="Cambria"/>
        </w:rPr>
        <w:t>S</w:t>
      </w:r>
      <w:r w:rsidR="00B34C31">
        <w:rPr>
          <w:rFonts w:ascii="Cambria" w:hAnsi="Cambria"/>
        </w:rPr>
        <w:t>HOUHARDO</w:t>
      </w:r>
      <w:r w:rsidRPr="00971E5E">
        <w:rPr>
          <w:rFonts w:ascii="Cambria" w:hAnsi="Cambria"/>
        </w:rPr>
        <w:t xml:space="preserve"> Program, operated by CARE through local partner NGOs</w:t>
      </w:r>
      <w:r w:rsidR="00EA0F63">
        <w:rPr>
          <w:rFonts w:ascii="Cambria" w:hAnsi="Cambria"/>
        </w:rPr>
        <w:t>. S</w:t>
      </w:r>
      <w:r w:rsidR="00B34C31">
        <w:rPr>
          <w:rFonts w:ascii="Cambria" w:hAnsi="Cambria"/>
        </w:rPr>
        <w:t>HOUHARDO</w:t>
      </w:r>
      <w:r w:rsidR="00EA0F63">
        <w:rPr>
          <w:rFonts w:ascii="Cambria" w:hAnsi="Cambria"/>
        </w:rPr>
        <w:t xml:space="preserve"> is </w:t>
      </w:r>
      <w:r w:rsidRPr="00971E5E">
        <w:rPr>
          <w:rFonts w:ascii="Cambria" w:hAnsi="Cambria"/>
        </w:rPr>
        <w:t>a large scale multisectoral project which, like the MDG/F program</w:t>
      </w:r>
      <w:r w:rsidR="00ED7556">
        <w:rPr>
          <w:rFonts w:ascii="Cambria" w:hAnsi="Cambria"/>
        </w:rPr>
        <w:t>,</w:t>
      </w:r>
      <w:r w:rsidRPr="00971E5E">
        <w:rPr>
          <w:rFonts w:ascii="Cambria" w:hAnsi="Cambria"/>
        </w:rPr>
        <w:t xml:space="preserve"> is concentrated in the country’s most vulnerable areas</w:t>
      </w:r>
      <w:r w:rsidR="00EA0F63">
        <w:rPr>
          <w:rFonts w:ascii="Cambria" w:hAnsi="Cambria"/>
        </w:rPr>
        <w:t xml:space="preserve"> and combines </w:t>
      </w:r>
      <w:r w:rsidRPr="00971E5E">
        <w:rPr>
          <w:rFonts w:ascii="Cambria" w:hAnsi="Cambria"/>
        </w:rPr>
        <w:t>key resources  - both nutrition-specific and nutrition-</w:t>
      </w:r>
      <w:r w:rsidR="00776C04" w:rsidRPr="00971E5E">
        <w:rPr>
          <w:rFonts w:ascii="Cambria" w:hAnsi="Cambria"/>
        </w:rPr>
        <w:t>sensitive</w:t>
      </w:r>
      <w:r w:rsidRPr="00971E5E">
        <w:rPr>
          <w:rFonts w:ascii="Cambria" w:hAnsi="Cambria"/>
        </w:rPr>
        <w:t xml:space="preserve"> interventions - in the same geographic areas. In the S</w:t>
      </w:r>
      <w:r w:rsidR="00B34C31">
        <w:rPr>
          <w:rFonts w:ascii="Cambria" w:hAnsi="Cambria"/>
        </w:rPr>
        <w:t>HOUHARDO p</w:t>
      </w:r>
      <w:r w:rsidRPr="00971E5E">
        <w:rPr>
          <w:rFonts w:ascii="Cambria" w:hAnsi="Cambria"/>
        </w:rPr>
        <w:t xml:space="preserve">rogram, interventions include increased food access, improved health and hygiene, women’s empowerment, local government mobilization and disaster preparedness. The combined effect of these interventions has been a remarkable 4.5 percentage point reduction </w:t>
      </w:r>
      <w:r w:rsidR="00E60E74">
        <w:rPr>
          <w:rFonts w:ascii="Cambria" w:hAnsi="Cambria"/>
        </w:rPr>
        <w:t xml:space="preserve">in young child stunting </w:t>
      </w:r>
      <w:r w:rsidRPr="00971E5E">
        <w:rPr>
          <w:rFonts w:ascii="Cambria" w:hAnsi="Cambria"/>
        </w:rPr>
        <w:t>per year (Smith et al, 2011.)</w:t>
      </w:r>
      <w:r w:rsidR="00C51CB5">
        <w:rPr>
          <w:rStyle w:val="FootnoteReference"/>
          <w:rFonts w:ascii="Cambria" w:hAnsi="Cambria"/>
        </w:rPr>
        <w:footnoteReference w:id="1"/>
      </w:r>
    </w:p>
    <w:p w:rsidR="005E3F2F" w:rsidRDefault="005E3F2F" w:rsidP="006060CE">
      <w:pPr>
        <w:tabs>
          <w:tab w:val="left" w:pos="9648"/>
        </w:tabs>
        <w:jc w:val="both"/>
        <w:outlineLvl w:val="0"/>
        <w:rPr>
          <w:sz w:val="22"/>
          <w:szCs w:val="22"/>
        </w:rPr>
      </w:pPr>
    </w:p>
    <w:p w:rsidR="00EA0F63" w:rsidRDefault="00EA0F63" w:rsidP="006060CE">
      <w:pPr>
        <w:tabs>
          <w:tab w:val="left" w:pos="9648"/>
        </w:tabs>
        <w:jc w:val="both"/>
        <w:outlineLvl w:val="0"/>
      </w:pPr>
      <w:r>
        <w:t>The k</w:t>
      </w:r>
      <w:r w:rsidR="006060CE" w:rsidRPr="00EA0F63">
        <w:t xml:space="preserve">ey elements </w:t>
      </w:r>
      <w:r>
        <w:t>of the MDG/F program have been</w:t>
      </w:r>
      <w:r w:rsidR="006060CE" w:rsidRPr="00EA0F63">
        <w:t xml:space="preserve"> homestead food production, community-based management of acute malnutrition, school feeding and gardening, </w:t>
      </w:r>
      <w:r>
        <w:t xml:space="preserve">anemia reduction, </w:t>
      </w:r>
      <w:r w:rsidR="006060CE" w:rsidRPr="00EA0F63">
        <w:t xml:space="preserve">and </w:t>
      </w:r>
      <w:r>
        <w:t xml:space="preserve">the </w:t>
      </w:r>
      <w:r w:rsidR="006060CE" w:rsidRPr="00EA0F63">
        <w:t xml:space="preserve">strengthening </w:t>
      </w:r>
      <w:r w:rsidR="00ED7556">
        <w:t xml:space="preserve">of </w:t>
      </w:r>
      <w:r w:rsidR="006060CE" w:rsidRPr="00EA0F63">
        <w:t>food security and nutrition information systems. The overarching obj</w:t>
      </w:r>
      <w:r>
        <w:t>ective</w:t>
      </w:r>
      <w:r w:rsidR="00ED7556">
        <w:t>s</w:t>
      </w:r>
      <w:r>
        <w:t xml:space="preserve"> of the joint progra</w:t>
      </w:r>
      <w:r w:rsidR="00ED7556">
        <w:t>m were</w:t>
      </w:r>
      <w:r w:rsidR="006060CE" w:rsidRPr="00EA0F63">
        <w:t xml:space="preserve"> to contribute to the reduction of acute malnutrition among children 0-59 months and </w:t>
      </w:r>
      <w:r>
        <w:t>among</w:t>
      </w:r>
      <w:r w:rsidR="006060CE" w:rsidRPr="00EA0F63">
        <w:t xml:space="preserve"> pregnant and lactating women and to reduce </w:t>
      </w:r>
      <w:r>
        <w:t>household food insecurity.</w:t>
      </w:r>
    </w:p>
    <w:p w:rsidR="00C902E7" w:rsidRDefault="00C902E7" w:rsidP="00885765">
      <w:pPr>
        <w:tabs>
          <w:tab w:val="left" w:pos="9648"/>
        </w:tabs>
        <w:jc w:val="both"/>
        <w:outlineLvl w:val="0"/>
      </w:pPr>
    </w:p>
    <w:p w:rsidR="006060CE" w:rsidRPr="00951210" w:rsidRDefault="00355919" w:rsidP="00885765">
      <w:pPr>
        <w:tabs>
          <w:tab w:val="left" w:pos="9648"/>
        </w:tabs>
        <w:jc w:val="both"/>
        <w:outlineLvl w:val="0"/>
      </w:pPr>
      <w:r>
        <w:t>Bangladesh, at present, has among the world’s highest rates of underweight and stunting in the world.</w:t>
      </w:r>
      <w:r>
        <w:rPr>
          <w:rStyle w:val="FootnoteReference"/>
        </w:rPr>
        <w:footnoteReference w:id="2"/>
      </w:r>
      <w:r w:rsidR="00885765">
        <w:t xml:space="preserve"> Within Bangladesh, the MDG/F program selected the most poverty prone </w:t>
      </w:r>
      <w:r w:rsidR="006060CE" w:rsidRPr="00951210">
        <w:t xml:space="preserve">division of the country, Barisal Division; an area </w:t>
      </w:r>
      <w:r w:rsidR="00885765" w:rsidRPr="00951210">
        <w:t>in which</w:t>
      </w:r>
      <w:r w:rsidR="006060CE" w:rsidRPr="00951210">
        <w:t xml:space="preserve"> more than half </w:t>
      </w:r>
      <w:r w:rsidR="00885765" w:rsidRPr="00951210">
        <w:t>of the population has been identified as poor by the Bangladesh Bureau of Statistics Income and Expenditure surveys.</w:t>
      </w:r>
      <w:r w:rsidR="006060CE" w:rsidRPr="00951210">
        <w:t xml:space="preserve"> </w:t>
      </w:r>
    </w:p>
    <w:p w:rsidR="006060CE" w:rsidRPr="00951210" w:rsidRDefault="006060CE"/>
    <w:p w:rsidR="00881102" w:rsidRPr="00951210" w:rsidRDefault="00951210" w:rsidP="00951210">
      <w:pPr>
        <w:tabs>
          <w:tab w:val="left" w:pos="9648"/>
        </w:tabs>
        <w:jc w:val="both"/>
      </w:pPr>
      <w:r w:rsidRPr="00951210">
        <w:t>The specific sub-districts (u</w:t>
      </w:r>
      <w:r w:rsidR="00881102" w:rsidRPr="00951210">
        <w:t>pazilas</w:t>
      </w:r>
      <w:r w:rsidRPr="00951210">
        <w:t>) selected for inclusion were those with the highest estimates of extreme poverty in the division.</w:t>
      </w:r>
    </w:p>
    <w:p w:rsidR="00881102" w:rsidRDefault="00881102">
      <w:pPr>
        <w:rPr>
          <w:b/>
        </w:rPr>
      </w:pPr>
    </w:p>
    <w:p w:rsidR="00E0231A" w:rsidRDefault="00951210">
      <w:r>
        <w:t>Within the overall program goal indicated above, the program identified five specific outcomes to be addressed:</w:t>
      </w:r>
    </w:p>
    <w:p w:rsidR="00951210" w:rsidRDefault="00951210"/>
    <w:p w:rsidR="00E0231A" w:rsidRPr="00951210" w:rsidRDefault="00E0231A" w:rsidP="00951210">
      <w:pPr>
        <w:pStyle w:val="ListParagraph"/>
        <w:numPr>
          <w:ilvl w:val="0"/>
          <w:numId w:val="9"/>
        </w:numPr>
      </w:pPr>
      <w:r w:rsidRPr="00951210">
        <w:rPr>
          <w:i/>
        </w:rPr>
        <w:t>Outcome-1</w:t>
      </w:r>
      <w:r w:rsidRPr="00951210">
        <w:t xml:space="preserve"> </w:t>
      </w:r>
      <w:r w:rsidR="00951210">
        <w:t xml:space="preserve">was </w:t>
      </w:r>
      <w:r w:rsidR="00951210" w:rsidRPr="00951210">
        <w:t xml:space="preserve">designed to </w:t>
      </w:r>
      <w:r w:rsidRPr="00951210">
        <w:t>reduce the prevalence of acute malnutrition a</w:t>
      </w:r>
      <w:r w:rsidR="00951210" w:rsidRPr="00951210">
        <w:t>nd underweight incidence using the</w:t>
      </w:r>
      <w:r w:rsidRPr="00951210">
        <w:t xml:space="preserve"> Community Management of Acute Malnutrition (CMAM) approach.  Malnourished young children between the age</w:t>
      </w:r>
      <w:r w:rsidR="00951210" w:rsidRPr="00951210">
        <w:t>s</w:t>
      </w:r>
      <w:r w:rsidRPr="00951210">
        <w:t xml:space="preserve"> of 0-59 months receive</w:t>
      </w:r>
      <w:r w:rsidR="00951210" w:rsidRPr="00951210">
        <w:t xml:space="preserve">d assistance through internationally recognized </w:t>
      </w:r>
      <w:r w:rsidRPr="00951210">
        <w:t xml:space="preserve"> feeding</w:t>
      </w:r>
      <w:r w:rsidR="00951210" w:rsidRPr="00951210">
        <w:t>, care and counseling regimens carried out at community clinics (with referral to higher level facilities in cases of accompanying complications.</w:t>
      </w:r>
      <w:r w:rsidR="00ED7556">
        <w:t>)</w:t>
      </w:r>
      <w:r w:rsidRPr="00951210">
        <w:t xml:space="preserve"> Similarly, malnourished pregnant and/or lactating women </w:t>
      </w:r>
      <w:r w:rsidR="00951210" w:rsidRPr="00951210">
        <w:t>received</w:t>
      </w:r>
      <w:r w:rsidRPr="00951210">
        <w:t xml:space="preserve"> </w:t>
      </w:r>
      <w:r w:rsidR="00951210" w:rsidRPr="00951210">
        <w:t xml:space="preserve">food and </w:t>
      </w:r>
      <w:r w:rsidRPr="00951210">
        <w:t xml:space="preserve">specialized assistance. </w:t>
      </w:r>
    </w:p>
    <w:p w:rsidR="00951210" w:rsidRDefault="00951210" w:rsidP="00951210">
      <w:pPr>
        <w:pStyle w:val="ListParagraph"/>
        <w:rPr>
          <w:sz w:val="22"/>
          <w:szCs w:val="22"/>
        </w:rPr>
      </w:pPr>
    </w:p>
    <w:p w:rsidR="00951210" w:rsidRPr="00951210" w:rsidRDefault="00E0231A" w:rsidP="00951210">
      <w:pPr>
        <w:pStyle w:val="ListParagraph"/>
        <w:numPr>
          <w:ilvl w:val="0"/>
          <w:numId w:val="9"/>
        </w:numPr>
      </w:pPr>
      <w:r w:rsidRPr="00951210">
        <w:rPr>
          <w:i/>
        </w:rPr>
        <w:t>Outcome-2</w:t>
      </w:r>
      <w:r w:rsidRPr="00951210">
        <w:t xml:space="preserve"> w</w:t>
      </w:r>
      <w:r w:rsidR="00951210" w:rsidRPr="00951210">
        <w:t>as designed to</w:t>
      </w:r>
      <w:r w:rsidRPr="00951210">
        <w:t xml:space="preserve"> improve </w:t>
      </w:r>
      <w:r w:rsidR="00ED7556">
        <w:t xml:space="preserve">household </w:t>
      </w:r>
      <w:r w:rsidRPr="00951210">
        <w:t xml:space="preserve">food security through agriculture, homestead food production, and nutrition training.  Income generating activities </w:t>
      </w:r>
      <w:r w:rsidR="00951210" w:rsidRPr="00951210">
        <w:t>including</w:t>
      </w:r>
      <w:r w:rsidRPr="00951210">
        <w:t xml:space="preserve"> small livestock rearing, and the marketing of surplus agricultural produce </w:t>
      </w:r>
      <w:r w:rsidR="00E72185">
        <w:t>were</w:t>
      </w:r>
      <w:r w:rsidR="00951210" w:rsidRPr="00951210">
        <w:t xml:space="preserve"> designed </w:t>
      </w:r>
      <w:r w:rsidRPr="00951210">
        <w:t xml:space="preserve">to increase the income earned by women, thereby contributing to </w:t>
      </w:r>
      <w:r w:rsidR="00951210" w:rsidRPr="00951210">
        <w:t xml:space="preserve">their </w:t>
      </w:r>
      <w:r w:rsidRPr="00951210">
        <w:t>economic empowerment.  Women w</w:t>
      </w:r>
      <w:r w:rsidR="00951210" w:rsidRPr="00951210">
        <w:t>ere</w:t>
      </w:r>
      <w:r w:rsidRPr="00951210">
        <w:t xml:space="preserve"> mobilized into groups with group members receiving training in agro-processing, food marketing, </w:t>
      </w:r>
      <w:r w:rsidR="00951210" w:rsidRPr="00951210">
        <w:t xml:space="preserve">and </w:t>
      </w:r>
      <w:r w:rsidRPr="00951210">
        <w:t>small business management</w:t>
      </w:r>
      <w:r w:rsidR="00951210" w:rsidRPr="00951210">
        <w:t>.</w:t>
      </w:r>
    </w:p>
    <w:p w:rsidR="00951210" w:rsidRPr="00951210" w:rsidRDefault="00951210" w:rsidP="00951210">
      <w:pPr>
        <w:rPr>
          <w:sz w:val="22"/>
          <w:szCs w:val="22"/>
        </w:rPr>
      </w:pPr>
    </w:p>
    <w:p w:rsidR="00AC0897" w:rsidRPr="00AC0897" w:rsidRDefault="00E0231A" w:rsidP="00AC0897">
      <w:pPr>
        <w:pStyle w:val="ListParagraph"/>
        <w:numPr>
          <w:ilvl w:val="0"/>
          <w:numId w:val="9"/>
        </w:numPr>
      </w:pPr>
      <w:r w:rsidRPr="00AC0897">
        <w:rPr>
          <w:i/>
        </w:rPr>
        <w:t>Outcome-3</w:t>
      </w:r>
      <w:r w:rsidR="00AC0897" w:rsidRPr="00AC0897">
        <w:t xml:space="preserve"> focused</w:t>
      </w:r>
      <w:r w:rsidRPr="00AC0897">
        <w:t xml:space="preserve"> on improved learning and nutr</w:t>
      </w:r>
      <w:r w:rsidR="00AC0897" w:rsidRPr="00AC0897">
        <w:t>ition awareness among</w:t>
      </w:r>
      <w:r w:rsidRPr="00AC0897">
        <w:t xml:space="preserve"> primary school</w:t>
      </w:r>
      <w:r w:rsidR="00AC0897" w:rsidRPr="00AC0897">
        <w:t xml:space="preserve"> students</w:t>
      </w:r>
      <w:r w:rsidRPr="00AC0897">
        <w:t xml:space="preserve">.  </w:t>
      </w:r>
      <w:r w:rsidR="00AC0897" w:rsidRPr="00AC0897">
        <w:t>Nutrition education was coupled with school gardening with the idea that these children would serve as change agents in their own households while, at the same time, learning important life skills for their own lives as adults. School feeding was provided both to boost active learning capacity and to increase enrollment and attendance.</w:t>
      </w:r>
    </w:p>
    <w:p w:rsidR="00AC0897" w:rsidRPr="00AC0897" w:rsidRDefault="00AC0897" w:rsidP="00AC0897">
      <w:pPr>
        <w:rPr>
          <w:sz w:val="22"/>
          <w:szCs w:val="22"/>
        </w:rPr>
      </w:pPr>
    </w:p>
    <w:p w:rsidR="00AC0897" w:rsidRPr="00AC0897" w:rsidRDefault="00E0231A" w:rsidP="00AC0897">
      <w:pPr>
        <w:pStyle w:val="ListParagraph"/>
        <w:numPr>
          <w:ilvl w:val="0"/>
          <w:numId w:val="9"/>
        </w:numPr>
      </w:pPr>
      <w:r w:rsidRPr="00AC0897">
        <w:rPr>
          <w:i/>
        </w:rPr>
        <w:t>Outcome-4</w:t>
      </w:r>
      <w:r w:rsidR="00AC0897" w:rsidRPr="00AC0897">
        <w:t xml:space="preserve"> addressed anemia reduction through the distribution of micronutrient supplements to young children – multi micronutrient powders (MNP), and to pregnant and lactating women – iron/folate tablets.</w:t>
      </w:r>
    </w:p>
    <w:p w:rsidR="00AC0897" w:rsidRPr="00AC0897" w:rsidRDefault="00AC0897" w:rsidP="00AC0897"/>
    <w:p w:rsidR="00E0231A" w:rsidRPr="00ED7556" w:rsidRDefault="00E0231A" w:rsidP="00AC0897">
      <w:pPr>
        <w:pStyle w:val="ListParagraph"/>
        <w:numPr>
          <w:ilvl w:val="0"/>
          <w:numId w:val="9"/>
        </w:numPr>
      </w:pPr>
      <w:r w:rsidRPr="00ED7556">
        <w:rPr>
          <w:i/>
          <w:lang w:val="en-GB"/>
        </w:rPr>
        <w:t>Outcome-5</w:t>
      </w:r>
      <w:r w:rsidRPr="00ED7556">
        <w:rPr>
          <w:lang w:val="en-GB"/>
        </w:rPr>
        <w:t xml:space="preserve"> </w:t>
      </w:r>
      <w:r w:rsidR="00AC0897" w:rsidRPr="00ED7556">
        <w:rPr>
          <w:lang w:val="en-GB"/>
        </w:rPr>
        <w:t>focused</w:t>
      </w:r>
      <w:r w:rsidRPr="00ED7556">
        <w:rPr>
          <w:lang w:val="en-GB"/>
        </w:rPr>
        <w:t xml:space="preserve"> on </w:t>
      </w:r>
      <w:r w:rsidR="00AC0897" w:rsidRPr="00ED7556">
        <w:rPr>
          <w:lang w:val="en-GB"/>
        </w:rPr>
        <w:t xml:space="preserve">the </w:t>
      </w:r>
      <w:r w:rsidRPr="00ED7556">
        <w:rPr>
          <w:lang w:val="en-GB"/>
        </w:rPr>
        <w:t xml:space="preserve">strengthening </w:t>
      </w:r>
      <w:r w:rsidR="00AC0897" w:rsidRPr="00ED7556">
        <w:rPr>
          <w:lang w:val="en-GB"/>
        </w:rPr>
        <w:t xml:space="preserve">of </w:t>
      </w:r>
      <w:r w:rsidRPr="00ED7556">
        <w:rPr>
          <w:lang w:val="en-GB"/>
        </w:rPr>
        <w:t xml:space="preserve">existing food security and nutrition information systems </w:t>
      </w:r>
      <w:r w:rsidR="00AC0897" w:rsidRPr="00ED7556">
        <w:rPr>
          <w:lang w:val="en-GB"/>
        </w:rPr>
        <w:t>and provided information essential for nutrition and food security improvement in the country.</w:t>
      </w:r>
      <w:r w:rsidR="00AC0897" w:rsidRPr="00ED7556">
        <w:t xml:space="preserve"> </w:t>
      </w:r>
    </w:p>
    <w:p w:rsidR="00FD5A47" w:rsidRDefault="00B81B41" w:rsidP="00E13B20">
      <w:pPr>
        <w:tabs>
          <w:tab w:val="left" w:pos="9648"/>
        </w:tabs>
        <w:autoSpaceDE w:val="0"/>
        <w:autoSpaceDN w:val="0"/>
        <w:adjustRightInd w:val="0"/>
        <w:spacing w:before="240"/>
        <w:jc w:val="both"/>
      </w:pPr>
      <w:r>
        <w:t>The appendix</w:t>
      </w:r>
      <w:r w:rsidR="00FD5A47">
        <w:t xml:space="preserve"> presents a results</w:t>
      </w:r>
      <w:r>
        <w:t xml:space="preserve"> chain logframe of the program as a whole with each of these outcomes identified. The logframe in this case excludes the program inputs and focuses instead on the outputs/activities, two columns of intermediate outcomes, and the impacts.</w:t>
      </w:r>
    </w:p>
    <w:p w:rsidR="00AC0897" w:rsidRDefault="00EE0EAC" w:rsidP="00E13B20">
      <w:pPr>
        <w:tabs>
          <w:tab w:val="left" w:pos="9648"/>
        </w:tabs>
        <w:autoSpaceDE w:val="0"/>
        <w:autoSpaceDN w:val="0"/>
        <w:adjustRightInd w:val="0"/>
        <w:spacing w:before="240"/>
        <w:jc w:val="both"/>
      </w:pPr>
      <w:r>
        <w:t>One</w:t>
      </w:r>
      <w:r w:rsidR="00AC0897">
        <w:t xml:space="preserve"> primary question from the outset </w:t>
      </w:r>
      <w:r w:rsidR="00ED7556">
        <w:t xml:space="preserve">of the program </w:t>
      </w:r>
      <w:r w:rsidR="00AC0897">
        <w:t>was whether the advantages of cooperative program efforts by these government entities and three UN agencies would exceed the</w:t>
      </w:r>
      <w:r w:rsidR="00ED7556">
        <w:t xml:space="preserve"> inevitable</w:t>
      </w:r>
      <w:r w:rsidR="00AC0897">
        <w:t xml:space="preserve"> “transaction” costs </w:t>
      </w:r>
      <w:r w:rsidR="00ED7556">
        <w:t>resulting from</w:t>
      </w:r>
      <w:r w:rsidR="00484012">
        <w:t xml:space="preserve"> differing planning, budgetary allocation and review processes. The opportunity, however, to undertake both nutrition-specific and nutrition-sensitive interventions in these desperately vulnerable areas of the country </w:t>
      </w:r>
      <w:r>
        <w:t>provided an unusual buoyancy to the undertaking, which, as detailed below, proved highly successful.</w:t>
      </w:r>
    </w:p>
    <w:p w:rsidR="00B81B41" w:rsidRPr="00BF03C1" w:rsidRDefault="00B81B41" w:rsidP="00E13B20">
      <w:pPr>
        <w:tabs>
          <w:tab w:val="left" w:pos="9648"/>
        </w:tabs>
        <w:autoSpaceDE w:val="0"/>
        <w:autoSpaceDN w:val="0"/>
        <w:adjustRightInd w:val="0"/>
        <w:spacing w:before="240"/>
        <w:jc w:val="both"/>
      </w:pPr>
      <w:r>
        <w:t xml:space="preserve">Administration of the program involved the establishment of a National Steering </w:t>
      </w:r>
      <w:r w:rsidR="00ED7556">
        <w:t>Committee, and, more importantly,</w:t>
      </w:r>
      <w:r>
        <w:t xml:space="preserve"> a Program Management Committee (PMC)</w:t>
      </w:r>
      <w:r w:rsidRPr="00B81B41">
        <w:rPr>
          <w:sz w:val="22"/>
          <w:szCs w:val="22"/>
        </w:rPr>
        <w:t xml:space="preserve"> </w:t>
      </w:r>
      <w:r w:rsidR="00BF03C1" w:rsidRPr="00BF03C1">
        <w:t>comprised of implementing UN agency r</w:t>
      </w:r>
      <w:r w:rsidRPr="00BF03C1">
        <w:t>epresentatives</w:t>
      </w:r>
      <w:r w:rsidR="00BF03C1" w:rsidRPr="00BF03C1">
        <w:t>, focal p</w:t>
      </w:r>
      <w:r w:rsidRPr="00BF03C1">
        <w:t>oints from the Government and NGO partners</w:t>
      </w:r>
      <w:r w:rsidR="00BF03C1" w:rsidRPr="00BF03C1">
        <w:t>. WFP was designated as the “lead agency” responsible for operational coordination.</w:t>
      </w:r>
      <w:r w:rsidRPr="00BF03C1">
        <w:t xml:space="preserve"> </w:t>
      </w:r>
    </w:p>
    <w:p w:rsidR="00EE0EAC" w:rsidRDefault="00EE0EAC" w:rsidP="00E13B20">
      <w:pPr>
        <w:tabs>
          <w:tab w:val="left" w:pos="9648"/>
        </w:tabs>
        <w:autoSpaceDE w:val="0"/>
        <w:autoSpaceDN w:val="0"/>
        <w:adjustRightInd w:val="0"/>
        <w:spacing w:before="240"/>
        <w:jc w:val="both"/>
      </w:pPr>
      <w:r>
        <w:t>A second primary question</w:t>
      </w:r>
      <w:r w:rsidR="00FD5A47">
        <w:t xml:space="preserve"> was whether the effort would prove sustainable</w:t>
      </w:r>
      <w:r>
        <w:t xml:space="preserve">. </w:t>
      </w:r>
      <w:r w:rsidR="00FD5A47">
        <w:t>As indicated in the analysis below, some but not all program activities are being absorbed into larger national programs. More important than the continuation of specific activities in these particular geographic areas in this case, however, may be the utilization of this convergence model as a whole by the Bangladesh Government and its development partners.</w:t>
      </w:r>
    </w:p>
    <w:p w:rsidR="00FD02C6" w:rsidRDefault="00FD02C6" w:rsidP="00E13B20">
      <w:pPr>
        <w:tabs>
          <w:tab w:val="left" w:pos="9648"/>
        </w:tabs>
        <w:autoSpaceDE w:val="0"/>
        <w:autoSpaceDN w:val="0"/>
        <w:adjustRightInd w:val="0"/>
        <w:spacing w:before="240"/>
        <w:jc w:val="both"/>
      </w:pPr>
      <w:r>
        <w:t>This final evaluation report</w:t>
      </w:r>
      <w:r w:rsidR="00BF03C1">
        <w:t xml:space="preserve"> </w:t>
      </w:r>
      <w:r w:rsidR="000B2109">
        <w:t>discusses the quantitative fin</w:t>
      </w:r>
      <w:r>
        <w:t>dings of the endline evaluation and</w:t>
      </w:r>
      <w:r w:rsidR="008F3653">
        <w:t xml:space="preserve"> </w:t>
      </w:r>
      <w:r w:rsidR="00BF03C1">
        <w:t>utilizes the program constrai</w:t>
      </w:r>
      <w:r w:rsidR="00D258FE">
        <w:t xml:space="preserve">nts assessment </w:t>
      </w:r>
      <w:r>
        <w:t xml:space="preserve">(PCA) </w:t>
      </w:r>
      <w:r w:rsidR="00D258FE">
        <w:t>tool (see Figure</w:t>
      </w:r>
      <w:r w:rsidR="00ED7556">
        <w:t xml:space="preserve"> 1</w:t>
      </w:r>
      <w:r w:rsidR="00BF03C1">
        <w:t>) to capture the constraints identified by on-the-ground project managers</w:t>
      </w:r>
      <w:r w:rsidR="00770A75">
        <w:t xml:space="preserve"> (including managers of the local NGOs, Muslim Aid and Shus</w:t>
      </w:r>
      <w:r w:rsidR="00485092">
        <w:t>h</w:t>
      </w:r>
      <w:r w:rsidR="00770A75">
        <w:t>ilan</w:t>
      </w:r>
      <w:r w:rsidR="00BF03C1">
        <w:t>,</w:t>
      </w:r>
      <w:r w:rsidR="00770A75">
        <w:t xml:space="preserve"> which operated specific program services diligently and responsibly),</w:t>
      </w:r>
      <w:r w:rsidR="00BF03C1">
        <w:t xml:space="preserve"> service providers and beneficiaries</w:t>
      </w:r>
      <w:r>
        <w:t xml:space="preserve">. The PCA also captures, for each of the program outcomes plus women’s empowerment and pregnancy behaviors, </w:t>
      </w:r>
      <w:r w:rsidR="00BF03C1">
        <w:t xml:space="preserve">the suggestions offered </w:t>
      </w:r>
      <w:r>
        <w:t xml:space="preserve">by stakeholders as means of overcoming the constraints identified. </w:t>
      </w:r>
    </w:p>
    <w:p w:rsidR="00FD02C6" w:rsidRDefault="00FD02C6" w:rsidP="00E13B20">
      <w:pPr>
        <w:tabs>
          <w:tab w:val="left" w:pos="9648"/>
        </w:tabs>
        <w:autoSpaceDE w:val="0"/>
        <w:autoSpaceDN w:val="0"/>
        <w:adjustRightInd w:val="0"/>
        <w:spacing w:before="240"/>
        <w:jc w:val="both"/>
      </w:pPr>
    </w:p>
    <w:p w:rsidR="00EE0EAC" w:rsidRPr="00AC0897" w:rsidRDefault="00FD02C6" w:rsidP="00E13B20">
      <w:pPr>
        <w:tabs>
          <w:tab w:val="left" w:pos="9648"/>
        </w:tabs>
        <w:autoSpaceDE w:val="0"/>
        <w:autoSpaceDN w:val="0"/>
        <w:adjustRightInd w:val="0"/>
        <w:spacing w:before="240"/>
        <w:jc w:val="both"/>
      </w:pPr>
      <w:r>
        <w:t xml:space="preserve">The report also </w:t>
      </w:r>
      <w:r w:rsidR="000B2109">
        <w:t>presents a summary of progra</w:t>
      </w:r>
      <w:r w:rsidR="00ED7556">
        <w:t>m component costing</w:t>
      </w:r>
      <w:r w:rsidR="003735E5">
        <w:t xml:space="preserve">, of operating efficiency, of capacity development and of </w:t>
      </w:r>
      <w:r>
        <w:t>governance</w:t>
      </w:r>
      <w:r w:rsidR="00ED7556">
        <w:t>;</w:t>
      </w:r>
      <w:r w:rsidR="000B2109">
        <w:t xml:space="preserve"> offers a discussion of larger program issues </w:t>
      </w:r>
      <w:r w:rsidR="003735E5">
        <w:t xml:space="preserve">including relevance to government policy </w:t>
      </w:r>
      <w:r w:rsidR="000B2109">
        <w:t>and the per</w:t>
      </w:r>
      <w:r w:rsidR="00ED7556">
        <w:t>ceptions of UN agency officials;</w:t>
      </w:r>
      <w:r w:rsidR="000B2109">
        <w:t xml:space="preserve"> discusses the importance</w:t>
      </w:r>
      <w:r w:rsidR="00ED7556">
        <w:t xml:space="preserve"> of a sustainability evaluation;</w:t>
      </w:r>
      <w:r>
        <w:t xml:space="preserve"> and offers</w:t>
      </w:r>
      <w:r w:rsidR="000B2109">
        <w:t xml:space="preserve"> a set of three options for the future</w:t>
      </w:r>
      <w:r w:rsidR="00BF03C1">
        <w:t xml:space="preserve"> </w:t>
      </w:r>
      <w:r w:rsidR="000B2109">
        <w:t>plus concluding commentary</w:t>
      </w:r>
      <w:r>
        <w:t>, lessons learned and recommendations</w:t>
      </w:r>
      <w:r w:rsidR="000B2109">
        <w:t>.</w:t>
      </w:r>
    </w:p>
    <w:p w:rsidR="00E13B20" w:rsidRDefault="00E13B20">
      <w:pPr>
        <w:rPr>
          <w:b/>
        </w:rPr>
      </w:pPr>
    </w:p>
    <w:p w:rsidR="00F65CEA" w:rsidRDefault="00F65CEA">
      <w:pPr>
        <w:rPr>
          <w:rFonts w:eastAsiaTheme="majorEastAsia" w:cstheme="majorBidi"/>
          <w:b/>
          <w:bCs/>
          <w:color w:val="000000" w:themeColor="text1"/>
          <w:szCs w:val="32"/>
        </w:rPr>
      </w:pPr>
      <w:r>
        <w:br w:type="page"/>
      </w:r>
    </w:p>
    <w:p w:rsidR="00BF1A93" w:rsidRDefault="00BF1A93" w:rsidP="00F65CEA">
      <w:pPr>
        <w:pStyle w:val="Heading1"/>
      </w:pPr>
      <w:bookmarkStart w:id="3" w:name="_Toc236372988"/>
      <w:r>
        <w:t>Quantitative Data Review</w:t>
      </w:r>
      <w:bookmarkEnd w:id="3"/>
    </w:p>
    <w:p w:rsidR="00BF1A93" w:rsidRDefault="00BF1A93" w:rsidP="00BF1A93">
      <w:pPr>
        <w:rPr>
          <w:b/>
        </w:rPr>
      </w:pPr>
    </w:p>
    <w:p w:rsidR="00BF1A93" w:rsidRDefault="00BF1A93" w:rsidP="00BF1A93">
      <w:r>
        <w:t xml:space="preserve">An endline evaluation survey was carried out by Eminence Associates for Social Development. </w:t>
      </w:r>
      <w:r w:rsidR="00D258FE">
        <w:t>This survey</w:t>
      </w:r>
      <w:r w:rsidR="005717F3">
        <w:t>, when completed,</w:t>
      </w:r>
      <w:r w:rsidR="00D258FE">
        <w:t xml:space="preserve"> will stand as a program document in and of itself. </w:t>
      </w:r>
      <w:r>
        <w:t>Reference is made throughout this report to evaluation findings, with pre-post and program-control comparisons made whenever possible. Partic</w:t>
      </w:r>
      <w:r w:rsidR="00ED7556">
        <w:t xml:space="preserve">ularly valuable results </w:t>
      </w:r>
      <w:r w:rsidR="00D258FE">
        <w:t xml:space="preserve">from the endline survey </w:t>
      </w:r>
      <w:r w:rsidR="00ED7556">
        <w:t>relate</w:t>
      </w:r>
      <w:r>
        <w:t xml:space="preserve"> to the food security component, to pregnancy behaviors and to women’s empowerment, and these are reflected in the report. At this writing, results are awaited on the effects of the program on the hemoglobin testing.</w:t>
      </w:r>
    </w:p>
    <w:p w:rsidR="00BF1A93" w:rsidRDefault="00BF1A93" w:rsidP="00BF1A93"/>
    <w:p w:rsidR="00BF1A93" w:rsidRDefault="00BF1A93" w:rsidP="00BF1A93">
      <w:r>
        <w:t xml:space="preserve">In the absence of </w:t>
      </w:r>
      <w:r w:rsidR="005717F3">
        <w:t xml:space="preserve">complete and </w:t>
      </w:r>
      <w:r>
        <w:t>internally consistent data on children’s nutrition status</w:t>
      </w:r>
      <w:r w:rsidR="005717F3">
        <w:t xml:space="preserve"> at this writing</w:t>
      </w:r>
      <w:r>
        <w:t>, the report has utilized program monitoring data. Although lacking a control group comparison, the data indicates that child wasting was significantly reduced and in some cases virtually eliminated in program areas. The prevalence of severe acute malnutrition (SAM) in children under age 5 fell to zero from initial prevalence rates of between 2.12% and 0.89%, rising subsequently only to 0.02% and 0.04%. Moderate acute malnutrition fell from between 9 and 11% to 1% with rare occasions of relapse. Malnutrition in pregnant and lactating women using mid-upper ar</w:t>
      </w:r>
      <w:r w:rsidR="00946CCA">
        <w:t>m circumference (MUAC) tapes – a</w:t>
      </w:r>
      <w:r>
        <w:t>n inadequate measure when used alone, fell less sharply – from 7.0 percent to 5.1%.</w:t>
      </w:r>
    </w:p>
    <w:p w:rsidR="00BF1A93" w:rsidRDefault="00BF1A93" w:rsidP="00BF1A93"/>
    <w:p w:rsidR="00BF1A93" w:rsidRDefault="00BF1A93" w:rsidP="00BF1A93">
      <w:r>
        <w:t>Monitoring data, of course, captures only those children and mothers who were screened by the program. Use of the data assumes that the coverage of screening was near universal in program areas.</w:t>
      </w:r>
    </w:p>
    <w:p w:rsidR="00990960" w:rsidRDefault="00990960" w:rsidP="00BF1A93"/>
    <w:p w:rsidR="00990960" w:rsidRDefault="00990960" w:rsidP="00BF1A93">
      <w:r>
        <w:t xml:space="preserve">The data collection in the endline evaluation survey also permitted positive deviance analysis. Such analysis looks only at the poorest 50% of households in program areas and asks the question: “What </w:t>
      </w:r>
      <w:r w:rsidR="005A5E68">
        <w:t>are households with well growing children or healthy pregnant women doing that households with malnourished children or pregnant women are not doing?”</w:t>
      </w:r>
      <w:r w:rsidR="005A5E68">
        <w:rPr>
          <w:rStyle w:val="FootnoteReference"/>
        </w:rPr>
        <w:footnoteReference w:id="3"/>
      </w:r>
      <w:r w:rsidR="005A5E68">
        <w:t xml:space="preserve"> </w:t>
      </w:r>
      <w:r w:rsidR="00946CCA">
        <w:t xml:space="preserve"> Unfortunately, the data analysis to date has not identified positive deviance characteristics relating to nutrition in young children or pregnant/lactating women.</w:t>
      </w:r>
      <w:r>
        <w:t xml:space="preserve"> </w:t>
      </w:r>
    </w:p>
    <w:p w:rsidR="00BF1A93" w:rsidRDefault="00BF1A93" w:rsidP="00BF1A93"/>
    <w:p w:rsidR="00BF1A93" w:rsidRDefault="00BF1A93" w:rsidP="00BF1A93">
      <w:r>
        <w:t>Other survey data is presented in the sections that follow.</w:t>
      </w:r>
    </w:p>
    <w:p w:rsidR="00635626" w:rsidRDefault="00635626">
      <w:pPr>
        <w:rPr>
          <w:b/>
        </w:rPr>
      </w:pPr>
    </w:p>
    <w:p w:rsidR="00635626" w:rsidRDefault="00635626">
      <w:pPr>
        <w:rPr>
          <w:b/>
        </w:rPr>
      </w:pPr>
    </w:p>
    <w:p w:rsidR="00635626" w:rsidRDefault="00635626">
      <w:pPr>
        <w:rPr>
          <w:b/>
        </w:rPr>
      </w:pPr>
    </w:p>
    <w:p w:rsidR="00635626" w:rsidRDefault="00635626">
      <w:pPr>
        <w:rPr>
          <w:b/>
        </w:rPr>
      </w:pPr>
    </w:p>
    <w:p w:rsidR="00A709D9" w:rsidRPr="00D258FE" w:rsidRDefault="00F65CEA" w:rsidP="00D258FE">
      <w:pPr>
        <w:rPr>
          <w:b/>
        </w:rPr>
      </w:pPr>
      <w:r>
        <w:rPr>
          <w:b/>
        </w:rPr>
        <w:br w:type="page"/>
      </w:r>
      <w:bookmarkStart w:id="4" w:name="_Toc234064067"/>
      <w:r w:rsidR="00A709D9" w:rsidRPr="00D258FE">
        <w:rPr>
          <w:b/>
        </w:rPr>
        <w:t xml:space="preserve">Figure </w:t>
      </w:r>
      <w:r w:rsidR="00A709D9" w:rsidRPr="00D258FE">
        <w:rPr>
          <w:b/>
        </w:rPr>
        <w:fldChar w:fldCharType="begin"/>
      </w:r>
      <w:r w:rsidR="00A709D9" w:rsidRPr="00D258FE">
        <w:rPr>
          <w:b/>
        </w:rPr>
        <w:instrText xml:space="preserve"> SEQ Figure \* ARABIC </w:instrText>
      </w:r>
      <w:r w:rsidR="00A709D9" w:rsidRPr="00D258FE">
        <w:rPr>
          <w:b/>
        </w:rPr>
        <w:fldChar w:fldCharType="separate"/>
      </w:r>
      <w:r w:rsidR="009B1310" w:rsidRPr="00D258FE">
        <w:rPr>
          <w:b/>
          <w:noProof/>
        </w:rPr>
        <w:t>1</w:t>
      </w:r>
      <w:r w:rsidR="00A709D9" w:rsidRPr="00D258FE">
        <w:rPr>
          <w:b/>
        </w:rPr>
        <w:fldChar w:fldCharType="end"/>
      </w:r>
      <w:r w:rsidR="00A709D9" w:rsidRPr="00D258FE">
        <w:rPr>
          <w:b/>
        </w:rPr>
        <w:t>: The Program Constraints Assessment</w:t>
      </w:r>
      <w:bookmarkEnd w:id="4"/>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56"/>
      </w:tblGrid>
      <w:tr w:rsidR="00A709D9" w:rsidTr="00A709D9">
        <w:trPr>
          <w:trHeight w:val="6110"/>
        </w:trPr>
        <w:tc>
          <w:tcPr>
            <w:tcW w:w="8856" w:type="dxa"/>
            <w:vAlign w:val="center"/>
          </w:tcPr>
          <w:p w:rsidR="00A709D9" w:rsidRDefault="00A709D9" w:rsidP="00A709D9">
            <w:r>
              <w:t>The program constraints assessment (PCA) is a cutting-edge M&amp;E tool, used often as a qualitative complement to a quantitative mid-term evaluation. In this case, the PCA is used to identify weak links in program components that should be addressed in new follow-on programs or as these components are picked up by ongoing national programs. The PCA involves interviews or focus group discussions with on-the-ground project managers, service providers and beneficiaries. The information provided is often unusually valuable – coming from individuals who often have relevant first hand experience but are not often asked about it.</w:t>
            </w:r>
          </w:p>
          <w:p w:rsidR="00A709D9" w:rsidRDefault="00A709D9" w:rsidP="00A709D9"/>
          <w:p w:rsidR="00A709D9" w:rsidRDefault="00A709D9" w:rsidP="00A709D9">
            <w:r>
              <w:t>PCA interviews or focus group discussions usually begin by questions on the perceived effectiveness of program components. Then, recognizing that no program is 100% effective, respondents are asked to identify constraints that inhibit effectiveness of the component. Once these are listed, respondents are asked to offer suggestions to address the constraints. These are listed in one of four columns:</w:t>
            </w:r>
          </w:p>
          <w:p w:rsidR="00A709D9" w:rsidRDefault="00A709D9" w:rsidP="00A709D9"/>
          <w:p w:rsidR="00A709D9" w:rsidRDefault="00A709D9" w:rsidP="00A709D9">
            <w:pPr>
              <w:pStyle w:val="ListParagraph"/>
              <w:numPr>
                <w:ilvl w:val="0"/>
                <w:numId w:val="2"/>
              </w:numPr>
            </w:pPr>
            <w:r>
              <w:t>Technical solutions – which can be addressed through refinements at the project level;</w:t>
            </w:r>
          </w:p>
          <w:p w:rsidR="00A709D9" w:rsidRDefault="00A709D9" w:rsidP="00A709D9">
            <w:pPr>
              <w:pStyle w:val="ListParagraph"/>
              <w:numPr>
                <w:ilvl w:val="0"/>
                <w:numId w:val="2"/>
              </w:numPr>
            </w:pPr>
            <w:r>
              <w:t>Policy solutions – requiring higher level policy action or change;</w:t>
            </w:r>
          </w:p>
          <w:p w:rsidR="00A709D9" w:rsidRDefault="00A709D9" w:rsidP="00A709D9">
            <w:pPr>
              <w:pStyle w:val="ListParagraph"/>
              <w:numPr>
                <w:ilvl w:val="0"/>
                <w:numId w:val="2"/>
              </w:numPr>
            </w:pPr>
            <w:r>
              <w:t>Research or Training solutions – where action is needed in the training of service providers or in providing answers to information gaps inhibiting the program component.</w:t>
            </w:r>
          </w:p>
        </w:tc>
      </w:tr>
    </w:tbl>
    <w:p w:rsidR="00A709D9" w:rsidRDefault="00A709D9" w:rsidP="00A709D9"/>
    <w:p w:rsidR="00CD30A8" w:rsidRDefault="00CD30A8" w:rsidP="00CE3BD3">
      <w:pPr>
        <w:rPr>
          <w:b/>
        </w:rPr>
      </w:pPr>
    </w:p>
    <w:p w:rsidR="00961009" w:rsidRPr="00961009" w:rsidRDefault="00961009" w:rsidP="00F65CEA">
      <w:pPr>
        <w:pStyle w:val="Heading1"/>
      </w:pPr>
      <w:bookmarkStart w:id="5" w:name="_Toc236372989"/>
      <w:r>
        <w:t>The Screening/CMAM Component</w:t>
      </w:r>
      <w:bookmarkEnd w:id="5"/>
    </w:p>
    <w:p w:rsidR="00961009" w:rsidRPr="00961009" w:rsidRDefault="00961009" w:rsidP="00CE3BD3">
      <w:pPr>
        <w:rPr>
          <w:i/>
        </w:rPr>
      </w:pPr>
    </w:p>
    <w:p w:rsidR="00B5717B" w:rsidRDefault="005852FC" w:rsidP="00CE3BD3">
      <w:r>
        <w:t xml:space="preserve">The PCA findings pertinent to the screening and </w:t>
      </w:r>
      <w:r w:rsidR="000C4E8B">
        <w:t>community-based management of acute malnutrition (</w:t>
      </w:r>
      <w:r>
        <w:t>CMAM</w:t>
      </w:r>
      <w:r w:rsidR="000C4E8B">
        <w:t>)</w:t>
      </w:r>
      <w:r>
        <w:t xml:space="preserve"> component of the program</w:t>
      </w:r>
      <w:r w:rsidR="000C6323">
        <w:t xml:space="preserve"> </w:t>
      </w:r>
      <w:r w:rsidR="00D258FE">
        <w:t xml:space="preserve">and related to </w:t>
      </w:r>
      <w:r w:rsidR="000C6323">
        <w:t>Outcome 1,</w:t>
      </w:r>
      <w:r>
        <w:t xml:space="preserve"> are presented in Figure </w:t>
      </w:r>
      <w:r w:rsidR="00D258FE">
        <w:t>2</w:t>
      </w:r>
      <w:r>
        <w:t xml:space="preserve">. </w:t>
      </w:r>
      <w:r w:rsidR="000C42AA">
        <w:t>Here, a primary concern expressed was the elimination of RUTF from the program with hope expressed that this gap would be filled rapidly with a locally</w:t>
      </w:r>
      <w:r w:rsidR="00961009">
        <w:t xml:space="preserve"> produced substitute. C</w:t>
      </w:r>
      <w:r w:rsidR="000C42AA">
        <w:t>oncerns also were expressed about the impracticality of house to house screening (easy to rectify in most communities with centralized, community-based screening, ideally coupled with other services), about t</w:t>
      </w:r>
      <w:r w:rsidR="00961009">
        <w:t>he challenges of mother-child pairs getting to referral sites</w:t>
      </w:r>
      <w:r w:rsidR="00946CCA">
        <w:t xml:space="preserve">, </w:t>
      </w:r>
      <w:r w:rsidR="00961009">
        <w:t xml:space="preserve">about food secure households receiving food security services, and about the problem of food secure beneficiaries receiving food security services under the program. </w:t>
      </w:r>
    </w:p>
    <w:p w:rsidR="00B5717B" w:rsidRDefault="00B5717B" w:rsidP="00CE3BD3"/>
    <w:p w:rsidR="00BF1A93" w:rsidRDefault="00BF1A93" w:rsidP="00CE3BD3">
      <w:pPr>
        <w:rPr>
          <w:b/>
        </w:rPr>
      </w:pPr>
    </w:p>
    <w:p w:rsidR="00BF1A93" w:rsidRDefault="00BF1A93" w:rsidP="00CE3BD3">
      <w:pPr>
        <w:rPr>
          <w:b/>
        </w:rPr>
      </w:pPr>
    </w:p>
    <w:p w:rsidR="00BF1A93" w:rsidRDefault="00BF1A93" w:rsidP="00CE3BD3">
      <w:pPr>
        <w:rPr>
          <w:b/>
        </w:rPr>
      </w:pPr>
    </w:p>
    <w:p w:rsidR="00946CCA" w:rsidRDefault="00946CCA" w:rsidP="00CE3BD3">
      <w:pPr>
        <w:rPr>
          <w:b/>
        </w:rPr>
      </w:pPr>
    </w:p>
    <w:p w:rsidR="00B8132C" w:rsidRDefault="00B8132C" w:rsidP="0015704E">
      <w:pPr>
        <w:pStyle w:val="Caption"/>
      </w:pPr>
    </w:p>
    <w:p w:rsidR="00635626" w:rsidRDefault="00635626" w:rsidP="0015704E">
      <w:pPr>
        <w:pStyle w:val="Caption"/>
      </w:pPr>
    </w:p>
    <w:p w:rsidR="00D258FE" w:rsidRPr="00D258FE" w:rsidRDefault="00D258FE" w:rsidP="00D258FE"/>
    <w:p w:rsidR="00635626" w:rsidRDefault="00635626" w:rsidP="0015704E">
      <w:pPr>
        <w:pStyle w:val="Caption"/>
      </w:pPr>
      <w:bookmarkStart w:id="6" w:name="_Toc234064068"/>
      <w:r>
        <w:t xml:space="preserve">Figure </w:t>
      </w:r>
      <w:r w:rsidR="007973C1">
        <w:fldChar w:fldCharType="begin"/>
      </w:r>
      <w:r w:rsidR="007973C1">
        <w:instrText xml:space="preserve"> SEQ Figure \* ARABIC </w:instrText>
      </w:r>
      <w:r w:rsidR="007973C1">
        <w:fldChar w:fldCharType="separate"/>
      </w:r>
      <w:r w:rsidR="009B1310">
        <w:rPr>
          <w:noProof/>
        </w:rPr>
        <w:t>2</w:t>
      </w:r>
      <w:r w:rsidR="007973C1">
        <w:rPr>
          <w:noProof/>
        </w:rPr>
        <w:fldChar w:fldCharType="end"/>
      </w:r>
      <w:r>
        <w:t>: Program Constraints Assessment - CMAM</w:t>
      </w:r>
      <w:bookmarkEnd w:id="6"/>
    </w:p>
    <w:tbl>
      <w:tblPr>
        <w:tblStyle w:val="MediumGrid1-Accent1"/>
        <w:tblW w:w="0" w:type="auto"/>
        <w:tblLook w:val="04A0" w:firstRow="1" w:lastRow="0" w:firstColumn="1" w:lastColumn="0" w:noHBand="0" w:noVBand="1"/>
      </w:tblPr>
      <w:tblGrid>
        <w:gridCol w:w="2214"/>
        <w:gridCol w:w="2214"/>
        <w:gridCol w:w="2214"/>
        <w:gridCol w:w="2214"/>
      </w:tblGrid>
      <w:tr w:rsidR="00F65CEA" w:rsidRPr="00B8132C" w:rsidTr="00B81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5CEA" w:rsidRPr="00B8132C" w:rsidRDefault="00B8132C" w:rsidP="00F65CEA">
            <w:pPr>
              <w:jc w:val="center"/>
            </w:pPr>
            <w:r w:rsidRPr="00B8132C">
              <w:t>Constraint</w:t>
            </w:r>
          </w:p>
        </w:tc>
        <w:tc>
          <w:tcPr>
            <w:tcW w:w="2214" w:type="dxa"/>
          </w:tcPr>
          <w:p w:rsidR="00F65CEA" w:rsidRPr="00B8132C" w:rsidRDefault="00F65CEA" w:rsidP="00F65CEA">
            <w:pPr>
              <w:jc w:val="center"/>
              <w:cnfStyle w:val="100000000000" w:firstRow="1" w:lastRow="0" w:firstColumn="0" w:lastColumn="0" w:oddVBand="0" w:evenVBand="0" w:oddHBand="0" w:evenHBand="0" w:firstRowFirstColumn="0" w:firstRowLastColumn="0" w:lastRowFirstColumn="0" w:lastRowLastColumn="0"/>
            </w:pPr>
            <w:r w:rsidRPr="00B8132C">
              <w:t>Technology</w:t>
            </w:r>
            <w:r w:rsidR="00B8132C" w:rsidRPr="00B8132C">
              <w:t xml:space="preserve"> Suggestions</w:t>
            </w:r>
          </w:p>
        </w:tc>
        <w:tc>
          <w:tcPr>
            <w:tcW w:w="2214" w:type="dxa"/>
          </w:tcPr>
          <w:p w:rsidR="00F65CEA" w:rsidRPr="00B8132C" w:rsidRDefault="00F65CEA" w:rsidP="00F65CEA">
            <w:pPr>
              <w:jc w:val="center"/>
              <w:cnfStyle w:val="100000000000" w:firstRow="1" w:lastRow="0" w:firstColumn="0" w:lastColumn="0" w:oddVBand="0" w:evenVBand="0" w:oddHBand="0" w:evenHBand="0" w:firstRowFirstColumn="0" w:firstRowLastColumn="0" w:lastRowFirstColumn="0" w:lastRowLastColumn="0"/>
            </w:pPr>
            <w:r w:rsidRPr="00B8132C">
              <w:t>Policy</w:t>
            </w:r>
            <w:r w:rsidR="00B8132C" w:rsidRPr="00B8132C">
              <w:t xml:space="preserve"> Suggestions</w:t>
            </w:r>
          </w:p>
        </w:tc>
        <w:tc>
          <w:tcPr>
            <w:tcW w:w="2214" w:type="dxa"/>
          </w:tcPr>
          <w:p w:rsidR="00F65CEA" w:rsidRPr="00B8132C" w:rsidRDefault="00F65CEA" w:rsidP="00F65CEA">
            <w:pPr>
              <w:jc w:val="center"/>
              <w:cnfStyle w:val="100000000000" w:firstRow="1" w:lastRow="0" w:firstColumn="0" w:lastColumn="0" w:oddVBand="0" w:evenVBand="0" w:oddHBand="0" w:evenHBand="0" w:firstRowFirstColumn="0" w:firstRowLastColumn="0" w:lastRowFirstColumn="0" w:lastRowLastColumn="0"/>
            </w:pPr>
            <w:r w:rsidRPr="00B8132C">
              <w:t>Research &amp; Training</w:t>
            </w:r>
            <w:r w:rsidR="00B8132C" w:rsidRPr="00B8132C">
              <w:t xml:space="preserve"> Suggestions</w:t>
            </w:r>
          </w:p>
        </w:tc>
      </w:tr>
      <w:tr w:rsidR="00F65CEA" w:rsidRPr="00F65CEA" w:rsidTr="00B81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F65CEA" w:rsidRPr="00B8132C" w:rsidRDefault="00F65CEA" w:rsidP="00F65CEA">
            <w:pPr>
              <w:rPr>
                <w:b w:val="0"/>
              </w:rPr>
            </w:pPr>
            <w:r w:rsidRPr="00B8132C">
              <w:rPr>
                <w:b w:val="0"/>
              </w:rPr>
              <w:t>1. RUTF eliminated</w:t>
            </w:r>
          </w:p>
        </w:tc>
        <w:tc>
          <w:tcPr>
            <w:tcW w:w="2214" w:type="dxa"/>
          </w:tcPr>
          <w:p w:rsidR="00F65CEA" w:rsidRPr="00F65CEA" w:rsidRDefault="00F65CEA" w:rsidP="00F65CEA">
            <w:pPr>
              <w:cnfStyle w:val="000000100000" w:firstRow="0" w:lastRow="0" w:firstColumn="0" w:lastColumn="0" w:oddVBand="0" w:evenVBand="0" w:oddHBand="1" w:evenHBand="0" w:firstRowFirstColumn="0" w:firstRowLastColumn="0" w:lastRowFirstColumn="0" w:lastRowLastColumn="0"/>
            </w:pPr>
          </w:p>
        </w:tc>
        <w:tc>
          <w:tcPr>
            <w:tcW w:w="2214" w:type="dxa"/>
          </w:tcPr>
          <w:p w:rsidR="00F65CEA" w:rsidRPr="00F65CEA" w:rsidRDefault="00F65CEA" w:rsidP="00F65CEA">
            <w:pPr>
              <w:cnfStyle w:val="000000100000" w:firstRow="0" w:lastRow="0" w:firstColumn="0" w:lastColumn="0" w:oddVBand="0" w:evenVBand="0" w:oddHBand="1" w:evenHBand="0" w:firstRowFirstColumn="0" w:firstRowLastColumn="0" w:lastRowFirstColumn="0" w:lastRowLastColumn="0"/>
            </w:pPr>
            <w:r>
              <w:t>Replace rapidly with local substitute</w:t>
            </w:r>
          </w:p>
        </w:tc>
        <w:tc>
          <w:tcPr>
            <w:tcW w:w="2214" w:type="dxa"/>
          </w:tcPr>
          <w:p w:rsidR="00F65CEA" w:rsidRPr="00F65CEA" w:rsidRDefault="00F65CEA" w:rsidP="00F65CEA">
            <w:pPr>
              <w:cnfStyle w:val="000000100000" w:firstRow="0" w:lastRow="0" w:firstColumn="0" w:lastColumn="0" w:oddVBand="0" w:evenVBand="0" w:oddHBand="1" w:evenHBand="0" w:firstRowFirstColumn="0" w:firstRowLastColumn="0" w:lastRowFirstColumn="0" w:lastRowLastColumn="0"/>
            </w:pPr>
            <w:r>
              <w:t>Expedite development of local substitute</w:t>
            </w:r>
          </w:p>
        </w:tc>
      </w:tr>
      <w:tr w:rsidR="00F65CEA" w:rsidRPr="00F65CEA" w:rsidTr="00B8132C">
        <w:tc>
          <w:tcPr>
            <w:cnfStyle w:val="001000000000" w:firstRow="0" w:lastRow="0" w:firstColumn="1" w:lastColumn="0" w:oddVBand="0" w:evenVBand="0" w:oddHBand="0" w:evenHBand="0" w:firstRowFirstColumn="0" w:firstRowLastColumn="0" w:lastRowFirstColumn="0" w:lastRowLastColumn="0"/>
            <w:tcW w:w="2214" w:type="dxa"/>
          </w:tcPr>
          <w:p w:rsidR="00F65CEA" w:rsidRPr="00B8132C" w:rsidRDefault="00F65CEA" w:rsidP="00F65CEA">
            <w:pPr>
              <w:rPr>
                <w:b w:val="0"/>
              </w:rPr>
            </w:pPr>
            <w:r w:rsidRPr="00B8132C">
              <w:rPr>
                <w:b w:val="0"/>
              </w:rPr>
              <w:t>2. House to house screening impractical</w:t>
            </w:r>
          </w:p>
        </w:tc>
        <w:tc>
          <w:tcPr>
            <w:tcW w:w="2214" w:type="dxa"/>
          </w:tcPr>
          <w:p w:rsidR="00F65CEA" w:rsidRPr="00F65CEA" w:rsidRDefault="00F65CEA" w:rsidP="00F65CEA">
            <w:pPr>
              <w:cnfStyle w:val="000000000000" w:firstRow="0" w:lastRow="0" w:firstColumn="0" w:lastColumn="0" w:oddVBand="0" w:evenVBand="0" w:oddHBand="0" w:evenHBand="0" w:firstRowFirstColumn="0" w:firstRowLastColumn="0" w:lastRowFirstColumn="0" w:lastRowLastColumn="0"/>
            </w:pPr>
            <w:r>
              <w:t>Organize screening together with other services at central community site</w:t>
            </w:r>
          </w:p>
        </w:tc>
        <w:tc>
          <w:tcPr>
            <w:tcW w:w="2214" w:type="dxa"/>
          </w:tcPr>
          <w:p w:rsidR="00F65CEA" w:rsidRPr="00F65CEA" w:rsidRDefault="00F65CEA" w:rsidP="00F65CEA">
            <w:pPr>
              <w:cnfStyle w:val="000000000000" w:firstRow="0" w:lastRow="0" w:firstColumn="0" w:lastColumn="0" w:oddVBand="0" w:evenVBand="0" w:oddHBand="0" w:evenHBand="0" w:firstRowFirstColumn="0" w:firstRowLastColumn="0" w:lastRowFirstColumn="0" w:lastRowLastColumn="0"/>
            </w:pPr>
          </w:p>
        </w:tc>
        <w:tc>
          <w:tcPr>
            <w:tcW w:w="2214" w:type="dxa"/>
          </w:tcPr>
          <w:p w:rsidR="00F65CEA" w:rsidRPr="00F65CEA" w:rsidRDefault="00F65CEA" w:rsidP="00F65CEA">
            <w:pPr>
              <w:cnfStyle w:val="000000000000" w:firstRow="0" w:lastRow="0" w:firstColumn="0" w:lastColumn="0" w:oddVBand="0" w:evenVBand="0" w:oddHBand="0" w:evenHBand="0" w:firstRowFirstColumn="0" w:firstRowLastColumn="0" w:lastRowFirstColumn="0" w:lastRowLastColumn="0"/>
            </w:pPr>
          </w:p>
        </w:tc>
      </w:tr>
      <w:tr w:rsidR="00F65CEA" w:rsidRPr="00F65CEA" w:rsidTr="00B8132C">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2214" w:type="dxa"/>
          </w:tcPr>
          <w:p w:rsidR="00F65CEA" w:rsidRPr="00B8132C" w:rsidRDefault="00F65CEA" w:rsidP="00F65CEA">
            <w:pPr>
              <w:rPr>
                <w:b w:val="0"/>
              </w:rPr>
            </w:pPr>
            <w:r w:rsidRPr="00B8132C">
              <w:rPr>
                <w:b w:val="0"/>
              </w:rPr>
              <w:t>3. Food secure beneficiar</w:t>
            </w:r>
            <w:r w:rsidR="00B8132C" w:rsidRPr="00B8132C">
              <w:rPr>
                <w:b w:val="0"/>
              </w:rPr>
              <w:t>ies frequently enrolled with food security benefits</w:t>
            </w:r>
          </w:p>
        </w:tc>
        <w:tc>
          <w:tcPr>
            <w:tcW w:w="2214" w:type="dxa"/>
          </w:tcPr>
          <w:p w:rsidR="00F65CEA" w:rsidRPr="00F65CEA" w:rsidRDefault="00F65CEA" w:rsidP="00F65CEA">
            <w:pPr>
              <w:cnfStyle w:val="000000100000" w:firstRow="0" w:lastRow="0" w:firstColumn="0" w:lastColumn="0" w:oddVBand="0" w:evenVBand="0" w:oddHBand="1" w:evenHBand="0" w:firstRowFirstColumn="0" w:firstRowLastColumn="0" w:lastRowFirstColumn="0" w:lastRowLastColumn="0"/>
            </w:pPr>
          </w:p>
        </w:tc>
        <w:tc>
          <w:tcPr>
            <w:tcW w:w="2214" w:type="dxa"/>
          </w:tcPr>
          <w:p w:rsidR="00F65CEA" w:rsidRPr="00F65CEA" w:rsidRDefault="00B8132C" w:rsidP="00F65CEA">
            <w:pPr>
              <w:cnfStyle w:val="000000100000" w:firstRow="0" w:lastRow="0" w:firstColumn="0" w:lastColumn="0" w:oddVBand="0" w:evenVBand="0" w:oddHBand="1" w:evenHBand="0" w:firstRowFirstColumn="0" w:firstRowLastColumn="0" w:lastRowFirstColumn="0" w:lastRowLastColumn="0"/>
            </w:pPr>
            <w:r>
              <w:t>Add additional enrollment criteria: landholdings (&lt;.5 acre) or food insecurity score</w:t>
            </w:r>
          </w:p>
        </w:tc>
        <w:tc>
          <w:tcPr>
            <w:tcW w:w="2214" w:type="dxa"/>
          </w:tcPr>
          <w:p w:rsidR="00F65CEA" w:rsidRPr="00F65CEA" w:rsidRDefault="00F65CEA" w:rsidP="00F65CEA">
            <w:pPr>
              <w:cnfStyle w:val="000000100000" w:firstRow="0" w:lastRow="0" w:firstColumn="0" w:lastColumn="0" w:oddVBand="0" w:evenVBand="0" w:oddHBand="1" w:evenHBand="0" w:firstRowFirstColumn="0" w:firstRowLastColumn="0" w:lastRowFirstColumn="0" w:lastRowLastColumn="0"/>
            </w:pPr>
          </w:p>
        </w:tc>
      </w:tr>
      <w:tr w:rsidR="00F65CEA" w:rsidRPr="00F65CEA" w:rsidTr="00B8132C">
        <w:tc>
          <w:tcPr>
            <w:cnfStyle w:val="001000000000" w:firstRow="0" w:lastRow="0" w:firstColumn="1" w:lastColumn="0" w:oddVBand="0" w:evenVBand="0" w:oddHBand="0" w:evenHBand="0" w:firstRowFirstColumn="0" w:firstRowLastColumn="0" w:lastRowFirstColumn="0" w:lastRowLastColumn="0"/>
            <w:tcW w:w="2214" w:type="dxa"/>
          </w:tcPr>
          <w:p w:rsidR="00F65CEA" w:rsidRPr="00B8132C" w:rsidRDefault="00B8132C" w:rsidP="00F65CEA">
            <w:pPr>
              <w:rPr>
                <w:b w:val="0"/>
              </w:rPr>
            </w:pPr>
            <w:r w:rsidRPr="00B8132C">
              <w:rPr>
                <w:b w:val="0"/>
              </w:rPr>
              <w:t>4. In cases of complications, difficult to get mother/child to go to referral site</w:t>
            </w:r>
          </w:p>
        </w:tc>
        <w:tc>
          <w:tcPr>
            <w:tcW w:w="2214" w:type="dxa"/>
          </w:tcPr>
          <w:p w:rsidR="00F65CEA" w:rsidRPr="00F65CEA" w:rsidRDefault="00B8132C" w:rsidP="00F65CEA">
            <w:pPr>
              <w:cnfStyle w:val="000000000000" w:firstRow="0" w:lastRow="0" w:firstColumn="0" w:lastColumn="0" w:oddVBand="0" w:evenVBand="0" w:oddHBand="0" w:evenHBand="0" w:firstRowFirstColumn="0" w:firstRowLastColumn="0" w:lastRowFirstColumn="0" w:lastRowLastColumn="0"/>
            </w:pPr>
            <w:r>
              <w:t>Provide actual transportation – not simply allowance</w:t>
            </w:r>
          </w:p>
        </w:tc>
        <w:tc>
          <w:tcPr>
            <w:tcW w:w="2214" w:type="dxa"/>
          </w:tcPr>
          <w:p w:rsidR="00F65CEA" w:rsidRPr="00F65CEA" w:rsidRDefault="00F65CEA" w:rsidP="00F65CEA">
            <w:pPr>
              <w:cnfStyle w:val="000000000000" w:firstRow="0" w:lastRow="0" w:firstColumn="0" w:lastColumn="0" w:oddVBand="0" w:evenVBand="0" w:oddHBand="0" w:evenHBand="0" w:firstRowFirstColumn="0" w:firstRowLastColumn="0" w:lastRowFirstColumn="0" w:lastRowLastColumn="0"/>
            </w:pPr>
          </w:p>
        </w:tc>
        <w:tc>
          <w:tcPr>
            <w:tcW w:w="2214" w:type="dxa"/>
          </w:tcPr>
          <w:p w:rsidR="00F65CEA" w:rsidRPr="00F65CEA" w:rsidRDefault="00F65CEA" w:rsidP="00F65CEA">
            <w:pPr>
              <w:cnfStyle w:val="000000000000" w:firstRow="0" w:lastRow="0" w:firstColumn="0" w:lastColumn="0" w:oddVBand="0" w:evenVBand="0" w:oddHBand="0" w:evenHBand="0" w:firstRowFirstColumn="0" w:firstRowLastColumn="0" w:lastRowFirstColumn="0" w:lastRowLastColumn="0"/>
            </w:pPr>
          </w:p>
        </w:tc>
      </w:tr>
    </w:tbl>
    <w:p w:rsidR="00BF1A93" w:rsidRPr="00F65CEA" w:rsidRDefault="00BF1A93" w:rsidP="00CE3BD3">
      <w:pPr>
        <w:rPr>
          <w:b/>
        </w:rPr>
      </w:pPr>
    </w:p>
    <w:p w:rsidR="00013EC9" w:rsidRDefault="00013EC9" w:rsidP="00CE3BD3"/>
    <w:p w:rsidR="0021690B" w:rsidRDefault="00136C4B" w:rsidP="00CE3BD3">
      <w:r>
        <w:t>The CMAM approach, an evidence-based means of addressing acute malnutrition</w:t>
      </w:r>
      <w:r w:rsidR="00946CCA">
        <w:t>,</w:t>
      </w:r>
      <w:r>
        <w:t xml:space="preserve"> was included in the MDG/F program and has been included in the government’s National Nutrition Service a</w:t>
      </w:r>
      <w:r w:rsidR="00946CCA">
        <w:t>genda. As seen in the section on</w:t>
      </w:r>
      <w:r>
        <w:t xml:space="preserve"> program costs below, CMAM is not an inexpensive program and, with imported ready-to-use therapeutic food (RUTF), the approach has been labeled by some as non-sustainable. The government</w:t>
      </w:r>
      <w:r w:rsidR="00946CCA">
        <w:t>’s</w:t>
      </w:r>
      <w:r>
        <w:t xml:space="preserve"> banning of imported RUTF in the midst of MDG/F program implementation created </w:t>
      </w:r>
      <w:r w:rsidR="0021690B">
        <w:t>challenges for the program, ultimately resolved by providing counseling to the families of severe acute malnutrition (SAM)-affected children on ideal foods to prepare, while the program continued to provide moderately acutely malnourished (MAM) children with WFP-provided wheat-soy blend. While recognizing concerns about providing a non-lipid-based food to SAM children, the decision not to provide any food to the SAM children following the eliminati</w:t>
      </w:r>
      <w:r w:rsidR="00404908">
        <w:t>on of RUTF imports seems curious</w:t>
      </w:r>
      <w:r w:rsidR="0021690B">
        <w:t xml:space="preserve">. As indicated in the Costs section, </w:t>
      </w:r>
      <w:r w:rsidR="00C5203A">
        <w:t>evaluation surveys of</w:t>
      </w:r>
      <w:r w:rsidR="0021690B">
        <w:t xml:space="preserve"> the Bangladesh Integrated Nutrition Project (BINP) </w:t>
      </w:r>
      <w:r w:rsidR="00C5203A">
        <w:t xml:space="preserve">found </w:t>
      </w:r>
      <w:r w:rsidR="0021690B">
        <w:t>major reductions in the prevalence of severe underweight (overlapping considerably with the prevalence of SAM) using food supplements prepared by local women’s groups</w:t>
      </w:r>
      <w:r w:rsidR="000E58B8">
        <w:t xml:space="preserve">, </w:t>
      </w:r>
      <w:r w:rsidR="0021690B">
        <w:t>while maintaining very low mortality rates – although recovery took somewhat longer than is the case with RUTF.</w:t>
      </w:r>
    </w:p>
    <w:p w:rsidR="0021690B" w:rsidRDefault="0021690B" w:rsidP="00CE3BD3"/>
    <w:p w:rsidR="00B5717B" w:rsidRDefault="0021690B" w:rsidP="00CE3BD3">
      <w:r>
        <w:t xml:space="preserve">A child was selected for CMAM based on </w:t>
      </w:r>
      <w:r w:rsidR="000E58B8">
        <w:t>house-to-</w:t>
      </w:r>
      <w:r w:rsidR="000C4E8B">
        <w:t>house screening using mid-upper arm circumference</w:t>
      </w:r>
      <w:r>
        <w:t xml:space="preserve"> </w:t>
      </w:r>
      <w:r w:rsidR="000C4E8B">
        <w:t>(MUAC) tapes. Although subsequent medical review found some shortcomings in measurement techniques, the screening was likely reasonably successful in identifying acutely malnourished children for a facility-based regimen including food supplementation, and with those children suffering from complications referred to district-level health facilities equipped by the program with “SAM corners.”</w:t>
      </w:r>
    </w:p>
    <w:p w:rsidR="000C4E8B" w:rsidRDefault="000C4E8B" w:rsidP="00CE3BD3"/>
    <w:p w:rsidR="000C4E8B" w:rsidRDefault="000C4E8B" w:rsidP="00CE3BD3">
      <w:r>
        <w:t>More questionable, however, was the assumption that the families of SAM and MA</w:t>
      </w:r>
      <w:r w:rsidR="00E35024">
        <w:t>M children were also those who</w:t>
      </w:r>
      <w:r>
        <w:t xml:space="preserve"> should be receiving food security assistance. While the overlap of food insecure households and those with SAM or MAM children is high, </w:t>
      </w:r>
      <w:r w:rsidR="000E58B8">
        <w:t>field visits found numerous</w:t>
      </w:r>
      <w:r>
        <w:t xml:space="preserve"> households which were, in fact, food secure and therefore not in need of the program’s food security inputs. Some of these were families with prematurely born children who, by definition, would register as SAM when measured.</w:t>
      </w:r>
    </w:p>
    <w:p w:rsidR="000C4E8B" w:rsidRDefault="000C4E8B" w:rsidP="00CE3BD3"/>
    <w:p w:rsidR="000C4E8B" w:rsidRDefault="000C4E8B" w:rsidP="00CE3BD3">
      <w:r>
        <w:t xml:space="preserve">Extensive discussions with government and UN personnel indicated a preference in future programming for additional criteria in selecting beneficiaries for food security program assistance. Prime among these is the nine-question </w:t>
      </w:r>
      <w:r w:rsidR="00C83381">
        <w:t xml:space="preserve">food security assessment </w:t>
      </w:r>
      <w:r w:rsidR="000E58B8">
        <w:t>tool already used in the ongoing food security</w:t>
      </w:r>
      <w:r w:rsidR="00C83381">
        <w:t xml:space="preserve"> assessments </w:t>
      </w:r>
      <w:r w:rsidR="000E58B8">
        <w:t xml:space="preserve">carried out </w:t>
      </w:r>
      <w:r w:rsidR="00C83381">
        <w:t>in the country</w:t>
      </w:r>
      <w:r w:rsidR="000E58B8">
        <w:t xml:space="preserve"> through the </w:t>
      </w:r>
      <w:r w:rsidR="009F08DD">
        <w:t>Food Security and Nutrition Information System (FSNIS</w:t>
      </w:r>
      <w:r w:rsidR="00C83381">
        <w:t>.</w:t>
      </w:r>
      <w:r w:rsidR="009F08DD">
        <w:t>)</w:t>
      </w:r>
    </w:p>
    <w:p w:rsidR="00C83381" w:rsidRDefault="00C83381" w:rsidP="00CE3BD3"/>
    <w:p w:rsidR="00C83381" w:rsidRDefault="00C83381" w:rsidP="00CE3BD3">
      <w:r>
        <w:t>Finally, for a mother constrained by household and livelihood responsibilities and, often, other children, to have to organize travel to district medical facilities in SAM cases with complications often proved unrealistic in implementation of the Screening/CMAM component. Given the small number of such cases, the program should take responsibility for arranging as well as financing transport.</w:t>
      </w:r>
    </w:p>
    <w:p w:rsidR="00C83381" w:rsidRDefault="00C83381" w:rsidP="00CE3BD3"/>
    <w:p w:rsidR="00C83381" w:rsidRDefault="00C83381" w:rsidP="00CE3BD3"/>
    <w:p w:rsidR="00C83381" w:rsidRDefault="00C83381" w:rsidP="00635626">
      <w:pPr>
        <w:pStyle w:val="Heading1"/>
      </w:pPr>
      <w:bookmarkStart w:id="7" w:name="_Toc236372990"/>
      <w:r>
        <w:t>The Food Security Component</w:t>
      </w:r>
      <w:bookmarkEnd w:id="7"/>
    </w:p>
    <w:p w:rsidR="00C83381" w:rsidRDefault="00C83381" w:rsidP="00C83381">
      <w:pPr>
        <w:rPr>
          <w:i/>
        </w:rPr>
      </w:pPr>
    </w:p>
    <w:p w:rsidR="00C83381" w:rsidRDefault="00C83381" w:rsidP="00C83381">
      <w:r>
        <w:t>The PCA findings</w:t>
      </w:r>
      <w:r w:rsidR="008F05BE">
        <w:t xml:space="preserve"> pertinent to the food security</w:t>
      </w:r>
      <w:r>
        <w:t xml:space="preserve"> component</w:t>
      </w:r>
      <w:r w:rsidR="008F05BE">
        <w:t xml:space="preserve"> – Outcome 2</w:t>
      </w:r>
      <w:r>
        <w:t xml:space="preserve"> of the program</w:t>
      </w:r>
      <w:r w:rsidR="008F05BE">
        <w:t>,</w:t>
      </w:r>
      <w:r w:rsidR="00C5203A">
        <w:t xml:space="preserve"> are presented in Figure 3</w:t>
      </w:r>
      <w:r>
        <w:t xml:space="preserve"> below.</w:t>
      </w:r>
    </w:p>
    <w:p w:rsidR="00C83381" w:rsidRDefault="00C83381" w:rsidP="00C83381"/>
    <w:p w:rsidR="008F05BE" w:rsidRDefault="008F05BE" w:rsidP="00C83381">
      <w:r>
        <w:t>As seen, most of the concerns raised, e.g. garden produce consumed by animals or damaged in floods, and problems with the goat distribution and breeding efforts can easily be addressed by relatively minor refinements in project design.</w:t>
      </w:r>
      <w:r>
        <w:rPr>
          <w:rStyle w:val="FootnoteReference"/>
        </w:rPr>
        <w:footnoteReference w:id="4"/>
      </w:r>
      <w:r>
        <w:t xml:space="preserve"> A more serious structural concern has to do with problems that poorer households have in marketing their garden produce. Here the Brazil model of purchasing food directly from households assisted in food security interventions – and using that food in the hot school meal program, is about to be introduced in Bangladesh through a government pilot project. Such households also may be assisted in the development of cooperatives for joint marketing purposes.</w:t>
      </w:r>
    </w:p>
    <w:p w:rsidR="00763A41" w:rsidRDefault="00763A41" w:rsidP="008B4104"/>
    <w:p w:rsidR="0094514E" w:rsidRDefault="00EA3C67" w:rsidP="008B4104">
      <w:r>
        <w:t>There can be little question tha</w:t>
      </w:r>
      <w:r w:rsidR="009F08DD">
        <w:t xml:space="preserve">t the food security program </w:t>
      </w:r>
      <w:r>
        <w:t>has had a positive effect on reducing household food insecurity in program areas. The endline survey reveals that</w:t>
      </w:r>
      <w:r w:rsidR="008E2ECA">
        <w:t xml:space="preserve"> </w:t>
      </w:r>
      <w:r w:rsidR="00C23009">
        <w:t xml:space="preserve">the percentage of households in program areas with gardens increased over four fold, and that </w:t>
      </w:r>
      <w:r w:rsidR="008E2ECA">
        <w:t xml:space="preserve">the percentage of household income derived from gardens and poultry increased </w:t>
      </w:r>
      <w:r w:rsidR="00C23009">
        <w:t xml:space="preserve">more than three times, </w:t>
      </w:r>
      <w:r w:rsidR="008E2ECA">
        <w:t xml:space="preserve">from 2.7% </w:t>
      </w:r>
      <w:r w:rsidR="00C23009">
        <w:t>at baseline to 9.3</w:t>
      </w:r>
      <w:r w:rsidR="008B4104">
        <w:t>% at endline</w:t>
      </w:r>
      <w:r w:rsidR="00C23009">
        <w:t xml:space="preserve"> – although still far from adequate to eliminate fo</w:t>
      </w:r>
      <w:r w:rsidR="0094514E">
        <w:t>od insecurity in these families</w:t>
      </w:r>
      <w:r w:rsidR="008B4104">
        <w:t xml:space="preserve">. </w:t>
      </w:r>
    </w:p>
    <w:p w:rsidR="0094514E" w:rsidRDefault="0094514E" w:rsidP="008B4104"/>
    <w:p w:rsidR="0094514E" w:rsidRDefault="0094514E" w:rsidP="008B4104">
      <w:r>
        <w:t xml:space="preserve">Data from the endline survey was utilized to create a food consumption score (FCS), a composite score based on dietary diversity, food frequency and the relative importance of different food groups. The percentage of households with food consumption scores considered </w:t>
      </w:r>
      <w:r w:rsidR="009F08DD">
        <w:t>minimally</w:t>
      </w:r>
      <w:r w:rsidR="00C15F14">
        <w:t xml:space="preserve"> </w:t>
      </w:r>
      <w:r>
        <w:t xml:space="preserve">adequate </w:t>
      </w:r>
      <w:r w:rsidR="002F3C97">
        <w:t xml:space="preserve">or higher </w:t>
      </w:r>
      <w:r>
        <w:t>is 86.7% in program areas compared with 63.9% in control areas. (Unfortunately, no comparable data is available from the baseline survey.)</w:t>
      </w:r>
    </w:p>
    <w:p w:rsidR="0094514E" w:rsidRDefault="0094514E" w:rsidP="008B4104"/>
    <w:p w:rsidR="0094514E" w:rsidRDefault="0094514E" w:rsidP="008B4104">
      <w:r>
        <w:t xml:space="preserve">In the poorest wealth quintile, </w:t>
      </w:r>
      <w:r w:rsidR="00C15F14">
        <w:t>the actual average FCS in program areas was found to be 51.8 compared with 40.0 in control areas.</w:t>
      </w:r>
    </w:p>
    <w:p w:rsidR="0094514E" w:rsidRDefault="0094514E" w:rsidP="008B4104"/>
    <w:p w:rsidR="00EA3C67" w:rsidRDefault="008B4104" w:rsidP="008B4104">
      <w:r>
        <w:t xml:space="preserve">The survey also found that the percentage of households consuming eggs or meat on the day previous to the survey </w:t>
      </w:r>
      <w:r w:rsidR="00164D7C">
        <w:t>more than doubled</w:t>
      </w:r>
      <w:r w:rsidR="00763A41">
        <w:t xml:space="preserve"> (</w:t>
      </w:r>
      <w:r w:rsidR="00164D7C">
        <w:t>from 20.4% to 44.1%)</w:t>
      </w:r>
      <w:r w:rsidR="00763A41">
        <w:t>,</w:t>
      </w:r>
      <w:r>
        <w:t xml:space="preserve"> and the percentage consuming a milk product increased</w:t>
      </w:r>
      <w:r w:rsidR="00164D7C">
        <w:t xml:space="preserve"> significantly from 16.8 to 24.7</w:t>
      </w:r>
      <w:r>
        <w:t>%.</w:t>
      </w:r>
      <w:r w:rsidR="0091584D">
        <w:t xml:space="preserve"> (Consumption </w:t>
      </w:r>
      <w:r w:rsidR="00763A41">
        <w:t xml:space="preserve">of </w:t>
      </w:r>
      <w:r w:rsidR="0091584D">
        <w:t>eggs and meat in control areas increased only minimally, while consumption of milk products actually decreased.)</w:t>
      </w:r>
      <w:r w:rsidR="00C53CD4">
        <w:rPr>
          <w:rStyle w:val="FootnoteReference"/>
        </w:rPr>
        <w:footnoteReference w:id="5"/>
      </w:r>
    </w:p>
    <w:p w:rsidR="00381184" w:rsidRDefault="00381184" w:rsidP="008B4104"/>
    <w:p w:rsidR="004F7FCA" w:rsidRPr="00C15F14" w:rsidRDefault="00381184" w:rsidP="00C15F14">
      <w:r>
        <w:t>It’s also clear that a large majority (over 80%) of program area households attended courtyard nutrition education meetings designed to facilitate behavioral change.</w:t>
      </w: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0E58B8" w:rsidRDefault="000E58B8" w:rsidP="00C83381">
      <w:pPr>
        <w:rPr>
          <w:b/>
        </w:rPr>
      </w:pPr>
    </w:p>
    <w:p w:rsidR="00BF589C" w:rsidRDefault="00BF589C" w:rsidP="00C83381">
      <w:pPr>
        <w:rPr>
          <w:b/>
        </w:rPr>
      </w:pPr>
    </w:p>
    <w:p w:rsidR="00635626" w:rsidRDefault="00635626" w:rsidP="0015704E">
      <w:pPr>
        <w:pStyle w:val="Caption"/>
      </w:pPr>
      <w:bookmarkStart w:id="8" w:name="_Toc234064069"/>
      <w:r>
        <w:t xml:space="preserve">Figure </w:t>
      </w:r>
      <w:r w:rsidR="007973C1">
        <w:fldChar w:fldCharType="begin"/>
      </w:r>
      <w:r w:rsidR="007973C1">
        <w:instrText xml:space="preserve"> SEQ Figure \* ARABIC </w:instrText>
      </w:r>
      <w:r w:rsidR="007973C1">
        <w:fldChar w:fldCharType="separate"/>
      </w:r>
      <w:r w:rsidR="009B1310">
        <w:rPr>
          <w:noProof/>
        </w:rPr>
        <w:t>3</w:t>
      </w:r>
      <w:r w:rsidR="007973C1">
        <w:rPr>
          <w:noProof/>
        </w:rPr>
        <w:fldChar w:fldCharType="end"/>
      </w:r>
      <w:r>
        <w:t>: Program Constraints Assessment - Food Security Intervention</w:t>
      </w:r>
      <w:bookmarkEnd w:id="8"/>
    </w:p>
    <w:tbl>
      <w:tblPr>
        <w:tblStyle w:val="MediumGrid1-Accent1"/>
        <w:tblW w:w="0" w:type="auto"/>
        <w:tblLook w:val="04A0" w:firstRow="1" w:lastRow="0" w:firstColumn="1" w:lastColumn="0" w:noHBand="0" w:noVBand="1"/>
      </w:tblPr>
      <w:tblGrid>
        <w:gridCol w:w="2214"/>
        <w:gridCol w:w="2214"/>
        <w:gridCol w:w="2214"/>
        <w:gridCol w:w="2214"/>
      </w:tblGrid>
      <w:tr w:rsidR="00635626" w:rsidRPr="00B8132C" w:rsidTr="0015704E">
        <w:trPr>
          <w:cnfStyle w:val="100000000000" w:firstRow="1" w:lastRow="0" w:firstColumn="0" w:lastColumn="0" w:oddVBand="0" w:evenVBand="0" w:oddHBand="0"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214" w:type="dxa"/>
          </w:tcPr>
          <w:p w:rsidR="00635626" w:rsidRPr="00B8132C" w:rsidRDefault="00635626" w:rsidP="00635626">
            <w:pPr>
              <w:jc w:val="center"/>
            </w:pPr>
            <w:r w:rsidRPr="00B8132C">
              <w:t>Constraint</w:t>
            </w:r>
          </w:p>
        </w:tc>
        <w:tc>
          <w:tcPr>
            <w:tcW w:w="2214" w:type="dxa"/>
          </w:tcPr>
          <w:p w:rsidR="00635626" w:rsidRPr="00B8132C" w:rsidRDefault="00635626" w:rsidP="00635626">
            <w:pPr>
              <w:jc w:val="center"/>
              <w:cnfStyle w:val="100000000000" w:firstRow="1" w:lastRow="0" w:firstColumn="0" w:lastColumn="0" w:oddVBand="0" w:evenVBand="0" w:oddHBand="0" w:evenHBand="0" w:firstRowFirstColumn="0" w:firstRowLastColumn="0" w:lastRowFirstColumn="0" w:lastRowLastColumn="0"/>
            </w:pPr>
            <w:r w:rsidRPr="00B8132C">
              <w:t>Technology Suggestions</w:t>
            </w:r>
          </w:p>
        </w:tc>
        <w:tc>
          <w:tcPr>
            <w:tcW w:w="2214" w:type="dxa"/>
          </w:tcPr>
          <w:p w:rsidR="00635626" w:rsidRPr="00B8132C" w:rsidRDefault="00635626" w:rsidP="00635626">
            <w:pPr>
              <w:jc w:val="center"/>
              <w:cnfStyle w:val="100000000000" w:firstRow="1" w:lastRow="0" w:firstColumn="0" w:lastColumn="0" w:oddVBand="0" w:evenVBand="0" w:oddHBand="0" w:evenHBand="0" w:firstRowFirstColumn="0" w:firstRowLastColumn="0" w:lastRowFirstColumn="0" w:lastRowLastColumn="0"/>
            </w:pPr>
            <w:r w:rsidRPr="00B8132C">
              <w:t>Policy Suggestions</w:t>
            </w:r>
          </w:p>
        </w:tc>
        <w:tc>
          <w:tcPr>
            <w:tcW w:w="2214" w:type="dxa"/>
          </w:tcPr>
          <w:p w:rsidR="00635626" w:rsidRPr="00B8132C" w:rsidRDefault="00635626" w:rsidP="00635626">
            <w:pPr>
              <w:jc w:val="center"/>
              <w:cnfStyle w:val="100000000000" w:firstRow="1" w:lastRow="0" w:firstColumn="0" w:lastColumn="0" w:oddVBand="0" w:evenVBand="0" w:oddHBand="0" w:evenHBand="0" w:firstRowFirstColumn="0" w:firstRowLastColumn="0" w:lastRowFirstColumn="0" w:lastRowLastColumn="0"/>
            </w:pPr>
            <w:r w:rsidRPr="00B8132C">
              <w:t>Research &amp; Training Suggestions</w:t>
            </w:r>
          </w:p>
        </w:tc>
      </w:tr>
      <w:tr w:rsidR="00635626" w:rsidRPr="00F65CEA" w:rsidTr="00013EC9">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214" w:type="dxa"/>
          </w:tcPr>
          <w:p w:rsidR="00635626" w:rsidRPr="00B8132C" w:rsidRDefault="00635626" w:rsidP="00635626">
            <w:pPr>
              <w:rPr>
                <w:b w:val="0"/>
              </w:rPr>
            </w:pPr>
            <w:r w:rsidRPr="00B8132C">
              <w:rPr>
                <w:b w:val="0"/>
              </w:rPr>
              <w:t xml:space="preserve">1. </w:t>
            </w:r>
            <w:r>
              <w:rPr>
                <w:b w:val="0"/>
              </w:rPr>
              <w:t>Garden produce eaten by animals</w:t>
            </w: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r>
              <w:t>Add “net jhal” to input distribution</w:t>
            </w: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p>
        </w:tc>
      </w:tr>
      <w:tr w:rsidR="00635626" w:rsidRPr="00F65CEA" w:rsidTr="00013EC9">
        <w:trPr>
          <w:trHeight w:val="1420"/>
        </w:trPr>
        <w:tc>
          <w:tcPr>
            <w:cnfStyle w:val="001000000000" w:firstRow="0" w:lastRow="0" w:firstColumn="1" w:lastColumn="0" w:oddVBand="0" w:evenVBand="0" w:oddHBand="0" w:evenHBand="0" w:firstRowFirstColumn="0" w:firstRowLastColumn="0" w:lastRowFirstColumn="0" w:lastRowLastColumn="0"/>
            <w:tcW w:w="2214" w:type="dxa"/>
          </w:tcPr>
          <w:p w:rsidR="00635626" w:rsidRPr="00B8132C" w:rsidRDefault="00635626" w:rsidP="00635626">
            <w:pPr>
              <w:rPr>
                <w:b w:val="0"/>
              </w:rPr>
            </w:pPr>
            <w:r>
              <w:rPr>
                <w:b w:val="0"/>
              </w:rPr>
              <w:t>2. Some goats die</w:t>
            </w:r>
          </w:p>
        </w:tc>
        <w:tc>
          <w:tcPr>
            <w:tcW w:w="2214" w:type="dxa"/>
          </w:tcPr>
          <w:p w:rsidR="00635626" w:rsidRPr="00F65CEA" w:rsidRDefault="00635626" w:rsidP="00635626">
            <w:pPr>
              <w:cnfStyle w:val="000000000000" w:firstRow="0" w:lastRow="0" w:firstColumn="0" w:lastColumn="0" w:oddVBand="0" w:evenVBand="0" w:oddHBand="0" w:evenHBand="0" w:firstRowFirstColumn="0" w:firstRowLastColumn="0" w:lastRowFirstColumn="0" w:lastRowLastColumn="0"/>
            </w:pPr>
            <w:r>
              <w:t>Consider cash provision to beneficiaries for direct purchase of local goats</w:t>
            </w:r>
          </w:p>
        </w:tc>
        <w:tc>
          <w:tcPr>
            <w:tcW w:w="2214" w:type="dxa"/>
          </w:tcPr>
          <w:p w:rsidR="00635626" w:rsidRPr="00F65CEA" w:rsidRDefault="00013EC9" w:rsidP="00635626">
            <w:pPr>
              <w:cnfStyle w:val="000000000000" w:firstRow="0" w:lastRow="0" w:firstColumn="0" w:lastColumn="0" w:oddVBand="0" w:evenVBand="0" w:oddHBand="0" w:evenHBand="0" w:firstRowFirstColumn="0" w:firstRowLastColumn="0" w:lastRowFirstColumn="0" w:lastRowLastColumn="0"/>
            </w:pPr>
            <w:r>
              <w:t>Inc</w:t>
            </w:r>
            <w:r w:rsidR="00C5203A">
              <w:t>rease # of DVMs to 3 per upazil</w:t>
            </w:r>
            <w:r>
              <w:t>a and Vet Assistants to 1 per union</w:t>
            </w:r>
          </w:p>
        </w:tc>
        <w:tc>
          <w:tcPr>
            <w:tcW w:w="2214" w:type="dxa"/>
          </w:tcPr>
          <w:p w:rsidR="00635626" w:rsidRPr="00F65CEA" w:rsidRDefault="00635626" w:rsidP="00635626">
            <w:pPr>
              <w:cnfStyle w:val="000000000000" w:firstRow="0" w:lastRow="0" w:firstColumn="0" w:lastColumn="0" w:oddVBand="0" w:evenVBand="0" w:oddHBand="0" w:evenHBand="0" w:firstRowFirstColumn="0" w:firstRowLastColumn="0" w:lastRowFirstColumn="0" w:lastRowLastColumn="0"/>
            </w:pPr>
          </w:p>
        </w:tc>
      </w:tr>
      <w:tr w:rsidR="00635626" w:rsidRPr="00F65CEA" w:rsidTr="0063562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2214" w:type="dxa"/>
          </w:tcPr>
          <w:p w:rsidR="00635626" w:rsidRPr="00B8132C" w:rsidRDefault="00635626" w:rsidP="00635626">
            <w:pPr>
              <w:rPr>
                <w:b w:val="0"/>
              </w:rPr>
            </w:pPr>
            <w:r w:rsidRPr="00B8132C">
              <w:rPr>
                <w:b w:val="0"/>
              </w:rPr>
              <w:t xml:space="preserve">3. </w:t>
            </w:r>
            <w:r>
              <w:rPr>
                <w:b w:val="0"/>
              </w:rPr>
              <w:t>Male goats for breeding in short supply</w:t>
            </w: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r>
              <w:t>Consider providing every 10</w:t>
            </w:r>
            <w:r w:rsidRPr="00635626">
              <w:rPr>
                <w:vertAlign w:val="superscript"/>
              </w:rPr>
              <w:t>th</w:t>
            </w:r>
            <w:r>
              <w:t xml:space="preserve"> family with one buck for insemination</w:t>
            </w: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p>
        </w:tc>
      </w:tr>
      <w:tr w:rsidR="00635626" w:rsidRPr="00F65CEA" w:rsidTr="00635626">
        <w:tc>
          <w:tcPr>
            <w:cnfStyle w:val="001000000000" w:firstRow="0" w:lastRow="0" w:firstColumn="1" w:lastColumn="0" w:oddVBand="0" w:evenVBand="0" w:oddHBand="0" w:evenHBand="0" w:firstRowFirstColumn="0" w:firstRowLastColumn="0" w:lastRowFirstColumn="0" w:lastRowLastColumn="0"/>
            <w:tcW w:w="2214" w:type="dxa"/>
          </w:tcPr>
          <w:p w:rsidR="00635626" w:rsidRPr="00B8132C" w:rsidRDefault="00635626" w:rsidP="00635626">
            <w:pPr>
              <w:rPr>
                <w:b w:val="0"/>
              </w:rPr>
            </w:pPr>
            <w:r w:rsidRPr="00B8132C">
              <w:rPr>
                <w:b w:val="0"/>
              </w:rPr>
              <w:t xml:space="preserve">4. </w:t>
            </w:r>
            <w:r>
              <w:rPr>
                <w:b w:val="0"/>
              </w:rPr>
              <w:t>Destruction of gardens by floods</w:t>
            </w:r>
          </w:p>
        </w:tc>
        <w:tc>
          <w:tcPr>
            <w:tcW w:w="2214" w:type="dxa"/>
          </w:tcPr>
          <w:p w:rsidR="00635626" w:rsidRPr="00F65CEA" w:rsidRDefault="00635626" w:rsidP="00635626">
            <w:pPr>
              <w:cnfStyle w:val="000000000000" w:firstRow="0" w:lastRow="0" w:firstColumn="0" w:lastColumn="0" w:oddVBand="0" w:evenVBand="0" w:oddHBand="0" w:evenHBand="0" w:firstRowFirstColumn="0" w:firstRowLastColumn="0" w:lastRowFirstColumn="0" w:lastRowLastColumn="0"/>
            </w:pPr>
            <w:r>
              <w:t>Emphasize raised beds</w:t>
            </w:r>
          </w:p>
        </w:tc>
        <w:tc>
          <w:tcPr>
            <w:tcW w:w="2214" w:type="dxa"/>
          </w:tcPr>
          <w:p w:rsidR="00635626" w:rsidRPr="00F65CEA" w:rsidRDefault="00635626" w:rsidP="00635626">
            <w:pPr>
              <w:cnfStyle w:val="000000000000" w:firstRow="0" w:lastRow="0" w:firstColumn="0" w:lastColumn="0" w:oddVBand="0" w:evenVBand="0" w:oddHBand="0" w:evenHBand="0" w:firstRowFirstColumn="0" w:firstRowLastColumn="0" w:lastRowFirstColumn="0" w:lastRowLastColumn="0"/>
            </w:pPr>
          </w:p>
        </w:tc>
        <w:tc>
          <w:tcPr>
            <w:tcW w:w="2214" w:type="dxa"/>
          </w:tcPr>
          <w:p w:rsidR="00635626" w:rsidRPr="00F65CEA" w:rsidRDefault="00635626" w:rsidP="00635626">
            <w:pPr>
              <w:cnfStyle w:val="000000000000" w:firstRow="0" w:lastRow="0" w:firstColumn="0" w:lastColumn="0" w:oddVBand="0" w:evenVBand="0" w:oddHBand="0" w:evenHBand="0" w:firstRowFirstColumn="0" w:firstRowLastColumn="0" w:lastRowFirstColumn="0" w:lastRowLastColumn="0"/>
            </w:pPr>
          </w:p>
        </w:tc>
      </w:tr>
      <w:tr w:rsidR="00635626" w:rsidRPr="00F65CEA" w:rsidTr="00013EC9">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2214" w:type="dxa"/>
          </w:tcPr>
          <w:p w:rsidR="00635626" w:rsidRPr="00B8132C" w:rsidRDefault="00635626" w:rsidP="00635626">
            <w:pPr>
              <w:rPr>
                <w:b w:val="0"/>
              </w:rPr>
            </w:pPr>
            <w:r>
              <w:rPr>
                <w:b w:val="0"/>
              </w:rPr>
              <w:t>5. Assisted households have trouble marketing</w:t>
            </w:r>
          </w:p>
        </w:tc>
        <w:tc>
          <w:tcPr>
            <w:tcW w:w="2214" w:type="dxa"/>
          </w:tcPr>
          <w:p w:rsidR="00635626" w:rsidRDefault="00635626" w:rsidP="00635626">
            <w:pPr>
              <w:cnfStyle w:val="000000100000" w:firstRow="0" w:lastRow="0" w:firstColumn="0" w:lastColumn="0" w:oddVBand="0" w:evenVBand="0" w:oddHBand="1" w:evenHBand="0" w:firstRowFirstColumn="0" w:firstRowLastColumn="0" w:lastRowFirstColumn="0" w:lastRowLastColumn="0"/>
            </w:pPr>
          </w:p>
        </w:tc>
        <w:tc>
          <w:tcPr>
            <w:tcW w:w="2214" w:type="dxa"/>
          </w:tcPr>
          <w:p w:rsidR="00635626" w:rsidRPr="00F65CEA" w:rsidRDefault="00013EC9" w:rsidP="00635626">
            <w:pPr>
              <w:cnfStyle w:val="000000100000" w:firstRow="0" w:lastRow="0" w:firstColumn="0" w:lastColumn="0" w:oddVBand="0" w:evenVBand="0" w:oddHBand="1" w:evenHBand="0" w:firstRowFirstColumn="0" w:firstRowLastColumn="0" w:lastRowFirstColumn="0" w:lastRowLastColumn="0"/>
            </w:pPr>
            <w:r>
              <w:t>Pilot project will soon purchase produce from beneficiary households for school hot meals</w:t>
            </w:r>
          </w:p>
        </w:tc>
        <w:tc>
          <w:tcPr>
            <w:tcW w:w="2214" w:type="dxa"/>
          </w:tcPr>
          <w:p w:rsidR="00635626" w:rsidRPr="00F65CEA" w:rsidRDefault="00635626" w:rsidP="00635626">
            <w:pPr>
              <w:cnfStyle w:val="000000100000" w:firstRow="0" w:lastRow="0" w:firstColumn="0" w:lastColumn="0" w:oddVBand="0" w:evenVBand="0" w:oddHBand="1" w:evenHBand="0" w:firstRowFirstColumn="0" w:firstRowLastColumn="0" w:lastRowFirstColumn="0" w:lastRowLastColumn="0"/>
            </w:pPr>
          </w:p>
        </w:tc>
      </w:tr>
    </w:tbl>
    <w:p w:rsidR="00DB68AD" w:rsidRPr="008F5E3F" w:rsidRDefault="00DB68AD" w:rsidP="00013EC9"/>
    <w:p w:rsidR="00013EC9" w:rsidRDefault="00013EC9" w:rsidP="00CE3BD3">
      <w:pPr>
        <w:rPr>
          <w:b/>
        </w:rPr>
      </w:pPr>
    </w:p>
    <w:p w:rsidR="00A709D9" w:rsidRDefault="00A709D9" w:rsidP="00A709D9">
      <w:pPr>
        <w:pStyle w:val="Caption"/>
      </w:pPr>
      <w:bookmarkStart w:id="9" w:name="_Toc234064070"/>
      <w:r>
        <w:t xml:space="preserve">Figure </w:t>
      </w:r>
      <w:r w:rsidR="007973C1">
        <w:fldChar w:fldCharType="begin"/>
      </w:r>
      <w:r w:rsidR="007973C1">
        <w:instrText xml:space="preserve"> SEQ Figure \* ARABIC </w:instrText>
      </w:r>
      <w:r w:rsidR="007973C1">
        <w:fldChar w:fldCharType="separate"/>
      </w:r>
      <w:r w:rsidR="009B1310">
        <w:rPr>
          <w:noProof/>
        </w:rPr>
        <w:t>4</w:t>
      </w:r>
      <w:r w:rsidR="007973C1">
        <w:rPr>
          <w:noProof/>
        </w:rPr>
        <w:fldChar w:fldCharType="end"/>
      </w:r>
      <w:r>
        <w:t>: 19 Low Income Households in Charfasson</w:t>
      </w:r>
      <w:bookmarkEnd w:id="9"/>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856"/>
      </w:tblGrid>
      <w:tr w:rsidR="00A709D9" w:rsidTr="00A709D9">
        <w:trPr>
          <w:trHeight w:val="5331"/>
        </w:trPr>
        <w:tc>
          <w:tcPr>
            <w:tcW w:w="8856" w:type="dxa"/>
            <w:vAlign w:val="center"/>
          </w:tcPr>
          <w:p w:rsidR="00A709D9" w:rsidRDefault="00A709D9" w:rsidP="00A709D9">
            <w:pPr>
              <w:pStyle w:val="ListParagraph"/>
              <w:numPr>
                <w:ilvl w:val="0"/>
                <w:numId w:val="6"/>
              </w:numPr>
            </w:pPr>
            <w:r>
              <w:t>All migrated to the area recently because of availability of government land</w:t>
            </w:r>
          </w:p>
          <w:p w:rsidR="00A709D9" w:rsidRDefault="00A709D9" w:rsidP="00A709D9">
            <w:pPr>
              <w:pStyle w:val="ListParagraph"/>
              <w:numPr>
                <w:ilvl w:val="0"/>
                <w:numId w:val="6"/>
              </w:numPr>
            </w:pPr>
            <w:r>
              <w:t>All but one woman were married before the age of 18</w:t>
            </w:r>
          </w:p>
          <w:p w:rsidR="00A709D9" w:rsidRDefault="00A709D9" w:rsidP="00A709D9">
            <w:pPr>
              <w:pStyle w:val="ListParagraph"/>
              <w:numPr>
                <w:ilvl w:val="0"/>
                <w:numId w:val="6"/>
              </w:numPr>
            </w:pPr>
            <w:r>
              <w:t>All but one child was born “smaller than usual”</w:t>
            </w:r>
          </w:p>
          <w:p w:rsidR="00A709D9" w:rsidRDefault="00A709D9" w:rsidP="00A709D9">
            <w:pPr>
              <w:pStyle w:val="ListParagraph"/>
              <w:numPr>
                <w:ilvl w:val="0"/>
                <w:numId w:val="6"/>
              </w:numPr>
            </w:pPr>
            <w:r>
              <w:t>Families were counseled to “wash hands with tubewell water” and to “use latrines” – but none have such facilities</w:t>
            </w:r>
          </w:p>
          <w:p w:rsidR="00A709D9" w:rsidRDefault="00A709D9" w:rsidP="00A709D9">
            <w:pPr>
              <w:pStyle w:val="ListParagraph"/>
              <w:numPr>
                <w:ilvl w:val="0"/>
                <w:numId w:val="6"/>
              </w:numPr>
            </w:pPr>
            <w:r>
              <w:t>By selling many young goats – bred from those distributed by the program – each household hopes to purchase a cow – the medium term goal of all the households.</w:t>
            </w:r>
          </w:p>
          <w:p w:rsidR="00A709D9" w:rsidRDefault="00A709D9" w:rsidP="00A709D9">
            <w:pPr>
              <w:pStyle w:val="ListParagraph"/>
              <w:numPr>
                <w:ilvl w:val="0"/>
                <w:numId w:val="6"/>
              </w:numPr>
            </w:pPr>
            <w:r>
              <w:t>Of Tk 6,000 (average monthly earnings), expenditures include</w:t>
            </w:r>
          </w:p>
          <w:p w:rsidR="00A709D9" w:rsidRDefault="00A709D9" w:rsidP="00A709D9">
            <w:pPr>
              <w:pStyle w:val="ListParagraph"/>
              <w:numPr>
                <w:ilvl w:val="1"/>
                <w:numId w:val="6"/>
              </w:numPr>
            </w:pPr>
            <w:r>
              <w:t>Rice = Tk 2900</w:t>
            </w:r>
          </w:p>
          <w:p w:rsidR="00A709D9" w:rsidRDefault="00A709D9" w:rsidP="00A709D9">
            <w:pPr>
              <w:pStyle w:val="ListParagraph"/>
              <w:numPr>
                <w:ilvl w:val="1"/>
                <w:numId w:val="6"/>
              </w:numPr>
            </w:pPr>
            <w:r>
              <w:t>Wood and kerosene = Tk 1000</w:t>
            </w:r>
          </w:p>
          <w:p w:rsidR="00A709D9" w:rsidRDefault="00A709D9" w:rsidP="00A709D9">
            <w:pPr>
              <w:pStyle w:val="ListParagraph"/>
              <w:numPr>
                <w:ilvl w:val="0"/>
                <w:numId w:val="6"/>
              </w:numPr>
            </w:pPr>
            <w:r>
              <w:t>Other major expenditures:</w:t>
            </w:r>
          </w:p>
          <w:p w:rsidR="00A709D9" w:rsidRDefault="00A709D9" w:rsidP="00A709D9">
            <w:pPr>
              <w:pStyle w:val="ListParagraph"/>
              <w:numPr>
                <w:ilvl w:val="1"/>
                <w:numId w:val="6"/>
              </w:numPr>
            </w:pPr>
            <w:r>
              <w:t>Debt repayment (roughly one half of these households are in debt; fewer than before because of program-facilitated produce sales)</w:t>
            </w:r>
          </w:p>
          <w:p w:rsidR="00A709D9" w:rsidRDefault="00A709D9" w:rsidP="00A709D9">
            <w:pPr>
              <w:pStyle w:val="ListParagraph"/>
              <w:numPr>
                <w:ilvl w:val="1"/>
                <w:numId w:val="6"/>
              </w:numPr>
            </w:pPr>
            <w:r>
              <w:t>School fees and clothes</w:t>
            </w:r>
          </w:p>
          <w:p w:rsidR="00A709D9" w:rsidRDefault="00A709D9" w:rsidP="00A709D9">
            <w:pPr>
              <w:pStyle w:val="ListParagraph"/>
              <w:numPr>
                <w:ilvl w:val="1"/>
                <w:numId w:val="6"/>
              </w:numPr>
            </w:pPr>
            <w:r>
              <w:t>Rickshaw payments</w:t>
            </w:r>
          </w:p>
          <w:p w:rsidR="00A709D9" w:rsidRDefault="00A709D9" w:rsidP="00A709D9">
            <w:pPr>
              <w:pStyle w:val="ListParagraph"/>
              <w:numPr>
                <w:ilvl w:val="0"/>
                <w:numId w:val="6"/>
              </w:numPr>
            </w:pPr>
            <w:r>
              <w:t>Most households spend more on chips, chocolate, and sugared juice than on dal.</w:t>
            </w:r>
          </w:p>
        </w:tc>
      </w:tr>
    </w:tbl>
    <w:p w:rsidR="00A709D9" w:rsidRDefault="00A709D9" w:rsidP="00013EC9">
      <w:pPr>
        <w:pStyle w:val="Heading1"/>
      </w:pPr>
    </w:p>
    <w:p w:rsidR="00A709D9" w:rsidRDefault="00A709D9" w:rsidP="00013EC9">
      <w:pPr>
        <w:pStyle w:val="Heading1"/>
      </w:pPr>
    </w:p>
    <w:p w:rsidR="00BB01F8" w:rsidRDefault="00BB01F8" w:rsidP="00013EC9">
      <w:pPr>
        <w:pStyle w:val="Heading1"/>
      </w:pPr>
      <w:bookmarkStart w:id="10" w:name="_Toc236372991"/>
      <w:r>
        <w:t>School-based Activities</w:t>
      </w:r>
      <w:bookmarkEnd w:id="10"/>
    </w:p>
    <w:p w:rsidR="00BB01F8" w:rsidRDefault="00BB01F8" w:rsidP="00CE3BD3">
      <w:pPr>
        <w:rPr>
          <w:b/>
        </w:rPr>
      </w:pPr>
    </w:p>
    <w:p w:rsidR="00682221" w:rsidRDefault="00BB01F8" w:rsidP="00CE3BD3">
      <w:r>
        <w:t xml:space="preserve">Interestingly, there were no </w:t>
      </w:r>
      <w:r w:rsidR="00BF589C">
        <w:t xml:space="preserve">major </w:t>
      </w:r>
      <w:r>
        <w:t>issues raised by project managers, service providers or beneficiaries of the school-based activities</w:t>
      </w:r>
      <w:r w:rsidR="00EC7E02">
        <w:t xml:space="preserve"> – related to Outcome 3 of the program -</w:t>
      </w:r>
      <w:r>
        <w:t xml:space="preserve"> which, everyone seems to agree, went exceedingly well. There is considerable anecdotal evidence of children taking home nutrition education messages from their classes, and garden enthusiasm from their school garden experiences. </w:t>
      </w:r>
    </w:p>
    <w:p w:rsidR="00682221" w:rsidRDefault="00682221" w:rsidP="00CE3BD3"/>
    <w:p w:rsidR="00BB01F8" w:rsidRDefault="00BB01F8" w:rsidP="00CE3BD3">
      <w:pPr>
        <w:rPr>
          <w:b/>
        </w:rPr>
      </w:pPr>
      <w:r>
        <w:t>There also is monitoring data indicating significant increases in enrollment resulting from the introduction of</w:t>
      </w:r>
      <w:r w:rsidR="00EC7E02">
        <w:t xml:space="preserve"> school feeding in these areas.</w:t>
      </w:r>
      <w:r w:rsidR="00682221">
        <w:t xml:space="preserve"> In a representative area, primary school enrollment increased from 400 students (57% of primary school aged children in the coverage area) to 706 students (virtually 100%),</w:t>
      </w:r>
      <w:r w:rsidR="0096008B">
        <w:t xml:space="preserve"> and attendance jumped from a daily average of 57% (prior to the initiation of MDG/F program activities) to 95% with only a small number of school drop-outs during the period.</w:t>
      </w:r>
    </w:p>
    <w:p w:rsidR="00BB01F8" w:rsidRDefault="00BB01F8" w:rsidP="00CE3BD3">
      <w:pPr>
        <w:rPr>
          <w:b/>
        </w:rPr>
      </w:pPr>
    </w:p>
    <w:p w:rsidR="00BB01F8" w:rsidRDefault="00BB01F8" w:rsidP="00CE3BD3">
      <w:pPr>
        <w:rPr>
          <w:b/>
        </w:rPr>
      </w:pPr>
    </w:p>
    <w:p w:rsidR="005852FC" w:rsidRDefault="008F05BE" w:rsidP="00013EC9">
      <w:pPr>
        <w:pStyle w:val="Heading1"/>
      </w:pPr>
      <w:bookmarkStart w:id="11" w:name="_Toc236372992"/>
      <w:r>
        <w:t>Anemia Reduction</w:t>
      </w:r>
      <w:bookmarkEnd w:id="11"/>
    </w:p>
    <w:p w:rsidR="000C6323" w:rsidRDefault="000C6323" w:rsidP="00CE3BD3">
      <w:pPr>
        <w:rPr>
          <w:b/>
        </w:rPr>
      </w:pPr>
    </w:p>
    <w:p w:rsidR="00EC7E02" w:rsidRDefault="000C6323" w:rsidP="000C6323">
      <w:r>
        <w:t>The PCA finding</w:t>
      </w:r>
      <w:r w:rsidR="007A6161">
        <w:t>s pertinent to the anemia reduction</w:t>
      </w:r>
      <w:r>
        <w:t xml:space="preserve"> component – Outcome 4 of the program, are presented in Figure </w:t>
      </w:r>
      <w:r w:rsidR="00410512">
        <w:t>6</w:t>
      </w:r>
      <w:r>
        <w:t xml:space="preserve"> below.</w:t>
      </w:r>
      <w:r w:rsidR="00EC7E02">
        <w:t xml:space="preserve"> Here, the constraints identified by project managers, service providers and beneficiaries raise major issues about this component – and about future efforts to address anemia reduction in the country.</w:t>
      </w:r>
    </w:p>
    <w:p w:rsidR="00EC7E02" w:rsidRDefault="00EC7E02" w:rsidP="000C6323"/>
    <w:p w:rsidR="00EC7E02" w:rsidRDefault="00EC7E02" w:rsidP="000C6323">
      <w:r>
        <w:t>The first issue, inadequate iron-folate supply at facilities</w:t>
      </w:r>
      <w:r w:rsidR="00BF589C">
        <w:t>,</w:t>
      </w:r>
      <w:r>
        <w:t xml:space="preserve"> raises an important issue about facility supply organization, and the need for easy re-ordering mechanisms, utilizing cell phones, as stocks reach pre-determined levels of diminution. Multiple international studies have found the major constraint inhibiting iron-folate intake in pregnancy to be supply const</w:t>
      </w:r>
      <w:r w:rsidR="00BF589C">
        <w:t>raints, not compliance</w:t>
      </w:r>
      <w:r>
        <w:t xml:space="preserve"> issues.</w:t>
      </w:r>
    </w:p>
    <w:p w:rsidR="00EC7E02" w:rsidRDefault="00EC7E02" w:rsidP="000C6323"/>
    <w:p w:rsidR="00EC7E02" w:rsidRDefault="00EC7E02" w:rsidP="000C6323">
      <w:r>
        <w:t xml:space="preserve">The second issue, also serious, is the concern that even pregnant women who consume iron-folate during pregnancy often continue to be anemic. The problem here is one of pre-pregnancy iron stores. Critically needed in the country is the weekly distribution of iron tablets to adolescent girls, including those no longer in school. Such distribution can and should be coupled with counseling on </w:t>
      </w:r>
      <w:r w:rsidR="004724CB">
        <w:t xml:space="preserve">life </w:t>
      </w:r>
      <w:r w:rsidR="00BF589C">
        <w:t>skills</w:t>
      </w:r>
      <w:r w:rsidR="004724CB">
        <w:t xml:space="preserve"> including nutrition and reproductive health. Ultimately, the Bangladesh Government also will need to wrestle with inter-pregnancy iron stores and how best to address this problem.</w:t>
      </w:r>
    </w:p>
    <w:p w:rsidR="007A6161" w:rsidRDefault="007A6161" w:rsidP="000C6323"/>
    <w:p w:rsidR="007A6161" w:rsidRDefault="00216E58" w:rsidP="000C6323">
      <w:r>
        <w:t>There was some initial hesitancy by beneficiary mothers provided with</w:t>
      </w:r>
      <w:r w:rsidR="007A6161">
        <w:t xml:space="preserve"> multi-micronutrient powders (MNP</w:t>
      </w:r>
      <w:r>
        <w:t>.</w:t>
      </w:r>
      <w:r w:rsidR="007A6161">
        <w:t xml:space="preserve">) </w:t>
      </w:r>
      <w:r>
        <w:t xml:space="preserve">Concerns also were raised about </w:t>
      </w:r>
      <w:r w:rsidR="00056832">
        <w:t xml:space="preserve">MNP </w:t>
      </w:r>
      <w:r>
        <w:t>supply shortages</w:t>
      </w:r>
      <w:r w:rsidR="00056832">
        <w:t>.</w:t>
      </w:r>
    </w:p>
    <w:p w:rsidR="00E35024" w:rsidRDefault="00E35024" w:rsidP="000C6323"/>
    <w:p w:rsidR="00E35024" w:rsidRDefault="00E35024" w:rsidP="000C6323">
      <w:r>
        <w:t xml:space="preserve">Unfortunately, at this writing, endline survey results on actual anemia reduction are not yet available. </w:t>
      </w:r>
    </w:p>
    <w:p w:rsidR="00A709D9" w:rsidRDefault="00A709D9" w:rsidP="000C6323"/>
    <w:p w:rsidR="00A709D9" w:rsidRDefault="00A709D9" w:rsidP="000C6323"/>
    <w:p w:rsidR="00A709D9" w:rsidRDefault="00A709D9" w:rsidP="00A709D9">
      <w:pPr>
        <w:pStyle w:val="Caption"/>
      </w:pPr>
      <w:bookmarkStart w:id="12" w:name="_Toc234064071"/>
      <w:r>
        <w:t xml:space="preserve">Figure </w:t>
      </w:r>
      <w:r w:rsidR="007973C1">
        <w:fldChar w:fldCharType="begin"/>
      </w:r>
      <w:r w:rsidR="007973C1">
        <w:instrText xml:space="preserve"> SEQ Figure \* ARABIC </w:instrText>
      </w:r>
      <w:r w:rsidR="007973C1">
        <w:fldChar w:fldCharType="separate"/>
      </w:r>
      <w:r w:rsidR="009B1310">
        <w:rPr>
          <w:noProof/>
        </w:rPr>
        <w:t>5</w:t>
      </w:r>
      <w:r w:rsidR="007973C1">
        <w:rPr>
          <w:noProof/>
        </w:rPr>
        <w:fldChar w:fldCharType="end"/>
      </w:r>
      <w:r>
        <w:t>: Three Families in Bamna</w:t>
      </w:r>
      <w:bookmarkEnd w:id="12"/>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56"/>
      </w:tblGrid>
      <w:tr w:rsidR="00A709D9" w:rsidTr="00A709D9">
        <w:trPr>
          <w:trHeight w:val="4346"/>
        </w:trPr>
        <w:tc>
          <w:tcPr>
            <w:tcW w:w="8856" w:type="dxa"/>
            <w:vAlign w:val="center"/>
          </w:tcPr>
          <w:p w:rsidR="00A709D9" w:rsidRDefault="00A709D9" w:rsidP="00A709D9">
            <w:pPr>
              <w:ind w:left="720" w:hanging="720"/>
            </w:pPr>
            <w:r>
              <w:rPr>
                <w:b/>
              </w:rPr>
              <w:t>Family 1:</w:t>
            </w:r>
            <w:r>
              <w:t xml:space="preserve"> Woman was married at 14, has four children, all of them undernourished. One died shortly after delivery. The family has no land; the man is an agricultural laborer. Under the project she received a goat which died within a week. She had been given a cell phone number to call in case of problems, but when she calls, she gets no reply. </w:t>
            </w:r>
          </w:p>
          <w:p w:rsidR="00A709D9" w:rsidRDefault="00A709D9" w:rsidP="00A709D9"/>
          <w:p w:rsidR="00A709D9" w:rsidRDefault="00A709D9" w:rsidP="00A709D9">
            <w:pPr>
              <w:ind w:left="720" w:hanging="720"/>
            </w:pPr>
            <w:r w:rsidRPr="0082342E">
              <w:rPr>
                <w:b/>
              </w:rPr>
              <w:t>Family 2:</w:t>
            </w:r>
            <w:r>
              <w:t xml:space="preserve"> The mother in this family finished her schooling and married at 25. They have two daughters and aren’t planning to have more children despite some marginal complaints from the man’s mother. The father helps with child care. </w:t>
            </w:r>
          </w:p>
          <w:p w:rsidR="00A709D9" w:rsidRDefault="00A709D9" w:rsidP="00A709D9">
            <w:pPr>
              <w:ind w:left="720" w:hanging="720"/>
            </w:pPr>
          </w:p>
          <w:p w:rsidR="00A709D9" w:rsidRDefault="00A709D9" w:rsidP="00A709D9">
            <w:pPr>
              <w:ind w:left="720" w:hanging="720"/>
            </w:pPr>
            <w:r>
              <w:rPr>
                <w:b/>
              </w:rPr>
              <w:t>Family 3:</w:t>
            </w:r>
            <w:r>
              <w:t xml:space="preserve"> The family, economically better off, is receiving project benefits only because one child was born premature and fell into the SAM category (meaning program benefits) when measured. The family consumes lots of processed food and is already caught in “the nutrition transition” with family members headed toward overweight and obesity.</w:t>
            </w:r>
          </w:p>
        </w:tc>
      </w:tr>
    </w:tbl>
    <w:p w:rsidR="00A709D9" w:rsidRDefault="00A709D9" w:rsidP="000C6323"/>
    <w:p w:rsidR="004724CB" w:rsidRDefault="004724CB" w:rsidP="000C6323"/>
    <w:p w:rsidR="00053013" w:rsidRDefault="00053013" w:rsidP="000C6323"/>
    <w:p w:rsidR="0082342E" w:rsidRDefault="0082342E" w:rsidP="000C6323">
      <w:pPr>
        <w:rPr>
          <w:b/>
          <w:u w:val="single"/>
        </w:rPr>
      </w:pPr>
    </w:p>
    <w:p w:rsidR="00BE623D" w:rsidRPr="00BE623D" w:rsidRDefault="00BE623D" w:rsidP="000C6323">
      <w:pPr>
        <w:rPr>
          <w:b/>
          <w:u w:val="single"/>
        </w:rPr>
      </w:pPr>
    </w:p>
    <w:p w:rsidR="0082342E" w:rsidRDefault="0082342E" w:rsidP="0015704E">
      <w:pPr>
        <w:pStyle w:val="Caption"/>
      </w:pPr>
      <w:bookmarkStart w:id="13" w:name="_Toc234064072"/>
      <w:r>
        <w:t xml:space="preserve">Figure </w:t>
      </w:r>
      <w:r w:rsidR="007973C1">
        <w:fldChar w:fldCharType="begin"/>
      </w:r>
      <w:r w:rsidR="007973C1">
        <w:instrText xml:space="preserve"> SEQ Figure \* ARABIC </w:instrText>
      </w:r>
      <w:r w:rsidR="007973C1">
        <w:fldChar w:fldCharType="separate"/>
      </w:r>
      <w:r w:rsidR="009B1310">
        <w:rPr>
          <w:noProof/>
        </w:rPr>
        <w:t>6</w:t>
      </w:r>
      <w:r w:rsidR="007973C1">
        <w:rPr>
          <w:noProof/>
        </w:rPr>
        <w:fldChar w:fldCharType="end"/>
      </w:r>
      <w:r>
        <w:t>: Program Constraints Assessment - Anemia</w:t>
      </w:r>
      <w:bookmarkEnd w:id="13"/>
    </w:p>
    <w:tbl>
      <w:tblPr>
        <w:tblStyle w:val="MediumGrid1-Accent1"/>
        <w:tblW w:w="0" w:type="auto"/>
        <w:tblLook w:val="04A0" w:firstRow="1" w:lastRow="0" w:firstColumn="1" w:lastColumn="0" w:noHBand="0" w:noVBand="1"/>
      </w:tblPr>
      <w:tblGrid>
        <w:gridCol w:w="2214"/>
        <w:gridCol w:w="2214"/>
        <w:gridCol w:w="2214"/>
        <w:gridCol w:w="2214"/>
      </w:tblGrid>
      <w:tr w:rsidR="0082342E" w:rsidRPr="00B8132C" w:rsidTr="0015704E">
        <w:trPr>
          <w:cnfStyle w:val="100000000000" w:firstRow="1" w:lastRow="0" w:firstColumn="0" w:lastColumn="0" w:oddVBand="0" w:evenVBand="0" w:oddHBand="0"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214" w:type="dxa"/>
          </w:tcPr>
          <w:p w:rsidR="0082342E" w:rsidRPr="00B8132C" w:rsidRDefault="0082342E" w:rsidP="0082342E">
            <w:pPr>
              <w:jc w:val="center"/>
            </w:pPr>
            <w:r w:rsidRPr="00B8132C">
              <w:t>Constraint</w:t>
            </w:r>
          </w:p>
        </w:tc>
        <w:tc>
          <w:tcPr>
            <w:tcW w:w="2214" w:type="dxa"/>
          </w:tcPr>
          <w:p w:rsidR="0082342E" w:rsidRPr="00B8132C" w:rsidRDefault="0082342E" w:rsidP="0082342E">
            <w:pPr>
              <w:jc w:val="center"/>
              <w:cnfStyle w:val="100000000000" w:firstRow="1" w:lastRow="0" w:firstColumn="0" w:lastColumn="0" w:oddVBand="0" w:evenVBand="0" w:oddHBand="0" w:evenHBand="0" w:firstRowFirstColumn="0" w:firstRowLastColumn="0" w:lastRowFirstColumn="0" w:lastRowLastColumn="0"/>
            </w:pPr>
            <w:r w:rsidRPr="00B8132C">
              <w:t>Technology Suggestions</w:t>
            </w:r>
          </w:p>
        </w:tc>
        <w:tc>
          <w:tcPr>
            <w:tcW w:w="2214" w:type="dxa"/>
          </w:tcPr>
          <w:p w:rsidR="0082342E" w:rsidRPr="00B8132C" w:rsidRDefault="0082342E" w:rsidP="0082342E">
            <w:pPr>
              <w:jc w:val="center"/>
              <w:cnfStyle w:val="100000000000" w:firstRow="1" w:lastRow="0" w:firstColumn="0" w:lastColumn="0" w:oddVBand="0" w:evenVBand="0" w:oddHBand="0" w:evenHBand="0" w:firstRowFirstColumn="0" w:firstRowLastColumn="0" w:lastRowFirstColumn="0" w:lastRowLastColumn="0"/>
            </w:pPr>
            <w:r w:rsidRPr="00B8132C">
              <w:t>Policy Suggestions</w:t>
            </w:r>
          </w:p>
        </w:tc>
        <w:tc>
          <w:tcPr>
            <w:tcW w:w="2214" w:type="dxa"/>
          </w:tcPr>
          <w:p w:rsidR="0082342E" w:rsidRPr="00B8132C" w:rsidRDefault="0082342E" w:rsidP="0082342E">
            <w:pPr>
              <w:jc w:val="center"/>
              <w:cnfStyle w:val="100000000000" w:firstRow="1" w:lastRow="0" w:firstColumn="0" w:lastColumn="0" w:oddVBand="0" w:evenVBand="0" w:oddHBand="0" w:evenHBand="0" w:firstRowFirstColumn="0" w:firstRowLastColumn="0" w:lastRowFirstColumn="0" w:lastRowLastColumn="0"/>
            </w:pPr>
            <w:r w:rsidRPr="00B8132C">
              <w:t>Research &amp; Training Suggestions</w:t>
            </w:r>
          </w:p>
        </w:tc>
      </w:tr>
      <w:tr w:rsidR="0082342E" w:rsidRPr="00F65CEA" w:rsidTr="0015704E">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2214" w:type="dxa"/>
          </w:tcPr>
          <w:p w:rsidR="0082342E" w:rsidRPr="00B8132C" w:rsidRDefault="0082342E" w:rsidP="0082342E">
            <w:pPr>
              <w:rPr>
                <w:b w:val="0"/>
              </w:rPr>
            </w:pPr>
            <w:r w:rsidRPr="00B8132C">
              <w:rPr>
                <w:b w:val="0"/>
              </w:rPr>
              <w:t xml:space="preserve">1. </w:t>
            </w:r>
            <w:r>
              <w:rPr>
                <w:b w:val="0"/>
              </w:rPr>
              <w:t>Iron folate for pregnant women often not available in facilities</w:t>
            </w:r>
          </w:p>
        </w:tc>
        <w:tc>
          <w:tcPr>
            <w:tcW w:w="2214" w:type="dxa"/>
          </w:tcPr>
          <w:p w:rsidR="0082342E" w:rsidRPr="00F65CEA" w:rsidRDefault="0082342E" w:rsidP="0082342E">
            <w:pPr>
              <w:cnfStyle w:val="000000100000" w:firstRow="0" w:lastRow="0" w:firstColumn="0" w:lastColumn="0" w:oddVBand="0" w:evenVBand="0" w:oddHBand="1" w:evenHBand="0" w:firstRowFirstColumn="0" w:firstRowLastColumn="0" w:lastRowFirstColumn="0" w:lastRowLastColumn="0"/>
            </w:pPr>
          </w:p>
        </w:tc>
        <w:tc>
          <w:tcPr>
            <w:tcW w:w="2214" w:type="dxa"/>
          </w:tcPr>
          <w:p w:rsidR="0082342E" w:rsidRPr="00F65CEA" w:rsidRDefault="0082342E" w:rsidP="0082342E">
            <w:pPr>
              <w:cnfStyle w:val="000000100000" w:firstRow="0" w:lastRow="0" w:firstColumn="0" w:lastColumn="0" w:oddVBand="0" w:evenVBand="0" w:oddHBand="1" w:evenHBand="0" w:firstRowFirstColumn="0" w:firstRowLastColumn="0" w:lastRowFirstColumn="0" w:lastRowLastColumn="0"/>
            </w:pPr>
            <w:r>
              <w:t xml:space="preserve">Recommend updated stock and re-ordering procedures to </w:t>
            </w:r>
            <w:r w:rsidR="0015704E">
              <w:t>government</w:t>
            </w:r>
          </w:p>
        </w:tc>
        <w:tc>
          <w:tcPr>
            <w:tcW w:w="2214" w:type="dxa"/>
          </w:tcPr>
          <w:p w:rsidR="0082342E" w:rsidRPr="00F65CEA" w:rsidRDefault="0015704E" w:rsidP="0082342E">
            <w:pPr>
              <w:cnfStyle w:val="000000100000" w:firstRow="0" w:lastRow="0" w:firstColumn="0" w:lastColumn="0" w:oddVBand="0" w:evenVBand="0" w:oddHBand="1" w:evenHBand="0" w:firstRowFirstColumn="0" w:firstRowLastColumn="0" w:lastRowFirstColumn="0" w:lastRowLastColumn="0"/>
            </w:pPr>
            <w:r>
              <w:t>Examine government stock and re-ordering procedures.</w:t>
            </w:r>
          </w:p>
        </w:tc>
      </w:tr>
      <w:tr w:rsidR="0082342E" w:rsidRPr="00F65CEA" w:rsidTr="0015704E">
        <w:trPr>
          <w:trHeight w:val="2329"/>
        </w:trPr>
        <w:tc>
          <w:tcPr>
            <w:cnfStyle w:val="001000000000" w:firstRow="0" w:lastRow="0" w:firstColumn="1" w:lastColumn="0" w:oddVBand="0" w:evenVBand="0" w:oddHBand="0" w:evenHBand="0" w:firstRowFirstColumn="0" w:firstRowLastColumn="0" w:lastRowFirstColumn="0" w:lastRowLastColumn="0"/>
            <w:tcW w:w="2214" w:type="dxa"/>
          </w:tcPr>
          <w:p w:rsidR="0082342E" w:rsidRPr="00B8132C" w:rsidRDefault="0082342E" w:rsidP="0082342E">
            <w:pPr>
              <w:rPr>
                <w:b w:val="0"/>
              </w:rPr>
            </w:pPr>
            <w:r>
              <w:rPr>
                <w:b w:val="0"/>
              </w:rPr>
              <w:t>2. Pregnant women still anemic despite iron/folate distribution and consumption</w:t>
            </w:r>
          </w:p>
        </w:tc>
        <w:tc>
          <w:tcPr>
            <w:tcW w:w="2214" w:type="dxa"/>
          </w:tcPr>
          <w:p w:rsidR="0082342E" w:rsidRPr="00F65CEA" w:rsidRDefault="0082342E" w:rsidP="0082342E">
            <w:pPr>
              <w:cnfStyle w:val="000000000000" w:firstRow="0" w:lastRow="0" w:firstColumn="0" w:lastColumn="0" w:oddVBand="0" w:evenVBand="0" w:oddHBand="0" w:evenHBand="0" w:firstRowFirstColumn="0" w:firstRowLastColumn="0" w:lastRowFirstColumn="0" w:lastRowLastColumn="0"/>
            </w:pPr>
          </w:p>
        </w:tc>
        <w:tc>
          <w:tcPr>
            <w:tcW w:w="2214" w:type="dxa"/>
          </w:tcPr>
          <w:p w:rsidR="0082342E" w:rsidRPr="00F65CEA" w:rsidRDefault="0082342E" w:rsidP="0082342E">
            <w:pPr>
              <w:cnfStyle w:val="000000000000" w:firstRow="0" w:lastRow="0" w:firstColumn="0" w:lastColumn="0" w:oddVBand="0" w:evenVBand="0" w:oddHBand="0" w:evenHBand="0" w:firstRowFirstColumn="0" w:firstRowLastColumn="0" w:lastRowFirstColumn="0" w:lastRowLastColumn="0"/>
            </w:pPr>
            <w:r>
              <w:t>Introduce weekly iron supplementation for adolescent girls together with life skills learning</w:t>
            </w:r>
            <w:r w:rsidR="0015704E">
              <w:t>. Include out of school girls.</w:t>
            </w:r>
          </w:p>
        </w:tc>
        <w:tc>
          <w:tcPr>
            <w:tcW w:w="2214" w:type="dxa"/>
          </w:tcPr>
          <w:p w:rsidR="0082342E" w:rsidRPr="00F65CEA" w:rsidRDefault="0082342E" w:rsidP="0082342E">
            <w:pPr>
              <w:cnfStyle w:val="000000000000" w:firstRow="0" w:lastRow="0" w:firstColumn="0" w:lastColumn="0" w:oddVBand="0" w:evenVBand="0" w:oddHBand="0" w:evenHBand="0" w:firstRowFirstColumn="0" w:firstRowLastColumn="0" w:lastRowFirstColumn="0" w:lastRowLastColumn="0"/>
            </w:pPr>
          </w:p>
        </w:tc>
      </w:tr>
    </w:tbl>
    <w:p w:rsidR="004724CB" w:rsidRPr="004724CB" w:rsidRDefault="004724CB" w:rsidP="000C6323">
      <w:pPr>
        <w:rPr>
          <w:b/>
        </w:rPr>
      </w:pPr>
    </w:p>
    <w:p w:rsidR="000C6323" w:rsidRPr="008F05BE" w:rsidRDefault="000C6323" w:rsidP="00CE3BD3">
      <w:pPr>
        <w:rPr>
          <w:b/>
        </w:rPr>
      </w:pPr>
    </w:p>
    <w:p w:rsidR="00961009" w:rsidRDefault="004724CB" w:rsidP="0015704E">
      <w:pPr>
        <w:pStyle w:val="Heading1"/>
      </w:pPr>
      <w:bookmarkStart w:id="14" w:name="_Toc236372993"/>
      <w:r>
        <w:t>Outcome 5: Data/Information</w:t>
      </w:r>
      <w:bookmarkEnd w:id="14"/>
    </w:p>
    <w:p w:rsidR="004724CB" w:rsidRDefault="004724CB" w:rsidP="00CE3BD3">
      <w:pPr>
        <w:rPr>
          <w:b/>
        </w:rPr>
      </w:pPr>
    </w:p>
    <w:p w:rsidR="006D5346" w:rsidRPr="006D5346" w:rsidRDefault="006D5346" w:rsidP="00D94BF7">
      <w:pPr>
        <w:pStyle w:val="BodyText"/>
        <w:rPr>
          <w:rFonts w:asciiTheme="minorHAnsi" w:hAnsiTheme="minorHAnsi"/>
          <w:sz w:val="24"/>
          <w:szCs w:val="24"/>
        </w:rPr>
      </w:pPr>
      <w:r w:rsidRPr="006D5346">
        <w:rPr>
          <w:rFonts w:asciiTheme="minorHAnsi" w:hAnsiTheme="minorHAnsi"/>
          <w:sz w:val="24"/>
          <w:szCs w:val="24"/>
        </w:rPr>
        <w:t>The Outcome 5 effort to improve nutrition and food security-related data and information produced an important health/nutrition assessmen</w:t>
      </w:r>
      <w:r w:rsidR="008F07AF">
        <w:rPr>
          <w:rFonts w:asciiTheme="minorHAnsi" w:hAnsiTheme="minorHAnsi"/>
          <w:sz w:val="24"/>
          <w:szCs w:val="24"/>
        </w:rPr>
        <w:t>t of urban slums in the country;</w:t>
      </w:r>
      <w:r w:rsidRPr="006D5346">
        <w:rPr>
          <w:rFonts w:asciiTheme="minorHAnsi" w:hAnsiTheme="minorHAnsi"/>
          <w:sz w:val="24"/>
          <w:szCs w:val="24"/>
        </w:rPr>
        <w:t xml:space="preserve"> a valuable mapping exercise</w:t>
      </w:r>
      <w:r w:rsidR="008F07AF">
        <w:rPr>
          <w:rFonts w:asciiTheme="minorHAnsi" w:hAnsiTheme="minorHAnsi"/>
          <w:sz w:val="24"/>
          <w:szCs w:val="24"/>
        </w:rPr>
        <w:t xml:space="preserve"> identifying the specific government, NGO and development partner initiatives nutrition inputs in each of the country’s geographic areas; </w:t>
      </w:r>
      <w:r w:rsidRPr="006D5346">
        <w:rPr>
          <w:rFonts w:asciiTheme="minorHAnsi" w:hAnsiTheme="minorHAnsi"/>
          <w:sz w:val="24"/>
          <w:szCs w:val="24"/>
        </w:rPr>
        <w:t xml:space="preserve">and studies </w:t>
      </w:r>
      <w:r w:rsidR="008F07AF">
        <w:rPr>
          <w:rFonts w:asciiTheme="minorHAnsi" w:hAnsiTheme="minorHAnsi"/>
          <w:sz w:val="24"/>
          <w:szCs w:val="24"/>
        </w:rPr>
        <w:t>on women’s empowerment</w:t>
      </w:r>
      <w:r w:rsidR="00EC3628">
        <w:rPr>
          <w:rFonts w:asciiTheme="minorHAnsi" w:hAnsiTheme="minorHAnsi"/>
          <w:sz w:val="24"/>
          <w:szCs w:val="24"/>
        </w:rPr>
        <w:t>,</w:t>
      </w:r>
      <w:r w:rsidR="008F07AF">
        <w:rPr>
          <w:rFonts w:asciiTheme="minorHAnsi" w:hAnsiTheme="minorHAnsi"/>
          <w:sz w:val="24"/>
          <w:szCs w:val="24"/>
        </w:rPr>
        <w:t xml:space="preserve"> </w:t>
      </w:r>
      <w:r w:rsidR="00EA073A">
        <w:rPr>
          <w:rFonts w:asciiTheme="minorHAnsi" w:hAnsiTheme="minorHAnsi"/>
          <w:sz w:val="24"/>
          <w:szCs w:val="24"/>
        </w:rPr>
        <w:t xml:space="preserve">comparison of anthropometric measures, </w:t>
      </w:r>
      <w:r w:rsidR="00EC3628">
        <w:rPr>
          <w:rFonts w:asciiTheme="minorHAnsi" w:hAnsiTheme="minorHAnsi"/>
          <w:sz w:val="24"/>
          <w:szCs w:val="24"/>
        </w:rPr>
        <w:t>and nutrition education</w:t>
      </w:r>
      <w:r w:rsidR="008F07AF">
        <w:rPr>
          <w:rFonts w:asciiTheme="minorHAnsi" w:hAnsiTheme="minorHAnsi"/>
          <w:sz w:val="24"/>
          <w:szCs w:val="24"/>
        </w:rPr>
        <w:t>. Outcome 5 expenditures also</w:t>
      </w:r>
      <w:r w:rsidRPr="006D5346">
        <w:rPr>
          <w:rFonts w:asciiTheme="minorHAnsi" w:hAnsiTheme="minorHAnsi"/>
          <w:sz w:val="24"/>
          <w:szCs w:val="24"/>
        </w:rPr>
        <w:t xml:space="preserve"> permitted the development of an integrated database likely to be useful in future multisectoral pursuits</w:t>
      </w:r>
    </w:p>
    <w:p w:rsidR="006D5346" w:rsidRDefault="006D5346" w:rsidP="00D94BF7">
      <w:pPr>
        <w:pStyle w:val="BodyText"/>
        <w:rPr>
          <w:rFonts w:asciiTheme="minorHAnsi" w:hAnsiTheme="minorHAnsi"/>
          <w:sz w:val="24"/>
          <w:szCs w:val="24"/>
        </w:rPr>
      </w:pPr>
    </w:p>
    <w:p w:rsidR="00D94BF7" w:rsidRDefault="006D5346" w:rsidP="00D94BF7">
      <w:pPr>
        <w:pStyle w:val="BodyText"/>
        <w:rPr>
          <w:rFonts w:asciiTheme="minorHAnsi" w:hAnsiTheme="minorHAnsi"/>
          <w:sz w:val="24"/>
          <w:szCs w:val="24"/>
        </w:rPr>
      </w:pPr>
      <w:r>
        <w:rPr>
          <w:rFonts w:asciiTheme="minorHAnsi" w:hAnsiTheme="minorHAnsi"/>
          <w:sz w:val="24"/>
          <w:szCs w:val="24"/>
        </w:rPr>
        <w:t xml:space="preserve">In connection with Outcome 5, </w:t>
      </w:r>
      <w:r w:rsidR="00D94BF7" w:rsidRPr="00D94BF7">
        <w:rPr>
          <w:rFonts w:asciiTheme="minorHAnsi" w:hAnsiTheme="minorHAnsi"/>
          <w:sz w:val="24"/>
          <w:szCs w:val="24"/>
        </w:rPr>
        <w:t xml:space="preserve">it is noteworthy that the Food Security and Nutrition </w:t>
      </w:r>
      <w:r w:rsidR="00D60853">
        <w:rPr>
          <w:rFonts w:asciiTheme="minorHAnsi" w:hAnsiTheme="minorHAnsi"/>
          <w:sz w:val="24"/>
          <w:szCs w:val="24"/>
        </w:rPr>
        <w:t>Surveillance Project (FSNSP</w:t>
      </w:r>
      <w:r w:rsidR="00D94BF7" w:rsidRPr="00D94BF7">
        <w:rPr>
          <w:rFonts w:asciiTheme="minorHAnsi" w:hAnsiTheme="minorHAnsi"/>
          <w:sz w:val="24"/>
          <w:szCs w:val="24"/>
        </w:rPr>
        <w:t>) implemented by BRAC</w:t>
      </w:r>
      <w:r w:rsidR="00D60853">
        <w:rPr>
          <w:rFonts w:asciiTheme="minorHAnsi" w:hAnsiTheme="minorHAnsi"/>
          <w:sz w:val="24"/>
          <w:szCs w:val="24"/>
        </w:rPr>
        <w:t xml:space="preserve">, the Bangladesh Bureau of Statistics and Helen Keller </w:t>
      </w:r>
      <w:r w:rsidR="00B0068A">
        <w:rPr>
          <w:rFonts w:asciiTheme="minorHAnsi" w:hAnsiTheme="minorHAnsi"/>
          <w:sz w:val="24"/>
          <w:szCs w:val="24"/>
        </w:rPr>
        <w:t>International,</w:t>
      </w:r>
      <w:r w:rsidR="00D94BF7" w:rsidRPr="00D94BF7">
        <w:rPr>
          <w:rFonts w:asciiTheme="minorHAnsi" w:hAnsiTheme="minorHAnsi"/>
          <w:sz w:val="24"/>
          <w:szCs w:val="24"/>
        </w:rPr>
        <w:t xml:space="preserve"> carries out quarterly food security assessments in key ecological zones in the country.</w:t>
      </w:r>
      <w:r w:rsidR="00D94BF7">
        <w:rPr>
          <w:rFonts w:asciiTheme="minorHAnsi" w:hAnsiTheme="minorHAnsi"/>
          <w:sz w:val="24"/>
          <w:szCs w:val="24"/>
        </w:rPr>
        <w:t xml:space="preserve"> The conduct of such surveys of high quality and with such frequency is rare internationally, and, given the high prevalence of food insecurity in the country, of great potential value. </w:t>
      </w:r>
      <w:r w:rsidR="009D48B0">
        <w:rPr>
          <w:rFonts w:asciiTheme="minorHAnsi" w:hAnsiTheme="minorHAnsi"/>
          <w:sz w:val="24"/>
          <w:szCs w:val="24"/>
        </w:rPr>
        <w:t>Unfortunately, little actual use is made of the data at the national or sub-national level. One might have imagined the establishment of a mechanism under Outcome 5 to put in place in the Barisal region a response mechanism to be triggered when data from these surveys reveals a marked deterioration in food security levels.</w:t>
      </w:r>
    </w:p>
    <w:p w:rsidR="009D48B0" w:rsidRDefault="009D48B0" w:rsidP="00D94BF7">
      <w:pPr>
        <w:pStyle w:val="BodyText"/>
        <w:rPr>
          <w:rFonts w:asciiTheme="minorHAnsi" w:hAnsiTheme="minorHAnsi"/>
          <w:sz w:val="24"/>
          <w:szCs w:val="24"/>
        </w:rPr>
      </w:pPr>
    </w:p>
    <w:p w:rsidR="009D48B0" w:rsidRPr="00D94BF7" w:rsidRDefault="009D48B0" w:rsidP="00D94BF7">
      <w:pPr>
        <w:pStyle w:val="BodyText"/>
        <w:rPr>
          <w:rFonts w:asciiTheme="minorHAnsi" w:hAnsiTheme="minorHAnsi"/>
          <w:sz w:val="24"/>
          <w:szCs w:val="24"/>
        </w:rPr>
      </w:pPr>
      <w:r>
        <w:rPr>
          <w:rFonts w:asciiTheme="minorHAnsi" w:hAnsiTheme="minorHAnsi"/>
          <w:sz w:val="24"/>
          <w:szCs w:val="24"/>
        </w:rPr>
        <w:t>As indicated, the 9 question food insecu</w:t>
      </w:r>
      <w:r w:rsidR="00D60853">
        <w:rPr>
          <w:rFonts w:asciiTheme="minorHAnsi" w:hAnsiTheme="minorHAnsi"/>
          <w:sz w:val="24"/>
          <w:szCs w:val="24"/>
        </w:rPr>
        <w:t>rity scoring system used by FSN</w:t>
      </w:r>
      <w:r>
        <w:rPr>
          <w:rFonts w:asciiTheme="minorHAnsi" w:hAnsiTheme="minorHAnsi"/>
          <w:sz w:val="24"/>
          <w:szCs w:val="24"/>
        </w:rPr>
        <w:t>S</w:t>
      </w:r>
      <w:r w:rsidR="00D60853">
        <w:rPr>
          <w:rFonts w:asciiTheme="minorHAnsi" w:hAnsiTheme="minorHAnsi"/>
          <w:sz w:val="24"/>
          <w:szCs w:val="24"/>
        </w:rPr>
        <w:t>P</w:t>
      </w:r>
      <w:r>
        <w:rPr>
          <w:rFonts w:asciiTheme="minorHAnsi" w:hAnsiTheme="minorHAnsi"/>
          <w:sz w:val="24"/>
          <w:szCs w:val="24"/>
        </w:rPr>
        <w:t xml:space="preserve"> might be an ideal means of identifying households in programs such as the MDG/F for food security assistance.</w:t>
      </w:r>
    </w:p>
    <w:p w:rsidR="004724CB" w:rsidRPr="00D94BF7" w:rsidRDefault="004724CB" w:rsidP="00CE3BD3">
      <w:r w:rsidRPr="00D94BF7">
        <w:t xml:space="preserve"> </w:t>
      </w:r>
    </w:p>
    <w:p w:rsidR="00961009" w:rsidRDefault="00961009" w:rsidP="00CE3BD3">
      <w:pPr>
        <w:rPr>
          <w:b/>
        </w:rPr>
      </w:pPr>
    </w:p>
    <w:p w:rsidR="00183034" w:rsidRDefault="00183034" w:rsidP="0015704E">
      <w:pPr>
        <w:pStyle w:val="Heading1"/>
      </w:pPr>
      <w:bookmarkStart w:id="15" w:name="_Toc236372994"/>
      <w:r>
        <w:t>Women’s Empowerment</w:t>
      </w:r>
      <w:bookmarkEnd w:id="15"/>
    </w:p>
    <w:p w:rsidR="00183034" w:rsidRDefault="00183034" w:rsidP="00CE3BD3">
      <w:pPr>
        <w:rPr>
          <w:b/>
        </w:rPr>
      </w:pPr>
    </w:p>
    <w:p w:rsidR="00183034" w:rsidRDefault="00183034" w:rsidP="00CE3BD3">
      <w:r>
        <w:t>Although the issue</w:t>
      </w:r>
      <w:r w:rsidR="00D3763D">
        <w:t xml:space="preserve">s were highlighted in the proposal, the </w:t>
      </w:r>
      <w:r>
        <w:t xml:space="preserve"> MDG/F planning team decided </w:t>
      </w:r>
      <w:r w:rsidR="00E10C54">
        <w:t>against making women’s e</w:t>
      </w:r>
      <w:r w:rsidR="00791ED1">
        <w:t xml:space="preserve">mpowerment an explicit program outcome </w:t>
      </w:r>
      <w:r w:rsidR="00E10C54">
        <w:t xml:space="preserve"> - believing at the time</w:t>
      </w:r>
      <w:r w:rsidR="00791ED1">
        <w:t xml:space="preserve"> that the planned activities might not have a major effect on this vital national need. The planners’ reticence proved unnecessary.</w:t>
      </w:r>
      <w:r w:rsidR="00A02CAF">
        <w:t xml:space="preserve"> </w:t>
      </w:r>
    </w:p>
    <w:p w:rsidR="00C81A8D" w:rsidRDefault="00C81A8D" w:rsidP="00CE3BD3"/>
    <w:p w:rsidR="00C81A8D" w:rsidRDefault="00C81A8D" w:rsidP="00CE3BD3">
      <w:r>
        <w:t>The program’s means of promoting women’s empowerment was primarily through the food security (Outcome 2) activities. In a country where low income women are highly unlikely to receive agricultural extension activity for small holding farming or homestead gardening, the formation of women’s groups through this program assured at least minimal attention. Additionally, women in program households participating in garden or small livestock activities often received earnings themselves for one or both of these activities.</w:t>
      </w:r>
    </w:p>
    <w:p w:rsidR="00A02CAF" w:rsidRDefault="00A02CAF" w:rsidP="00CE3BD3"/>
    <w:p w:rsidR="00A02CAF" w:rsidRDefault="00A02CAF" w:rsidP="00CE3BD3">
      <w:r>
        <w:t>The</w:t>
      </w:r>
      <w:r w:rsidR="00C81A8D">
        <w:t>ir</w:t>
      </w:r>
      <w:r>
        <w:t xml:space="preserve"> major role in the home garden and small livestock activities resulted in major changes in their decision making in th</w:t>
      </w:r>
      <w:r w:rsidR="00410512">
        <w:t>ese areas as indicated in Figure 7</w:t>
      </w:r>
      <w:r>
        <w:t xml:space="preserve">. </w:t>
      </w:r>
      <w:r w:rsidR="00C81A8D">
        <w:t>W</w:t>
      </w:r>
      <w:r w:rsidR="00E8135D">
        <w:t xml:space="preserve">omen in program areas </w:t>
      </w:r>
      <w:r w:rsidR="004C513C">
        <w:t>were more than one and a half times more likely than control area women to indicate that their</w:t>
      </w:r>
      <w:r w:rsidR="00E8135D">
        <w:t xml:space="preserve"> decision making role in children’s food consumption</w:t>
      </w:r>
      <w:r w:rsidR="00CD30A8">
        <w:t xml:space="preserve"> was greater than in the previous year.</w:t>
      </w:r>
      <w:r w:rsidR="00F3354A">
        <w:t xml:space="preserve"> On </w:t>
      </w:r>
      <w:r w:rsidR="00E10C54">
        <w:t>their role</w:t>
      </w:r>
      <w:r w:rsidR="00F3354A">
        <w:t xml:space="preserve"> in household decision making as a whole, program area women’s positive responses were nearly double that of women in control areas. And on gard</w:t>
      </w:r>
      <w:r w:rsidR="00E10C54">
        <w:t>en and small livestock decision-</w:t>
      </w:r>
      <w:r w:rsidR="00F3354A">
        <w:t xml:space="preserve">making, program area women’s responses were </w:t>
      </w:r>
      <w:r w:rsidR="00C27196">
        <w:t>9.9 and 6.7 times higher</w:t>
      </w:r>
      <w:r w:rsidR="00CD30A8">
        <w:t>, respectively</w:t>
      </w:r>
      <w:r w:rsidR="00C27196">
        <w:t>.</w:t>
      </w:r>
    </w:p>
    <w:p w:rsidR="00E8135D" w:rsidRDefault="00E8135D" w:rsidP="00CE3BD3">
      <w:pPr>
        <w:rPr>
          <w:b/>
        </w:rPr>
      </w:pPr>
    </w:p>
    <w:p w:rsidR="0015704E" w:rsidRDefault="0015704E" w:rsidP="0015704E">
      <w:pPr>
        <w:pStyle w:val="Caption"/>
      </w:pPr>
      <w:bookmarkStart w:id="16" w:name="_Toc234064073"/>
      <w:r>
        <w:t xml:space="preserve">Figure </w:t>
      </w:r>
      <w:r w:rsidR="007973C1">
        <w:fldChar w:fldCharType="begin"/>
      </w:r>
      <w:r w:rsidR="007973C1">
        <w:instrText xml:space="preserve"> SEQ Figure \* ARABIC </w:instrText>
      </w:r>
      <w:r w:rsidR="007973C1">
        <w:fldChar w:fldCharType="separate"/>
      </w:r>
      <w:r w:rsidR="009B1310">
        <w:rPr>
          <w:noProof/>
        </w:rPr>
        <w:t>7</w:t>
      </w:r>
      <w:r w:rsidR="007973C1">
        <w:rPr>
          <w:noProof/>
        </w:rPr>
        <w:fldChar w:fldCharType="end"/>
      </w:r>
      <w:r>
        <w:t>: Percentages of women believing their decision-making role in the household to be greater than the previous year</w:t>
      </w:r>
      <w:bookmarkEnd w:id="16"/>
    </w:p>
    <w:tbl>
      <w:tblPr>
        <w:tblStyle w:val="MediumGrid1-Accent1"/>
        <w:tblW w:w="0" w:type="auto"/>
        <w:tblLook w:val="04A0" w:firstRow="1" w:lastRow="0" w:firstColumn="1" w:lastColumn="0" w:noHBand="0" w:noVBand="1"/>
      </w:tblPr>
      <w:tblGrid>
        <w:gridCol w:w="4158"/>
        <w:gridCol w:w="2430"/>
        <w:gridCol w:w="2268"/>
      </w:tblGrid>
      <w:tr w:rsidR="0015704E" w:rsidRPr="0015704E" w:rsidTr="00157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02CAF" w:rsidRPr="0015704E" w:rsidRDefault="00E8135D" w:rsidP="00CE3BD3">
            <w:r w:rsidRPr="0015704E">
              <w:t>Type of Decision Making</w:t>
            </w:r>
          </w:p>
        </w:tc>
        <w:tc>
          <w:tcPr>
            <w:tcW w:w="2430" w:type="dxa"/>
          </w:tcPr>
          <w:p w:rsidR="00A02CAF" w:rsidRPr="0015704E" w:rsidRDefault="00A02CAF" w:rsidP="00CE3BD3">
            <w:pPr>
              <w:cnfStyle w:val="100000000000" w:firstRow="1" w:lastRow="0" w:firstColumn="0" w:lastColumn="0" w:oddVBand="0" w:evenVBand="0" w:oddHBand="0" w:evenHBand="0" w:firstRowFirstColumn="0" w:firstRowLastColumn="0" w:lastRowFirstColumn="0" w:lastRowLastColumn="0"/>
            </w:pPr>
            <w:r w:rsidRPr="0015704E">
              <w:t>Program Areas</w:t>
            </w:r>
            <w:r w:rsidR="00E8135D" w:rsidRPr="0015704E">
              <w:t xml:space="preserve"> (%)</w:t>
            </w:r>
          </w:p>
        </w:tc>
        <w:tc>
          <w:tcPr>
            <w:tcW w:w="2268" w:type="dxa"/>
          </w:tcPr>
          <w:p w:rsidR="00A02CAF" w:rsidRPr="0015704E" w:rsidRDefault="00A02CAF" w:rsidP="00CE3BD3">
            <w:pPr>
              <w:cnfStyle w:val="100000000000" w:firstRow="1" w:lastRow="0" w:firstColumn="0" w:lastColumn="0" w:oddVBand="0" w:evenVBand="0" w:oddHBand="0" w:evenHBand="0" w:firstRowFirstColumn="0" w:firstRowLastColumn="0" w:lastRowFirstColumn="0" w:lastRowLastColumn="0"/>
            </w:pPr>
            <w:r w:rsidRPr="0015704E">
              <w:t>Control Areas</w:t>
            </w:r>
            <w:r w:rsidR="00E8135D" w:rsidRPr="0015704E">
              <w:t xml:space="preserve"> (%)</w:t>
            </w:r>
          </w:p>
        </w:tc>
      </w:tr>
      <w:tr w:rsidR="0015704E"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02CAF" w:rsidRPr="0015704E" w:rsidRDefault="00E8135D" w:rsidP="00CE3BD3">
            <w:pPr>
              <w:rPr>
                <w:b w:val="0"/>
              </w:rPr>
            </w:pPr>
            <w:r w:rsidRPr="0015704E">
              <w:rPr>
                <w:b w:val="0"/>
              </w:rPr>
              <w:t>Child’s food consumption</w:t>
            </w:r>
          </w:p>
        </w:tc>
        <w:tc>
          <w:tcPr>
            <w:tcW w:w="2430" w:type="dxa"/>
            <w:vAlign w:val="center"/>
          </w:tcPr>
          <w:p w:rsidR="00A02CAF" w:rsidRDefault="00E8135D" w:rsidP="0015704E">
            <w:pPr>
              <w:jc w:val="center"/>
              <w:cnfStyle w:val="000000100000" w:firstRow="0" w:lastRow="0" w:firstColumn="0" w:lastColumn="0" w:oddVBand="0" w:evenVBand="0" w:oddHBand="1" w:evenHBand="0" w:firstRowFirstColumn="0" w:firstRowLastColumn="0" w:lastRowFirstColumn="0" w:lastRowLastColumn="0"/>
            </w:pPr>
            <w:r>
              <w:t>73.5</w:t>
            </w:r>
          </w:p>
        </w:tc>
        <w:tc>
          <w:tcPr>
            <w:tcW w:w="2268" w:type="dxa"/>
            <w:vAlign w:val="center"/>
          </w:tcPr>
          <w:p w:rsidR="00A02CAF" w:rsidRDefault="00E8135D" w:rsidP="0015704E">
            <w:pPr>
              <w:jc w:val="center"/>
              <w:cnfStyle w:val="000000100000" w:firstRow="0" w:lastRow="0" w:firstColumn="0" w:lastColumn="0" w:oddVBand="0" w:evenVBand="0" w:oddHBand="1" w:evenHBand="0" w:firstRowFirstColumn="0" w:firstRowLastColumn="0" w:lastRowFirstColumn="0" w:lastRowLastColumn="0"/>
            </w:pPr>
            <w:r>
              <w:t>41.9</w:t>
            </w:r>
          </w:p>
        </w:tc>
      </w:tr>
      <w:tr w:rsidR="0015704E" w:rsidTr="0015704E">
        <w:tc>
          <w:tcPr>
            <w:cnfStyle w:val="001000000000" w:firstRow="0" w:lastRow="0" w:firstColumn="1" w:lastColumn="0" w:oddVBand="0" w:evenVBand="0" w:oddHBand="0" w:evenHBand="0" w:firstRowFirstColumn="0" w:firstRowLastColumn="0" w:lastRowFirstColumn="0" w:lastRowLastColumn="0"/>
            <w:tcW w:w="4158" w:type="dxa"/>
          </w:tcPr>
          <w:p w:rsidR="00A02CAF" w:rsidRPr="0015704E" w:rsidRDefault="00E8135D" w:rsidP="00CE3BD3">
            <w:pPr>
              <w:rPr>
                <w:b w:val="0"/>
              </w:rPr>
            </w:pPr>
            <w:r w:rsidRPr="0015704E">
              <w:rPr>
                <w:b w:val="0"/>
              </w:rPr>
              <w:t>Garden activities</w:t>
            </w:r>
          </w:p>
        </w:tc>
        <w:tc>
          <w:tcPr>
            <w:tcW w:w="2430" w:type="dxa"/>
            <w:vAlign w:val="center"/>
          </w:tcPr>
          <w:p w:rsidR="00A02CAF" w:rsidRDefault="00E8135D" w:rsidP="0015704E">
            <w:pPr>
              <w:jc w:val="center"/>
              <w:cnfStyle w:val="000000000000" w:firstRow="0" w:lastRow="0" w:firstColumn="0" w:lastColumn="0" w:oddVBand="0" w:evenVBand="0" w:oddHBand="0" w:evenHBand="0" w:firstRowFirstColumn="0" w:firstRowLastColumn="0" w:lastRowFirstColumn="0" w:lastRowLastColumn="0"/>
            </w:pPr>
            <w:r>
              <w:t>42.7</w:t>
            </w:r>
          </w:p>
        </w:tc>
        <w:tc>
          <w:tcPr>
            <w:tcW w:w="2268" w:type="dxa"/>
            <w:vAlign w:val="center"/>
          </w:tcPr>
          <w:p w:rsidR="00A02CAF" w:rsidRDefault="00E8135D" w:rsidP="0015704E">
            <w:pPr>
              <w:jc w:val="center"/>
              <w:cnfStyle w:val="000000000000" w:firstRow="0" w:lastRow="0" w:firstColumn="0" w:lastColumn="0" w:oddVBand="0" w:evenVBand="0" w:oddHBand="0" w:evenHBand="0" w:firstRowFirstColumn="0" w:firstRowLastColumn="0" w:lastRowFirstColumn="0" w:lastRowLastColumn="0"/>
            </w:pPr>
            <w:r>
              <w:t>4.3</w:t>
            </w:r>
          </w:p>
        </w:tc>
      </w:tr>
      <w:tr w:rsidR="0015704E"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Pr>
          <w:p w:rsidR="00A02CAF" w:rsidRPr="0015704E" w:rsidRDefault="00E8135D" w:rsidP="00CE3BD3">
            <w:pPr>
              <w:rPr>
                <w:b w:val="0"/>
              </w:rPr>
            </w:pPr>
            <w:r w:rsidRPr="0015704E">
              <w:rPr>
                <w:b w:val="0"/>
              </w:rPr>
              <w:t>Small livestock activities</w:t>
            </w:r>
          </w:p>
        </w:tc>
        <w:tc>
          <w:tcPr>
            <w:tcW w:w="2430" w:type="dxa"/>
            <w:vAlign w:val="center"/>
          </w:tcPr>
          <w:p w:rsidR="00A02CAF" w:rsidRDefault="00E8135D" w:rsidP="0015704E">
            <w:pPr>
              <w:jc w:val="center"/>
              <w:cnfStyle w:val="000000100000" w:firstRow="0" w:lastRow="0" w:firstColumn="0" w:lastColumn="0" w:oddVBand="0" w:evenVBand="0" w:oddHBand="1" w:evenHBand="0" w:firstRowFirstColumn="0" w:firstRowLastColumn="0" w:lastRowFirstColumn="0" w:lastRowLastColumn="0"/>
            </w:pPr>
            <w:r>
              <w:t>22.8</w:t>
            </w:r>
          </w:p>
        </w:tc>
        <w:tc>
          <w:tcPr>
            <w:tcW w:w="2268" w:type="dxa"/>
            <w:vAlign w:val="center"/>
          </w:tcPr>
          <w:p w:rsidR="00A02CAF" w:rsidRDefault="00E8135D" w:rsidP="0015704E">
            <w:pPr>
              <w:jc w:val="center"/>
              <w:cnfStyle w:val="000000100000" w:firstRow="0" w:lastRow="0" w:firstColumn="0" w:lastColumn="0" w:oddVBand="0" w:evenVBand="0" w:oddHBand="1" w:evenHBand="0" w:firstRowFirstColumn="0" w:firstRowLastColumn="0" w:lastRowFirstColumn="0" w:lastRowLastColumn="0"/>
            </w:pPr>
            <w:r>
              <w:t>3.4</w:t>
            </w:r>
          </w:p>
        </w:tc>
      </w:tr>
      <w:tr w:rsidR="0015704E" w:rsidTr="0015704E">
        <w:tc>
          <w:tcPr>
            <w:cnfStyle w:val="001000000000" w:firstRow="0" w:lastRow="0" w:firstColumn="1" w:lastColumn="0" w:oddVBand="0" w:evenVBand="0" w:oddHBand="0" w:evenHBand="0" w:firstRowFirstColumn="0" w:firstRowLastColumn="0" w:lastRowFirstColumn="0" w:lastRowLastColumn="0"/>
            <w:tcW w:w="4158" w:type="dxa"/>
          </w:tcPr>
          <w:p w:rsidR="00A02CAF" w:rsidRPr="0015704E" w:rsidRDefault="00E8135D" w:rsidP="00CE3BD3">
            <w:pPr>
              <w:rPr>
                <w:b w:val="0"/>
              </w:rPr>
            </w:pPr>
            <w:r w:rsidRPr="0015704E">
              <w:rPr>
                <w:b w:val="0"/>
              </w:rPr>
              <w:t>Overall household decision making</w:t>
            </w:r>
          </w:p>
        </w:tc>
        <w:tc>
          <w:tcPr>
            <w:tcW w:w="2430" w:type="dxa"/>
            <w:vAlign w:val="center"/>
          </w:tcPr>
          <w:p w:rsidR="00A02CAF" w:rsidRDefault="00E8135D" w:rsidP="0015704E">
            <w:pPr>
              <w:jc w:val="center"/>
              <w:cnfStyle w:val="000000000000" w:firstRow="0" w:lastRow="0" w:firstColumn="0" w:lastColumn="0" w:oddVBand="0" w:evenVBand="0" w:oddHBand="0" w:evenHBand="0" w:firstRowFirstColumn="0" w:firstRowLastColumn="0" w:lastRowFirstColumn="0" w:lastRowLastColumn="0"/>
            </w:pPr>
            <w:r>
              <w:t>77.0</w:t>
            </w:r>
          </w:p>
        </w:tc>
        <w:tc>
          <w:tcPr>
            <w:tcW w:w="2268" w:type="dxa"/>
            <w:vAlign w:val="center"/>
          </w:tcPr>
          <w:p w:rsidR="00A02CAF" w:rsidRDefault="00E8135D" w:rsidP="0015704E">
            <w:pPr>
              <w:jc w:val="center"/>
              <w:cnfStyle w:val="000000000000" w:firstRow="0" w:lastRow="0" w:firstColumn="0" w:lastColumn="0" w:oddVBand="0" w:evenVBand="0" w:oddHBand="0" w:evenHBand="0" w:firstRowFirstColumn="0" w:firstRowLastColumn="0" w:lastRowFirstColumn="0" w:lastRowLastColumn="0"/>
            </w:pPr>
            <w:r>
              <w:t>41.9</w:t>
            </w:r>
          </w:p>
        </w:tc>
      </w:tr>
    </w:tbl>
    <w:p w:rsidR="00183034" w:rsidRDefault="00183034" w:rsidP="00CE3BD3"/>
    <w:p w:rsidR="00C27196" w:rsidRDefault="00C27196" w:rsidP="0015704E">
      <w:pPr>
        <w:pStyle w:val="Heading1"/>
      </w:pPr>
      <w:bookmarkStart w:id="17" w:name="_Toc236372995"/>
      <w:r>
        <w:t>Pregnancy Behaviors</w:t>
      </w:r>
      <w:bookmarkEnd w:id="17"/>
    </w:p>
    <w:p w:rsidR="00C27196" w:rsidRDefault="00C27196" w:rsidP="00CE3BD3">
      <w:pPr>
        <w:rPr>
          <w:b/>
        </w:rPr>
      </w:pPr>
    </w:p>
    <w:p w:rsidR="00C27196" w:rsidRDefault="00C27196" w:rsidP="00CE3BD3">
      <w:r>
        <w:t xml:space="preserve">As with women’s empowerment, the MDG/F program planners chose not to make pregnancy outcomes or behaviors a primary outcome – this recognizing that the program was providing counseling but no services. Unfortunately, no data on birthweights (or perceived size of child relative to normal) was collected at baseline or endline. Information, however, was collected on pregnancy behaviors. </w:t>
      </w:r>
    </w:p>
    <w:p w:rsidR="00C6087D" w:rsidRDefault="00C6087D" w:rsidP="00CE3BD3"/>
    <w:p w:rsidR="00C27196" w:rsidRPr="0015704E" w:rsidRDefault="00410512" w:rsidP="00CE3BD3">
      <w:r>
        <w:t>As seen in Figure 8</w:t>
      </w:r>
      <w:r w:rsidR="00C6087D">
        <w:t>, the practice of consuming more food during pregnancy (as opposed to the frequent practice of “eating down” during pregnancy) more than doubled in program areas between baseline and endline. The practice of getting more daytime rest increased slightly. The endline data suggests significant decreases in both in control areas, but without explanation.</w:t>
      </w:r>
    </w:p>
    <w:p w:rsidR="00C6087D" w:rsidRDefault="00C6087D" w:rsidP="00CE3BD3">
      <w:pPr>
        <w:rPr>
          <w:b/>
        </w:rPr>
      </w:pPr>
    </w:p>
    <w:p w:rsidR="0015704E" w:rsidRDefault="0015704E" w:rsidP="0015704E">
      <w:pPr>
        <w:pStyle w:val="Caption"/>
      </w:pPr>
      <w:bookmarkStart w:id="18" w:name="_Toc234064074"/>
      <w:r>
        <w:t xml:space="preserve">Figure </w:t>
      </w:r>
      <w:r w:rsidR="007973C1">
        <w:fldChar w:fldCharType="begin"/>
      </w:r>
      <w:r w:rsidR="007973C1">
        <w:instrText xml:space="preserve"> SEQ Figure \* ARABIC </w:instrText>
      </w:r>
      <w:r w:rsidR="007973C1">
        <w:fldChar w:fldCharType="separate"/>
      </w:r>
      <w:r w:rsidR="009B1310">
        <w:rPr>
          <w:noProof/>
        </w:rPr>
        <w:t>8</w:t>
      </w:r>
      <w:r w:rsidR="007973C1">
        <w:rPr>
          <w:noProof/>
        </w:rPr>
        <w:fldChar w:fldCharType="end"/>
      </w:r>
      <w:r>
        <w:t>: Pregnancy Behaviors, Pre-Post, Project and Control Areas</w:t>
      </w:r>
      <w:bookmarkEnd w:id="18"/>
    </w:p>
    <w:tbl>
      <w:tblPr>
        <w:tblStyle w:val="MediumGrid1-Accent1"/>
        <w:tblW w:w="0" w:type="auto"/>
        <w:tblLook w:val="04A0" w:firstRow="1" w:lastRow="0" w:firstColumn="1" w:lastColumn="0" w:noHBand="0" w:noVBand="1"/>
      </w:tblPr>
      <w:tblGrid>
        <w:gridCol w:w="2952"/>
        <w:gridCol w:w="2952"/>
        <w:gridCol w:w="2952"/>
      </w:tblGrid>
      <w:tr w:rsidR="00C27196" w:rsidRPr="0015704E" w:rsidTr="00157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27196" w:rsidRPr="0015704E" w:rsidRDefault="00C27196" w:rsidP="00CE3BD3">
            <w:r w:rsidRPr="0015704E">
              <w:t>Pregnancy Behavior</w:t>
            </w:r>
          </w:p>
        </w:tc>
        <w:tc>
          <w:tcPr>
            <w:tcW w:w="2952" w:type="dxa"/>
          </w:tcPr>
          <w:p w:rsidR="00C27196" w:rsidRPr="0015704E" w:rsidRDefault="00C6087D" w:rsidP="00CE3BD3">
            <w:pPr>
              <w:cnfStyle w:val="100000000000" w:firstRow="1" w:lastRow="0" w:firstColumn="0" w:lastColumn="0" w:oddVBand="0" w:evenVBand="0" w:oddHBand="0" w:evenHBand="0" w:firstRowFirstColumn="0" w:firstRowLastColumn="0" w:lastRowFirstColumn="0" w:lastRowLastColumn="0"/>
            </w:pPr>
            <w:r w:rsidRPr="0015704E">
              <w:t xml:space="preserve">Change in Program Areas – Baseline to Endline </w:t>
            </w:r>
            <w:r w:rsidR="00C27196" w:rsidRPr="0015704E">
              <w:t>(%)</w:t>
            </w:r>
          </w:p>
        </w:tc>
        <w:tc>
          <w:tcPr>
            <w:tcW w:w="2952" w:type="dxa"/>
          </w:tcPr>
          <w:p w:rsidR="00C27196" w:rsidRPr="0015704E" w:rsidRDefault="00C6087D" w:rsidP="00CE3BD3">
            <w:pPr>
              <w:cnfStyle w:val="100000000000" w:firstRow="1" w:lastRow="0" w:firstColumn="0" w:lastColumn="0" w:oddVBand="0" w:evenVBand="0" w:oddHBand="0" w:evenHBand="0" w:firstRowFirstColumn="0" w:firstRowLastColumn="0" w:lastRowFirstColumn="0" w:lastRowLastColumn="0"/>
            </w:pPr>
            <w:r w:rsidRPr="0015704E">
              <w:t xml:space="preserve">Change in </w:t>
            </w:r>
            <w:r w:rsidR="00C27196" w:rsidRPr="0015704E">
              <w:t>Control Areas</w:t>
            </w:r>
            <w:r w:rsidRPr="0015704E">
              <w:t xml:space="preserve"> – Baseline to Endline</w:t>
            </w:r>
            <w:r w:rsidR="00C27196" w:rsidRPr="0015704E">
              <w:t xml:space="preserve"> (%)</w:t>
            </w:r>
          </w:p>
        </w:tc>
      </w:tr>
      <w:tr w:rsidR="00C27196"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C27196" w:rsidRPr="0015704E" w:rsidRDefault="00C27196" w:rsidP="00CE3BD3">
            <w:pPr>
              <w:rPr>
                <w:b w:val="0"/>
              </w:rPr>
            </w:pPr>
            <w:r w:rsidRPr="0015704E">
              <w:rPr>
                <w:b w:val="0"/>
              </w:rPr>
              <w:t>Consuming more food than pre-pregnancy</w:t>
            </w:r>
          </w:p>
        </w:tc>
        <w:tc>
          <w:tcPr>
            <w:tcW w:w="2952" w:type="dxa"/>
            <w:vAlign w:val="center"/>
          </w:tcPr>
          <w:p w:rsidR="00C27196" w:rsidRPr="00C27196" w:rsidRDefault="00C27196" w:rsidP="0015704E">
            <w:pPr>
              <w:jc w:val="center"/>
              <w:cnfStyle w:val="000000100000" w:firstRow="0" w:lastRow="0" w:firstColumn="0" w:lastColumn="0" w:oddVBand="0" w:evenVBand="0" w:oddHBand="1" w:evenHBand="0" w:firstRowFirstColumn="0" w:firstRowLastColumn="0" w:lastRowFirstColumn="0" w:lastRowLastColumn="0"/>
            </w:pPr>
            <w:r>
              <w:t>15.1</w:t>
            </w:r>
            <w:r w:rsidR="00C6087D">
              <w:t xml:space="preserve"> to 36.7</w:t>
            </w:r>
          </w:p>
        </w:tc>
        <w:tc>
          <w:tcPr>
            <w:tcW w:w="2952" w:type="dxa"/>
            <w:vAlign w:val="center"/>
          </w:tcPr>
          <w:p w:rsidR="00C27196" w:rsidRPr="00C6087D" w:rsidRDefault="00C6087D" w:rsidP="0015704E">
            <w:pPr>
              <w:jc w:val="center"/>
              <w:cnfStyle w:val="000000100000" w:firstRow="0" w:lastRow="0" w:firstColumn="0" w:lastColumn="0" w:oddVBand="0" w:evenVBand="0" w:oddHBand="1" w:evenHBand="0" w:firstRowFirstColumn="0" w:firstRowLastColumn="0" w:lastRowFirstColumn="0" w:lastRowLastColumn="0"/>
            </w:pPr>
            <w:r>
              <w:t>17.3 to 7.1</w:t>
            </w:r>
          </w:p>
        </w:tc>
      </w:tr>
      <w:tr w:rsidR="00C27196" w:rsidTr="0015704E">
        <w:tc>
          <w:tcPr>
            <w:cnfStyle w:val="001000000000" w:firstRow="0" w:lastRow="0" w:firstColumn="1" w:lastColumn="0" w:oddVBand="0" w:evenVBand="0" w:oddHBand="0" w:evenHBand="0" w:firstRowFirstColumn="0" w:firstRowLastColumn="0" w:lastRowFirstColumn="0" w:lastRowLastColumn="0"/>
            <w:tcW w:w="2952" w:type="dxa"/>
          </w:tcPr>
          <w:p w:rsidR="00C27196" w:rsidRPr="0015704E" w:rsidRDefault="00C27196" w:rsidP="00CE3BD3">
            <w:pPr>
              <w:rPr>
                <w:b w:val="0"/>
              </w:rPr>
            </w:pPr>
            <w:r w:rsidRPr="0015704E">
              <w:rPr>
                <w:b w:val="0"/>
              </w:rPr>
              <w:t>Getting more day-time rest than pre-pregnancy</w:t>
            </w:r>
          </w:p>
        </w:tc>
        <w:tc>
          <w:tcPr>
            <w:tcW w:w="2952" w:type="dxa"/>
            <w:vAlign w:val="center"/>
          </w:tcPr>
          <w:p w:rsidR="00C27196" w:rsidRPr="00C27196" w:rsidRDefault="00C6087D" w:rsidP="0015704E">
            <w:pPr>
              <w:jc w:val="center"/>
              <w:cnfStyle w:val="000000000000" w:firstRow="0" w:lastRow="0" w:firstColumn="0" w:lastColumn="0" w:oddVBand="0" w:evenVBand="0" w:oddHBand="0" w:evenHBand="0" w:firstRowFirstColumn="0" w:firstRowLastColumn="0" w:lastRowFirstColumn="0" w:lastRowLastColumn="0"/>
            </w:pPr>
            <w:r>
              <w:t>55.6 to 59.0</w:t>
            </w:r>
          </w:p>
        </w:tc>
        <w:tc>
          <w:tcPr>
            <w:tcW w:w="2952" w:type="dxa"/>
            <w:vAlign w:val="center"/>
          </w:tcPr>
          <w:p w:rsidR="00C27196" w:rsidRPr="00C6087D" w:rsidRDefault="00C6087D" w:rsidP="0015704E">
            <w:pPr>
              <w:jc w:val="center"/>
              <w:cnfStyle w:val="000000000000" w:firstRow="0" w:lastRow="0" w:firstColumn="0" w:lastColumn="0" w:oddVBand="0" w:evenVBand="0" w:oddHBand="0" w:evenHBand="0" w:firstRowFirstColumn="0" w:firstRowLastColumn="0" w:lastRowFirstColumn="0" w:lastRowLastColumn="0"/>
            </w:pPr>
            <w:r w:rsidRPr="00C6087D">
              <w:t>73.2 to 42.9</w:t>
            </w:r>
          </w:p>
        </w:tc>
      </w:tr>
    </w:tbl>
    <w:p w:rsidR="00C27196" w:rsidRDefault="00C27196" w:rsidP="00CE3BD3">
      <w:pPr>
        <w:rPr>
          <w:b/>
        </w:rPr>
      </w:pPr>
    </w:p>
    <w:p w:rsidR="00C27196" w:rsidRDefault="00C27196" w:rsidP="00CE3BD3">
      <w:pPr>
        <w:rPr>
          <w:b/>
        </w:rPr>
      </w:pPr>
    </w:p>
    <w:p w:rsidR="00784B49" w:rsidRDefault="00784B49" w:rsidP="0015704E">
      <w:pPr>
        <w:pStyle w:val="Heading1"/>
      </w:pPr>
      <w:bookmarkStart w:id="19" w:name="_Toc236372996"/>
      <w:r>
        <w:t>Program Costs</w:t>
      </w:r>
      <w:bookmarkEnd w:id="19"/>
    </w:p>
    <w:p w:rsidR="00784B49" w:rsidRDefault="00784B49" w:rsidP="00784B49">
      <w:pPr>
        <w:rPr>
          <w:b/>
        </w:rPr>
      </w:pPr>
    </w:p>
    <w:p w:rsidR="00784B49" w:rsidRDefault="00784B49" w:rsidP="00784B49">
      <w:r>
        <w:t>Although the program covered a relatively small number of beneficiaries and did not run for a long enough period to generate on-going long run costs, the program did calculate a set of “est</w:t>
      </w:r>
      <w:r w:rsidR="00410512">
        <w:t>ablishment costs” (see Figure 9</w:t>
      </w:r>
      <w:r>
        <w:t>.) It will be important to examine these costs over time, as specific MDG/F components are absorbed in</w:t>
      </w:r>
      <w:r w:rsidR="00734DB0">
        <w:t>to</w:t>
      </w:r>
      <w:r>
        <w:t xml:space="preserve"> more permanent programs</w:t>
      </w:r>
      <w:r w:rsidR="00734DB0">
        <w:t>.</w:t>
      </w:r>
      <w:r w:rsidR="00A57EDB">
        <w:t xml:space="preserve"> There is no question that ongoing program costs are far lower than “establishment costs.”</w:t>
      </w:r>
    </w:p>
    <w:p w:rsidR="00734DB0" w:rsidRDefault="00734DB0" w:rsidP="00784B49"/>
    <w:p w:rsidR="0015704E" w:rsidRDefault="0015704E" w:rsidP="0015704E">
      <w:pPr>
        <w:pStyle w:val="Caption"/>
      </w:pPr>
      <w:bookmarkStart w:id="20" w:name="_Toc234064075"/>
      <w:r>
        <w:t xml:space="preserve">Figure </w:t>
      </w:r>
      <w:r w:rsidR="007973C1">
        <w:fldChar w:fldCharType="begin"/>
      </w:r>
      <w:r w:rsidR="007973C1">
        <w:instrText xml:space="preserve"> SEQ Figure \* ARABIC </w:instrText>
      </w:r>
      <w:r w:rsidR="007973C1">
        <w:fldChar w:fldCharType="separate"/>
      </w:r>
      <w:r w:rsidR="009B1310">
        <w:rPr>
          <w:noProof/>
        </w:rPr>
        <w:t>9</w:t>
      </w:r>
      <w:r w:rsidR="007973C1">
        <w:rPr>
          <w:noProof/>
        </w:rPr>
        <w:fldChar w:fldCharType="end"/>
      </w:r>
      <w:r>
        <w:t>: Program Costs</w:t>
      </w:r>
      <w:bookmarkEnd w:id="20"/>
    </w:p>
    <w:tbl>
      <w:tblPr>
        <w:tblStyle w:val="MediumGrid1-Accent1"/>
        <w:tblW w:w="0" w:type="auto"/>
        <w:tblLook w:val="04A0" w:firstRow="1" w:lastRow="0" w:firstColumn="1" w:lastColumn="0" w:noHBand="0" w:noVBand="1"/>
      </w:tblPr>
      <w:tblGrid>
        <w:gridCol w:w="2214"/>
        <w:gridCol w:w="2214"/>
        <w:gridCol w:w="2214"/>
        <w:gridCol w:w="2214"/>
      </w:tblGrid>
      <w:tr w:rsidR="00784B49" w:rsidTr="00157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784B49" w:rsidRDefault="00784B49" w:rsidP="00784B49">
            <w:r>
              <w:t>Outcome</w:t>
            </w:r>
          </w:p>
        </w:tc>
        <w:tc>
          <w:tcPr>
            <w:tcW w:w="2214" w:type="dxa"/>
          </w:tcPr>
          <w:p w:rsidR="00784B49" w:rsidRDefault="00784B49" w:rsidP="00784B49">
            <w:pPr>
              <w:cnfStyle w:val="100000000000" w:firstRow="1" w:lastRow="0" w:firstColumn="0" w:lastColumn="0" w:oddVBand="0" w:evenVBand="0" w:oddHBand="0" w:evenHBand="0" w:firstRowFirstColumn="0" w:firstRowLastColumn="0" w:lastRowFirstColumn="0" w:lastRowLastColumn="0"/>
            </w:pPr>
            <w:r>
              <w:t>Total Cost ($)</w:t>
            </w:r>
          </w:p>
        </w:tc>
        <w:tc>
          <w:tcPr>
            <w:tcW w:w="2214" w:type="dxa"/>
          </w:tcPr>
          <w:p w:rsidR="00784B49" w:rsidRDefault="00784B49" w:rsidP="00784B49">
            <w:pPr>
              <w:cnfStyle w:val="100000000000" w:firstRow="1" w:lastRow="0" w:firstColumn="0" w:lastColumn="0" w:oddVBand="0" w:evenVBand="0" w:oddHBand="0" w:evenHBand="0" w:firstRowFirstColumn="0" w:firstRowLastColumn="0" w:lastRowFirstColumn="0" w:lastRowLastColumn="0"/>
            </w:pPr>
            <w:r>
              <w:t>No. of beneficiaries</w:t>
            </w:r>
          </w:p>
        </w:tc>
        <w:tc>
          <w:tcPr>
            <w:tcW w:w="2214" w:type="dxa"/>
          </w:tcPr>
          <w:p w:rsidR="00784B49" w:rsidRDefault="00784B49" w:rsidP="00784B49">
            <w:pPr>
              <w:cnfStyle w:val="100000000000" w:firstRow="1" w:lastRow="0" w:firstColumn="0" w:lastColumn="0" w:oddVBand="0" w:evenVBand="0" w:oddHBand="0" w:evenHBand="0" w:firstRowFirstColumn="0" w:firstRowLastColumn="0" w:lastRowFirstColumn="0" w:lastRowLastColumn="0"/>
            </w:pPr>
            <w:r>
              <w:t>Cost per beneficiary ($)</w:t>
            </w:r>
          </w:p>
        </w:tc>
      </w:tr>
      <w:tr w:rsidR="00784B49"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SAM, MAM and PLW malnutrition treatment</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2,002,500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12,200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164</w:t>
            </w:r>
          </w:p>
        </w:tc>
      </w:tr>
      <w:tr w:rsidR="00784B49" w:rsidTr="0015704E">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Courtyard-based acute malnutrition prevention (young children and PLWs</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360, 000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26,000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14</w:t>
            </w:r>
          </w:p>
        </w:tc>
      </w:tr>
      <w:tr w:rsidR="00784B49"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Gardens, livestock</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1,673,000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8,000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209</w:t>
            </w:r>
          </w:p>
        </w:tc>
      </w:tr>
      <w:tr w:rsidR="00784B49" w:rsidTr="0015704E">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BCC: IYCF and dietary diversity</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275,000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12,500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22</w:t>
            </w:r>
          </w:p>
        </w:tc>
      </w:tr>
      <w:tr w:rsidR="00784B49"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School feeding</w:t>
            </w:r>
            <w:r w:rsidRPr="0015704E">
              <w:rPr>
                <w:rStyle w:val="FootnoteReference"/>
                <w:b w:val="0"/>
              </w:rPr>
              <w:footnoteReference w:id="6"/>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1,241,000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42,000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30</w:t>
            </w:r>
          </w:p>
        </w:tc>
      </w:tr>
      <w:tr w:rsidR="00784B49" w:rsidTr="0015704E">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School gardens</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640,700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110 schools</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5</w:t>
            </w:r>
            <w:r w:rsidR="0015704E">
              <w:t>,</w:t>
            </w:r>
            <w:r>
              <w:t>824 per school</w:t>
            </w:r>
          </w:p>
        </w:tc>
      </w:tr>
      <w:tr w:rsidR="00784B49"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Nut Ed, Grade 4</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212,500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7,000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30</w:t>
            </w:r>
          </w:p>
        </w:tc>
      </w:tr>
      <w:tr w:rsidR="00784B49" w:rsidTr="0015704E">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MNP distribution</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48,000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10,000</w:t>
            </w:r>
          </w:p>
        </w:tc>
        <w:tc>
          <w:tcPr>
            <w:tcW w:w="2214" w:type="dxa"/>
            <w:vAlign w:val="center"/>
          </w:tcPr>
          <w:p w:rsidR="00784B49" w:rsidRDefault="00784B49" w:rsidP="0015704E">
            <w:pPr>
              <w:jc w:val="center"/>
              <w:cnfStyle w:val="000000000000" w:firstRow="0" w:lastRow="0" w:firstColumn="0" w:lastColumn="0" w:oddVBand="0" w:evenVBand="0" w:oddHBand="0" w:evenHBand="0" w:firstRowFirstColumn="0" w:firstRowLastColumn="0" w:lastRowFirstColumn="0" w:lastRowLastColumn="0"/>
            </w:pPr>
            <w:r>
              <w:t>5</w:t>
            </w:r>
          </w:p>
        </w:tc>
      </w:tr>
      <w:tr w:rsidR="00784B49" w:rsidTr="0015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784B49" w:rsidRPr="0015704E" w:rsidRDefault="00784B49" w:rsidP="00784B49">
            <w:pPr>
              <w:rPr>
                <w:b w:val="0"/>
              </w:rPr>
            </w:pPr>
            <w:r w:rsidRPr="0015704E">
              <w:rPr>
                <w:b w:val="0"/>
              </w:rPr>
              <w:t>Anemia counseling</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140,000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13,000</w:t>
            </w:r>
          </w:p>
        </w:tc>
        <w:tc>
          <w:tcPr>
            <w:tcW w:w="2214" w:type="dxa"/>
            <w:vAlign w:val="center"/>
          </w:tcPr>
          <w:p w:rsidR="00784B49" w:rsidRDefault="00784B49" w:rsidP="0015704E">
            <w:pPr>
              <w:jc w:val="center"/>
              <w:cnfStyle w:val="000000100000" w:firstRow="0" w:lastRow="0" w:firstColumn="0" w:lastColumn="0" w:oddVBand="0" w:evenVBand="0" w:oddHBand="1" w:evenHBand="0" w:firstRowFirstColumn="0" w:firstRowLastColumn="0" w:lastRowFirstColumn="0" w:lastRowLastColumn="0"/>
            </w:pPr>
            <w:r>
              <w:t>11</w:t>
            </w:r>
          </w:p>
        </w:tc>
      </w:tr>
    </w:tbl>
    <w:p w:rsidR="00784B49" w:rsidRDefault="00784B49" w:rsidP="00784B49"/>
    <w:p w:rsidR="00784B49" w:rsidRDefault="00784B49" w:rsidP="00784B49">
      <w:r>
        <w:t>Even recognizing that these are establishment costs, the treatment cost is high. While saving lives is essential, the question outstanding is whether less expensive, more sustainable approaches could save as many lives even if the benefits are not as rapid. With the elimination of RUTF from the nutrition treatment equation in Bangladesh, a key question will be the effectiveness and cost of the local replacement being developed by ICDDR,B – and, perhaps a comparison of cost, effectiveness and time of recovery with the kind of low cost locally produced food supplements which, in BINP, were successful in reducing the prevalence of severe underweight from 9% to less than 2% in three years</w:t>
      </w:r>
      <w:r w:rsidR="00593F6C">
        <w:t xml:space="preserve"> while providing employment for low income women</w:t>
      </w:r>
      <w:r>
        <w:t>.</w:t>
      </w:r>
    </w:p>
    <w:p w:rsidR="00784B49" w:rsidRDefault="00784B49" w:rsidP="00784B49"/>
    <w:p w:rsidR="00784B49" w:rsidRPr="00D71571" w:rsidRDefault="00784B49" w:rsidP="00784B49">
      <w:r>
        <w:t>Assuming effectiveness, MNP distribution, anemia counseling and</w:t>
      </w:r>
      <w:r w:rsidR="00593F6C">
        <w:t xml:space="preserve"> grade 4 nutrition education appear to be</w:t>
      </w:r>
      <w:r>
        <w:t xml:space="preserve"> excellent bargains.</w:t>
      </w:r>
    </w:p>
    <w:p w:rsidR="00C27196" w:rsidRDefault="00C27196" w:rsidP="00CE3BD3">
      <w:pPr>
        <w:rPr>
          <w:b/>
        </w:rPr>
      </w:pPr>
    </w:p>
    <w:p w:rsidR="000D2CCB" w:rsidRDefault="000D2CCB" w:rsidP="00CE3BD3">
      <w:pPr>
        <w:rPr>
          <w:b/>
        </w:rPr>
      </w:pPr>
      <w:r>
        <w:rPr>
          <w:b/>
        </w:rPr>
        <w:t>Program Efficiency</w:t>
      </w:r>
    </w:p>
    <w:p w:rsidR="000D2CCB" w:rsidRDefault="000D2CCB" w:rsidP="00CE3BD3">
      <w:pPr>
        <w:rPr>
          <w:b/>
        </w:rPr>
      </w:pPr>
    </w:p>
    <w:p w:rsidR="0055258E" w:rsidRPr="0055258E" w:rsidRDefault="0055258E" w:rsidP="00CE3BD3">
      <w:pPr>
        <w:rPr>
          <w:i/>
        </w:rPr>
      </w:pPr>
      <w:r>
        <w:rPr>
          <w:i/>
        </w:rPr>
        <w:t>Expenditure Rates</w:t>
      </w:r>
    </w:p>
    <w:p w:rsidR="0055258E" w:rsidRDefault="0055258E" w:rsidP="00CE3BD3"/>
    <w:p w:rsidR="000D2CCB" w:rsidRPr="000D2CCB" w:rsidRDefault="000D2CCB" w:rsidP="00CE3BD3">
      <w:r>
        <w:t xml:space="preserve">A review of program expenditure rates indicates that the expenditures were behind schedule for the first two years of the program, and then improved considerably. </w:t>
      </w:r>
      <w:r w:rsidR="003627B7">
        <w:t>(During the first six months of operations, January to June 2010, the program spent only between one eighth and one sixteenth of its allocated budget on program components.</w:t>
      </w:r>
      <w:r w:rsidR="00577E4C">
        <w:rPr>
          <w:rStyle w:val="FootnoteReference"/>
        </w:rPr>
        <w:footnoteReference w:id="7"/>
      </w:r>
      <w:r w:rsidR="003627B7">
        <w:t xml:space="preserve">) </w:t>
      </w:r>
      <w:r>
        <w:t xml:space="preserve">Part of the early </w:t>
      </w:r>
      <w:r w:rsidR="00445D32">
        <w:t xml:space="preserve">shortcomings relate to unrealistic targets, and in particular the 10 fold overestimate of the number of children in the coverage area under age 2. </w:t>
      </w:r>
      <w:r w:rsidR="003627B7">
        <w:t xml:space="preserve">There was a 15 fold overestimate in the number of children with severe acute malnutrition resulting from faulty assumptions about the relationship of weight for age and MUAC data. </w:t>
      </w:r>
      <w:r w:rsidR="00445D32">
        <w:t xml:space="preserve">Additionally, subsequent to initial budget estimates, the program expanded its implementation area to three additional unions. This expansion permitted coverage of two entire upazilas, thus enabling involvement of administrative apparatus at the upazila </w:t>
      </w:r>
      <w:r w:rsidR="0055258E">
        <w:t>level and, in turn, generating the necessary compliance at the</w:t>
      </w:r>
      <w:r w:rsidR="00445D32">
        <w:t xml:space="preserve"> union</w:t>
      </w:r>
      <w:r w:rsidR="0055258E">
        <w:t xml:space="preserve"> level and below. A related problem was the absence of the Ministry of Local Government and Rural Development  - the federal entity overseeing upazila administration.</w:t>
      </w:r>
    </w:p>
    <w:p w:rsidR="000B2109" w:rsidRDefault="000B2109" w:rsidP="00CE3BD3">
      <w:pPr>
        <w:rPr>
          <w:b/>
        </w:rPr>
      </w:pPr>
    </w:p>
    <w:p w:rsidR="0055258E" w:rsidRDefault="0055258E" w:rsidP="00CE3BD3">
      <w:pPr>
        <w:rPr>
          <w:i/>
        </w:rPr>
      </w:pPr>
      <w:r>
        <w:rPr>
          <w:i/>
        </w:rPr>
        <w:t>Fund Allocation</w:t>
      </w:r>
      <w:r w:rsidR="006E09DD">
        <w:rPr>
          <w:i/>
        </w:rPr>
        <w:t xml:space="preserve"> Process</w:t>
      </w:r>
    </w:p>
    <w:p w:rsidR="0055258E" w:rsidRDefault="0055258E" w:rsidP="00CE3BD3">
      <w:pPr>
        <w:rPr>
          <w:i/>
        </w:rPr>
      </w:pPr>
    </w:p>
    <w:p w:rsidR="0055258E" w:rsidRDefault="0055258E" w:rsidP="00CE3BD3">
      <w:r>
        <w:t>Each of the participating UN agencies were allocated funds directly from the program secretariat, and not from WFP, the program’s lead organization.</w:t>
      </w:r>
      <w:r w:rsidR="00F34AF1">
        <w:t xml:space="preserve"> This separation proved at times unwieldy. More sensible might have been an independent program management unit with a pooled fund mechanism permitting much easier funding disbursements and also funding adjustments when necessary.</w:t>
      </w:r>
    </w:p>
    <w:p w:rsidR="006E09DD" w:rsidRDefault="006E09DD" w:rsidP="00CE3BD3"/>
    <w:p w:rsidR="006E09DD" w:rsidRDefault="006E09DD" w:rsidP="00CE3BD3">
      <w:pPr>
        <w:rPr>
          <w:i/>
        </w:rPr>
      </w:pPr>
      <w:r>
        <w:rPr>
          <w:i/>
        </w:rPr>
        <w:t>Coverage by Outcome</w:t>
      </w:r>
    </w:p>
    <w:p w:rsidR="006E09DD" w:rsidRDefault="006E09DD" w:rsidP="00CE3BD3">
      <w:pPr>
        <w:rPr>
          <w:i/>
        </w:rPr>
      </w:pPr>
    </w:p>
    <w:p w:rsidR="006E09DD" w:rsidRDefault="006E09DD" w:rsidP="00CE3BD3">
      <w:r>
        <w:t>To the program’s credit, all children under the age of 5 and all pregnant and lactating mothers were screened according to the program’s schedule, and all children under the age of two received MNP. All children attending government schools in the program coverage area received high energy biscuits, and all class 4 children participated in school gardens.</w:t>
      </w:r>
    </w:p>
    <w:p w:rsidR="006E09DD" w:rsidRDefault="006E09DD" w:rsidP="00CE3BD3"/>
    <w:p w:rsidR="00640637" w:rsidRDefault="00640637" w:rsidP="00CE3BD3">
      <w:pPr>
        <w:rPr>
          <w:i/>
        </w:rPr>
      </w:pPr>
      <w:r>
        <w:rPr>
          <w:i/>
        </w:rPr>
        <w:t>Overall Governance</w:t>
      </w:r>
      <w:r w:rsidR="004F6C17">
        <w:rPr>
          <w:i/>
        </w:rPr>
        <w:t xml:space="preserve">, </w:t>
      </w:r>
      <w:r w:rsidR="00274DA9">
        <w:rPr>
          <w:i/>
        </w:rPr>
        <w:t>Coordination</w:t>
      </w:r>
      <w:r w:rsidR="004F6C17">
        <w:rPr>
          <w:i/>
        </w:rPr>
        <w:t xml:space="preserve"> and Communication</w:t>
      </w:r>
    </w:p>
    <w:p w:rsidR="00640637" w:rsidRDefault="00640637" w:rsidP="00CE3BD3">
      <w:pPr>
        <w:rPr>
          <w:i/>
        </w:rPr>
      </w:pPr>
    </w:p>
    <w:p w:rsidR="00640637" w:rsidRPr="00640637" w:rsidRDefault="00640637" w:rsidP="00CE3BD3">
      <w:r>
        <w:t>The Program Management Committee</w:t>
      </w:r>
      <w:r w:rsidR="00692823">
        <w:t xml:space="preserve"> </w:t>
      </w:r>
      <w:r w:rsidR="004F6C17">
        <w:t>(</w:t>
      </w:r>
      <w:r w:rsidR="00692823">
        <w:t>PMC)</w:t>
      </w:r>
      <w:r>
        <w:t xml:space="preserve">, chaired by the Economic </w:t>
      </w:r>
      <w:r w:rsidR="00692823">
        <w:t>Relations Division of the Ministry of Finance functioned efficiently. PMC meetings covered project location and expansion, fund transfers and the identification of needed studies in addition to operational updates with reviews of monitoring data. There also were governance meetings at sub-national levels focused on monitoring data on project progress and on issues in need of attention. There was, however, an unfortunate “disconnect” between national and sub-national governance, this perhaps related to funding flows from the UN to NGOs and bypassing the government. On the whole, local government participation was inadequate, leading to the third of the “Options for the Future” provided below.</w:t>
      </w:r>
    </w:p>
    <w:p w:rsidR="006E09DD" w:rsidRDefault="006E09DD" w:rsidP="00CE3BD3"/>
    <w:p w:rsidR="00274DA9" w:rsidRDefault="005278F7" w:rsidP="00CE3BD3">
      <w:r>
        <w:t xml:space="preserve">In addition to the coordination of UN development partner inputs by WFP, project coordination committees chaired by the chairperson of the upazila or union and the UNO, with GoB service provider and NGO representation and with participation of CNWs and CNSs, were established a the upazila and union levels. </w:t>
      </w:r>
    </w:p>
    <w:p w:rsidR="004F6C17" w:rsidRDefault="004F6C17" w:rsidP="00CE3BD3"/>
    <w:p w:rsidR="004F6C17" w:rsidRDefault="004F6C17" w:rsidP="00CE3BD3">
      <w:r>
        <w:t>The above groups served as the primary discussion platforms at the national and sub-national levels. At the same time, a web-based database was utilized to permit broader access to project information and progress. The Joint Program organized two workshops with CNWs and CNSs</w:t>
      </w:r>
      <w:r w:rsidR="007509BB">
        <w:t xml:space="preserve"> to facilitate their collection and utilization of project data. Post-workshop commentary by the participants indicates that these were highly appreciated. The quality of the monitoring data, on the whole, attests to the value of these workshops.</w:t>
      </w:r>
    </w:p>
    <w:p w:rsidR="007509BB" w:rsidRDefault="007509BB" w:rsidP="00CE3BD3"/>
    <w:p w:rsidR="007509BB" w:rsidRDefault="007509BB" w:rsidP="00CE3BD3">
      <w:r>
        <w:t>NGOs themselves performed a notch less well in their monitoring responsibilities, this, in part, a result of high turnover of key NGO staff working in these remote areas of the country.</w:t>
      </w:r>
    </w:p>
    <w:p w:rsidR="007509BB" w:rsidRDefault="007509BB" w:rsidP="00CE3BD3"/>
    <w:p w:rsidR="00274DA9" w:rsidRDefault="00274DA9" w:rsidP="00CE3BD3"/>
    <w:p w:rsidR="00DC60DB" w:rsidRDefault="00DC60DB" w:rsidP="00CE3BD3">
      <w:pPr>
        <w:rPr>
          <w:b/>
        </w:rPr>
      </w:pPr>
      <w:r>
        <w:rPr>
          <w:b/>
        </w:rPr>
        <w:t>Capacity Development</w:t>
      </w:r>
    </w:p>
    <w:p w:rsidR="00DC60DB" w:rsidRDefault="00DC60DB" w:rsidP="00CE3BD3">
      <w:pPr>
        <w:rPr>
          <w:b/>
        </w:rPr>
      </w:pPr>
    </w:p>
    <w:p w:rsidR="00DC60DB" w:rsidRDefault="00A9467D" w:rsidP="00CE3BD3">
      <w:r>
        <w:t xml:space="preserve">The MDG/F developed and implemented a capacity strengthening plan with formal, on-the-job, and </w:t>
      </w:r>
      <w:r w:rsidR="00EA073A">
        <w:t>re</w:t>
      </w:r>
      <w:r>
        <w:t xml:space="preserve">fresher training designed to enhance capabilities in the concerned sectors. </w:t>
      </w:r>
      <w:r w:rsidR="00DC60DB">
        <w:t xml:space="preserve">Considerable effort was expended by the participating NGOs and the UN agencies themselves in local capacity development relating primarily to the organization of CMAM at the community level, and at community clinics and referral points, and to </w:t>
      </w:r>
      <w:r>
        <w:t xml:space="preserve">agricultural extension and other staff responsible for implementation of </w:t>
      </w:r>
      <w:r w:rsidR="00DC60DB">
        <w:t xml:space="preserve">the garden and small livestock activities. </w:t>
      </w:r>
      <w:r w:rsidR="000C159E">
        <w:t>Discussions with key informants at all levels indicate that the training was carried out efficiently and was effective in transferring necessary skills. While the CMAM training will continue to be</w:t>
      </w:r>
      <w:r w:rsidR="00DC60DB">
        <w:t xml:space="preserve"> </w:t>
      </w:r>
      <w:r w:rsidR="000C159E">
        <w:t>highly relevant with the expansion of the NNS, the future use of the garden and small livestock training will depend upon government follow-up with such programs.</w:t>
      </w:r>
    </w:p>
    <w:p w:rsidR="00A9467D" w:rsidRDefault="00A9467D" w:rsidP="00CE3BD3"/>
    <w:p w:rsidR="00A9467D" w:rsidRDefault="00A9467D" w:rsidP="00CE3BD3">
      <w:r>
        <w:t>In addition a “community learning program” was undertaken for the mothers of young children, pregnant women and men. These sessions focused on the causes of under</w:t>
      </w:r>
      <w:r w:rsidR="007425F6">
        <w:t xml:space="preserve"> </w:t>
      </w:r>
      <w:r>
        <w:t>nutrition and the means of addressing them at the family and community level. The decreases in child malnutrition and the low relapse/readmission rates in the CMAM activity indicate that the learning program was reasonably successful. The exit strategy evaluation recommended below will help determine the extent to which these behavioral changes have been sustainable.</w:t>
      </w:r>
    </w:p>
    <w:p w:rsidR="00A9467D" w:rsidRDefault="00A9467D" w:rsidP="00CE3BD3"/>
    <w:p w:rsidR="00A9467D" w:rsidRDefault="00A9467D" w:rsidP="00CE3BD3">
      <w:r>
        <w:t xml:space="preserve">To the credit of the program and the involved NGOs, these training efforts were carried out throughout the program coverage area </w:t>
      </w:r>
      <w:r w:rsidR="00274DA9">
        <w:t xml:space="preserve">including its most remote sites, and with a critical mass of service providers based in these areas. </w:t>
      </w:r>
    </w:p>
    <w:p w:rsidR="007509BB" w:rsidRDefault="007509BB" w:rsidP="00CE3BD3"/>
    <w:p w:rsidR="007509BB" w:rsidRDefault="007509BB" w:rsidP="007509BB">
      <w:r>
        <w:t>In the final year of the program, some use of mass media was utilized to reinforce messages delivered at the community level.</w:t>
      </w:r>
    </w:p>
    <w:p w:rsidR="007509BB" w:rsidRDefault="007509BB" w:rsidP="00CE3BD3"/>
    <w:p w:rsidR="00A9467D" w:rsidRPr="00DC60DB" w:rsidRDefault="00A9467D" w:rsidP="00CE3BD3"/>
    <w:p w:rsidR="000278F1" w:rsidRDefault="000278F1" w:rsidP="00CE3BD3">
      <w:pPr>
        <w:rPr>
          <w:b/>
        </w:rPr>
      </w:pPr>
      <w:r>
        <w:rPr>
          <w:b/>
        </w:rPr>
        <w:t>Government Ownership and Relevance to National Government Policies</w:t>
      </w:r>
    </w:p>
    <w:p w:rsidR="000278F1" w:rsidRDefault="000278F1" w:rsidP="00CE3BD3">
      <w:pPr>
        <w:rPr>
          <w:b/>
        </w:rPr>
      </w:pPr>
    </w:p>
    <w:p w:rsidR="00115CC7" w:rsidRDefault="00115CC7" w:rsidP="00115CC7">
      <w:r>
        <w:t>The MDG/F program offers the Government of Bangladesh a model of nutrition programing significantly different from those pursued in the past two decades.</w:t>
      </w:r>
    </w:p>
    <w:p w:rsidR="00115CC7" w:rsidRDefault="00115CC7" w:rsidP="00115CC7"/>
    <w:p w:rsidR="00115CC7" w:rsidRDefault="00115CC7" w:rsidP="00115CC7">
      <w:r>
        <w:t>Between 1996 and</w:t>
      </w:r>
      <w:r w:rsidRPr="00115CC7">
        <w:t xml:space="preserve"> 2011</w:t>
      </w:r>
      <w:r>
        <w:t>, the government</w:t>
      </w:r>
      <w:r w:rsidRPr="00115CC7">
        <w:t xml:space="preserve"> carried out major community-based programs in the country, although political support and commitment to these programs varied. In the first of these, the Bangladesh Integrated Nutrition Project which operated from 1996 to 2003, the community-based component was coupled with an intersectoral component including garden and poultry support to low income families in the same areas. These community-based programs were terminated in 2011 and replaced by the National Nutrition Service</w:t>
      </w:r>
      <w:r>
        <w:t xml:space="preserve"> (NNS)</w:t>
      </w:r>
      <w:r w:rsidRPr="00115CC7">
        <w:t xml:space="preserve">, a health sector based program seeking to “mainstream” nutrition into each of the health sector services while “coordinating” multisectoral nutrition activity through a Steering Committee that meets periodically. </w:t>
      </w:r>
    </w:p>
    <w:p w:rsidR="00115CC7" w:rsidRDefault="00115CC7" w:rsidP="00115CC7"/>
    <w:p w:rsidR="00115CC7" w:rsidRDefault="000E434E" w:rsidP="00115CC7">
      <w:r>
        <w:t xml:space="preserve">While NNS officials were members of </w:t>
      </w:r>
      <w:r w:rsidR="00F576B9">
        <w:t xml:space="preserve">the </w:t>
      </w:r>
      <w:r>
        <w:t xml:space="preserve">MDG/F </w:t>
      </w:r>
      <w:r w:rsidR="00F576B9">
        <w:t>Program Management Committee</w:t>
      </w:r>
      <w:r>
        <w:t xml:space="preserve"> and participated actively in MDG/F planning, interaction related primarily to the CMAM outcome, to facility training and to related interventions associated with the health sector. Although</w:t>
      </w:r>
      <w:r w:rsidR="00974AC2">
        <w:t>, as indicated,</w:t>
      </w:r>
      <w:r>
        <w:t xml:space="preserve"> NNS has multisectoral coordination resp</w:t>
      </w:r>
      <w:r w:rsidR="00974AC2">
        <w:t>onsibilities, this has not yet led to anything resembling the MDG/F convergence approach, or the multi-year CARE-assisted S</w:t>
      </w:r>
      <w:r w:rsidR="007425F6">
        <w:t xml:space="preserve">HOUHARDO </w:t>
      </w:r>
      <w:r w:rsidR="00974AC2">
        <w:t xml:space="preserve"> project, also utilizing the convergence approach, which has achieved remarkable reductions in stunting.</w:t>
      </w:r>
    </w:p>
    <w:p w:rsidR="00974AC2" w:rsidRDefault="00974AC2" w:rsidP="00115CC7"/>
    <w:p w:rsidR="007425F6" w:rsidRDefault="00974AC2" w:rsidP="00305EC3">
      <w:pPr>
        <w:pStyle w:val="BodyText"/>
        <w:rPr>
          <w:rFonts w:asciiTheme="minorHAnsi" w:hAnsiTheme="minorHAnsi"/>
          <w:sz w:val="24"/>
          <w:szCs w:val="24"/>
        </w:rPr>
      </w:pPr>
      <w:r w:rsidRPr="00305EC3">
        <w:rPr>
          <w:rFonts w:asciiTheme="minorHAnsi" w:hAnsiTheme="minorHAnsi"/>
          <w:sz w:val="24"/>
          <w:szCs w:val="24"/>
        </w:rPr>
        <w:t>Accordingly, the MDG/F experience presents to the government a new direction which, given its effectiveness, is likely to generate considerable interest.</w:t>
      </w:r>
      <w:r w:rsidR="00A03C6A" w:rsidRPr="00305EC3">
        <w:rPr>
          <w:rFonts w:asciiTheme="minorHAnsi" w:hAnsiTheme="minorHAnsi"/>
          <w:sz w:val="24"/>
          <w:szCs w:val="24"/>
        </w:rPr>
        <w:t xml:space="preserve"> </w:t>
      </w:r>
    </w:p>
    <w:p w:rsidR="007425F6" w:rsidRDefault="007425F6" w:rsidP="00305EC3">
      <w:pPr>
        <w:pStyle w:val="BodyText"/>
        <w:rPr>
          <w:rFonts w:asciiTheme="minorHAnsi" w:hAnsiTheme="minorHAnsi"/>
          <w:sz w:val="24"/>
          <w:szCs w:val="24"/>
        </w:rPr>
      </w:pPr>
    </w:p>
    <w:p w:rsidR="00305EC3" w:rsidRPr="00305EC3" w:rsidRDefault="00A03C6A" w:rsidP="00305EC3">
      <w:pPr>
        <w:pStyle w:val="BodyText"/>
        <w:rPr>
          <w:rFonts w:asciiTheme="minorHAnsi" w:hAnsiTheme="minorHAnsi"/>
          <w:sz w:val="24"/>
          <w:szCs w:val="24"/>
        </w:rPr>
      </w:pPr>
      <w:r w:rsidRPr="00305EC3">
        <w:rPr>
          <w:rFonts w:asciiTheme="minorHAnsi" w:hAnsiTheme="minorHAnsi"/>
          <w:sz w:val="24"/>
          <w:szCs w:val="24"/>
        </w:rPr>
        <w:t>Importantly, the extraordinary effectiveness of civil society advocacy in Peru and Brazil have led to the creation of two</w:t>
      </w:r>
      <w:r w:rsidR="00305EC3" w:rsidRPr="00305EC3">
        <w:rPr>
          <w:rFonts w:asciiTheme="minorHAnsi" w:hAnsiTheme="minorHAnsi"/>
          <w:sz w:val="24"/>
          <w:szCs w:val="24"/>
        </w:rPr>
        <w:t xml:space="preserve"> civil society organizations in Bangladesh. The Civil Society Alliance for Scaling Up Nutrition Bangladesh is aligned with the global SUN Movement and is composed of representatives from civil society networks across the country with BRAC serving as its secretariat. A new, more recent, network is the Bangladesh Civil Society Network for Promoting Nutrition, similarly committed to nutrition advocacy and made up of local non-profits and professional bodies; the NGO Eminence serves as its secretariat.</w:t>
      </w:r>
      <w:r w:rsidR="00305EC3">
        <w:rPr>
          <w:rFonts w:asciiTheme="minorHAnsi" w:hAnsiTheme="minorHAnsi"/>
          <w:sz w:val="24"/>
          <w:szCs w:val="24"/>
        </w:rPr>
        <w:t xml:space="preserve"> These civil society organizations are well positioned to advocate for broader-based convergence programming for nutrition in the country, for high level political commitment to such programming, and for adequate budgeting to support it. These organizations also can take on quality assurance responsibilities for such programs and for keeping the government and its partners accountable for well implemented and effective programs.</w:t>
      </w:r>
    </w:p>
    <w:p w:rsidR="00974AC2" w:rsidRPr="00305EC3" w:rsidRDefault="00974AC2" w:rsidP="00115CC7"/>
    <w:p w:rsidR="00115CC7" w:rsidRDefault="00115CC7" w:rsidP="00115CC7"/>
    <w:p w:rsidR="00961009" w:rsidRDefault="000F7420" w:rsidP="0015704E">
      <w:pPr>
        <w:pStyle w:val="Heading1"/>
      </w:pPr>
      <w:bookmarkStart w:id="21" w:name="_Toc236372997"/>
      <w:r>
        <w:t>Larger Program Issues and Perceptions of Participating UN Organizations in Dhaka</w:t>
      </w:r>
      <w:bookmarkEnd w:id="21"/>
    </w:p>
    <w:p w:rsidR="000F7420" w:rsidRDefault="000F7420" w:rsidP="00CE3BD3">
      <w:pPr>
        <w:rPr>
          <w:b/>
        </w:rPr>
      </w:pPr>
    </w:p>
    <w:p w:rsidR="000F7420" w:rsidRDefault="000F7420" w:rsidP="000F7420">
      <w:r>
        <w:t>PCA tables on the program as a who</w:t>
      </w:r>
      <w:r w:rsidR="00410512">
        <w:t>le are provided below in Figure 10</w:t>
      </w:r>
      <w:r>
        <w:t>. The constraints noted in these figures also mirror</w:t>
      </w:r>
      <w:r w:rsidR="00593F6C">
        <w:t xml:space="preserve"> many of the</w:t>
      </w:r>
      <w:r>
        <w:t xml:space="preserve"> issues raised by representatives of the participating UN organizations in Dhaka.</w:t>
      </w:r>
    </w:p>
    <w:p w:rsidR="000F7420" w:rsidRDefault="000F7420" w:rsidP="000F7420"/>
    <w:p w:rsidR="006F4834" w:rsidRPr="00E73DF7" w:rsidRDefault="006F4834" w:rsidP="0015704E">
      <w:pPr>
        <w:pStyle w:val="Heading2"/>
        <w:rPr>
          <w:b w:val="0"/>
          <w:i/>
        </w:rPr>
      </w:pPr>
      <w:bookmarkStart w:id="22" w:name="_Toc236372998"/>
      <w:r w:rsidRPr="00E73DF7">
        <w:rPr>
          <w:b w:val="0"/>
          <w:i/>
        </w:rPr>
        <w:t>Treatment vs. prevention</w:t>
      </w:r>
      <w:bookmarkEnd w:id="22"/>
    </w:p>
    <w:p w:rsidR="006F4834" w:rsidRDefault="006F4834" w:rsidP="000F7420"/>
    <w:p w:rsidR="000F7420" w:rsidRDefault="000F7420" w:rsidP="000F7420">
      <w:r>
        <w:t>An important issue frequently raised was the attention – to some excessive attention given to treatment in the program relative to prevention.</w:t>
      </w:r>
      <w:r w:rsidR="00C6087D">
        <w:t xml:space="preserve"> This reaction is not infrequent internationally in programs which include therapeutic care and feeding, and particularly when treatment budgets exceed those for prevention. </w:t>
      </w:r>
      <w:r w:rsidR="00EC2F44">
        <w:t xml:space="preserve">Indeed the opportunity costs of therapeutic care are high in terms of prevention efforts that could be carried out with these funds. </w:t>
      </w:r>
      <w:r w:rsidR="00C6087D">
        <w:t>As indicated in the Costing discussion</w:t>
      </w:r>
      <w:r w:rsidR="00593F6C">
        <w:t xml:space="preserve"> above</w:t>
      </w:r>
      <w:r w:rsidR="00C6087D">
        <w:t>,</w:t>
      </w:r>
      <w:r w:rsidR="00593F6C">
        <w:t xml:space="preserve"> there may be alternatives worth considering.</w:t>
      </w:r>
      <w:r w:rsidR="00C6087D">
        <w:t xml:space="preserve"> </w:t>
      </w:r>
      <w:r w:rsidR="00EC2F44">
        <w:t>The question facing Bangladesh and other countries which continue to face high infant and young child mortality rates is whether sustainable, less costly alternatives are available to address the problem of acute malnutrition, even if results take somewhat longer to achieve. Clearly the jury is still out on this important topic in the international nutrition community.</w:t>
      </w:r>
    </w:p>
    <w:p w:rsidR="000F7420" w:rsidRDefault="000F7420" w:rsidP="000F7420"/>
    <w:p w:rsidR="006F4834" w:rsidRPr="00E73DF7" w:rsidRDefault="006F4834" w:rsidP="0015704E">
      <w:pPr>
        <w:pStyle w:val="Heading2"/>
        <w:rPr>
          <w:b w:val="0"/>
          <w:i/>
        </w:rPr>
      </w:pPr>
      <w:bookmarkStart w:id="23" w:name="_Toc236372999"/>
      <w:r w:rsidRPr="00E73DF7">
        <w:rPr>
          <w:b w:val="0"/>
          <w:i/>
        </w:rPr>
        <w:t>Short program duration</w:t>
      </w:r>
      <w:bookmarkEnd w:id="23"/>
    </w:p>
    <w:p w:rsidR="006F4834" w:rsidRPr="006F4834" w:rsidRDefault="006F4834" w:rsidP="000F7420">
      <w:pPr>
        <w:rPr>
          <w:i/>
        </w:rPr>
      </w:pPr>
    </w:p>
    <w:p w:rsidR="00F924EC" w:rsidRDefault="000F7420" w:rsidP="000F7420">
      <w:r>
        <w:t xml:space="preserve">A second issue </w:t>
      </w:r>
      <w:r w:rsidR="00F924EC">
        <w:t>regularly raised is the</w:t>
      </w:r>
      <w:r>
        <w:t xml:space="preserve"> unusually short duration </w:t>
      </w:r>
      <w:r w:rsidR="00F924EC">
        <w:t xml:space="preserve">of MDG/F activities </w:t>
      </w:r>
      <w:r>
        <w:t>for a program of th</w:t>
      </w:r>
      <w:r w:rsidR="001D25D4">
        <w:t>is nature</w:t>
      </w:r>
      <w:r w:rsidR="00593F6C">
        <w:t>,</w:t>
      </w:r>
      <w:r w:rsidR="001D25D4">
        <w:t xml:space="preserve"> and the problem of sustainability. This issue is addressed in the section below on Options for the Future. Normally, the issue would </w:t>
      </w:r>
      <w:r w:rsidR="00593F6C">
        <w:t xml:space="preserve">be </w:t>
      </w:r>
      <w:r w:rsidR="001D25D4">
        <w:t xml:space="preserve">of primary importance. In the case of this MDG/F program, </w:t>
      </w:r>
      <w:r w:rsidR="00C81A8D">
        <w:t xml:space="preserve">its primary function – presenting a new and different model of nutrition programming in the country – may be more important than the sustainability of specific activities in this </w:t>
      </w:r>
      <w:r w:rsidR="00593F6C">
        <w:t xml:space="preserve">particular </w:t>
      </w:r>
      <w:r w:rsidR="00C81A8D">
        <w:t>geographic area</w:t>
      </w:r>
      <w:r w:rsidR="00593F6C">
        <w:t>.</w:t>
      </w:r>
    </w:p>
    <w:p w:rsidR="0015704E" w:rsidRDefault="0015704E" w:rsidP="0015704E">
      <w:pPr>
        <w:pStyle w:val="Heading2"/>
        <w:rPr>
          <w:rFonts w:asciiTheme="minorHAnsi" w:eastAsiaTheme="minorEastAsia" w:hAnsiTheme="minorHAnsi" w:cstheme="minorBidi"/>
          <w:b w:val="0"/>
          <w:bCs w:val="0"/>
          <w:color w:val="auto"/>
          <w:szCs w:val="24"/>
        </w:rPr>
      </w:pPr>
    </w:p>
    <w:p w:rsidR="006E09DD" w:rsidRPr="006E09DD" w:rsidRDefault="006E09DD" w:rsidP="006E09DD"/>
    <w:p w:rsidR="006F4834" w:rsidRPr="00E73DF7" w:rsidRDefault="006F4834" w:rsidP="0015704E">
      <w:pPr>
        <w:pStyle w:val="Heading2"/>
        <w:rPr>
          <w:b w:val="0"/>
          <w:i/>
        </w:rPr>
      </w:pPr>
      <w:bookmarkStart w:id="24" w:name="_Toc236373000"/>
      <w:r w:rsidRPr="00E73DF7">
        <w:rPr>
          <w:b w:val="0"/>
          <w:i/>
        </w:rPr>
        <w:t>Missing sectoral inputs</w:t>
      </w:r>
      <w:bookmarkEnd w:id="24"/>
    </w:p>
    <w:p w:rsidR="006F4834" w:rsidRPr="006F4834" w:rsidRDefault="006F4834" w:rsidP="000F7420">
      <w:pPr>
        <w:rPr>
          <w:i/>
        </w:rPr>
      </w:pPr>
    </w:p>
    <w:p w:rsidR="00F924EC" w:rsidRDefault="000F7420" w:rsidP="000F7420">
      <w:r>
        <w:t xml:space="preserve">Respondents interested in the convergence nature of the program were quick to note the missing sectoral inputs: WASH </w:t>
      </w:r>
      <w:r w:rsidR="00400322">
        <w:t>(the endline survey found that more than a third of households in program areas are without adequate sanitary facilities)</w:t>
      </w:r>
      <w:r w:rsidR="002B14EE">
        <w:rPr>
          <w:rStyle w:val="FootnoteReference"/>
        </w:rPr>
        <w:footnoteReference w:id="8"/>
      </w:r>
      <w:r w:rsidR="0076394D">
        <w:t xml:space="preserve"> </w:t>
      </w:r>
      <w:r w:rsidR="0076394D">
        <w:rPr>
          <w:rStyle w:val="FootnoteReference"/>
        </w:rPr>
        <w:footnoteReference w:id="9"/>
      </w:r>
      <w:r w:rsidR="00400322">
        <w:t xml:space="preserve"> </w:t>
      </w:r>
      <w:r>
        <w:t>and employment generation</w:t>
      </w:r>
      <w:r w:rsidR="00400322">
        <w:t xml:space="preserve"> (over two thirds of households in program areas are landless – 65.3%</w:t>
      </w:r>
      <w:r>
        <w:t>.</w:t>
      </w:r>
      <w:r w:rsidR="00400322">
        <w:t>)</w:t>
      </w:r>
      <w:r>
        <w:t xml:space="preserve"> Some also noted ina</w:t>
      </w:r>
      <w:r w:rsidR="00CD30A8">
        <w:t>dequate attention to pregnancy</w:t>
      </w:r>
      <w:r w:rsidR="00475B21">
        <w:t xml:space="preserve"> – improved service delivery with high quality counseling</w:t>
      </w:r>
      <w:r w:rsidR="00CD30A8">
        <w:t>, although, as indicated, pregnancy behaviors in program areas were significantly better than in control areas.</w:t>
      </w:r>
      <w:r w:rsidR="00475B21">
        <w:rPr>
          <w:rStyle w:val="FootnoteReference"/>
        </w:rPr>
        <w:footnoteReference w:id="10"/>
      </w:r>
      <w:r w:rsidR="00CD30A8">
        <w:t xml:space="preserve"> </w:t>
      </w:r>
    </w:p>
    <w:p w:rsidR="00400322" w:rsidRDefault="00400322" w:rsidP="000F7420"/>
    <w:p w:rsidR="00E73DF7" w:rsidRDefault="00626012" w:rsidP="0015704E">
      <w:pPr>
        <w:pStyle w:val="Heading2"/>
        <w:rPr>
          <w:b w:val="0"/>
          <w:i/>
        </w:rPr>
      </w:pPr>
      <w:bookmarkStart w:id="25" w:name="_Toc236373001"/>
      <w:r>
        <w:rPr>
          <w:b w:val="0"/>
          <w:i/>
        </w:rPr>
        <w:t>Program decision making</w:t>
      </w:r>
      <w:bookmarkEnd w:id="25"/>
    </w:p>
    <w:p w:rsidR="00626012" w:rsidRDefault="00626012" w:rsidP="00626012"/>
    <w:p w:rsidR="00626012" w:rsidRPr="00626012" w:rsidRDefault="00626012" w:rsidP="00626012">
      <w:r>
        <w:t>Some respondents noted that decision making in the program took longer than is sometimes the case, and that ERD, acting as coordinator for the government departments, took some time to establish the operating norms. However responses on the decisions themselves were possible, and ERD was identified as a valuable partner in supporting multisectoral nutrition pursuits in the country.</w:t>
      </w:r>
    </w:p>
    <w:p w:rsidR="00E73DF7" w:rsidRDefault="00E73DF7" w:rsidP="0015704E">
      <w:pPr>
        <w:pStyle w:val="Heading2"/>
        <w:rPr>
          <w:b w:val="0"/>
          <w:i/>
        </w:rPr>
      </w:pPr>
    </w:p>
    <w:p w:rsidR="006F4834" w:rsidRPr="00E73DF7" w:rsidRDefault="006F4834" w:rsidP="0015704E">
      <w:pPr>
        <w:pStyle w:val="Heading2"/>
        <w:rPr>
          <w:b w:val="0"/>
          <w:i/>
        </w:rPr>
      </w:pPr>
      <w:bookmarkStart w:id="26" w:name="_Toc236373002"/>
      <w:r w:rsidRPr="00E73DF7">
        <w:rPr>
          <w:b w:val="0"/>
          <w:i/>
        </w:rPr>
        <w:t>Program monitoring</w:t>
      </w:r>
      <w:bookmarkEnd w:id="26"/>
    </w:p>
    <w:p w:rsidR="006F4834" w:rsidRDefault="006F4834" w:rsidP="000F7420"/>
    <w:p w:rsidR="0095499A" w:rsidRDefault="00F924EC" w:rsidP="000F7420">
      <w:r>
        <w:t>R</w:t>
      </w:r>
      <w:r w:rsidR="000F7420">
        <w:t>espondents, particularly project managers were concerned about monitoring in the program, to paraphrase their words, “thorough but inadequate,” with an expressed hope that data collected could be more rapidly utilized locally to address problems as they arise.</w:t>
      </w:r>
      <w:r w:rsidR="0095499A">
        <w:t xml:space="preserve"> There is no question that the NGOs participating in the program were vigilant and responsible in the monitoring of program activities – as they were in facilitating program implementation as a whole. </w:t>
      </w:r>
    </w:p>
    <w:p w:rsidR="0095499A" w:rsidRDefault="0095499A" w:rsidP="000F7420"/>
    <w:p w:rsidR="000F7420" w:rsidRDefault="0095499A" w:rsidP="000F7420">
      <w:r>
        <w:t>But program monitoring was understood in traditional terms: with data moving from community nutrition workers, to community nutrition supervisors, to union supervisors to upazilas to districts and finally to offices in Dhaka, and with each level aggregating data for onward transmission to the next level. Numerous respondents recognized that while the system permits an accounting of program implementation, it misses a primary purpose of monitoring – namely identifying local problems quickly so that they can be rapidly addressed.</w:t>
      </w:r>
      <w:r w:rsidR="006F4834">
        <w:rPr>
          <w:rStyle w:val="FootnoteReference"/>
        </w:rPr>
        <w:footnoteReference w:id="11"/>
      </w:r>
    </w:p>
    <w:p w:rsidR="00DD65C5" w:rsidRDefault="00DD65C5" w:rsidP="000F7420">
      <w:pPr>
        <w:rPr>
          <w:i/>
        </w:rPr>
      </w:pPr>
    </w:p>
    <w:p w:rsidR="0095499A" w:rsidRPr="00E73DF7" w:rsidRDefault="00C43487" w:rsidP="0015704E">
      <w:pPr>
        <w:pStyle w:val="Heading2"/>
        <w:rPr>
          <w:b w:val="0"/>
          <w:i/>
        </w:rPr>
      </w:pPr>
      <w:bookmarkStart w:id="27" w:name="_Toc236373003"/>
      <w:r w:rsidRPr="00E73DF7">
        <w:rPr>
          <w:b w:val="0"/>
          <w:i/>
        </w:rPr>
        <w:t>Shortages of positions, high vacancy rates and high turnover</w:t>
      </w:r>
      <w:bookmarkEnd w:id="27"/>
    </w:p>
    <w:p w:rsidR="00C43487" w:rsidRDefault="00C43487" w:rsidP="000F7420"/>
    <w:p w:rsidR="00C43487" w:rsidRDefault="00F924EC" w:rsidP="000F7420">
      <w:r>
        <w:t>G</w:t>
      </w:r>
      <w:r w:rsidR="000F7420">
        <w:t xml:space="preserve">overnment officials themselves were forthcoming about the constraints under which they have to operate: an inadequate number of positions and high vacancy rates. </w:t>
      </w:r>
      <w:r w:rsidR="004752E9">
        <w:t>(</w:t>
      </w:r>
      <w:r w:rsidR="000F7420">
        <w:t>Respondents also noted the high turnover rate in NGO staff.</w:t>
      </w:r>
      <w:r w:rsidR="004752E9">
        <w:t>)</w:t>
      </w:r>
      <w:r w:rsidR="00C43487">
        <w:t xml:space="preserve"> These problems which plague government programs in most countries require high level policy attention. Should the convergence approach to malnutrition, exemplified by the MDG/F program be adopted by the government as a national policy, however, government staff requirements in each of the selected target areas would be clear in advance, permitting the necessary budgeting and staffing.</w:t>
      </w:r>
    </w:p>
    <w:p w:rsidR="00BE4DC6" w:rsidRDefault="00BE4DC6" w:rsidP="000F7420"/>
    <w:p w:rsidR="00EC6636" w:rsidRPr="00E73DF7" w:rsidRDefault="00EC6636" w:rsidP="0015704E">
      <w:pPr>
        <w:pStyle w:val="Heading2"/>
        <w:rPr>
          <w:b w:val="0"/>
          <w:i/>
        </w:rPr>
      </w:pPr>
      <w:bookmarkStart w:id="28" w:name="_Toc236373004"/>
      <w:r w:rsidRPr="00E73DF7">
        <w:rPr>
          <w:b w:val="0"/>
          <w:i/>
        </w:rPr>
        <w:t>Praise for the program</w:t>
      </w:r>
      <w:bookmarkEnd w:id="28"/>
    </w:p>
    <w:p w:rsidR="00EC6636" w:rsidRDefault="00EC6636" w:rsidP="00EC6636"/>
    <w:p w:rsidR="00EC6636" w:rsidRDefault="00EC6636" w:rsidP="00EC6636">
      <w:r>
        <w:t>But the identification of these constraints in total did little to cloud the extremely positive impressions of most respondents, noting regularly that:</w:t>
      </w:r>
    </w:p>
    <w:p w:rsidR="00EC6636" w:rsidRDefault="00EC6636" w:rsidP="00EC6636"/>
    <w:p w:rsidR="00EC6636" w:rsidRDefault="00EC6636" w:rsidP="00EC6636">
      <w:pPr>
        <w:pStyle w:val="ListParagraph"/>
        <w:numPr>
          <w:ilvl w:val="0"/>
          <w:numId w:val="3"/>
        </w:numPr>
      </w:pPr>
      <w:r>
        <w:t>Program planning and implementation were well executed despite challenges</w:t>
      </w:r>
    </w:p>
    <w:p w:rsidR="00EC6636" w:rsidRDefault="00EC6636" w:rsidP="00EC6636">
      <w:pPr>
        <w:pStyle w:val="ListParagraph"/>
        <w:numPr>
          <w:ilvl w:val="0"/>
          <w:numId w:val="3"/>
        </w:numPr>
      </w:pPr>
      <w:r>
        <w:t>Coordination was far better than anticipated</w:t>
      </w:r>
    </w:p>
    <w:p w:rsidR="00EC6636" w:rsidRDefault="00EC6636" w:rsidP="00EC6636">
      <w:pPr>
        <w:pStyle w:val="ListParagraph"/>
        <w:numPr>
          <w:ilvl w:val="0"/>
          <w:numId w:val="3"/>
        </w:numPr>
      </w:pPr>
      <w:r>
        <w:t>Good decisions were made on fund utilization (including the extra funds available when MUAC screening produced fewer SAM/MAM cases than expected</w:t>
      </w:r>
    </w:p>
    <w:p w:rsidR="00EC6636" w:rsidRDefault="00EC6636" w:rsidP="00EC6636">
      <w:pPr>
        <w:pStyle w:val="ListParagraph"/>
      </w:pPr>
    </w:p>
    <w:p w:rsidR="00EC6636" w:rsidRPr="00E73DF7" w:rsidRDefault="00EC6636" w:rsidP="0015704E">
      <w:pPr>
        <w:pStyle w:val="Heading2"/>
        <w:rPr>
          <w:b w:val="0"/>
          <w:i/>
        </w:rPr>
      </w:pPr>
      <w:bookmarkStart w:id="29" w:name="_Toc236373005"/>
      <w:r w:rsidRPr="00E73DF7">
        <w:rPr>
          <w:b w:val="0"/>
          <w:i/>
        </w:rPr>
        <w:t>Other responses</w:t>
      </w:r>
      <w:bookmarkEnd w:id="29"/>
    </w:p>
    <w:p w:rsidR="00EC6636" w:rsidRDefault="00EC6636" w:rsidP="00EC6636">
      <w:pPr>
        <w:pStyle w:val="ListParagraph"/>
        <w:ind w:left="0"/>
      </w:pPr>
    </w:p>
    <w:p w:rsidR="00EC6636" w:rsidRDefault="00D135D2" w:rsidP="00EC6636">
      <w:pPr>
        <w:pStyle w:val="ListParagraph"/>
        <w:ind w:left="0"/>
      </w:pPr>
      <w:r>
        <w:t>S</w:t>
      </w:r>
      <w:r w:rsidR="00EC6636">
        <w:t>takeholders noted that</w:t>
      </w:r>
    </w:p>
    <w:p w:rsidR="00EC6636" w:rsidRDefault="00EC6636" w:rsidP="00EC6636">
      <w:pPr>
        <w:pStyle w:val="ListParagraph"/>
        <w:ind w:left="0"/>
      </w:pPr>
    </w:p>
    <w:p w:rsidR="00EC6636" w:rsidRDefault="00EC6636" w:rsidP="00EC6636">
      <w:pPr>
        <w:pStyle w:val="ListParagraph"/>
        <w:numPr>
          <w:ilvl w:val="0"/>
          <w:numId w:val="4"/>
        </w:numPr>
      </w:pPr>
      <w:r>
        <w:t>Remote areas proved</w:t>
      </w:r>
      <w:r w:rsidR="007172A7">
        <w:t xml:space="preserve"> unusually challenging (see Figure 11.</w:t>
      </w:r>
      <w:r>
        <w:t>)</w:t>
      </w:r>
    </w:p>
    <w:p w:rsidR="00EC6636" w:rsidRDefault="00EC6636" w:rsidP="00EC6636">
      <w:pPr>
        <w:pStyle w:val="ListParagraph"/>
        <w:numPr>
          <w:ilvl w:val="0"/>
          <w:numId w:val="4"/>
        </w:numPr>
      </w:pPr>
      <w:r>
        <w:t>Positive deviant families (which, despite obstacles, have found ways, e.g. to raise well nourished children or have healthy pregnancy outcomes) can be used increasingly in the BCC components of such programs</w:t>
      </w:r>
    </w:p>
    <w:p w:rsidR="00EC6636" w:rsidRDefault="00EC6636" w:rsidP="00EC6636">
      <w:pPr>
        <w:pStyle w:val="ListParagraph"/>
        <w:numPr>
          <w:ilvl w:val="0"/>
          <w:numId w:val="4"/>
        </w:numPr>
      </w:pPr>
      <w:r>
        <w:t>Tanahashi or bottleneck analysis can be particularly</w:t>
      </w:r>
      <w:r w:rsidR="004752E9">
        <w:t xml:space="preserve"> useful in the analysis of </w:t>
      </w:r>
      <w:r>
        <w:t>programs</w:t>
      </w:r>
      <w:r w:rsidR="004752E9">
        <w:t xml:space="preserve"> like the MDG/F</w:t>
      </w:r>
    </w:p>
    <w:p w:rsidR="00D135D2" w:rsidRDefault="00EC6636" w:rsidP="00EC6636">
      <w:pPr>
        <w:pStyle w:val="ListParagraph"/>
        <w:numPr>
          <w:ilvl w:val="0"/>
          <w:numId w:val="4"/>
        </w:numPr>
      </w:pPr>
      <w:r>
        <w:t>The inclusion of “quality assurance teams” in such programs, arriving unannounced at project sites, can assess the quality of service delivery and make rec</w:t>
      </w:r>
      <w:r w:rsidR="00D135D2">
        <w:t>ommendations to service providers and program managers</w:t>
      </w:r>
    </w:p>
    <w:p w:rsidR="00D135D2" w:rsidRDefault="00D135D2" w:rsidP="00EC6636">
      <w:pPr>
        <w:pStyle w:val="ListParagraph"/>
        <w:numPr>
          <w:ilvl w:val="0"/>
          <w:numId w:val="4"/>
        </w:numPr>
      </w:pPr>
      <w:r>
        <w:t>Beneficiaries themselves can sometimes be used as “change agents” in such programs</w:t>
      </w:r>
    </w:p>
    <w:p w:rsidR="00D135D2" w:rsidRDefault="00D135D2" w:rsidP="00D135D2">
      <w:pPr>
        <w:pStyle w:val="ListParagraph"/>
      </w:pPr>
    </w:p>
    <w:p w:rsidR="00ED0029" w:rsidRPr="00E73DF7" w:rsidRDefault="00ED0029" w:rsidP="0015704E">
      <w:pPr>
        <w:pStyle w:val="Heading2"/>
        <w:rPr>
          <w:b w:val="0"/>
          <w:i/>
        </w:rPr>
      </w:pPr>
      <w:bookmarkStart w:id="30" w:name="_Toc236373006"/>
      <w:r w:rsidRPr="00E73DF7">
        <w:rPr>
          <w:b w:val="0"/>
          <w:i/>
        </w:rPr>
        <w:t>Overall reaction</w:t>
      </w:r>
      <w:bookmarkEnd w:id="30"/>
    </w:p>
    <w:p w:rsidR="00ED0029" w:rsidRDefault="00ED0029" w:rsidP="00ED0029">
      <w:pPr>
        <w:pStyle w:val="ListParagraph"/>
        <w:ind w:left="0"/>
        <w:rPr>
          <w:i/>
        </w:rPr>
      </w:pPr>
    </w:p>
    <w:p w:rsidR="00ED0029" w:rsidRPr="00ED0029" w:rsidRDefault="00ED0029" w:rsidP="00ED0029">
      <w:pPr>
        <w:pStyle w:val="ListParagraph"/>
        <w:ind w:left="0"/>
      </w:pPr>
      <w:r>
        <w:t>There was unanimity among UN stakeholders in Dhaka that, despite obstacles, the advantages of the three UN agencies and their counterparts working together in this “convergence” program far outweighed the “transaction costs.”</w:t>
      </w:r>
    </w:p>
    <w:p w:rsidR="0015704E" w:rsidRDefault="00EC6636" w:rsidP="00E73DF7">
      <w:pPr>
        <w:pStyle w:val="ListParagraph"/>
      </w:pPr>
      <w:r>
        <w:t xml:space="preserve"> </w:t>
      </w:r>
      <w:r w:rsidR="0015704E">
        <w:br w:type="page"/>
      </w:r>
    </w:p>
    <w:p w:rsidR="00CF7940" w:rsidRDefault="00CF7940" w:rsidP="00CF7940">
      <w:pPr>
        <w:pStyle w:val="Caption"/>
      </w:pPr>
      <w:bookmarkStart w:id="31" w:name="_Toc234064076"/>
      <w:r>
        <w:t xml:space="preserve">Figure </w:t>
      </w:r>
      <w:r w:rsidR="007973C1">
        <w:fldChar w:fldCharType="begin"/>
      </w:r>
      <w:r w:rsidR="007973C1">
        <w:instrText xml:space="preserve"> SEQ Figure \* ARABIC </w:instrText>
      </w:r>
      <w:r w:rsidR="007973C1">
        <w:fldChar w:fldCharType="separate"/>
      </w:r>
      <w:r w:rsidR="009B1310">
        <w:rPr>
          <w:noProof/>
        </w:rPr>
        <w:t>10</w:t>
      </w:r>
      <w:r w:rsidR="007973C1">
        <w:rPr>
          <w:noProof/>
        </w:rPr>
        <w:fldChar w:fldCharType="end"/>
      </w:r>
      <w:r>
        <w:t>: Program Constraints Assessment - Overall Program</w:t>
      </w:r>
      <w:bookmarkEnd w:id="31"/>
    </w:p>
    <w:tbl>
      <w:tblPr>
        <w:tblStyle w:val="MediumGrid1-Accent1"/>
        <w:tblW w:w="0" w:type="auto"/>
        <w:tblLook w:val="04A0" w:firstRow="1" w:lastRow="0" w:firstColumn="1" w:lastColumn="0" w:noHBand="0" w:noVBand="1"/>
      </w:tblPr>
      <w:tblGrid>
        <w:gridCol w:w="2214"/>
        <w:gridCol w:w="2214"/>
        <w:gridCol w:w="2214"/>
        <w:gridCol w:w="2214"/>
      </w:tblGrid>
      <w:tr w:rsidR="0015704E" w:rsidRPr="00B8132C" w:rsidTr="0015704E">
        <w:trPr>
          <w:cnfStyle w:val="100000000000" w:firstRow="1" w:lastRow="0" w:firstColumn="0" w:lastColumn="0" w:oddVBand="0" w:evenVBand="0" w:oddHBand="0"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214" w:type="dxa"/>
          </w:tcPr>
          <w:p w:rsidR="0015704E" w:rsidRPr="00B8132C" w:rsidRDefault="0015704E" w:rsidP="0015704E">
            <w:pPr>
              <w:jc w:val="center"/>
            </w:pPr>
            <w:r w:rsidRPr="00B8132C">
              <w:t>Constraint</w:t>
            </w:r>
          </w:p>
        </w:tc>
        <w:tc>
          <w:tcPr>
            <w:tcW w:w="2214" w:type="dxa"/>
          </w:tcPr>
          <w:p w:rsidR="0015704E" w:rsidRPr="00B8132C" w:rsidRDefault="0015704E" w:rsidP="0015704E">
            <w:pPr>
              <w:jc w:val="center"/>
              <w:cnfStyle w:val="100000000000" w:firstRow="1" w:lastRow="0" w:firstColumn="0" w:lastColumn="0" w:oddVBand="0" w:evenVBand="0" w:oddHBand="0" w:evenHBand="0" w:firstRowFirstColumn="0" w:firstRowLastColumn="0" w:lastRowFirstColumn="0" w:lastRowLastColumn="0"/>
            </w:pPr>
            <w:r w:rsidRPr="00B8132C">
              <w:t>Technology Suggestions</w:t>
            </w:r>
          </w:p>
        </w:tc>
        <w:tc>
          <w:tcPr>
            <w:tcW w:w="2214" w:type="dxa"/>
          </w:tcPr>
          <w:p w:rsidR="0015704E" w:rsidRPr="00B8132C" w:rsidRDefault="0015704E" w:rsidP="0015704E">
            <w:pPr>
              <w:jc w:val="center"/>
              <w:cnfStyle w:val="100000000000" w:firstRow="1" w:lastRow="0" w:firstColumn="0" w:lastColumn="0" w:oddVBand="0" w:evenVBand="0" w:oddHBand="0" w:evenHBand="0" w:firstRowFirstColumn="0" w:firstRowLastColumn="0" w:lastRowFirstColumn="0" w:lastRowLastColumn="0"/>
            </w:pPr>
            <w:r w:rsidRPr="00B8132C">
              <w:t>Policy Suggestions</w:t>
            </w:r>
          </w:p>
        </w:tc>
        <w:tc>
          <w:tcPr>
            <w:tcW w:w="2214" w:type="dxa"/>
          </w:tcPr>
          <w:p w:rsidR="0015704E" w:rsidRPr="00B8132C" w:rsidRDefault="0015704E" w:rsidP="0015704E">
            <w:pPr>
              <w:jc w:val="center"/>
              <w:cnfStyle w:val="100000000000" w:firstRow="1" w:lastRow="0" w:firstColumn="0" w:lastColumn="0" w:oddVBand="0" w:evenVBand="0" w:oddHBand="0" w:evenHBand="0" w:firstRowFirstColumn="0" w:firstRowLastColumn="0" w:lastRowFirstColumn="0" w:lastRowLastColumn="0"/>
            </w:pPr>
            <w:r w:rsidRPr="00B8132C">
              <w:t>Research &amp; Training Suggestions</w:t>
            </w:r>
          </w:p>
        </w:tc>
      </w:tr>
      <w:tr w:rsidR="0015704E" w:rsidRPr="00F65CEA" w:rsidTr="0015704E">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214" w:type="dxa"/>
          </w:tcPr>
          <w:p w:rsidR="0015704E" w:rsidRPr="00B8132C" w:rsidRDefault="0015704E" w:rsidP="0015704E">
            <w:pPr>
              <w:rPr>
                <w:b w:val="0"/>
              </w:rPr>
            </w:pPr>
            <w:r w:rsidRPr="00B8132C">
              <w:rPr>
                <w:b w:val="0"/>
              </w:rPr>
              <w:t xml:space="preserve">1. </w:t>
            </w:r>
            <w:r>
              <w:rPr>
                <w:b w:val="0"/>
              </w:rPr>
              <w:t>Program overly treatment oriented</w:t>
            </w:r>
          </w:p>
        </w:tc>
        <w:tc>
          <w:tcPr>
            <w:tcW w:w="2214" w:type="dxa"/>
          </w:tcPr>
          <w:p w:rsidR="0015704E" w:rsidRPr="00F65CEA" w:rsidRDefault="0015704E" w:rsidP="0015704E">
            <w:pPr>
              <w:cnfStyle w:val="000000100000" w:firstRow="0" w:lastRow="0" w:firstColumn="0" w:lastColumn="0" w:oddVBand="0" w:evenVBand="0" w:oddHBand="1" w:evenHBand="0" w:firstRowFirstColumn="0" w:firstRowLastColumn="0" w:lastRowFirstColumn="0" w:lastRowLastColumn="0"/>
            </w:pPr>
          </w:p>
        </w:tc>
        <w:tc>
          <w:tcPr>
            <w:tcW w:w="2214" w:type="dxa"/>
          </w:tcPr>
          <w:p w:rsidR="0015704E" w:rsidRPr="00F65CEA" w:rsidRDefault="00CF7940" w:rsidP="0015704E">
            <w:pPr>
              <w:cnfStyle w:val="000000100000" w:firstRow="0" w:lastRow="0" w:firstColumn="0" w:lastColumn="0" w:oddVBand="0" w:evenVBand="0" w:oddHBand="1" w:evenHBand="0" w:firstRowFirstColumn="0" w:firstRowLastColumn="0" w:lastRowFirstColumn="0" w:lastRowLastColumn="0"/>
            </w:pPr>
            <w:r>
              <w:t>Increase emphasis on prevention</w:t>
            </w:r>
          </w:p>
        </w:tc>
        <w:tc>
          <w:tcPr>
            <w:tcW w:w="2214" w:type="dxa"/>
          </w:tcPr>
          <w:p w:rsidR="0015704E" w:rsidRPr="00F65CEA" w:rsidRDefault="0015704E" w:rsidP="0015704E">
            <w:pPr>
              <w:cnfStyle w:val="000000100000" w:firstRow="0" w:lastRow="0" w:firstColumn="0" w:lastColumn="0" w:oddVBand="0" w:evenVBand="0" w:oddHBand="1" w:evenHBand="0" w:firstRowFirstColumn="0" w:firstRowLastColumn="0" w:lastRowFirstColumn="0" w:lastRowLastColumn="0"/>
            </w:pPr>
          </w:p>
        </w:tc>
      </w:tr>
      <w:tr w:rsidR="0015704E" w:rsidRPr="00F65CEA" w:rsidTr="00CF7940">
        <w:trPr>
          <w:trHeight w:val="1492"/>
        </w:trPr>
        <w:tc>
          <w:tcPr>
            <w:cnfStyle w:val="001000000000" w:firstRow="0" w:lastRow="0" w:firstColumn="1" w:lastColumn="0" w:oddVBand="0" w:evenVBand="0" w:oddHBand="0" w:evenHBand="0" w:firstRowFirstColumn="0" w:firstRowLastColumn="0" w:lastRowFirstColumn="0" w:lastRowLastColumn="0"/>
            <w:tcW w:w="2214" w:type="dxa"/>
          </w:tcPr>
          <w:p w:rsidR="0015704E" w:rsidRPr="00B8132C" w:rsidRDefault="0015704E" w:rsidP="0015704E">
            <w:pPr>
              <w:rPr>
                <w:b w:val="0"/>
              </w:rPr>
            </w:pPr>
            <w:r>
              <w:rPr>
                <w:b w:val="0"/>
              </w:rPr>
              <w:t>2. Program duration inadequate for full benefit</w:t>
            </w:r>
          </w:p>
        </w:tc>
        <w:tc>
          <w:tcPr>
            <w:tcW w:w="2214" w:type="dxa"/>
          </w:tcPr>
          <w:p w:rsidR="0015704E" w:rsidRPr="00F65CEA" w:rsidRDefault="0015704E" w:rsidP="0015704E">
            <w:pPr>
              <w:cnfStyle w:val="000000000000" w:firstRow="0" w:lastRow="0" w:firstColumn="0" w:lastColumn="0" w:oddVBand="0" w:evenVBand="0" w:oddHBand="0" w:evenHBand="0" w:firstRowFirstColumn="0" w:firstRowLastColumn="0" w:lastRowFirstColumn="0" w:lastRowLastColumn="0"/>
            </w:pPr>
          </w:p>
        </w:tc>
        <w:tc>
          <w:tcPr>
            <w:tcW w:w="2214" w:type="dxa"/>
          </w:tcPr>
          <w:p w:rsidR="0015704E" w:rsidRPr="00F65CEA" w:rsidRDefault="00CF7940" w:rsidP="0015704E">
            <w:pPr>
              <w:cnfStyle w:val="000000000000" w:firstRow="0" w:lastRow="0" w:firstColumn="0" w:lastColumn="0" w:oddVBand="0" w:evenVBand="0" w:oddHBand="0" w:evenHBand="0" w:firstRowFirstColumn="0" w:firstRowLastColumn="0" w:lastRowFirstColumn="0" w:lastRowLastColumn="0"/>
            </w:pPr>
            <w:r>
              <w:t>Extend program for three more years; use beneficiaries as change agents</w:t>
            </w:r>
          </w:p>
        </w:tc>
        <w:tc>
          <w:tcPr>
            <w:tcW w:w="2214" w:type="dxa"/>
          </w:tcPr>
          <w:p w:rsidR="0015704E" w:rsidRPr="00F65CEA" w:rsidRDefault="0015704E" w:rsidP="0015704E">
            <w:pPr>
              <w:cnfStyle w:val="000000000000" w:firstRow="0" w:lastRow="0" w:firstColumn="0" w:lastColumn="0" w:oddVBand="0" w:evenVBand="0" w:oddHBand="0" w:evenHBand="0" w:firstRowFirstColumn="0" w:firstRowLastColumn="0" w:lastRowFirstColumn="0" w:lastRowLastColumn="0"/>
            </w:pPr>
          </w:p>
        </w:tc>
      </w:tr>
      <w:tr w:rsidR="0015704E" w:rsidRPr="00F65CEA" w:rsidTr="00CF7940">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2214" w:type="dxa"/>
          </w:tcPr>
          <w:p w:rsidR="0015704E" w:rsidRPr="00B8132C" w:rsidRDefault="0015704E" w:rsidP="0015704E">
            <w:pPr>
              <w:rPr>
                <w:b w:val="0"/>
              </w:rPr>
            </w:pPr>
            <w:r w:rsidRPr="00B8132C">
              <w:rPr>
                <w:b w:val="0"/>
              </w:rPr>
              <w:t xml:space="preserve">3. </w:t>
            </w:r>
            <w:r>
              <w:rPr>
                <w:b w:val="0"/>
              </w:rPr>
              <w:t>Key program dimensions missing</w:t>
            </w:r>
          </w:p>
        </w:tc>
        <w:tc>
          <w:tcPr>
            <w:tcW w:w="2214" w:type="dxa"/>
          </w:tcPr>
          <w:p w:rsidR="0015704E" w:rsidRPr="00F65CEA" w:rsidRDefault="0015704E" w:rsidP="0015704E">
            <w:pPr>
              <w:cnfStyle w:val="000000100000" w:firstRow="0" w:lastRow="0" w:firstColumn="0" w:lastColumn="0" w:oddVBand="0" w:evenVBand="0" w:oddHBand="1" w:evenHBand="0" w:firstRowFirstColumn="0" w:firstRowLastColumn="0" w:lastRowFirstColumn="0" w:lastRowLastColumn="0"/>
            </w:pPr>
          </w:p>
        </w:tc>
        <w:tc>
          <w:tcPr>
            <w:tcW w:w="2214" w:type="dxa"/>
          </w:tcPr>
          <w:p w:rsidR="0015704E" w:rsidRPr="00F65CEA" w:rsidRDefault="00CF7940" w:rsidP="0015704E">
            <w:pPr>
              <w:cnfStyle w:val="000000100000" w:firstRow="0" w:lastRow="0" w:firstColumn="0" w:lastColumn="0" w:oddVBand="0" w:evenVBand="0" w:oddHBand="1" w:evenHBand="0" w:firstRowFirstColumn="0" w:firstRowLastColumn="0" w:lastRowFirstColumn="0" w:lastRowLastColumn="0"/>
            </w:pPr>
            <w:r>
              <w:t>Add: Attention to pregnancy; WASH; livelihood training’ safety net nutrition delivery</w:t>
            </w:r>
          </w:p>
        </w:tc>
        <w:tc>
          <w:tcPr>
            <w:tcW w:w="2214" w:type="dxa"/>
          </w:tcPr>
          <w:p w:rsidR="0015704E" w:rsidRPr="00F65CEA" w:rsidRDefault="0015704E" w:rsidP="0015704E">
            <w:pPr>
              <w:cnfStyle w:val="000000100000" w:firstRow="0" w:lastRow="0" w:firstColumn="0" w:lastColumn="0" w:oddVBand="0" w:evenVBand="0" w:oddHBand="1" w:evenHBand="0" w:firstRowFirstColumn="0" w:firstRowLastColumn="0" w:lastRowFirstColumn="0" w:lastRowLastColumn="0"/>
            </w:pPr>
          </w:p>
        </w:tc>
      </w:tr>
      <w:tr w:rsidR="0015704E" w:rsidRPr="00F65CEA" w:rsidTr="00CF7940">
        <w:trPr>
          <w:trHeight w:val="1780"/>
        </w:trPr>
        <w:tc>
          <w:tcPr>
            <w:cnfStyle w:val="001000000000" w:firstRow="0" w:lastRow="0" w:firstColumn="1" w:lastColumn="0" w:oddVBand="0" w:evenVBand="0" w:oddHBand="0" w:evenHBand="0" w:firstRowFirstColumn="0" w:firstRowLastColumn="0" w:lastRowFirstColumn="0" w:lastRowLastColumn="0"/>
            <w:tcW w:w="2214" w:type="dxa"/>
          </w:tcPr>
          <w:p w:rsidR="0015704E" w:rsidRPr="00B8132C" w:rsidRDefault="0015704E" w:rsidP="0015704E">
            <w:pPr>
              <w:rPr>
                <w:b w:val="0"/>
              </w:rPr>
            </w:pPr>
            <w:r w:rsidRPr="00B8132C">
              <w:rPr>
                <w:b w:val="0"/>
              </w:rPr>
              <w:t xml:space="preserve">4. </w:t>
            </w:r>
            <w:r>
              <w:rPr>
                <w:b w:val="0"/>
              </w:rPr>
              <w:t>Program monitoring inadequate</w:t>
            </w:r>
          </w:p>
        </w:tc>
        <w:tc>
          <w:tcPr>
            <w:tcW w:w="2214" w:type="dxa"/>
          </w:tcPr>
          <w:p w:rsidR="0015704E" w:rsidRPr="00F65CEA" w:rsidRDefault="0015704E" w:rsidP="0015704E">
            <w:pPr>
              <w:cnfStyle w:val="000000000000" w:firstRow="0" w:lastRow="0" w:firstColumn="0" w:lastColumn="0" w:oddVBand="0" w:evenVBand="0" w:oddHBand="0" w:evenHBand="0" w:firstRowFirstColumn="0" w:firstRowLastColumn="0" w:lastRowFirstColumn="0" w:lastRowLastColumn="0"/>
            </w:pPr>
          </w:p>
        </w:tc>
        <w:tc>
          <w:tcPr>
            <w:tcW w:w="2214" w:type="dxa"/>
          </w:tcPr>
          <w:p w:rsidR="0015704E" w:rsidRPr="00F65CEA" w:rsidRDefault="00CF7940" w:rsidP="0015704E">
            <w:pPr>
              <w:cnfStyle w:val="000000000000" w:firstRow="0" w:lastRow="0" w:firstColumn="0" w:lastColumn="0" w:oddVBand="0" w:evenVBand="0" w:oddHBand="0" w:evenHBand="0" w:firstRowFirstColumn="0" w:firstRowLastColumn="0" w:lastRowFirstColumn="0" w:lastRowLastColumn="0"/>
            </w:pPr>
            <w:r>
              <w:t>Introduce management by exception process; increase government involvement</w:t>
            </w:r>
          </w:p>
        </w:tc>
        <w:tc>
          <w:tcPr>
            <w:tcW w:w="2214" w:type="dxa"/>
          </w:tcPr>
          <w:p w:rsidR="0015704E" w:rsidRPr="00F65CEA" w:rsidRDefault="0015704E" w:rsidP="0015704E">
            <w:pPr>
              <w:cnfStyle w:val="000000000000" w:firstRow="0" w:lastRow="0" w:firstColumn="0" w:lastColumn="0" w:oddVBand="0" w:evenVBand="0" w:oddHBand="0" w:evenHBand="0" w:firstRowFirstColumn="0" w:firstRowLastColumn="0" w:lastRowFirstColumn="0" w:lastRowLastColumn="0"/>
            </w:pPr>
          </w:p>
        </w:tc>
      </w:tr>
      <w:tr w:rsidR="0015704E" w:rsidRPr="00F65CEA" w:rsidTr="0015704E">
        <w:trPr>
          <w:cnfStyle w:val="000000100000" w:firstRow="0" w:lastRow="0" w:firstColumn="0" w:lastColumn="0" w:oddVBand="0" w:evenVBand="0" w:oddHBand="1" w:evenHBand="0" w:firstRowFirstColumn="0" w:firstRowLastColumn="0" w:lastRowFirstColumn="0" w:lastRowLastColumn="0"/>
          <w:trHeight w:val="2635"/>
        </w:trPr>
        <w:tc>
          <w:tcPr>
            <w:cnfStyle w:val="001000000000" w:firstRow="0" w:lastRow="0" w:firstColumn="1" w:lastColumn="0" w:oddVBand="0" w:evenVBand="0" w:oddHBand="0" w:evenHBand="0" w:firstRowFirstColumn="0" w:firstRowLastColumn="0" w:lastRowFirstColumn="0" w:lastRowLastColumn="0"/>
            <w:tcW w:w="2214" w:type="dxa"/>
          </w:tcPr>
          <w:p w:rsidR="0015704E" w:rsidRPr="00B8132C" w:rsidRDefault="0015704E" w:rsidP="0015704E">
            <w:pPr>
              <w:rPr>
                <w:b w:val="0"/>
              </w:rPr>
            </w:pPr>
            <w:r>
              <w:rPr>
                <w:b w:val="0"/>
              </w:rPr>
              <w:t>5. Inadequate nutrition-related government staff positions; high vacancy rates (worse in more remote areas); high turnover of NGO staff</w:t>
            </w:r>
          </w:p>
        </w:tc>
        <w:tc>
          <w:tcPr>
            <w:tcW w:w="2214" w:type="dxa"/>
          </w:tcPr>
          <w:p w:rsidR="0015704E" w:rsidRDefault="0015704E" w:rsidP="0015704E">
            <w:pPr>
              <w:cnfStyle w:val="000000100000" w:firstRow="0" w:lastRow="0" w:firstColumn="0" w:lastColumn="0" w:oddVBand="0" w:evenVBand="0" w:oddHBand="1" w:evenHBand="0" w:firstRowFirstColumn="0" w:firstRowLastColumn="0" w:lastRowFirstColumn="0" w:lastRowLastColumn="0"/>
            </w:pPr>
          </w:p>
        </w:tc>
        <w:tc>
          <w:tcPr>
            <w:tcW w:w="2214" w:type="dxa"/>
          </w:tcPr>
          <w:p w:rsidR="0015704E" w:rsidRPr="00F65CEA" w:rsidRDefault="0015704E" w:rsidP="0015704E">
            <w:pPr>
              <w:cnfStyle w:val="000000100000" w:firstRow="0" w:lastRow="0" w:firstColumn="0" w:lastColumn="0" w:oddVBand="0" w:evenVBand="0" w:oddHBand="1" w:evenHBand="0" w:firstRowFirstColumn="0" w:firstRowLastColumn="0" w:lastRowFirstColumn="0" w:lastRowLastColumn="0"/>
            </w:pPr>
          </w:p>
        </w:tc>
        <w:tc>
          <w:tcPr>
            <w:tcW w:w="2214" w:type="dxa"/>
          </w:tcPr>
          <w:p w:rsidR="0015704E" w:rsidRPr="00F65CEA" w:rsidRDefault="0015704E" w:rsidP="0015704E">
            <w:pPr>
              <w:cnfStyle w:val="000000100000" w:firstRow="0" w:lastRow="0" w:firstColumn="0" w:lastColumn="0" w:oddVBand="0" w:evenVBand="0" w:oddHBand="1" w:evenHBand="0" w:firstRowFirstColumn="0" w:firstRowLastColumn="0" w:lastRowFirstColumn="0" w:lastRowLastColumn="0"/>
            </w:pPr>
          </w:p>
        </w:tc>
      </w:tr>
    </w:tbl>
    <w:p w:rsidR="008800F6" w:rsidRDefault="008800F6" w:rsidP="000F7420"/>
    <w:p w:rsidR="00CF7940" w:rsidRDefault="00CF7940">
      <w:pPr>
        <w:rPr>
          <w:noProof/>
        </w:rPr>
      </w:pPr>
      <w:r>
        <w:rPr>
          <w:noProof/>
        </w:rPr>
        <w:br w:type="page"/>
      </w:r>
    </w:p>
    <w:p w:rsidR="00713BF4" w:rsidRPr="00ED0029" w:rsidRDefault="00713BF4" w:rsidP="00CE3BD3"/>
    <w:p w:rsidR="009B1310" w:rsidRDefault="009B1310" w:rsidP="009B1310">
      <w:pPr>
        <w:pStyle w:val="Caption"/>
      </w:pPr>
      <w:bookmarkStart w:id="32" w:name="_Toc234064077"/>
      <w:r>
        <w:t xml:space="preserve">Figure </w:t>
      </w:r>
      <w:r w:rsidR="007973C1">
        <w:fldChar w:fldCharType="begin"/>
      </w:r>
      <w:r w:rsidR="007973C1">
        <w:instrText xml:space="preserve"> SEQ Figure \* ARABIC </w:instrText>
      </w:r>
      <w:r w:rsidR="007973C1">
        <w:fldChar w:fldCharType="separate"/>
      </w:r>
      <w:r>
        <w:rPr>
          <w:noProof/>
        </w:rPr>
        <w:t>11</w:t>
      </w:r>
      <w:r w:rsidR="007973C1">
        <w:rPr>
          <w:noProof/>
        </w:rPr>
        <w:fldChar w:fldCharType="end"/>
      </w:r>
      <w:r>
        <w:t>: Outlying Areas Mean Significantly Reduced Benefits</w:t>
      </w:r>
      <w:bookmarkEnd w:id="32"/>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56"/>
      </w:tblGrid>
      <w:tr w:rsidR="009B1310" w:rsidTr="009B1310">
        <w:trPr>
          <w:trHeight w:val="4706"/>
        </w:trPr>
        <w:tc>
          <w:tcPr>
            <w:tcW w:w="8856" w:type="dxa"/>
            <w:vAlign w:val="center"/>
          </w:tcPr>
          <w:p w:rsidR="009B1310" w:rsidRPr="001455A7" w:rsidRDefault="009B1310" w:rsidP="009B1310">
            <w:r w:rsidRPr="001455A7">
              <w:t xml:space="preserve">Despite being a beneficiary household, absence of roads </w:t>
            </w:r>
            <w:r>
              <w:t xml:space="preserve">often </w:t>
            </w:r>
            <w:r w:rsidRPr="001455A7">
              <w:t>means:</w:t>
            </w:r>
          </w:p>
          <w:p w:rsidR="009B1310" w:rsidRPr="001455A7" w:rsidRDefault="009B1310" w:rsidP="009B1310"/>
          <w:p w:rsidR="009B1310" w:rsidRPr="001455A7" w:rsidRDefault="009B1310" w:rsidP="009B1310">
            <w:pPr>
              <w:pStyle w:val="ListParagraph"/>
              <w:numPr>
                <w:ilvl w:val="0"/>
                <w:numId w:val="4"/>
              </w:numPr>
            </w:pPr>
            <w:r w:rsidRPr="001455A7">
              <w:t>No children in school</w:t>
            </w:r>
          </w:p>
          <w:p w:rsidR="009B1310" w:rsidRPr="001455A7" w:rsidRDefault="009B1310" w:rsidP="009B1310">
            <w:pPr>
              <w:pStyle w:val="ListParagraph"/>
              <w:numPr>
                <w:ilvl w:val="0"/>
                <w:numId w:val="4"/>
              </w:numPr>
            </w:pPr>
            <w:r w:rsidRPr="001455A7">
              <w:t>Non-attendance at hospital in case of referral</w:t>
            </w:r>
          </w:p>
          <w:p w:rsidR="009B1310" w:rsidRPr="001455A7" w:rsidRDefault="009B1310" w:rsidP="009B1310">
            <w:pPr>
              <w:pStyle w:val="ListParagraph"/>
              <w:numPr>
                <w:ilvl w:val="0"/>
                <w:numId w:val="4"/>
              </w:numPr>
            </w:pPr>
            <w:r w:rsidRPr="001455A7">
              <w:t>CMAM activity at home except for WSB picked up fortnightly at a facility</w:t>
            </w:r>
          </w:p>
          <w:p w:rsidR="009B1310" w:rsidRPr="001455A7" w:rsidRDefault="009B1310" w:rsidP="009B1310">
            <w:pPr>
              <w:pStyle w:val="ListParagraph"/>
              <w:numPr>
                <w:ilvl w:val="0"/>
                <w:numId w:val="4"/>
              </w:numPr>
            </w:pPr>
            <w:r w:rsidRPr="001455A7">
              <w:t>Poor attendance at courtyard meetings</w:t>
            </w:r>
          </w:p>
          <w:p w:rsidR="009B1310" w:rsidRPr="001455A7" w:rsidRDefault="009B1310" w:rsidP="009B1310">
            <w:pPr>
              <w:pStyle w:val="ListParagraph"/>
              <w:numPr>
                <w:ilvl w:val="0"/>
                <w:numId w:val="4"/>
              </w:numPr>
            </w:pPr>
            <w:r w:rsidRPr="001455A7">
              <w:t>On average, 80% of income spent on food</w:t>
            </w:r>
          </w:p>
          <w:p w:rsidR="009B1310" w:rsidRPr="001455A7" w:rsidRDefault="009B1310" w:rsidP="009B1310"/>
          <w:p w:rsidR="009B1310" w:rsidRPr="001455A7" w:rsidRDefault="009B1310" w:rsidP="009B1310">
            <w:r w:rsidRPr="001455A7">
              <w:t>In addition, many outlying families</w:t>
            </w:r>
          </w:p>
          <w:p w:rsidR="009B1310" w:rsidRPr="001455A7" w:rsidRDefault="009B1310" w:rsidP="009B1310"/>
          <w:p w:rsidR="009B1310" w:rsidRPr="001455A7" w:rsidRDefault="009B1310" w:rsidP="009B1310">
            <w:pPr>
              <w:pStyle w:val="ListParagraph"/>
              <w:numPr>
                <w:ilvl w:val="0"/>
                <w:numId w:val="5"/>
              </w:numPr>
            </w:pPr>
            <w:r w:rsidRPr="001455A7">
              <w:t>Have no access to tubewell water or a sanitary facility</w:t>
            </w:r>
          </w:p>
          <w:p w:rsidR="009B1310" w:rsidRPr="001455A7" w:rsidRDefault="009B1310" w:rsidP="009B1310">
            <w:pPr>
              <w:pStyle w:val="ListParagraph"/>
              <w:numPr>
                <w:ilvl w:val="0"/>
                <w:numId w:val="5"/>
              </w:numPr>
            </w:pPr>
            <w:r w:rsidRPr="001455A7">
              <w:t>Have no cell phone (no electricity for recharging, no funds for calls</w:t>
            </w:r>
            <w:r>
              <w:t>)</w:t>
            </w:r>
          </w:p>
          <w:p w:rsidR="009B1310" w:rsidRPr="001455A7" w:rsidRDefault="009B1310" w:rsidP="009B1310">
            <w:pPr>
              <w:pStyle w:val="ListParagraph"/>
            </w:pPr>
          </w:p>
          <w:p w:rsidR="009B1310" w:rsidRPr="009B1310" w:rsidRDefault="009B1310" w:rsidP="009B1310">
            <w:pPr>
              <w:pStyle w:val="ListParagraph"/>
              <w:ind w:left="0"/>
            </w:pPr>
            <w:r w:rsidRPr="001455A7">
              <w:t xml:space="preserve">Overall, the primary limiting factors in these areas relate to physical infrastructure which, once addressed, will permit increased effectiveness of all social sector programs. </w:t>
            </w:r>
          </w:p>
        </w:tc>
      </w:tr>
    </w:tbl>
    <w:p w:rsidR="00D92C26" w:rsidRDefault="00D92C26" w:rsidP="00CE3BD3">
      <w:pPr>
        <w:rPr>
          <w:b/>
          <w:u w:val="single"/>
        </w:rPr>
      </w:pPr>
    </w:p>
    <w:p w:rsidR="009B1310" w:rsidRDefault="009B1310" w:rsidP="00CE3BD3">
      <w:pPr>
        <w:rPr>
          <w:b/>
          <w:u w:val="single"/>
        </w:rPr>
      </w:pPr>
    </w:p>
    <w:p w:rsidR="005852FC" w:rsidRPr="005734AE" w:rsidRDefault="005734AE" w:rsidP="00CF7940">
      <w:pPr>
        <w:pStyle w:val="Heading1"/>
      </w:pPr>
      <w:bookmarkStart w:id="33" w:name="_Toc236373007"/>
      <w:r>
        <w:t>Conclusions</w:t>
      </w:r>
      <w:bookmarkEnd w:id="33"/>
    </w:p>
    <w:p w:rsidR="005852FC" w:rsidRDefault="005852FC" w:rsidP="00CE3BD3">
      <w:pPr>
        <w:rPr>
          <w:b/>
        </w:rPr>
      </w:pPr>
    </w:p>
    <w:p w:rsidR="00442043" w:rsidRDefault="005D5733" w:rsidP="00752F93">
      <w:pPr>
        <w:pStyle w:val="ListParagraph"/>
        <w:ind w:left="0"/>
      </w:pPr>
      <w:r>
        <w:t>T</w:t>
      </w:r>
      <w:r w:rsidR="00752F93">
        <w:t xml:space="preserve">he MDG/F program has provided the Government of Bangladesh and the international nutrition community with a highly valuable </w:t>
      </w:r>
      <w:r w:rsidR="00442043">
        <w:t xml:space="preserve">model of nutrition programming. </w:t>
      </w:r>
      <w:r w:rsidR="00752F93">
        <w:t xml:space="preserve">The </w:t>
      </w:r>
      <w:r w:rsidR="00442043">
        <w:t xml:space="preserve">effects of the </w:t>
      </w:r>
      <w:r w:rsidR="00752F93">
        <w:t>multisectoral nutrition convergence approach</w:t>
      </w:r>
      <w:r w:rsidR="00442043">
        <w:t xml:space="preserve"> appear to be not simply additive b</w:t>
      </w:r>
      <w:r w:rsidR="00B0068A">
        <w:t>ut also synergistic (e.g. 1+1+1=</w:t>
      </w:r>
      <w:r w:rsidR="00442043">
        <w:t>5.) As examples:</w:t>
      </w:r>
    </w:p>
    <w:p w:rsidR="00442043" w:rsidRDefault="00442043" w:rsidP="00752F93">
      <w:pPr>
        <w:pStyle w:val="ListParagraph"/>
        <w:ind w:left="0"/>
      </w:pPr>
    </w:p>
    <w:p w:rsidR="00442043" w:rsidRDefault="00442043" w:rsidP="00442043">
      <w:pPr>
        <w:pStyle w:val="ListParagraph"/>
        <w:numPr>
          <w:ilvl w:val="0"/>
          <w:numId w:val="10"/>
        </w:numPr>
      </w:pPr>
      <w:r>
        <w:t>Households with improved household food security are more likely to be able to comply with nutrition counseling messages</w:t>
      </w:r>
      <w:r w:rsidR="0085210C">
        <w:t>.</w:t>
      </w:r>
      <w:r w:rsidR="0085210C">
        <w:rPr>
          <w:rStyle w:val="FootnoteReference"/>
        </w:rPr>
        <w:footnoteReference w:id="12"/>
      </w:r>
    </w:p>
    <w:p w:rsidR="00442043" w:rsidRDefault="00442043" w:rsidP="00442043">
      <w:pPr>
        <w:pStyle w:val="ListParagraph"/>
        <w:numPr>
          <w:ilvl w:val="0"/>
          <w:numId w:val="10"/>
        </w:numPr>
      </w:pPr>
      <w:r>
        <w:t>Children in households with improved water, sanitation and hygiene will have a reduced prevalence of diarrheal infection and, in turn, improved nutritional status.</w:t>
      </w:r>
      <w:r>
        <w:rPr>
          <w:rStyle w:val="FootnoteReference"/>
        </w:rPr>
        <w:footnoteReference w:id="13"/>
      </w:r>
    </w:p>
    <w:p w:rsidR="00E92801" w:rsidRDefault="00E92801" w:rsidP="00442043">
      <w:pPr>
        <w:pStyle w:val="ListParagraph"/>
        <w:numPr>
          <w:ilvl w:val="0"/>
          <w:numId w:val="10"/>
        </w:numPr>
      </w:pPr>
      <w:r>
        <w:t>In schools offering nutrition education classes and school gardening, increased school enrollment and attendance, facilitated by school meals, will often translate into better nutrition practices in the home and increased homestead gardening.</w:t>
      </w:r>
    </w:p>
    <w:p w:rsidR="00442043" w:rsidRDefault="00442043" w:rsidP="00752F93">
      <w:pPr>
        <w:pStyle w:val="ListParagraph"/>
        <w:ind w:left="0"/>
      </w:pPr>
    </w:p>
    <w:p w:rsidR="00CE1172" w:rsidRDefault="00442043" w:rsidP="00CF7940">
      <w:pPr>
        <w:pStyle w:val="ListParagraph"/>
        <w:ind w:left="0"/>
      </w:pPr>
      <w:r>
        <w:t xml:space="preserve">When this convergence is </w:t>
      </w:r>
      <w:r w:rsidR="00752F93">
        <w:t xml:space="preserve">targeted to vulnerable areas </w:t>
      </w:r>
      <w:r>
        <w:t xml:space="preserve">it </w:t>
      </w:r>
      <w:r w:rsidR="00752F93">
        <w:t xml:space="preserve">appears viable, capable of major impact, and likely to be highly cost-effective. </w:t>
      </w:r>
    </w:p>
    <w:p w:rsidR="00CE1172" w:rsidRDefault="00CE1172" w:rsidP="00CF7940">
      <w:pPr>
        <w:pStyle w:val="ListParagraph"/>
        <w:ind w:left="0"/>
      </w:pPr>
    </w:p>
    <w:p w:rsidR="00CE1172" w:rsidRDefault="00CE1172" w:rsidP="00CE1172">
      <w:r>
        <w:t xml:space="preserve">In addition to exemplifying the value of the convergence approach, the MDG/F program was successful in demonstrating the value of well-operated nutrition-sensitive interventions in the country, implemented to scale in these geographic areas, and successful in addressing these particular determinants of malnutrition. </w:t>
      </w:r>
      <w:r w:rsidR="00B9468A">
        <w:t>These interventions now need to be scaled up together with health sector-based nutrition-specific programming.</w:t>
      </w:r>
      <w:r>
        <w:t xml:space="preserve">  </w:t>
      </w:r>
    </w:p>
    <w:p w:rsidR="005D5733" w:rsidRDefault="005D5733" w:rsidP="00CE1172"/>
    <w:p w:rsidR="005D5733" w:rsidRDefault="005D5733" w:rsidP="00CE1172">
      <w:r>
        <w:t>The effects of the program on nutrition and food security indicators were impressive: a near elimination of severe acute malnutrition and a reduction of moderate acute malnutrition to roughly one tenth of earlier levels, highly significant increases in the percentage of vulnerable households with home gardens, in the income derived from gardens and poultry</w:t>
      </w:r>
      <w:r w:rsidR="004C1CAD">
        <w:t>, in the consumption of eggs and meat, and in food consumption scores. Additionally, the school lunch and garden programs were successful in improving school enrollment and attendance.</w:t>
      </w:r>
    </w:p>
    <w:p w:rsidR="004C1CAD" w:rsidRDefault="004C1CAD" w:rsidP="00CE1172"/>
    <w:p w:rsidR="004C1CAD" w:rsidRDefault="004C1CAD" w:rsidP="00CE1172">
      <w:r>
        <w:t>Although women’s empowerment and improved pregnancy outcomes were not explicit objectives of the program, effects on both were significant with women’s roles in household decision making greatly enhanced, and with a doubling of the percentage of project area pregnant women consuming more food than usual.</w:t>
      </w:r>
    </w:p>
    <w:p w:rsidR="004C1CAD" w:rsidRDefault="004C1CAD" w:rsidP="00CE1172"/>
    <w:p w:rsidR="00044989" w:rsidRDefault="00044989" w:rsidP="00CF7940">
      <w:pPr>
        <w:pStyle w:val="ListParagraph"/>
        <w:ind w:left="0"/>
      </w:pPr>
      <w:r>
        <w:t xml:space="preserve">Valuable studies were carried out under “Outcome 5” of the program: nutrition and food security-related data and information, although the </w:t>
      </w:r>
      <w:r w:rsidR="00547AA9">
        <w:t>program’s failure to utilize the findings and tools of the Food Security and Nutrition Surveillance Project may have been a missed opportunity.</w:t>
      </w:r>
    </w:p>
    <w:p w:rsidR="00044989" w:rsidRDefault="00044989" w:rsidP="00CF7940">
      <w:pPr>
        <w:pStyle w:val="ListParagraph"/>
        <w:ind w:left="0"/>
      </w:pPr>
    </w:p>
    <w:p w:rsidR="00044989" w:rsidRDefault="004C1CAD" w:rsidP="00CF7940">
      <w:pPr>
        <w:pStyle w:val="ListParagraph"/>
        <w:ind w:left="0"/>
      </w:pPr>
      <w:r>
        <w:t xml:space="preserve">Program efficiency varied by category with expenditure rates unusually slow early in the program, with an often unwieldy fund allocation process, </w:t>
      </w:r>
      <w:r w:rsidR="00044989">
        <w:t xml:space="preserve">with inadequate participation by local governments, and with some shortcomings in NGO monitoring, </w:t>
      </w:r>
      <w:r>
        <w:t xml:space="preserve">but with exceptionally high </w:t>
      </w:r>
      <w:r w:rsidR="00044989">
        <w:t xml:space="preserve">program </w:t>
      </w:r>
      <w:r>
        <w:t>coverage</w:t>
      </w:r>
      <w:r w:rsidR="00044989">
        <w:t xml:space="preserve"> in each of the program’s outcome areas, with efficient national level program governance, and with highly regarded program coordination. </w:t>
      </w:r>
    </w:p>
    <w:p w:rsidR="00044989" w:rsidRDefault="00044989" w:rsidP="00CF7940">
      <w:pPr>
        <w:pStyle w:val="ListParagraph"/>
        <w:ind w:left="0"/>
      </w:pPr>
    </w:p>
    <w:p w:rsidR="00044989" w:rsidRDefault="00044989" w:rsidP="00CF7940">
      <w:pPr>
        <w:pStyle w:val="ListParagraph"/>
        <w:ind w:left="0"/>
      </w:pPr>
      <w:r>
        <w:t xml:space="preserve">Capacity development in the program was systematic and vital to the program, particularly in the areas of CMAM operation and garden and livestock-related training. </w:t>
      </w:r>
    </w:p>
    <w:p w:rsidR="00044989" w:rsidRDefault="00044989" w:rsidP="00CF7940">
      <w:pPr>
        <w:pStyle w:val="ListParagraph"/>
        <w:ind w:left="0"/>
      </w:pPr>
    </w:p>
    <w:p w:rsidR="00547AA9" w:rsidRDefault="00547AA9" w:rsidP="00CF7940">
      <w:pPr>
        <w:pStyle w:val="ListParagraph"/>
        <w:ind w:left="0"/>
      </w:pPr>
      <w:r>
        <w:t>There was agreement among all stakeholders that the advantages of the three UN agencies and their government counterparts working together far outweighed the “transaction costs” of doing so.</w:t>
      </w:r>
    </w:p>
    <w:p w:rsidR="00547AA9" w:rsidRDefault="00547AA9" w:rsidP="00CF7940">
      <w:pPr>
        <w:pStyle w:val="ListParagraph"/>
        <w:ind w:left="0"/>
      </w:pPr>
    </w:p>
    <w:p w:rsidR="00547AA9" w:rsidRDefault="00547AA9" w:rsidP="00CF7940">
      <w:pPr>
        <w:pStyle w:val="ListParagraph"/>
        <w:ind w:left="0"/>
        <w:rPr>
          <w:b/>
        </w:rPr>
      </w:pPr>
      <w:r>
        <w:rPr>
          <w:b/>
        </w:rPr>
        <w:t>Lessons Learned</w:t>
      </w:r>
    </w:p>
    <w:p w:rsidR="00547AA9" w:rsidRDefault="00547AA9" w:rsidP="00CF7940">
      <w:pPr>
        <w:pStyle w:val="ListParagraph"/>
        <w:ind w:left="0"/>
        <w:rPr>
          <w:b/>
        </w:rPr>
      </w:pPr>
    </w:p>
    <w:p w:rsidR="0019325C" w:rsidRDefault="0019325C" w:rsidP="00CF7940">
      <w:pPr>
        <w:pStyle w:val="ListParagraph"/>
        <w:ind w:left="0"/>
      </w:pPr>
      <w:r>
        <w:t>The MDG/F program experience offers several valuable lessons for nutrition efforts in Bangladesh and for the international nutrition community.</w:t>
      </w:r>
    </w:p>
    <w:p w:rsidR="0019325C" w:rsidRDefault="0019325C" w:rsidP="00CF7940">
      <w:pPr>
        <w:pStyle w:val="ListParagraph"/>
        <w:ind w:left="0"/>
      </w:pPr>
    </w:p>
    <w:p w:rsidR="0019325C" w:rsidRDefault="0019325C" w:rsidP="0019325C">
      <w:pPr>
        <w:pStyle w:val="ListParagraph"/>
        <w:numPr>
          <w:ilvl w:val="0"/>
          <w:numId w:val="13"/>
        </w:numPr>
      </w:pPr>
      <w:r>
        <w:t>The “convergence” approach of multisectoral inputs in targeted vulnerable areas is capable of significant nutritional benefit. While the MDG/F program was of short duration and did not include all of the sectoral involvement desirable, experience from the Shouhardo project in Bangladesh and from Peru indicates that a reduction in stunting prevalence by more than 4 percentage points a year is possible.</w:t>
      </w:r>
    </w:p>
    <w:p w:rsidR="0019325C" w:rsidRDefault="0019325C" w:rsidP="0019325C">
      <w:pPr>
        <w:pStyle w:val="ListParagraph"/>
      </w:pPr>
    </w:p>
    <w:p w:rsidR="0019325C" w:rsidRDefault="00D57293" w:rsidP="0019325C">
      <w:pPr>
        <w:pStyle w:val="ListParagraph"/>
        <w:numPr>
          <w:ilvl w:val="0"/>
          <w:numId w:val="13"/>
        </w:numPr>
      </w:pPr>
      <w:r>
        <w:t>The program disruption resulting from the</w:t>
      </w:r>
      <w:r w:rsidR="0019325C">
        <w:t xml:space="preserve"> government’s </w:t>
      </w:r>
      <w:r>
        <w:t>banning of RUTF imports suggests that the development of mitigation plans may be appropriate in cases where a program is vulnerable to such changes in government policy. Sustainability and program cost questions are also triggered by such a reliance of patented imports, as discussed in this report.</w:t>
      </w:r>
    </w:p>
    <w:p w:rsidR="00D57293" w:rsidRDefault="00D57293" w:rsidP="00D57293"/>
    <w:p w:rsidR="00D57293" w:rsidRDefault="00D57293" w:rsidP="0019325C">
      <w:pPr>
        <w:pStyle w:val="ListParagraph"/>
        <w:numPr>
          <w:ilvl w:val="0"/>
          <w:numId w:val="13"/>
        </w:numPr>
      </w:pPr>
      <w:r>
        <w:t>Food security programming should take full advantage of state-of-the-art assessment tech</w:t>
      </w:r>
      <w:r w:rsidR="0025493D">
        <w:t>niques, and specifically food insecurity scoring systems.</w:t>
      </w:r>
    </w:p>
    <w:p w:rsidR="0025493D" w:rsidRDefault="0025493D" w:rsidP="0025493D"/>
    <w:p w:rsidR="0025493D" w:rsidRDefault="0025493D" w:rsidP="0019325C">
      <w:pPr>
        <w:pStyle w:val="ListParagraph"/>
        <w:numPr>
          <w:ilvl w:val="0"/>
          <w:numId w:val="13"/>
        </w:numPr>
      </w:pPr>
      <w:r>
        <w:t>House to house CMAM screening in Bangladesh – and in most countries – is usually unnecessary and results in missed opportunities: interaction among child caretakers, group counseling and the provision of additional health services at the community level. Where there are shortfalls in attendance, good monitoring can identify non-attending children with home visits then organized to those households.</w:t>
      </w:r>
    </w:p>
    <w:p w:rsidR="0025493D" w:rsidRDefault="0025493D" w:rsidP="0025493D"/>
    <w:p w:rsidR="0025493D" w:rsidRDefault="0025493D" w:rsidP="0019325C">
      <w:pPr>
        <w:pStyle w:val="ListParagraph"/>
        <w:numPr>
          <w:ilvl w:val="0"/>
          <w:numId w:val="13"/>
        </w:numPr>
      </w:pPr>
      <w:r>
        <w:t>Referral to more distant health facilities is often overly challenging to low income families, particularly in more remote locations. The arranging of transport for such families is likely to have high returns in compliance.</w:t>
      </w:r>
    </w:p>
    <w:p w:rsidR="00C775A6" w:rsidRDefault="00C775A6" w:rsidP="00C775A6"/>
    <w:p w:rsidR="00C775A6" w:rsidRDefault="00C775A6" w:rsidP="0019325C">
      <w:pPr>
        <w:pStyle w:val="ListParagraph"/>
        <w:numPr>
          <w:ilvl w:val="0"/>
          <w:numId w:val="13"/>
        </w:numPr>
      </w:pPr>
      <w:r>
        <w:t>Well implemented school meals and gardens can improve school enrollment and attendance significantly and should be actively encouraged.</w:t>
      </w:r>
    </w:p>
    <w:p w:rsidR="0025493D" w:rsidRDefault="0025493D" w:rsidP="0025493D">
      <w:pPr>
        <w:rPr>
          <w:b/>
        </w:rPr>
      </w:pPr>
    </w:p>
    <w:p w:rsidR="009E3065" w:rsidRPr="005734AE" w:rsidRDefault="009E3065" w:rsidP="009E3065">
      <w:pPr>
        <w:pStyle w:val="Heading1"/>
      </w:pPr>
      <w:bookmarkStart w:id="34" w:name="_Toc236373008"/>
      <w:r>
        <w:t>Options for the Future</w:t>
      </w:r>
      <w:bookmarkEnd w:id="34"/>
    </w:p>
    <w:p w:rsidR="009E3065" w:rsidRDefault="009E3065" w:rsidP="009E3065">
      <w:pPr>
        <w:rPr>
          <w:b/>
        </w:rPr>
      </w:pPr>
    </w:p>
    <w:p w:rsidR="009E3065" w:rsidRDefault="009E3065" w:rsidP="009E3065">
      <w:r>
        <w:t>Three primary options – not mutually exclusive - present themselves for the future of MDG/F type programmatic activity in the program area:</w:t>
      </w:r>
    </w:p>
    <w:p w:rsidR="009E3065" w:rsidRDefault="009E3065" w:rsidP="009E3065"/>
    <w:p w:rsidR="009E3065" w:rsidRDefault="009E3065" w:rsidP="009E3065">
      <w:pPr>
        <w:pStyle w:val="ListParagraph"/>
        <w:numPr>
          <w:ilvl w:val="0"/>
          <w:numId w:val="11"/>
        </w:numPr>
      </w:pPr>
      <w:r>
        <w:t>Substantial efforts have already been made to incorporate MDG/F activities into existing or new national or regional programs. As of this writing, program activities are likely to be incorporated into the United Nations Development Action Framework (UNDAF), into the WFP national school feeding program and into UNICEF programs including the UNICEF-assisted MYCANSIA program. Additionally, non health sectors can continue to strengthen the nutrition focus of their services in these MDG/F areas with technical support as appropriate.</w:t>
      </w:r>
    </w:p>
    <w:p w:rsidR="009E3065" w:rsidRDefault="009E3065" w:rsidP="009E3065">
      <w:pPr>
        <w:pStyle w:val="ListParagraph"/>
      </w:pPr>
    </w:p>
    <w:p w:rsidR="009E3065" w:rsidRDefault="009E3065" w:rsidP="009E3065">
      <w:pPr>
        <w:pStyle w:val="ListParagraph"/>
        <w:numPr>
          <w:ilvl w:val="0"/>
          <w:numId w:val="11"/>
        </w:numPr>
      </w:pPr>
      <w:r>
        <w:t>The National Nutrition Service (NNS), about to gear up its activities in the country, could choose to undertake a pilot program in the MDG/F program area building on the activities undertaken. The NNS plans to increase the nutrition orientation of health facilities, and have one community nutrition worker in place for screening in each community clinic coverage area.</w:t>
      </w:r>
      <w:r>
        <w:rPr>
          <w:rStyle w:val="FootnoteReference"/>
        </w:rPr>
        <w:footnoteReference w:id="14"/>
      </w:r>
    </w:p>
    <w:p w:rsidR="009E3065" w:rsidRDefault="009E3065" w:rsidP="009E3065"/>
    <w:p w:rsidR="009E3065" w:rsidRPr="004948D6" w:rsidRDefault="009E3065" w:rsidP="009E3065">
      <w:pPr>
        <w:pStyle w:val="ListParagraph"/>
        <w:numPr>
          <w:ilvl w:val="0"/>
          <w:numId w:val="11"/>
        </w:numPr>
      </w:pPr>
      <w:r>
        <w:t>Using another Peru/Brazil model, it may be possible to experiment in the program area with a UN or GoB Union or Upazila Incentive Fund, selecting appropriate indicators. As an example, interested MDG/F unions or upazilas which, after two years – and with reliable external assessment – are able to maintain the lower levels of wasting achieved by the program would receive a significant supplement to its nutrition-related budget for coming years. With elected officials at both the union and upazila levels, meeting these targets and procuring these additional funds could provide a major incentive for intensive nutrition-related action.</w:t>
      </w:r>
      <w:r>
        <w:rPr>
          <w:rStyle w:val="FootnoteReference"/>
        </w:rPr>
        <w:footnoteReference w:id="15"/>
      </w:r>
    </w:p>
    <w:p w:rsidR="009E3065" w:rsidRDefault="009E3065" w:rsidP="009E3065">
      <w:pPr>
        <w:rPr>
          <w:b/>
        </w:rPr>
      </w:pPr>
    </w:p>
    <w:p w:rsidR="009E3065" w:rsidRDefault="009E3065" w:rsidP="009E3065">
      <w:pPr>
        <w:rPr>
          <w:b/>
        </w:rPr>
      </w:pPr>
    </w:p>
    <w:p w:rsidR="009E3065" w:rsidRDefault="009E3065" w:rsidP="009E3065">
      <w:pPr>
        <w:pStyle w:val="Heading1"/>
      </w:pPr>
      <w:bookmarkStart w:id="35" w:name="_Toc236373009"/>
      <w:r>
        <w:t>Evaluating MDG/F Program Sustainability</w:t>
      </w:r>
      <w:bookmarkEnd w:id="35"/>
    </w:p>
    <w:p w:rsidR="009E3065" w:rsidRDefault="009E3065" w:rsidP="009E3065">
      <w:pPr>
        <w:rPr>
          <w:b/>
        </w:rPr>
      </w:pPr>
    </w:p>
    <w:p w:rsidR="009E3065" w:rsidRDefault="009E3065" w:rsidP="009E3065">
      <w:r>
        <w:t>Regardless of the option(s) selected, a program of this importance requires an evaluation of its sustainability – which means returning to the area between 12-24 months after project completion and collecting key information on activity and impact indicators. Such an evaluation addresses the primary question of whether the impact achieved by the program has been sustained, and secondly tallies the program activities still in existence. On the latter, it would, for example, be valuable to know whether the women’s groups established by the project are still in existence, whether the garden and small livestock inputs have proven sustainable, whether CMAM continues to function well, and whether school programs have been continued.</w:t>
      </w:r>
    </w:p>
    <w:p w:rsidR="009E3065" w:rsidRDefault="009E3065" w:rsidP="009E3065"/>
    <w:p w:rsidR="009E3065" w:rsidRPr="005734AE" w:rsidRDefault="009E3065" w:rsidP="009E3065">
      <w:r>
        <w:t xml:space="preserve">Although MDG/F funding per se will not be available for data collection at that time, means should be found by the concerned government departments and UN partners to finance this important sustainability evaluation. </w:t>
      </w:r>
    </w:p>
    <w:p w:rsidR="009E3065" w:rsidRDefault="009E3065" w:rsidP="0025493D">
      <w:pPr>
        <w:rPr>
          <w:b/>
        </w:rPr>
      </w:pPr>
    </w:p>
    <w:p w:rsidR="009E3065" w:rsidRDefault="009E3065" w:rsidP="0025493D">
      <w:pPr>
        <w:rPr>
          <w:b/>
        </w:rPr>
      </w:pPr>
    </w:p>
    <w:p w:rsidR="0025493D" w:rsidRDefault="009E3065" w:rsidP="0025493D">
      <w:pPr>
        <w:rPr>
          <w:b/>
        </w:rPr>
      </w:pPr>
      <w:r>
        <w:rPr>
          <w:b/>
        </w:rPr>
        <w:t xml:space="preserve">Other </w:t>
      </w:r>
      <w:r w:rsidR="0025493D">
        <w:rPr>
          <w:b/>
        </w:rPr>
        <w:t>Recommendations</w:t>
      </w:r>
    </w:p>
    <w:p w:rsidR="0025493D" w:rsidRDefault="0025493D" w:rsidP="0025493D">
      <w:pPr>
        <w:rPr>
          <w:b/>
        </w:rPr>
      </w:pPr>
    </w:p>
    <w:p w:rsidR="0025493D" w:rsidRDefault="0025493D" w:rsidP="0025493D">
      <w:r>
        <w:t>The following recommendations emerge from this evaluation report:</w:t>
      </w:r>
    </w:p>
    <w:p w:rsidR="0025493D" w:rsidRDefault="0025493D" w:rsidP="0025493D"/>
    <w:p w:rsidR="00C24DCB" w:rsidRDefault="00C24DCB" w:rsidP="00B66C07">
      <w:pPr>
        <w:pStyle w:val="ListParagraph"/>
        <w:numPr>
          <w:ilvl w:val="0"/>
          <w:numId w:val="16"/>
        </w:numPr>
      </w:pPr>
      <w:r>
        <w:t>The convergence approach as a model, with multisectoral interventions operating in areas targeted by high rates of malnutrition and/or food insecurity (in the case of the MDG/F program, the highly vulnerable southern coastal areas of the country) deserves serious consideration by the government and its development partners. Convergence should include those interventions utilized in the MDG/F program plus WASH (specifically WASH hardware) and employment generation activities.</w:t>
      </w:r>
    </w:p>
    <w:p w:rsidR="00C24DCB" w:rsidRDefault="00C24DCB" w:rsidP="00C24DCB">
      <w:pPr>
        <w:pStyle w:val="ListParagraph"/>
      </w:pPr>
    </w:p>
    <w:p w:rsidR="00C24DCB" w:rsidRDefault="00C24DCB" w:rsidP="00B66C07">
      <w:pPr>
        <w:pStyle w:val="ListParagraph"/>
        <w:numPr>
          <w:ilvl w:val="0"/>
          <w:numId w:val="16"/>
        </w:numPr>
      </w:pPr>
      <w:r>
        <w:t>Important programs such as that undertaken by the MDG Fund require a duration of at least five years.</w:t>
      </w:r>
    </w:p>
    <w:p w:rsidR="00C775A6" w:rsidRDefault="00C775A6" w:rsidP="00C775A6"/>
    <w:p w:rsidR="00C775A6" w:rsidRDefault="00C775A6" w:rsidP="00B66C07">
      <w:pPr>
        <w:pStyle w:val="ListParagraph"/>
        <w:numPr>
          <w:ilvl w:val="0"/>
          <w:numId w:val="16"/>
        </w:numPr>
      </w:pPr>
      <w:r>
        <w:t>Except in emergency situations, the balance in such programs between prevention and treatment intervention needs to be shifted substantially toward the former.</w:t>
      </w:r>
    </w:p>
    <w:p w:rsidR="00C24DCB" w:rsidRDefault="00C24DCB" w:rsidP="00C24DCB"/>
    <w:p w:rsidR="00C24DCB" w:rsidRDefault="00C24DCB" w:rsidP="00B66C07">
      <w:pPr>
        <w:pStyle w:val="ListParagraph"/>
        <w:numPr>
          <w:ilvl w:val="0"/>
          <w:numId w:val="16"/>
        </w:numPr>
      </w:pPr>
      <w:r>
        <w:t>Small farm households in Bangladesh require intensified</w:t>
      </w:r>
      <w:r w:rsidR="00C775A6">
        <w:t xml:space="preserve"> assistance in home gardening and in marketing, the latter both through the encouragement of cooperatives and through government purchase of food commodities from assisted households for school meal programs.</w:t>
      </w:r>
    </w:p>
    <w:p w:rsidR="00C775A6" w:rsidRDefault="00C775A6" w:rsidP="00C775A6"/>
    <w:p w:rsidR="00C775A6" w:rsidRDefault="00C775A6" w:rsidP="00B66C07">
      <w:pPr>
        <w:pStyle w:val="ListParagraph"/>
        <w:numPr>
          <w:ilvl w:val="0"/>
          <w:numId w:val="16"/>
        </w:numPr>
      </w:pPr>
      <w:r>
        <w:t>Such assistance can be facilitated where women doing garden and agricultural activity are organized into groups.</w:t>
      </w:r>
    </w:p>
    <w:p w:rsidR="00C775A6" w:rsidRDefault="00C775A6" w:rsidP="00C775A6"/>
    <w:p w:rsidR="00C775A6" w:rsidRDefault="00C775A6" w:rsidP="00B66C07">
      <w:pPr>
        <w:pStyle w:val="ListParagraph"/>
        <w:numPr>
          <w:ilvl w:val="0"/>
          <w:numId w:val="16"/>
        </w:numPr>
      </w:pPr>
      <w:r>
        <w:t>Intensified efforts are needed to provide life skills counseling and weekly iron tablets to adolescent girls – both those in and out of school.</w:t>
      </w:r>
    </w:p>
    <w:p w:rsidR="00C775A6" w:rsidRDefault="00C775A6" w:rsidP="00C775A6"/>
    <w:p w:rsidR="00C775A6" w:rsidRDefault="00C775A6" w:rsidP="00B66C07">
      <w:pPr>
        <w:pStyle w:val="ListParagraph"/>
        <w:numPr>
          <w:ilvl w:val="0"/>
          <w:numId w:val="16"/>
        </w:numPr>
      </w:pPr>
      <w:r>
        <w:t xml:space="preserve">The use of management by exception techniques in </w:t>
      </w:r>
      <w:r w:rsidR="009E3065">
        <w:t>project monitoring are essential to assure rapid local utilization of data.</w:t>
      </w:r>
    </w:p>
    <w:p w:rsidR="009E3065" w:rsidRDefault="009E3065" w:rsidP="009E3065"/>
    <w:p w:rsidR="009E3065" w:rsidRDefault="009E3065" w:rsidP="00B66C07">
      <w:pPr>
        <w:pStyle w:val="ListParagraph"/>
        <w:numPr>
          <w:ilvl w:val="0"/>
          <w:numId w:val="16"/>
        </w:numPr>
      </w:pPr>
      <w:r>
        <w:t>Future programs such as that undertaken by the MDG/F could benefit considerably from the use of quality assurance teams and from Tanahashi or bottleneck analysis.</w:t>
      </w:r>
    </w:p>
    <w:p w:rsidR="009E3065" w:rsidRDefault="009E3065" w:rsidP="009E3065"/>
    <w:p w:rsidR="009E3065" w:rsidRDefault="009E3065" w:rsidP="00B66C07">
      <w:pPr>
        <w:pStyle w:val="ListParagraph"/>
        <w:numPr>
          <w:ilvl w:val="0"/>
          <w:numId w:val="16"/>
        </w:numPr>
      </w:pPr>
      <w:r>
        <w:t>Shortages of government positions and high vacancy rates in rural areas deserve priority attention by the government.</w:t>
      </w:r>
    </w:p>
    <w:p w:rsidR="009E3065" w:rsidRDefault="009E3065" w:rsidP="009E3065"/>
    <w:p w:rsidR="009E3065" w:rsidRDefault="009E3065" w:rsidP="00B66C07">
      <w:pPr>
        <w:pStyle w:val="ListParagraph"/>
        <w:numPr>
          <w:ilvl w:val="0"/>
          <w:numId w:val="16"/>
        </w:numPr>
      </w:pPr>
      <w:r>
        <w:t>The civil society nutrition advocacy groups now in existence in the country deserve active encouragement.</w:t>
      </w:r>
    </w:p>
    <w:p w:rsidR="009E3065" w:rsidRDefault="009E3065" w:rsidP="009E3065"/>
    <w:p w:rsidR="009E3065" w:rsidRDefault="009E3065" w:rsidP="009E3065">
      <w:pPr>
        <w:pStyle w:val="ListParagraph"/>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B66C07" w:rsidRDefault="00B66C07" w:rsidP="00B66C07">
      <w:pPr>
        <w:rPr>
          <w:rStyle w:val="Heading1Char"/>
        </w:rPr>
      </w:pPr>
    </w:p>
    <w:p w:rsidR="000C42AA" w:rsidRPr="00CF7940" w:rsidRDefault="00ED3681" w:rsidP="00B66C07">
      <w:pPr>
        <w:rPr>
          <w:rStyle w:val="Heading1Char"/>
        </w:rPr>
      </w:pPr>
      <w:r w:rsidRPr="00CF7940">
        <w:rPr>
          <w:rStyle w:val="Heading1Char"/>
        </w:rPr>
        <w:t>References</w:t>
      </w:r>
    </w:p>
    <w:p w:rsidR="00C82F3D" w:rsidRDefault="00C82F3D" w:rsidP="00C82F3D">
      <w:pPr>
        <w:pStyle w:val="FootnoteText"/>
        <w:rPr>
          <w:rFonts w:ascii="Calibri" w:hAnsi="Calibri"/>
          <w:sz w:val="22"/>
          <w:szCs w:val="22"/>
        </w:rPr>
      </w:pPr>
    </w:p>
    <w:p w:rsidR="00C82F3D" w:rsidRPr="00C82F3D" w:rsidRDefault="00C82F3D" w:rsidP="00C82F3D">
      <w:pPr>
        <w:pStyle w:val="FootnoteText"/>
        <w:ind w:left="720" w:hanging="720"/>
        <w:rPr>
          <w:sz w:val="22"/>
          <w:szCs w:val="22"/>
        </w:rPr>
      </w:pPr>
      <w:r w:rsidRPr="00C82F3D">
        <w:rPr>
          <w:sz w:val="22"/>
          <w:szCs w:val="22"/>
        </w:rPr>
        <w:t>WFP, FAO, UNICEF 2010, Joint Programme Proposal “Protecting and Promoting Food Security and Nutrition among families and children in Bangladesh</w:t>
      </w:r>
      <w:r w:rsidRPr="00C82F3D">
        <w:rPr>
          <w:i/>
          <w:sz w:val="22"/>
          <w:szCs w:val="22"/>
        </w:rPr>
        <w:t xml:space="preserve">”, </w:t>
      </w:r>
      <w:r w:rsidRPr="00C82F3D">
        <w:rPr>
          <w:sz w:val="22"/>
          <w:szCs w:val="22"/>
        </w:rPr>
        <w:t xml:space="preserve">MDG Fund, Bangladesh. </w:t>
      </w:r>
    </w:p>
    <w:p w:rsidR="00C82F3D" w:rsidRDefault="00C82F3D" w:rsidP="00C82F3D">
      <w:pPr>
        <w:spacing w:before="120" w:after="60"/>
        <w:ind w:left="720" w:hanging="720"/>
        <w:jc w:val="both"/>
        <w:rPr>
          <w:rFonts w:eastAsia="Times New Roman" w:cs="Times New Roman"/>
          <w:lang w:val="en-GB"/>
        </w:rPr>
      </w:pPr>
      <w:r w:rsidRPr="00C82F3D">
        <w:rPr>
          <w:rFonts w:eastAsia="Times New Roman" w:cs="Times New Roman"/>
          <w:lang w:val="en-GB"/>
        </w:rPr>
        <w:t xml:space="preserve">Roy, S.K.,  Baseline Survey on Protecting and Promoting Food Security and Nutrition for Families and children in Bangladesh, ICDDRB, </w:t>
      </w:r>
      <w:r>
        <w:rPr>
          <w:rFonts w:eastAsia="Times New Roman" w:cs="Times New Roman"/>
          <w:lang w:val="en-GB"/>
        </w:rPr>
        <w:t xml:space="preserve">WFP&lt; UNICEF, FAO </w:t>
      </w:r>
      <w:r w:rsidRPr="00C82F3D">
        <w:rPr>
          <w:rFonts w:eastAsia="Times New Roman" w:cs="Times New Roman"/>
          <w:lang w:val="en-GB"/>
        </w:rPr>
        <w:t>MDG Fund, Dhaka, November 2011.</w:t>
      </w:r>
    </w:p>
    <w:p w:rsidR="00D3763D" w:rsidRPr="00D3763D" w:rsidRDefault="00D3763D" w:rsidP="00D3763D">
      <w:pPr>
        <w:spacing w:before="120" w:after="60"/>
        <w:ind w:left="720" w:hanging="720"/>
        <w:jc w:val="both"/>
        <w:rPr>
          <w:rFonts w:eastAsia="Times New Roman" w:cs="Times New Roman"/>
          <w:lang w:val="en-GB"/>
        </w:rPr>
      </w:pPr>
      <w:r>
        <w:rPr>
          <w:rFonts w:eastAsia="Times New Roman" w:cs="Times New Roman"/>
          <w:lang w:val="en-GB"/>
        </w:rPr>
        <w:t xml:space="preserve">Fisher, Keith Jeddere, </w:t>
      </w:r>
      <w:r w:rsidRPr="00D3763D">
        <w:rPr>
          <w:rFonts w:eastAsia="Times New Roman" w:cs="Times New Roman"/>
          <w:lang w:val="en-GB"/>
        </w:rPr>
        <w:t>Independent mid-term evaluation of the</w:t>
      </w:r>
      <w:r>
        <w:rPr>
          <w:rFonts w:eastAsia="Times New Roman" w:cs="Times New Roman"/>
          <w:lang w:val="en-GB"/>
        </w:rPr>
        <w:t xml:space="preserve"> </w:t>
      </w:r>
      <w:r w:rsidRPr="00D3763D">
        <w:rPr>
          <w:rFonts w:eastAsia="Times New Roman" w:cs="Times New Roman"/>
          <w:lang w:val="en-GB"/>
        </w:rPr>
        <w:t>Joint Programme “Protecting and Promoting Food Security and Nutrition for Families and Children in Bangladesh”</w:t>
      </w:r>
      <w:r>
        <w:rPr>
          <w:rFonts w:eastAsia="Times New Roman" w:cs="Times New Roman"/>
          <w:lang w:val="en-GB"/>
        </w:rPr>
        <w:t xml:space="preserve"> MDG F Secretariat, Dhaka, April 2012</w:t>
      </w:r>
    </w:p>
    <w:p w:rsidR="00C82F3D" w:rsidRPr="00C82F3D" w:rsidRDefault="00C82F3D" w:rsidP="00C82F3D">
      <w:pPr>
        <w:spacing w:before="120" w:after="60"/>
        <w:ind w:left="720" w:hanging="720"/>
        <w:jc w:val="both"/>
        <w:rPr>
          <w:rFonts w:eastAsia="Times New Roman" w:cs="Times New Roman"/>
          <w:lang w:val="en-GB"/>
        </w:rPr>
      </w:pPr>
      <w:r w:rsidRPr="00C82F3D">
        <w:rPr>
          <w:rFonts w:eastAsia="Times New Roman" w:cs="Times New Roman"/>
          <w:lang w:val="en-GB"/>
        </w:rPr>
        <w:t xml:space="preserve">World Food Programme, Women’s Empowerment in a Food Security and Nutrition Programme- A Case Study, MDG Fund, Dhaka, February 2013. </w:t>
      </w:r>
    </w:p>
    <w:p w:rsidR="00C82F3D" w:rsidRPr="00C82F3D" w:rsidRDefault="00C82F3D" w:rsidP="00C82F3D">
      <w:pPr>
        <w:spacing w:before="120" w:after="60"/>
        <w:ind w:left="720" w:hanging="720"/>
        <w:jc w:val="both"/>
        <w:rPr>
          <w:rFonts w:eastAsia="Times New Roman" w:cs="Times New Roman"/>
          <w:lang w:val="en-GB"/>
        </w:rPr>
      </w:pPr>
      <w:r w:rsidRPr="00C82F3D">
        <w:rPr>
          <w:rFonts w:eastAsia="Times New Roman" w:cs="Times New Roman"/>
          <w:lang w:val="en-GB"/>
        </w:rPr>
        <w:t xml:space="preserve">Economic Research Group,  Food Security and Nutrition Initiatives in Bangladesh: An analytical exercise into mapping; Documentation, Illustrations and Recommendations. World Food Programme,  Dhaka, June 2013. </w:t>
      </w:r>
    </w:p>
    <w:p w:rsidR="00C82F3D" w:rsidRPr="00C82F3D" w:rsidRDefault="00C82F3D" w:rsidP="00ED3681">
      <w:pPr>
        <w:rPr>
          <w:rFonts w:eastAsia="Times New Roman"/>
        </w:rPr>
      </w:pPr>
    </w:p>
    <w:p w:rsidR="00CE55E8" w:rsidRPr="00C82F3D" w:rsidRDefault="00CE55E8" w:rsidP="00CF7940">
      <w:pPr>
        <w:pStyle w:val="Title"/>
        <w:ind w:left="720" w:hanging="720"/>
        <w:jc w:val="left"/>
        <w:rPr>
          <w:rFonts w:asciiTheme="minorHAnsi" w:hAnsiTheme="minorHAnsi"/>
          <w:b w:val="0"/>
          <w:szCs w:val="24"/>
        </w:rPr>
      </w:pPr>
      <w:r w:rsidRPr="00C82F3D">
        <w:rPr>
          <w:rFonts w:asciiTheme="minorHAnsi" w:hAnsiTheme="minorHAnsi"/>
          <w:b w:val="0"/>
          <w:bCs/>
          <w:szCs w:val="24"/>
        </w:rPr>
        <w:t xml:space="preserve">Ahrari M, Yassin S, Mogheez M, Hussaini Y, Crump P, Darmstadt G L, Marsh D, Houser R F, Levinson F J. </w:t>
      </w:r>
      <w:r w:rsidRPr="00C82F3D">
        <w:rPr>
          <w:rFonts w:asciiTheme="minorHAnsi" w:hAnsiTheme="minorHAnsi"/>
          <w:b w:val="0"/>
          <w:szCs w:val="24"/>
        </w:rPr>
        <w:t xml:space="preserve">A Positive Deviance-Based Nutrition and Health Intervention Improves Birth weight in Upper Egypt. </w:t>
      </w:r>
      <w:r w:rsidRPr="00C82F3D">
        <w:rPr>
          <w:rFonts w:asciiTheme="minorHAnsi" w:hAnsiTheme="minorHAnsi"/>
          <w:b w:val="0"/>
          <w:i/>
          <w:szCs w:val="24"/>
        </w:rPr>
        <w:t>Population, Health and Nutrition</w:t>
      </w:r>
      <w:r w:rsidRPr="00C82F3D">
        <w:rPr>
          <w:rFonts w:asciiTheme="minorHAnsi" w:hAnsiTheme="minorHAnsi"/>
          <w:b w:val="0"/>
          <w:szCs w:val="24"/>
        </w:rPr>
        <w:t>. Dec. 2006.</w:t>
      </w:r>
    </w:p>
    <w:p w:rsidR="00CE55E8" w:rsidRDefault="00CE55E8" w:rsidP="00CF7940">
      <w:pPr>
        <w:ind w:left="720" w:hanging="720"/>
        <w:rPr>
          <w:color w:val="000000"/>
        </w:rPr>
      </w:pPr>
    </w:p>
    <w:p w:rsidR="00CE55E8" w:rsidRDefault="00CE55E8" w:rsidP="00CF7940">
      <w:pPr>
        <w:ind w:left="720" w:hanging="720"/>
        <w:rPr>
          <w:color w:val="000000"/>
        </w:rPr>
      </w:pPr>
      <w:r>
        <w:rPr>
          <w:color w:val="000000"/>
        </w:rPr>
        <w:t xml:space="preserve">Levinson F J, Barney J, Bassett L, Schultink W. Utilization of Positive Deviance Analysis in Evaluating Community-Based Nutrition Programs: An Application of the Dular Program in Bihar India. </w:t>
      </w:r>
      <w:r>
        <w:rPr>
          <w:i/>
          <w:iCs/>
          <w:color w:val="000000"/>
        </w:rPr>
        <w:t>Food and Nutrition Bulletin</w:t>
      </w:r>
      <w:r>
        <w:rPr>
          <w:color w:val="000000"/>
        </w:rPr>
        <w:t>. Volume 28, Number 3, September 2007.</w:t>
      </w:r>
    </w:p>
    <w:p w:rsidR="00CE55E8" w:rsidRDefault="00CE55E8" w:rsidP="00CF7940">
      <w:pPr>
        <w:ind w:left="720" w:hanging="720"/>
        <w:rPr>
          <w:rFonts w:eastAsia="Times New Roman"/>
        </w:rPr>
      </w:pPr>
    </w:p>
    <w:p w:rsidR="00ED3681" w:rsidRDefault="00ED3681" w:rsidP="00CF7940">
      <w:pPr>
        <w:ind w:left="720" w:hanging="720"/>
        <w:rPr>
          <w:rFonts w:eastAsia="Times New Roman"/>
        </w:rPr>
      </w:pPr>
      <w:r>
        <w:rPr>
          <w:rFonts w:eastAsia="Times New Roman"/>
        </w:rPr>
        <w:t>Smith LC, Kahn F, Frankenberger TR, Wadud, A (2011). Admissible Evidence in the Court of Development Evaluation? The Impact of CARE’s Shouhardo Project on Child Stunting in Bangladesh. IDS Working Paper. Volume 2011, Number 376.</w:t>
      </w:r>
    </w:p>
    <w:p w:rsidR="0076394D" w:rsidRDefault="0076394D" w:rsidP="00CF7940">
      <w:pPr>
        <w:ind w:left="720" w:hanging="720"/>
        <w:rPr>
          <w:rFonts w:eastAsia="Times New Roman"/>
        </w:rPr>
      </w:pPr>
    </w:p>
    <w:p w:rsidR="0076394D" w:rsidRPr="00AA6D5B" w:rsidRDefault="0076394D" w:rsidP="007425F6">
      <w:pPr>
        <w:ind w:left="720" w:hanging="720"/>
        <w:rPr>
          <w:rFonts w:eastAsia="Times New Roman"/>
        </w:rPr>
      </w:pPr>
      <w:r w:rsidRPr="00AA6D5B">
        <w:rPr>
          <w:rFonts w:eastAsia="Times New Roman"/>
        </w:rPr>
        <w:t>Spears, D (2012). “How Much International Variation in Child Height Can Sanitation Explain?”, Rice University Working Paper, 10 December 2012.</w:t>
      </w:r>
    </w:p>
    <w:p w:rsidR="0076394D" w:rsidRPr="00871418" w:rsidRDefault="0076394D" w:rsidP="00CF7940">
      <w:pPr>
        <w:ind w:left="720" w:hanging="720"/>
        <w:rPr>
          <w:rFonts w:eastAsia="Times New Roman"/>
        </w:rPr>
      </w:pPr>
    </w:p>
    <w:p w:rsidR="00ED3681" w:rsidRPr="00ED3681" w:rsidRDefault="00ED3681" w:rsidP="00AA6D5B">
      <w:r>
        <w:t>UNICEF (2013). State of the World’s Children.</w:t>
      </w:r>
      <w:r w:rsidR="00C82F3D" w:rsidRPr="00C82F3D">
        <w:t xml:space="preserve"> http://www.unicef.org/sowc2013/</w:t>
      </w:r>
    </w:p>
    <w:p w:rsidR="000C42AA" w:rsidRDefault="000C42AA" w:rsidP="00CE3BD3">
      <w:pPr>
        <w:rPr>
          <w:b/>
        </w:rPr>
      </w:pPr>
    </w:p>
    <w:p w:rsidR="000C42AA" w:rsidRDefault="000C42AA" w:rsidP="00CE3BD3">
      <w:pPr>
        <w:rPr>
          <w:b/>
        </w:rPr>
      </w:pPr>
    </w:p>
    <w:p w:rsidR="000C42AA" w:rsidRDefault="000C42AA" w:rsidP="00CE3BD3">
      <w:pPr>
        <w:rPr>
          <w:b/>
        </w:rPr>
      </w:pPr>
    </w:p>
    <w:p w:rsidR="000C42AA" w:rsidRDefault="000C42AA" w:rsidP="00CE3BD3">
      <w:pPr>
        <w:rPr>
          <w:b/>
        </w:rPr>
      </w:pPr>
    </w:p>
    <w:p w:rsidR="000C42AA" w:rsidRDefault="000C42AA" w:rsidP="00CE3BD3">
      <w:pPr>
        <w:rPr>
          <w:b/>
        </w:rPr>
      </w:pPr>
    </w:p>
    <w:p w:rsidR="00B81B41" w:rsidRDefault="00B81B41">
      <w:pPr>
        <w:rPr>
          <w:b/>
        </w:rPr>
      </w:pPr>
      <w:r>
        <w:rPr>
          <w:b/>
        </w:rPr>
        <w:br w:type="page"/>
      </w:r>
    </w:p>
    <w:p w:rsidR="000C42AA" w:rsidRDefault="00B81B41" w:rsidP="00CE3BD3">
      <w:pPr>
        <w:rPr>
          <w:b/>
        </w:rPr>
      </w:pPr>
      <w:r>
        <w:rPr>
          <w:b/>
        </w:rPr>
        <w:t>Appendix: MDG/F Program Results Chain Logframe</w:t>
      </w:r>
    </w:p>
    <w:p w:rsidR="00B81B41" w:rsidRDefault="00B81B41" w:rsidP="00CE3BD3">
      <w:pPr>
        <w:rPr>
          <w:b/>
        </w:rPr>
      </w:pPr>
    </w:p>
    <w:tbl>
      <w:tblPr>
        <w:tblStyle w:val="TableGrid"/>
        <w:tblW w:w="0" w:type="auto"/>
        <w:tblLook w:val="04A0" w:firstRow="1" w:lastRow="0" w:firstColumn="1" w:lastColumn="0" w:noHBand="0" w:noVBand="1"/>
      </w:tblPr>
      <w:tblGrid>
        <w:gridCol w:w="2257"/>
        <w:gridCol w:w="2163"/>
        <w:gridCol w:w="2164"/>
        <w:gridCol w:w="2164"/>
      </w:tblGrid>
      <w:tr w:rsidR="00B81B41" w:rsidTr="000E3E82">
        <w:tc>
          <w:tcPr>
            <w:tcW w:w="2257" w:type="dxa"/>
          </w:tcPr>
          <w:p w:rsidR="00B81B41" w:rsidRDefault="00B81B41" w:rsidP="00B81B41">
            <w:pPr>
              <w:rPr>
                <w:b/>
              </w:rPr>
            </w:pPr>
            <w:r>
              <w:rPr>
                <w:b/>
              </w:rPr>
              <w:t xml:space="preserve">Activities/Outputs </w:t>
            </w:r>
          </w:p>
          <w:p w:rsidR="00B81B41" w:rsidRDefault="00B81B41" w:rsidP="00B81B41">
            <w:pPr>
              <w:rPr>
                <w:b/>
              </w:rPr>
            </w:pPr>
          </w:p>
          <w:p w:rsidR="00B81B41" w:rsidRDefault="00B81B41" w:rsidP="00B81B41"/>
          <w:p w:rsidR="00B81B41" w:rsidRDefault="00B81B41" w:rsidP="00B81B41">
            <w:r>
              <w:t>Monthly screening of children 0-59 months and P&amp;L women</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 xml:space="preserve">Treatment of MAM (WSB+) and SAM (instruction on halwa and khichri) </w:t>
            </w:r>
          </w:p>
          <w:p w:rsidR="00B81B41" w:rsidRDefault="00B81B41" w:rsidP="00B81B41"/>
          <w:p w:rsidR="00B81B41" w:rsidRDefault="00B81B41" w:rsidP="00B81B41">
            <w:r>
              <w:t xml:space="preserve">Strengthening of clinic capacity in CMAM </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Referral of SAM cases with complications to upazila clinic</w:t>
            </w:r>
          </w:p>
          <w:p w:rsidR="00B81B41" w:rsidRDefault="00B81B41" w:rsidP="00B81B41"/>
          <w:p w:rsidR="00B81B41" w:rsidRDefault="00B81B41" w:rsidP="00B81B41">
            <w:r>
              <w:t>BCC counseling on breastfeeding, complementary feeding, dietary diversity, hygiene etc.</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0E3E82" w:rsidRDefault="000E3E82" w:rsidP="000E3E82">
            <w:pPr>
              <w:rPr>
                <w:b/>
              </w:rPr>
            </w:pPr>
            <w:r>
              <w:rPr>
                <w:b/>
              </w:rPr>
              <w:t xml:space="preserve">Activities/Outputs </w:t>
            </w:r>
          </w:p>
          <w:p w:rsidR="00B81B41" w:rsidRDefault="00B81B41" w:rsidP="00B81B41"/>
          <w:p w:rsidR="000E3E82" w:rsidRDefault="000E3E82" w:rsidP="00B81B41"/>
          <w:p w:rsidR="00B81B41" w:rsidRDefault="00B81B41" w:rsidP="00B81B41">
            <w:r>
              <w:t xml:space="preserve">MNP distribution by CNWS and at facilities for child consumption beginning at 6 months of age </w:t>
            </w:r>
          </w:p>
          <w:p w:rsidR="00B81B41" w:rsidRDefault="00B81B41" w:rsidP="00B81B41"/>
          <w:p w:rsidR="00B81B41" w:rsidRDefault="00B81B41" w:rsidP="00B81B41">
            <w:r>
              <w:t>Encouragement of facility-level ANC and iron folate procurement and consumption by pregnant women</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School feeding (high energy biscuits for all children)</w:t>
            </w:r>
          </w:p>
          <w:p w:rsidR="00B81B41" w:rsidRDefault="00B81B41" w:rsidP="00B81B41"/>
          <w:p w:rsidR="00B81B41" w:rsidRDefault="00B81B41" w:rsidP="00B81B41">
            <w:r>
              <w:t>Deworming of school children through existing government program</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0E3E82" w:rsidRDefault="000E3E82" w:rsidP="00B81B41"/>
          <w:p w:rsidR="000E3E82" w:rsidRDefault="000E3E82" w:rsidP="00B81B41"/>
          <w:p w:rsidR="000E3E82" w:rsidRDefault="000E3E82" w:rsidP="00B81B41"/>
          <w:p w:rsidR="000E3E82" w:rsidRDefault="000E3E82" w:rsidP="00B81B41"/>
          <w:p w:rsidR="000E3E82" w:rsidRDefault="000E3E82" w:rsidP="00B81B41"/>
          <w:p w:rsidR="000E3E82" w:rsidRPr="000E3E82" w:rsidRDefault="000E3E82" w:rsidP="00B81B41">
            <w:pPr>
              <w:rPr>
                <w:b/>
              </w:rPr>
            </w:pPr>
            <w:r>
              <w:rPr>
                <w:b/>
              </w:rPr>
              <w:t>Activites/Outputs</w:t>
            </w:r>
          </w:p>
          <w:p w:rsidR="000E3E82" w:rsidRDefault="000E3E82" w:rsidP="00B81B41"/>
          <w:p w:rsidR="000E3E82" w:rsidRDefault="000E3E82" w:rsidP="00B81B41"/>
          <w:p w:rsidR="00B81B41" w:rsidRDefault="00B81B41" w:rsidP="00B81B41">
            <w:r>
              <w:t>School gardening (grades 3 and 4)</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Homestead garden assistance to families of children or P or L mothers identified with SAM and MAM (seeds, saplings, liquid fertilizer, tools and T.A.) – work normally carried out by women</w:t>
            </w:r>
          </w:p>
          <w:p w:rsidR="00B81B41" w:rsidRDefault="00B81B41" w:rsidP="00B81B41"/>
          <w:p w:rsidR="00B81B41" w:rsidRDefault="00B81B41" w:rsidP="00B81B41">
            <w:r>
              <w:t>Goats or ducks provided to the same families with T.A. – work normally carried out by women</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0E3E82" w:rsidRDefault="000E3E82" w:rsidP="00B81B41"/>
          <w:p w:rsidR="000E3E82" w:rsidRDefault="000E3E82" w:rsidP="00B81B41"/>
          <w:p w:rsidR="00B81B41" w:rsidRDefault="00B81B41" w:rsidP="00B81B41">
            <w:r>
              <w:t>Grouping of women into producer groups</w:t>
            </w:r>
          </w:p>
          <w:p w:rsidR="00B81B41" w:rsidRDefault="00B81B41" w:rsidP="00B81B41"/>
          <w:p w:rsidR="00B81B41" w:rsidRDefault="00B81B41" w:rsidP="00B81B41"/>
          <w:p w:rsidR="00B81B41" w:rsidRPr="000E3E82" w:rsidRDefault="000E3E82" w:rsidP="00B81B41">
            <w:pPr>
              <w:rPr>
                <w:b/>
              </w:rPr>
            </w:pPr>
            <w:r>
              <w:rPr>
                <w:b/>
              </w:rPr>
              <w:t>Activities/Outputs</w:t>
            </w:r>
          </w:p>
          <w:p w:rsidR="000E3E82" w:rsidRDefault="000E3E82" w:rsidP="00B81B41"/>
          <w:p w:rsidR="000E3E82" w:rsidRDefault="000E3E82" w:rsidP="00B81B41"/>
          <w:p w:rsidR="00B81B41" w:rsidRDefault="00B81B41" w:rsidP="00B81B41">
            <w:r>
              <w:t>Silos for grain storage provided to the same families</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Food processing training provided for leaders in targeted communities – work normally carried out women</w:t>
            </w:r>
          </w:p>
          <w:p w:rsidR="00B81B41" w:rsidRDefault="00B81B41" w:rsidP="00B81B41"/>
          <w:p w:rsidR="00B81B41" w:rsidRDefault="00B81B41" w:rsidP="00B81B41">
            <w:r>
              <w:t>Capacity building provided for information systems</w:t>
            </w:r>
          </w:p>
          <w:p w:rsidR="00B81B41" w:rsidRDefault="00B81B41" w:rsidP="00B81B41"/>
          <w:p w:rsidR="00B81B41" w:rsidRDefault="00B81B41" w:rsidP="00B81B41">
            <w:r>
              <w:t>Establishment of NGO M&amp;E systems</w:t>
            </w:r>
          </w:p>
          <w:p w:rsidR="00B81B41" w:rsidRDefault="00B81B41" w:rsidP="00B81B41"/>
          <w:p w:rsidR="00B81B41" w:rsidRDefault="00B81B41" w:rsidP="00B81B41">
            <w:r>
              <w:t>Establishment of screening system</w:t>
            </w:r>
          </w:p>
          <w:p w:rsidR="00B81B41" w:rsidRDefault="00B81B41" w:rsidP="00B81B41"/>
          <w:p w:rsidR="00B81B41" w:rsidRDefault="00B81B41" w:rsidP="00B81B41">
            <w:r>
              <w:t>Development of mapping system</w:t>
            </w:r>
          </w:p>
          <w:p w:rsidR="00B81B41" w:rsidRDefault="00B81B41" w:rsidP="00B81B41"/>
          <w:p w:rsidR="00B81B41" w:rsidRDefault="00B81B41" w:rsidP="00B81B41">
            <w:r>
              <w:t>Beneficiaries provided with phone numbers to access health and agricultural information</w:t>
            </w:r>
          </w:p>
          <w:p w:rsidR="00B81B41" w:rsidRDefault="00B81B41" w:rsidP="00B81B41"/>
          <w:p w:rsidR="00B81B41" w:rsidRDefault="00B81B41" w:rsidP="00B81B41"/>
          <w:p w:rsidR="00B81B41" w:rsidRPr="007027EC" w:rsidRDefault="00B81B41" w:rsidP="00B81B41"/>
        </w:tc>
        <w:tc>
          <w:tcPr>
            <w:tcW w:w="2163" w:type="dxa"/>
          </w:tcPr>
          <w:p w:rsidR="00B81B41" w:rsidRDefault="00B81B41" w:rsidP="00B81B41">
            <w:pPr>
              <w:rPr>
                <w:b/>
              </w:rPr>
            </w:pPr>
            <w:r>
              <w:rPr>
                <w:b/>
              </w:rPr>
              <w:t>Intermediate Outcomes 1</w:t>
            </w:r>
          </w:p>
          <w:p w:rsidR="00B81B41" w:rsidRDefault="00B81B41" w:rsidP="00B81B41">
            <w:pPr>
              <w:rPr>
                <w:b/>
              </w:rPr>
            </w:pPr>
          </w:p>
          <w:p w:rsidR="00B81B41" w:rsidRPr="00A4131B" w:rsidRDefault="00B81B41" w:rsidP="00B81B41">
            <w:r>
              <w:t>Identification of children and mothers with SAM and MAM for CMAM, and for food security assistance</w:t>
            </w:r>
          </w:p>
          <w:p w:rsidR="00B81B41" w:rsidRDefault="00B81B41" w:rsidP="00B81B41">
            <w:pPr>
              <w:rPr>
                <w:b/>
              </w:rPr>
            </w:pPr>
          </w:p>
          <w:p w:rsidR="00B81B41" w:rsidRDefault="00B81B41" w:rsidP="00B81B41">
            <w:pPr>
              <w:rPr>
                <w:b/>
              </w:rPr>
            </w:pPr>
          </w:p>
          <w:p w:rsidR="00B81B41" w:rsidRPr="0070761E" w:rsidRDefault="00B81B41" w:rsidP="00B81B41">
            <w:r>
              <w:t>High graduation and low relapse rates</w:t>
            </w:r>
          </w:p>
          <w:p w:rsidR="00B81B41" w:rsidRDefault="00B81B41" w:rsidP="00B81B41"/>
          <w:p w:rsidR="000E3E82" w:rsidRDefault="000E3E82" w:rsidP="00B81B41"/>
          <w:p w:rsidR="00B81B41" w:rsidRPr="00C93DA8" w:rsidRDefault="00B81B41" w:rsidP="00B81B41">
            <w:r>
              <w:t>Improved quality of services and increased coverage capacity with BCC provided</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0E3E82" w:rsidRDefault="000E3E82" w:rsidP="00B81B41"/>
          <w:p w:rsidR="00B81B41" w:rsidRPr="00C93DA8" w:rsidRDefault="00B81B41" w:rsidP="00B81B41">
            <w:r>
              <w:t>Knowledge increases</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0E3E82" w:rsidP="00B81B41">
            <w:pPr>
              <w:rPr>
                <w:b/>
              </w:rPr>
            </w:pPr>
            <w:r>
              <w:rPr>
                <w:b/>
              </w:rPr>
              <w:t>Intermediate Outcomes 1</w:t>
            </w:r>
          </w:p>
          <w:p w:rsidR="00B81B41" w:rsidRDefault="00B81B41" w:rsidP="00B81B41"/>
          <w:p w:rsidR="00B81B41" w:rsidRDefault="00B81B41" w:rsidP="00B81B41">
            <w:r>
              <w:t>MNPs mixed with food at home and consumed by children</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Women attend clinics, receive ANC, and receive iron folate tablets</w:t>
            </w:r>
          </w:p>
          <w:p w:rsidR="00B81B41" w:rsidRDefault="00B81B41" w:rsidP="00B81B41"/>
          <w:p w:rsidR="00B81B41" w:rsidRDefault="00B81B41" w:rsidP="00B81B41"/>
          <w:p w:rsidR="003707D9" w:rsidRDefault="003707D9" w:rsidP="00B81B41"/>
          <w:p w:rsidR="00B81B41" w:rsidRDefault="00B81B41" w:rsidP="00B81B41">
            <w:r>
              <w:t>Improved active learning capacity in school</w:t>
            </w:r>
          </w:p>
          <w:p w:rsidR="00B81B41" w:rsidRDefault="00B81B41" w:rsidP="00B81B41"/>
          <w:p w:rsidR="000E3E82" w:rsidRDefault="000E3E82" w:rsidP="00B81B41"/>
          <w:p w:rsidR="00B81B41" w:rsidRDefault="00B81B41" w:rsidP="00B81B41">
            <w:r>
              <w:t>Improved school attendance, particularly among female students addressing women’s empowerment outcome</w:t>
            </w:r>
          </w:p>
          <w:p w:rsidR="00B81B41" w:rsidRDefault="00B81B41" w:rsidP="00B81B41"/>
          <w:p w:rsidR="00B81B41" w:rsidRPr="007A3398" w:rsidRDefault="00B81B41" w:rsidP="00B81B41">
            <w:r>
              <w:t>Increased understanding of nutrition</w:t>
            </w:r>
          </w:p>
          <w:p w:rsidR="00B81B41" w:rsidRDefault="00B81B41" w:rsidP="00B81B41">
            <w:pPr>
              <w:rPr>
                <w:b/>
              </w:rPr>
            </w:pPr>
          </w:p>
          <w:p w:rsidR="000E3E82" w:rsidRDefault="000E3E82" w:rsidP="00B81B41"/>
          <w:p w:rsidR="000E3E82" w:rsidRDefault="000E3E82" w:rsidP="00B81B41"/>
          <w:p w:rsidR="000E3E82" w:rsidRDefault="000E3E82" w:rsidP="00B81B41"/>
          <w:p w:rsidR="000E3E82" w:rsidRDefault="000E3E82" w:rsidP="00B81B41"/>
          <w:p w:rsidR="000E3E82" w:rsidRDefault="000E3E82" w:rsidP="00B81B41"/>
          <w:p w:rsidR="000E3E82" w:rsidRDefault="000E3E82" w:rsidP="00B81B41"/>
          <w:p w:rsidR="000E3E82" w:rsidRPr="000E3E82" w:rsidRDefault="000E3E82" w:rsidP="00B81B41">
            <w:pPr>
              <w:rPr>
                <w:b/>
              </w:rPr>
            </w:pPr>
            <w:r>
              <w:rPr>
                <w:b/>
              </w:rPr>
              <w:t>Intermediate Outcomes 1</w:t>
            </w:r>
          </w:p>
          <w:p w:rsidR="000E3E82" w:rsidRDefault="000E3E82" w:rsidP="00B81B41"/>
          <w:p w:rsidR="00B81B41" w:rsidRDefault="00B81B41" w:rsidP="00B81B41">
            <w:r>
              <w:t>Children engaged; Gardening and nutrition messages taken home by the child</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r>
              <w:t>Garden production increases or is initiated</w:t>
            </w:r>
          </w:p>
          <w:p w:rsidR="00B81B41" w:rsidRDefault="00B81B41" w:rsidP="00B81B41"/>
          <w:p w:rsidR="00B81B41" w:rsidRDefault="00B81B41" w:rsidP="00B81B41"/>
          <w:p w:rsidR="00B81B41" w:rsidRDefault="00B81B41" w:rsidP="00B81B41"/>
          <w:p w:rsidR="00B81B41" w:rsidRDefault="00B81B41" w:rsidP="00B81B41">
            <w:r>
              <w:t>Egg and meat production increases or is initiated</w:t>
            </w:r>
          </w:p>
          <w:p w:rsidR="00B81B41" w:rsidRDefault="00B81B41" w:rsidP="00B81B41"/>
          <w:p w:rsidR="00B81B41" w:rsidRDefault="00B81B41" w:rsidP="00B81B41"/>
          <w:p w:rsidR="00B81B41" w:rsidRDefault="00B81B41" w:rsidP="00B81B41">
            <w:r>
              <w:t>Women frequently are able to keep the money earned from small livestock.</w:t>
            </w:r>
          </w:p>
          <w:p w:rsidR="00B81B41" w:rsidRDefault="00B81B41" w:rsidP="00B81B41">
            <w:r>
              <w:t>Women meet regularly for training and for sharing experiences</w:t>
            </w:r>
          </w:p>
          <w:p w:rsidR="00B81B41" w:rsidRDefault="00B81B41" w:rsidP="00B81B41"/>
          <w:p w:rsidR="00B81B41" w:rsidRDefault="00B81B41" w:rsidP="00B81B41"/>
          <w:p w:rsidR="000E3E82" w:rsidRDefault="000E3E82" w:rsidP="00B81B41"/>
          <w:p w:rsidR="000E3E82" w:rsidRDefault="000E3E82" w:rsidP="00B81B41"/>
          <w:p w:rsidR="000E3E82" w:rsidRDefault="000E3E82" w:rsidP="00B81B41"/>
          <w:p w:rsidR="000E3E82" w:rsidRDefault="000E3E82" w:rsidP="00B81B41"/>
          <w:p w:rsidR="000E3E82" w:rsidRDefault="000E3E82" w:rsidP="00B81B41"/>
          <w:p w:rsidR="000E3E82" w:rsidRDefault="000E3E82" w:rsidP="00B81B41"/>
          <w:p w:rsidR="000E3E82" w:rsidRPr="000E3E82" w:rsidRDefault="000E3E82" w:rsidP="00B81B41">
            <w:pPr>
              <w:rPr>
                <w:b/>
              </w:rPr>
            </w:pPr>
            <w:r>
              <w:rPr>
                <w:b/>
              </w:rPr>
              <w:t>Intermediate Outcomes 1</w:t>
            </w:r>
          </w:p>
          <w:p w:rsidR="000E3E82" w:rsidRDefault="000E3E82" w:rsidP="00B81B41"/>
          <w:p w:rsidR="00B81B41" w:rsidRDefault="00B81B41" w:rsidP="00B81B41">
            <w:r>
              <w:t>Storage reduces necessity to purchase foods at higher prices later in the year</w:t>
            </w:r>
          </w:p>
          <w:p w:rsidR="00B81B41" w:rsidRDefault="00B81B41" w:rsidP="00B81B41"/>
          <w:p w:rsidR="005D2FE8" w:rsidRDefault="005D2FE8" w:rsidP="00B81B41"/>
          <w:p w:rsidR="00B81B41" w:rsidRDefault="00B81B41" w:rsidP="00B81B41">
            <w:r>
              <w:t xml:space="preserve">Year-round availability of nutrient-rich foods also address outcomes 1 and 4 </w:t>
            </w:r>
          </w:p>
          <w:p w:rsidR="00B81B41" w:rsidRDefault="00B81B41" w:rsidP="00B81B41"/>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5D2FE8" w:rsidRDefault="005D2FE8" w:rsidP="00B81B41">
            <w:pPr>
              <w:rPr>
                <w:b/>
              </w:rPr>
            </w:pPr>
          </w:p>
          <w:p w:rsidR="005D2FE8" w:rsidRDefault="005D2FE8" w:rsidP="00B81B41">
            <w:pPr>
              <w:rPr>
                <w:b/>
              </w:rPr>
            </w:pPr>
          </w:p>
          <w:p w:rsidR="005D2FE8" w:rsidRDefault="005D2FE8" w:rsidP="00B81B41">
            <w:pPr>
              <w:rPr>
                <w:b/>
              </w:rPr>
            </w:pPr>
          </w:p>
          <w:p w:rsidR="00B81B41" w:rsidRDefault="00B81B41" w:rsidP="00B81B41">
            <w:r>
              <w:rPr>
                <w:b/>
              </w:rPr>
              <w:t xml:space="preserve">Strengthened information systems (outcome 5) </w:t>
            </w:r>
            <w:r>
              <w:t>also addresses Outcomes 1, 2, 3 and 4</w:t>
            </w:r>
          </w:p>
          <w:p w:rsidR="00B81B41" w:rsidRDefault="00B81B41" w:rsidP="00B81B41"/>
          <w:p w:rsidR="005D2FE8" w:rsidRDefault="005D2FE8" w:rsidP="00B81B41"/>
          <w:p w:rsidR="00B81B41" w:rsidRPr="000B3C17" w:rsidRDefault="00B81B41" w:rsidP="00B81B41">
            <w:r>
              <w:t>Also strengthens national systems on an ongoing basis</w:t>
            </w:r>
          </w:p>
        </w:tc>
        <w:tc>
          <w:tcPr>
            <w:tcW w:w="2164" w:type="dxa"/>
          </w:tcPr>
          <w:p w:rsidR="00B81B41" w:rsidRDefault="00B81B41" w:rsidP="00B81B41">
            <w:pPr>
              <w:rPr>
                <w:b/>
              </w:rPr>
            </w:pPr>
            <w:r>
              <w:rPr>
                <w:b/>
              </w:rPr>
              <w:t xml:space="preserve">Intermediate Outcomes 2  </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 w:rsidR="00B81B41" w:rsidRDefault="00B81B41" w:rsidP="00B81B41"/>
          <w:p w:rsidR="00B81B41" w:rsidRDefault="00B81B41" w:rsidP="00B81B41">
            <w:r>
              <w:t>Increased % of infants exclusively breastfed for six months, of timely introduction of nutrient-rich complementary food, of continued breastfeeding for at least 24 months, of hand washing with soap, and adequate dietary diversity</w:t>
            </w:r>
          </w:p>
          <w:p w:rsidR="00B81B41" w:rsidRPr="000E3E82" w:rsidRDefault="000E3E82" w:rsidP="00B81B41">
            <w:pPr>
              <w:rPr>
                <w:b/>
              </w:rPr>
            </w:pPr>
            <w:r>
              <w:rPr>
                <w:b/>
              </w:rPr>
              <w:t>Intermediate Outcomes 2</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0E3E82" w:rsidRDefault="000E3E82" w:rsidP="00B81B41"/>
          <w:p w:rsidR="00B81B41" w:rsidRDefault="00B81B41" w:rsidP="00B81B41">
            <w:r>
              <w:t>High compliance by women in iron folate tablet consumption</w:t>
            </w: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0E3E82" w:rsidRDefault="000E3E82" w:rsidP="00B81B41"/>
          <w:p w:rsidR="00B81B41" w:rsidRDefault="00B81B41" w:rsidP="00B81B41">
            <w:r>
              <w:rPr>
                <w:b/>
              </w:rPr>
              <w:t>Im</w:t>
            </w:r>
            <w:r w:rsidR="003707D9">
              <w:rPr>
                <w:b/>
              </w:rPr>
              <w:t>proved learning and awareness (O</w:t>
            </w:r>
            <w:r>
              <w:rPr>
                <w:b/>
              </w:rPr>
              <w:t>utcome 3)</w:t>
            </w:r>
            <w:r>
              <w:t xml:space="preserve"> increase receptivity to health and nutrition messages addressing outcomes 1, and 4</w:t>
            </w:r>
          </w:p>
          <w:p w:rsidR="00B81B41" w:rsidRDefault="00B81B41" w:rsidP="00B81B41"/>
          <w:p w:rsidR="000E3E82" w:rsidRPr="000E3E82" w:rsidRDefault="000E3E82" w:rsidP="00B81B41">
            <w:pPr>
              <w:rPr>
                <w:b/>
              </w:rPr>
            </w:pPr>
            <w:r>
              <w:rPr>
                <w:b/>
              </w:rPr>
              <w:t>Intermediate Outcomes 2</w:t>
            </w:r>
          </w:p>
          <w:p w:rsidR="000E3E82" w:rsidRDefault="000E3E82" w:rsidP="00B81B41">
            <w:pPr>
              <w:rPr>
                <w:b/>
              </w:rPr>
            </w:pPr>
          </w:p>
          <w:p w:rsidR="00B81B41" w:rsidRDefault="00B81B41" w:rsidP="00B81B41">
            <w:r>
              <w:rPr>
                <w:b/>
              </w:rPr>
              <w:t xml:space="preserve">Improved learning and awareness (outcome 3) </w:t>
            </w:r>
            <w:r>
              <w:t xml:space="preserve">increases household income and food security </w:t>
            </w:r>
          </w:p>
          <w:p w:rsidR="00B81B41" w:rsidRDefault="00B81B41" w:rsidP="00B81B41"/>
          <w:p w:rsidR="000E3E82" w:rsidRDefault="000E3E82" w:rsidP="00B81B41"/>
          <w:p w:rsidR="000E3E82" w:rsidRDefault="000E3E82" w:rsidP="00B81B41"/>
          <w:p w:rsidR="000E3E82" w:rsidRDefault="000E3E82" w:rsidP="00B81B41"/>
          <w:p w:rsidR="000E3E82" w:rsidRDefault="000E3E82" w:rsidP="00B81B41"/>
          <w:p w:rsidR="00B81B41" w:rsidRDefault="00B81B41" w:rsidP="00B81B41">
            <w:r>
              <w:t>Sales of produce, eggs and meat increase household incomes</w:t>
            </w:r>
          </w:p>
          <w:p w:rsidR="00B81B41" w:rsidRDefault="00B81B41" w:rsidP="00B81B41"/>
          <w:p w:rsidR="00B81B41" w:rsidRPr="00927FA3" w:rsidRDefault="00B81B41" w:rsidP="00B81B41">
            <w:r>
              <w:t>Produce, eggs, meat retained for home consumption is also provided to young children and to P&amp;L mothers (addressing outcomes 1 and 4)</w:t>
            </w:r>
          </w:p>
          <w:p w:rsidR="00B81B41" w:rsidRDefault="00B81B41" w:rsidP="00B81B41">
            <w:pPr>
              <w:rPr>
                <w:b/>
              </w:rPr>
            </w:pPr>
          </w:p>
          <w:p w:rsidR="00B81B41" w:rsidRDefault="00B81B41" w:rsidP="00B81B41"/>
          <w:p w:rsidR="00B81B41" w:rsidRDefault="00B81B41" w:rsidP="00B81B41"/>
          <w:p w:rsidR="00B81B41" w:rsidRDefault="00B81B41" w:rsidP="00B81B41"/>
          <w:p w:rsidR="00B81B41" w:rsidRDefault="00B81B41" w:rsidP="00B81B41"/>
          <w:p w:rsidR="00B81B41" w:rsidRDefault="00B81B41" w:rsidP="00B81B41"/>
          <w:p w:rsidR="000E3E82" w:rsidRDefault="000E3E82" w:rsidP="00B81B41"/>
          <w:p w:rsidR="00B81B41" w:rsidRDefault="00B81B41" w:rsidP="00B81B41"/>
          <w:p w:rsidR="00B81B41" w:rsidRDefault="00B81B41" w:rsidP="00B81B41"/>
          <w:p w:rsidR="00B81B41" w:rsidRPr="00F43E7A" w:rsidRDefault="00B81B41" w:rsidP="00B81B41">
            <w:r>
              <w:t>As groups, women producers are far more likely to receive DAE services</w:t>
            </w:r>
          </w:p>
          <w:p w:rsidR="00B81B41" w:rsidRPr="000E3E82" w:rsidRDefault="000E3E82" w:rsidP="00B81B41">
            <w:pPr>
              <w:rPr>
                <w:b/>
              </w:rPr>
            </w:pPr>
            <w:r>
              <w:rPr>
                <w:b/>
              </w:rPr>
              <w:t>Intermediate Outcomes 2</w:t>
            </w:r>
          </w:p>
          <w:p w:rsidR="00B81B41" w:rsidRPr="007027EC" w:rsidRDefault="00B81B41" w:rsidP="00B81B41">
            <w:pPr>
              <w:rPr>
                <w:b/>
              </w:rPr>
            </w:pPr>
          </w:p>
        </w:tc>
        <w:tc>
          <w:tcPr>
            <w:tcW w:w="2164" w:type="dxa"/>
          </w:tcPr>
          <w:p w:rsidR="00B81B41" w:rsidRDefault="00B81B41" w:rsidP="00B81B41">
            <w:pPr>
              <w:rPr>
                <w:b/>
              </w:rPr>
            </w:pPr>
            <w:r>
              <w:rPr>
                <w:b/>
              </w:rPr>
              <w:t>Impacts</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r>
              <w:rPr>
                <w:b/>
              </w:rPr>
              <w:t>Reduced prevalence of underweight; reduced prevalence o</w:t>
            </w:r>
            <w:r w:rsidR="003707D9">
              <w:rPr>
                <w:b/>
              </w:rPr>
              <w:t>f SAM in children 0-59 months (O</w:t>
            </w:r>
            <w:r>
              <w:rPr>
                <w:b/>
              </w:rPr>
              <w:t>utcome 1)</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r>
              <w:rPr>
                <w:b/>
              </w:rPr>
              <w:t>Reduced malnutrition in P&amp;L mothers an</w:t>
            </w:r>
            <w:r w:rsidR="003707D9">
              <w:rPr>
                <w:b/>
              </w:rPr>
              <w:t>d improved pregnancy outcomes (O</w:t>
            </w:r>
            <w:r>
              <w:rPr>
                <w:b/>
              </w:rPr>
              <w:t>utcome 1)</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0E3E82" w:rsidP="00B81B41">
            <w:pPr>
              <w:rPr>
                <w:b/>
              </w:rPr>
            </w:pPr>
            <w:r>
              <w:rPr>
                <w:b/>
              </w:rPr>
              <w:t>Impacts</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r>
              <w:rPr>
                <w:b/>
              </w:rPr>
              <w:t>Decreased prevalenc</w:t>
            </w:r>
            <w:r w:rsidR="003707D9">
              <w:rPr>
                <w:b/>
              </w:rPr>
              <w:t>e of anemia in young children (O</w:t>
            </w:r>
            <w:r>
              <w:rPr>
                <w:b/>
              </w:rPr>
              <w:t>utcome 4)</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Pr="000E3E82" w:rsidRDefault="000E3E82" w:rsidP="00B81B41">
            <w:pPr>
              <w:rPr>
                <w:b/>
              </w:rPr>
            </w:pPr>
            <w:r>
              <w:rPr>
                <w:b/>
              </w:rPr>
              <w:t>Impacts</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0E3E82" w:rsidRDefault="000E3E82" w:rsidP="00B81B41">
            <w:pPr>
              <w:rPr>
                <w:b/>
              </w:rPr>
            </w:pPr>
          </w:p>
          <w:p w:rsidR="000E3E82" w:rsidRDefault="000E3E82" w:rsidP="00B81B41">
            <w:pPr>
              <w:rPr>
                <w:b/>
              </w:rPr>
            </w:pPr>
          </w:p>
          <w:p w:rsidR="00B81B41" w:rsidRDefault="00B81B41" w:rsidP="00B81B41">
            <w:pPr>
              <w:rPr>
                <w:b/>
              </w:rPr>
            </w:pPr>
            <w:r>
              <w:rPr>
                <w:b/>
              </w:rPr>
              <w:t>Reduced household food insecurity (outcome 2)</w:t>
            </w:r>
          </w:p>
          <w:p w:rsidR="00B81B41" w:rsidRDefault="00B81B41" w:rsidP="00B81B41">
            <w:pPr>
              <w:rPr>
                <w:b/>
              </w:rPr>
            </w:pPr>
          </w:p>
          <w:p w:rsidR="00B81B41" w:rsidRDefault="00B81B41" w:rsidP="00B81B41">
            <w:pPr>
              <w:rPr>
                <w:b/>
              </w:rPr>
            </w:pPr>
            <w:r>
              <w:rPr>
                <w:b/>
              </w:rPr>
              <w:t>Increased women’s empowerment</w:t>
            </w: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B81B41" w:rsidRDefault="00B81B41"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Default="000E3E82" w:rsidP="00B81B41">
            <w:pPr>
              <w:rPr>
                <w:b/>
              </w:rPr>
            </w:pPr>
          </w:p>
          <w:p w:rsidR="000E3E82" w:rsidRPr="007027EC" w:rsidRDefault="000E3E82" w:rsidP="00B81B41">
            <w:pPr>
              <w:rPr>
                <w:b/>
              </w:rPr>
            </w:pPr>
            <w:r>
              <w:rPr>
                <w:b/>
              </w:rPr>
              <w:t>Impacts</w:t>
            </w:r>
          </w:p>
        </w:tc>
      </w:tr>
    </w:tbl>
    <w:p w:rsidR="00B81B41" w:rsidRDefault="00B81B41" w:rsidP="00B81B41"/>
    <w:p w:rsidR="005852FC" w:rsidRPr="005852FC" w:rsidRDefault="005852FC" w:rsidP="00CE3BD3">
      <w:pPr>
        <w:rPr>
          <w:b/>
        </w:rPr>
      </w:pPr>
    </w:p>
    <w:sectPr w:rsidR="005852FC" w:rsidRPr="005852FC" w:rsidSect="009B13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C1" w:rsidRDefault="007973C1" w:rsidP="008F05BE">
      <w:r>
        <w:separator/>
      </w:r>
    </w:p>
  </w:endnote>
  <w:endnote w:type="continuationSeparator" w:id="0">
    <w:p w:rsidR="007973C1" w:rsidRDefault="007973C1" w:rsidP="008F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3D" w:rsidRDefault="00C82F3D" w:rsidP="0057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F3D" w:rsidRDefault="00C82F3D" w:rsidP="00053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3D" w:rsidRDefault="00C82F3D" w:rsidP="000530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3D" w:rsidRDefault="00C82F3D" w:rsidP="005734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63D">
      <w:rPr>
        <w:rStyle w:val="PageNumber"/>
        <w:noProof/>
      </w:rPr>
      <w:t>1</w:t>
    </w:r>
    <w:r>
      <w:rPr>
        <w:rStyle w:val="PageNumber"/>
      </w:rPr>
      <w:fldChar w:fldCharType="end"/>
    </w:r>
  </w:p>
  <w:p w:rsidR="00C82F3D" w:rsidRDefault="00C82F3D" w:rsidP="000530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C1" w:rsidRDefault="007973C1" w:rsidP="008F05BE">
      <w:r>
        <w:separator/>
      </w:r>
    </w:p>
  </w:footnote>
  <w:footnote w:type="continuationSeparator" w:id="0">
    <w:p w:rsidR="007973C1" w:rsidRDefault="007973C1" w:rsidP="008F05BE">
      <w:r>
        <w:continuationSeparator/>
      </w:r>
    </w:p>
  </w:footnote>
  <w:footnote w:id="1">
    <w:p w:rsidR="00C82F3D" w:rsidRPr="00C51CB5" w:rsidRDefault="00C82F3D">
      <w:pPr>
        <w:pStyle w:val="FootnoteText"/>
        <w:rPr>
          <w:sz w:val="20"/>
          <w:szCs w:val="20"/>
        </w:rPr>
      </w:pPr>
      <w:r>
        <w:rPr>
          <w:rStyle w:val="FootnoteReference"/>
        </w:rPr>
        <w:footnoteRef/>
      </w:r>
      <w:r>
        <w:t xml:space="preserve"> </w:t>
      </w:r>
      <w:r>
        <w:rPr>
          <w:sz w:val="20"/>
          <w:szCs w:val="20"/>
        </w:rPr>
        <w:t>This reduction in stunting was nearly identical to that achieved in Peru with its convergence program in targeted districts.</w:t>
      </w:r>
    </w:p>
  </w:footnote>
  <w:footnote w:id="2">
    <w:p w:rsidR="00C82F3D" w:rsidRPr="00355919" w:rsidRDefault="00C82F3D">
      <w:pPr>
        <w:pStyle w:val="FootnoteText"/>
        <w:rPr>
          <w:sz w:val="20"/>
          <w:szCs w:val="20"/>
        </w:rPr>
      </w:pPr>
      <w:r>
        <w:rPr>
          <w:rStyle w:val="FootnoteReference"/>
        </w:rPr>
        <w:footnoteRef/>
      </w:r>
      <w:r>
        <w:t xml:space="preserve"> </w:t>
      </w:r>
      <w:r>
        <w:rPr>
          <w:sz w:val="20"/>
          <w:szCs w:val="20"/>
        </w:rPr>
        <w:t xml:space="preserve">The prevalence of underweight in Bangladesh, 36%, is exceeded only by Timor-Leste (45%) India (43%.) and Niger (39%). The prevalence of wasting in Bangladesh (16%) is above the 15% level designated by WHO as a public health emergency (UNICEF, 2012.) </w:t>
      </w:r>
    </w:p>
  </w:footnote>
  <w:footnote w:id="3">
    <w:p w:rsidR="00C82F3D" w:rsidRPr="005A5E68" w:rsidRDefault="00C82F3D">
      <w:pPr>
        <w:pStyle w:val="FootnoteText"/>
        <w:rPr>
          <w:sz w:val="20"/>
          <w:szCs w:val="20"/>
        </w:rPr>
      </w:pPr>
      <w:r>
        <w:rPr>
          <w:rStyle w:val="FootnoteReference"/>
        </w:rPr>
        <w:footnoteRef/>
      </w:r>
      <w:r>
        <w:t xml:space="preserve"> </w:t>
      </w:r>
      <w:r>
        <w:rPr>
          <w:sz w:val="20"/>
          <w:szCs w:val="20"/>
        </w:rPr>
        <w:t xml:space="preserve">In the state of Bihar in India, such analysis relating to child nutrition found positive deviant characteristics to be maternal literacy, introduction of complementary food at 6-7 months rather than 9 months, and hand washing with soap (Levinson et al, 2007.) In Egypt, such analysis relating to pregnancy outcomes found the positive deviance behaviors/characteristics to be adequate meat and vegetable consumption, adequate day-time rest, avoidance of second hand smoke, and avoidance of urinary tract infection (Ahrari et al, 2006.) </w:t>
      </w:r>
    </w:p>
  </w:footnote>
  <w:footnote w:id="4">
    <w:p w:rsidR="00C82F3D" w:rsidRPr="008F05BE" w:rsidRDefault="00C82F3D">
      <w:pPr>
        <w:pStyle w:val="FootnoteText"/>
        <w:rPr>
          <w:sz w:val="20"/>
          <w:szCs w:val="20"/>
        </w:rPr>
      </w:pPr>
      <w:r>
        <w:rPr>
          <w:rStyle w:val="FootnoteReference"/>
        </w:rPr>
        <w:footnoteRef/>
      </w:r>
      <w:r>
        <w:t xml:space="preserve"> </w:t>
      </w:r>
      <w:r>
        <w:rPr>
          <w:sz w:val="20"/>
          <w:szCs w:val="20"/>
        </w:rPr>
        <w:t>It should be noted that goat distribution, only 23% of the initial program target, was low in large part because of delayed initiation and procurement (full operation beginning only in 2013.) Toward the end of the program, distribution moved more rapidly.</w:t>
      </w:r>
    </w:p>
  </w:footnote>
  <w:footnote w:id="5">
    <w:p w:rsidR="00C82F3D" w:rsidRPr="000C41AA" w:rsidRDefault="00C82F3D">
      <w:pPr>
        <w:pStyle w:val="FootnoteText"/>
        <w:rPr>
          <w:sz w:val="20"/>
          <w:szCs w:val="20"/>
        </w:rPr>
      </w:pPr>
      <w:r>
        <w:rPr>
          <w:rStyle w:val="FootnoteReference"/>
        </w:rPr>
        <w:footnoteRef/>
      </w:r>
      <w:r>
        <w:t xml:space="preserve"> </w:t>
      </w:r>
      <w:r>
        <w:rPr>
          <w:sz w:val="20"/>
          <w:szCs w:val="20"/>
        </w:rPr>
        <w:t>In the poorest wealth quintile, households in program areas consuming eggs or meat on the day prior to the survey also increased though less dramatically (from 22.5% to 30.2%) while the percentage of households consuming a milk product increased from 16.8 to 20.3%. Among poorest wealth quintile households in control areas, the percentage of households consuming these food groups declined.</w:t>
      </w:r>
    </w:p>
    <w:p w:rsidR="00C82F3D" w:rsidRPr="000C41AA" w:rsidRDefault="00C82F3D">
      <w:pPr>
        <w:pStyle w:val="FootnoteText"/>
        <w:rPr>
          <w:sz w:val="20"/>
          <w:szCs w:val="20"/>
        </w:rPr>
      </w:pPr>
    </w:p>
  </w:footnote>
  <w:footnote w:id="6">
    <w:p w:rsidR="00C82F3D" w:rsidRPr="00700DEB" w:rsidRDefault="00C82F3D" w:rsidP="00784B49">
      <w:pPr>
        <w:pStyle w:val="FootnoteText"/>
        <w:rPr>
          <w:sz w:val="20"/>
          <w:szCs w:val="20"/>
        </w:rPr>
      </w:pPr>
      <w:r>
        <w:rPr>
          <w:rStyle w:val="FootnoteReference"/>
        </w:rPr>
        <w:footnoteRef/>
      </w:r>
      <w:r>
        <w:t xml:space="preserve"> </w:t>
      </w:r>
      <w:r>
        <w:rPr>
          <w:sz w:val="20"/>
          <w:szCs w:val="20"/>
        </w:rPr>
        <w:t>Includes commodities, transport, distribution, storage and monitoring</w:t>
      </w:r>
    </w:p>
  </w:footnote>
  <w:footnote w:id="7">
    <w:p w:rsidR="00C82F3D" w:rsidRPr="00577E4C" w:rsidRDefault="00C82F3D">
      <w:pPr>
        <w:pStyle w:val="FootnoteText"/>
        <w:rPr>
          <w:sz w:val="20"/>
          <w:szCs w:val="20"/>
        </w:rPr>
      </w:pPr>
      <w:r>
        <w:rPr>
          <w:rStyle w:val="FootnoteReference"/>
        </w:rPr>
        <w:footnoteRef/>
      </w:r>
      <w:r>
        <w:t xml:space="preserve"> </w:t>
      </w:r>
      <w:r>
        <w:rPr>
          <w:sz w:val="20"/>
          <w:szCs w:val="20"/>
        </w:rPr>
        <w:t>The garden and small livestock components were particularly delayed – spending only one eighth of its anticipated budget in the first year of operations. As indicated in the food security section above, part of this shortfall resulted from delays in goat procurement.</w:t>
      </w:r>
    </w:p>
  </w:footnote>
  <w:footnote w:id="8">
    <w:p w:rsidR="00C82F3D" w:rsidRPr="002B14EE" w:rsidRDefault="00C82F3D">
      <w:pPr>
        <w:pStyle w:val="FootnoteText"/>
        <w:rPr>
          <w:sz w:val="20"/>
          <w:szCs w:val="20"/>
        </w:rPr>
      </w:pPr>
      <w:r>
        <w:rPr>
          <w:rStyle w:val="FootnoteReference"/>
        </w:rPr>
        <w:footnoteRef/>
      </w:r>
      <w:r>
        <w:t xml:space="preserve"> </w:t>
      </w:r>
      <w:r>
        <w:rPr>
          <w:sz w:val="20"/>
          <w:szCs w:val="20"/>
        </w:rPr>
        <w:t>Endline survey results indicate that households without improved sanitation have wasting and underweight prevalence 1.4 times higher than households with improved sanitation. Stunting prevalence without improved sanitation is 1.2 times higher.</w:t>
      </w:r>
    </w:p>
  </w:footnote>
  <w:footnote w:id="9">
    <w:p w:rsidR="00C82F3D" w:rsidRPr="00AA6D5B" w:rsidRDefault="00C82F3D">
      <w:pPr>
        <w:pStyle w:val="FootnoteText"/>
        <w:rPr>
          <w:sz w:val="20"/>
          <w:szCs w:val="20"/>
        </w:rPr>
      </w:pPr>
      <w:r>
        <w:rPr>
          <w:rStyle w:val="FootnoteReference"/>
        </w:rPr>
        <w:footnoteRef/>
      </w:r>
      <w:r>
        <w:t xml:space="preserve"> </w:t>
      </w:r>
      <w:r w:rsidRPr="00AA6D5B">
        <w:rPr>
          <w:sz w:val="20"/>
          <w:szCs w:val="20"/>
        </w:rPr>
        <w:t>There can be little question of the importance of WASH in reducing malnutrition, particularly in densely populated areas. Analysis by Dean Spears of 140 DHS surveys in India has found that the height of Indian children is highly associated with their and their neighbors access to toilets, and that open defecation accounts for much of the excess stunting in India (Spears, 2012.)</w:t>
      </w:r>
    </w:p>
  </w:footnote>
  <w:footnote w:id="10">
    <w:p w:rsidR="00C82F3D" w:rsidRPr="00475B21" w:rsidRDefault="00C82F3D">
      <w:pPr>
        <w:pStyle w:val="FootnoteText"/>
        <w:rPr>
          <w:sz w:val="20"/>
          <w:szCs w:val="20"/>
        </w:rPr>
      </w:pPr>
      <w:r>
        <w:rPr>
          <w:rStyle w:val="FootnoteReference"/>
        </w:rPr>
        <w:footnoteRef/>
      </w:r>
      <w:r>
        <w:t xml:space="preserve"> </w:t>
      </w:r>
      <w:r>
        <w:rPr>
          <w:sz w:val="20"/>
          <w:szCs w:val="20"/>
        </w:rPr>
        <w:t xml:space="preserve">The program encouraged ANC visits for women but was not involved in pregnancy service delivery </w:t>
      </w:r>
      <w:r w:rsidRPr="00475B21">
        <w:rPr>
          <w:i/>
          <w:sz w:val="20"/>
          <w:szCs w:val="20"/>
        </w:rPr>
        <w:t>per se</w:t>
      </w:r>
      <w:r>
        <w:rPr>
          <w:sz w:val="20"/>
          <w:szCs w:val="20"/>
        </w:rPr>
        <w:t xml:space="preserve">. </w:t>
      </w:r>
    </w:p>
  </w:footnote>
  <w:footnote w:id="11">
    <w:p w:rsidR="00C82F3D" w:rsidRPr="006F4834" w:rsidRDefault="00C82F3D" w:rsidP="00D51AD2">
      <w:pPr>
        <w:rPr>
          <w:sz w:val="20"/>
          <w:szCs w:val="20"/>
        </w:rPr>
      </w:pPr>
      <w:r>
        <w:rPr>
          <w:rStyle w:val="FootnoteReference"/>
        </w:rPr>
        <w:footnoteRef/>
      </w:r>
      <w:r>
        <w:t xml:space="preserve"> </w:t>
      </w:r>
      <w:r w:rsidRPr="006F4834">
        <w:rPr>
          <w:sz w:val="20"/>
          <w:szCs w:val="20"/>
        </w:rPr>
        <w:t xml:space="preserve">The solution to this problem is </w:t>
      </w:r>
      <w:r>
        <w:rPr>
          <w:sz w:val="20"/>
          <w:szCs w:val="20"/>
        </w:rPr>
        <w:t xml:space="preserve">the </w:t>
      </w:r>
      <w:r w:rsidRPr="006F4834">
        <w:rPr>
          <w:sz w:val="20"/>
          <w:szCs w:val="20"/>
        </w:rPr>
        <w:t xml:space="preserve">increasingly utilized technique of “management by exception.” Using this tool, unions, for example, would set minimal acceptable levels for </w:t>
      </w:r>
      <w:r>
        <w:rPr>
          <w:sz w:val="20"/>
          <w:szCs w:val="20"/>
        </w:rPr>
        <w:t xml:space="preserve">primary </w:t>
      </w:r>
      <w:r w:rsidRPr="006F4834">
        <w:rPr>
          <w:sz w:val="20"/>
          <w:szCs w:val="20"/>
        </w:rPr>
        <w:t>indicators and would examine data coming from each of the communities</w:t>
      </w:r>
      <w:r>
        <w:rPr>
          <w:sz w:val="20"/>
          <w:szCs w:val="20"/>
        </w:rPr>
        <w:t>, circling entries that fail to reach these “trigger” levels. If the trigger level for SAM recovery, for example, is 85%, the union would identify those communities failing to achieve that level, and would be responsible for investigating and addressing the problem in these communities. The same mechanism would operate for upazilas reviewing unions and for districts reviewing upazilas. Where computers are used, data management systems can easily be programmed to highlight entries not achieving trigger levels.</w:t>
      </w:r>
    </w:p>
    <w:p w:rsidR="00C82F3D" w:rsidRDefault="00C82F3D">
      <w:pPr>
        <w:pStyle w:val="FootnoteText"/>
      </w:pPr>
    </w:p>
  </w:footnote>
  <w:footnote w:id="12">
    <w:p w:rsidR="00C82F3D" w:rsidRPr="0085210C" w:rsidRDefault="00C82F3D">
      <w:pPr>
        <w:pStyle w:val="FootnoteText"/>
        <w:rPr>
          <w:sz w:val="20"/>
          <w:szCs w:val="20"/>
        </w:rPr>
      </w:pPr>
      <w:r>
        <w:rPr>
          <w:rStyle w:val="FootnoteReference"/>
        </w:rPr>
        <w:footnoteRef/>
      </w:r>
      <w:r>
        <w:t xml:space="preserve"> </w:t>
      </w:r>
      <w:r>
        <w:rPr>
          <w:sz w:val="20"/>
          <w:szCs w:val="20"/>
        </w:rPr>
        <w:t>But these messages need to be consistent across programs which has not always been the case.</w:t>
      </w:r>
    </w:p>
  </w:footnote>
  <w:footnote w:id="13">
    <w:p w:rsidR="00C82F3D" w:rsidRPr="00442043" w:rsidRDefault="00C82F3D">
      <w:pPr>
        <w:pStyle w:val="FootnoteText"/>
        <w:rPr>
          <w:sz w:val="20"/>
          <w:szCs w:val="20"/>
        </w:rPr>
      </w:pPr>
      <w:r>
        <w:rPr>
          <w:rStyle w:val="FootnoteReference"/>
        </w:rPr>
        <w:footnoteRef/>
      </w:r>
      <w:r>
        <w:t xml:space="preserve"> </w:t>
      </w:r>
      <w:r>
        <w:rPr>
          <w:sz w:val="20"/>
          <w:szCs w:val="20"/>
        </w:rPr>
        <w:t>The endline evaluation survey found that diarrheal infection was 23% lower in “normal” children than in moderately or severely wasted children.</w:t>
      </w:r>
    </w:p>
  </w:footnote>
  <w:footnote w:id="14">
    <w:p w:rsidR="00C82F3D" w:rsidRPr="00CE7871" w:rsidRDefault="00C82F3D" w:rsidP="009E3065">
      <w:pPr>
        <w:pStyle w:val="FootnoteText"/>
        <w:rPr>
          <w:sz w:val="20"/>
          <w:szCs w:val="20"/>
        </w:rPr>
      </w:pPr>
      <w:r>
        <w:rPr>
          <w:rStyle w:val="FootnoteReference"/>
        </w:rPr>
        <w:footnoteRef/>
      </w:r>
      <w:r>
        <w:t xml:space="preserve"> </w:t>
      </w:r>
      <w:r>
        <w:rPr>
          <w:sz w:val="20"/>
          <w:szCs w:val="20"/>
        </w:rPr>
        <w:t>Among many other issues, NNS would have to find local supplementary food substitutes for acute malnutrition cases.</w:t>
      </w:r>
    </w:p>
  </w:footnote>
  <w:footnote w:id="15">
    <w:p w:rsidR="00C82F3D" w:rsidRPr="00C20847" w:rsidRDefault="00C82F3D" w:rsidP="009E3065">
      <w:pPr>
        <w:pStyle w:val="FootnoteText"/>
        <w:rPr>
          <w:sz w:val="20"/>
          <w:szCs w:val="20"/>
        </w:rPr>
      </w:pPr>
      <w:r>
        <w:rPr>
          <w:rStyle w:val="FootnoteReference"/>
        </w:rPr>
        <w:footnoteRef/>
      </w:r>
      <w:r>
        <w:t xml:space="preserve"> </w:t>
      </w:r>
      <w:r>
        <w:rPr>
          <w:sz w:val="20"/>
          <w:szCs w:val="20"/>
        </w:rPr>
        <w:t>Considerable interest in this approach has been expressed by senior program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160"/>
    <w:multiLevelType w:val="hybridMultilevel"/>
    <w:tmpl w:val="3736729E"/>
    <w:lvl w:ilvl="0" w:tplc="449C92A4">
      <w:start w:val="48"/>
      <w:numFmt w:val="bullet"/>
      <w:lvlText w:val=""/>
      <w:lvlJc w:val="left"/>
      <w:pPr>
        <w:tabs>
          <w:tab w:val="num" w:pos="360"/>
        </w:tabs>
        <w:ind w:left="360" w:hanging="360"/>
      </w:pPr>
      <w:rPr>
        <w:rFonts w:ascii="Symbol" w:eastAsia="Times New Roman" w:hAnsi="Symbol" w:cs="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6A6D78"/>
    <w:multiLevelType w:val="hybridMultilevel"/>
    <w:tmpl w:val="962E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1450B"/>
    <w:multiLevelType w:val="hybridMultilevel"/>
    <w:tmpl w:val="114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25A2"/>
    <w:multiLevelType w:val="hybridMultilevel"/>
    <w:tmpl w:val="C61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221C2"/>
    <w:multiLevelType w:val="hybridMultilevel"/>
    <w:tmpl w:val="001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0AA7"/>
    <w:multiLevelType w:val="hybridMultilevel"/>
    <w:tmpl w:val="A08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E73A0"/>
    <w:multiLevelType w:val="hybridMultilevel"/>
    <w:tmpl w:val="202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8A56F8"/>
    <w:multiLevelType w:val="hybridMultilevel"/>
    <w:tmpl w:val="495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94B0F"/>
    <w:multiLevelType w:val="hybridMultilevel"/>
    <w:tmpl w:val="E60C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D4264"/>
    <w:multiLevelType w:val="hybridMultilevel"/>
    <w:tmpl w:val="12A8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92B20"/>
    <w:multiLevelType w:val="hybridMultilevel"/>
    <w:tmpl w:val="71DA3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61510"/>
    <w:multiLevelType w:val="hybridMultilevel"/>
    <w:tmpl w:val="7F7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B6187"/>
    <w:multiLevelType w:val="hybridMultilevel"/>
    <w:tmpl w:val="729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A37F2"/>
    <w:multiLevelType w:val="hybridMultilevel"/>
    <w:tmpl w:val="329614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4A791E"/>
    <w:multiLevelType w:val="hybridMultilevel"/>
    <w:tmpl w:val="B182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C5EB2"/>
    <w:multiLevelType w:val="hybridMultilevel"/>
    <w:tmpl w:val="38F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4"/>
  </w:num>
  <w:num w:numId="5">
    <w:abstractNumId w:val="7"/>
  </w:num>
  <w:num w:numId="6">
    <w:abstractNumId w:val="10"/>
  </w:num>
  <w:num w:numId="7">
    <w:abstractNumId w:val="13"/>
  </w:num>
  <w:num w:numId="8">
    <w:abstractNumId w:val="0"/>
  </w:num>
  <w:num w:numId="9">
    <w:abstractNumId w:val="12"/>
  </w:num>
  <w:num w:numId="10">
    <w:abstractNumId w:val="11"/>
  </w:num>
  <w:num w:numId="11">
    <w:abstractNumId w:val="5"/>
  </w:num>
  <w:num w:numId="12">
    <w:abstractNumId w:val="6"/>
  </w:num>
  <w:num w:numId="13">
    <w:abstractNumId w:val="9"/>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D3"/>
    <w:rsid w:val="00007443"/>
    <w:rsid w:val="00013EC9"/>
    <w:rsid w:val="000278F1"/>
    <w:rsid w:val="000340E8"/>
    <w:rsid w:val="00044989"/>
    <w:rsid w:val="00053013"/>
    <w:rsid w:val="00056832"/>
    <w:rsid w:val="000B2109"/>
    <w:rsid w:val="000C159E"/>
    <w:rsid w:val="000C41AA"/>
    <w:rsid w:val="000C42AA"/>
    <w:rsid w:val="000C4E8B"/>
    <w:rsid w:val="000C6323"/>
    <w:rsid w:val="000D2CCB"/>
    <w:rsid w:val="000E3E82"/>
    <w:rsid w:val="000E434E"/>
    <w:rsid w:val="000E45F0"/>
    <w:rsid w:val="000E58B8"/>
    <w:rsid w:val="000F7420"/>
    <w:rsid w:val="00115CC7"/>
    <w:rsid w:val="00122799"/>
    <w:rsid w:val="00135DC2"/>
    <w:rsid w:val="00136C4B"/>
    <w:rsid w:val="00140E8F"/>
    <w:rsid w:val="00143009"/>
    <w:rsid w:val="001455A7"/>
    <w:rsid w:val="00146362"/>
    <w:rsid w:val="0015704E"/>
    <w:rsid w:val="00164D7C"/>
    <w:rsid w:val="00183034"/>
    <w:rsid w:val="0019325C"/>
    <w:rsid w:val="001B0B49"/>
    <w:rsid w:val="001D25D4"/>
    <w:rsid w:val="001E1B78"/>
    <w:rsid w:val="001F12DB"/>
    <w:rsid w:val="001F3F58"/>
    <w:rsid w:val="0021690B"/>
    <w:rsid w:val="00216E58"/>
    <w:rsid w:val="002400C4"/>
    <w:rsid w:val="0025493D"/>
    <w:rsid w:val="00274DA9"/>
    <w:rsid w:val="002B14EE"/>
    <w:rsid w:val="002B1ADD"/>
    <w:rsid w:val="002C2F60"/>
    <w:rsid w:val="002D3ABE"/>
    <w:rsid w:val="002E2D80"/>
    <w:rsid w:val="002F3C97"/>
    <w:rsid w:val="00305EC3"/>
    <w:rsid w:val="00350A3E"/>
    <w:rsid w:val="00352020"/>
    <w:rsid w:val="00355919"/>
    <w:rsid w:val="003627B7"/>
    <w:rsid w:val="003707D9"/>
    <w:rsid w:val="003735E5"/>
    <w:rsid w:val="00381184"/>
    <w:rsid w:val="003B5A02"/>
    <w:rsid w:val="00400322"/>
    <w:rsid w:val="00404908"/>
    <w:rsid w:val="00410512"/>
    <w:rsid w:val="00442043"/>
    <w:rsid w:val="00445D32"/>
    <w:rsid w:val="004724CB"/>
    <w:rsid w:val="004752E9"/>
    <w:rsid w:val="00475B21"/>
    <w:rsid w:val="00484012"/>
    <w:rsid w:val="00485092"/>
    <w:rsid w:val="004948D6"/>
    <w:rsid w:val="004B0346"/>
    <w:rsid w:val="004C1CAD"/>
    <w:rsid w:val="004C513C"/>
    <w:rsid w:val="004C7E51"/>
    <w:rsid w:val="004D5006"/>
    <w:rsid w:val="004F6A90"/>
    <w:rsid w:val="004F6C17"/>
    <w:rsid w:val="004F7FCA"/>
    <w:rsid w:val="0051595D"/>
    <w:rsid w:val="00522AC1"/>
    <w:rsid w:val="005278F7"/>
    <w:rsid w:val="00541FA2"/>
    <w:rsid w:val="00544F3A"/>
    <w:rsid w:val="00547AA9"/>
    <w:rsid w:val="0055258E"/>
    <w:rsid w:val="005717F3"/>
    <w:rsid w:val="005734AE"/>
    <w:rsid w:val="00577E4C"/>
    <w:rsid w:val="005852FC"/>
    <w:rsid w:val="005872DD"/>
    <w:rsid w:val="00593F6C"/>
    <w:rsid w:val="00596AD2"/>
    <w:rsid w:val="00596FA4"/>
    <w:rsid w:val="005A5E68"/>
    <w:rsid w:val="005B5E3A"/>
    <w:rsid w:val="005B6A7B"/>
    <w:rsid w:val="005C44A6"/>
    <w:rsid w:val="005C6106"/>
    <w:rsid w:val="005D2FE8"/>
    <w:rsid w:val="005D5733"/>
    <w:rsid w:val="005E3F2F"/>
    <w:rsid w:val="006060CE"/>
    <w:rsid w:val="00607BF0"/>
    <w:rsid w:val="00623D67"/>
    <w:rsid w:val="00626012"/>
    <w:rsid w:val="006347E3"/>
    <w:rsid w:val="00635626"/>
    <w:rsid w:val="00640637"/>
    <w:rsid w:val="00682221"/>
    <w:rsid w:val="00692823"/>
    <w:rsid w:val="006A3BC9"/>
    <w:rsid w:val="006A7AAC"/>
    <w:rsid w:val="006D5346"/>
    <w:rsid w:val="006E09DD"/>
    <w:rsid w:val="006F4834"/>
    <w:rsid w:val="006F6A2F"/>
    <w:rsid w:val="00713BF4"/>
    <w:rsid w:val="007172A7"/>
    <w:rsid w:val="00734DB0"/>
    <w:rsid w:val="007425F6"/>
    <w:rsid w:val="007509BB"/>
    <w:rsid w:val="00752F93"/>
    <w:rsid w:val="0076394D"/>
    <w:rsid w:val="00763A41"/>
    <w:rsid w:val="00770A75"/>
    <w:rsid w:val="00776C04"/>
    <w:rsid w:val="00783E8A"/>
    <w:rsid w:val="00784B49"/>
    <w:rsid w:val="00791ED1"/>
    <w:rsid w:val="007973C1"/>
    <w:rsid w:val="007A6161"/>
    <w:rsid w:val="007A71FB"/>
    <w:rsid w:val="007D49F4"/>
    <w:rsid w:val="007E530C"/>
    <w:rsid w:val="0082342E"/>
    <w:rsid w:val="00844133"/>
    <w:rsid w:val="0085210C"/>
    <w:rsid w:val="00860FBC"/>
    <w:rsid w:val="008800F6"/>
    <w:rsid w:val="00881102"/>
    <w:rsid w:val="00885765"/>
    <w:rsid w:val="008B4104"/>
    <w:rsid w:val="008E2ECA"/>
    <w:rsid w:val="008F05BE"/>
    <w:rsid w:val="008F07AF"/>
    <w:rsid w:val="008F3653"/>
    <w:rsid w:val="008F5E3F"/>
    <w:rsid w:val="0091584D"/>
    <w:rsid w:val="0094514E"/>
    <w:rsid w:val="00946CCA"/>
    <w:rsid w:val="00951210"/>
    <w:rsid w:val="0095499A"/>
    <w:rsid w:val="0096008B"/>
    <w:rsid w:val="00961009"/>
    <w:rsid w:val="00971E5E"/>
    <w:rsid w:val="00974AC2"/>
    <w:rsid w:val="00990960"/>
    <w:rsid w:val="009A49A8"/>
    <w:rsid w:val="009B1310"/>
    <w:rsid w:val="009B36F5"/>
    <w:rsid w:val="009D48B0"/>
    <w:rsid w:val="009E3065"/>
    <w:rsid w:val="009F08DD"/>
    <w:rsid w:val="00A02CAF"/>
    <w:rsid w:val="00A03C6A"/>
    <w:rsid w:val="00A25C47"/>
    <w:rsid w:val="00A31AE7"/>
    <w:rsid w:val="00A466A1"/>
    <w:rsid w:val="00A46A48"/>
    <w:rsid w:val="00A50D75"/>
    <w:rsid w:val="00A57EDB"/>
    <w:rsid w:val="00A709D9"/>
    <w:rsid w:val="00A9467D"/>
    <w:rsid w:val="00A97189"/>
    <w:rsid w:val="00AA6D5B"/>
    <w:rsid w:val="00AB0B77"/>
    <w:rsid w:val="00AC0897"/>
    <w:rsid w:val="00AE5690"/>
    <w:rsid w:val="00B0068A"/>
    <w:rsid w:val="00B055E9"/>
    <w:rsid w:val="00B34C31"/>
    <w:rsid w:val="00B401FF"/>
    <w:rsid w:val="00B5717B"/>
    <w:rsid w:val="00B66C07"/>
    <w:rsid w:val="00B73F32"/>
    <w:rsid w:val="00B8132C"/>
    <w:rsid w:val="00B81B41"/>
    <w:rsid w:val="00B9468A"/>
    <w:rsid w:val="00BB01F8"/>
    <w:rsid w:val="00BD1A17"/>
    <w:rsid w:val="00BE4042"/>
    <w:rsid w:val="00BE4DC6"/>
    <w:rsid w:val="00BE623D"/>
    <w:rsid w:val="00BF03C1"/>
    <w:rsid w:val="00BF1A93"/>
    <w:rsid w:val="00BF589C"/>
    <w:rsid w:val="00BF7C4B"/>
    <w:rsid w:val="00C15F14"/>
    <w:rsid w:val="00C20847"/>
    <w:rsid w:val="00C23009"/>
    <w:rsid w:val="00C243C9"/>
    <w:rsid w:val="00C24DCB"/>
    <w:rsid w:val="00C27196"/>
    <w:rsid w:val="00C43487"/>
    <w:rsid w:val="00C51CB5"/>
    <w:rsid w:val="00C5203A"/>
    <w:rsid w:val="00C53CD4"/>
    <w:rsid w:val="00C57C0C"/>
    <w:rsid w:val="00C6087D"/>
    <w:rsid w:val="00C75C13"/>
    <w:rsid w:val="00C775A6"/>
    <w:rsid w:val="00C81A8D"/>
    <w:rsid w:val="00C82F3D"/>
    <w:rsid w:val="00C83381"/>
    <w:rsid w:val="00C902E7"/>
    <w:rsid w:val="00CB165F"/>
    <w:rsid w:val="00CB2CE7"/>
    <w:rsid w:val="00CD30A8"/>
    <w:rsid w:val="00CE1172"/>
    <w:rsid w:val="00CE3BD3"/>
    <w:rsid w:val="00CE55D1"/>
    <w:rsid w:val="00CE55E8"/>
    <w:rsid w:val="00CE7871"/>
    <w:rsid w:val="00CF7940"/>
    <w:rsid w:val="00D135D2"/>
    <w:rsid w:val="00D14285"/>
    <w:rsid w:val="00D258FE"/>
    <w:rsid w:val="00D3763D"/>
    <w:rsid w:val="00D51AD2"/>
    <w:rsid w:val="00D57293"/>
    <w:rsid w:val="00D60853"/>
    <w:rsid w:val="00D720E9"/>
    <w:rsid w:val="00D833BE"/>
    <w:rsid w:val="00D9212F"/>
    <w:rsid w:val="00D92C26"/>
    <w:rsid w:val="00D94BF7"/>
    <w:rsid w:val="00DB68AD"/>
    <w:rsid w:val="00DB70D3"/>
    <w:rsid w:val="00DC60DB"/>
    <w:rsid w:val="00DD65C5"/>
    <w:rsid w:val="00DD67C0"/>
    <w:rsid w:val="00DF04C3"/>
    <w:rsid w:val="00E0231A"/>
    <w:rsid w:val="00E10C54"/>
    <w:rsid w:val="00E13B20"/>
    <w:rsid w:val="00E31222"/>
    <w:rsid w:val="00E35024"/>
    <w:rsid w:val="00E41998"/>
    <w:rsid w:val="00E43B49"/>
    <w:rsid w:val="00E60E74"/>
    <w:rsid w:val="00E72185"/>
    <w:rsid w:val="00E73DF7"/>
    <w:rsid w:val="00E8135D"/>
    <w:rsid w:val="00E92801"/>
    <w:rsid w:val="00EA073A"/>
    <w:rsid w:val="00EA0F63"/>
    <w:rsid w:val="00EA3C67"/>
    <w:rsid w:val="00EC2F44"/>
    <w:rsid w:val="00EC3628"/>
    <w:rsid w:val="00EC6636"/>
    <w:rsid w:val="00EC7E02"/>
    <w:rsid w:val="00ED0029"/>
    <w:rsid w:val="00ED3681"/>
    <w:rsid w:val="00ED7556"/>
    <w:rsid w:val="00EE0EAC"/>
    <w:rsid w:val="00EF3BAE"/>
    <w:rsid w:val="00F26107"/>
    <w:rsid w:val="00F3354A"/>
    <w:rsid w:val="00F34AF1"/>
    <w:rsid w:val="00F52AF1"/>
    <w:rsid w:val="00F57550"/>
    <w:rsid w:val="00F576B9"/>
    <w:rsid w:val="00F65CEA"/>
    <w:rsid w:val="00F70002"/>
    <w:rsid w:val="00F924EC"/>
    <w:rsid w:val="00FD02C6"/>
    <w:rsid w:val="00FD5A47"/>
    <w:rsid w:val="00FD5B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5CEA"/>
    <w:pPr>
      <w:keepNext/>
      <w:keepLines/>
      <w:outlineLvl w:val="0"/>
    </w:pPr>
    <w:rPr>
      <w:rFonts w:eastAsiaTheme="majorEastAsia" w:cstheme="majorBidi"/>
      <w:b/>
      <w:bCs/>
      <w:color w:val="000000" w:themeColor="text1"/>
      <w:szCs w:val="32"/>
    </w:rPr>
  </w:style>
  <w:style w:type="paragraph" w:styleId="Heading2">
    <w:name w:val="heading 2"/>
    <w:basedOn w:val="Normal"/>
    <w:next w:val="Normal"/>
    <w:link w:val="Heading2Char"/>
    <w:autoRedefine/>
    <w:uiPriority w:val="99"/>
    <w:unhideWhenUsed/>
    <w:qFormat/>
    <w:rsid w:val="00F65CEA"/>
    <w:pPr>
      <w:keepNext/>
      <w:keepLines/>
      <w:outlineLvl w:val="1"/>
    </w:pPr>
    <w:rPr>
      <w:rFonts w:ascii="Cambria" w:eastAsia="Times New Roman" w:hAnsi="Cambria" w:cs="Times New Roman"/>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3BD3"/>
    <w:pPr>
      <w:ind w:left="720"/>
      <w:contextualSpacing/>
    </w:pPr>
  </w:style>
  <w:style w:type="paragraph" w:styleId="BalloonText">
    <w:name w:val="Balloon Text"/>
    <w:basedOn w:val="Normal"/>
    <w:link w:val="BalloonTextChar"/>
    <w:uiPriority w:val="99"/>
    <w:semiHidden/>
    <w:unhideWhenUsed/>
    <w:rsid w:val="00B57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17B"/>
    <w:rPr>
      <w:rFonts w:ascii="Lucida Grande" w:hAnsi="Lucida Grande" w:cs="Lucida Grande"/>
      <w:sz w:val="18"/>
      <w:szCs w:val="18"/>
    </w:rPr>
  </w:style>
  <w:style w:type="paragraph" w:styleId="FootnoteText">
    <w:name w:val="footnote text"/>
    <w:basedOn w:val="Normal"/>
    <w:link w:val="FootnoteTextChar"/>
    <w:uiPriority w:val="99"/>
    <w:unhideWhenUsed/>
    <w:rsid w:val="008F05BE"/>
  </w:style>
  <w:style w:type="character" w:customStyle="1" w:styleId="FootnoteTextChar">
    <w:name w:val="Footnote Text Char"/>
    <w:basedOn w:val="DefaultParagraphFont"/>
    <w:link w:val="FootnoteText"/>
    <w:uiPriority w:val="99"/>
    <w:rsid w:val="008F05BE"/>
  </w:style>
  <w:style w:type="character" w:styleId="FootnoteReference">
    <w:name w:val="footnote reference"/>
    <w:basedOn w:val="DefaultParagraphFont"/>
    <w:uiPriority w:val="99"/>
    <w:unhideWhenUsed/>
    <w:rsid w:val="008F05BE"/>
    <w:rPr>
      <w:vertAlign w:val="superscript"/>
    </w:rPr>
  </w:style>
  <w:style w:type="paragraph" w:styleId="BodyText">
    <w:name w:val="Body Text"/>
    <w:basedOn w:val="Normal"/>
    <w:link w:val="BodyTextChar"/>
    <w:rsid w:val="00D94BF7"/>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BF7"/>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EA3C67"/>
  </w:style>
  <w:style w:type="table" w:customStyle="1" w:styleId="LightShading-Accent11">
    <w:name w:val="Light Shading - Accent 11"/>
    <w:basedOn w:val="TableNormal"/>
    <w:uiPriority w:val="60"/>
    <w:rsid w:val="00381184"/>
    <w:rPr>
      <w:rFonts w:ascii="Calibri" w:eastAsia="Times New Roman" w:hAnsi="Calibri" w:cs="Times New Roman"/>
      <w:color w:val="365F91"/>
      <w:sz w:val="20"/>
      <w:szCs w:val="20"/>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A0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029"/>
    <w:pPr>
      <w:tabs>
        <w:tab w:val="center" w:pos="4320"/>
        <w:tab w:val="right" w:pos="8640"/>
      </w:tabs>
    </w:pPr>
  </w:style>
  <w:style w:type="character" w:customStyle="1" w:styleId="HeaderChar">
    <w:name w:val="Header Char"/>
    <w:basedOn w:val="DefaultParagraphFont"/>
    <w:link w:val="Header"/>
    <w:uiPriority w:val="99"/>
    <w:rsid w:val="00ED0029"/>
  </w:style>
  <w:style w:type="paragraph" w:styleId="Footer">
    <w:name w:val="footer"/>
    <w:basedOn w:val="Normal"/>
    <w:link w:val="FooterChar"/>
    <w:uiPriority w:val="99"/>
    <w:unhideWhenUsed/>
    <w:rsid w:val="00ED0029"/>
    <w:pPr>
      <w:tabs>
        <w:tab w:val="center" w:pos="4320"/>
        <w:tab w:val="right" w:pos="8640"/>
      </w:tabs>
    </w:pPr>
  </w:style>
  <w:style w:type="character" w:customStyle="1" w:styleId="FooterChar">
    <w:name w:val="Footer Char"/>
    <w:basedOn w:val="DefaultParagraphFont"/>
    <w:link w:val="Footer"/>
    <w:uiPriority w:val="99"/>
    <w:rsid w:val="00ED0029"/>
  </w:style>
  <w:style w:type="character" w:customStyle="1" w:styleId="EndnoteTextChar">
    <w:name w:val="Endnote Text Char"/>
    <w:basedOn w:val="DefaultParagraphFont"/>
    <w:link w:val="EndnoteText"/>
    <w:locked/>
    <w:rsid w:val="006060CE"/>
    <w:rPr>
      <w:rFonts w:ascii="Courier" w:hAnsi="Courier"/>
    </w:rPr>
  </w:style>
  <w:style w:type="paragraph" w:styleId="EndnoteText">
    <w:name w:val="endnote text"/>
    <w:basedOn w:val="Normal"/>
    <w:link w:val="EndnoteTextChar"/>
    <w:rsid w:val="006060CE"/>
    <w:rPr>
      <w:rFonts w:ascii="Courier" w:hAnsi="Courier"/>
    </w:rPr>
  </w:style>
  <w:style w:type="character" w:customStyle="1" w:styleId="EndnoteTextChar1">
    <w:name w:val="Endnote Text Char1"/>
    <w:basedOn w:val="DefaultParagraphFont"/>
    <w:uiPriority w:val="99"/>
    <w:semiHidden/>
    <w:rsid w:val="006060CE"/>
  </w:style>
  <w:style w:type="character" w:styleId="EndnoteReference">
    <w:name w:val="endnote reference"/>
    <w:basedOn w:val="DefaultParagraphFont"/>
    <w:rsid w:val="006060CE"/>
    <w:rPr>
      <w:vertAlign w:val="superscript"/>
    </w:rPr>
  </w:style>
  <w:style w:type="character" w:customStyle="1" w:styleId="FootnoteTextChar1">
    <w:name w:val="Footnote Text Char1"/>
    <w:basedOn w:val="DefaultParagraphFont"/>
    <w:semiHidden/>
    <w:locked/>
    <w:rsid w:val="00881102"/>
    <w:rPr>
      <w:rFonts w:ascii="Courier" w:hAnsi="Courier"/>
      <w:lang w:val="en-GB" w:eastAsia="en-US" w:bidi="ar-SA"/>
    </w:rPr>
  </w:style>
  <w:style w:type="paragraph" w:styleId="NormalWeb">
    <w:name w:val="Normal (Web)"/>
    <w:basedOn w:val="Normal"/>
    <w:rsid w:val="00E0231A"/>
    <w:pPr>
      <w:spacing w:before="100" w:beforeAutospacing="1" w:after="100" w:afterAutospacing="1"/>
    </w:pPr>
    <w:rPr>
      <w:rFonts w:ascii="Book Antiqua" w:eastAsia="Times New Roman" w:hAnsi="Book Antiqua" w:cs="Times New Roman"/>
      <w:lang w:val="en-CA"/>
    </w:rPr>
  </w:style>
  <w:style w:type="paragraph" w:styleId="BodyText2">
    <w:name w:val="Body Text 2"/>
    <w:basedOn w:val="Normal"/>
    <w:link w:val="BodyText2Char"/>
    <w:uiPriority w:val="99"/>
    <w:semiHidden/>
    <w:unhideWhenUsed/>
    <w:rsid w:val="007D49F4"/>
    <w:pPr>
      <w:spacing w:after="120" w:line="480" w:lineRule="auto"/>
    </w:pPr>
  </w:style>
  <w:style w:type="character" w:customStyle="1" w:styleId="BodyText2Char">
    <w:name w:val="Body Text 2 Char"/>
    <w:basedOn w:val="DefaultParagraphFont"/>
    <w:link w:val="BodyText2"/>
    <w:uiPriority w:val="99"/>
    <w:semiHidden/>
    <w:rsid w:val="007D49F4"/>
  </w:style>
  <w:style w:type="character" w:styleId="PageNumber">
    <w:name w:val="page number"/>
    <w:basedOn w:val="DefaultParagraphFont"/>
    <w:uiPriority w:val="99"/>
    <w:semiHidden/>
    <w:unhideWhenUsed/>
    <w:rsid w:val="00053013"/>
  </w:style>
  <w:style w:type="paragraph" w:styleId="Title">
    <w:name w:val="Title"/>
    <w:basedOn w:val="Normal"/>
    <w:link w:val="TitleChar"/>
    <w:qFormat/>
    <w:rsid w:val="00CE55E8"/>
    <w:pPr>
      <w:widowControl w:val="0"/>
      <w:tabs>
        <w:tab w:val="center" w:pos="4680"/>
      </w:tabs>
      <w:jc w:val="center"/>
    </w:pPr>
    <w:rPr>
      <w:rFonts w:ascii="Arial" w:eastAsia="Times New Roman" w:hAnsi="Arial" w:cs="Times New Roman"/>
      <w:b/>
      <w:snapToGrid w:val="0"/>
      <w:szCs w:val="20"/>
    </w:rPr>
  </w:style>
  <w:style w:type="character" w:customStyle="1" w:styleId="TitleChar">
    <w:name w:val="Title Char"/>
    <w:basedOn w:val="DefaultParagraphFont"/>
    <w:link w:val="Title"/>
    <w:rsid w:val="00CE55E8"/>
    <w:rPr>
      <w:rFonts w:ascii="Arial" w:eastAsia="Times New Roman" w:hAnsi="Arial" w:cs="Times New Roman"/>
      <w:b/>
      <w:snapToGrid w:val="0"/>
      <w:szCs w:val="20"/>
    </w:rPr>
  </w:style>
  <w:style w:type="character" w:customStyle="1" w:styleId="Heading2Char">
    <w:name w:val="Heading 2 Char"/>
    <w:basedOn w:val="DefaultParagraphFont"/>
    <w:link w:val="Heading2"/>
    <w:uiPriority w:val="99"/>
    <w:rsid w:val="00F65CEA"/>
    <w:rPr>
      <w:rFonts w:ascii="Cambria" w:eastAsia="Times New Roman" w:hAnsi="Cambria" w:cs="Times New Roman"/>
      <w:b/>
      <w:bCs/>
      <w:color w:val="000000" w:themeColor="text1"/>
      <w:szCs w:val="26"/>
    </w:rPr>
  </w:style>
  <w:style w:type="character" w:customStyle="1" w:styleId="Heading1Char">
    <w:name w:val="Heading 1 Char"/>
    <w:basedOn w:val="DefaultParagraphFont"/>
    <w:link w:val="Heading1"/>
    <w:uiPriority w:val="9"/>
    <w:rsid w:val="00F65CEA"/>
    <w:rPr>
      <w:rFonts w:eastAsiaTheme="majorEastAsia" w:cstheme="majorBidi"/>
      <w:b/>
      <w:bCs/>
      <w:color w:val="000000" w:themeColor="text1"/>
      <w:szCs w:val="32"/>
    </w:rPr>
  </w:style>
  <w:style w:type="table" w:styleId="MediumShading1-Accent1">
    <w:name w:val="Medium Shading 1 Accent 1"/>
    <w:basedOn w:val="TableNormal"/>
    <w:uiPriority w:val="63"/>
    <w:rsid w:val="00B813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8132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1">
    <w:name w:val="Medium List 1 Accent 1"/>
    <w:basedOn w:val="TableNormal"/>
    <w:uiPriority w:val="65"/>
    <w:rsid w:val="00B8132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B813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autoRedefine/>
    <w:uiPriority w:val="35"/>
    <w:unhideWhenUsed/>
    <w:qFormat/>
    <w:rsid w:val="0015704E"/>
    <w:pPr>
      <w:keepNext/>
    </w:pPr>
    <w:rPr>
      <w:b/>
      <w:bCs/>
      <w:color w:val="000000" w:themeColor="text1"/>
    </w:rPr>
  </w:style>
  <w:style w:type="paragraph" w:styleId="TOCHeading">
    <w:name w:val="TOC Heading"/>
    <w:basedOn w:val="Heading1"/>
    <w:next w:val="Normal"/>
    <w:uiPriority w:val="39"/>
    <w:unhideWhenUsed/>
    <w:qFormat/>
    <w:rsid w:val="005D2FE8"/>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5D2FE8"/>
    <w:pPr>
      <w:spacing w:before="120"/>
    </w:pPr>
    <w:rPr>
      <w:b/>
    </w:rPr>
  </w:style>
  <w:style w:type="paragraph" w:styleId="TOC2">
    <w:name w:val="toc 2"/>
    <w:basedOn w:val="Normal"/>
    <w:next w:val="Normal"/>
    <w:autoRedefine/>
    <w:uiPriority w:val="39"/>
    <w:unhideWhenUsed/>
    <w:rsid w:val="005D2FE8"/>
    <w:pPr>
      <w:ind w:left="240"/>
    </w:pPr>
    <w:rPr>
      <w:b/>
      <w:sz w:val="22"/>
      <w:szCs w:val="22"/>
    </w:rPr>
  </w:style>
  <w:style w:type="paragraph" w:styleId="TOC3">
    <w:name w:val="toc 3"/>
    <w:basedOn w:val="Normal"/>
    <w:next w:val="Normal"/>
    <w:autoRedefine/>
    <w:uiPriority w:val="39"/>
    <w:semiHidden/>
    <w:unhideWhenUsed/>
    <w:rsid w:val="005D2FE8"/>
    <w:pPr>
      <w:ind w:left="480"/>
    </w:pPr>
    <w:rPr>
      <w:sz w:val="22"/>
      <w:szCs w:val="22"/>
    </w:rPr>
  </w:style>
  <w:style w:type="paragraph" w:styleId="TOC4">
    <w:name w:val="toc 4"/>
    <w:basedOn w:val="Normal"/>
    <w:next w:val="Normal"/>
    <w:autoRedefine/>
    <w:uiPriority w:val="39"/>
    <w:semiHidden/>
    <w:unhideWhenUsed/>
    <w:rsid w:val="005D2FE8"/>
    <w:pPr>
      <w:ind w:left="720"/>
    </w:pPr>
    <w:rPr>
      <w:sz w:val="20"/>
      <w:szCs w:val="20"/>
    </w:rPr>
  </w:style>
  <w:style w:type="paragraph" w:styleId="TOC5">
    <w:name w:val="toc 5"/>
    <w:basedOn w:val="Normal"/>
    <w:next w:val="Normal"/>
    <w:autoRedefine/>
    <w:uiPriority w:val="39"/>
    <w:semiHidden/>
    <w:unhideWhenUsed/>
    <w:rsid w:val="005D2FE8"/>
    <w:pPr>
      <w:ind w:left="960"/>
    </w:pPr>
    <w:rPr>
      <w:sz w:val="20"/>
      <w:szCs w:val="20"/>
    </w:rPr>
  </w:style>
  <w:style w:type="paragraph" w:styleId="TOC6">
    <w:name w:val="toc 6"/>
    <w:basedOn w:val="Normal"/>
    <w:next w:val="Normal"/>
    <w:autoRedefine/>
    <w:uiPriority w:val="39"/>
    <w:semiHidden/>
    <w:unhideWhenUsed/>
    <w:rsid w:val="005D2FE8"/>
    <w:pPr>
      <w:ind w:left="1200"/>
    </w:pPr>
    <w:rPr>
      <w:sz w:val="20"/>
      <w:szCs w:val="20"/>
    </w:rPr>
  </w:style>
  <w:style w:type="paragraph" w:styleId="TOC7">
    <w:name w:val="toc 7"/>
    <w:basedOn w:val="Normal"/>
    <w:next w:val="Normal"/>
    <w:autoRedefine/>
    <w:uiPriority w:val="39"/>
    <w:semiHidden/>
    <w:unhideWhenUsed/>
    <w:rsid w:val="005D2FE8"/>
    <w:pPr>
      <w:ind w:left="1440"/>
    </w:pPr>
    <w:rPr>
      <w:sz w:val="20"/>
      <w:szCs w:val="20"/>
    </w:rPr>
  </w:style>
  <w:style w:type="paragraph" w:styleId="TOC8">
    <w:name w:val="toc 8"/>
    <w:basedOn w:val="Normal"/>
    <w:next w:val="Normal"/>
    <w:autoRedefine/>
    <w:uiPriority w:val="39"/>
    <w:semiHidden/>
    <w:unhideWhenUsed/>
    <w:rsid w:val="005D2FE8"/>
    <w:pPr>
      <w:ind w:left="1680"/>
    </w:pPr>
    <w:rPr>
      <w:sz w:val="20"/>
      <w:szCs w:val="20"/>
    </w:rPr>
  </w:style>
  <w:style w:type="paragraph" w:styleId="TOC9">
    <w:name w:val="toc 9"/>
    <w:basedOn w:val="Normal"/>
    <w:next w:val="Normal"/>
    <w:autoRedefine/>
    <w:uiPriority w:val="39"/>
    <w:semiHidden/>
    <w:unhideWhenUsed/>
    <w:rsid w:val="005D2FE8"/>
    <w:pPr>
      <w:ind w:left="1920"/>
    </w:pPr>
    <w:rPr>
      <w:sz w:val="20"/>
      <w:szCs w:val="20"/>
    </w:rPr>
  </w:style>
  <w:style w:type="paragraph" w:styleId="TableofFigures">
    <w:name w:val="table of figures"/>
    <w:basedOn w:val="Normal"/>
    <w:next w:val="Normal"/>
    <w:uiPriority w:val="99"/>
    <w:unhideWhenUsed/>
    <w:rsid w:val="005D2FE8"/>
    <w:pPr>
      <w:ind w:left="480" w:hanging="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65CEA"/>
    <w:pPr>
      <w:keepNext/>
      <w:keepLines/>
      <w:outlineLvl w:val="0"/>
    </w:pPr>
    <w:rPr>
      <w:rFonts w:eastAsiaTheme="majorEastAsia" w:cstheme="majorBidi"/>
      <w:b/>
      <w:bCs/>
      <w:color w:val="000000" w:themeColor="text1"/>
      <w:szCs w:val="32"/>
    </w:rPr>
  </w:style>
  <w:style w:type="paragraph" w:styleId="Heading2">
    <w:name w:val="heading 2"/>
    <w:basedOn w:val="Normal"/>
    <w:next w:val="Normal"/>
    <w:link w:val="Heading2Char"/>
    <w:autoRedefine/>
    <w:uiPriority w:val="99"/>
    <w:unhideWhenUsed/>
    <w:qFormat/>
    <w:rsid w:val="00F65CEA"/>
    <w:pPr>
      <w:keepNext/>
      <w:keepLines/>
      <w:outlineLvl w:val="1"/>
    </w:pPr>
    <w:rPr>
      <w:rFonts w:ascii="Cambria" w:eastAsia="Times New Roman" w:hAnsi="Cambria" w:cs="Times New Roman"/>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3BD3"/>
    <w:pPr>
      <w:ind w:left="720"/>
      <w:contextualSpacing/>
    </w:pPr>
  </w:style>
  <w:style w:type="paragraph" w:styleId="BalloonText">
    <w:name w:val="Balloon Text"/>
    <w:basedOn w:val="Normal"/>
    <w:link w:val="BalloonTextChar"/>
    <w:uiPriority w:val="99"/>
    <w:semiHidden/>
    <w:unhideWhenUsed/>
    <w:rsid w:val="00B57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17B"/>
    <w:rPr>
      <w:rFonts w:ascii="Lucida Grande" w:hAnsi="Lucida Grande" w:cs="Lucida Grande"/>
      <w:sz w:val="18"/>
      <w:szCs w:val="18"/>
    </w:rPr>
  </w:style>
  <w:style w:type="paragraph" w:styleId="FootnoteText">
    <w:name w:val="footnote text"/>
    <w:basedOn w:val="Normal"/>
    <w:link w:val="FootnoteTextChar"/>
    <w:uiPriority w:val="99"/>
    <w:unhideWhenUsed/>
    <w:rsid w:val="008F05BE"/>
  </w:style>
  <w:style w:type="character" w:customStyle="1" w:styleId="FootnoteTextChar">
    <w:name w:val="Footnote Text Char"/>
    <w:basedOn w:val="DefaultParagraphFont"/>
    <w:link w:val="FootnoteText"/>
    <w:uiPriority w:val="99"/>
    <w:rsid w:val="008F05BE"/>
  </w:style>
  <w:style w:type="character" w:styleId="FootnoteReference">
    <w:name w:val="footnote reference"/>
    <w:basedOn w:val="DefaultParagraphFont"/>
    <w:uiPriority w:val="99"/>
    <w:unhideWhenUsed/>
    <w:rsid w:val="008F05BE"/>
    <w:rPr>
      <w:vertAlign w:val="superscript"/>
    </w:rPr>
  </w:style>
  <w:style w:type="paragraph" w:styleId="BodyText">
    <w:name w:val="Body Text"/>
    <w:basedOn w:val="Normal"/>
    <w:link w:val="BodyTextChar"/>
    <w:rsid w:val="00D94BF7"/>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94BF7"/>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EA3C67"/>
  </w:style>
  <w:style w:type="table" w:customStyle="1" w:styleId="LightShading-Accent11">
    <w:name w:val="Light Shading - Accent 11"/>
    <w:basedOn w:val="TableNormal"/>
    <w:uiPriority w:val="60"/>
    <w:rsid w:val="00381184"/>
    <w:rPr>
      <w:rFonts w:ascii="Calibri" w:eastAsia="Times New Roman" w:hAnsi="Calibri" w:cs="Times New Roman"/>
      <w:color w:val="365F91"/>
      <w:sz w:val="20"/>
      <w:szCs w:val="20"/>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A0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0029"/>
    <w:pPr>
      <w:tabs>
        <w:tab w:val="center" w:pos="4320"/>
        <w:tab w:val="right" w:pos="8640"/>
      </w:tabs>
    </w:pPr>
  </w:style>
  <w:style w:type="character" w:customStyle="1" w:styleId="HeaderChar">
    <w:name w:val="Header Char"/>
    <w:basedOn w:val="DefaultParagraphFont"/>
    <w:link w:val="Header"/>
    <w:uiPriority w:val="99"/>
    <w:rsid w:val="00ED0029"/>
  </w:style>
  <w:style w:type="paragraph" w:styleId="Footer">
    <w:name w:val="footer"/>
    <w:basedOn w:val="Normal"/>
    <w:link w:val="FooterChar"/>
    <w:uiPriority w:val="99"/>
    <w:unhideWhenUsed/>
    <w:rsid w:val="00ED0029"/>
    <w:pPr>
      <w:tabs>
        <w:tab w:val="center" w:pos="4320"/>
        <w:tab w:val="right" w:pos="8640"/>
      </w:tabs>
    </w:pPr>
  </w:style>
  <w:style w:type="character" w:customStyle="1" w:styleId="FooterChar">
    <w:name w:val="Footer Char"/>
    <w:basedOn w:val="DefaultParagraphFont"/>
    <w:link w:val="Footer"/>
    <w:uiPriority w:val="99"/>
    <w:rsid w:val="00ED0029"/>
  </w:style>
  <w:style w:type="character" w:customStyle="1" w:styleId="EndnoteTextChar">
    <w:name w:val="Endnote Text Char"/>
    <w:basedOn w:val="DefaultParagraphFont"/>
    <w:link w:val="EndnoteText"/>
    <w:locked/>
    <w:rsid w:val="006060CE"/>
    <w:rPr>
      <w:rFonts w:ascii="Courier" w:hAnsi="Courier"/>
    </w:rPr>
  </w:style>
  <w:style w:type="paragraph" w:styleId="EndnoteText">
    <w:name w:val="endnote text"/>
    <w:basedOn w:val="Normal"/>
    <w:link w:val="EndnoteTextChar"/>
    <w:rsid w:val="006060CE"/>
    <w:rPr>
      <w:rFonts w:ascii="Courier" w:hAnsi="Courier"/>
    </w:rPr>
  </w:style>
  <w:style w:type="character" w:customStyle="1" w:styleId="EndnoteTextChar1">
    <w:name w:val="Endnote Text Char1"/>
    <w:basedOn w:val="DefaultParagraphFont"/>
    <w:uiPriority w:val="99"/>
    <w:semiHidden/>
    <w:rsid w:val="006060CE"/>
  </w:style>
  <w:style w:type="character" w:styleId="EndnoteReference">
    <w:name w:val="endnote reference"/>
    <w:basedOn w:val="DefaultParagraphFont"/>
    <w:rsid w:val="006060CE"/>
    <w:rPr>
      <w:vertAlign w:val="superscript"/>
    </w:rPr>
  </w:style>
  <w:style w:type="character" w:customStyle="1" w:styleId="FootnoteTextChar1">
    <w:name w:val="Footnote Text Char1"/>
    <w:basedOn w:val="DefaultParagraphFont"/>
    <w:semiHidden/>
    <w:locked/>
    <w:rsid w:val="00881102"/>
    <w:rPr>
      <w:rFonts w:ascii="Courier" w:hAnsi="Courier"/>
      <w:lang w:val="en-GB" w:eastAsia="en-US" w:bidi="ar-SA"/>
    </w:rPr>
  </w:style>
  <w:style w:type="paragraph" w:styleId="NormalWeb">
    <w:name w:val="Normal (Web)"/>
    <w:basedOn w:val="Normal"/>
    <w:rsid w:val="00E0231A"/>
    <w:pPr>
      <w:spacing w:before="100" w:beforeAutospacing="1" w:after="100" w:afterAutospacing="1"/>
    </w:pPr>
    <w:rPr>
      <w:rFonts w:ascii="Book Antiqua" w:eastAsia="Times New Roman" w:hAnsi="Book Antiqua" w:cs="Times New Roman"/>
      <w:lang w:val="en-CA"/>
    </w:rPr>
  </w:style>
  <w:style w:type="paragraph" w:styleId="BodyText2">
    <w:name w:val="Body Text 2"/>
    <w:basedOn w:val="Normal"/>
    <w:link w:val="BodyText2Char"/>
    <w:uiPriority w:val="99"/>
    <w:semiHidden/>
    <w:unhideWhenUsed/>
    <w:rsid w:val="007D49F4"/>
    <w:pPr>
      <w:spacing w:after="120" w:line="480" w:lineRule="auto"/>
    </w:pPr>
  </w:style>
  <w:style w:type="character" w:customStyle="1" w:styleId="BodyText2Char">
    <w:name w:val="Body Text 2 Char"/>
    <w:basedOn w:val="DefaultParagraphFont"/>
    <w:link w:val="BodyText2"/>
    <w:uiPriority w:val="99"/>
    <w:semiHidden/>
    <w:rsid w:val="007D49F4"/>
  </w:style>
  <w:style w:type="character" w:styleId="PageNumber">
    <w:name w:val="page number"/>
    <w:basedOn w:val="DefaultParagraphFont"/>
    <w:uiPriority w:val="99"/>
    <w:semiHidden/>
    <w:unhideWhenUsed/>
    <w:rsid w:val="00053013"/>
  </w:style>
  <w:style w:type="paragraph" w:styleId="Title">
    <w:name w:val="Title"/>
    <w:basedOn w:val="Normal"/>
    <w:link w:val="TitleChar"/>
    <w:qFormat/>
    <w:rsid w:val="00CE55E8"/>
    <w:pPr>
      <w:widowControl w:val="0"/>
      <w:tabs>
        <w:tab w:val="center" w:pos="4680"/>
      </w:tabs>
      <w:jc w:val="center"/>
    </w:pPr>
    <w:rPr>
      <w:rFonts w:ascii="Arial" w:eastAsia="Times New Roman" w:hAnsi="Arial" w:cs="Times New Roman"/>
      <w:b/>
      <w:snapToGrid w:val="0"/>
      <w:szCs w:val="20"/>
    </w:rPr>
  </w:style>
  <w:style w:type="character" w:customStyle="1" w:styleId="TitleChar">
    <w:name w:val="Title Char"/>
    <w:basedOn w:val="DefaultParagraphFont"/>
    <w:link w:val="Title"/>
    <w:rsid w:val="00CE55E8"/>
    <w:rPr>
      <w:rFonts w:ascii="Arial" w:eastAsia="Times New Roman" w:hAnsi="Arial" w:cs="Times New Roman"/>
      <w:b/>
      <w:snapToGrid w:val="0"/>
      <w:szCs w:val="20"/>
    </w:rPr>
  </w:style>
  <w:style w:type="character" w:customStyle="1" w:styleId="Heading2Char">
    <w:name w:val="Heading 2 Char"/>
    <w:basedOn w:val="DefaultParagraphFont"/>
    <w:link w:val="Heading2"/>
    <w:uiPriority w:val="99"/>
    <w:rsid w:val="00F65CEA"/>
    <w:rPr>
      <w:rFonts w:ascii="Cambria" w:eastAsia="Times New Roman" w:hAnsi="Cambria" w:cs="Times New Roman"/>
      <w:b/>
      <w:bCs/>
      <w:color w:val="000000" w:themeColor="text1"/>
      <w:szCs w:val="26"/>
    </w:rPr>
  </w:style>
  <w:style w:type="character" w:customStyle="1" w:styleId="Heading1Char">
    <w:name w:val="Heading 1 Char"/>
    <w:basedOn w:val="DefaultParagraphFont"/>
    <w:link w:val="Heading1"/>
    <w:uiPriority w:val="9"/>
    <w:rsid w:val="00F65CEA"/>
    <w:rPr>
      <w:rFonts w:eastAsiaTheme="majorEastAsia" w:cstheme="majorBidi"/>
      <w:b/>
      <w:bCs/>
      <w:color w:val="000000" w:themeColor="text1"/>
      <w:szCs w:val="32"/>
    </w:rPr>
  </w:style>
  <w:style w:type="table" w:styleId="MediumShading1-Accent1">
    <w:name w:val="Medium Shading 1 Accent 1"/>
    <w:basedOn w:val="TableNormal"/>
    <w:uiPriority w:val="63"/>
    <w:rsid w:val="00B813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8132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1">
    <w:name w:val="Medium List 1 Accent 1"/>
    <w:basedOn w:val="TableNormal"/>
    <w:uiPriority w:val="65"/>
    <w:rsid w:val="00B8132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B8132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Caption">
    <w:name w:val="caption"/>
    <w:basedOn w:val="Normal"/>
    <w:next w:val="Normal"/>
    <w:autoRedefine/>
    <w:uiPriority w:val="35"/>
    <w:unhideWhenUsed/>
    <w:qFormat/>
    <w:rsid w:val="0015704E"/>
    <w:pPr>
      <w:keepNext/>
    </w:pPr>
    <w:rPr>
      <w:b/>
      <w:bCs/>
      <w:color w:val="000000" w:themeColor="text1"/>
    </w:rPr>
  </w:style>
  <w:style w:type="paragraph" w:styleId="TOCHeading">
    <w:name w:val="TOC Heading"/>
    <w:basedOn w:val="Heading1"/>
    <w:next w:val="Normal"/>
    <w:uiPriority w:val="39"/>
    <w:unhideWhenUsed/>
    <w:qFormat/>
    <w:rsid w:val="005D2FE8"/>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5D2FE8"/>
    <w:pPr>
      <w:spacing w:before="120"/>
    </w:pPr>
    <w:rPr>
      <w:b/>
    </w:rPr>
  </w:style>
  <w:style w:type="paragraph" w:styleId="TOC2">
    <w:name w:val="toc 2"/>
    <w:basedOn w:val="Normal"/>
    <w:next w:val="Normal"/>
    <w:autoRedefine/>
    <w:uiPriority w:val="39"/>
    <w:unhideWhenUsed/>
    <w:rsid w:val="005D2FE8"/>
    <w:pPr>
      <w:ind w:left="240"/>
    </w:pPr>
    <w:rPr>
      <w:b/>
      <w:sz w:val="22"/>
      <w:szCs w:val="22"/>
    </w:rPr>
  </w:style>
  <w:style w:type="paragraph" w:styleId="TOC3">
    <w:name w:val="toc 3"/>
    <w:basedOn w:val="Normal"/>
    <w:next w:val="Normal"/>
    <w:autoRedefine/>
    <w:uiPriority w:val="39"/>
    <w:semiHidden/>
    <w:unhideWhenUsed/>
    <w:rsid w:val="005D2FE8"/>
    <w:pPr>
      <w:ind w:left="480"/>
    </w:pPr>
    <w:rPr>
      <w:sz w:val="22"/>
      <w:szCs w:val="22"/>
    </w:rPr>
  </w:style>
  <w:style w:type="paragraph" w:styleId="TOC4">
    <w:name w:val="toc 4"/>
    <w:basedOn w:val="Normal"/>
    <w:next w:val="Normal"/>
    <w:autoRedefine/>
    <w:uiPriority w:val="39"/>
    <w:semiHidden/>
    <w:unhideWhenUsed/>
    <w:rsid w:val="005D2FE8"/>
    <w:pPr>
      <w:ind w:left="720"/>
    </w:pPr>
    <w:rPr>
      <w:sz w:val="20"/>
      <w:szCs w:val="20"/>
    </w:rPr>
  </w:style>
  <w:style w:type="paragraph" w:styleId="TOC5">
    <w:name w:val="toc 5"/>
    <w:basedOn w:val="Normal"/>
    <w:next w:val="Normal"/>
    <w:autoRedefine/>
    <w:uiPriority w:val="39"/>
    <w:semiHidden/>
    <w:unhideWhenUsed/>
    <w:rsid w:val="005D2FE8"/>
    <w:pPr>
      <w:ind w:left="960"/>
    </w:pPr>
    <w:rPr>
      <w:sz w:val="20"/>
      <w:szCs w:val="20"/>
    </w:rPr>
  </w:style>
  <w:style w:type="paragraph" w:styleId="TOC6">
    <w:name w:val="toc 6"/>
    <w:basedOn w:val="Normal"/>
    <w:next w:val="Normal"/>
    <w:autoRedefine/>
    <w:uiPriority w:val="39"/>
    <w:semiHidden/>
    <w:unhideWhenUsed/>
    <w:rsid w:val="005D2FE8"/>
    <w:pPr>
      <w:ind w:left="1200"/>
    </w:pPr>
    <w:rPr>
      <w:sz w:val="20"/>
      <w:szCs w:val="20"/>
    </w:rPr>
  </w:style>
  <w:style w:type="paragraph" w:styleId="TOC7">
    <w:name w:val="toc 7"/>
    <w:basedOn w:val="Normal"/>
    <w:next w:val="Normal"/>
    <w:autoRedefine/>
    <w:uiPriority w:val="39"/>
    <w:semiHidden/>
    <w:unhideWhenUsed/>
    <w:rsid w:val="005D2FE8"/>
    <w:pPr>
      <w:ind w:left="1440"/>
    </w:pPr>
    <w:rPr>
      <w:sz w:val="20"/>
      <w:szCs w:val="20"/>
    </w:rPr>
  </w:style>
  <w:style w:type="paragraph" w:styleId="TOC8">
    <w:name w:val="toc 8"/>
    <w:basedOn w:val="Normal"/>
    <w:next w:val="Normal"/>
    <w:autoRedefine/>
    <w:uiPriority w:val="39"/>
    <w:semiHidden/>
    <w:unhideWhenUsed/>
    <w:rsid w:val="005D2FE8"/>
    <w:pPr>
      <w:ind w:left="1680"/>
    </w:pPr>
    <w:rPr>
      <w:sz w:val="20"/>
      <w:szCs w:val="20"/>
    </w:rPr>
  </w:style>
  <w:style w:type="paragraph" w:styleId="TOC9">
    <w:name w:val="toc 9"/>
    <w:basedOn w:val="Normal"/>
    <w:next w:val="Normal"/>
    <w:autoRedefine/>
    <w:uiPriority w:val="39"/>
    <w:semiHidden/>
    <w:unhideWhenUsed/>
    <w:rsid w:val="005D2FE8"/>
    <w:pPr>
      <w:ind w:left="1920"/>
    </w:pPr>
    <w:rPr>
      <w:sz w:val="20"/>
      <w:szCs w:val="20"/>
    </w:rPr>
  </w:style>
  <w:style w:type="paragraph" w:styleId="TableofFigures">
    <w:name w:val="table of figures"/>
    <w:basedOn w:val="Normal"/>
    <w:next w:val="Normal"/>
    <w:uiPriority w:val="99"/>
    <w:unhideWhenUsed/>
    <w:rsid w:val="005D2FE8"/>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3218">
      <w:bodyDiv w:val="1"/>
      <w:marLeft w:val="0"/>
      <w:marRight w:val="0"/>
      <w:marTop w:val="0"/>
      <w:marBottom w:val="0"/>
      <w:divBdr>
        <w:top w:val="none" w:sz="0" w:space="0" w:color="auto"/>
        <w:left w:val="none" w:sz="0" w:space="0" w:color="auto"/>
        <w:bottom w:val="none" w:sz="0" w:space="0" w:color="auto"/>
        <w:right w:val="none" w:sz="0" w:space="0" w:color="auto"/>
      </w:divBdr>
    </w:div>
    <w:div w:id="2134209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780B-0A7F-4F7E-ACAC-5ABEBAC8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11802</Words>
  <Characters>67277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Levinson</dc:creator>
  <cp:lastModifiedBy>Nikica Grubnic</cp:lastModifiedBy>
  <cp:revision>2</cp:revision>
  <cp:lastPrinted>2013-06-28T22:05:00Z</cp:lastPrinted>
  <dcterms:created xsi:type="dcterms:W3CDTF">2013-07-31T14:18:00Z</dcterms:created>
  <dcterms:modified xsi:type="dcterms:W3CDTF">2013-07-31T14:18:00Z</dcterms:modified>
</cp:coreProperties>
</file>