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64" w:rsidRDefault="004A17F1" w:rsidP="00A92A49">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highlight w:val="yellow"/>
          <w:lang w:val="fr-FR"/>
        </w:rPr>
      </w:pPr>
      <w:r>
        <w:rPr>
          <w:rFonts w:ascii="Arial" w:hAnsi="Arial"/>
          <w:noProof/>
          <w:spacing w:val="-3"/>
          <w:sz w:val="20"/>
          <w:lang w:val="fr-FR" w:eastAsia="fr-FR"/>
        </w:rPr>
        <w:drawing>
          <wp:inline distT="0" distB="0" distL="0" distR="0">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0838" t="3618" r="17253" b="16402"/>
                    <a:stretch>
                      <a:fillRect/>
                    </a:stretch>
                  </pic:blipFill>
                  <pic:spPr bwMode="auto">
                    <a:xfrm>
                      <a:off x="0" y="0"/>
                      <a:ext cx="942975" cy="800100"/>
                    </a:xfrm>
                    <a:prstGeom prst="rect">
                      <a:avLst/>
                    </a:prstGeom>
                    <a:solidFill>
                      <a:srgbClr val="3366FF"/>
                    </a:solidFill>
                    <a:ln w="9525">
                      <a:noFill/>
                      <a:miter lim="800000"/>
                      <a:headEnd/>
                      <a:tailEnd/>
                    </a:ln>
                  </pic:spPr>
                </pic:pic>
              </a:graphicData>
            </a:graphic>
          </wp:inline>
        </w:drawing>
      </w:r>
    </w:p>
    <w:p w:rsidR="00B72983" w:rsidRDefault="00B72983" w:rsidP="004D402F">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sidRPr="00B72983">
        <w:rPr>
          <w:b/>
          <w:lang w:val="fr-FR"/>
        </w:rPr>
        <w:t>Projet de Développement Durable du Sud-Ouest d’Haïti</w:t>
      </w:r>
    </w:p>
    <w:p w:rsidR="009712FC" w:rsidRDefault="00B72983" w:rsidP="004D402F">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Pr>
          <w:b/>
          <w:lang w:val="fr-FR"/>
        </w:rPr>
        <w:t>Phase 1 - Cote Sud Initiative</w:t>
      </w:r>
      <w:r w:rsidRPr="00B72983">
        <w:rPr>
          <w:b/>
          <w:lang w:val="fr-FR"/>
        </w:rPr>
        <w:t xml:space="preserve"> </w:t>
      </w:r>
    </w:p>
    <w:p w:rsidR="004D402F" w:rsidRDefault="004D402F" w:rsidP="00D654A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aps/>
          <w:lang w:val="fr-FR"/>
        </w:rPr>
      </w:pPr>
      <w:r>
        <w:rPr>
          <w:b/>
          <w:bCs/>
          <w:caps/>
          <w:lang w:val="fr-FR"/>
        </w:rPr>
        <w:t xml:space="preserve">rapport descriptif annuel sur </w:t>
      </w:r>
    </w:p>
    <w:p w:rsidR="004D402F" w:rsidRDefault="004D402F" w:rsidP="004D402F">
      <w:pPr>
        <w:jc w:val="center"/>
        <w:rPr>
          <w:b/>
          <w:bCs/>
          <w:caps/>
          <w:lang w:val="fr-FR"/>
        </w:rPr>
      </w:pPr>
      <w:r>
        <w:rPr>
          <w:b/>
          <w:bCs/>
          <w:caps/>
          <w:lang w:val="fr-FR"/>
        </w:rPr>
        <w:t xml:space="preserve">l’etat d’avancement du </w:t>
      </w:r>
      <w:r w:rsidRPr="00CA1151">
        <w:rPr>
          <w:b/>
          <w:bCs/>
          <w:caps/>
          <w:lang w:val="fr-FR"/>
        </w:rPr>
        <w:t>programme</w:t>
      </w:r>
      <w:r>
        <w:rPr>
          <w:rStyle w:val="FootnoteReference"/>
          <w:b/>
          <w:bCs/>
          <w:caps/>
        </w:rPr>
        <w:footnoteReference w:id="2"/>
      </w:r>
    </w:p>
    <w:p w:rsidR="00FC6A70" w:rsidRPr="00A92A49" w:rsidRDefault="00945575" w:rsidP="00A92A49">
      <w:pPr>
        <w:pStyle w:val="Heading1"/>
        <w:jc w:val="center"/>
        <w:rPr>
          <w:rFonts w:ascii="Times New Roman" w:hAnsi="Times New Roman"/>
          <w:sz w:val="24"/>
          <w:szCs w:val="24"/>
          <w:u w:val="single"/>
          <w:lang w:val="fr-FR"/>
        </w:rPr>
      </w:pPr>
      <w:r>
        <w:rPr>
          <w:rFonts w:ascii="Times New Roman" w:hAnsi="Times New Roman"/>
          <w:sz w:val="24"/>
          <w:szCs w:val="24"/>
          <w:u w:val="single"/>
          <w:lang w:val="fr-FR"/>
        </w:rPr>
        <w:t xml:space="preserve">25 MARS </w:t>
      </w:r>
      <w:r w:rsidR="00144727">
        <w:rPr>
          <w:rFonts w:ascii="Times New Roman" w:hAnsi="Times New Roman"/>
          <w:sz w:val="24"/>
          <w:szCs w:val="24"/>
          <w:u w:val="single"/>
          <w:lang w:val="fr-FR"/>
        </w:rPr>
        <w:t xml:space="preserve"> – 31 DECEMBRE 201</w:t>
      </w:r>
      <w:r w:rsidR="00E25E69">
        <w:rPr>
          <w:rFonts w:ascii="Times New Roman" w:hAnsi="Times New Roman"/>
          <w:sz w:val="24"/>
          <w:szCs w:val="24"/>
          <w:u w:val="single"/>
          <w:lang w:val="fr-FR"/>
        </w:rPr>
        <w:t>1</w:t>
      </w:r>
    </w:p>
    <w:p w:rsidR="00FC6A70" w:rsidRPr="0077492E" w:rsidRDefault="00FC6A70" w:rsidP="0077492E">
      <w:pPr>
        <w:rPr>
          <w:lang w:val="fr-FR"/>
        </w:rPr>
      </w:pPr>
    </w:p>
    <w:tbl>
      <w:tblPr>
        <w:tblW w:w="10440" w:type="dxa"/>
        <w:tblInd w:w="-72" w:type="dxa"/>
        <w:tblLayout w:type="fixed"/>
        <w:tblLook w:val="01E0"/>
      </w:tblPr>
      <w:tblGrid>
        <w:gridCol w:w="5040"/>
        <w:gridCol w:w="360"/>
        <w:gridCol w:w="5040"/>
      </w:tblGrid>
      <w:tr w:rsidR="00BC1C70" w:rsidRPr="00E66A99">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BC1C70" w:rsidRPr="0077492E" w:rsidRDefault="00AA16B8" w:rsidP="006775B2">
            <w:pPr>
              <w:pStyle w:val="Heading2"/>
              <w:jc w:val="center"/>
              <w:rPr>
                <w:sz w:val="22"/>
                <w:szCs w:val="22"/>
                <w:lang w:val="fr-FR" w:eastAsia="en-US"/>
              </w:rPr>
            </w:pPr>
            <w:r>
              <w:rPr>
                <w:rFonts w:ascii="Times New Roman" w:hAnsi="Times New Roman"/>
                <w:bCs w:val="0"/>
                <w:i w:val="0"/>
                <w:iCs w:val="0"/>
                <w:sz w:val="22"/>
                <w:szCs w:val="22"/>
                <w:lang w:val="fr-FR" w:eastAsia="en-US"/>
              </w:rPr>
              <w:t>Titre</w:t>
            </w:r>
            <w:r w:rsidRPr="00144727">
              <w:rPr>
                <w:rFonts w:ascii="Times New Roman" w:hAnsi="Times New Roman"/>
                <w:bCs w:val="0"/>
                <w:i w:val="0"/>
                <w:iCs w:val="0"/>
                <w:sz w:val="22"/>
                <w:szCs w:val="22"/>
                <w:lang w:val="fr-FR" w:eastAsia="en-US"/>
              </w:rPr>
              <w:t xml:space="preserve"> </w:t>
            </w:r>
            <w:r w:rsidR="00BC1C70" w:rsidRPr="00144727">
              <w:rPr>
                <w:rFonts w:ascii="Times New Roman" w:hAnsi="Times New Roman"/>
                <w:bCs w:val="0"/>
                <w:i w:val="0"/>
                <w:iCs w:val="0"/>
                <w:sz w:val="22"/>
                <w:szCs w:val="22"/>
                <w:lang w:val="fr-FR" w:eastAsia="en-US"/>
              </w:rPr>
              <w:t xml:space="preserve">du Programme &amp; </w:t>
            </w:r>
            <w:r w:rsidR="0077492E">
              <w:rPr>
                <w:rFonts w:ascii="Times New Roman" w:hAnsi="Times New Roman"/>
                <w:bCs w:val="0"/>
                <w:i w:val="0"/>
                <w:iCs w:val="0"/>
                <w:sz w:val="22"/>
                <w:szCs w:val="22"/>
                <w:lang w:val="fr-FR" w:eastAsia="en-US"/>
              </w:rPr>
              <w:t>R</w:t>
            </w:r>
            <w:r w:rsidR="00BC1C70" w:rsidRPr="00144727">
              <w:rPr>
                <w:rFonts w:ascii="Times New Roman" w:hAnsi="Times New Roman"/>
                <w:bCs w:val="0"/>
                <w:i w:val="0"/>
                <w:iCs w:val="0"/>
                <w:sz w:val="22"/>
                <w:szCs w:val="22"/>
                <w:lang w:val="fr-FR" w:eastAsia="en-US"/>
              </w:rPr>
              <w:t>éférence</w:t>
            </w:r>
            <w:r>
              <w:rPr>
                <w:rFonts w:ascii="Times New Roman" w:hAnsi="Times New Roman"/>
                <w:bCs w:val="0"/>
                <w:i w:val="0"/>
                <w:iCs w:val="0"/>
                <w:sz w:val="22"/>
                <w:szCs w:val="22"/>
                <w:lang w:val="fr-FR" w:eastAsia="en-US"/>
              </w:rPr>
              <w:t xml:space="preserve"> du projet</w:t>
            </w:r>
          </w:p>
        </w:tc>
        <w:tc>
          <w:tcPr>
            <w:tcW w:w="360" w:type="dxa"/>
            <w:vMerge w:val="restart"/>
            <w:tcBorders>
              <w:left w:val="single" w:sz="4" w:space="0" w:color="auto"/>
              <w:right w:val="single" w:sz="4" w:space="0" w:color="auto"/>
            </w:tcBorders>
            <w:vAlign w:val="center"/>
          </w:tcPr>
          <w:p w:rsidR="00BC1C70" w:rsidRPr="0077492E" w:rsidRDefault="00BC1C70" w:rsidP="00EC4C4E">
            <w:pPr>
              <w:jc w:val="center"/>
              <w:rPr>
                <w:sz w:val="22"/>
                <w:szCs w:val="22"/>
                <w:lang w:val="fr-FR"/>
              </w:rPr>
            </w:pPr>
          </w:p>
        </w:tc>
        <w:tc>
          <w:tcPr>
            <w:tcW w:w="5040" w:type="dxa"/>
            <w:tcBorders>
              <w:top w:val="single" w:sz="4" w:space="0" w:color="auto"/>
              <w:left w:val="single" w:sz="4" w:space="0" w:color="auto"/>
              <w:right w:val="single" w:sz="4" w:space="0" w:color="auto"/>
            </w:tcBorders>
            <w:shd w:val="clear" w:color="auto" w:fill="F3F3F3"/>
            <w:vAlign w:val="center"/>
          </w:tcPr>
          <w:p w:rsidR="00BC1C70" w:rsidRPr="00F36D77" w:rsidRDefault="00BC1C70" w:rsidP="009E33F4">
            <w:pPr>
              <w:pStyle w:val="Heading2"/>
              <w:jc w:val="center"/>
              <w:rPr>
                <w:sz w:val="22"/>
                <w:szCs w:val="22"/>
                <w:lang w:val="fr-FR" w:eastAsia="en-US"/>
              </w:rPr>
            </w:pPr>
            <w:r w:rsidRPr="00144727">
              <w:rPr>
                <w:rFonts w:ascii="Times New Roman" w:hAnsi="Times New Roman"/>
                <w:bCs w:val="0"/>
                <w:i w:val="0"/>
                <w:iCs w:val="0"/>
                <w:sz w:val="22"/>
                <w:szCs w:val="22"/>
                <w:lang w:val="fr-FR" w:eastAsia="en-US"/>
              </w:rPr>
              <w:t xml:space="preserve">Pays, Localité, </w:t>
            </w:r>
            <w:r>
              <w:rPr>
                <w:rFonts w:ascii="Times New Roman" w:hAnsi="Times New Roman"/>
                <w:bCs w:val="0"/>
                <w:i w:val="0"/>
                <w:iCs w:val="0"/>
                <w:sz w:val="22"/>
                <w:szCs w:val="22"/>
                <w:lang w:val="fr-FR" w:eastAsia="en-US"/>
              </w:rPr>
              <w:t>Secteur/Thème(s) du P</w:t>
            </w:r>
            <w:r w:rsidRPr="00144727">
              <w:rPr>
                <w:rFonts w:ascii="Times New Roman" w:hAnsi="Times New Roman"/>
                <w:bCs w:val="0"/>
                <w:i w:val="0"/>
                <w:iCs w:val="0"/>
                <w:sz w:val="22"/>
                <w:szCs w:val="22"/>
                <w:lang w:val="fr-FR" w:eastAsia="en-US"/>
              </w:rPr>
              <w:t>rogramme</w:t>
            </w:r>
            <w:r w:rsidRPr="00144727">
              <w:rPr>
                <w:rStyle w:val="FootnoteReference"/>
                <w:rFonts w:ascii="Times New Roman" w:hAnsi="Times New Roman"/>
                <w:bCs w:val="0"/>
                <w:i w:val="0"/>
                <w:iCs w:val="0"/>
                <w:sz w:val="22"/>
                <w:szCs w:val="22"/>
                <w:lang w:val="fr-FR" w:eastAsia="en-US"/>
              </w:rPr>
              <w:footnoteReference w:id="3"/>
            </w:r>
          </w:p>
        </w:tc>
      </w:tr>
      <w:tr w:rsidR="00BC1C70" w:rsidRPr="00E66A99">
        <w:trPr>
          <w:trHeight w:val="270"/>
        </w:trPr>
        <w:tc>
          <w:tcPr>
            <w:tcW w:w="5040" w:type="dxa"/>
            <w:vMerge w:val="restart"/>
            <w:tcBorders>
              <w:left w:val="single" w:sz="4" w:space="0" w:color="auto"/>
              <w:right w:val="single" w:sz="4" w:space="0" w:color="auto"/>
            </w:tcBorders>
          </w:tcPr>
          <w:p w:rsidR="00EC46E3" w:rsidRPr="00EC46E3" w:rsidRDefault="00AA16B8" w:rsidP="00EC46E3">
            <w:pPr>
              <w:pStyle w:val="ListParagraph"/>
              <w:numPr>
                <w:ilvl w:val="0"/>
                <w:numId w:val="26"/>
              </w:numPr>
              <w:jc w:val="center"/>
              <w:rPr>
                <w:sz w:val="22"/>
                <w:lang w:val="fr-FR"/>
              </w:rPr>
            </w:pPr>
            <w:r w:rsidRPr="00EC46E3">
              <w:rPr>
                <w:sz w:val="22"/>
                <w:szCs w:val="22"/>
                <w:lang w:val="fr-FR"/>
              </w:rPr>
              <w:t xml:space="preserve">Titre </w:t>
            </w:r>
            <w:r w:rsidR="00BC1C70" w:rsidRPr="00EC46E3">
              <w:rPr>
                <w:sz w:val="22"/>
                <w:szCs w:val="22"/>
                <w:lang w:val="fr-FR"/>
              </w:rPr>
              <w:t>du Programme:</w:t>
            </w:r>
            <w:r w:rsidR="00EC46E3" w:rsidRPr="00EC46E3">
              <w:rPr>
                <w:sz w:val="22"/>
                <w:szCs w:val="22"/>
                <w:lang w:val="fr-FR"/>
              </w:rPr>
              <w:t xml:space="preserve"> </w:t>
            </w:r>
            <w:r w:rsidR="00EC46E3" w:rsidRPr="00EC46E3">
              <w:rPr>
                <w:sz w:val="22"/>
                <w:lang w:val="fr-FR"/>
              </w:rPr>
              <w:t>Projet de Développement Durable du Sud-Ouest d’Haïti (Projet DD SO)</w:t>
            </w:r>
          </w:p>
          <w:p w:rsidR="00BC1C70" w:rsidRPr="00EC46E3" w:rsidRDefault="00EC46E3" w:rsidP="00EC46E3">
            <w:pPr>
              <w:rPr>
                <w:sz w:val="22"/>
                <w:szCs w:val="22"/>
                <w:lang w:val="fr-FR"/>
              </w:rPr>
            </w:pPr>
            <w:r w:rsidRPr="00EC46E3">
              <w:rPr>
                <w:rFonts w:cs="Arial"/>
                <w:bCs/>
                <w:sz w:val="22"/>
                <w:lang w:val="fr-FR"/>
              </w:rPr>
              <w:t>(</w:t>
            </w:r>
            <w:hyperlink r:id="rId9" w:history="1">
              <w:r w:rsidRPr="000B25A2">
                <w:rPr>
                  <w:rStyle w:val="Hyperlink"/>
                  <w:rFonts w:cs="Arial"/>
                  <w:bCs/>
                  <w:sz w:val="22"/>
                  <w:lang w:val="fr-FR"/>
                </w:rPr>
                <w:t>http://mdtf.undp.org/factsheet/project/000</w:t>
              </w:r>
              <w:r w:rsidRPr="000B25A2">
                <w:rPr>
                  <w:rStyle w:val="Hyperlink"/>
                  <w:rFonts w:cs="Arial"/>
                  <w:bCs/>
                  <w:sz w:val="22"/>
                  <w:lang w:val="fr-FR"/>
                </w:rPr>
                <w:t>7</w:t>
              </w:r>
              <w:r w:rsidRPr="000B25A2">
                <w:rPr>
                  <w:rStyle w:val="Hyperlink"/>
                  <w:rFonts w:cs="Arial"/>
                  <w:bCs/>
                  <w:sz w:val="22"/>
                  <w:lang w:val="fr-FR"/>
                </w:rPr>
                <w:t>7735</w:t>
              </w:r>
            </w:hyperlink>
            <w:r>
              <w:rPr>
                <w:rFonts w:cs="Arial"/>
                <w:bCs/>
                <w:sz w:val="22"/>
                <w:lang w:val="fr-FR"/>
              </w:rPr>
              <w:t xml:space="preserve"> </w:t>
            </w:r>
            <w:r w:rsidRPr="00EC46E3">
              <w:rPr>
                <w:rFonts w:cs="Arial"/>
                <w:bCs/>
                <w:sz w:val="22"/>
                <w:lang w:val="fr-FR"/>
              </w:rPr>
              <w:t>)</w:t>
            </w:r>
          </w:p>
          <w:p w:rsidR="00BC1C70" w:rsidRPr="00144727" w:rsidRDefault="00BC1C70" w:rsidP="00CD7A51">
            <w:pPr>
              <w:numPr>
                <w:ilvl w:val="0"/>
                <w:numId w:val="8"/>
              </w:numPr>
              <w:rPr>
                <w:sz w:val="22"/>
                <w:szCs w:val="22"/>
                <w:lang w:val="fr-FR"/>
              </w:rPr>
            </w:pPr>
            <w:r>
              <w:rPr>
                <w:sz w:val="22"/>
                <w:szCs w:val="22"/>
                <w:lang w:val="fr-FR"/>
              </w:rPr>
              <w:t>Réf. du P</w:t>
            </w:r>
            <w:r w:rsidRPr="00144727">
              <w:rPr>
                <w:sz w:val="22"/>
                <w:szCs w:val="22"/>
                <w:lang w:val="fr-FR"/>
              </w:rPr>
              <w:t>rogramme</w:t>
            </w:r>
            <w:r w:rsidR="00046EA7">
              <w:rPr>
                <w:sz w:val="22"/>
                <w:szCs w:val="22"/>
                <w:lang w:val="fr-FR"/>
              </w:rPr>
              <w:t xml:space="preserve"> (</w:t>
            </w:r>
            <w:r w:rsidR="00046EA7">
              <w:rPr>
                <w:b/>
                <w:i/>
                <w:szCs w:val="22"/>
                <w:lang w:val="fr-FR"/>
              </w:rPr>
              <w:t>le cas échéant)</w:t>
            </w:r>
            <w:r w:rsidRPr="00144727">
              <w:rPr>
                <w:sz w:val="22"/>
                <w:szCs w:val="22"/>
                <w:lang w:val="fr-FR"/>
              </w:rPr>
              <w:t>:</w:t>
            </w:r>
            <w:r>
              <w:rPr>
                <w:sz w:val="22"/>
                <w:szCs w:val="22"/>
                <w:lang w:val="fr-FR"/>
              </w:rPr>
              <w:t xml:space="preserve"> </w:t>
            </w:r>
            <w:r w:rsidR="001F1403">
              <w:rPr>
                <w:sz w:val="20"/>
                <w:lang w:val="fr-FR"/>
              </w:rPr>
              <w:t xml:space="preserve">UNDG/HRF-3 /  </w:t>
            </w:r>
            <w:r w:rsidR="004D2C04" w:rsidRPr="00AE064B">
              <w:rPr>
                <w:rFonts w:cs="Arial"/>
                <w:sz w:val="20"/>
                <w:lang w:val="fr-FR"/>
              </w:rPr>
              <w:t>PCN/000182</w:t>
            </w:r>
          </w:p>
          <w:p w:rsidR="00EC46E3" w:rsidRPr="00EC46E3" w:rsidRDefault="00BC1C70" w:rsidP="00AA16B8">
            <w:pPr>
              <w:numPr>
                <w:ilvl w:val="0"/>
                <w:numId w:val="8"/>
              </w:numPr>
              <w:rPr>
                <w:i/>
                <w:sz w:val="22"/>
                <w:szCs w:val="22"/>
                <w:lang w:val="fr-FR"/>
              </w:rPr>
            </w:pPr>
            <w:r>
              <w:rPr>
                <w:sz w:val="22"/>
                <w:szCs w:val="22"/>
                <w:lang w:val="fr-FR"/>
              </w:rPr>
              <w:t>Numero de r</w:t>
            </w:r>
            <w:r w:rsidRPr="00144727">
              <w:rPr>
                <w:sz w:val="22"/>
                <w:szCs w:val="22"/>
                <w:lang w:val="fr-FR"/>
              </w:rPr>
              <w:t>éf</w:t>
            </w:r>
            <w:r>
              <w:rPr>
                <w:sz w:val="22"/>
                <w:szCs w:val="22"/>
                <w:lang w:val="fr-FR"/>
              </w:rPr>
              <w:t>erence du Pro</w:t>
            </w:r>
            <w:r w:rsidR="00AA16B8">
              <w:rPr>
                <w:sz w:val="22"/>
                <w:szCs w:val="22"/>
                <w:lang w:val="fr-FR"/>
              </w:rPr>
              <w:t>jet</w:t>
            </w:r>
            <w:r w:rsidRPr="00144727">
              <w:rPr>
                <w:sz w:val="22"/>
                <w:szCs w:val="22"/>
                <w:lang w:val="fr-FR"/>
              </w:rPr>
              <w:t>/M</w:t>
            </w:r>
            <w:r>
              <w:rPr>
                <w:sz w:val="22"/>
                <w:szCs w:val="22"/>
                <w:lang w:val="fr-FR"/>
              </w:rPr>
              <w:t>PTF Office</w:t>
            </w:r>
            <w:r w:rsidRPr="00144727">
              <w:rPr>
                <w:sz w:val="22"/>
                <w:szCs w:val="22"/>
                <w:lang w:val="fr-FR"/>
              </w:rPr>
              <w:t>:</w:t>
            </w:r>
            <w:r>
              <w:rPr>
                <w:rStyle w:val="FootnoteReference"/>
                <w:sz w:val="22"/>
                <w:szCs w:val="22"/>
                <w:lang w:val="fr-FR"/>
              </w:rPr>
              <w:footnoteReference w:id="4"/>
            </w:r>
          </w:p>
          <w:p w:rsidR="00BC1C70" w:rsidRPr="0077492E" w:rsidRDefault="00E66A99" w:rsidP="00EC46E3">
            <w:pPr>
              <w:ind w:left="720"/>
              <w:rPr>
                <w:i/>
                <w:sz w:val="22"/>
                <w:szCs w:val="22"/>
                <w:lang w:val="fr-FR"/>
              </w:rPr>
            </w:pPr>
            <w:r>
              <w:rPr>
                <w:sz w:val="20"/>
                <w:lang w:val="fr-FR"/>
              </w:rPr>
              <w:t>77735</w:t>
            </w:r>
          </w:p>
        </w:tc>
        <w:tc>
          <w:tcPr>
            <w:tcW w:w="360" w:type="dxa"/>
            <w:vMerge/>
            <w:tcBorders>
              <w:left w:val="single" w:sz="4" w:space="0" w:color="auto"/>
              <w:right w:val="single" w:sz="4" w:space="0" w:color="auto"/>
            </w:tcBorders>
          </w:tcPr>
          <w:p w:rsidR="00BC1C70" w:rsidRPr="0077492E" w:rsidRDefault="00BC1C70" w:rsidP="00EC4C4E">
            <w:pPr>
              <w:pStyle w:val="BodyText"/>
              <w:rPr>
                <w:sz w:val="22"/>
                <w:szCs w:val="22"/>
                <w:lang w:val="fr-FR" w:eastAsia="en-US"/>
              </w:rPr>
            </w:pPr>
          </w:p>
        </w:tc>
        <w:tc>
          <w:tcPr>
            <w:tcW w:w="5040" w:type="dxa"/>
            <w:tcBorders>
              <w:left w:val="single" w:sz="4" w:space="0" w:color="auto"/>
              <w:bottom w:val="single" w:sz="4" w:space="0" w:color="auto"/>
              <w:right w:val="single" w:sz="4" w:space="0" w:color="auto"/>
            </w:tcBorders>
          </w:tcPr>
          <w:p w:rsidR="00BC1C70" w:rsidRDefault="00BC1C70" w:rsidP="00EC4C4E">
            <w:pPr>
              <w:pStyle w:val="BodyText"/>
              <w:rPr>
                <w:i/>
                <w:sz w:val="22"/>
                <w:szCs w:val="22"/>
                <w:lang w:val="fr-FR" w:eastAsia="en-US"/>
              </w:rPr>
            </w:pPr>
            <w:r w:rsidRPr="00144727">
              <w:rPr>
                <w:i/>
                <w:sz w:val="22"/>
                <w:szCs w:val="22"/>
                <w:lang w:val="fr-FR" w:eastAsia="en-US"/>
              </w:rPr>
              <w:t>(le cas échéant)</w:t>
            </w:r>
          </w:p>
          <w:p w:rsidR="00BC1C70" w:rsidRDefault="00BC1C70" w:rsidP="00EC4C4E">
            <w:pPr>
              <w:pStyle w:val="BodyText"/>
              <w:rPr>
                <w:bCs/>
                <w:i/>
                <w:iCs/>
                <w:sz w:val="22"/>
                <w:szCs w:val="22"/>
                <w:lang w:val="fr-FR" w:eastAsia="en-US"/>
              </w:rPr>
            </w:pPr>
            <w:r>
              <w:rPr>
                <w:i/>
                <w:sz w:val="22"/>
                <w:szCs w:val="22"/>
                <w:lang w:val="fr-FR" w:eastAsia="en-US"/>
              </w:rPr>
              <w:t>Pays/Localit</w:t>
            </w:r>
            <w:r w:rsidRPr="00144727">
              <w:rPr>
                <w:bCs/>
                <w:i/>
                <w:iCs/>
                <w:sz w:val="22"/>
                <w:szCs w:val="22"/>
                <w:lang w:val="fr-FR" w:eastAsia="en-US"/>
              </w:rPr>
              <w:t>é</w:t>
            </w:r>
            <w:r>
              <w:rPr>
                <w:bCs/>
                <w:i/>
                <w:iCs/>
                <w:sz w:val="22"/>
                <w:szCs w:val="22"/>
                <w:lang w:val="fr-FR" w:eastAsia="en-US"/>
              </w:rPr>
              <w:t> :</w:t>
            </w:r>
            <w:r w:rsidR="00B72983">
              <w:rPr>
                <w:bCs/>
                <w:i/>
                <w:iCs/>
                <w:sz w:val="22"/>
                <w:szCs w:val="22"/>
                <w:lang w:val="fr-FR" w:eastAsia="en-US"/>
              </w:rPr>
              <w:t xml:space="preserve"> Haïti, Département du Sud</w:t>
            </w:r>
          </w:p>
          <w:p w:rsidR="00BC1C70" w:rsidRPr="00E66A99" w:rsidRDefault="00BC1C70" w:rsidP="00EC4C4E">
            <w:pPr>
              <w:pStyle w:val="BodyText"/>
              <w:rPr>
                <w:sz w:val="22"/>
                <w:szCs w:val="22"/>
                <w:lang w:val="fr-FR" w:eastAsia="en-US"/>
              </w:rPr>
            </w:pPr>
          </w:p>
        </w:tc>
      </w:tr>
      <w:tr w:rsidR="00BC1C70" w:rsidRPr="00E66A99">
        <w:trPr>
          <w:trHeight w:val="519"/>
        </w:trPr>
        <w:tc>
          <w:tcPr>
            <w:tcW w:w="5040" w:type="dxa"/>
            <w:vMerge/>
            <w:tcBorders>
              <w:left w:val="single" w:sz="4" w:space="0" w:color="auto"/>
              <w:bottom w:val="single" w:sz="4" w:space="0" w:color="auto"/>
              <w:right w:val="single" w:sz="4" w:space="0" w:color="auto"/>
            </w:tcBorders>
          </w:tcPr>
          <w:p w:rsidR="00BC1C70" w:rsidRPr="00144727" w:rsidRDefault="00BC1C70" w:rsidP="00CD7A51">
            <w:pPr>
              <w:numPr>
                <w:ilvl w:val="0"/>
                <w:numId w:val="8"/>
              </w:numPr>
              <w:rPr>
                <w:sz w:val="22"/>
                <w:szCs w:val="22"/>
                <w:lang w:val="fr-FR"/>
              </w:rPr>
            </w:pPr>
          </w:p>
        </w:tc>
        <w:tc>
          <w:tcPr>
            <w:tcW w:w="360" w:type="dxa"/>
            <w:vMerge/>
            <w:tcBorders>
              <w:left w:val="single" w:sz="4" w:space="0" w:color="auto"/>
              <w:right w:val="single" w:sz="4" w:space="0" w:color="auto"/>
            </w:tcBorders>
          </w:tcPr>
          <w:p w:rsidR="00BC1C70" w:rsidRPr="00E66A99" w:rsidRDefault="00BC1C70" w:rsidP="00EC4C4E">
            <w:pPr>
              <w:pStyle w:val="BodyText"/>
              <w:rPr>
                <w:sz w:val="22"/>
                <w:szCs w:val="22"/>
                <w:lang w:val="fr-FR" w:eastAsia="en-US"/>
              </w:rPr>
            </w:pPr>
          </w:p>
        </w:tc>
        <w:tc>
          <w:tcPr>
            <w:tcW w:w="5040" w:type="dxa"/>
            <w:tcBorders>
              <w:top w:val="single" w:sz="4" w:space="0" w:color="auto"/>
              <w:left w:val="single" w:sz="4" w:space="0" w:color="auto"/>
              <w:bottom w:val="single" w:sz="4" w:space="0" w:color="auto"/>
              <w:right w:val="single" w:sz="4" w:space="0" w:color="auto"/>
            </w:tcBorders>
          </w:tcPr>
          <w:p w:rsidR="00FC1DB7" w:rsidRDefault="00BC1C70" w:rsidP="00EC4C4E">
            <w:pPr>
              <w:pStyle w:val="BodyText"/>
              <w:rPr>
                <w:bCs/>
                <w:i/>
                <w:iCs/>
                <w:sz w:val="22"/>
                <w:szCs w:val="22"/>
                <w:lang w:val="fr-FR" w:eastAsia="en-US"/>
              </w:rPr>
            </w:pPr>
            <w:r>
              <w:rPr>
                <w:bCs/>
                <w:i/>
                <w:iCs/>
                <w:sz w:val="22"/>
                <w:szCs w:val="22"/>
                <w:lang w:val="fr-FR" w:eastAsia="en-US"/>
              </w:rPr>
              <w:t>Secteur/Thème(s) :</w:t>
            </w:r>
            <w:r w:rsidR="00B72983">
              <w:rPr>
                <w:bCs/>
                <w:i/>
                <w:iCs/>
                <w:sz w:val="22"/>
                <w:szCs w:val="22"/>
                <w:lang w:val="fr-FR" w:eastAsia="en-US"/>
              </w:rPr>
              <w:t xml:space="preserve"> </w:t>
            </w:r>
            <w:r w:rsidR="00FC1DB7">
              <w:rPr>
                <w:bCs/>
                <w:i/>
                <w:iCs/>
                <w:sz w:val="22"/>
                <w:szCs w:val="22"/>
                <w:lang w:val="fr-FR" w:eastAsia="en-US"/>
              </w:rPr>
              <w:t xml:space="preserve">Transversal </w:t>
            </w:r>
            <w:r w:rsidR="00616FA5">
              <w:rPr>
                <w:bCs/>
                <w:i/>
                <w:iCs/>
                <w:sz w:val="22"/>
                <w:szCs w:val="22"/>
                <w:lang w:val="fr-FR" w:eastAsia="en-US"/>
              </w:rPr>
              <w:t>(</w:t>
            </w:r>
            <w:r w:rsidR="00616FA5" w:rsidRPr="00616FA5">
              <w:rPr>
                <w:bCs/>
                <w:i/>
                <w:iCs/>
                <w:sz w:val="22"/>
                <w:szCs w:val="22"/>
                <w:lang w:val="fr-FR" w:eastAsia="en-US"/>
              </w:rPr>
              <w:t>Développement durable et soutien aux efforts de planification locaux)</w:t>
            </w:r>
          </w:p>
          <w:p w:rsidR="00FC1DB7" w:rsidRDefault="00FC1DB7" w:rsidP="00EC4C4E">
            <w:pPr>
              <w:pStyle w:val="BodyText"/>
              <w:rPr>
                <w:bCs/>
                <w:i/>
                <w:iCs/>
                <w:sz w:val="22"/>
                <w:szCs w:val="22"/>
                <w:lang w:val="fr-FR" w:eastAsia="en-US"/>
              </w:rPr>
            </w:pPr>
          </w:p>
          <w:p w:rsidR="00BC1C70" w:rsidRPr="00144727" w:rsidRDefault="00BC1C70" w:rsidP="00EC4C4E">
            <w:pPr>
              <w:pStyle w:val="BodyText"/>
              <w:rPr>
                <w:i/>
                <w:sz w:val="22"/>
                <w:szCs w:val="22"/>
                <w:lang w:val="fr-FR" w:eastAsia="en-US"/>
              </w:rPr>
            </w:pPr>
          </w:p>
        </w:tc>
      </w:tr>
    </w:tbl>
    <w:p w:rsidR="00CD7A51" w:rsidRPr="00E66A99" w:rsidRDefault="00CD7A51" w:rsidP="00CD7A51">
      <w:pPr>
        <w:jc w:val="center"/>
        <w:rPr>
          <w:b/>
          <w:bCs/>
          <w:caps/>
          <w:sz w:val="22"/>
          <w:szCs w:val="22"/>
          <w:lang w:val="fr-FR"/>
        </w:rPr>
      </w:pPr>
    </w:p>
    <w:tbl>
      <w:tblPr>
        <w:tblW w:w="10440" w:type="dxa"/>
        <w:tblInd w:w="-72" w:type="dxa"/>
        <w:tblLayout w:type="fixed"/>
        <w:tblLook w:val="01E0"/>
      </w:tblPr>
      <w:tblGrid>
        <w:gridCol w:w="5040"/>
        <w:gridCol w:w="360"/>
        <w:gridCol w:w="5040"/>
      </w:tblGrid>
      <w:tr w:rsidR="00CD7A51" w:rsidRPr="00E66A99">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CD7A51" w:rsidRPr="00144727" w:rsidRDefault="002C271A" w:rsidP="002C271A">
            <w:pPr>
              <w:pStyle w:val="H1"/>
              <w:jc w:val="center"/>
              <w:rPr>
                <w:rFonts w:cs="Times New Roman"/>
                <w:sz w:val="22"/>
                <w:szCs w:val="22"/>
              </w:rPr>
            </w:pPr>
            <w:r w:rsidRPr="00144727">
              <w:rPr>
                <w:rFonts w:cs="Times New Roman"/>
                <w:sz w:val="22"/>
                <w:szCs w:val="22"/>
              </w:rPr>
              <w:t>Organisations participantes</w:t>
            </w:r>
          </w:p>
        </w:tc>
        <w:tc>
          <w:tcPr>
            <w:tcW w:w="360" w:type="dxa"/>
            <w:vMerge w:val="restart"/>
            <w:tcBorders>
              <w:left w:val="single" w:sz="4" w:space="0" w:color="auto"/>
              <w:right w:val="single" w:sz="4" w:space="0" w:color="auto"/>
            </w:tcBorders>
            <w:vAlign w:val="center"/>
          </w:tcPr>
          <w:p w:rsidR="00CD7A51" w:rsidRPr="00144727" w:rsidRDefault="00CD7A51" w:rsidP="00EC4C4E">
            <w:pPr>
              <w:jc w:val="center"/>
              <w:rPr>
                <w:sz w:val="22"/>
                <w:szCs w:val="22"/>
              </w:rPr>
            </w:pPr>
          </w:p>
        </w:tc>
        <w:tc>
          <w:tcPr>
            <w:tcW w:w="5040" w:type="dxa"/>
            <w:tcBorders>
              <w:top w:val="single" w:sz="4" w:space="0" w:color="auto"/>
              <w:left w:val="single" w:sz="4" w:space="0" w:color="auto"/>
              <w:right w:val="single" w:sz="4" w:space="0" w:color="auto"/>
            </w:tcBorders>
            <w:shd w:val="clear" w:color="auto" w:fill="F3F3F3"/>
            <w:vAlign w:val="center"/>
          </w:tcPr>
          <w:p w:rsidR="00CD7A51" w:rsidRPr="00F36D77" w:rsidRDefault="002C271A" w:rsidP="006775B2">
            <w:pPr>
              <w:pStyle w:val="Heading2"/>
              <w:jc w:val="center"/>
              <w:rPr>
                <w:sz w:val="22"/>
                <w:szCs w:val="22"/>
                <w:lang w:val="fr-FR" w:eastAsia="en-US"/>
              </w:rPr>
            </w:pPr>
            <w:r w:rsidRPr="00144727">
              <w:rPr>
                <w:rFonts w:ascii="Times New Roman" w:hAnsi="Times New Roman"/>
                <w:bCs w:val="0"/>
                <w:i w:val="0"/>
                <w:iCs w:val="0"/>
                <w:sz w:val="22"/>
                <w:szCs w:val="22"/>
                <w:lang w:val="fr-FR" w:eastAsia="en-US"/>
              </w:rPr>
              <w:t xml:space="preserve">Partenaires de mise en </w:t>
            </w:r>
            <w:r w:rsidR="00C368B5" w:rsidRPr="00144727">
              <w:rPr>
                <w:rFonts w:ascii="Times New Roman" w:hAnsi="Times New Roman"/>
                <w:bCs w:val="0"/>
                <w:i w:val="0"/>
                <w:iCs w:val="0"/>
                <w:sz w:val="22"/>
                <w:szCs w:val="22"/>
                <w:lang w:val="fr-FR" w:eastAsia="en-US"/>
              </w:rPr>
              <w:t>œuvre</w:t>
            </w:r>
          </w:p>
        </w:tc>
      </w:tr>
      <w:tr w:rsidR="00CD7A51" w:rsidRPr="00E66A99">
        <w:trPr>
          <w:trHeight w:val="495"/>
        </w:trPr>
        <w:tc>
          <w:tcPr>
            <w:tcW w:w="5040" w:type="dxa"/>
            <w:tcBorders>
              <w:left w:val="single" w:sz="4" w:space="0" w:color="auto"/>
              <w:bottom w:val="single" w:sz="4" w:space="0" w:color="auto"/>
              <w:right w:val="single" w:sz="4" w:space="0" w:color="auto"/>
            </w:tcBorders>
          </w:tcPr>
          <w:p w:rsidR="00EC46E3" w:rsidRPr="00EC46E3" w:rsidRDefault="00EC46E3" w:rsidP="004A7199">
            <w:pPr>
              <w:numPr>
                <w:ilvl w:val="0"/>
                <w:numId w:val="8"/>
              </w:numPr>
              <w:rPr>
                <w:i/>
                <w:sz w:val="22"/>
                <w:szCs w:val="22"/>
                <w:lang w:val="fr-FR"/>
              </w:rPr>
            </w:pPr>
            <w:r w:rsidRPr="00EC46E3">
              <w:rPr>
                <w:rFonts w:cs="Arial"/>
                <w:b/>
                <w:sz w:val="22"/>
                <w:lang w:val="fr-FR"/>
              </w:rPr>
              <w:t>PNUE :</w:t>
            </w:r>
            <w:r w:rsidR="00033A4A">
              <w:rPr>
                <w:rFonts w:cs="Arial"/>
                <w:sz w:val="22"/>
                <w:lang w:val="fr-FR"/>
              </w:rPr>
              <w:t xml:space="preserve"> Gestion du Projet</w:t>
            </w:r>
            <w:r w:rsidRPr="00EC46E3">
              <w:rPr>
                <w:rFonts w:cs="Arial"/>
                <w:sz w:val="22"/>
                <w:lang w:val="fr-FR"/>
              </w:rPr>
              <w:t>, conceptualisation et coordina</w:t>
            </w:r>
            <w:r w:rsidR="00033A4A">
              <w:rPr>
                <w:rFonts w:cs="Arial"/>
                <w:sz w:val="22"/>
                <w:lang w:val="fr-FR"/>
              </w:rPr>
              <w:t>tion de la CSI initiative (</w:t>
            </w:r>
            <w:r w:rsidRPr="00EC46E3">
              <w:rPr>
                <w:rFonts w:cs="Arial"/>
                <w:sz w:val="22"/>
                <w:lang w:val="fr-FR"/>
              </w:rPr>
              <w:t>projet DD SO</w:t>
            </w:r>
            <w:r w:rsidR="00033A4A">
              <w:rPr>
                <w:rFonts w:cs="Arial"/>
                <w:sz w:val="22"/>
                <w:lang w:val="fr-FR"/>
              </w:rPr>
              <w:t>) et développement des secteurs de gestion des ressources naturelles, tourisme et énergie</w:t>
            </w:r>
            <w:r w:rsidRPr="00EC46E3">
              <w:rPr>
                <w:rFonts w:cs="Arial"/>
                <w:sz w:val="22"/>
                <w:lang w:val="fr-FR"/>
              </w:rPr>
              <w:t> </w:t>
            </w:r>
          </w:p>
          <w:p w:rsidR="00EC46E3" w:rsidRPr="00EC46E3" w:rsidRDefault="00EC46E3" w:rsidP="004A7199">
            <w:pPr>
              <w:numPr>
                <w:ilvl w:val="0"/>
                <w:numId w:val="8"/>
              </w:numPr>
              <w:rPr>
                <w:i/>
                <w:sz w:val="22"/>
                <w:szCs w:val="22"/>
                <w:lang w:val="fr-FR"/>
              </w:rPr>
            </w:pPr>
            <w:r w:rsidRPr="00EC46E3">
              <w:rPr>
                <w:rFonts w:cs="Arial"/>
                <w:b/>
                <w:sz w:val="22"/>
                <w:lang w:val="fr-FR"/>
              </w:rPr>
              <w:t>UNOPS :</w:t>
            </w:r>
            <w:r w:rsidR="00033A4A">
              <w:rPr>
                <w:rFonts w:cs="Arial"/>
                <w:sz w:val="22"/>
                <w:lang w:val="fr-FR"/>
              </w:rPr>
              <w:t xml:space="preserve"> Logistique, Communication et Infrastructure</w:t>
            </w:r>
          </w:p>
          <w:p w:rsidR="00CD7A51" w:rsidRPr="00F36D77" w:rsidRDefault="00CD7A51" w:rsidP="00B72983">
            <w:pPr>
              <w:ind w:left="720"/>
              <w:rPr>
                <w:i/>
                <w:sz w:val="22"/>
                <w:szCs w:val="22"/>
                <w:lang w:val="fr-FR"/>
              </w:rPr>
            </w:pPr>
          </w:p>
        </w:tc>
        <w:tc>
          <w:tcPr>
            <w:tcW w:w="360" w:type="dxa"/>
            <w:vMerge/>
            <w:tcBorders>
              <w:left w:val="single" w:sz="4" w:space="0" w:color="auto"/>
              <w:right w:val="single" w:sz="4" w:space="0" w:color="auto"/>
            </w:tcBorders>
          </w:tcPr>
          <w:p w:rsidR="00CD7A51" w:rsidRPr="00F36D77" w:rsidRDefault="00CD7A51" w:rsidP="00EC4C4E">
            <w:pPr>
              <w:pStyle w:val="BodyText"/>
              <w:rPr>
                <w:sz w:val="22"/>
                <w:szCs w:val="22"/>
                <w:lang w:val="fr-FR" w:eastAsia="en-US"/>
              </w:rPr>
            </w:pPr>
          </w:p>
        </w:tc>
        <w:tc>
          <w:tcPr>
            <w:tcW w:w="5040" w:type="dxa"/>
            <w:tcBorders>
              <w:left w:val="single" w:sz="4" w:space="0" w:color="auto"/>
              <w:bottom w:val="single" w:sz="4" w:space="0" w:color="auto"/>
              <w:right w:val="single" w:sz="4" w:space="0" w:color="auto"/>
            </w:tcBorders>
          </w:tcPr>
          <w:p w:rsidR="00B72983" w:rsidRPr="00B72983" w:rsidRDefault="00B72983" w:rsidP="00B72983">
            <w:pPr>
              <w:numPr>
                <w:ilvl w:val="0"/>
                <w:numId w:val="8"/>
              </w:numPr>
              <w:rPr>
                <w:i/>
                <w:sz w:val="22"/>
                <w:szCs w:val="22"/>
                <w:lang w:val="fr-FR"/>
              </w:rPr>
            </w:pPr>
            <w:bookmarkStart w:id="0" w:name="_Toc249364478"/>
            <w:r>
              <w:rPr>
                <w:sz w:val="22"/>
                <w:szCs w:val="22"/>
                <w:lang w:val="fr-FR"/>
              </w:rPr>
              <w:t xml:space="preserve">Sous l’égide du </w:t>
            </w:r>
            <w:r w:rsidRPr="00B72983">
              <w:rPr>
                <w:b/>
                <w:sz w:val="22"/>
                <w:szCs w:val="22"/>
                <w:lang w:val="fr-FR"/>
              </w:rPr>
              <w:t>MPCE</w:t>
            </w:r>
            <w:r>
              <w:rPr>
                <w:sz w:val="22"/>
                <w:szCs w:val="22"/>
                <w:lang w:val="fr-FR"/>
              </w:rPr>
              <w:t xml:space="preserve">, et en collaboration étroite avec les Ministères suivants pour les secteurs correspondants: </w:t>
            </w:r>
            <w:r w:rsidRPr="00B72983">
              <w:rPr>
                <w:b/>
                <w:sz w:val="22"/>
                <w:szCs w:val="22"/>
                <w:lang w:val="fr-FR"/>
              </w:rPr>
              <w:t>M</w:t>
            </w:r>
            <w:r w:rsidR="001F1403">
              <w:rPr>
                <w:b/>
                <w:sz w:val="22"/>
                <w:szCs w:val="22"/>
                <w:lang w:val="fr-FR"/>
              </w:rPr>
              <w:t>DE</w:t>
            </w:r>
            <w:r w:rsidRPr="00B72983">
              <w:rPr>
                <w:b/>
                <w:sz w:val="22"/>
                <w:szCs w:val="22"/>
                <w:lang w:val="fr-FR"/>
              </w:rPr>
              <w:t xml:space="preserve">, MARNDR, </w:t>
            </w:r>
            <w:r w:rsidRPr="00616FA5">
              <w:rPr>
                <w:b/>
                <w:sz w:val="22"/>
                <w:szCs w:val="22"/>
                <w:lang w:val="fr-FR"/>
              </w:rPr>
              <w:t>MdT</w:t>
            </w:r>
            <w:r w:rsidR="00D74E10" w:rsidRPr="00616FA5">
              <w:rPr>
                <w:rStyle w:val="FootnoteReference"/>
                <w:b/>
                <w:sz w:val="22"/>
                <w:szCs w:val="22"/>
                <w:lang w:val="fr-FR"/>
              </w:rPr>
              <w:footnoteReference w:id="5"/>
            </w:r>
            <w:r w:rsidRPr="00616FA5">
              <w:rPr>
                <w:b/>
                <w:sz w:val="22"/>
                <w:szCs w:val="22"/>
                <w:lang w:val="fr-FR"/>
              </w:rPr>
              <w:t>,</w:t>
            </w:r>
            <w:r w:rsidRPr="00B72983">
              <w:rPr>
                <w:b/>
                <w:sz w:val="22"/>
                <w:szCs w:val="22"/>
                <w:lang w:val="fr-FR"/>
              </w:rPr>
              <w:t xml:space="preserve"> MTPTC, M</w:t>
            </w:r>
            <w:r w:rsidR="001F1403">
              <w:rPr>
                <w:b/>
                <w:sz w:val="22"/>
                <w:szCs w:val="22"/>
                <w:lang w:val="fr-FR"/>
              </w:rPr>
              <w:t>ENFP</w:t>
            </w:r>
            <w:r w:rsidRPr="00B72983">
              <w:rPr>
                <w:b/>
                <w:sz w:val="22"/>
                <w:szCs w:val="22"/>
                <w:lang w:val="fr-FR"/>
              </w:rPr>
              <w:t>, MSPP</w:t>
            </w:r>
          </w:p>
          <w:p w:rsidR="00B72983" w:rsidRPr="00E66A99" w:rsidRDefault="00B72983" w:rsidP="00B72983">
            <w:pPr>
              <w:numPr>
                <w:ilvl w:val="0"/>
                <w:numId w:val="8"/>
              </w:numPr>
              <w:rPr>
                <w:i/>
                <w:sz w:val="22"/>
                <w:szCs w:val="22"/>
              </w:rPr>
            </w:pPr>
            <w:r w:rsidRPr="00E66A99">
              <w:rPr>
                <w:rFonts w:cs="Arial"/>
                <w:b/>
                <w:sz w:val="22"/>
              </w:rPr>
              <w:t xml:space="preserve">The Nature Conservancy, Columbia University : </w:t>
            </w:r>
            <w:r w:rsidR="00777A8C">
              <w:rPr>
                <w:rFonts w:cs="Arial"/>
                <w:sz w:val="22"/>
              </w:rPr>
              <w:t xml:space="preserve"> Appui</w:t>
            </w:r>
            <w:r w:rsidRPr="00E66A99">
              <w:rPr>
                <w:rFonts w:cs="Arial"/>
                <w:sz w:val="22"/>
              </w:rPr>
              <w:t xml:space="preserve"> technique</w:t>
            </w:r>
          </w:p>
          <w:p w:rsidR="00CD7A51" w:rsidRPr="00F36D77" w:rsidRDefault="00B72983" w:rsidP="00B72983">
            <w:pPr>
              <w:pStyle w:val="BodyText"/>
              <w:widowControl/>
              <w:numPr>
                <w:ilvl w:val="0"/>
                <w:numId w:val="11"/>
              </w:numPr>
              <w:spacing w:before="60" w:after="60"/>
              <w:ind w:left="376"/>
              <w:jc w:val="left"/>
              <w:rPr>
                <w:bCs/>
                <w:iCs/>
                <w:color w:val="000000"/>
                <w:sz w:val="22"/>
                <w:szCs w:val="22"/>
                <w:lang w:val="fr-FR" w:eastAsia="en-US"/>
              </w:rPr>
            </w:pPr>
            <w:r w:rsidRPr="00EC46E3">
              <w:rPr>
                <w:rFonts w:cs="Arial"/>
                <w:b/>
                <w:sz w:val="22"/>
                <w:lang w:val="fr-FR" w:eastAsia="en-US"/>
              </w:rPr>
              <w:t>Catholic Relief Services, Organisation pour la Réhabilitation de l’Environnement, Earthspark</w:t>
            </w:r>
            <w:r w:rsidRPr="00EC46E3">
              <w:rPr>
                <w:rFonts w:cs="Arial"/>
                <w:sz w:val="22"/>
                <w:lang w:val="fr-FR" w:eastAsia="en-US"/>
              </w:rPr>
              <w:t xml:space="preserve"> </w:t>
            </w:r>
            <w:r w:rsidRPr="00EC46E3">
              <w:rPr>
                <w:rFonts w:cs="Arial"/>
                <w:b/>
                <w:sz w:val="22"/>
                <w:lang w:val="fr-FR" w:eastAsia="en-US"/>
              </w:rPr>
              <w:t>and 20+ CBOs</w:t>
            </w:r>
            <w:r w:rsidR="00777A8C">
              <w:rPr>
                <w:rFonts w:cs="Arial"/>
                <w:b/>
                <w:sz w:val="22"/>
                <w:lang w:val="fr-FR" w:eastAsia="en-US"/>
              </w:rPr>
              <w:t xml:space="preserve"> : </w:t>
            </w:r>
            <w:r w:rsidRPr="00EC46E3">
              <w:rPr>
                <w:rFonts w:cs="Arial"/>
                <w:sz w:val="22"/>
                <w:lang w:val="fr-FR" w:eastAsia="en-US"/>
              </w:rPr>
              <w:t xml:space="preserve">mise en </w:t>
            </w:r>
            <w:bookmarkEnd w:id="0"/>
            <w:r w:rsidR="00777A8C" w:rsidRPr="00EC46E3">
              <w:rPr>
                <w:rFonts w:cs="Arial"/>
                <w:sz w:val="22"/>
                <w:lang w:val="fr-FR" w:eastAsia="en-US"/>
              </w:rPr>
              <w:t>œuvre</w:t>
            </w:r>
          </w:p>
        </w:tc>
      </w:tr>
    </w:tbl>
    <w:p w:rsidR="00D53C27" w:rsidRPr="00F36D77" w:rsidRDefault="00D53C27" w:rsidP="00D53C27">
      <w:pPr>
        <w:jc w:val="center"/>
        <w:rPr>
          <w:b/>
          <w:bCs/>
          <w:caps/>
          <w:lang w:val="fr-FR"/>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360"/>
        <w:gridCol w:w="5040"/>
      </w:tblGrid>
      <w:tr w:rsidR="00D53C27" w:rsidRPr="00F75023">
        <w:trPr>
          <w:trHeight w:val="440"/>
        </w:trPr>
        <w:tc>
          <w:tcPr>
            <w:tcW w:w="5040" w:type="dxa"/>
            <w:tcBorders>
              <w:top w:val="single" w:sz="4" w:space="0" w:color="auto"/>
              <w:left w:val="single" w:sz="4" w:space="0" w:color="auto"/>
              <w:bottom w:val="nil"/>
              <w:right w:val="single" w:sz="4" w:space="0" w:color="auto"/>
            </w:tcBorders>
            <w:shd w:val="clear" w:color="auto" w:fill="F2F2F2"/>
            <w:vAlign w:val="center"/>
          </w:tcPr>
          <w:p w:rsidR="00D53C27" w:rsidRPr="00F36D77" w:rsidRDefault="00D53C27" w:rsidP="00B33ED5">
            <w:pPr>
              <w:pStyle w:val="Heading2"/>
              <w:ind w:right="839"/>
              <w:jc w:val="center"/>
              <w:rPr>
                <w:sz w:val="22"/>
                <w:szCs w:val="22"/>
                <w:lang w:val="fr-FR" w:eastAsia="en-US"/>
              </w:rPr>
            </w:pPr>
            <w:r w:rsidRPr="0009490C">
              <w:rPr>
                <w:rFonts w:ascii="Times New Roman" w:hAnsi="Times New Roman"/>
                <w:bCs w:val="0"/>
                <w:i w:val="0"/>
                <w:iCs w:val="0"/>
                <w:sz w:val="22"/>
                <w:szCs w:val="22"/>
                <w:lang w:val="fr-FR" w:eastAsia="en-US"/>
              </w:rPr>
              <w:t>Budget</w:t>
            </w:r>
            <w:r w:rsidR="006775B2">
              <w:rPr>
                <w:rFonts w:ascii="Times New Roman" w:hAnsi="Times New Roman"/>
                <w:bCs w:val="0"/>
                <w:i w:val="0"/>
                <w:iCs w:val="0"/>
                <w:sz w:val="22"/>
                <w:szCs w:val="22"/>
                <w:lang w:val="fr-FR" w:eastAsia="en-US"/>
              </w:rPr>
              <w:t xml:space="preserve"> </w:t>
            </w:r>
            <w:r w:rsidRPr="00144727">
              <w:rPr>
                <w:rFonts w:ascii="Times New Roman" w:hAnsi="Times New Roman"/>
                <w:bCs w:val="0"/>
                <w:i w:val="0"/>
                <w:iCs w:val="0"/>
                <w:sz w:val="22"/>
                <w:szCs w:val="22"/>
                <w:lang w:val="fr-FR" w:eastAsia="en-US"/>
              </w:rPr>
              <w:t>du Programme (US$)</w:t>
            </w:r>
          </w:p>
        </w:tc>
        <w:tc>
          <w:tcPr>
            <w:tcW w:w="360" w:type="dxa"/>
            <w:tcBorders>
              <w:top w:val="nil"/>
              <w:left w:val="single" w:sz="4" w:space="0" w:color="auto"/>
              <w:bottom w:val="nil"/>
              <w:right w:val="single" w:sz="4" w:space="0" w:color="auto"/>
            </w:tcBorders>
            <w:shd w:val="clear" w:color="auto" w:fill="auto"/>
            <w:vAlign w:val="center"/>
          </w:tcPr>
          <w:p w:rsidR="00D53C27" w:rsidRPr="00F36D77" w:rsidRDefault="00D53C27" w:rsidP="00EC4C4E">
            <w:pPr>
              <w:pStyle w:val="H1"/>
              <w:jc w:val="center"/>
              <w:rPr>
                <w:rFonts w:cs="Times New Roman"/>
                <w:sz w:val="22"/>
                <w:szCs w:val="22"/>
                <w:lang w:val="fr-FR"/>
              </w:rPr>
            </w:pPr>
          </w:p>
        </w:tc>
        <w:tc>
          <w:tcPr>
            <w:tcW w:w="5040" w:type="dxa"/>
            <w:tcBorders>
              <w:top w:val="single" w:sz="4" w:space="0" w:color="auto"/>
              <w:left w:val="single" w:sz="4" w:space="0" w:color="auto"/>
              <w:bottom w:val="nil"/>
              <w:right w:val="single" w:sz="4" w:space="0" w:color="auto"/>
            </w:tcBorders>
            <w:shd w:val="clear" w:color="auto" w:fill="F2F2F2"/>
            <w:vAlign w:val="center"/>
          </w:tcPr>
          <w:p w:rsidR="00D53C27" w:rsidRPr="00953143" w:rsidRDefault="00B33ED5" w:rsidP="00D53C27">
            <w:pPr>
              <w:pStyle w:val="Heading2"/>
              <w:ind w:right="839"/>
              <w:jc w:val="right"/>
              <w:rPr>
                <w:sz w:val="22"/>
                <w:szCs w:val="22"/>
                <w:lang w:val="en-US" w:eastAsia="en-US"/>
              </w:rPr>
            </w:pPr>
            <w:r>
              <w:rPr>
                <w:rFonts w:ascii="Times New Roman" w:hAnsi="Times New Roman"/>
                <w:bCs w:val="0"/>
                <w:i w:val="0"/>
                <w:iCs w:val="0"/>
                <w:sz w:val="22"/>
                <w:szCs w:val="22"/>
                <w:lang w:val="fr-FR" w:eastAsia="en-US"/>
              </w:rPr>
              <w:t>Durée du P</w:t>
            </w:r>
            <w:r w:rsidR="00D53C27" w:rsidRPr="00144727">
              <w:rPr>
                <w:rFonts w:ascii="Times New Roman" w:hAnsi="Times New Roman"/>
                <w:bCs w:val="0"/>
                <w:i w:val="0"/>
                <w:iCs w:val="0"/>
                <w:sz w:val="22"/>
                <w:szCs w:val="22"/>
                <w:lang w:val="fr-FR" w:eastAsia="en-US"/>
              </w:rPr>
              <w:t>rogramme (mois)</w:t>
            </w:r>
          </w:p>
        </w:tc>
      </w:tr>
      <w:tr w:rsidR="00B00F77" w:rsidRPr="00E66A99">
        <w:trPr>
          <w:trHeight w:val="972"/>
        </w:trPr>
        <w:tc>
          <w:tcPr>
            <w:tcW w:w="5040" w:type="dxa"/>
            <w:vMerge w:val="restart"/>
            <w:tcBorders>
              <w:top w:val="nil"/>
              <w:left w:val="single" w:sz="4" w:space="0" w:color="auto"/>
              <w:right w:val="single" w:sz="4" w:space="0" w:color="auto"/>
            </w:tcBorders>
            <w:shd w:val="clear" w:color="auto" w:fill="auto"/>
            <w:vAlign w:val="center"/>
          </w:tcPr>
          <w:p w:rsidR="00B00F77" w:rsidRDefault="00B00F77" w:rsidP="00D53C27">
            <w:pPr>
              <w:rPr>
                <w:b/>
                <w:sz w:val="22"/>
                <w:szCs w:val="22"/>
                <w:lang w:val="fr-FR"/>
              </w:rPr>
            </w:pPr>
          </w:p>
          <w:p w:rsidR="00B00F77" w:rsidRPr="00144727" w:rsidRDefault="00B00F77" w:rsidP="00D53C27">
            <w:pPr>
              <w:rPr>
                <w:b/>
                <w:sz w:val="22"/>
                <w:szCs w:val="22"/>
              </w:rPr>
            </w:pPr>
            <w:r w:rsidRPr="00144727">
              <w:rPr>
                <w:b/>
                <w:sz w:val="22"/>
                <w:szCs w:val="22"/>
                <w:lang w:val="fr-FR"/>
              </w:rPr>
              <w:t>Contribution du F</w:t>
            </w:r>
            <w:r>
              <w:rPr>
                <w:b/>
                <w:sz w:val="22"/>
                <w:szCs w:val="22"/>
                <w:lang w:val="fr-FR"/>
              </w:rPr>
              <w:t>onds</w:t>
            </w:r>
            <w:r w:rsidR="00E66A99">
              <w:rPr>
                <w:b/>
                <w:sz w:val="22"/>
                <w:szCs w:val="22"/>
                <w:lang w:val="fr-FR"/>
              </w:rPr>
              <w:t xml:space="preserve"> </w:t>
            </w:r>
            <w:r>
              <w:rPr>
                <w:b/>
                <w:sz w:val="22"/>
                <w:szCs w:val="22"/>
              </w:rPr>
              <w:t>:</w:t>
            </w:r>
          </w:p>
          <w:p w:rsidR="004B6DFE" w:rsidRPr="004B6DFE" w:rsidRDefault="00616FA5" w:rsidP="00D53C27">
            <w:pPr>
              <w:pStyle w:val="H2"/>
              <w:numPr>
                <w:ilvl w:val="0"/>
                <w:numId w:val="13"/>
              </w:numPr>
              <w:spacing w:after="120"/>
              <w:ind w:left="162" w:hanging="180"/>
              <w:rPr>
                <w:rFonts w:cs="Times New Roman"/>
                <w:i/>
                <w:szCs w:val="22"/>
                <w:lang w:val="fr-FR"/>
              </w:rPr>
            </w:pPr>
            <w:r>
              <w:rPr>
                <w:rFonts w:cs="Times New Roman"/>
                <w:b w:val="0"/>
                <w:i/>
                <w:szCs w:val="22"/>
                <w:lang w:val="fr-FR"/>
              </w:rPr>
              <w:t>PNUE </w:t>
            </w:r>
            <w:r w:rsidR="004B6DFE">
              <w:rPr>
                <w:rFonts w:cs="Times New Roman"/>
                <w:b w:val="0"/>
                <w:i/>
                <w:szCs w:val="22"/>
                <w:lang w:val="fr-FR"/>
              </w:rPr>
              <w:t>:</w:t>
            </w:r>
            <w:r w:rsidR="00330A03">
              <w:rPr>
                <w:rFonts w:cs="Times New Roman"/>
                <w:b w:val="0"/>
                <w:i/>
                <w:szCs w:val="22"/>
                <w:lang w:val="fr-FR"/>
              </w:rPr>
              <w:t xml:space="preserve"> USD 5.145.775</w:t>
            </w:r>
          </w:p>
          <w:p w:rsidR="00B00F77" w:rsidRPr="006775B2" w:rsidRDefault="004B6DFE" w:rsidP="00D53C27">
            <w:pPr>
              <w:pStyle w:val="H2"/>
              <w:numPr>
                <w:ilvl w:val="0"/>
                <w:numId w:val="13"/>
              </w:numPr>
              <w:spacing w:after="120"/>
              <w:ind w:left="162" w:hanging="180"/>
              <w:rPr>
                <w:rFonts w:cs="Times New Roman"/>
                <w:i/>
                <w:szCs w:val="22"/>
                <w:lang w:val="fr-FR"/>
              </w:rPr>
            </w:pPr>
            <w:r>
              <w:rPr>
                <w:rFonts w:cs="Times New Roman"/>
                <w:b w:val="0"/>
                <w:i/>
                <w:szCs w:val="22"/>
                <w:lang w:val="fr-FR"/>
              </w:rPr>
              <w:t xml:space="preserve">UNOPS : </w:t>
            </w:r>
            <w:r w:rsidR="00330A03">
              <w:rPr>
                <w:rFonts w:cs="Times New Roman"/>
                <w:b w:val="0"/>
                <w:i/>
                <w:szCs w:val="22"/>
                <w:lang w:val="fr-FR"/>
              </w:rPr>
              <w:t xml:space="preserve">USD </w:t>
            </w:r>
            <w:r w:rsidR="001C5729">
              <w:rPr>
                <w:rFonts w:cs="Times New Roman"/>
                <w:b w:val="0"/>
                <w:i/>
                <w:szCs w:val="22"/>
                <w:lang w:val="fr-FR"/>
              </w:rPr>
              <w:t>2.854.225</w:t>
            </w:r>
          </w:p>
          <w:p w:rsidR="00B00F77" w:rsidRPr="00144727" w:rsidRDefault="00B00F77" w:rsidP="00EC4C4E">
            <w:pPr>
              <w:pStyle w:val="H2"/>
              <w:spacing w:before="120"/>
              <w:rPr>
                <w:rFonts w:cs="Times New Roman"/>
                <w:b w:val="0"/>
                <w:szCs w:val="22"/>
              </w:rPr>
            </w:pPr>
            <w:r w:rsidRPr="00144727">
              <w:rPr>
                <w:szCs w:val="22"/>
                <w:lang w:val="fr-FR"/>
              </w:rPr>
              <w:t>Contribution de(s) agence(s)</w:t>
            </w:r>
            <w:r w:rsidR="00B224A6">
              <w:rPr>
                <w:szCs w:val="22"/>
                <w:lang w:val="fr-FR"/>
              </w:rPr>
              <w:t>:</w:t>
            </w:r>
          </w:p>
          <w:p w:rsidR="00B00F77" w:rsidRPr="006775B2" w:rsidRDefault="00616FA5" w:rsidP="00D53C27">
            <w:pPr>
              <w:pStyle w:val="H2"/>
              <w:numPr>
                <w:ilvl w:val="0"/>
                <w:numId w:val="12"/>
              </w:numPr>
              <w:spacing w:after="120"/>
              <w:ind w:left="162" w:hanging="162"/>
              <w:rPr>
                <w:rFonts w:cs="Times New Roman"/>
                <w:szCs w:val="22"/>
                <w:lang w:val="fr-FR"/>
              </w:rPr>
            </w:pPr>
            <w:r>
              <w:rPr>
                <w:rFonts w:cs="Times New Roman"/>
                <w:b w:val="0"/>
                <w:i/>
                <w:szCs w:val="22"/>
                <w:lang w:val="fr-FR"/>
              </w:rPr>
              <w:t>PNUE</w:t>
            </w:r>
            <w:r w:rsidR="00330A03">
              <w:rPr>
                <w:rFonts w:cs="Times New Roman"/>
                <w:b w:val="0"/>
                <w:i/>
                <w:szCs w:val="22"/>
                <w:lang w:val="fr-FR"/>
              </w:rPr>
              <w:t>&amp; Gouvernement de Norvège : USD 550.000</w:t>
            </w:r>
          </w:p>
          <w:p w:rsidR="00B00F77" w:rsidRPr="006775B2" w:rsidRDefault="00B00F77" w:rsidP="006775B2">
            <w:pPr>
              <w:pStyle w:val="H2"/>
              <w:tabs>
                <w:tab w:val="left" w:pos="2934"/>
              </w:tabs>
              <w:spacing w:before="120"/>
              <w:rPr>
                <w:szCs w:val="22"/>
                <w:lang w:val="fr-FR"/>
              </w:rPr>
            </w:pPr>
            <w:r w:rsidRPr="006775B2">
              <w:rPr>
                <w:szCs w:val="22"/>
                <w:lang w:val="fr-FR"/>
              </w:rPr>
              <w:t>Contribution du Gouvernement</w:t>
            </w:r>
            <w:r w:rsidR="00B224A6">
              <w:rPr>
                <w:szCs w:val="22"/>
                <w:lang w:val="fr-FR"/>
              </w:rPr>
              <w:t>:</w:t>
            </w:r>
          </w:p>
          <w:p w:rsidR="00B00F77" w:rsidRDefault="00330A03" w:rsidP="006775B2">
            <w:pPr>
              <w:pStyle w:val="H2"/>
              <w:numPr>
                <w:ilvl w:val="0"/>
                <w:numId w:val="12"/>
              </w:numPr>
              <w:spacing w:after="120"/>
              <w:ind w:left="162" w:hanging="162"/>
              <w:rPr>
                <w:rFonts w:cs="Times New Roman"/>
                <w:b w:val="0"/>
                <w:i/>
                <w:szCs w:val="22"/>
                <w:lang w:val="fr-FR"/>
              </w:rPr>
            </w:pPr>
            <w:r>
              <w:rPr>
                <w:rFonts w:cs="Times New Roman"/>
                <w:b w:val="0"/>
                <w:i/>
                <w:szCs w:val="22"/>
                <w:lang w:val="fr-FR"/>
              </w:rPr>
              <w:lastRenderedPageBreak/>
              <w:t>N/A</w:t>
            </w:r>
          </w:p>
          <w:p w:rsidR="00B00F77" w:rsidRPr="003A08BF" w:rsidRDefault="00B00F77" w:rsidP="003A08BF">
            <w:pPr>
              <w:pStyle w:val="BodyText"/>
              <w:rPr>
                <w:rFonts w:cs="Arial"/>
                <w:b/>
                <w:bCs/>
                <w:iCs/>
                <w:sz w:val="22"/>
                <w:szCs w:val="22"/>
                <w:lang w:val="fr-FR" w:eastAsia="en-US"/>
              </w:rPr>
            </w:pPr>
            <w:r w:rsidRPr="003A08BF">
              <w:rPr>
                <w:rFonts w:cs="Arial"/>
                <w:b/>
                <w:bCs/>
                <w:iCs/>
                <w:sz w:val="22"/>
                <w:szCs w:val="22"/>
                <w:lang w:val="fr-FR" w:eastAsia="en-US"/>
              </w:rPr>
              <w:t>Autres Contributions</w:t>
            </w:r>
            <w:r w:rsidR="003A08BF" w:rsidRPr="003A08BF">
              <w:rPr>
                <w:rFonts w:cs="Arial"/>
                <w:b/>
                <w:bCs/>
                <w:iCs/>
                <w:sz w:val="22"/>
                <w:szCs w:val="22"/>
                <w:lang w:val="fr-FR" w:eastAsia="en-US"/>
              </w:rPr>
              <w:t xml:space="preserve"> </w:t>
            </w:r>
            <w:r w:rsidR="003A08BF">
              <w:rPr>
                <w:rFonts w:cs="Arial"/>
                <w:b/>
                <w:bCs/>
                <w:iCs/>
                <w:sz w:val="22"/>
                <w:szCs w:val="22"/>
                <w:lang w:val="fr-FR" w:eastAsia="en-US"/>
              </w:rPr>
              <w:t>[donateur(s)]</w:t>
            </w:r>
            <w:r w:rsidR="00B224A6" w:rsidRPr="003A08BF">
              <w:rPr>
                <w:rFonts w:cs="Arial"/>
                <w:b/>
                <w:bCs/>
                <w:iCs/>
                <w:sz w:val="22"/>
                <w:szCs w:val="22"/>
                <w:lang w:val="fr-FR" w:eastAsia="en-US"/>
              </w:rPr>
              <w:t>:</w:t>
            </w:r>
          </w:p>
          <w:p w:rsidR="00B00F77" w:rsidRPr="00A92A49" w:rsidRDefault="000553BF" w:rsidP="00EC4C4E">
            <w:pPr>
              <w:pStyle w:val="H2"/>
              <w:numPr>
                <w:ilvl w:val="0"/>
                <w:numId w:val="12"/>
              </w:numPr>
              <w:spacing w:after="120"/>
              <w:ind w:left="162" w:hanging="162"/>
              <w:rPr>
                <w:rFonts w:cs="Times New Roman"/>
                <w:b w:val="0"/>
                <w:i/>
                <w:szCs w:val="22"/>
                <w:lang w:val="fr-FR"/>
              </w:rPr>
            </w:pPr>
            <w:r>
              <w:rPr>
                <w:rFonts w:cs="Times New Roman"/>
                <w:b w:val="0"/>
                <w:i/>
                <w:szCs w:val="22"/>
                <w:lang w:val="fr-FR"/>
              </w:rPr>
              <w:t>CRS &amp; USAID : USD 4.000.000</w:t>
            </w:r>
          </w:p>
          <w:p w:rsidR="00B00F77" w:rsidRPr="00F36D77" w:rsidRDefault="00B00F77" w:rsidP="008210EE">
            <w:pPr>
              <w:pStyle w:val="H2"/>
              <w:rPr>
                <w:color w:val="000000"/>
                <w:szCs w:val="22"/>
                <w:lang w:val="fr-FR"/>
              </w:rPr>
            </w:pPr>
            <w:r w:rsidRPr="00144727">
              <w:rPr>
                <w:rFonts w:cs="Times New Roman"/>
                <w:szCs w:val="22"/>
              </w:rPr>
              <w:t>TOTAL:</w:t>
            </w:r>
            <w:r w:rsidR="000553BF">
              <w:rPr>
                <w:rFonts w:cs="Times New Roman"/>
                <w:szCs w:val="22"/>
              </w:rPr>
              <w:t xml:space="preserve"> </w:t>
            </w:r>
            <w:r w:rsidR="000553BF" w:rsidRPr="000553BF">
              <w:rPr>
                <w:rFonts w:cs="Times New Roman"/>
                <w:b w:val="0"/>
                <w:szCs w:val="22"/>
              </w:rPr>
              <w:t>USD 12.550.000</w:t>
            </w:r>
          </w:p>
        </w:tc>
        <w:tc>
          <w:tcPr>
            <w:tcW w:w="360" w:type="dxa"/>
            <w:tcBorders>
              <w:top w:val="nil"/>
              <w:left w:val="single" w:sz="4" w:space="0" w:color="auto"/>
              <w:bottom w:val="nil"/>
              <w:right w:val="single" w:sz="4" w:space="0" w:color="auto"/>
            </w:tcBorders>
            <w:shd w:val="clear" w:color="auto" w:fill="auto"/>
          </w:tcPr>
          <w:p w:rsidR="00B00F77" w:rsidRPr="00F36D77" w:rsidRDefault="00B00F77" w:rsidP="00EC4C4E">
            <w:pPr>
              <w:pStyle w:val="BodyText"/>
              <w:spacing w:before="120" w:after="120"/>
              <w:rPr>
                <w:sz w:val="22"/>
                <w:szCs w:val="22"/>
                <w:lang w:val="fr-FR" w:eastAsia="en-US"/>
              </w:rPr>
            </w:pPr>
          </w:p>
        </w:tc>
        <w:tc>
          <w:tcPr>
            <w:tcW w:w="5040" w:type="dxa"/>
            <w:vMerge w:val="restart"/>
            <w:tcBorders>
              <w:top w:val="nil"/>
              <w:left w:val="single" w:sz="4" w:space="0" w:color="auto"/>
              <w:right w:val="single" w:sz="4" w:space="0" w:color="auto"/>
            </w:tcBorders>
            <w:shd w:val="clear" w:color="auto" w:fill="auto"/>
            <w:vAlign w:val="center"/>
          </w:tcPr>
          <w:p w:rsidR="00B00F77" w:rsidRPr="004A7199" w:rsidRDefault="00B00F77" w:rsidP="005410E4">
            <w:pPr>
              <w:rPr>
                <w:sz w:val="22"/>
                <w:szCs w:val="22"/>
                <w:lang w:val="fr-FR"/>
              </w:rPr>
            </w:pPr>
            <w:r w:rsidRPr="004A7199">
              <w:rPr>
                <w:sz w:val="22"/>
                <w:szCs w:val="22"/>
                <w:lang w:val="fr-FR"/>
              </w:rPr>
              <w:t>Durée totale</w:t>
            </w:r>
            <w:r w:rsidR="00046EA7">
              <w:rPr>
                <w:sz w:val="22"/>
                <w:szCs w:val="22"/>
                <w:lang w:val="fr-FR"/>
              </w:rPr>
              <w:t xml:space="preserve"> (mois)</w:t>
            </w:r>
            <w:r w:rsidRPr="004A7199">
              <w:rPr>
                <w:sz w:val="22"/>
                <w:szCs w:val="22"/>
                <w:lang w:val="fr-FR"/>
              </w:rPr>
              <w:t xml:space="preserve">: </w:t>
            </w:r>
            <w:r w:rsidR="001D5BD6">
              <w:rPr>
                <w:sz w:val="22"/>
                <w:szCs w:val="22"/>
                <w:lang w:val="fr-FR"/>
              </w:rPr>
              <w:t>21 mois</w:t>
            </w:r>
            <w:r w:rsidR="00D37FF3">
              <w:rPr>
                <w:sz w:val="22"/>
                <w:szCs w:val="22"/>
                <w:lang w:val="fr-FR"/>
              </w:rPr>
              <w:t xml:space="preserve">   (</w:t>
            </w:r>
            <w:r w:rsidR="001D5BD6">
              <w:rPr>
                <w:sz w:val="22"/>
                <w:szCs w:val="22"/>
                <w:lang w:val="fr-FR"/>
              </w:rPr>
              <w:t xml:space="preserve">à partir du </w:t>
            </w:r>
            <w:r w:rsidR="00D37FF3">
              <w:rPr>
                <w:sz w:val="22"/>
                <w:szCs w:val="22"/>
                <w:lang w:val="fr-FR"/>
              </w:rPr>
              <w:t>1</w:t>
            </w:r>
            <w:r w:rsidR="00D37FF3" w:rsidRPr="00D37FF3">
              <w:rPr>
                <w:sz w:val="22"/>
                <w:szCs w:val="22"/>
                <w:vertAlign w:val="superscript"/>
                <w:lang w:val="fr-FR"/>
              </w:rPr>
              <w:t>er</w:t>
            </w:r>
            <w:r w:rsidR="00D37FF3">
              <w:rPr>
                <w:sz w:val="22"/>
                <w:szCs w:val="22"/>
                <w:lang w:val="fr-FR"/>
              </w:rPr>
              <w:t xml:space="preserve"> </w:t>
            </w:r>
            <w:r w:rsidR="001D5BD6">
              <w:rPr>
                <w:sz w:val="22"/>
                <w:szCs w:val="22"/>
                <w:lang w:val="fr-FR"/>
              </w:rPr>
              <w:t xml:space="preserve">octobre 2010 </w:t>
            </w:r>
            <w:r w:rsidR="00D37FF3">
              <w:rPr>
                <w:sz w:val="22"/>
                <w:szCs w:val="22"/>
                <w:lang w:val="fr-FR"/>
              </w:rPr>
              <w:t xml:space="preserve"> tel qu’indiqué </w:t>
            </w:r>
            <w:r w:rsidR="001D5BD6">
              <w:rPr>
                <w:sz w:val="22"/>
                <w:szCs w:val="22"/>
                <w:lang w:val="fr-FR"/>
              </w:rPr>
              <w:t>dans le document de projet)</w:t>
            </w:r>
          </w:p>
          <w:p w:rsidR="004A7199" w:rsidRDefault="004A7199" w:rsidP="00B00F77">
            <w:pPr>
              <w:pStyle w:val="BodyText"/>
              <w:rPr>
                <w:sz w:val="22"/>
                <w:szCs w:val="22"/>
                <w:lang w:val="fr-FR" w:eastAsia="en-US"/>
              </w:rPr>
            </w:pPr>
          </w:p>
          <w:p w:rsidR="00B00F77" w:rsidRPr="00F36D77" w:rsidRDefault="00B00F77" w:rsidP="00B00F77">
            <w:pPr>
              <w:pStyle w:val="BodyText"/>
              <w:rPr>
                <w:sz w:val="22"/>
                <w:szCs w:val="22"/>
                <w:lang w:val="fr-FR" w:eastAsia="en-US"/>
              </w:rPr>
            </w:pPr>
            <w:r w:rsidRPr="00144727">
              <w:rPr>
                <w:sz w:val="22"/>
                <w:szCs w:val="22"/>
                <w:lang w:val="fr-FR" w:eastAsia="en-US"/>
              </w:rPr>
              <w:t>Date de dé</w:t>
            </w:r>
            <w:r>
              <w:rPr>
                <w:sz w:val="22"/>
                <w:szCs w:val="22"/>
                <w:lang w:val="fr-FR" w:eastAsia="en-US"/>
              </w:rPr>
              <w:t>marrage</w:t>
            </w:r>
            <w:r w:rsidRPr="00432CFE">
              <w:rPr>
                <w:rStyle w:val="FootnoteReference"/>
                <w:sz w:val="22"/>
                <w:szCs w:val="22"/>
                <w:lang w:val="fr-FR" w:eastAsia="en-US"/>
              </w:rPr>
              <w:footnoteReference w:id="6"/>
            </w:r>
            <w:r w:rsidR="001D5BD6" w:rsidRPr="00432CFE">
              <w:rPr>
                <w:sz w:val="22"/>
                <w:szCs w:val="22"/>
                <w:lang w:val="fr-FR" w:eastAsia="en-US"/>
              </w:rPr>
              <w:t xml:space="preserve"> </w:t>
            </w:r>
            <w:r w:rsidRPr="00432CFE">
              <w:rPr>
                <w:sz w:val="22"/>
                <w:szCs w:val="22"/>
                <w:lang w:val="fr-FR" w:eastAsia="en-US"/>
              </w:rPr>
              <w:t>:</w:t>
            </w:r>
            <w:r w:rsidR="000553BF" w:rsidRPr="00432CFE">
              <w:rPr>
                <w:sz w:val="22"/>
                <w:szCs w:val="22"/>
                <w:lang w:val="fr-FR" w:eastAsia="en-US"/>
              </w:rPr>
              <w:t xml:space="preserve"> </w:t>
            </w:r>
            <w:r w:rsidR="00432CFE" w:rsidRPr="00432CFE">
              <w:rPr>
                <w:sz w:val="22"/>
                <w:szCs w:val="22"/>
                <w:lang w:val="fr-FR" w:eastAsia="en-US"/>
              </w:rPr>
              <w:t>25/03/2011</w:t>
            </w:r>
          </w:p>
          <w:p w:rsidR="004A7199" w:rsidRDefault="004A7199" w:rsidP="00144727">
            <w:pPr>
              <w:rPr>
                <w:sz w:val="22"/>
                <w:szCs w:val="22"/>
                <w:lang w:val="fr-FR"/>
              </w:rPr>
            </w:pPr>
          </w:p>
          <w:p w:rsidR="00B00F77" w:rsidRDefault="00B00F77" w:rsidP="00144727">
            <w:pPr>
              <w:rPr>
                <w:sz w:val="22"/>
                <w:szCs w:val="22"/>
                <w:lang w:val="fr-FR"/>
              </w:rPr>
            </w:pPr>
            <w:r w:rsidRPr="00144727">
              <w:rPr>
                <w:sz w:val="22"/>
                <w:szCs w:val="22"/>
                <w:lang w:val="fr-FR"/>
              </w:rPr>
              <w:t xml:space="preserve">Date de </w:t>
            </w:r>
            <w:r>
              <w:rPr>
                <w:sz w:val="22"/>
                <w:szCs w:val="22"/>
                <w:lang w:val="fr-FR"/>
              </w:rPr>
              <w:t>clôture</w:t>
            </w:r>
            <w:r w:rsidR="00A92A49">
              <w:rPr>
                <w:sz w:val="22"/>
                <w:szCs w:val="22"/>
                <w:lang w:val="fr-FR"/>
              </w:rPr>
              <w:t>:</w:t>
            </w:r>
            <w:r w:rsidR="000553BF">
              <w:rPr>
                <w:sz w:val="22"/>
                <w:szCs w:val="22"/>
                <w:lang w:val="fr-FR"/>
              </w:rPr>
              <w:t xml:space="preserve"> </w:t>
            </w:r>
            <w:r w:rsidR="001D5BD6">
              <w:rPr>
                <w:sz w:val="22"/>
                <w:szCs w:val="22"/>
                <w:lang w:val="fr-FR"/>
              </w:rPr>
              <w:t>30/</w:t>
            </w:r>
            <w:r w:rsidR="001B49AE">
              <w:rPr>
                <w:sz w:val="22"/>
                <w:szCs w:val="22"/>
                <w:lang w:val="fr-FR"/>
              </w:rPr>
              <w:t>0</w:t>
            </w:r>
            <w:r w:rsidR="001D5BD6">
              <w:rPr>
                <w:sz w:val="22"/>
                <w:szCs w:val="22"/>
                <w:lang w:val="fr-FR"/>
              </w:rPr>
              <w:t>6/2012</w:t>
            </w:r>
          </w:p>
          <w:p w:rsidR="00B00F77" w:rsidRPr="00214CBA" w:rsidRDefault="00B00F77" w:rsidP="003A08BF">
            <w:pPr>
              <w:pStyle w:val="H2"/>
              <w:spacing w:after="120"/>
              <w:rPr>
                <w:rFonts w:cs="Times New Roman"/>
                <w:b w:val="0"/>
                <w:i/>
                <w:szCs w:val="22"/>
                <w:lang w:val="fr-FR"/>
              </w:rPr>
            </w:pPr>
            <w:r w:rsidRPr="00214CBA">
              <w:rPr>
                <w:rFonts w:cs="Times New Roman"/>
                <w:b w:val="0"/>
                <w:i/>
                <w:szCs w:val="22"/>
                <w:lang w:val="fr-FR"/>
              </w:rPr>
              <w:t>(ou date révisée, le cas échéant):</w:t>
            </w:r>
          </w:p>
          <w:p w:rsidR="00B00F77" w:rsidRPr="00144727" w:rsidRDefault="00B00F77" w:rsidP="00B00F77">
            <w:pPr>
              <w:rPr>
                <w:sz w:val="22"/>
                <w:szCs w:val="22"/>
                <w:lang w:val="fr-FR"/>
              </w:rPr>
            </w:pPr>
            <w:r w:rsidRPr="00144727">
              <w:rPr>
                <w:sz w:val="22"/>
                <w:szCs w:val="22"/>
                <w:lang w:val="fr-FR"/>
              </w:rPr>
              <w:t xml:space="preserve">Date </w:t>
            </w:r>
            <w:r>
              <w:rPr>
                <w:sz w:val="22"/>
                <w:szCs w:val="22"/>
                <w:lang w:val="fr-FR"/>
              </w:rPr>
              <w:t xml:space="preserve">de </w:t>
            </w:r>
            <w:r w:rsidR="008C2774">
              <w:rPr>
                <w:sz w:val="22"/>
                <w:szCs w:val="22"/>
                <w:lang w:val="fr-FR"/>
              </w:rPr>
              <w:t>c</w:t>
            </w:r>
            <w:r w:rsidRPr="00144727">
              <w:rPr>
                <w:sz w:val="22"/>
                <w:szCs w:val="22"/>
                <w:lang w:val="fr-FR"/>
              </w:rPr>
              <w:t xml:space="preserve">lôture </w:t>
            </w:r>
            <w:r>
              <w:rPr>
                <w:sz w:val="22"/>
                <w:szCs w:val="22"/>
                <w:lang w:val="fr-FR"/>
              </w:rPr>
              <w:t>o</w:t>
            </w:r>
            <w:r w:rsidRPr="00144727">
              <w:rPr>
                <w:sz w:val="22"/>
                <w:szCs w:val="22"/>
                <w:lang w:val="fr-FR"/>
              </w:rPr>
              <w:t>pérationnelle</w:t>
            </w:r>
            <w:r w:rsidRPr="00144727">
              <w:rPr>
                <w:rStyle w:val="FootnoteReference"/>
                <w:sz w:val="22"/>
                <w:szCs w:val="22"/>
                <w:lang w:val="fr-FR"/>
              </w:rPr>
              <w:footnoteReference w:id="7"/>
            </w:r>
            <w:r>
              <w:rPr>
                <w:sz w:val="22"/>
                <w:szCs w:val="22"/>
                <w:lang w:val="fr-FR"/>
              </w:rPr>
              <w:t>:</w:t>
            </w:r>
            <w:r w:rsidR="001D5BD6">
              <w:rPr>
                <w:sz w:val="22"/>
                <w:szCs w:val="22"/>
                <w:lang w:val="fr-FR"/>
              </w:rPr>
              <w:t>30/</w:t>
            </w:r>
            <w:r w:rsidR="001B49AE">
              <w:rPr>
                <w:sz w:val="22"/>
                <w:szCs w:val="22"/>
                <w:lang w:val="fr-FR"/>
              </w:rPr>
              <w:t>0</w:t>
            </w:r>
            <w:r w:rsidR="001D5BD6">
              <w:rPr>
                <w:sz w:val="22"/>
                <w:szCs w:val="22"/>
                <w:lang w:val="fr-FR"/>
              </w:rPr>
              <w:t>6/2012</w:t>
            </w:r>
          </w:p>
          <w:p w:rsidR="004A7199" w:rsidRDefault="004A7199" w:rsidP="00E7479B">
            <w:pPr>
              <w:rPr>
                <w:sz w:val="22"/>
                <w:szCs w:val="22"/>
                <w:lang w:val="fr-FR"/>
              </w:rPr>
            </w:pPr>
          </w:p>
          <w:p w:rsidR="00B00F77" w:rsidRPr="00F36D77" w:rsidRDefault="00B00F77" w:rsidP="00A92A49">
            <w:pPr>
              <w:rPr>
                <w:sz w:val="22"/>
                <w:szCs w:val="22"/>
                <w:lang w:val="fr-FR"/>
              </w:rPr>
            </w:pPr>
            <w:r w:rsidRPr="00144727">
              <w:rPr>
                <w:sz w:val="22"/>
                <w:szCs w:val="22"/>
                <w:lang w:val="fr-FR"/>
              </w:rPr>
              <w:t>Date prévisionnelle</w:t>
            </w:r>
            <w:r w:rsidR="00214CBA">
              <w:rPr>
                <w:sz w:val="22"/>
                <w:szCs w:val="22"/>
                <w:lang w:val="fr-FR"/>
              </w:rPr>
              <w:t xml:space="preserve"> </w:t>
            </w:r>
            <w:r w:rsidRPr="00144727">
              <w:rPr>
                <w:sz w:val="22"/>
                <w:szCs w:val="22"/>
                <w:lang w:val="fr-FR"/>
              </w:rPr>
              <w:t>de clôture financière</w:t>
            </w:r>
            <w:r w:rsidR="001D5BD6">
              <w:rPr>
                <w:sz w:val="22"/>
                <w:szCs w:val="22"/>
                <w:lang w:val="fr-FR"/>
              </w:rPr>
              <w:t> : 30/</w:t>
            </w:r>
            <w:r w:rsidR="001B49AE">
              <w:rPr>
                <w:sz w:val="22"/>
                <w:szCs w:val="22"/>
                <w:lang w:val="fr-FR"/>
              </w:rPr>
              <w:t>0</w:t>
            </w:r>
            <w:r w:rsidR="001D5BD6">
              <w:rPr>
                <w:sz w:val="22"/>
                <w:szCs w:val="22"/>
                <w:lang w:val="fr-FR"/>
              </w:rPr>
              <w:t>6/2012</w:t>
            </w:r>
            <w:r w:rsidR="00046EA7">
              <w:rPr>
                <w:sz w:val="22"/>
                <w:szCs w:val="22"/>
                <w:lang w:val="fr-FR"/>
              </w:rPr>
              <w:t xml:space="preserve"> </w:t>
            </w:r>
          </w:p>
        </w:tc>
      </w:tr>
      <w:tr w:rsidR="00B00F77" w:rsidRPr="00E66A99">
        <w:trPr>
          <w:trHeight w:val="350"/>
        </w:trPr>
        <w:tc>
          <w:tcPr>
            <w:tcW w:w="5040" w:type="dxa"/>
            <w:vMerge/>
            <w:tcBorders>
              <w:left w:val="single" w:sz="4" w:space="0" w:color="auto"/>
              <w:right w:val="single" w:sz="4" w:space="0" w:color="auto"/>
            </w:tcBorders>
            <w:shd w:val="clear" w:color="auto" w:fill="FFFFFF"/>
            <w:vAlign w:val="center"/>
          </w:tcPr>
          <w:p w:rsidR="00B00F77" w:rsidRPr="00F36D77" w:rsidRDefault="00B00F77" w:rsidP="00EC4C4E">
            <w:pPr>
              <w:pStyle w:val="BodyText"/>
              <w:rPr>
                <w:color w:val="000000"/>
                <w:sz w:val="22"/>
                <w:szCs w:val="22"/>
                <w:lang w:val="fr-FR" w:eastAsia="en-US"/>
              </w:rPr>
            </w:pPr>
          </w:p>
        </w:tc>
        <w:tc>
          <w:tcPr>
            <w:tcW w:w="360" w:type="dxa"/>
            <w:tcBorders>
              <w:top w:val="nil"/>
              <w:left w:val="single" w:sz="4" w:space="0" w:color="auto"/>
              <w:bottom w:val="nil"/>
              <w:right w:val="single" w:sz="4" w:space="0" w:color="auto"/>
            </w:tcBorders>
            <w:shd w:val="clear" w:color="auto" w:fill="auto"/>
          </w:tcPr>
          <w:p w:rsidR="00B00F77" w:rsidRPr="00F36D77" w:rsidRDefault="00B00F77" w:rsidP="00EC4C4E">
            <w:pPr>
              <w:pStyle w:val="BodyText"/>
              <w:spacing w:before="120" w:after="120"/>
              <w:rPr>
                <w:sz w:val="22"/>
                <w:szCs w:val="22"/>
                <w:lang w:val="fr-FR" w:eastAsia="en-US"/>
              </w:rPr>
            </w:pPr>
          </w:p>
        </w:tc>
        <w:tc>
          <w:tcPr>
            <w:tcW w:w="5040" w:type="dxa"/>
            <w:vMerge/>
            <w:tcBorders>
              <w:left w:val="single" w:sz="4" w:space="0" w:color="auto"/>
              <w:right w:val="single" w:sz="4" w:space="0" w:color="auto"/>
            </w:tcBorders>
            <w:shd w:val="clear" w:color="auto" w:fill="auto"/>
            <w:vAlign w:val="center"/>
          </w:tcPr>
          <w:p w:rsidR="00B00F77" w:rsidRPr="00F36D77" w:rsidRDefault="00B00F77" w:rsidP="00EC4C4E">
            <w:pPr>
              <w:pStyle w:val="BodyText"/>
              <w:rPr>
                <w:sz w:val="22"/>
                <w:szCs w:val="22"/>
                <w:lang w:val="fr-FR" w:eastAsia="en-US"/>
              </w:rPr>
            </w:pPr>
          </w:p>
        </w:tc>
      </w:tr>
      <w:tr w:rsidR="00B00F77" w:rsidRPr="00E66A99">
        <w:trPr>
          <w:trHeight w:val="350"/>
        </w:trPr>
        <w:tc>
          <w:tcPr>
            <w:tcW w:w="5040" w:type="dxa"/>
            <w:vMerge/>
            <w:tcBorders>
              <w:left w:val="single" w:sz="4" w:space="0" w:color="auto"/>
              <w:right w:val="single" w:sz="4" w:space="0" w:color="auto"/>
            </w:tcBorders>
            <w:shd w:val="clear" w:color="auto" w:fill="FFFFFF"/>
            <w:vAlign w:val="center"/>
          </w:tcPr>
          <w:p w:rsidR="00B00F77" w:rsidRPr="00F36D77" w:rsidRDefault="00B00F77" w:rsidP="00EC4C4E">
            <w:pPr>
              <w:pStyle w:val="BodyText"/>
              <w:rPr>
                <w:color w:val="000000"/>
                <w:sz w:val="22"/>
                <w:szCs w:val="22"/>
                <w:lang w:val="fr-FR" w:eastAsia="en-US"/>
              </w:rPr>
            </w:pPr>
          </w:p>
        </w:tc>
        <w:tc>
          <w:tcPr>
            <w:tcW w:w="360" w:type="dxa"/>
            <w:tcBorders>
              <w:top w:val="nil"/>
              <w:left w:val="single" w:sz="4" w:space="0" w:color="auto"/>
              <w:bottom w:val="nil"/>
              <w:right w:val="single" w:sz="4" w:space="0" w:color="auto"/>
            </w:tcBorders>
            <w:shd w:val="clear" w:color="auto" w:fill="auto"/>
          </w:tcPr>
          <w:p w:rsidR="00B00F77" w:rsidRPr="00F36D77" w:rsidRDefault="00B00F77" w:rsidP="00EC4C4E">
            <w:pPr>
              <w:pStyle w:val="BodyText"/>
              <w:rPr>
                <w:sz w:val="22"/>
                <w:szCs w:val="22"/>
                <w:lang w:val="fr-FR" w:eastAsia="en-US"/>
              </w:rPr>
            </w:pPr>
          </w:p>
        </w:tc>
        <w:tc>
          <w:tcPr>
            <w:tcW w:w="5040" w:type="dxa"/>
            <w:vMerge/>
            <w:tcBorders>
              <w:left w:val="single" w:sz="4" w:space="0" w:color="auto"/>
              <w:right w:val="single" w:sz="4" w:space="0" w:color="auto"/>
            </w:tcBorders>
            <w:shd w:val="clear" w:color="auto" w:fill="auto"/>
            <w:vAlign w:val="center"/>
          </w:tcPr>
          <w:p w:rsidR="00B00F77" w:rsidRPr="00E9585C" w:rsidRDefault="00B00F77" w:rsidP="00EC4C4E">
            <w:pPr>
              <w:pStyle w:val="BodyText"/>
              <w:rPr>
                <w:sz w:val="22"/>
                <w:szCs w:val="22"/>
                <w:lang w:val="fr-FR" w:eastAsia="en-US"/>
              </w:rPr>
            </w:pPr>
          </w:p>
        </w:tc>
      </w:tr>
      <w:tr w:rsidR="00B00F77" w:rsidRPr="00E66A99">
        <w:trPr>
          <w:trHeight w:val="350"/>
        </w:trPr>
        <w:tc>
          <w:tcPr>
            <w:tcW w:w="5040" w:type="dxa"/>
            <w:vMerge/>
            <w:tcBorders>
              <w:left w:val="single" w:sz="4" w:space="0" w:color="auto"/>
              <w:right w:val="single" w:sz="4" w:space="0" w:color="auto"/>
            </w:tcBorders>
            <w:shd w:val="clear" w:color="auto" w:fill="FFFFFF"/>
            <w:vAlign w:val="center"/>
          </w:tcPr>
          <w:p w:rsidR="00B00F77" w:rsidRPr="00F36D77" w:rsidRDefault="00B00F77" w:rsidP="00EC4C4E">
            <w:pPr>
              <w:pStyle w:val="BodyText"/>
              <w:rPr>
                <w:color w:val="000000"/>
                <w:sz w:val="22"/>
                <w:szCs w:val="22"/>
                <w:lang w:val="fr-FR" w:eastAsia="en-US"/>
              </w:rPr>
            </w:pPr>
          </w:p>
        </w:tc>
        <w:tc>
          <w:tcPr>
            <w:tcW w:w="360" w:type="dxa"/>
            <w:tcBorders>
              <w:top w:val="nil"/>
              <w:left w:val="single" w:sz="4" w:space="0" w:color="auto"/>
              <w:bottom w:val="nil"/>
              <w:right w:val="single" w:sz="4" w:space="0" w:color="auto"/>
            </w:tcBorders>
            <w:shd w:val="clear" w:color="auto" w:fill="auto"/>
          </w:tcPr>
          <w:p w:rsidR="00B00F77" w:rsidRPr="00F36D77" w:rsidRDefault="00B00F77" w:rsidP="00EC4C4E">
            <w:pPr>
              <w:pStyle w:val="BodyText"/>
              <w:rPr>
                <w:sz w:val="22"/>
                <w:szCs w:val="22"/>
                <w:lang w:val="fr-FR" w:eastAsia="en-US"/>
              </w:rPr>
            </w:pPr>
          </w:p>
        </w:tc>
        <w:tc>
          <w:tcPr>
            <w:tcW w:w="5040" w:type="dxa"/>
            <w:vMerge/>
            <w:tcBorders>
              <w:left w:val="single" w:sz="4" w:space="0" w:color="auto"/>
              <w:right w:val="single" w:sz="4" w:space="0" w:color="auto"/>
            </w:tcBorders>
            <w:shd w:val="clear" w:color="auto" w:fill="auto"/>
            <w:vAlign w:val="center"/>
          </w:tcPr>
          <w:p w:rsidR="00B00F77" w:rsidRPr="00F36D77" w:rsidRDefault="00B00F77" w:rsidP="00EC4C4E">
            <w:pPr>
              <w:pStyle w:val="BodyText"/>
              <w:rPr>
                <w:sz w:val="22"/>
                <w:szCs w:val="22"/>
                <w:lang w:val="fr-FR" w:eastAsia="en-US"/>
              </w:rPr>
            </w:pPr>
          </w:p>
        </w:tc>
      </w:tr>
      <w:tr w:rsidR="00B00F77" w:rsidRPr="00E66A99">
        <w:trPr>
          <w:trHeight w:val="350"/>
        </w:trPr>
        <w:tc>
          <w:tcPr>
            <w:tcW w:w="5040" w:type="dxa"/>
            <w:vMerge/>
            <w:tcBorders>
              <w:left w:val="single" w:sz="4" w:space="0" w:color="auto"/>
              <w:bottom w:val="single" w:sz="4" w:space="0" w:color="auto"/>
              <w:right w:val="single" w:sz="4" w:space="0" w:color="auto"/>
            </w:tcBorders>
            <w:shd w:val="clear" w:color="auto" w:fill="auto"/>
            <w:vAlign w:val="center"/>
          </w:tcPr>
          <w:p w:rsidR="00B00F77" w:rsidRPr="003A08BF" w:rsidRDefault="00B00F77" w:rsidP="00EC4C4E">
            <w:pPr>
              <w:pStyle w:val="BodyText"/>
              <w:rPr>
                <w:color w:val="000000"/>
                <w:sz w:val="22"/>
                <w:szCs w:val="22"/>
                <w:lang w:val="fr-FR" w:eastAsia="en-US"/>
              </w:rPr>
            </w:pPr>
          </w:p>
        </w:tc>
        <w:tc>
          <w:tcPr>
            <w:tcW w:w="360" w:type="dxa"/>
            <w:tcBorders>
              <w:top w:val="nil"/>
              <w:left w:val="single" w:sz="4" w:space="0" w:color="auto"/>
              <w:bottom w:val="nil"/>
              <w:right w:val="single" w:sz="4" w:space="0" w:color="auto"/>
            </w:tcBorders>
            <w:shd w:val="clear" w:color="auto" w:fill="auto"/>
          </w:tcPr>
          <w:p w:rsidR="00B00F77" w:rsidRPr="003A08BF" w:rsidRDefault="00B00F77" w:rsidP="00EC4C4E">
            <w:pPr>
              <w:pStyle w:val="BodyText"/>
              <w:rPr>
                <w:lang w:val="fr-FR" w:eastAsia="en-US"/>
              </w:rPr>
            </w:pPr>
          </w:p>
        </w:tc>
        <w:tc>
          <w:tcPr>
            <w:tcW w:w="5040" w:type="dxa"/>
            <w:vMerge/>
            <w:tcBorders>
              <w:left w:val="single" w:sz="4" w:space="0" w:color="auto"/>
              <w:bottom w:val="single" w:sz="4" w:space="0" w:color="auto"/>
              <w:right w:val="single" w:sz="4" w:space="0" w:color="auto"/>
            </w:tcBorders>
            <w:shd w:val="clear" w:color="auto" w:fill="auto"/>
            <w:vAlign w:val="center"/>
          </w:tcPr>
          <w:p w:rsidR="00B00F77" w:rsidRPr="003A08BF" w:rsidRDefault="00B00F77" w:rsidP="00EC4C4E">
            <w:pPr>
              <w:pStyle w:val="BodyText"/>
              <w:rPr>
                <w:lang w:val="fr-FR" w:eastAsia="en-US"/>
              </w:rPr>
            </w:pPr>
          </w:p>
        </w:tc>
      </w:tr>
    </w:tbl>
    <w:p w:rsidR="00D53C27" w:rsidRPr="003A08BF" w:rsidRDefault="00D53C27" w:rsidP="00D53C27">
      <w:pPr>
        <w:jc w:val="center"/>
        <w:rPr>
          <w:b/>
          <w:bCs/>
          <w:caps/>
          <w:lang w:val="fr-FR"/>
        </w:rPr>
      </w:pPr>
    </w:p>
    <w:tbl>
      <w:tblPr>
        <w:tblW w:w="10440" w:type="dxa"/>
        <w:tblInd w:w="-72" w:type="dxa"/>
        <w:tblLayout w:type="fixed"/>
        <w:tblLook w:val="01E0"/>
      </w:tblPr>
      <w:tblGrid>
        <w:gridCol w:w="4950"/>
        <w:gridCol w:w="360"/>
        <w:gridCol w:w="5130"/>
      </w:tblGrid>
      <w:tr w:rsidR="00121376" w:rsidRPr="00947685">
        <w:trPr>
          <w:trHeight w:val="377"/>
        </w:trPr>
        <w:tc>
          <w:tcPr>
            <w:tcW w:w="4950" w:type="dxa"/>
            <w:tcBorders>
              <w:top w:val="single" w:sz="4" w:space="0" w:color="auto"/>
              <w:left w:val="single" w:sz="4" w:space="0" w:color="auto"/>
              <w:right w:val="single" w:sz="4" w:space="0" w:color="auto"/>
            </w:tcBorders>
            <w:shd w:val="clear" w:color="auto" w:fill="F3F3F3"/>
          </w:tcPr>
          <w:p w:rsidR="00121376" w:rsidRPr="00AC6803" w:rsidRDefault="00B33ED5" w:rsidP="00A92A49">
            <w:pPr>
              <w:pStyle w:val="H1"/>
              <w:ind w:right="-288"/>
              <w:jc w:val="center"/>
              <w:rPr>
                <w:rFonts w:cs="Times New Roman"/>
                <w:lang w:val="fr-FR"/>
              </w:rPr>
            </w:pPr>
            <w:r>
              <w:rPr>
                <w:rFonts w:cs="Times New Roman"/>
                <w:bCs w:val="0"/>
                <w:iCs/>
                <w:szCs w:val="24"/>
                <w:lang w:val="fr-FR"/>
              </w:rPr>
              <w:t>Evaluation du P</w:t>
            </w:r>
            <w:r w:rsidR="00121376" w:rsidRPr="00AC6803">
              <w:rPr>
                <w:rFonts w:cs="Times New Roman"/>
                <w:bCs w:val="0"/>
                <w:iCs/>
                <w:szCs w:val="24"/>
                <w:lang w:val="fr-FR"/>
              </w:rPr>
              <w:t>rogramme</w:t>
            </w:r>
          </w:p>
        </w:tc>
        <w:tc>
          <w:tcPr>
            <w:tcW w:w="360" w:type="dxa"/>
            <w:vMerge w:val="restart"/>
            <w:tcBorders>
              <w:left w:val="single" w:sz="4" w:space="0" w:color="auto"/>
              <w:right w:val="single" w:sz="4" w:space="0" w:color="auto"/>
            </w:tcBorders>
          </w:tcPr>
          <w:p w:rsidR="00121376" w:rsidRPr="00AC6803" w:rsidRDefault="00121376" w:rsidP="00EC4C4E">
            <w:pPr>
              <w:rPr>
                <w:lang w:val="fr-FR"/>
              </w:rPr>
            </w:pPr>
          </w:p>
        </w:tc>
        <w:tc>
          <w:tcPr>
            <w:tcW w:w="5130" w:type="dxa"/>
            <w:tcBorders>
              <w:top w:val="single" w:sz="4" w:space="0" w:color="auto"/>
              <w:left w:val="single" w:sz="4" w:space="0" w:color="auto"/>
              <w:right w:val="single" w:sz="4" w:space="0" w:color="auto"/>
            </w:tcBorders>
            <w:shd w:val="clear" w:color="auto" w:fill="F3F3F3"/>
          </w:tcPr>
          <w:p w:rsidR="00121376" w:rsidRPr="00AC6803" w:rsidRDefault="00121376" w:rsidP="00244DEE">
            <w:pPr>
              <w:pStyle w:val="H1"/>
              <w:jc w:val="center"/>
              <w:rPr>
                <w:rFonts w:cs="Times New Roman"/>
              </w:rPr>
            </w:pPr>
            <w:r w:rsidRPr="00AC6803">
              <w:rPr>
                <w:bCs w:val="0"/>
              </w:rPr>
              <w:t>S</w:t>
            </w:r>
            <w:r w:rsidR="00244DEE" w:rsidRPr="00AC6803">
              <w:rPr>
                <w:bCs w:val="0"/>
              </w:rPr>
              <w:t>oumis par:</w:t>
            </w:r>
          </w:p>
        </w:tc>
      </w:tr>
      <w:tr w:rsidR="00121376" w:rsidRPr="00947685">
        <w:trPr>
          <w:trHeight w:val="495"/>
        </w:trPr>
        <w:tc>
          <w:tcPr>
            <w:tcW w:w="4950" w:type="dxa"/>
            <w:tcBorders>
              <w:left w:val="single" w:sz="4" w:space="0" w:color="auto"/>
              <w:bottom w:val="single" w:sz="4" w:space="0" w:color="auto"/>
              <w:right w:val="single" w:sz="4" w:space="0" w:color="auto"/>
            </w:tcBorders>
          </w:tcPr>
          <w:p w:rsidR="00121376" w:rsidRPr="00D735B0" w:rsidRDefault="00121376" w:rsidP="00EC4C4E">
            <w:pPr>
              <w:pStyle w:val="BodyText"/>
              <w:rPr>
                <w:sz w:val="22"/>
                <w:szCs w:val="22"/>
                <w:lang w:val="fr-FR" w:eastAsia="en-US"/>
              </w:rPr>
            </w:pPr>
            <w:r w:rsidRPr="00D735B0">
              <w:rPr>
                <w:sz w:val="22"/>
                <w:szCs w:val="22"/>
                <w:lang w:val="fr-FR" w:eastAsia="en-US"/>
              </w:rPr>
              <w:t xml:space="preserve">Evaluation  </w:t>
            </w:r>
            <w:r w:rsidR="00144727" w:rsidRPr="00D735B0">
              <w:rPr>
                <w:sz w:val="22"/>
                <w:szCs w:val="22"/>
                <w:lang w:val="fr-FR" w:eastAsia="en-US"/>
              </w:rPr>
              <w:t>–</w:t>
            </w:r>
            <w:r w:rsidRPr="00D735B0">
              <w:rPr>
                <w:sz w:val="22"/>
                <w:szCs w:val="22"/>
                <w:lang w:val="fr-FR" w:eastAsia="en-US"/>
              </w:rPr>
              <w:t xml:space="preserve"> </w:t>
            </w:r>
            <w:r w:rsidR="00144727" w:rsidRPr="00D735B0">
              <w:rPr>
                <w:bCs/>
                <w:i/>
                <w:iCs/>
                <w:sz w:val="22"/>
                <w:szCs w:val="22"/>
                <w:lang w:val="fr-FR" w:eastAsia="en-US"/>
              </w:rPr>
              <w:t>(</w:t>
            </w:r>
            <w:r w:rsidR="00AD3CB1" w:rsidRPr="00D735B0">
              <w:rPr>
                <w:bCs/>
                <w:i/>
                <w:iCs/>
                <w:sz w:val="22"/>
                <w:szCs w:val="22"/>
                <w:lang w:val="fr-FR" w:eastAsia="en-US"/>
              </w:rPr>
              <w:t>à</w:t>
            </w:r>
            <w:r w:rsidR="00144727" w:rsidRPr="00D735B0">
              <w:rPr>
                <w:bCs/>
                <w:i/>
                <w:iCs/>
                <w:sz w:val="22"/>
                <w:szCs w:val="22"/>
                <w:lang w:val="fr-FR" w:eastAsia="en-US"/>
              </w:rPr>
              <w:t xml:space="preserve"> joindre </w:t>
            </w:r>
            <w:r w:rsidRPr="00D735B0">
              <w:rPr>
                <w:bCs/>
                <w:i/>
                <w:iCs/>
                <w:sz w:val="22"/>
                <w:szCs w:val="22"/>
                <w:lang w:val="fr-FR" w:eastAsia="en-US"/>
              </w:rPr>
              <w:t xml:space="preserve">le cas </w:t>
            </w:r>
            <w:r w:rsidR="00AD3CB1" w:rsidRPr="00D735B0">
              <w:rPr>
                <w:bCs/>
                <w:i/>
                <w:iCs/>
                <w:sz w:val="22"/>
                <w:szCs w:val="22"/>
                <w:lang w:val="fr-FR" w:eastAsia="en-US"/>
              </w:rPr>
              <w:t>échéant</w:t>
            </w:r>
            <w:r w:rsidR="00144727" w:rsidRPr="00D735B0">
              <w:rPr>
                <w:bCs/>
                <w:i/>
                <w:iCs/>
                <w:sz w:val="22"/>
                <w:szCs w:val="22"/>
                <w:lang w:val="fr-FR" w:eastAsia="en-US"/>
              </w:rPr>
              <w:t>)</w:t>
            </w:r>
            <w:r w:rsidRPr="00D735B0">
              <w:rPr>
                <w:bCs/>
                <w:i/>
                <w:iCs/>
                <w:sz w:val="22"/>
                <w:szCs w:val="22"/>
                <w:lang w:val="fr-FR" w:eastAsia="en-US"/>
              </w:rPr>
              <w:t xml:space="preserve"> </w:t>
            </w:r>
          </w:p>
          <w:p w:rsidR="00121376" w:rsidRPr="00D735B0" w:rsidRDefault="006F6296" w:rsidP="00EC4C4E">
            <w:pPr>
              <w:pStyle w:val="BodyText"/>
              <w:rPr>
                <w:sz w:val="22"/>
                <w:szCs w:val="22"/>
                <w:lang w:val="fr-FR" w:eastAsia="en-US"/>
              </w:rPr>
            </w:pPr>
            <w:r>
              <w:rPr>
                <w:sz w:val="22"/>
                <w:szCs w:val="22"/>
                <w:lang w:val="fr-FR" w:eastAsia="en-US"/>
              </w:rPr>
              <w:t xml:space="preserve">     </w:t>
            </w:r>
            <w:r w:rsidR="00121376" w:rsidRPr="00D735B0">
              <w:rPr>
                <w:sz w:val="22"/>
                <w:szCs w:val="22"/>
                <w:lang w:val="fr-FR" w:eastAsia="en-US"/>
              </w:rPr>
              <w:t>Oui</w:t>
            </w:r>
            <w:r>
              <w:rPr>
                <w:sz w:val="22"/>
                <w:szCs w:val="22"/>
                <w:lang w:val="fr-FR" w:eastAsia="en-US"/>
              </w:rPr>
              <w:t xml:space="preserve">       </w:t>
            </w:r>
            <w:r w:rsidR="00121376" w:rsidRPr="00D735B0">
              <w:rPr>
                <w:sz w:val="22"/>
                <w:szCs w:val="22"/>
                <w:lang w:val="fr-FR" w:eastAsia="en-US"/>
              </w:rPr>
              <w:t xml:space="preserve">    Date</w:t>
            </w:r>
            <w:r>
              <w:rPr>
                <w:sz w:val="22"/>
                <w:szCs w:val="22"/>
                <w:lang w:val="fr-FR" w:eastAsia="en-US"/>
              </w:rPr>
              <w:t> à Confirmer</w:t>
            </w:r>
          </w:p>
          <w:p w:rsidR="00144727" w:rsidRPr="00D735B0" w:rsidRDefault="00121376" w:rsidP="00144727">
            <w:pPr>
              <w:pStyle w:val="BodyText"/>
              <w:rPr>
                <w:bCs/>
                <w:i/>
                <w:iCs/>
                <w:sz w:val="22"/>
                <w:szCs w:val="22"/>
                <w:lang w:val="fr-FR" w:eastAsia="en-US"/>
              </w:rPr>
            </w:pPr>
            <w:r w:rsidRPr="00D735B0">
              <w:rPr>
                <w:sz w:val="22"/>
                <w:szCs w:val="22"/>
                <w:lang w:val="fr-FR" w:eastAsia="en-US"/>
              </w:rPr>
              <w:t xml:space="preserve">Evaluation </w:t>
            </w:r>
            <w:r w:rsidR="00D57EC1" w:rsidRPr="00D57EC1">
              <w:rPr>
                <w:sz w:val="22"/>
                <w:szCs w:val="22"/>
                <w:lang w:val="fr-FR" w:eastAsia="en-US"/>
              </w:rPr>
              <w:t>à</w:t>
            </w:r>
            <w:r w:rsidR="00D57EC1" w:rsidRPr="00D735B0">
              <w:rPr>
                <w:sz w:val="22"/>
                <w:szCs w:val="22"/>
                <w:lang w:val="fr-FR" w:eastAsia="en-US"/>
              </w:rPr>
              <w:t xml:space="preserve"> </w:t>
            </w:r>
            <w:r w:rsidRPr="00D735B0">
              <w:rPr>
                <w:sz w:val="22"/>
                <w:szCs w:val="22"/>
                <w:lang w:val="fr-FR" w:eastAsia="en-US"/>
              </w:rPr>
              <w:t xml:space="preserve">mi-parcours </w:t>
            </w:r>
            <w:r w:rsidRPr="00D735B0">
              <w:rPr>
                <w:bCs/>
                <w:i/>
                <w:iCs/>
                <w:sz w:val="22"/>
                <w:szCs w:val="22"/>
                <w:lang w:val="fr-FR" w:eastAsia="en-US"/>
              </w:rPr>
              <w:t xml:space="preserve">– </w:t>
            </w:r>
            <w:r w:rsidR="00144727" w:rsidRPr="00D735B0">
              <w:rPr>
                <w:bCs/>
                <w:i/>
                <w:iCs/>
                <w:sz w:val="22"/>
                <w:szCs w:val="22"/>
                <w:lang w:val="fr-FR" w:eastAsia="en-US"/>
              </w:rPr>
              <w:t>(</w:t>
            </w:r>
            <w:r w:rsidR="00AD3CB1" w:rsidRPr="00D735B0">
              <w:rPr>
                <w:bCs/>
                <w:i/>
                <w:iCs/>
                <w:sz w:val="22"/>
                <w:szCs w:val="22"/>
                <w:lang w:val="fr-FR" w:eastAsia="en-US"/>
              </w:rPr>
              <w:t>à</w:t>
            </w:r>
            <w:r w:rsidR="00144727" w:rsidRPr="00D735B0">
              <w:rPr>
                <w:bCs/>
                <w:i/>
                <w:iCs/>
                <w:sz w:val="22"/>
                <w:szCs w:val="22"/>
                <w:lang w:val="fr-FR" w:eastAsia="en-US"/>
              </w:rPr>
              <w:t xml:space="preserve"> joindre le cas </w:t>
            </w:r>
            <w:r w:rsidR="00AD3CB1" w:rsidRPr="00D735B0">
              <w:rPr>
                <w:bCs/>
                <w:i/>
                <w:iCs/>
                <w:sz w:val="22"/>
                <w:szCs w:val="22"/>
                <w:lang w:val="fr-FR" w:eastAsia="en-US"/>
              </w:rPr>
              <w:t>échéant</w:t>
            </w:r>
            <w:r w:rsidR="00144727" w:rsidRPr="00D735B0">
              <w:rPr>
                <w:bCs/>
                <w:i/>
                <w:iCs/>
                <w:sz w:val="22"/>
                <w:szCs w:val="22"/>
                <w:lang w:val="fr-FR" w:eastAsia="en-US"/>
              </w:rPr>
              <w:t>)</w:t>
            </w:r>
          </w:p>
          <w:p w:rsidR="00121376" w:rsidRPr="0077492E" w:rsidRDefault="00144727" w:rsidP="006F6296">
            <w:pPr>
              <w:pStyle w:val="BodyText"/>
              <w:rPr>
                <w:lang w:val="fr-FR" w:eastAsia="en-US"/>
              </w:rPr>
            </w:pPr>
            <w:r w:rsidRPr="00D735B0">
              <w:rPr>
                <w:sz w:val="22"/>
                <w:szCs w:val="22"/>
                <w:lang w:val="fr-FR" w:eastAsia="en-US"/>
              </w:rPr>
              <w:t xml:space="preserve">     </w:t>
            </w:r>
            <w:r w:rsidRPr="0077492E">
              <w:rPr>
                <w:sz w:val="22"/>
                <w:szCs w:val="22"/>
                <w:lang w:val="fr-FR" w:eastAsia="en-US"/>
              </w:rPr>
              <w:t xml:space="preserve">Non    </w:t>
            </w:r>
          </w:p>
        </w:tc>
        <w:tc>
          <w:tcPr>
            <w:tcW w:w="360" w:type="dxa"/>
            <w:vMerge/>
            <w:tcBorders>
              <w:left w:val="single" w:sz="4" w:space="0" w:color="auto"/>
              <w:right w:val="single" w:sz="4" w:space="0" w:color="auto"/>
            </w:tcBorders>
          </w:tcPr>
          <w:p w:rsidR="00121376" w:rsidRPr="0077492E" w:rsidRDefault="00121376" w:rsidP="00EC4C4E">
            <w:pPr>
              <w:pStyle w:val="BodyText"/>
              <w:rPr>
                <w:lang w:val="fr-FR" w:eastAsia="en-US"/>
              </w:rPr>
            </w:pPr>
          </w:p>
        </w:tc>
        <w:tc>
          <w:tcPr>
            <w:tcW w:w="5130" w:type="dxa"/>
            <w:tcBorders>
              <w:left w:val="single" w:sz="4" w:space="0" w:color="auto"/>
              <w:bottom w:val="single" w:sz="4" w:space="0" w:color="auto"/>
              <w:right w:val="single" w:sz="4" w:space="0" w:color="auto"/>
            </w:tcBorders>
          </w:tcPr>
          <w:p w:rsidR="00121376" w:rsidRPr="00AC6803" w:rsidRDefault="00121376" w:rsidP="00121376">
            <w:pPr>
              <w:numPr>
                <w:ilvl w:val="0"/>
                <w:numId w:val="9"/>
              </w:numPr>
              <w:ind w:left="342"/>
              <w:rPr>
                <w:sz w:val="22"/>
                <w:lang w:val="en-GB"/>
              </w:rPr>
            </w:pPr>
            <w:r w:rsidRPr="00AC6803">
              <w:rPr>
                <w:sz w:val="22"/>
                <w:lang w:val="en-GB"/>
              </w:rPr>
              <w:t>N</w:t>
            </w:r>
            <w:r w:rsidR="00244DEE" w:rsidRPr="00AC6803">
              <w:rPr>
                <w:sz w:val="22"/>
                <w:lang w:val="en-GB"/>
              </w:rPr>
              <w:t>o</w:t>
            </w:r>
            <w:r w:rsidRPr="00AC6803">
              <w:rPr>
                <w:sz w:val="22"/>
                <w:lang w:val="en-GB"/>
              </w:rPr>
              <w:t>m:</w:t>
            </w:r>
            <w:r w:rsidR="006F6296">
              <w:rPr>
                <w:sz w:val="22"/>
                <w:lang w:val="en-GB"/>
              </w:rPr>
              <w:t xml:space="preserve"> </w:t>
            </w:r>
            <w:r w:rsidR="00616FA5">
              <w:rPr>
                <w:sz w:val="22"/>
                <w:lang w:val="fr-FR"/>
              </w:rPr>
              <w:t>PNUE</w:t>
            </w:r>
            <w:r w:rsidR="00835021">
              <w:rPr>
                <w:sz w:val="22"/>
                <w:lang w:val="fr-FR"/>
              </w:rPr>
              <w:t>-UNOPS</w:t>
            </w:r>
          </w:p>
          <w:p w:rsidR="00121376" w:rsidRPr="00E66A99" w:rsidRDefault="00121376" w:rsidP="00121376">
            <w:pPr>
              <w:numPr>
                <w:ilvl w:val="0"/>
                <w:numId w:val="9"/>
              </w:numPr>
              <w:ind w:left="342"/>
              <w:rPr>
                <w:sz w:val="22"/>
                <w:lang w:val="fr-FR"/>
              </w:rPr>
            </w:pPr>
            <w:r w:rsidRPr="00E66A99">
              <w:rPr>
                <w:sz w:val="22"/>
                <w:lang w:val="fr-FR"/>
              </w:rPr>
              <w:t>Tit</w:t>
            </w:r>
            <w:r w:rsidR="00244DEE" w:rsidRPr="00E66A99">
              <w:rPr>
                <w:sz w:val="22"/>
                <w:lang w:val="fr-FR"/>
              </w:rPr>
              <w:t>r</w:t>
            </w:r>
            <w:r w:rsidRPr="00E66A99">
              <w:rPr>
                <w:sz w:val="22"/>
                <w:lang w:val="fr-FR"/>
              </w:rPr>
              <w:t>e:</w:t>
            </w:r>
            <w:r w:rsidR="006F6296" w:rsidRPr="00E66A99">
              <w:rPr>
                <w:sz w:val="22"/>
                <w:lang w:val="fr-FR"/>
              </w:rPr>
              <w:t xml:space="preserve"> </w:t>
            </w:r>
            <w:r w:rsidR="006F6296" w:rsidRPr="00EC46E3">
              <w:rPr>
                <w:sz w:val="22"/>
                <w:lang w:val="fr-FR"/>
              </w:rPr>
              <w:t>Projet de Développement Durable du Sud-Ouest d’Haïti (Projet DD SO)</w:t>
            </w:r>
          </w:p>
          <w:p w:rsidR="00121376" w:rsidRPr="001F1403" w:rsidRDefault="00121376" w:rsidP="00121376">
            <w:pPr>
              <w:numPr>
                <w:ilvl w:val="0"/>
                <w:numId w:val="9"/>
              </w:numPr>
              <w:ind w:left="342"/>
              <w:rPr>
                <w:sz w:val="22"/>
                <w:lang w:val="fr-FR"/>
              </w:rPr>
            </w:pPr>
            <w:r w:rsidRPr="001F1403">
              <w:rPr>
                <w:sz w:val="22"/>
                <w:lang w:val="fr-FR"/>
              </w:rPr>
              <w:t>Organi</w:t>
            </w:r>
            <w:r w:rsidR="00244DEE" w:rsidRPr="001F1403">
              <w:rPr>
                <w:sz w:val="22"/>
                <w:lang w:val="fr-FR"/>
              </w:rPr>
              <w:t>s</w:t>
            </w:r>
            <w:r w:rsidRPr="001F1403">
              <w:rPr>
                <w:sz w:val="22"/>
                <w:lang w:val="fr-FR"/>
              </w:rPr>
              <w:t>ation</w:t>
            </w:r>
            <w:r w:rsidR="00244DEE" w:rsidRPr="001F1403">
              <w:rPr>
                <w:sz w:val="22"/>
                <w:lang w:val="fr-FR"/>
              </w:rPr>
              <w:t xml:space="preserve"> </w:t>
            </w:r>
            <w:r w:rsidR="001F1403" w:rsidRPr="001F1403">
              <w:rPr>
                <w:sz w:val="22"/>
                <w:lang w:val="fr-FR"/>
              </w:rPr>
              <w:t xml:space="preserve">chef de file </w:t>
            </w:r>
            <w:r w:rsidRPr="001F1403">
              <w:rPr>
                <w:sz w:val="22"/>
                <w:lang w:val="fr-FR"/>
              </w:rPr>
              <w:t xml:space="preserve"> (</w:t>
            </w:r>
            <w:r w:rsidR="00244DEE" w:rsidRPr="001F1403">
              <w:rPr>
                <w:sz w:val="22"/>
                <w:lang w:val="fr-FR"/>
              </w:rPr>
              <w:t>“</w:t>
            </w:r>
            <w:r w:rsidRPr="001F1403">
              <w:rPr>
                <w:sz w:val="22"/>
                <w:lang w:val="fr-FR"/>
              </w:rPr>
              <w:t>Lead</w:t>
            </w:r>
            <w:r w:rsidR="00AC6803" w:rsidRPr="001F1403">
              <w:rPr>
                <w:sz w:val="22"/>
                <w:lang w:val="fr-FR"/>
              </w:rPr>
              <w:t xml:space="preserve"> Agency</w:t>
            </w:r>
            <w:r w:rsidR="00244DEE" w:rsidRPr="001F1403">
              <w:rPr>
                <w:sz w:val="22"/>
                <w:lang w:val="fr-FR"/>
              </w:rPr>
              <w:t>”</w:t>
            </w:r>
            <w:r w:rsidRPr="001F1403">
              <w:rPr>
                <w:sz w:val="22"/>
                <w:lang w:val="fr-FR"/>
              </w:rPr>
              <w:t>):</w:t>
            </w:r>
            <w:r w:rsidR="006F6296" w:rsidRPr="001F1403">
              <w:rPr>
                <w:sz w:val="22"/>
                <w:lang w:val="fr-FR"/>
              </w:rPr>
              <w:t xml:space="preserve"> </w:t>
            </w:r>
            <w:r w:rsidR="00616FA5">
              <w:rPr>
                <w:sz w:val="22"/>
                <w:lang w:val="fr-FR"/>
              </w:rPr>
              <w:t>PNUE</w:t>
            </w:r>
            <w:r w:rsidR="00616FA5" w:rsidRPr="001F1403">
              <w:rPr>
                <w:sz w:val="22"/>
                <w:lang w:val="fr-FR"/>
              </w:rPr>
              <w:t xml:space="preserve"> </w:t>
            </w:r>
          </w:p>
          <w:p w:rsidR="00121376" w:rsidRPr="00AC6803" w:rsidRDefault="00244DEE" w:rsidP="00244DEE">
            <w:pPr>
              <w:pStyle w:val="BodyText"/>
              <w:widowControl/>
              <w:numPr>
                <w:ilvl w:val="0"/>
                <w:numId w:val="9"/>
              </w:numPr>
              <w:spacing w:after="120"/>
              <w:ind w:left="342"/>
              <w:rPr>
                <w:b/>
                <w:bCs/>
                <w:kern w:val="32"/>
                <w:sz w:val="22"/>
                <w:szCs w:val="22"/>
                <w:lang w:eastAsia="en-US"/>
              </w:rPr>
            </w:pPr>
            <w:r w:rsidRPr="00AC6803">
              <w:rPr>
                <w:sz w:val="22"/>
                <w:szCs w:val="22"/>
                <w:lang w:eastAsia="en-US"/>
              </w:rPr>
              <w:t>A</w:t>
            </w:r>
            <w:r w:rsidR="00121376" w:rsidRPr="00AC6803">
              <w:rPr>
                <w:sz w:val="22"/>
                <w:szCs w:val="22"/>
                <w:lang w:eastAsia="en-US"/>
              </w:rPr>
              <w:t>ddress</w:t>
            </w:r>
            <w:r w:rsidRPr="00AC6803">
              <w:rPr>
                <w:sz w:val="22"/>
                <w:szCs w:val="22"/>
                <w:lang w:eastAsia="en-US"/>
              </w:rPr>
              <w:t>e e-mail</w:t>
            </w:r>
            <w:r w:rsidR="00121376" w:rsidRPr="00AC6803">
              <w:rPr>
                <w:sz w:val="22"/>
                <w:szCs w:val="22"/>
                <w:lang w:eastAsia="en-US"/>
              </w:rPr>
              <w:t>:</w:t>
            </w:r>
            <w:r w:rsidR="006F6296">
              <w:rPr>
                <w:sz w:val="22"/>
                <w:szCs w:val="22"/>
                <w:lang w:eastAsia="en-US"/>
              </w:rPr>
              <w:t xml:space="preserve"> antonio.perera@unep.org</w:t>
            </w:r>
          </w:p>
        </w:tc>
      </w:tr>
    </w:tbl>
    <w:p w:rsidR="004F1213" w:rsidRPr="004F1213" w:rsidRDefault="004F1213" w:rsidP="004F1213">
      <w:pPr>
        <w:rPr>
          <w:vanish/>
        </w:rPr>
      </w:pPr>
    </w:p>
    <w:p w:rsidR="007A49B3" w:rsidRDefault="007A49B3" w:rsidP="004D402F">
      <w:pPr>
        <w:rPr>
          <w:lang w:val="fr-FR"/>
        </w:rPr>
      </w:pPr>
    </w:p>
    <w:p w:rsidR="004D402F" w:rsidRPr="000C079B" w:rsidRDefault="004F4DE5" w:rsidP="00FB3B9C">
      <w:pPr>
        <w:pStyle w:val="Heading1"/>
        <w:numPr>
          <w:ilvl w:val="0"/>
          <w:numId w:val="23"/>
        </w:numPr>
        <w:tabs>
          <w:tab w:val="left" w:pos="360"/>
        </w:tabs>
        <w:spacing w:after="120"/>
        <w:rPr>
          <w:rFonts w:ascii="Times New Roman" w:hAnsi="Times New Roman"/>
          <w:sz w:val="24"/>
          <w:szCs w:val="24"/>
        </w:rPr>
      </w:pPr>
      <w:r>
        <w:rPr>
          <w:rFonts w:ascii="Times New Roman" w:hAnsi="Times New Roman"/>
          <w:sz w:val="24"/>
          <w:szCs w:val="24"/>
        </w:rPr>
        <w:t>OBJECTIF</w:t>
      </w:r>
      <w:r w:rsidR="00076417">
        <w:rPr>
          <w:rFonts w:ascii="Times New Roman" w:hAnsi="Times New Roman"/>
          <w:sz w:val="24"/>
          <w:szCs w:val="24"/>
        </w:rPr>
        <w:t>S</w:t>
      </w:r>
    </w:p>
    <w:p w:rsidR="001248CB" w:rsidRPr="001248CB" w:rsidRDefault="001248CB" w:rsidP="00901BF2">
      <w:pPr>
        <w:pStyle w:val="BodyText2"/>
        <w:numPr>
          <w:ilvl w:val="0"/>
          <w:numId w:val="5"/>
        </w:numPr>
        <w:spacing w:after="0" w:line="240" w:lineRule="auto"/>
        <w:jc w:val="both"/>
        <w:rPr>
          <w:szCs w:val="22"/>
          <w:lang w:val="fr-FR"/>
        </w:rPr>
      </w:pPr>
      <w:r w:rsidRPr="001248CB">
        <w:rPr>
          <w:bCs/>
          <w:lang w:val="fr-FR"/>
        </w:rPr>
        <w:t>Le Projet DD SO représente la première phase d’une initiative multisectorielle de relèvement et développement durable d’une durée de 20 ans</w:t>
      </w:r>
      <w:r>
        <w:rPr>
          <w:bCs/>
          <w:lang w:val="fr-FR"/>
        </w:rPr>
        <w:t xml:space="preserve"> (la Cote Sud Initiative)</w:t>
      </w:r>
      <w:r w:rsidRPr="001248CB">
        <w:rPr>
          <w:bCs/>
          <w:lang w:val="fr-FR"/>
        </w:rPr>
        <w:t>, visant le Département du Sud d’Haïti et ciblant lors de cette phase une population de 210 000 habitants. Les objectifs du projet sont la réduction de la pauvreté, la diminution des vulnérabilités liée aux catastrophes, et la restauration des éc</w:t>
      </w:r>
      <w:r>
        <w:rPr>
          <w:bCs/>
          <w:lang w:val="fr-FR"/>
        </w:rPr>
        <w:t>osystèmes</w:t>
      </w:r>
      <w:r w:rsidRPr="001248CB">
        <w:rPr>
          <w:bCs/>
          <w:lang w:val="fr-FR"/>
        </w:rPr>
        <w:t>.</w:t>
      </w:r>
      <w:r>
        <w:rPr>
          <w:bCs/>
          <w:lang w:val="fr-FR"/>
        </w:rPr>
        <w:t xml:space="preserve"> </w:t>
      </w:r>
      <w:r>
        <w:rPr>
          <w:rFonts w:eastAsia="Calibri" w:cs="Arial"/>
          <w:szCs w:val="32"/>
          <w:lang w:val="fr-FR"/>
        </w:rPr>
        <w:t>De manière pratique</w:t>
      </w:r>
      <w:r w:rsidR="006F6296" w:rsidRPr="001248CB">
        <w:rPr>
          <w:rFonts w:eastAsia="Calibri" w:cs="Arial"/>
          <w:szCs w:val="32"/>
          <w:lang w:val="fr-FR"/>
        </w:rPr>
        <w:t xml:space="preserve">, la première année vise le développement d'une solide ligne de base associée à des indicateurs quantitatifs et qualitatifs pour plus de 10 secteurs de développement pour mesurer les progrès de la CSI sur le long terme. Ce travail d’investigation en cours </w:t>
      </w:r>
      <w:r w:rsidR="00C97C32" w:rsidRPr="001248CB">
        <w:rPr>
          <w:rFonts w:eastAsia="Calibri" w:cs="Arial"/>
          <w:szCs w:val="32"/>
          <w:lang w:val="fr-FR"/>
        </w:rPr>
        <w:t xml:space="preserve">est combiné à des interventions </w:t>
      </w:r>
      <w:r w:rsidRPr="001248CB">
        <w:rPr>
          <w:rFonts w:eastAsia="Calibri" w:cs="Arial"/>
          <w:szCs w:val="32"/>
          <w:lang w:val="fr-FR"/>
        </w:rPr>
        <w:t>ciblées</w:t>
      </w:r>
      <w:r w:rsidR="00C97C32" w:rsidRPr="001248CB">
        <w:rPr>
          <w:rFonts w:eastAsia="Calibri" w:cs="Arial"/>
          <w:szCs w:val="32"/>
          <w:lang w:val="fr-FR"/>
        </w:rPr>
        <w:t xml:space="preserve"> à résultats rapides</w:t>
      </w:r>
      <w:r w:rsidRPr="001248CB">
        <w:rPr>
          <w:rFonts w:eastAsia="Calibri" w:cs="Arial"/>
          <w:szCs w:val="32"/>
          <w:lang w:val="fr-FR"/>
        </w:rPr>
        <w:t xml:space="preserve"> pour la population</w:t>
      </w:r>
      <w:r w:rsidR="00C97C32" w:rsidRPr="001248CB">
        <w:rPr>
          <w:rFonts w:eastAsia="Calibri" w:cs="Arial"/>
          <w:szCs w:val="32"/>
          <w:lang w:val="fr-FR"/>
        </w:rPr>
        <w:t xml:space="preserve"> qui s’achèveront </w:t>
      </w:r>
      <w:r w:rsidR="006F6296" w:rsidRPr="001248CB">
        <w:rPr>
          <w:rFonts w:eastAsia="Calibri" w:cs="Arial"/>
          <w:szCs w:val="32"/>
          <w:lang w:val="fr-FR"/>
        </w:rPr>
        <w:t>d</w:t>
      </w:r>
      <w:r w:rsidR="00C97C32" w:rsidRPr="001248CB">
        <w:rPr>
          <w:rFonts w:eastAsia="Calibri" w:cs="Arial"/>
          <w:szCs w:val="32"/>
          <w:lang w:val="fr-FR"/>
        </w:rPr>
        <w:t xml:space="preserve">ans la première moitié de 2012 ainsi que dans l’élaboration de stratégies sectorielles de concert avec les autorités départementales. </w:t>
      </w:r>
    </w:p>
    <w:p w:rsidR="00901BF2" w:rsidRPr="001248CB" w:rsidRDefault="00901BF2" w:rsidP="001248CB">
      <w:pPr>
        <w:pStyle w:val="BodyText2"/>
        <w:spacing w:after="0" w:line="240" w:lineRule="auto"/>
        <w:ind w:left="360"/>
        <w:jc w:val="both"/>
        <w:rPr>
          <w:szCs w:val="22"/>
          <w:lang w:val="fr-FR"/>
        </w:rPr>
      </w:pPr>
    </w:p>
    <w:p w:rsidR="004D402F" w:rsidRPr="001248CB" w:rsidRDefault="00C97C32" w:rsidP="00FB3B9C">
      <w:pPr>
        <w:pStyle w:val="BodyText2"/>
        <w:numPr>
          <w:ilvl w:val="0"/>
          <w:numId w:val="5"/>
        </w:numPr>
        <w:spacing w:after="0" w:line="240" w:lineRule="auto"/>
        <w:jc w:val="both"/>
        <w:rPr>
          <w:szCs w:val="22"/>
          <w:lang w:val="fr-FR"/>
        </w:rPr>
      </w:pPr>
      <w:r w:rsidRPr="001248CB">
        <w:rPr>
          <w:szCs w:val="22"/>
          <w:lang w:val="fr-FR"/>
        </w:rPr>
        <w:t xml:space="preserve">En Haïti, le cadre stratégique d’intervention de l’ONU est basé sur le Plan d’Action </w:t>
      </w:r>
      <w:r w:rsidR="001F1403">
        <w:rPr>
          <w:szCs w:val="22"/>
          <w:lang w:val="fr-FR"/>
        </w:rPr>
        <w:t xml:space="preserve">pour le Relèvement </w:t>
      </w:r>
      <w:r w:rsidR="001248CB" w:rsidRPr="001248CB">
        <w:rPr>
          <w:szCs w:val="22"/>
          <w:lang w:val="fr-FR"/>
        </w:rPr>
        <w:t xml:space="preserve">et </w:t>
      </w:r>
      <w:r w:rsidR="001F1403">
        <w:rPr>
          <w:szCs w:val="22"/>
          <w:lang w:val="fr-FR"/>
        </w:rPr>
        <w:t xml:space="preserve">le </w:t>
      </w:r>
      <w:r w:rsidR="001248CB" w:rsidRPr="001248CB">
        <w:rPr>
          <w:szCs w:val="22"/>
          <w:lang w:val="fr-FR"/>
        </w:rPr>
        <w:t>Développement National</w:t>
      </w:r>
      <w:r w:rsidR="00283D73">
        <w:rPr>
          <w:szCs w:val="22"/>
          <w:lang w:val="fr-FR"/>
        </w:rPr>
        <w:t xml:space="preserve"> </w:t>
      </w:r>
      <w:r w:rsidR="001F1403">
        <w:rPr>
          <w:szCs w:val="22"/>
          <w:lang w:val="fr-FR"/>
        </w:rPr>
        <w:t>d’</w:t>
      </w:r>
      <w:r w:rsidR="003E1467">
        <w:rPr>
          <w:szCs w:val="22"/>
          <w:lang w:val="fr-FR"/>
        </w:rPr>
        <w:t>Haïti</w:t>
      </w:r>
      <w:r w:rsidR="001248CB" w:rsidRPr="001248CB">
        <w:rPr>
          <w:szCs w:val="22"/>
          <w:lang w:val="fr-FR"/>
        </w:rPr>
        <w:t xml:space="preserve"> (PARDN</w:t>
      </w:r>
      <w:r w:rsidR="001F1403">
        <w:rPr>
          <w:szCs w:val="22"/>
          <w:lang w:val="fr-FR"/>
        </w:rPr>
        <w:t>DH</w:t>
      </w:r>
      <w:r w:rsidR="001248CB" w:rsidRPr="001248CB">
        <w:rPr>
          <w:szCs w:val="22"/>
          <w:lang w:val="fr-FR"/>
        </w:rPr>
        <w:t>,</w:t>
      </w:r>
      <w:r w:rsidR="00A710C7">
        <w:rPr>
          <w:szCs w:val="22"/>
          <w:lang w:val="fr-FR"/>
        </w:rPr>
        <w:t xml:space="preserve"> </w:t>
      </w:r>
      <w:r w:rsidR="001248CB" w:rsidRPr="001248CB">
        <w:rPr>
          <w:szCs w:val="22"/>
          <w:lang w:val="fr-FR"/>
        </w:rPr>
        <w:t xml:space="preserve">2010). Dans ce contexte, </w:t>
      </w:r>
      <w:r w:rsidR="001248CB" w:rsidRPr="001248CB">
        <w:rPr>
          <w:bCs/>
          <w:iCs/>
          <w:szCs w:val="22"/>
          <w:lang w:val="fr-FR"/>
        </w:rPr>
        <w:t>c</w:t>
      </w:r>
      <w:r w:rsidRPr="001248CB">
        <w:rPr>
          <w:bCs/>
          <w:iCs/>
          <w:szCs w:val="22"/>
          <w:lang w:val="fr-FR"/>
        </w:rPr>
        <w:t>e projet cible les composantes s</w:t>
      </w:r>
      <w:r w:rsidR="001248CB" w:rsidRPr="001248CB">
        <w:rPr>
          <w:bCs/>
          <w:iCs/>
          <w:szCs w:val="22"/>
          <w:lang w:val="fr-FR"/>
        </w:rPr>
        <w:t>uivantes du PARDN</w:t>
      </w:r>
      <w:r w:rsidR="00A710C7">
        <w:rPr>
          <w:bCs/>
          <w:iCs/>
          <w:szCs w:val="22"/>
          <w:lang w:val="fr-FR"/>
        </w:rPr>
        <w:t>DH</w:t>
      </w:r>
      <w:r w:rsidRPr="001248CB">
        <w:rPr>
          <w:bCs/>
          <w:iCs/>
          <w:szCs w:val="22"/>
          <w:lang w:val="fr-FR"/>
        </w:rPr>
        <w:t>: S</w:t>
      </w:r>
      <w:r w:rsidR="00E66A99">
        <w:rPr>
          <w:bCs/>
          <w:iCs/>
          <w:szCs w:val="22"/>
          <w:lang w:val="fr-FR"/>
        </w:rPr>
        <w:t>ections 4.1.3 (Gestion</w:t>
      </w:r>
      <w:r w:rsidRPr="001248CB">
        <w:rPr>
          <w:bCs/>
          <w:iCs/>
          <w:szCs w:val="22"/>
          <w:lang w:val="fr-FR"/>
        </w:rPr>
        <w:t xml:space="preserve"> des risques liés aux catastrophes naturelles)</w:t>
      </w:r>
      <w:r w:rsidR="00E66A99">
        <w:rPr>
          <w:bCs/>
          <w:iCs/>
          <w:szCs w:val="22"/>
          <w:lang w:val="fr-FR"/>
        </w:rPr>
        <w:t xml:space="preserve"> 4.1.5 (Planification nationale</w:t>
      </w:r>
      <w:r w:rsidRPr="001248CB">
        <w:rPr>
          <w:bCs/>
          <w:iCs/>
          <w:szCs w:val="22"/>
          <w:lang w:val="fr-FR"/>
        </w:rPr>
        <w:t xml:space="preserve"> et développement local) 4.1.6 (Gestion des bassins versants), 4.2.1 (Production agricole, halieutique), 4.2.4 (Accès à l’électricité), 4.3.5 (Education), 4.3.6 (Santé, sécurité alimentaire et nutrition, eau et assainissement)</w:t>
      </w:r>
      <w:r w:rsidR="001248CB">
        <w:rPr>
          <w:bCs/>
          <w:iCs/>
          <w:szCs w:val="22"/>
          <w:lang w:val="fr-FR"/>
        </w:rPr>
        <w:t>.</w:t>
      </w:r>
      <w:r w:rsidRPr="001248CB">
        <w:rPr>
          <w:bCs/>
          <w:i/>
          <w:iCs/>
          <w:szCs w:val="22"/>
          <w:lang w:val="fr-FR"/>
        </w:rPr>
        <w:t xml:space="preserve"> </w:t>
      </w:r>
    </w:p>
    <w:p w:rsidR="004D402F" w:rsidRPr="000405E1" w:rsidRDefault="004D402F" w:rsidP="00FB3B9C">
      <w:pPr>
        <w:pStyle w:val="Heading1"/>
        <w:numPr>
          <w:ilvl w:val="0"/>
          <w:numId w:val="23"/>
        </w:numPr>
        <w:tabs>
          <w:tab w:val="left" w:pos="360"/>
        </w:tabs>
        <w:spacing w:after="120"/>
        <w:rPr>
          <w:rFonts w:ascii="Times New Roman" w:hAnsi="Times New Roman"/>
          <w:sz w:val="24"/>
          <w:szCs w:val="24"/>
        </w:rPr>
      </w:pPr>
      <w:r w:rsidRPr="000405E1">
        <w:rPr>
          <w:rFonts w:ascii="Times New Roman" w:hAnsi="Times New Roman"/>
          <w:sz w:val="24"/>
          <w:szCs w:val="24"/>
        </w:rPr>
        <w:t xml:space="preserve">RESSOURCES </w:t>
      </w:r>
    </w:p>
    <w:p w:rsidR="004D402F" w:rsidRDefault="004D402F" w:rsidP="00616FA5">
      <w:pPr>
        <w:pStyle w:val="BodyText"/>
        <w:spacing w:before="120"/>
        <w:rPr>
          <w:i/>
          <w:szCs w:val="24"/>
        </w:rPr>
      </w:pPr>
      <w:r w:rsidRPr="000C079B">
        <w:rPr>
          <w:i/>
          <w:szCs w:val="24"/>
        </w:rPr>
        <w:t>Re</w:t>
      </w:r>
      <w:r>
        <w:rPr>
          <w:i/>
          <w:szCs w:val="24"/>
        </w:rPr>
        <w:t>s</w:t>
      </w:r>
      <w:r w:rsidRPr="000C079B">
        <w:rPr>
          <w:i/>
          <w:szCs w:val="24"/>
        </w:rPr>
        <w:t>sources</w:t>
      </w:r>
      <w:r>
        <w:rPr>
          <w:i/>
          <w:szCs w:val="24"/>
        </w:rPr>
        <w:t xml:space="preserve"> financières</w:t>
      </w:r>
      <w:r w:rsidRPr="000C079B">
        <w:rPr>
          <w:i/>
          <w:szCs w:val="24"/>
        </w:rPr>
        <w:t>:</w:t>
      </w:r>
    </w:p>
    <w:p w:rsidR="00616FA5" w:rsidRPr="000C079B" w:rsidRDefault="00616FA5" w:rsidP="004D402F">
      <w:pPr>
        <w:pStyle w:val="BodyText"/>
        <w:spacing w:before="120"/>
        <w:ind w:firstLine="360"/>
        <w:rPr>
          <w:i/>
          <w:szCs w:val="24"/>
        </w:rPr>
      </w:pPr>
    </w:p>
    <w:p w:rsidR="00EE4A89" w:rsidRPr="00EE4A89" w:rsidRDefault="00EE4A89" w:rsidP="00EE4A89">
      <w:pPr>
        <w:rPr>
          <w:b/>
          <w:szCs w:val="22"/>
        </w:rPr>
      </w:pPr>
      <w:r w:rsidRPr="00EE4A89">
        <w:rPr>
          <w:b/>
          <w:szCs w:val="22"/>
          <w:lang w:val="fr-FR"/>
        </w:rPr>
        <w:t xml:space="preserve">Contribution du </w:t>
      </w:r>
      <w:r w:rsidR="00A710C7">
        <w:rPr>
          <w:b/>
          <w:szCs w:val="22"/>
          <w:lang w:val="fr-FR"/>
        </w:rPr>
        <w:t xml:space="preserve">FRH </w:t>
      </w:r>
      <w:r w:rsidRPr="00EE4A89">
        <w:rPr>
          <w:b/>
          <w:szCs w:val="22"/>
        </w:rPr>
        <w:t>:</w:t>
      </w:r>
    </w:p>
    <w:p w:rsidR="00EE4A89" w:rsidRPr="00EE4A89" w:rsidRDefault="00616FA5" w:rsidP="00EE4A89">
      <w:pPr>
        <w:pStyle w:val="H2"/>
        <w:numPr>
          <w:ilvl w:val="0"/>
          <w:numId w:val="13"/>
        </w:numPr>
        <w:spacing w:after="120"/>
        <w:ind w:left="162" w:hanging="180"/>
        <w:rPr>
          <w:rFonts w:cs="Times New Roman"/>
          <w:i/>
          <w:sz w:val="24"/>
          <w:szCs w:val="22"/>
          <w:lang w:val="fr-FR"/>
        </w:rPr>
      </w:pPr>
      <w:r>
        <w:rPr>
          <w:rFonts w:cs="Times New Roman"/>
          <w:b w:val="0"/>
          <w:i/>
          <w:sz w:val="24"/>
          <w:szCs w:val="22"/>
          <w:lang w:val="fr-FR"/>
        </w:rPr>
        <w:t>PNUE</w:t>
      </w:r>
      <w:r w:rsidRPr="00EE4A89">
        <w:rPr>
          <w:rFonts w:cs="Times New Roman"/>
          <w:b w:val="0"/>
          <w:i/>
          <w:sz w:val="24"/>
          <w:szCs w:val="22"/>
          <w:lang w:val="fr-FR"/>
        </w:rPr>
        <w:t> </w:t>
      </w:r>
      <w:r w:rsidR="00EE4A89" w:rsidRPr="00EE4A89">
        <w:rPr>
          <w:rFonts w:cs="Times New Roman"/>
          <w:b w:val="0"/>
          <w:i/>
          <w:sz w:val="24"/>
          <w:szCs w:val="22"/>
          <w:lang w:val="fr-FR"/>
        </w:rPr>
        <w:t>: USD 5.145.775</w:t>
      </w:r>
    </w:p>
    <w:p w:rsidR="00EE4A89" w:rsidRPr="00EE4A89" w:rsidRDefault="00EE4A89" w:rsidP="00EE4A89">
      <w:pPr>
        <w:pStyle w:val="H2"/>
        <w:numPr>
          <w:ilvl w:val="0"/>
          <w:numId w:val="13"/>
        </w:numPr>
        <w:spacing w:after="120"/>
        <w:ind w:left="162" w:hanging="180"/>
        <w:rPr>
          <w:rFonts w:cs="Times New Roman"/>
          <w:i/>
          <w:sz w:val="24"/>
          <w:szCs w:val="22"/>
          <w:lang w:val="fr-FR"/>
        </w:rPr>
      </w:pPr>
      <w:r w:rsidRPr="00EE4A89">
        <w:rPr>
          <w:rFonts w:cs="Times New Roman"/>
          <w:b w:val="0"/>
          <w:i/>
          <w:sz w:val="24"/>
          <w:szCs w:val="22"/>
          <w:lang w:val="fr-FR"/>
        </w:rPr>
        <w:t>UNOPS : USD 2.854.225</w:t>
      </w:r>
    </w:p>
    <w:p w:rsidR="00EE4A89" w:rsidRPr="00EE4A89" w:rsidRDefault="00EE4A89" w:rsidP="00EE4A89">
      <w:pPr>
        <w:pStyle w:val="H2"/>
        <w:spacing w:before="120"/>
        <w:rPr>
          <w:rFonts w:cs="Times New Roman"/>
          <w:b w:val="0"/>
          <w:sz w:val="24"/>
          <w:szCs w:val="22"/>
        </w:rPr>
      </w:pPr>
      <w:r w:rsidRPr="00EE4A89">
        <w:rPr>
          <w:sz w:val="24"/>
          <w:szCs w:val="22"/>
          <w:lang w:val="fr-FR"/>
        </w:rPr>
        <w:t>Contribution de(s) agence(s):</w:t>
      </w:r>
    </w:p>
    <w:p w:rsidR="00EE4A89" w:rsidRPr="00EE4A89" w:rsidRDefault="00616FA5" w:rsidP="00EE4A89">
      <w:pPr>
        <w:pStyle w:val="H2"/>
        <w:numPr>
          <w:ilvl w:val="0"/>
          <w:numId w:val="12"/>
        </w:numPr>
        <w:spacing w:after="120"/>
        <w:ind w:left="162" w:hanging="162"/>
        <w:rPr>
          <w:rFonts w:cs="Times New Roman"/>
          <w:sz w:val="24"/>
          <w:szCs w:val="22"/>
          <w:lang w:val="fr-FR"/>
        </w:rPr>
      </w:pPr>
      <w:r>
        <w:rPr>
          <w:rFonts w:cs="Times New Roman"/>
          <w:b w:val="0"/>
          <w:i/>
          <w:sz w:val="24"/>
          <w:szCs w:val="22"/>
          <w:lang w:val="fr-FR"/>
        </w:rPr>
        <w:t>PNUE</w:t>
      </w:r>
      <w:r w:rsidRPr="00EE4A89">
        <w:rPr>
          <w:rFonts w:cs="Times New Roman"/>
          <w:b w:val="0"/>
          <w:i/>
          <w:sz w:val="24"/>
          <w:szCs w:val="22"/>
          <w:lang w:val="fr-FR"/>
        </w:rPr>
        <w:t xml:space="preserve"> </w:t>
      </w:r>
      <w:r w:rsidR="00EE4A89" w:rsidRPr="00EE4A89">
        <w:rPr>
          <w:rFonts w:cs="Times New Roman"/>
          <w:b w:val="0"/>
          <w:i/>
          <w:sz w:val="24"/>
          <w:szCs w:val="22"/>
          <w:lang w:val="fr-FR"/>
        </w:rPr>
        <w:t>&amp; Gouvernement de Norvège : USD 550.000</w:t>
      </w:r>
    </w:p>
    <w:p w:rsidR="00EE4A89" w:rsidRPr="00EE4A89" w:rsidRDefault="00EE4A89" w:rsidP="00EE4A89">
      <w:pPr>
        <w:pStyle w:val="H2"/>
        <w:tabs>
          <w:tab w:val="left" w:pos="2934"/>
        </w:tabs>
        <w:spacing w:before="120"/>
        <w:rPr>
          <w:sz w:val="24"/>
          <w:szCs w:val="22"/>
          <w:lang w:val="fr-FR"/>
        </w:rPr>
      </w:pPr>
      <w:r w:rsidRPr="00EE4A89">
        <w:rPr>
          <w:sz w:val="24"/>
          <w:szCs w:val="22"/>
          <w:lang w:val="fr-FR"/>
        </w:rPr>
        <w:t>Contribution du Gouvernement:</w:t>
      </w:r>
    </w:p>
    <w:p w:rsidR="00EE4A89" w:rsidRPr="00EE4A89" w:rsidRDefault="00EE4A89" w:rsidP="00EE4A89">
      <w:pPr>
        <w:pStyle w:val="H2"/>
        <w:numPr>
          <w:ilvl w:val="0"/>
          <w:numId w:val="12"/>
        </w:numPr>
        <w:spacing w:after="120"/>
        <w:ind w:left="162" w:hanging="162"/>
        <w:rPr>
          <w:rFonts w:cs="Times New Roman"/>
          <w:b w:val="0"/>
          <w:i/>
          <w:sz w:val="24"/>
          <w:szCs w:val="22"/>
          <w:lang w:val="fr-FR"/>
        </w:rPr>
      </w:pPr>
      <w:r w:rsidRPr="00EE4A89">
        <w:rPr>
          <w:rFonts w:cs="Times New Roman"/>
          <w:b w:val="0"/>
          <w:i/>
          <w:sz w:val="24"/>
          <w:szCs w:val="22"/>
          <w:lang w:val="fr-FR"/>
        </w:rPr>
        <w:t>N/A</w:t>
      </w:r>
    </w:p>
    <w:p w:rsidR="00EE4A89" w:rsidRPr="00EE4A89" w:rsidRDefault="00EE4A89" w:rsidP="00EE4A89">
      <w:pPr>
        <w:pStyle w:val="BodyText"/>
        <w:rPr>
          <w:rFonts w:cs="Arial"/>
          <w:b/>
          <w:bCs/>
          <w:iCs/>
          <w:szCs w:val="22"/>
          <w:lang w:val="fr-FR"/>
        </w:rPr>
      </w:pPr>
      <w:r w:rsidRPr="00EE4A89">
        <w:rPr>
          <w:rFonts w:cs="Arial"/>
          <w:b/>
          <w:bCs/>
          <w:iCs/>
          <w:szCs w:val="22"/>
          <w:lang w:val="fr-FR"/>
        </w:rPr>
        <w:t>Autres Contributions [donateur(s)]:</w:t>
      </w:r>
    </w:p>
    <w:p w:rsidR="00EE4A89" w:rsidRPr="00EE4A89" w:rsidRDefault="00EE4A89" w:rsidP="00EE4A89">
      <w:pPr>
        <w:pStyle w:val="H2"/>
        <w:numPr>
          <w:ilvl w:val="0"/>
          <w:numId w:val="12"/>
        </w:numPr>
        <w:spacing w:after="120"/>
        <w:ind w:left="162" w:hanging="162"/>
        <w:rPr>
          <w:rFonts w:cs="Times New Roman"/>
          <w:b w:val="0"/>
          <w:i/>
          <w:sz w:val="24"/>
          <w:szCs w:val="22"/>
          <w:lang w:val="fr-FR"/>
        </w:rPr>
      </w:pPr>
      <w:r w:rsidRPr="00EE4A89">
        <w:rPr>
          <w:rFonts w:cs="Times New Roman"/>
          <w:b w:val="0"/>
          <w:i/>
          <w:sz w:val="24"/>
          <w:szCs w:val="22"/>
          <w:lang w:val="fr-FR"/>
        </w:rPr>
        <w:t>CRS &amp; USAID : USD 4.000.000</w:t>
      </w:r>
    </w:p>
    <w:p w:rsidR="00901BF2" w:rsidRPr="000405E1" w:rsidRDefault="00901BF2" w:rsidP="00EE4A89">
      <w:pPr>
        <w:pStyle w:val="BodyText2"/>
        <w:spacing w:after="0" w:line="240" w:lineRule="auto"/>
        <w:jc w:val="both"/>
        <w:rPr>
          <w:sz w:val="22"/>
          <w:szCs w:val="22"/>
          <w:lang w:val="fr-FR"/>
        </w:rPr>
      </w:pPr>
    </w:p>
    <w:p w:rsidR="001F6E4E" w:rsidRPr="001F6E4E" w:rsidRDefault="001F6E4E" w:rsidP="001F6E4E">
      <w:pPr>
        <w:pStyle w:val="ListParagraph"/>
        <w:widowControl w:val="0"/>
        <w:numPr>
          <w:ilvl w:val="0"/>
          <w:numId w:val="12"/>
        </w:numPr>
        <w:autoSpaceDE w:val="0"/>
        <w:autoSpaceDN w:val="0"/>
        <w:adjustRightInd w:val="0"/>
        <w:jc w:val="both"/>
        <w:rPr>
          <w:rFonts w:cs="Arial"/>
          <w:szCs w:val="32"/>
          <w:lang w:val="fr-FR"/>
        </w:rPr>
      </w:pPr>
      <w:r w:rsidRPr="001F6E4E">
        <w:rPr>
          <w:rFonts w:cs="Arial"/>
          <w:szCs w:val="32"/>
          <w:lang w:val="fr-FR"/>
        </w:rPr>
        <w:t xml:space="preserve">Le projet a été approuvé en octobre 2010 et le financement du </w:t>
      </w:r>
      <w:r w:rsidR="005B0FC4">
        <w:rPr>
          <w:rFonts w:cs="Arial"/>
          <w:szCs w:val="32"/>
          <w:lang w:val="fr-FR"/>
        </w:rPr>
        <w:t xml:space="preserve"> Fonds de Reconstruction d’Haïti (</w:t>
      </w:r>
      <w:r w:rsidRPr="001F6E4E">
        <w:rPr>
          <w:rFonts w:cs="Arial"/>
          <w:szCs w:val="32"/>
          <w:lang w:val="fr-FR"/>
        </w:rPr>
        <w:t>FRH</w:t>
      </w:r>
      <w:r w:rsidR="005B0FC4">
        <w:rPr>
          <w:rFonts w:cs="Arial"/>
          <w:szCs w:val="32"/>
          <w:lang w:val="fr-FR"/>
        </w:rPr>
        <w:t>)</w:t>
      </w:r>
      <w:r w:rsidRPr="001F6E4E">
        <w:rPr>
          <w:rFonts w:cs="Arial"/>
          <w:szCs w:val="32"/>
          <w:lang w:val="fr-FR"/>
        </w:rPr>
        <w:t xml:space="preserve"> a été reçu à la fin du premier trimestre de 2011, ce qui </w:t>
      </w:r>
      <w:r>
        <w:rPr>
          <w:rFonts w:cs="Arial"/>
          <w:szCs w:val="32"/>
          <w:lang w:val="fr-FR"/>
        </w:rPr>
        <w:t xml:space="preserve">a </w:t>
      </w:r>
      <w:r w:rsidRPr="001F6E4E">
        <w:rPr>
          <w:rFonts w:cs="Arial"/>
          <w:szCs w:val="32"/>
          <w:lang w:val="fr-FR"/>
        </w:rPr>
        <w:t>causé des retards dans le démarrage des activités sur le terrain, techniquement initiées en mars 2011</w:t>
      </w:r>
      <w:r>
        <w:rPr>
          <w:rFonts w:cs="Arial"/>
          <w:szCs w:val="32"/>
          <w:lang w:val="fr-FR"/>
        </w:rPr>
        <w:t xml:space="preserve">. </w:t>
      </w:r>
      <w:r w:rsidR="000B0C66">
        <w:rPr>
          <w:rFonts w:cs="Arial"/>
          <w:szCs w:val="32"/>
          <w:lang w:val="fr-FR"/>
        </w:rPr>
        <w:t xml:space="preserve">Ceci explique l’installation physique du bureau en </w:t>
      </w:r>
      <w:r w:rsidR="000B0C66">
        <w:rPr>
          <w:rFonts w:cs="Arial"/>
          <w:szCs w:val="32"/>
          <w:lang w:val="fr-FR"/>
        </w:rPr>
        <w:lastRenderedPageBreak/>
        <w:t xml:space="preserve">aout 2011. </w:t>
      </w:r>
      <w:r>
        <w:rPr>
          <w:rFonts w:cs="Arial"/>
          <w:szCs w:val="32"/>
          <w:lang w:val="fr-FR"/>
        </w:rPr>
        <w:t>U</w:t>
      </w:r>
      <w:r w:rsidRPr="001F6E4E">
        <w:rPr>
          <w:rFonts w:cs="Arial"/>
          <w:szCs w:val="32"/>
          <w:lang w:val="fr-FR"/>
        </w:rPr>
        <w:t>n autre délai de 3</w:t>
      </w:r>
      <w:r>
        <w:rPr>
          <w:rFonts w:cs="Arial"/>
          <w:szCs w:val="32"/>
          <w:lang w:val="fr-FR"/>
        </w:rPr>
        <w:t xml:space="preserve"> mois s’est ajouté et était lié</w:t>
      </w:r>
      <w:r w:rsidRPr="001F6E4E">
        <w:rPr>
          <w:rFonts w:cs="Arial"/>
          <w:szCs w:val="32"/>
          <w:lang w:val="fr-FR"/>
        </w:rPr>
        <w:t xml:space="preserve"> aux (i) Contrats avec les partenaires: Lenteur administrative dans la finalisation des contrats avec les 5 pr</w:t>
      </w:r>
      <w:r w:rsidR="000B0C66">
        <w:rPr>
          <w:rFonts w:cs="Arial"/>
          <w:szCs w:val="32"/>
          <w:lang w:val="fr-FR"/>
        </w:rPr>
        <w:t xml:space="preserve">incipaux partenaires, et à la (ii) </w:t>
      </w:r>
      <w:r w:rsidRPr="001F6E4E">
        <w:rPr>
          <w:rFonts w:cs="Arial"/>
          <w:szCs w:val="32"/>
          <w:lang w:val="fr-FR"/>
        </w:rPr>
        <w:t>Logistique et Recrutement local: Difficultés ont été confronté</w:t>
      </w:r>
      <w:r w:rsidR="00E66A99">
        <w:rPr>
          <w:rFonts w:cs="Arial"/>
          <w:szCs w:val="32"/>
          <w:lang w:val="fr-FR"/>
        </w:rPr>
        <w:t>e</w:t>
      </w:r>
      <w:r w:rsidRPr="001F6E4E">
        <w:rPr>
          <w:rFonts w:cs="Arial"/>
          <w:szCs w:val="32"/>
          <w:lang w:val="fr-FR"/>
        </w:rPr>
        <w:t>s pour l'embauche d'environ vingt personnes locales qualifiées dans un</w:t>
      </w:r>
      <w:r w:rsidR="000B0C66">
        <w:rPr>
          <w:rFonts w:cs="Arial"/>
          <w:szCs w:val="32"/>
          <w:lang w:val="fr-FR"/>
        </w:rPr>
        <w:t>e</w:t>
      </w:r>
      <w:r w:rsidRPr="001F6E4E">
        <w:rPr>
          <w:rFonts w:cs="Arial"/>
          <w:szCs w:val="32"/>
          <w:lang w:val="fr-FR"/>
        </w:rPr>
        <w:t xml:space="preserve"> partie reculée d'Haïti, des procédures et des contraintes logistiques liées à l'achat d'équipement de bureau, du bateau, du zodiaque, etc ... et du transport relatif de ces articles dans une zone rurale à cinq heures de Port-au-Prince; parvenir à des accords sur la location de bureaux.</w:t>
      </w:r>
      <w:r>
        <w:rPr>
          <w:rFonts w:cs="Arial"/>
          <w:szCs w:val="32"/>
          <w:lang w:val="fr-FR"/>
        </w:rPr>
        <w:t xml:space="preserve"> </w:t>
      </w:r>
      <w:r w:rsidRPr="001F6E4E">
        <w:rPr>
          <w:rFonts w:cs="Arial"/>
          <w:szCs w:val="32"/>
          <w:lang w:val="fr-FR"/>
        </w:rPr>
        <w:t>Entre septembre et décem</w:t>
      </w:r>
      <w:r w:rsidR="00E66A99">
        <w:rPr>
          <w:rFonts w:cs="Arial"/>
          <w:szCs w:val="32"/>
          <w:lang w:val="fr-FR"/>
        </w:rPr>
        <w:t>bre 2011, le goulot</w:t>
      </w:r>
      <w:r w:rsidRPr="001F6E4E">
        <w:rPr>
          <w:rFonts w:cs="Arial"/>
          <w:szCs w:val="32"/>
          <w:lang w:val="fr-FR"/>
        </w:rPr>
        <w:t xml:space="preserve"> d’étranglement administratif, procédurier et financier liés à la mobilisation de A à Z du projet a été résolus.</w:t>
      </w:r>
    </w:p>
    <w:p w:rsidR="00901BF2" w:rsidRDefault="00901BF2" w:rsidP="001F6E4E">
      <w:pPr>
        <w:pStyle w:val="BodyText2"/>
        <w:spacing w:after="0" w:line="240" w:lineRule="auto"/>
        <w:jc w:val="both"/>
        <w:rPr>
          <w:lang w:val="fr-FR"/>
        </w:rPr>
      </w:pPr>
    </w:p>
    <w:p w:rsidR="004D402F" w:rsidRPr="000C079B" w:rsidRDefault="004D402F" w:rsidP="00901BF2">
      <w:pPr>
        <w:pStyle w:val="BodyText2"/>
        <w:spacing w:after="0" w:line="240" w:lineRule="auto"/>
        <w:ind w:left="360"/>
        <w:jc w:val="both"/>
        <w:rPr>
          <w:i/>
        </w:rPr>
      </w:pPr>
      <w:r w:rsidRPr="000C079B">
        <w:rPr>
          <w:i/>
        </w:rPr>
        <w:t>Re</w:t>
      </w:r>
      <w:r>
        <w:rPr>
          <w:i/>
        </w:rPr>
        <w:t>s</w:t>
      </w:r>
      <w:r w:rsidRPr="000C079B">
        <w:rPr>
          <w:i/>
        </w:rPr>
        <w:t>sources</w:t>
      </w:r>
      <w:r>
        <w:rPr>
          <w:i/>
        </w:rPr>
        <w:t xml:space="preserve"> humaines</w:t>
      </w:r>
      <w:r w:rsidRPr="000C079B">
        <w:rPr>
          <w:i/>
        </w:rPr>
        <w:t>:</w:t>
      </w:r>
    </w:p>
    <w:p w:rsidR="004D402F" w:rsidRPr="002517F5" w:rsidRDefault="004D402F" w:rsidP="004D402F">
      <w:pPr>
        <w:pStyle w:val="BodyText2"/>
        <w:numPr>
          <w:ilvl w:val="0"/>
          <w:numId w:val="5"/>
        </w:numPr>
        <w:spacing w:after="0" w:line="240" w:lineRule="auto"/>
        <w:jc w:val="both"/>
        <w:rPr>
          <w:szCs w:val="22"/>
          <w:lang w:val="fr-FR"/>
        </w:rPr>
      </w:pPr>
      <w:r w:rsidRPr="002517F5">
        <w:rPr>
          <w:szCs w:val="22"/>
          <w:lang w:val="fr-FR"/>
        </w:rPr>
        <w:t xml:space="preserve">Personnel National: </w:t>
      </w:r>
      <w:r w:rsidR="00526513" w:rsidRPr="002517F5">
        <w:rPr>
          <w:szCs w:val="22"/>
          <w:lang w:val="fr-FR"/>
        </w:rPr>
        <w:t xml:space="preserve">13 personnes pour Opérations et 12 personnes pour Programmes </w:t>
      </w:r>
      <w:r w:rsidRPr="002517F5">
        <w:rPr>
          <w:szCs w:val="22"/>
          <w:lang w:val="fr-FR"/>
        </w:rPr>
        <w:t>Précise</w:t>
      </w:r>
      <w:r w:rsidR="00F14CE9" w:rsidRPr="002517F5">
        <w:rPr>
          <w:szCs w:val="22"/>
          <w:lang w:val="fr-FR"/>
        </w:rPr>
        <w:t>r</w:t>
      </w:r>
      <w:r w:rsidRPr="002517F5">
        <w:rPr>
          <w:szCs w:val="22"/>
          <w:lang w:val="fr-FR"/>
        </w:rPr>
        <w:t xml:space="preserve"> le nombre et type de personnel</w:t>
      </w:r>
      <w:r w:rsidR="00901BF2" w:rsidRPr="002517F5">
        <w:rPr>
          <w:szCs w:val="22"/>
          <w:lang w:val="fr-FR"/>
        </w:rPr>
        <w:t xml:space="preserve"> (</w:t>
      </w:r>
      <w:r w:rsidR="002B6526" w:rsidRPr="002517F5">
        <w:rPr>
          <w:szCs w:val="22"/>
          <w:lang w:val="fr-FR"/>
        </w:rPr>
        <w:t>opérations</w:t>
      </w:r>
      <w:r w:rsidR="00901BF2" w:rsidRPr="002517F5">
        <w:rPr>
          <w:szCs w:val="22"/>
          <w:lang w:val="fr-FR"/>
        </w:rPr>
        <w:t>/programme)</w:t>
      </w:r>
      <w:r w:rsidRPr="002517F5">
        <w:rPr>
          <w:szCs w:val="22"/>
          <w:lang w:val="fr-FR"/>
        </w:rPr>
        <w:t>.</w:t>
      </w:r>
    </w:p>
    <w:p w:rsidR="00526513" w:rsidRPr="002517F5" w:rsidRDefault="004D402F" w:rsidP="00FB3B9C">
      <w:pPr>
        <w:pStyle w:val="BodyText2"/>
        <w:numPr>
          <w:ilvl w:val="0"/>
          <w:numId w:val="5"/>
        </w:numPr>
        <w:spacing w:after="0" w:line="240" w:lineRule="auto"/>
        <w:jc w:val="both"/>
        <w:rPr>
          <w:szCs w:val="22"/>
          <w:lang w:val="fr-FR"/>
        </w:rPr>
      </w:pPr>
      <w:r w:rsidRPr="002517F5">
        <w:rPr>
          <w:szCs w:val="22"/>
          <w:lang w:val="fr-FR"/>
        </w:rPr>
        <w:t xml:space="preserve">Personnel International: </w:t>
      </w:r>
      <w:r w:rsidR="00526513" w:rsidRPr="002517F5">
        <w:rPr>
          <w:szCs w:val="22"/>
          <w:lang w:val="fr-FR"/>
        </w:rPr>
        <w:t>2 personnes Opérations et 4 personnes Programmes</w:t>
      </w:r>
    </w:p>
    <w:p w:rsidR="004D402F" w:rsidRPr="003A08BF" w:rsidRDefault="000405E1" w:rsidP="00FB3B9C">
      <w:pPr>
        <w:pStyle w:val="Heading1"/>
        <w:numPr>
          <w:ilvl w:val="0"/>
          <w:numId w:val="23"/>
        </w:numPr>
        <w:tabs>
          <w:tab w:val="left" w:pos="360"/>
        </w:tabs>
        <w:spacing w:after="120"/>
        <w:rPr>
          <w:rFonts w:ascii="Times New Roman" w:hAnsi="Times New Roman"/>
          <w:sz w:val="24"/>
          <w:szCs w:val="24"/>
          <w:lang w:val="fr-FR"/>
        </w:rPr>
      </w:pPr>
      <w:r w:rsidRPr="003A08BF">
        <w:rPr>
          <w:rFonts w:ascii="Times New Roman" w:hAnsi="Times New Roman"/>
          <w:sz w:val="24"/>
          <w:szCs w:val="24"/>
          <w:lang w:val="fr-FR"/>
        </w:rPr>
        <w:t xml:space="preserve"> </w:t>
      </w:r>
      <w:r w:rsidR="004D402F" w:rsidRPr="003A08BF">
        <w:rPr>
          <w:rFonts w:ascii="Times New Roman" w:hAnsi="Times New Roman"/>
          <w:sz w:val="24"/>
          <w:szCs w:val="24"/>
          <w:lang w:val="fr-FR"/>
        </w:rPr>
        <w:t>ARRANGEMENTS DE GESTION ET SUIVI DU PROGRAMME</w:t>
      </w:r>
    </w:p>
    <w:p w:rsidR="00186D92" w:rsidRPr="00CD660B" w:rsidRDefault="009E610D" w:rsidP="009E6155">
      <w:pPr>
        <w:pStyle w:val="ListParagraph"/>
        <w:widowControl w:val="0"/>
        <w:numPr>
          <w:ilvl w:val="0"/>
          <w:numId w:val="29"/>
        </w:numPr>
        <w:tabs>
          <w:tab w:val="left" w:pos="220"/>
          <w:tab w:val="left" w:pos="720"/>
        </w:tabs>
        <w:autoSpaceDE w:val="0"/>
        <w:autoSpaceDN w:val="0"/>
        <w:adjustRightInd w:val="0"/>
        <w:spacing w:after="40"/>
        <w:jc w:val="both"/>
        <w:rPr>
          <w:lang w:val="fr-FR"/>
        </w:rPr>
      </w:pPr>
      <w:r w:rsidRPr="00CD660B">
        <w:rPr>
          <w:szCs w:val="22"/>
          <w:lang w:val="fr-FR"/>
        </w:rPr>
        <w:t>L</w:t>
      </w:r>
      <w:r w:rsidR="00C776DA" w:rsidRPr="00CD660B">
        <w:rPr>
          <w:szCs w:val="22"/>
          <w:lang w:val="fr-FR"/>
        </w:rPr>
        <w:t xml:space="preserve">a Cote Sud Initiative </w:t>
      </w:r>
      <w:r w:rsidRPr="00CD660B">
        <w:rPr>
          <w:szCs w:val="22"/>
          <w:lang w:val="fr-FR"/>
        </w:rPr>
        <w:t>(</w:t>
      </w:r>
      <w:r w:rsidR="00C776DA" w:rsidRPr="00CD660B">
        <w:rPr>
          <w:szCs w:val="22"/>
          <w:lang w:val="fr-FR"/>
        </w:rPr>
        <w:t>CSI</w:t>
      </w:r>
      <w:r w:rsidRPr="00CD660B">
        <w:rPr>
          <w:szCs w:val="22"/>
          <w:lang w:val="fr-FR"/>
        </w:rPr>
        <w:t xml:space="preserve">) </w:t>
      </w:r>
      <w:r w:rsidR="00C776DA" w:rsidRPr="00CD660B">
        <w:rPr>
          <w:szCs w:val="22"/>
          <w:lang w:val="fr-FR"/>
        </w:rPr>
        <w:t xml:space="preserve">est une </w:t>
      </w:r>
      <w:r w:rsidR="00C776DA" w:rsidRPr="00CD660B">
        <w:rPr>
          <w:lang w:val="fr-FR"/>
        </w:rPr>
        <w:t>coalition grandissante d'organisations nationales, internationales, de communautés locales et de partenaires du secteur privé, le tout dirigée par le Gouvernement Haïtien avec support des Nations Unies. En pratique, la coalition développe et délivre conjointement une série de programmes de développement sectoriels répartis sur l’ensemble du Département. Les programmes sectoriels du CSI sont: Tourisme; Infrastructure; Gestion de la zone marine et côtière; Energie, Développement du secteur privé, Gestion des ressources en eau, Assainissement; Agriculture et Foresterie, Santé, Education. Ces programmes sont constitués de plusieurs projets financièrement indépendants, tenus ensemble par une stratégie de cinq ans (en développement), un plan</w:t>
      </w:r>
      <w:r w:rsidRPr="00CD660B">
        <w:rPr>
          <w:lang w:val="fr-FR"/>
        </w:rPr>
        <w:t xml:space="preserve"> de travail annuel </w:t>
      </w:r>
      <w:r w:rsidR="00C776DA" w:rsidRPr="00CD660B">
        <w:rPr>
          <w:lang w:val="fr-FR"/>
        </w:rPr>
        <w:t xml:space="preserve">et des comités de pilotage sectoriels (comme les Tables Sectorielles). La CSI est chapeauté par le Ministère de la Planification et Coopération Externe (MPCE). Cependant, chaque programme CSI est développé pour et par le </w:t>
      </w:r>
      <w:r w:rsidRPr="00CD660B">
        <w:rPr>
          <w:i/>
          <w:lang w:val="fr-FR"/>
        </w:rPr>
        <w:t>Ministère Sectoriel</w:t>
      </w:r>
      <w:r w:rsidR="00C776DA" w:rsidRPr="00CD660B">
        <w:rPr>
          <w:lang w:val="fr-FR"/>
        </w:rPr>
        <w:t xml:space="preserve"> correspondant tel que le Ministère du Tourisme pour le Programme de Tourisme par exemple, tout en assurant une collaboration étroite avec les autres Ministères d’influence au cas par cas. Les </w:t>
      </w:r>
      <w:r w:rsidR="00B451F5">
        <w:rPr>
          <w:szCs w:val="22"/>
          <w:lang w:val="fr-FR"/>
        </w:rPr>
        <w:t>programmes sectoriel</w:t>
      </w:r>
      <w:r w:rsidR="00C776DA" w:rsidRPr="00CD660B">
        <w:rPr>
          <w:szCs w:val="22"/>
          <w:lang w:val="fr-FR"/>
        </w:rPr>
        <w:t>s s’articulent autour du Programme de Suppo</w:t>
      </w:r>
      <w:r w:rsidR="00186D92" w:rsidRPr="00CD660B">
        <w:rPr>
          <w:szCs w:val="22"/>
          <w:lang w:val="fr-FR"/>
        </w:rPr>
        <w:t>rt CSI qui coordonne l’ensemble en support au MPCE. Les acteurs impliqués dans cette coalition peuvent se diviser en 4 catégories</w:t>
      </w:r>
      <w:r w:rsidRPr="00CD660B">
        <w:rPr>
          <w:szCs w:val="22"/>
          <w:lang w:val="fr-FR"/>
        </w:rPr>
        <w:t xml:space="preserve"> de partenaires</w:t>
      </w:r>
      <w:r w:rsidR="00186D92" w:rsidRPr="00CD660B">
        <w:rPr>
          <w:szCs w:val="22"/>
          <w:lang w:val="fr-FR"/>
        </w:rPr>
        <w:t xml:space="preserve"> : </w:t>
      </w:r>
      <w:r w:rsidR="00186D92" w:rsidRPr="00CD660B">
        <w:rPr>
          <w:szCs w:val="22"/>
          <w:lang w:val="fr-FR"/>
        </w:rPr>
        <w:br/>
        <w:t xml:space="preserve">1. Gouvernance, Développement et Coordination </w:t>
      </w:r>
      <w:r w:rsidR="00C776DA" w:rsidRPr="00CD660B">
        <w:rPr>
          <w:szCs w:val="22"/>
          <w:lang w:val="fr-FR"/>
        </w:rPr>
        <w:t xml:space="preserve"> </w:t>
      </w:r>
      <w:r w:rsidR="00186D92" w:rsidRPr="00CD660B">
        <w:rPr>
          <w:szCs w:val="22"/>
          <w:lang w:val="fr-FR"/>
        </w:rPr>
        <w:t>(Gouvernement appuyé par le PNUE</w:t>
      </w:r>
      <w:r w:rsidRPr="00CD660B">
        <w:rPr>
          <w:szCs w:val="22"/>
          <w:lang w:val="fr-FR"/>
        </w:rPr>
        <w:t xml:space="preserve"> en liaison directe avec les partenaires</w:t>
      </w:r>
      <w:r w:rsidR="00186D92" w:rsidRPr="00CD660B">
        <w:rPr>
          <w:szCs w:val="22"/>
          <w:lang w:val="fr-FR"/>
        </w:rPr>
        <w:t>)</w:t>
      </w:r>
    </w:p>
    <w:p w:rsidR="00186D92" w:rsidRPr="00CD660B" w:rsidRDefault="00186D92" w:rsidP="00186D92">
      <w:pPr>
        <w:pStyle w:val="ListParagraph"/>
        <w:widowControl w:val="0"/>
        <w:tabs>
          <w:tab w:val="left" w:pos="220"/>
          <w:tab w:val="left" w:pos="720"/>
        </w:tabs>
        <w:autoSpaceDE w:val="0"/>
        <w:autoSpaceDN w:val="0"/>
        <w:adjustRightInd w:val="0"/>
        <w:spacing w:after="40"/>
        <w:ind w:left="360"/>
        <w:jc w:val="both"/>
        <w:rPr>
          <w:szCs w:val="22"/>
          <w:lang w:val="fr-FR"/>
        </w:rPr>
      </w:pPr>
      <w:r w:rsidRPr="00CD660B">
        <w:rPr>
          <w:szCs w:val="22"/>
          <w:lang w:val="fr-FR"/>
        </w:rPr>
        <w:t>2. Logistiques et Opérations (UNOPS)</w:t>
      </w:r>
    </w:p>
    <w:p w:rsidR="00186D92" w:rsidRPr="00CD660B" w:rsidRDefault="00186D92" w:rsidP="00186D92">
      <w:pPr>
        <w:pStyle w:val="ListParagraph"/>
        <w:widowControl w:val="0"/>
        <w:tabs>
          <w:tab w:val="left" w:pos="220"/>
          <w:tab w:val="left" w:pos="720"/>
        </w:tabs>
        <w:autoSpaceDE w:val="0"/>
        <w:autoSpaceDN w:val="0"/>
        <w:adjustRightInd w:val="0"/>
        <w:spacing w:after="40"/>
        <w:ind w:left="360"/>
        <w:jc w:val="both"/>
        <w:rPr>
          <w:szCs w:val="22"/>
          <w:lang w:val="fr-FR"/>
        </w:rPr>
      </w:pPr>
      <w:r w:rsidRPr="00CD660B">
        <w:rPr>
          <w:szCs w:val="22"/>
          <w:lang w:val="fr-FR"/>
        </w:rPr>
        <w:t>3. Assistance Technique (</w:t>
      </w:r>
      <w:r w:rsidR="009E610D" w:rsidRPr="00CD660B">
        <w:rPr>
          <w:szCs w:val="22"/>
          <w:lang w:val="fr-FR"/>
        </w:rPr>
        <w:t xml:space="preserve">PNUE, </w:t>
      </w:r>
      <w:r w:rsidRPr="00CD660B">
        <w:rPr>
          <w:szCs w:val="22"/>
          <w:lang w:val="fr-FR"/>
        </w:rPr>
        <w:t>Columbia University, The Nature Conservancy)</w:t>
      </w:r>
    </w:p>
    <w:p w:rsidR="00186D92" w:rsidRDefault="00186D92" w:rsidP="00186D92">
      <w:pPr>
        <w:pStyle w:val="ListParagraph"/>
        <w:widowControl w:val="0"/>
        <w:tabs>
          <w:tab w:val="left" w:pos="220"/>
          <w:tab w:val="left" w:pos="720"/>
        </w:tabs>
        <w:autoSpaceDE w:val="0"/>
        <w:autoSpaceDN w:val="0"/>
        <w:adjustRightInd w:val="0"/>
        <w:spacing w:after="40"/>
        <w:ind w:left="360"/>
        <w:jc w:val="both"/>
        <w:rPr>
          <w:szCs w:val="22"/>
          <w:lang w:val="fr-FR"/>
        </w:rPr>
      </w:pPr>
      <w:r w:rsidRPr="00CD660B">
        <w:rPr>
          <w:szCs w:val="22"/>
          <w:lang w:val="fr-FR"/>
        </w:rPr>
        <w:t xml:space="preserve">4. Mise en Œuvre (CRS, ORE, </w:t>
      </w:r>
      <w:r w:rsidR="009E6155">
        <w:rPr>
          <w:szCs w:val="22"/>
          <w:lang w:val="fr-FR"/>
        </w:rPr>
        <w:t>EarthSpark, communautés de base</w:t>
      </w:r>
      <w:r w:rsidRPr="00CD660B">
        <w:rPr>
          <w:szCs w:val="22"/>
          <w:lang w:val="fr-FR"/>
        </w:rPr>
        <w:t xml:space="preserve"> et associations)</w:t>
      </w:r>
    </w:p>
    <w:p w:rsidR="009E6155" w:rsidRPr="00CD660B" w:rsidRDefault="009E6155" w:rsidP="00186D92">
      <w:pPr>
        <w:pStyle w:val="ListParagraph"/>
        <w:widowControl w:val="0"/>
        <w:tabs>
          <w:tab w:val="left" w:pos="220"/>
          <w:tab w:val="left" w:pos="720"/>
        </w:tabs>
        <w:autoSpaceDE w:val="0"/>
        <w:autoSpaceDN w:val="0"/>
        <w:adjustRightInd w:val="0"/>
        <w:spacing w:after="40"/>
        <w:ind w:left="360"/>
        <w:jc w:val="both"/>
        <w:rPr>
          <w:szCs w:val="22"/>
          <w:lang w:val="fr-FR"/>
        </w:rPr>
      </w:pPr>
    </w:p>
    <w:p w:rsidR="00C776DA" w:rsidRPr="00CD660B" w:rsidRDefault="00186D92" w:rsidP="00186D92">
      <w:pPr>
        <w:pStyle w:val="ListParagraph"/>
        <w:widowControl w:val="0"/>
        <w:tabs>
          <w:tab w:val="left" w:pos="220"/>
          <w:tab w:val="left" w:pos="720"/>
        </w:tabs>
        <w:autoSpaceDE w:val="0"/>
        <w:autoSpaceDN w:val="0"/>
        <w:adjustRightInd w:val="0"/>
        <w:spacing w:after="40"/>
        <w:ind w:left="360"/>
        <w:jc w:val="both"/>
        <w:rPr>
          <w:lang w:val="fr-FR"/>
        </w:rPr>
      </w:pPr>
      <w:r w:rsidRPr="00CD660B">
        <w:rPr>
          <w:szCs w:val="22"/>
          <w:lang w:val="fr-FR"/>
        </w:rPr>
        <w:t xml:space="preserve">Dans cette catégorisation, les fonds </w:t>
      </w:r>
      <w:r w:rsidR="009E6155">
        <w:rPr>
          <w:szCs w:val="22"/>
          <w:lang w:val="fr-FR"/>
        </w:rPr>
        <w:t xml:space="preserve">du FRH </w:t>
      </w:r>
      <w:r w:rsidRPr="00CD660B">
        <w:rPr>
          <w:szCs w:val="22"/>
          <w:lang w:val="fr-FR"/>
        </w:rPr>
        <w:t xml:space="preserve">ont été transmis </w:t>
      </w:r>
      <w:r w:rsidR="009E610D" w:rsidRPr="00CD660B">
        <w:rPr>
          <w:szCs w:val="22"/>
          <w:lang w:val="fr-FR"/>
        </w:rPr>
        <w:t xml:space="preserve">au PNUE </w:t>
      </w:r>
      <w:r w:rsidR="00B410E0" w:rsidRPr="00CD660B">
        <w:rPr>
          <w:szCs w:val="22"/>
          <w:lang w:val="fr-FR"/>
        </w:rPr>
        <w:t>(</w:t>
      </w:r>
      <w:r w:rsidR="009E610D" w:rsidRPr="00CD660B">
        <w:rPr>
          <w:szCs w:val="22"/>
          <w:lang w:val="fr-FR"/>
        </w:rPr>
        <w:t>USD 5.145.775</w:t>
      </w:r>
      <w:r w:rsidR="00B410E0" w:rsidRPr="00CD660B">
        <w:rPr>
          <w:szCs w:val="22"/>
          <w:lang w:val="fr-FR"/>
        </w:rPr>
        <w:t>)</w:t>
      </w:r>
      <w:r w:rsidR="009E610D" w:rsidRPr="00CD660B">
        <w:rPr>
          <w:szCs w:val="22"/>
          <w:lang w:val="fr-FR"/>
        </w:rPr>
        <w:t xml:space="preserve"> et à l’UNOPS</w:t>
      </w:r>
      <w:r w:rsidR="00B410E0" w:rsidRPr="00CD660B">
        <w:rPr>
          <w:szCs w:val="22"/>
          <w:lang w:val="fr-FR"/>
        </w:rPr>
        <w:t xml:space="preserve"> (USD 2.854.225)</w:t>
      </w:r>
      <w:r w:rsidR="009E610D" w:rsidRPr="00CD660B">
        <w:rPr>
          <w:szCs w:val="22"/>
          <w:lang w:val="fr-FR"/>
        </w:rPr>
        <w:t>. L</w:t>
      </w:r>
      <w:r w:rsidRPr="00CD660B">
        <w:rPr>
          <w:szCs w:val="22"/>
          <w:lang w:val="fr-FR"/>
        </w:rPr>
        <w:t>’UNOPS s’occupe de l’achat de matériels, du recrutement du personnel, de la location du bureau,</w:t>
      </w:r>
      <w:r w:rsidR="00463EE7">
        <w:rPr>
          <w:szCs w:val="22"/>
          <w:lang w:val="fr-FR"/>
        </w:rPr>
        <w:t xml:space="preserve"> le développement de l’infrastructure</w:t>
      </w:r>
      <w:r w:rsidRPr="00CD660B">
        <w:rPr>
          <w:szCs w:val="22"/>
          <w:lang w:val="fr-FR"/>
        </w:rPr>
        <w:t xml:space="preserve"> </w:t>
      </w:r>
      <w:r w:rsidR="009E610D" w:rsidRPr="00CD660B">
        <w:rPr>
          <w:szCs w:val="22"/>
          <w:lang w:val="fr-FR"/>
        </w:rPr>
        <w:t>et dans certain</w:t>
      </w:r>
      <w:r w:rsidR="009E6155">
        <w:rPr>
          <w:szCs w:val="22"/>
          <w:lang w:val="fr-FR"/>
        </w:rPr>
        <w:t>s cas de contrats direct</w:t>
      </w:r>
      <w:r w:rsidR="009E610D" w:rsidRPr="00CD660B">
        <w:rPr>
          <w:szCs w:val="22"/>
          <w:lang w:val="fr-FR"/>
        </w:rPr>
        <w:t>s avec des organisations locales pour la réalisa</w:t>
      </w:r>
      <w:r w:rsidR="009E6155">
        <w:rPr>
          <w:szCs w:val="22"/>
          <w:lang w:val="fr-FR"/>
        </w:rPr>
        <w:t xml:space="preserve">tion d’activités rapides sous l’égide </w:t>
      </w:r>
      <w:r w:rsidR="009E610D" w:rsidRPr="00CD660B">
        <w:rPr>
          <w:szCs w:val="22"/>
          <w:lang w:val="fr-FR"/>
        </w:rPr>
        <w:t xml:space="preserve">du PNUE. </w:t>
      </w:r>
      <w:r w:rsidR="00463EE7">
        <w:rPr>
          <w:szCs w:val="22"/>
          <w:lang w:val="fr-FR"/>
        </w:rPr>
        <w:t>Alors que l’UNOPS a une emphase sur la logistique et les opérations, l</w:t>
      </w:r>
      <w:r w:rsidRPr="00CD660B">
        <w:rPr>
          <w:szCs w:val="22"/>
          <w:lang w:val="fr-FR"/>
        </w:rPr>
        <w:t xml:space="preserve">e PNUE </w:t>
      </w:r>
      <w:r w:rsidR="00463EE7">
        <w:rPr>
          <w:szCs w:val="22"/>
          <w:lang w:val="fr-FR"/>
        </w:rPr>
        <w:t xml:space="preserve">s’engage au niveau programmatique et à ce titre tout en fournissant une supervision et coordination technique </w:t>
      </w:r>
      <w:r w:rsidRPr="00CD660B">
        <w:rPr>
          <w:szCs w:val="22"/>
          <w:lang w:val="fr-FR"/>
        </w:rPr>
        <w:t>a réalisé 5 contrat</w:t>
      </w:r>
      <w:r w:rsidR="009E610D" w:rsidRPr="00CD660B">
        <w:rPr>
          <w:szCs w:val="22"/>
          <w:lang w:val="fr-FR"/>
        </w:rPr>
        <w:t>s</w:t>
      </w:r>
      <w:r w:rsidR="00B410E0" w:rsidRPr="00CD660B">
        <w:rPr>
          <w:szCs w:val="22"/>
          <w:lang w:val="fr-FR"/>
        </w:rPr>
        <w:t xml:space="preserve"> d’une valeur totale de USD </w:t>
      </w:r>
      <w:r w:rsidR="00B410E0" w:rsidRPr="00E66A99">
        <w:rPr>
          <w:rFonts w:eastAsia="Calibri"/>
          <w:szCs w:val="20"/>
          <w:lang w:val="fr-FR"/>
        </w:rPr>
        <w:t>3.734.875</w:t>
      </w:r>
      <w:r w:rsidRPr="00CD660B">
        <w:rPr>
          <w:szCs w:val="22"/>
          <w:lang w:val="fr-FR"/>
        </w:rPr>
        <w:t xml:space="preserve"> avec les partenaires nationaux et internationaux pour l’assistance technique et la mise en œuvre sur le terrain sur base du plan de travail </w:t>
      </w:r>
      <w:r w:rsidR="009E610D" w:rsidRPr="00CD660B">
        <w:rPr>
          <w:szCs w:val="22"/>
          <w:lang w:val="fr-FR"/>
        </w:rPr>
        <w:t>développé conjointement avec les partenaires pour la première année et ce av</w:t>
      </w:r>
      <w:r w:rsidR="009E6155">
        <w:rPr>
          <w:szCs w:val="22"/>
          <w:lang w:val="fr-FR"/>
        </w:rPr>
        <w:t>ant la réception des fonds du FRH</w:t>
      </w:r>
      <w:r w:rsidRPr="00CD660B">
        <w:rPr>
          <w:szCs w:val="22"/>
          <w:lang w:val="fr-FR"/>
        </w:rPr>
        <w:t>.</w:t>
      </w:r>
      <w:r w:rsidR="009E610D" w:rsidRPr="00CD660B">
        <w:rPr>
          <w:szCs w:val="22"/>
          <w:lang w:val="fr-FR"/>
        </w:rPr>
        <w:t xml:space="preserve"> Il est à signaler que les partenaires contractés établissent eux aussi des sous-contra</w:t>
      </w:r>
      <w:r w:rsidR="009E6155">
        <w:rPr>
          <w:szCs w:val="22"/>
          <w:lang w:val="fr-FR"/>
        </w:rPr>
        <w:t>ts avec des communautés de base</w:t>
      </w:r>
      <w:r w:rsidR="009E610D" w:rsidRPr="00CD660B">
        <w:rPr>
          <w:szCs w:val="22"/>
          <w:lang w:val="fr-FR"/>
        </w:rPr>
        <w:t xml:space="preserve"> et des associations locales pour réaliser les activités de terrain.   </w:t>
      </w:r>
      <w:r w:rsidRPr="00CD660B">
        <w:rPr>
          <w:szCs w:val="22"/>
          <w:lang w:val="fr-FR"/>
        </w:rPr>
        <w:t xml:space="preserve"> </w:t>
      </w:r>
    </w:p>
    <w:p w:rsidR="00C776DA" w:rsidRPr="00CD660B" w:rsidRDefault="00C776DA" w:rsidP="00B410E0">
      <w:pPr>
        <w:pStyle w:val="BodyText2"/>
        <w:spacing w:after="0" w:line="240" w:lineRule="auto"/>
        <w:ind w:left="360"/>
        <w:jc w:val="both"/>
        <w:rPr>
          <w:szCs w:val="22"/>
          <w:lang w:val="fr-FR"/>
        </w:rPr>
      </w:pPr>
    </w:p>
    <w:p w:rsidR="00CD660B" w:rsidRPr="002D3C05" w:rsidRDefault="002D3C05" w:rsidP="004D402F">
      <w:pPr>
        <w:pStyle w:val="BodyText2"/>
        <w:numPr>
          <w:ilvl w:val="0"/>
          <w:numId w:val="5"/>
        </w:numPr>
        <w:spacing w:after="0" w:line="240" w:lineRule="auto"/>
        <w:jc w:val="both"/>
        <w:rPr>
          <w:szCs w:val="22"/>
          <w:lang w:val="fr-FR"/>
        </w:rPr>
      </w:pPr>
      <w:r w:rsidRPr="002D3C05">
        <w:rPr>
          <w:szCs w:val="22"/>
          <w:lang w:val="fr-FR"/>
        </w:rPr>
        <w:t>La procé</w:t>
      </w:r>
      <w:r w:rsidR="009E6155">
        <w:rPr>
          <w:szCs w:val="22"/>
          <w:lang w:val="fr-FR"/>
        </w:rPr>
        <w:t xml:space="preserve">dure d’acquisition </w:t>
      </w:r>
      <w:r w:rsidRPr="002D3C05">
        <w:rPr>
          <w:szCs w:val="22"/>
          <w:lang w:val="fr-FR"/>
        </w:rPr>
        <w:t xml:space="preserve">commence avec une demande de matériels ou de service. Une réquisition très détaillée est </w:t>
      </w:r>
      <w:r w:rsidR="009E6155" w:rsidRPr="002D3C05">
        <w:rPr>
          <w:szCs w:val="22"/>
          <w:lang w:val="fr-FR"/>
        </w:rPr>
        <w:t>envoyée</w:t>
      </w:r>
      <w:r w:rsidRPr="002D3C05">
        <w:rPr>
          <w:szCs w:val="22"/>
          <w:lang w:val="fr-FR"/>
        </w:rPr>
        <w:t xml:space="preserve"> au département de Procurement qui la révise et commence une demande d’offre de vendeurs. Les vendeurs ou candidats répondent, et </w:t>
      </w:r>
      <w:r>
        <w:rPr>
          <w:szCs w:val="22"/>
          <w:lang w:val="fr-FR"/>
        </w:rPr>
        <w:t>l’Unité de P</w:t>
      </w:r>
      <w:r w:rsidRPr="002D3C05">
        <w:rPr>
          <w:szCs w:val="22"/>
          <w:lang w:val="fr-FR"/>
        </w:rPr>
        <w:t>rocurement soumet un document au projet pour que le projet c</w:t>
      </w:r>
      <w:r>
        <w:rPr>
          <w:szCs w:val="22"/>
          <w:lang w:val="fr-FR"/>
        </w:rPr>
        <w:t xml:space="preserve">hoisisse la </w:t>
      </w:r>
      <w:r w:rsidR="009E6155">
        <w:rPr>
          <w:szCs w:val="22"/>
          <w:lang w:val="fr-FR"/>
        </w:rPr>
        <w:t>meilleure</w:t>
      </w:r>
      <w:r>
        <w:rPr>
          <w:szCs w:val="22"/>
          <w:lang w:val="fr-FR"/>
        </w:rPr>
        <w:t xml:space="preserve"> option basée</w:t>
      </w:r>
      <w:r w:rsidRPr="002D3C05">
        <w:rPr>
          <w:szCs w:val="22"/>
          <w:lang w:val="fr-FR"/>
        </w:rPr>
        <w:t xml:space="preserve"> sur les services disponible</w:t>
      </w:r>
      <w:r>
        <w:rPr>
          <w:szCs w:val="22"/>
          <w:lang w:val="fr-FR"/>
        </w:rPr>
        <w:t>s</w:t>
      </w:r>
      <w:r w:rsidRPr="002D3C05">
        <w:rPr>
          <w:szCs w:val="22"/>
          <w:lang w:val="fr-FR"/>
        </w:rPr>
        <w:t xml:space="preserve"> et les prix en </w:t>
      </w:r>
      <w:r w:rsidRPr="002D3C05">
        <w:rPr>
          <w:szCs w:val="22"/>
          <w:lang w:val="fr-FR"/>
        </w:rPr>
        <w:lastRenderedPageBreak/>
        <w:t>fonction du budget disponible pour l’activité. Les variances de la procédure arrivent en cas d’exceptions. Les exceptions sont celles qui ne lancent pas une procédure d’élection démocratique, mais ou peut être un vendeur ou une entité aurait été choisi sans compétition.  Pour cela il faut une justification forte qui expliq</w:t>
      </w:r>
      <w:r w:rsidR="009E6155">
        <w:rPr>
          <w:szCs w:val="22"/>
          <w:lang w:val="fr-FR"/>
        </w:rPr>
        <w:t>ue la raison. Les élus sont payé</w:t>
      </w:r>
      <w:r w:rsidR="003A070E">
        <w:rPr>
          <w:szCs w:val="22"/>
          <w:lang w:val="fr-FR"/>
        </w:rPr>
        <w:t>s</w:t>
      </w:r>
      <w:r w:rsidRPr="002D3C05">
        <w:rPr>
          <w:szCs w:val="22"/>
          <w:lang w:val="fr-FR"/>
        </w:rPr>
        <w:t xml:space="preserve"> une foi</w:t>
      </w:r>
      <w:r w:rsidR="009E6155">
        <w:rPr>
          <w:szCs w:val="22"/>
          <w:lang w:val="fr-FR"/>
        </w:rPr>
        <w:t>s</w:t>
      </w:r>
      <w:r w:rsidRPr="002D3C05">
        <w:rPr>
          <w:szCs w:val="22"/>
          <w:lang w:val="fr-FR"/>
        </w:rPr>
        <w:t xml:space="preserve"> le service ou le matériel </w:t>
      </w:r>
      <w:r>
        <w:rPr>
          <w:szCs w:val="22"/>
          <w:lang w:val="fr-FR"/>
        </w:rPr>
        <w:t>est livré</w:t>
      </w:r>
      <w:r w:rsidRPr="002D3C05">
        <w:rPr>
          <w:szCs w:val="22"/>
          <w:lang w:val="fr-FR"/>
        </w:rPr>
        <w:t>.</w:t>
      </w:r>
      <w:r w:rsidRPr="002D3C05">
        <w:rPr>
          <w:rFonts w:ascii="Calibri" w:hAnsi="Calibri"/>
          <w:sz w:val="22"/>
          <w:szCs w:val="22"/>
          <w:lang w:val="fr-FR"/>
        </w:rPr>
        <w:t xml:space="preserve"> </w:t>
      </w:r>
    </w:p>
    <w:p w:rsidR="004D402F" w:rsidRPr="00CD660B" w:rsidRDefault="004D402F" w:rsidP="00CD660B">
      <w:pPr>
        <w:pStyle w:val="BodyText2"/>
        <w:spacing w:after="0" w:line="240" w:lineRule="auto"/>
        <w:ind w:left="360"/>
        <w:jc w:val="both"/>
        <w:rPr>
          <w:color w:val="FF0000"/>
          <w:szCs w:val="22"/>
          <w:lang w:val="fr-FR"/>
        </w:rPr>
      </w:pPr>
    </w:p>
    <w:p w:rsidR="00B410E0" w:rsidRPr="00CD660B" w:rsidRDefault="00B410E0" w:rsidP="00B410E0">
      <w:pPr>
        <w:pStyle w:val="BodyText2"/>
        <w:numPr>
          <w:ilvl w:val="0"/>
          <w:numId w:val="5"/>
        </w:numPr>
        <w:spacing w:after="0" w:line="240" w:lineRule="auto"/>
        <w:jc w:val="both"/>
        <w:rPr>
          <w:szCs w:val="22"/>
          <w:lang w:val="fr-FR"/>
        </w:rPr>
      </w:pPr>
      <w:r w:rsidRPr="00CD660B">
        <w:rPr>
          <w:szCs w:val="22"/>
          <w:lang w:val="fr-FR"/>
        </w:rPr>
        <w:t>Le Programme de Support du CSI</w:t>
      </w:r>
      <w:r w:rsidR="00CD660B" w:rsidRPr="00CD660B">
        <w:rPr>
          <w:szCs w:val="22"/>
          <w:lang w:val="fr-FR"/>
        </w:rPr>
        <w:t>, basé sur le terrain depuis aout 2011,</w:t>
      </w:r>
      <w:r w:rsidRPr="00CD660B">
        <w:rPr>
          <w:szCs w:val="22"/>
          <w:lang w:val="fr-FR"/>
        </w:rPr>
        <w:t xml:space="preserve"> se charge du suivi des activités </w:t>
      </w:r>
      <w:r w:rsidR="00236B0F" w:rsidRPr="00CD660B">
        <w:rPr>
          <w:szCs w:val="22"/>
          <w:lang w:val="fr-FR"/>
        </w:rPr>
        <w:t>financées</w:t>
      </w:r>
      <w:r w:rsidRPr="00CD660B">
        <w:rPr>
          <w:szCs w:val="22"/>
          <w:lang w:val="fr-FR"/>
        </w:rPr>
        <w:t xml:space="preserve"> de la manière suivante :</w:t>
      </w:r>
    </w:p>
    <w:p w:rsidR="00236B0F" w:rsidRPr="00CD660B" w:rsidRDefault="00236B0F" w:rsidP="00236B0F">
      <w:pPr>
        <w:pStyle w:val="BodyText2"/>
        <w:numPr>
          <w:ilvl w:val="0"/>
          <w:numId w:val="30"/>
        </w:numPr>
        <w:spacing w:after="0" w:line="240" w:lineRule="auto"/>
        <w:jc w:val="both"/>
        <w:rPr>
          <w:szCs w:val="22"/>
          <w:lang w:val="fr-FR"/>
        </w:rPr>
      </w:pPr>
      <w:r w:rsidRPr="00CD660B">
        <w:rPr>
          <w:szCs w:val="22"/>
          <w:lang w:val="fr-FR"/>
        </w:rPr>
        <w:t>Chaque trimestre un rapport d’activité détaillé est demandé à chaque partenaire sur base du plan de travail pour évaluer ce qui a été acco</w:t>
      </w:r>
      <w:r w:rsidR="009E6155">
        <w:rPr>
          <w:szCs w:val="22"/>
          <w:lang w:val="fr-FR"/>
        </w:rPr>
        <w:t xml:space="preserve">mpli </w:t>
      </w:r>
      <w:r w:rsidRPr="00CD660B">
        <w:rPr>
          <w:szCs w:val="22"/>
          <w:lang w:val="fr-FR"/>
        </w:rPr>
        <w:t>par rapport à ce qui était prévu tout en demandant une explication sur les différences potentielles.</w:t>
      </w:r>
    </w:p>
    <w:p w:rsidR="00236B0F" w:rsidRPr="00CD660B" w:rsidRDefault="00236B0F" w:rsidP="00236B0F">
      <w:pPr>
        <w:pStyle w:val="BodyText2"/>
        <w:numPr>
          <w:ilvl w:val="0"/>
          <w:numId w:val="30"/>
        </w:numPr>
        <w:spacing w:after="0" w:line="240" w:lineRule="auto"/>
        <w:jc w:val="both"/>
        <w:rPr>
          <w:szCs w:val="22"/>
          <w:lang w:val="fr-FR"/>
        </w:rPr>
      </w:pPr>
      <w:r w:rsidRPr="00CD660B">
        <w:rPr>
          <w:szCs w:val="22"/>
          <w:lang w:val="fr-FR"/>
        </w:rPr>
        <w:t xml:space="preserve">Chaque trimestre est produit un rapport </w:t>
      </w:r>
      <w:r w:rsidR="00463EE7">
        <w:rPr>
          <w:szCs w:val="22"/>
          <w:lang w:val="fr-FR"/>
        </w:rPr>
        <w:t xml:space="preserve">CSI </w:t>
      </w:r>
      <w:r w:rsidRPr="00CD660B">
        <w:rPr>
          <w:szCs w:val="22"/>
          <w:lang w:val="fr-FR"/>
        </w:rPr>
        <w:t>d’avancement</w:t>
      </w:r>
      <w:r w:rsidR="002E52FA" w:rsidRPr="00CD660B">
        <w:rPr>
          <w:szCs w:val="22"/>
          <w:lang w:val="fr-FR"/>
        </w:rPr>
        <w:t xml:space="preserve"> consolidé</w:t>
      </w:r>
      <w:r w:rsidR="00463EE7">
        <w:rPr>
          <w:szCs w:val="22"/>
          <w:lang w:val="fr-FR"/>
        </w:rPr>
        <w:t xml:space="preserve"> </w:t>
      </w:r>
      <w:r w:rsidRPr="00CD660B">
        <w:rPr>
          <w:szCs w:val="22"/>
          <w:lang w:val="fr-FR"/>
        </w:rPr>
        <w:t>reprenant de manière succincte les avancés majeures du projet par secteur sur base des rapport</w:t>
      </w:r>
      <w:r w:rsidR="002E52FA" w:rsidRPr="00CD660B">
        <w:rPr>
          <w:szCs w:val="22"/>
          <w:lang w:val="fr-FR"/>
        </w:rPr>
        <w:t>s</w:t>
      </w:r>
      <w:r w:rsidRPr="00CD660B">
        <w:rPr>
          <w:szCs w:val="22"/>
          <w:lang w:val="fr-FR"/>
        </w:rPr>
        <w:t xml:space="preserve"> d’activité</w:t>
      </w:r>
      <w:r w:rsidR="002E52FA" w:rsidRPr="00CD660B">
        <w:rPr>
          <w:szCs w:val="22"/>
          <w:lang w:val="fr-FR"/>
        </w:rPr>
        <w:t>s</w:t>
      </w:r>
      <w:r w:rsidRPr="00CD660B">
        <w:rPr>
          <w:szCs w:val="22"/>
          <w:lang w:val="fr-FR"/>
        </w:rPr>
        <w:t xml:space="preserve"> détaillé</w:t>
      </w:r>
      <w:r w:rsidR="002E52FA" w:rsidRPr="00CD660B">
        <w:rPr>
          <w:szCs w:val="22"/>
          <w:lang w:val="fr-FR"/>
        </w:rPr>
        <w:t>s</w:t>
      </w:r>
      <w:r w:rsidRPr="00CD660B">
        <w:rPr>
          <w:szCs w:val="22"/>
          <w:lang w:val="fr-FR"/>
        </w:rPr>
        <w:t xml:space="preserve"> des partenaires. Pour l’ensemble de l’année 2011, un rapport annuel CSI est en cours de développement en </w:t>
      </w:r>
      <w:r w:rsidR="009E6155">
        <w:rPr>
          <w:szCs w:val="22"/>
          <w:lang w:val="fr-FR"/>
        </w:rPr>
        <w:t>li</w:t>
      </w:r>
      <w:r w:rsidRPr="00CD660B">
        <w:rPr>
          <w:szCs w:val="22"/>
          <w:lang w:val="fr-FR"/>
        </w:rPr>
        <w:t>eu et place du rapport de progrès trimestr</w:t>
      </w:r>
      <w:r w:rsidR="009E6155">
        <w:rPr>
          <w:szCs w:val="22"/>
          <w:lang w:val="fr-FR"/>
        </w:rPr>
        <w:t>iel</w:t>
      </w:r>
      <w:r w:rsidR="002E52FA" w:rsidRPr="00CD660B">
        <w:rPr>
          <w:szCs w:val="22"/>
          <w:lang w:val="fr-FR"/>
        </w:rPr>
        <w:t xml:space="preserve"> CSI (finalisation prévu pour</w:t>
      </w:r>
      <w:r w:rsidRPr="00CD660B">
        <w:rPr>
          <w:szCs w:val="22"/>
          <w:lang w:val="fr-FR"/>
        </w:rPr>
        <w:t xml:space="preserve"> mars 2012)</w:t>
      </w:r>
    </w:p>
    <w:p w:rsidR="00911E7E" w:rsidRPr="00CD660B" w:rsidRDefault="00236B0F" w:rsidP="00236B0F">
      <w:pPr>
        <w:pStyle w:val="BodyText2"/>
        <w:numPr>
          <w:ilvl w:val="0"/>
          <w:numId w:val="30"/>
        </w:numPr>
        <w:spacing w:after="0" w:line="240" w:lineRule="auto"/>
        <w:jc w:val="both"/>
        <w:rPr>
          <w:szCs w:val="22"/>
          <w:lang w:val="fr-FR"/>
        </w:rPr>
      </w:pPr>
      <w:r w:rsidRPr="00CD660B">
        <w:rPr>
          <w:szCs w:val="22"/>
          <w:lang w:val="fr-FR"/>
        </w:rPr>
        <w:t>Chaque trimestre a lieu le Comité de Gestion du CSI durant lequel les différentes instances</w:t>
      </w:r>
      <w:r w:rsidR="00463EE7">
        <w:rPr>
          <w:szCs w:val="22"/>
          <w:lang w:val="fr-FR"/>
        </w:rPr>
        <w:t xml:space="preserve"> principales</w:t>
      </w:r>
      <w:r w:rsidRPr="00CD660B">
        <w:rPr>
          <w:szCs w:val="22"/>
          <w:lang w:val="fr-FR"/>
        </w:rPr>
        <w:t xml:space="preserve"> du Gouvernement, les </w:t>
      </w:r>
      <w:r w:rsidR="002E52FA" w:rsidRPr="00CD660B">
        <w:rPr>
          <w:szCs w:val="22"/>
          <w:lang w:val="fr-FR"/>
        </w:rPr>
        <w:t>bailleurs</w:t>
      </w:r>
      <w:r w:rsidRPr="00CD660B">
        <w:rPr>
          <w:szCs w:val="22"/>
          <w:lang w:val="fr-FR"/>
        </w:rPr>
        <w:t xml:space="preserve"> de fonds (existants et potentiels) ainsi que l’ensemble des partenaires (</w:t>
      </w:r>
      <w:r w:rsidR="002E52FA" w:rsidRPr="00CD660B">
        <w:rPr>
          <w:szCs w:val="22"/>
          <w:lang w:val="fr-FR"/>
        </w:rPr>
        <w:t>existants et potentiels) sont invités pour présenter ou prendre connaissance de l’avancé</w:t>
      </w:r>
      <w:r w:rsidR="00911E7E" w:rsidRPr="00CD660B">
        <w:rPr>
          <w:szCs w:val="22"/>
          <w:lang w:val="fr-FR"/>
        </w:rPr>
        <w:t>e</w:t>
      </w:r>
      <w:r w:rsidR="002E52FA" w:rsidRPr="00CD660B">
        <w:rPr>
          <w:szCs w:val="22"/>
          <w:lang w:val="fr-FR"/>
        </w:rPr>
        <w:t xml:space="preserve"> du CSI avec une emphase sur les sec</w:t>
      </w:r>
      <w:r w:rsidR="00911E7E" w:rsidRPr="00CD660B">
        <w:rPr>
          <w:szCs w:val="22"/>
          <w:lang w:val="fr-FR"/>
        </w:rPr>
        <w:t xml:space="preserve">teurs prioritaires pour le développement du Département du Sud. Ces réunions sont également le lieu d’échange de point de vue entre partenaires. </w:t>
      </w:r>
    </w:p>
    <w:p w:rsidR="009D076A" w:rsidRPr="00CD660B" w:rsidRDefault="00117BD8" w:rsidP="00911E7E">
      <w:pPr>
        <w:pStyle w:val="BodyText2"/>
        <w:spacing w:after="0" w:line="240" w:lineRule="auto"/>
        <w:ind w:left="360"/>
        <w:jc w:val="both"/>
        <w:rPr>
          <w:szCs w:val="22"/>
          <w:lang w:val="fr-FR"/>
        </w:rPr>
      </w:pPr>
      <w:r w:rsidRPr="00CD660B">
        <w:rPr>
          <w:szCs w:val="22"/>
          <w:lang w:val="fr-FR"/>
        </w:rPr>
        <w:t>En plus de se charger de ce suivi</w:t>
      </w:r>
      <w:r w:rsidR="009E6155">
        <w:rPr>
          <w:szCs w:val="22"/>
          <w:lang w:val="fr-FR"/>
        </w:rPr>
        <w:t xml:space="preserve"> trimestriel</w:t>
      </w:r>
      <w:r w:rsidRPr="00CD660B">
        <w:rPr>
          <w:szCs w:val="22"/>
          <w:lang w:val="fr-FR"/>
        </w:rPr>
        <w:t>, le Programme de Support du</w:t>
      </w:r>
      <w:r w:rsidR="009D076A" w:rsidRPr="00CD660B">
        <w:rPr>
          <w:szCs w:val="22"/>
          <w:lang w:val="fr-FR"/>
        </w:rPr>
        <w:t xml:space="preserve"> CSI engage des discussions bilatérale</w:t>
      </w:r>
      <w:r w:rsidR="009E6155">
        <w:rPr>
          <w:szCs w:val="22"/>
          <w:lang w:val="fr-FR"/>
        </w:rPr>
        <w:t>s et/</w:t>
      </w:r>
      <w:r w:rsidR="009D076A" w:rsidRPr="00CD660B">
        <w:rPr>
          <w:szCs w:val="22"/>
          <w:lang w:val="fr-FR"/>
        </w:rPr>
        <w:t>ou en groupe avec les partenaires pour discuter de préoccupations ou de retards particuliers sur certain points. Le Programme de Support opère une gestion adaptative pour s’adapter aux imprévus (tant techniques que politiques) et réajuste</w:t>
      </w:r>
      <w:r w:rsidR="009E6155">
        <w:rPr>
          <w:szCs w:val="22"/>
          <w:lang w:val="fr-FR"/>
        </w:rPr>
        <w:t>r au besoin</w:t>
      </w:r>
      <w:r w:rsidR="009D076A" w:rsidRPr="00CD660B">
        <w:rPr>
          <w:szCs w:val="22"/>
          <w:lang w:val="fr-FR"/>
        </w:rPr>
        <w:t xml:space="preserve"> le plan de travail en consultation avec les partenaires. Ainsi par exemple, le plan de travail a déjà été révisé deux fois. Les exemples les plus </w:t>
      </w:r>
      <w:r w:rsidR="009E6155" w:rsidRPr="00CD660B">
        <w:rPr>
          <w:szCs w:val="22"/>
          <w:lang w:val="fr-FR"/>
        </w:rPr>
        <w:t>marquants</w:t>
      </w:r>
      <w:r w:rsidR="009D076A" w:rsidRPr="00CD660B">
        <w:rPr>
          <w:szCs w:val="22"/>
          <w:lang w:val="fr-FR"/>
        </w:rPr>
        <w:t xml:space="preserve"> d’adaptation sont :</w:t>
      </w:r>
    </w:p>
    <w:p w:rsidR="009D076A" w:rsidRPr="00CD660B" w:rsidRDefault="009D076A" w:rsidP="009D076A">
      <w:pPr>
        <w:pStyle w:val="BodyText2"/>
        <w:numPr>
          <w:ilvl w:val="0"/>
          <w:numId w:val="31"/>
        </w:numPr>
        <w:spacing w:after="0" w:line="240" w:lineRule="auto"/>
        <w:jc w:val="both"/>
        <w:rPr>
          <w:szCs w:val="22"/>
          <w:lang w:val="fr-FR"/>
        </w:rPr>
      </w:pPr>
      <w:r w:rsidRPr="00CD660B">
        <w:rPr>
          <w:szCs w:val="22"/>
          <w:lang w:val="fr-FR"/>
        </w:rPr>
        <w:t>La couverture géographique du CSI qui est passé des 10 communes du Département du Sud à l’ensemble des communes du Département (18) suite à des requêtes des autorités locales mais également d’évidences techniques et</w:t>
      </w:r>
      <w:r w:rsidR="00463EE7">
        <w:rPr>
          <w:szCs w:val="22"/>
          <w:lang w:val="fr-FR"/>
        </w:rPr>
        <w:t> ;</w:t>
      </w:r>
    </w:p>
    <w:p w:rsidR="00B410E0" w:rsidRPr="00CD660B" w:rsidRDefault="009D076A" w:rsidP="009D076A">
      <w:pPr>
        <w:pStyle w:val="BodyText2"/>
        <w:numPr>
          <w:ilvl w:val="0"/>
          <w:numId w:val="31"/>
        </w:numPr>
        <w:spacing w:after="0" w:line="240" w:lineRule="auto"/>
        <w:jc w:val="both"/>
        <w:rPr>
          <w:szCs w:val="22"/>
          <w:lang w:val="fr-FR"/>
        </w:rPr>
      </w:pPr>
      <w:r w:rsidRPr="00CD660B">
        <w:rPr>
          <w:szCs w:val="22"/>
          <w:lang w:val="fr-FR"/>
        </w:rPr>
        <w:t xml:space="preserve">L’implication du CSI, pourtant programme de développement durable, dans les urgences qui ont suivi les </w:t>
      </w:r>
      <w:r w:rsidR="00463EE7">
        <w:rPr>
          <w:szCs w:val="22"/>
          <w:lang w:val="fr-FR"/>
        </w:rPr>
        <w:t>fortes pluies</w:t>
      </w:r>
      <w:r w:rsidRPr="00CD660B">
        <w:rPr>
          <w:szCs w:val="22"/>
          <w:lang w:val="fr-FR"/>
        </w:rPr>
        <w:t xml:space="preserve"> dans le Département –</w:t>
      </w:r>
      <w:r w:rsidR="009E6155">
        <w:rPr>
          <w:szCs w:val="22"/>
          <w:lang w:val="fr-FR"/>
        </w:rPr>
        <w:t xml:space="preserve"> </w:t>
      </w:r>
      <w:r w:rsidRPr="00CD660B">
        <w:rPr>
          <w:szCs w:val="22"/>
          <w:lang w:val="fr-FR"/>
        </w:rPr>
        <w:t>Les partenaires du CSI étaient les seuls a</w:t>
      </w:r>
      <w:r w:rsidR="009E6155">
        <w:rPr>
          <w:szCs w:val="22"/>
          <w:lang w:val="fr-FR"/>
        </w:rPr>
        <w:t>cteurs sur le terrain en mesure</w:t>
      </w:r>
      <w:r w:rsidRPr="00CD660B">
        <w:rPr>
          <w:szCs w:val="22"/>
          <w:lang w:val="fr-FR"/>
        </w:rPr>
        <w:t xml:space="preserve"> d’établir un diagnos</w:t>
      </w:r>
      <w:r w:rsidR="00CD660B" w:rsidRPr="00CD660B">
        <w:rPr>
          <w:szCs w:val="22"/>
          <w:lang w:val="fr-FR"/>
        </w:rPr>
        <w:t>tique de la situation et apporter les premières aides d’urgences pour les populations isolé</w:t>
      </w:r>
      <w:r w:rsidR="009E6155">
        <w:rPr>
          <w:szCs w:val="22"/>
          <w:lang w:val="fr-FR"/>
        </w:rPr>
        <w:t>es par la catastrophe</w:t>
      </w:r>
      <w:r w:rsidR="00463EE7">
        <w:rPr>
          <w:szCs w:val="22"/>
          <w:lang w:val="fr-FR"/>
        </w:rPr>
        <w:t xml:space="preserve"> </w:t>
      </w:r>
      <w:r w:rsidR="004B369E">
        <w:rPr>
          <w:szCs w:val="22"/>
          <w:lang w:val="fr-FR"/>
        </w:rPr>
        <w:t>après les premières heures de cessations des pluies</w:t>
      </w:r>
      <w:r w:rsidR="00CD660B" w:rsidRPr="00CD660B">
        <w:rPr>
          <w:szCs w:val="22"/>
          <w:lang w:val="fr-FR"/>
        </w:rPr>
        <w:t xml:space="preserve">. </w:t>
      </w:r>
      <w:r w:rsidRPr="00CD660B">
        <w:rPr>
          <w:szCs w:val="22"/>
          <w:lang w:val="fr-FR"/>
        </w:rPr>
        <w:t xml:space="preserve"> </w:t>
      </w:r>
    </w:p>
    <w:p w:rsidR="004D402F" w:rsidRPr="00CD660B" w:rsidRDefault="004D402F" w:rsidP="00B410E0">
      <w:pPr>
        <w:pStyle w:val="BodyText2"/>
        <w:spacing w:after="0" w:line="240" w:lineRule="auto"/>
        <w:ind w:left="360"/>
        <w:jc w:val="both"/>
        <w:rPr>
          <w:szCs w:val="22"/>
          <w:lang w:val="fr-FR"/>
        </w:rPr>
      </w:pPr>
    </w:p>
    <w:p w:rsidR="000405E1" w:rsidRPr="00CD660B" w:rsidRDefault="004519E5" w:rsidP="00FB3B9C">
      <w:pPr>
        <w:pStyle w:val="BodyText2"/>
        <w:numPr>
          <w:ilvl w:val="0"/>
          <w:numId w:val="5"/>
        </w:numPr>
        <w:spacing w:after="0" w:line="240" w:lineRule="auto"/>
        <w:jc w:val="both"/>
        <w:rPr>
          <w:szCs w:val="22"/>
          <w:lang w:val="fr-FR"/>
        </w:rPr>
      </w:pPr>
      <w:r w:rsidRPr="00CD660B">
        <w:rPr>
          <w:szCs w:val="22"/>
          <w:lang w:val="fr-FR"/>
        </w:rPr>
        <w:t xml:space="preserve">Alors qu’une évaluation du Gouvernement de Norvège est </w:t>
      </w:r>
      <w:r w:rsidR="00B410E0" w:rsidRPr="00CD660B">
        <w:rPr>
          <w:szCs w:val="22"/>
          <w:lang w:val="fr-FR"/>
        </w:rPr>
        <w:t>prévue</w:t>
      </w:r>
      <w:r w:rsidRPr="00CD660B">
        <w:rPr>
          <w:szCs w:val="22"/>
          <w:lang w:val="fr-FR"/>
        </w:rPr>
        <w:t xml:space="preserve"> dans la première moitié de 2012, deux évaluations intérimaires et ponctuelles ont eu lieu fin 2011. La première date d’octobre 2011 et fut conduite par le Bureau de Performance et Anti-Corruption de la CIRH</w:t>
      </w:r>
      <w:r w:rsidR="003A070E">
        <w:rPr>
          <w:rStyle w:val="FootnoteReference"/>
          <w:szCs w:val="22"/>
          <w:lang w:val="fr-FR"/>
        </w:rPr>
        <w:footnoteReference w:id="8"/>
      </w:r>
      <w:r w:rsidRPr="00CD660B">
        <w:rPr>
          <w:szCs w:val="22"/>
          <w:lang w:val="fr-FR"/>
        </w:rPr>
        <w:t xml:space="preserve">. A ce titre, la mission d’évaluation a </w:t>
      </w:r>
      <w:r w:rsidR="00A82835" w:rsidRPr="00CD660B">
        <w:rPr>
          <w:szCs w:val="22"/>
          <w:lang w:val="fr-FR"/>
        </w:rPr>
        <w:t>assisté</w:t>
      </w:r>
      <w:r w:rsidRPr="00CD660B">
        <w:rPr>
          <w:szCs w:val="22"/>
          <w:lang w:val="fr-FR"/>
        </w:rPr>
        <w:t xml:space="preserve"> à la première réunion du Comité de Gestion du Projet</w:t>
      </w:r>
      <w:r w:rsidR="00A82835" w:rsidRPr="00CD660B">
        <w:rPr>
          <w:szCs w:val="22"/>
          <w:lang w:val="fr-FR"/>
        </w:rPr>
        <w:t xml:space="preserve"> (CSI)</w:t>
      </w:r>
      <w:r w:rsidRPr="00CD660B">
        <w:rPr>
          <w:szCs w:val="22"/>
          <w:lang w:val="fr-FR"/>
        </w:rPr>
        <w:t>. Une discussion plus approfondie sur la genèse et l’approche du Programme a eu lieu</w:t>
      </w:r>
      <w:r w:rsidR="00C2367E">
        <w:rPr>
          <w:szCs w:val="22"/>
          <w:lang w:val="fr-FR"/>
        </w:rPr>
        <w:t>,</w:t>
      </w:r>
      <w:r w:rsidRPr="00CD660B">
        <w:rPr>
          <w:szCs w:val="22"/>
          <w:lang w:val="fr-FR"/>
        </w:rPr>
        <w:t xml:space="preserve"> ensuite en petit comité entre les évaluateurs et les membres du PNUE</w:t>
      </w:r>
      <w:r w:rsidR="00A82835" w:rsidRPr="00CD660B">
        <w:rPr>
          <w:szCs w:val="22"/>
          <w:lang w:val="fr-FR"/>
        </w:rPr>
        <w:t xml:space="preserve"> qui coordonnent la CSI. L</w:t>
      </w:r>
      <w:r w:rsidRPr="00CD660B">
        <w:rPr>
          <w:szCs w:val="22"/>
          <w:lang w:val="fr-FR"/>
        </w:rPr>
        <w:t xml:space="preserve">e lendemain </w:t>
      </w:r>
      <w:r w:rsidR="00A82835" w:rsidRPr="00CD660B">
        <w:rPr>
          <w:szCs w:val="22"/>
          <w:lang w:val="fr-FR"/>
        </w:rPr>
        <w:t>l’équipe</w:t>
      </w:r>
      <w:r w:rsidR="004B369E">
        <w:rPr>
          <w:szCs w:val="22"/>
          <w:lang w:val="fr-FR"/>
        </w:rPr>
        <w:t xml:space="preserve"> d’évaluation</w:t>
      </w:r>
      <w:r w:rsidR="00A82835" w:rsidRPr="00CD660B">
        <w:rPr>
          <w:szCs w:val="22"/>
          <w:lang w:val="fr-FR"/>
        </w:rPr>
        <w:t xml:space="preserve"> </w:t>
      </w:r>
      <w:r w:rsidRPr="00CD660B">
        <w:rPr>
          <w:szCs w:val="22"/>
          <w:lang w:val="fr-FR"/>
        </w:rPr>
        <w:t xml:space="preserve">a été </w:t>
      </w:r>
      <w:r w:rsidR="00A82835" w:rsidRPr="00CD660B">
        <w:rPr>
          <w:szCs w:val="22"/>
          <w:lang w:val="fr-FR"/>
        </w:rPr>
        <w:t>accompagnée</w:t>
      </w:r>
      <w:r w:rsidRPr="00CD660B">
        <w:rPr>
          <w:szCs w:val="22"/>
          <w:lang w:val="fr-FR"/>
        </w:rPr>
        <w:t xml:space="preserve"> sur le terrain pour visiter des activités mis en œuvre par les partenaires, surtout </w:t>
      </w:r>
      <w:r w:rsidR="00A82835" w:rsidRPr="00CD660B">
        <w:rPr>
          <w:szCs w:val="22"/>
          <w:lang w:val="fr-FR"/>
        </w:rPr>
        <w:t xml:space="preserve">les activités </w:t>
      </w:r>
      <w:r w:rsidRPr="00CD660B">
        <w:rPr>
          <w:szCs w:val="22"/>
          <w:lang w:val="fr-FR"/>
        </w:rPr>
        <w:t>lié</w:t>
      </w:r>
      <w:r w:rsidR="00A82835" w:rsidRPr="00CD660B">
        <w:rPr>
          <w:szCs w:val="22"/>
          <w:lang w:val="fr-FR"/>
        </w:rPr>
        <w:t>es</w:t>
      </w:r>
      <w:r w:rsidRPr="00CD660B">
        <w:rPr>
          <w:szCs w:val="22"/>
          <w:lang w:val="fr-FR"/>
        </w:rPr>
        <w:t xml:space="preserve"> au secteur de l’agriculture et de l’énergie. </w:t>
      </w:r>
      <w:r w:rsidR="00C2367E">
        <w:rPr>
          <w:szCs w:val="22"/>
          <w:lang w:val="fr-FR"/>
        </w:rPr>
        <w:t xml:space="preserve"> Suite à </w:t>
      </w:r>
      <w:r w:rsidR="00A82835" w:rsidRPr="00CD660B">
        <w:rPr>
          <w:szCs w:val="22"/>
          <w:lang w:val="fr-FR"/>
        </w:rPr>
        <w:t xml:space="preserve">leur visite, le PNUE et l’UNOPS ont complété le Project Review Report pour l’équipe d’évaluation. Il est à signaler que malgré le temps consacré à cette évaluation par l’équipe de projet (visites de terrain, réunions et </w:t>
      </w:r>
      <w:r w:rsidR="00C2367E">
        <w:rPr>
          <w:szCs w:val="22"/>
          <w:lang w:val="fr-FR"/>
        </w:rPr>
        <w:t xml:space="preserve">rédaction </w:t>
      </w:r>
      <w:r w:rsidR="00A82835" w:rsidRPr="00CD660B">
        <w:rPr>
          <w:szCs w:val="22"/>
          <w:lang w:val="fr-FR"/>
        </w:rPr>
        <w:t xml:space="preserve">de rapport), aucun </w:t>
      </w:r>
      <w:r w:rsidR="00CD660B" w:rsidRPr="00CD660B">
        <w:rPr>
          <w:szCs w:val="22"/>
          <w:lang w:val="fr-FR"/>
        </w:rPr>
        <w:t>feedback n’a</w:t>
      </w:r>
      <w:r w:rsidR="00A82835" w:rsidRPr="00CD660B">
        <w:rPr>
          <w:szCs w:val="22"/>
          <w:lang w:val="fr-FR"/>
        </w:rPr>
        <w:t xml:space="preserve"> été reçu. La deuxième évaluation a eu lieu en novembre 2011 et était de nature interne au PNUE. L’évaluateur indépendant engagé par le PNUE au moyen de fonds propres s’est concentré à examiner l’approche prise par le PNUE dans son initiative centrale en Haïti (CSI) et à fournir des recommandations pour les prochaines étapes tant au niveau programmatique qu’en liaison avec les partenaires du projet. </w:t>
      </w:r>
    </w:p>
    <w:p w:rsidR="00F4555C" w:rsidRPr="004C64BD" w:rsidRDefault="004D402F" w:rsidP="004C64BD">
      <w:pPr>
        <w:pStyle w:val="Heading1"/>
        <w:numPr>
          <w:ilvl w:val="0"/>
          <w:numId w:val="23"/>
        </w:numPr>
        <w:tabs>
          <w:tab w:val="left" w:pos="360"/>
        </w:tabs>
        <w:spacing w:after="120"/>
        <w:rPr>
          <w:rStyle w:val="hps"/>
          <w:rFonts w:ascii="Times New Roman" w:hAnsi="Times New Roman"/>
          <w:b w:val="0"/>
          <w:bCs w:val="0"/>
          <w:kern w:val="0"/>
          <w:sz w:val="24"/>
          <w:szCs w:val="24"/>
        </w:rPr>
      </w:pPr>
      <w:r w:rsidRPr="000405E1">
        <w:rPr>
          <w:rFonts w:ascii="Times New Roman" w:hAnsi="Times New Roman"/>
          <w:sz w:val="24"/>
          <w:szCs w:val="24"/>
          <w:lang w:val="fr-FR"/>
        </w:rPr>
        <w:lastRenderedPageBreak/>
        <w:t>RESULTATS</w:t>
      </w:r>
    </w:p>
    <w:p w:rsidR="004D6427" w:rsidRPr="002750F8" w:rsidRDefault="004D6427" w:rsidP="00F4555C">
      <w:pPr>
        <w:pStyle w:val="BodyText2"/>
        <w:spacing w:after="0" w:line="240" w:lineRule="auto"/>
        <w:jc w:val="both"/>
        <w:rPr>
          <w:rStyle w:val="hps"/>
          <w:rFonts w:ascii="Cambria" w:hAnsi="Cambria"/>
          <w:b/>
          <w:bCs/>
          <w:kern w:val="32"/>
          <w:sz w:val="32"/>
          <w:szCs w:val="32"/>
        </w:rPr>
      </w:pPr>
    </w:p>
    <w:p w:rsidR="00FE609A" w:rsidRPr="004C64BD" w:rsidRDefault="001A34E7" w:rsidP="001A34E7">
      <w:pPr>
        <w:pStyle w:val="BodyText2"/>
        <w:numPr>
          <w:ilvl w:val="0"/>
          <w:numId w:val="6"/>
        </w:numPr>
        <w:spacing w:after="0" w:line="240" w:lineRule="auto"/>
        <w:jc w:val="both"/>
        <w:rPr>
          <w:sz w:val="22"/>
          <w:szCs w:val="22"/>
          <w:lang w:val="fr-FR"/>
        </w:rPr>
      </w:pPr>
      <w:r w:rsidRPr="004C64BD">
        <w:rPr>
          <w:szCs w:val="22"/>
          <w:lang w:val="fr-FR"/>
        </w:rPr>
        <w:t>Avec un bureau o</w:t>
      </w:r>
      <w:r w:rsidR="002750F8" w:rsidRPr="004C64BD">
        <w:rPr>
          <w:szCs w:val="22"/>
          <w:lang w:val="fr-FR"/>
        </w:rPr>
        <w:t>pérationnel depuis</w:t>
      </w:r>
      <w:r w:rsidR="00FE609A" w:rsidRPr="004C64BD">
        <w:rPr>
          <w:szCs w:val="22"/>
          <w:lang w:val="fr-FR"/>
        </w:rPr>
        <w:t xml:space="preserve"> aout 2011, les progrès </w:t>
      </w:r>
      <w:r w:rsidR="00033A4A" w:rsidRPr="004C64BD">
        <w:rPr>
          <w:szCs w:val="22"/>
          <w:lang w:val="fr-FR"/>
        </w:rPr>
        <w:t>majeur</w:t>
      </w:r>
      <w:r w:rsidR="00033A4A">
        <w:rPr>
          <w:szCs w:val="22"/>
          <w:lang w:val="fr-FR"/>
        </w:rPr>
        <w:t>s</w:t>
      </w:r>
      <w:r w:rsidR="009F4F05" w:rsidRPr="004C64BD">
        <w:rPr>
          <w:szCs w:val="22"/>
          <w:lang w:val="fr-FR"/>
        </w:rPr>
        <w:t xml:space="preserve"> </w:t>
      </w:r>
      <w:r w:rsidR="00556FAB" w:rsidRPr="004C64BD">
        <w:rPr>
          <w:szCs w:val="22"/>
          <w:lang w:val="fr-FR"/>
        </w:rPr>
        <w:t xml:space="preserve">et </w:t>
      </w:r>
      <w:r w:rsidR="004C64BD">
        <w:rPr>
          <w:szCs w:val="22"/>
          <w:lang w:val="fr-FR"/>
        </w:rPr>
        <w:t>résultats/activités principaux</w:t>
      </w:r>
      <w:r w:rsidR="00556FAB" w:rsidRPr="004C64BD">
        <w:rPr>
          <w:szCs w:val="22"/>
          <w:lang w:val="fr-FR"/>
        </w:rPr>
        <w:t xml:space="preserve"> </w:t>
      </w:r>
      <w:r w:rsidR="00FE609A" w:rsidRPr="004C64BD">
        <w:rPr>
          <w:szCs w:val="22"/>
          <w:lang w:val="fr-FR"/>
        </w:rPr>
        <w:t>réalisés par la Cote Sud Initiative sont :</w:t>
      </w:r>
    </w:p>
    <w:p w:rsidR="006A1C55" w:rsidRDefault="009F4F05" w:rsidP="006A1C55">
      <w:pPr>
        <w:pStyle w:val="BodyText2"/>
        <w:numPr>
          <w:ilvl w:val="0"/>
          <w:numId w:val="30"/>
        </w:numPr>
        <w:spacing w:after="0" w:line="240" w:lineRule="auto"/>
        <w:jc w:val="both"/>
        <w:rPr>
          <w:szCs w:val="22"/>
          <w:lang w:val="fr-FR"/>
        </w:rPr>
      </w:pPr>
      <w:r w:rsidRPr="006A1C55">
        <w:rPr>
          <w:b/>
          <w:szCs w:val="22"/>
          <w:lang w:val="fr-FR"/>
        </w:rPr>
        <w:t>Leadership</w:t>
      </w:r>
      <w:r w:rsidR="004C64BD">
        <w:rPr>
          <w:b/>
          <w:szCs w:val="22"/>
          <w:lang w:val="fr-FR"/>
        </w:rPr>
        <w:t xml:space="preserve"> et vision</w:t>
      </w:r>
      <w:r w:rsidRPr="006A1C55">
        <w:rPr>
          <w:szCs w:val="22"/>
          <w:lang w:val="fr-FR"/>
        </w:rPr>
        <w:t xml:space="preserve"> : </w:t>
      </w:r>
      <w:r w:rsidR="000F0FAB">
        <w:rPr>
          <w:szCs w:val="22"/>
          <w:lang w:val="fr-FR"/>
        </w:rPr>
        <w:t>Bien que l</w:t>
      </w:r>
      <w:r w:rsidR="00FE609A" w:rsidRPr="006A1C55">
        <w:rPr>
          <w:szCs w:val="22"/>
          <w:lang w:val="fr-FR"/>
        </w:rPr>
        <w:t xml:space="preserve">’appropriation </w:t>
      </w:r>
      <w:r w:rsidR="00952E1E" w:rsidRPr="006A1C55">
        <w:rPr>
          <w:szCs w:val="22"/>
          <w:lang w:val="fr-FR"/>
        </w:rPr>
        <w:t xml:space="preserve">politique et stratégique de </w:t>
      </w:r>
      <w:r w:rsidR="00616FA5" w:rsidRPr="006A1C55">
        <w:rPr>
          <w:szCs w:val="22"/>
          <w:lang w:val="fr-FR"/>
        </w:rPr>
        <w:t>l’</w:t>
      </w:r>
      <w:r w:rsidR="00616FA5">
        <w:rPr>
          <w:szCs w:val="22"/>
          <w:lang w:val="fr-FR"/>
        </w:rPr>
        <w:t>i</w:t>
      </w:r>
      <w:r w:rsidR="00616FA5" w:rsidRPr="006A1C55">
        <w:rPr>
          <w:szCs w:val="22"/>
          <w:lang w:val="fr-FR"/>
        </w:rPr>
        <w:t>nitiative</w:t>
      </w:r>
      <w:r w:rsidR="00616FA5">
        <w:rPr>
          <w:szCs w:val="22"/>
          <w:lang w:val="fr-FR"/>
        </w:rPr>
        <w:t xml:space="preserve"> </w:t>
      </w:r>
      <w:r w:rsidR="007718D1">
        <w:rPr>
          <w:szCs w:val="22"/>
          <w:lang w:val="fr-FR"/>
        </w:rPr>
        <w:t>reste un défi</w:t>
      </w:r>
      <w:r w:rsidR="000F0FAB">
        <w:rPr>
          <w:szCs w:val="22"/>
          <w:lang w:val="fr-FR"/>
        </w:rPr>
        <w:t xml:space="preserve"> </w:t>
      </w:r>
      <w:r w:rsidR="007718D1">
        <w:rPr>
          <w:szCs w:val="22"/>
          <w:lang w:val="fr-FR"/>
        </w:rPr>
        <w:t>en raison de</w:t>
      </w:r>
      <w:r w:rsidR="00616FA5">
        <w:rPr>
          <w:szCs w:val="22"/>
          <w:lang w:val="fr-FR"/>
        </w:rPr>
        <w:t xml:space="preserve"> son</w:t>
      </w:r>
      <w:r w:rsidR="007718D1">
        <w:rPr>
          <w:szCs w:val="22"/>
          <w:lang w:val="fr-FR"/>
        </w:rPr>
        <w:t xml:space="preserve"> </w:t>
      </w:r>
      <w:r w:rsidR="00616FA5">
        <w:rPr>
          <w:szCs w:val="22"/>
          <w:lang w:val="fr-FR"/>
        </w:rPr>
        <w:t>ampleur</w:t>
      </w:r>
      <w:r w:rsidR="000F0FAB">
        <w:rPr>
          <w:szCs w:val="22"/>
          <w:lang w:val="fr-FR"/>
        </w:rPr>
        <w:t xml:space="preserve"> et du manque de ressources humaines et financières au niveau décentralisé</w:t>
      </w:r>
      <w:r w:rsidR="007718D1">
        <w:rPr>
          <w:szCs w:val="22"/>
          <w:lang w:val="fr-FR"/>
        </w:rPr>
        <w:t xml:space="preserve"> auprès</w:t>
      </w:r>
      <w:r w:rsidR="00033A4A">
        <w:rPr>
          <w:szCs w:val="22"/>
          <w:lang w:val="fr-FR"/>
        </w:rPr>
        <w:t xml:space="preserve"> des autorités</w:t>
      </w:r>
      <w:r w:rsidR="000F0FAB">
        <w:rPr>
          <w:szCs w:val="22"/>
          <w:lang w:val="fr-FR"/>
        </w:rPr>
        <w:t>, le CSI se positionne</w:t>
      </w:r>
      <w:r w:rsidR="00952E1E" w:rsidRPr="006A1C55">
        <w:rPr>
          <w:szCs w:val="22"/>
          <w:lang w:val="fr-FR"/>
        </w:rPr>
        <w:t xml:space="preserve"> comme outil d</w:t>
      </w:r>
      <w:r w:rsidR="00835021" w:rsidRPr="006A1C55">
        <w:rPr>
          <w:szCs w:val="22"/>
          <w:lang w:val="fr-FR"/>
        </w:rPr>
        <w:t>e support à la planification. A ce titre, il est à souligner que :</w:t>
      </w:r>
    </w:p>
    <w:p w:rsidR="006A1C55" w:rsidRDefault="006A1C55" w:rsidP="006A1C55">
      <w:pPr>
        <w:pStyle w:val="BodyText2"/>
        <w:numPr>
          <w:ilvl w:val="0"/>
          <w:numId w:val="43"/>
        </w:numPr>
        <w:spacing w:after="0" w:line="240" w:lineRule="auto"/>
        <w:jc w:val="both"/>
        <w:rPr>
          <w:szCs w:val="22"/>
          <w:lang w:val="fr-FR"/>
        </w:rPr>
      </w:pPr>
      <w:r>
        <w:rPr>
          <w:rFonts w:eastAsia="Calibri" w:cs="Arial"/>
          <w:szCs w:val="32"/>
          <w:lang w:val="fr-FR"/>
        </w:rPr>
        <w:t>D</w:t>
      </w:r>
      <w:r w:rsidRPr="006A1C55">
        <w:rPr>
          <w:rFonts w:eastAsia="Calibri" w:cs="Arial"/>
          <w:szCs w:val="32"/>
          <w:lang w:val="fr-FR"/>
        </w:rPr>
        <w:t xml:space="preserve">e nombreuses requêtes et encouragements étatiques à l’échelle du Département (Directeurs Départementaux et Délégué) ont été </w:t>
      </w:r>
      <w:r w:rsidR="007718D1" w:rsidRPr="006A1C55">
        <w:rPr>
          <w:rFonts w:eastAsia="Calibri" w:cs="Arial"/>
          <w:szCs w:val="32"/>
          <w:lang w:val="fr-FR"/>
        </w:rPr>
        <w:t>faits</w:t>
      </w:r>
      <w:r w:rsidRPr="006A1C55">
        <w:rPr>
          <w:rFonts w:eastAsia="Calibri" w:cs="Arial"/>
          <w:szCs w:val="32"/>
          <w:lang w:val="fr-FR"/>
        </w:rPr>
        <w:t xml:space="preserve"> au CSI pour étendre sa porté</w:t>
      </w:r>
      <w:r w:rsidR="007718D1">
        <w:rPr>
          <w:rFonts w:eastAsia="Calibri" w:cs="Arial"/>
          <w:szCs w:val="32"/>
          <w:lang w:val="fr-FR"/>
        </w:rPr>
        <w:t>e</w:t>
      </w:r>
      <w:r w:rsidRPr="006A1C55">
        <w:rPr>
          <w:rFonts w:eastAsia="Calibri" w:cs="Arial"/>
          <w:szCs w:val="32"/>
          <w:lang w:val="fr-FR"/>
        </w:rPr>
        <w:t xml:space="preserve"> géographique et devenir </w:t>
      </w:r>
      <w:r w:rsidR="005446AB" w:rsidRPr="006A1C55">
        <w:rPr>
          <w:rFonts w:eastAsia="Calibri" w:cs="Arial"/>
          <w:szCs w:val="32"/>
          <w:lang w:val="fr-FR"/>
        </w:rPr>
        <w:t>l’outil</w:t>
      </w:r>
      <w:r w:rsidRPr="006A1C55">
        <w:rPr>
          <w:rFonts w:eastAsia="Calibri" w:cs="Arial"/>
          <w:szCs w:val="32"/>
          <w:lang w:val="fr-FR"/>
        </w:rPr>
        <w:t xml:space="preserve"> de support à la planification départementale pour le Gouvernement. De ce fait, la coordination du CSI tout en continuant son niveau de coordination dans les 10 communes initialement prévues, a débuté de manière sérieuse des discussions avec les partenaires nationaux et </w:t>
      </w:r>
      <w:r>
        <w:rPr>
          <w:rFonts w:eastAsia="Calibri" w:cs="Arial"/>
          <w:szCs w:val="32"/>
          <w:lang w:val="fr-FR"/>
        </w:rPr>
        <w:t>internationaux, étatiques et société civile</w:t>
      </w:r>
      <w:r w:rsidRPr="006A1C55">
        <w:rPr>
          <w:rFonts w:eastAsia="Calibri" w:cs="Arial"/>
          <w:szCs w:val="32"/>
          <w:lang w:val="fr-FR"/>
        </w:rPr>
        <w:t xml:space="preserve"> afin de répondre au mieux au besoin exprimé par le gouvernement.   </w:t>
      </w:r>
    </w:p>
    <w:p w:rsidR="00952E1E" w:rsidRPr="006A1C55" w:rsidRDefault="006A1C55" w:rsidP="006A1C55">
      <w:pPr>
        <w:pStyle w:val="BodyText2"/>
        <w:numPr>
          <w:ilvl w:val="0"/>
          <w:numId w:val="43"/>
        </w:numPr>
        <w:spacing w:after="0" w:line="240" w:lineRule="auto"/>
        <w:jc w:val="both"/>
        <w:rPr>
          <w:szCs w:val="22"/>
          <w:lang w:val="fr-FR"/>
        </w:rPr>
      </w:pPr>
      <w:r w:rsidRPr="006A1C55">
        <w:rPr>
          <w:rFonts w:eastAsia="Calibri" w:cs="Arial"/>
          <w:szCs w:val="32"/>
          <w:lang w:val="fr-FR"/>
        </w:rPr>
        <w:t xml:space="preserve">Le programme </w:t>
      </w:r>
      <w:r w:rsidRPr="00616FA5">
        <w:rPr>
          <w:rFonts w:eastAsia="Calibri" w:cs="Arial"/>
          <w:i/>
          <w:szCs w:val="32"/>
          <w:lang w:val="fr-FR"/>
        </w:rPr>
        <w:t>Marin</w:t>
      </w:r>
      <w:r w:rsidRPr="006A1C55">
        <w:rPr>
          <w:rFonts w:eastAsia="Calibri" w:cs="Arial"/>
          <w:szCs w:val="32"/>
          <w:lang w:val="fr-FR"/>
        </w:rPr>
        <w:t xml:space="preserve"> a par exemple </w:t>
      </w:r>
      <w:r>
        <w:rPr>
          <w:rFonts w:eastAsia="Calibri" w:cs="Arial"/>
          <w:szCs w:val="32"/>
          <w:lang w:val="fr-FR"/>
        </w:rPr>
        <w:t xml:space="preserve">acquis </w:t>
      </w:r>
      <w:r w:rsidRPr="006A1C55">
        <w:rPr>
          <w:rFonts w:eastAsia="Calibri" w:cs="Arial"/>
          <w:szCs w:val="32"/>
          <w:lang w:val="fr-FR"/>
        </w:rPr>
        <w:t xml:space="preserve">le mandat en support </w:t>
      </w:r>
      <w:r w:rsidR="000F0FAB">
        <w:rPr>
          <w:rFonts w:eastAsia="Calibri" w:cs="Arial"/>
          <w:szCs w:val="32"/>
          <w:lang w:val="fr-FR"/>
        </w:rPr>
        <w:t>au gouvernement de développer, planifier et</w:t>
      </w:r>
      <w:r w:rsidRPr="006A1C55">
        <w:rPr>
          <w:rFonts w:eastAsia="Calibri" w:cs="Arial"/>
          <w:szCs w:val="32"/>
          <w:lang w:val="fr-FR"/>
        </w:rPr>
        <w:t xml:space="preserve"> coordonner l’ensemble des activités relatives à la gestion marine dans le Département.  </w:t>
      </w:r>
    </w:p>
    <w:p w:rsidR="006A1C55" w:rsidRPr="006A1C55" w:rsidRDefault="009F4F05" w:rsidP="00E5574B">
      <w:pPr>
        <w:pStyle w:val="BodyText2"/>
        <w:numPr>
          <w:ilvl w:val="0"/>
          <w:numId w:val="30"/>
        </w:numPr>
        <w:spacing w:after="0" w:line="240" w:lineRule="auto"/>
        <w:jc w:val="both"/>
        <w:rPr>
          <w:i/>
          <w:szCs w:val="22"/>
          <w:lang w:val="fr-FR"/>
        </w:rPr>
      </w:pPr>
      <w:r w:rsidRPr="006A1C55">
        <w:rPr>
          <w:b/>
          <w:szCs w:val="22"/>
          <w:lang w:val="fr-FR"/>
        </w:rPr>
        <w:t>Etudes de base </w:t>
      </w:r>
      <w:r w:rsidRPr="006A1C55">
        <w:rPr>
          <w:szCs w:val="22"/>
          <w:lang w:val="fr-FR"/>
        </w:rPr>
        <w:t xml:space="preserve">: La réalisation d’études </w:t>
      </w:r>
      <w:r w:rsidR="00C06B1C" w:rsidRPr="006A1C55">
        <w:rPr>
          <w:szCs w:val="22"/>
          <w:lang w:val="fr-FR"/>
        </w:rPr>
        <w:t>techniques (recherche-action), d’évaluation et</w:t>
      </w:r>
      <w:r w:rsidRPr="006A1C55">
        <w:rPr>
          <w:szCs w:val="22"/>
          <w:lang w:val="fr-FR"/>
        </w:rPr>
        <w:t xml:space="preserve"> de cartographie</w:t>
      </w:r>
      <w:r w:rsidR="00C06B1C" w:rsidRPr="006A1C55">
        <w:rPr>
          <w:szCs w:val="22"/>
          <w:lang w:val="fr-FR"/>
        </w:rPr>
        <w:t xml:space="preserve"> thématique</w:t>
      </w:r>
      <w:r w:rsidR="00952E1E" w:rsidRPr="006A1C55">
        <w:rPr>
          <w:szCs w:val="22"/>
          <w:lang w:val="fr-FR"/>
        </w:rPr>
        <w:t xml:space="preserve"> </w:t>
      </w:r>
      <w:r w:rsidRPr="006A1C55">
        <w:rPr>
          <w:szCs w:val="22"/>
          <w:lang w:val="fr-FR"/>
        </w:rPr>
        <w:t>pour</w:t>
      </w:r>
      <w:r w:rsidR="00952E1E" w:rsidRPr="006A1C55">
        <w:rPr>
          <w:szCs w:val="22"/>
          <w:lang w:val="fr-FR"/>
        </w:rPr>
        <w:t xml:space="preserve"> </w:t>
      </w:r>
      <w:r w:rsidRPr="006A1C55">
        <w:rPr>
          <w:szCs w:val="22"/>
          <w:lang w:val="fr-FR"/>
        </w:rPr>
        <w:t>la mise en place de</w:t>
      </w:r>
      <w:r w:rsidR="00952E1E" w:rsidRPr="006A1C55">
        <w:rPr>
          <w:szCs w:val="22"/>
          <w:lang w:val="fr-FR"/>
        </w:rPr>
        <w:t xml:space="preserve"> </w:t>
      </w:r>
      <w:r w:rsidRPr="006A1C55">
        <w:rPr>
          <w:szCs w:val="22"/>
          <w:lang w:val="fr-FR"/>
        </w:rPr>
        <w:t>lignes de bases informant</w:t>
      </w:r>
      <w:r w:rsidR="00952E1E" w:rsidRPr="006A1C55">
        <w:rPr>
          <w:szCs w:val="22"/>
          <w:lang w:val="fr-FR"/>
        </w:rPr>
        <w:t xml:space="preserve"> les stratégies </w:t>
      </w:r>
      <w:r w:rsidR="00E5574B" w:rsidRPr="006A1C55">
        <w:rPr>
          <w:szCs w:val="22"/>
          <w:lang w:val="fr-FR"/>
        </w:rPr>
        <w:t>correspondantes</w:t>
      </w:r>
      <w:r w:rsidR="006A1C55">
        <w:rPr>
          <w:szCs w:val="22"/>
          <w:lang w:val="fr-FR"/>
        </w:rPr>
        <w:t xml:space="preserve"> et les indicateurs de suivi</w:t>
      </w:r>
      <w:r w:rsidR="00835021" w:rsidRPr="006A1C55">
        <w:rPr>
          <w:szCs w:val="22"/>
          <w:lang w:val="fr-FR"/>
        </w:rPr>
        <w:t>. A c</w:t>
      </w:r>
      <w:r w:rsidR="00E5574B" w:rsidRPr="006A1C55">
        <w:rPr>
          <w:szCs w:val="22"/>
          <w:lang w:val="fr-FR"/>
        </w:rPr>
        <w:t xml:space="preserve">e titre, il peut être </w:t>
      </w:r>
      <w:r w:rsidR="005446AB" w:rsidRPr="006A1C55">
        <w:rPr>
          <w:szCs w:val="22"/>
          <w:lang w:val="fr-FR"/>
        </w:rPr>
        <w:t>signalé</w:t>
      </w:r>
      <w:r w:rsidR="00E5574B" w:rsidRPr="006A1C55">
        <w:rPr>
          <w:szCs w:val="22"/>
          <w:lang w:val="fr-FR"/>
        </w:rPr>
        <w:t xml:space="preserve"> les produits </w:t>
      </w:r>
      <w:r w:rsidRPr="006A1C55">
        <w:rPr>
          <w:szCs w:val="22"/>
          <w:lang w:val="fr-FR"/>
        </w:rPr>
        <w:t xml:space="preserve">principaux </w:t>
      </w:r>
      <w:r w:rsidR="00E5574B" w:rsidRPr="006A1C55">
        <w:rPr>
          <w:szCs w:val="22"/>
          <w:lang w:val="fr-FR"/>
        </w:rPr>
        <w:t xml:space="preserve">suivants: </w:t>
      </w:r>
      <w:r w:rsidR="00835021" w:rsidRPr="006A1C55">
        <w:rPr>
          <w:szCs w:val="22"/>
          <w:lang w:val="fr-FR"/>
        </w:rPr>
        <w:t>Enquêtes de ménages; Invent</w:t>
      </w:r>
      <w:r w:rsidR="005446AB">
        <w:rPr>
          <w:szCs w:val="22"/>
          <w:lang w:val="fr-FR"/>
        </w:rPr>
        <w:t>aires des services et facilités</w:t>
      </w:r>
      <w:r w:rsidR="00835021" w:rsidRPr="006A1C55">
        <w:rPr>
          <w:szCs w:val="22"/>
          <w:lang w:val="fr-FR"/>
        </w:rPr>
        <w:t>; L’étude de marché des produits agricole</w:t>
      </w:r>
      <w:r w:rsidR="005446AB">
        <w:rPr>
          <w:szCs w:val="22"/>
          <w:lang w:val="fr-FR"/>
        </w:rPr>
        <w:t>s</w:t>
      </w:r>
      <w:r w:rsidR="00835021" w:rsidRPr="006A1C55">
        <w:rPr>
          <w:szCs w:val="22"/>
          <w:lang w:val="fr-FR"/>
        </w:rPr>
        <w:t> ; L’étude de la chaine de produc</w:t>
      </w:r>
      <w:r w:rsidR="00783164" w:rsidRPr="006A1C55">
        <w:rPr>
          <w:szCs w:val="22"/>
          <w:lang w:val="fr-FR"/>
        </w:rPr>
        <w:t>tion du vétiver ; L’étude sur l’économie du</w:t>
      </w:r>
      <w:r w:rsidR="00835021" w:rsidRPr="006A1C55">
        <w:rPr>
          <w:szCs w:val="22"/>
          <w:lang w:val="fr-FR"/>
        </w:rPr>
        <w:t xml:space="preserve"> charbon de bois ; </w:t>
      </w:r>
      <w:r w:rsidR="001431B0" w:rsidRPr="006A1C55">
        <w:rPr>
          <w:szCs w:val="22"/>
          <w:lang w:val="fr-FR"/>
        </w:rPr>
        <w:t xml:space="preserve">Identification des pestes ; </w:t>
      </w:r>
      <w:r w:rsidR="00835021" w:rsidRPr="006A1C55">
        <w:rPr>
          <w:szCs w:val="22"/>
          <w:lang w:val="fr-FR"/>
        </w:rPr>
        <w:t>Une cartographie de couverture et utilisation des sol</w:t>
      </w:r>
      <w:r w:rsidR="00783164" w:rsidRPr="006A1C55">
        <w:rPr>
          <w:szCs w:val="22"/>
          <w:lang w:val="fr-FR"/>
        </w:rPr>
        <w:t>s ; Inventaire des activités de pêche</w:t>
      </w:r>
      <w:r w:rsidR="00835021" w:rsidRPr="006A1C55">
        <w:rPr>
          <w:szCs w:val="22"/>
          <w:lang w:val="fr-FR"/>
        </w:rPr>
        <w:t xml:space="preserve"> (techniques, matériels, associations) ; Inventaire des sites touristiques et évènements culturelles dans le Sud.</w:t>
      </w:r>
      <w:r w:rsidR="006A1C55">
        <w:rPr>
          <w:szCs w:val="22"/>
          <w:lang w:val="fr-FR"/>
        </w:rPr>
        <w:t xml:space="preserve"> </w:t>
      </w:r>
    </w:p>
    <w:p w:rsidR="00952E1E" w:rsidRPr="006A1C55" w:rsidRDefault="006A1C55" w:rsidP="006A1C55">
      <w:pPr>
        <w:pStyle w:val="BodyText2"/>
        <w:spacing w:after="0" w:line="240" w:lineRule="auto"/>
        <w:ind w:left="720"/>
        <w:jc w:val="both"/>
        <w:rPr>
          <w:i/>
          <w:szCs w:val="22"/>
          <w:lang w:val="fr-FR"/>
        </w:rPr>
      </w:pPr>
      <w:r w:rsidRPr="006A1C55">
        <w:rPr>
          <w:rFonts w:cs="Arial"/>
          <w:i/>
          <w:lang w:val="fr-FR"/>
        </w:rPr>
        <w:t xml:space="preserve">40 % d’achèvement </w:t>
      </w:r>
      <w:r w:rsidR="000F0FAB">
        <w:rPr>
          <w:rFonts w:cs="Arial"/>
          <w:i/>
          <w:lang w:val="fr-FR"/>
        </w:rPr>
        <w:t xml:space="preserve">par rapport </w:t>
      </w:r>
      <w:r w:rsidRPr="006A1C55">
        <w:rPr>
          <w:rFonts w:cs="Arial"/>
          <w:i/>
          <w:lang w:val="fr-FR"/>
        </w:rPr>
        <w:t>au plan de travail du projet s’achevant en juin 2012</w:t>
      </w:r>
      <w:r w:rsidRPr="006A1C55">
        <w:rPr>
          <w:rFonts w:cs="Arial"/>
          <w:b/>
          <w:i/>
          <w:lang w:val="fr-FR"/>
        </w:rPr>
        <w:t>.</w:t>
      </w:r>
      <w:r w:rsidRPr="006A1C55">
        <w:rPr>
          <w:i/>
          <w:szCs w:val="22"/>
          <w:lang w:val="fr-FR"/>
        </w:rPr>
        <w:t xml:space="preserve">  </w:t>
      </w:r>
    </w:p>
    <w:p w:rsidR="000F0FAB" w:rsidRDefault="009F4F05" w:rsidP="00952E1E">
      <w:pPr>
        <w:pStyle w:val="BodyText2"/>
        <w:numPr>
          <w:ilvl w:val="0"/>
          <w:numId w:val="30"/>
        </w:numPr>
        <w:spacing w:after="0" w:line="240" w:lineRule="auto"/>
        <w:jc w:val="both"/>
        <w:rPr>
          <w:szCs w:val="22"/>
          <w:lang w:val="fr-FR"/>
        </w:rPr>
      </w:pPr>
      <w:r w:rsidRPr="006A1C55">
        <w:rPr>
          <w:b/>
          <w:szCs w:val="22"/>
          <w:lang w:val="fr-FR"/>
        </w:rPr>
        <w:t>Planification et Stratégie </w:t>
      </w:r>
      <w:r w:rsidRPr="006A1C55">
        <w:rPr>
          <w:szCs w:val="22"/>
          <w:lang w:val="fr-FR"/>
        </w:rPr>
        <w:t xml:space="preserve">: </w:t>
      </w:r>
      <w:r w:rsidR="00952E1E" w:rsidRPr="006A1C55">
        <w:rPr>
          <w:szCs w:val="22"/>
          <w:lang w:val="fr-FR"/>
        </w:rPr>
        <w:t>Le développement de deux ébauches de stratégies</w:t>
      </w:r>
      <w:r w:rsidR="00783164" w:rsidRPr="006A1C55">
        <w:rPr>
          <w:szCs w:val="22"/>
          <w:lang w:val="fr-FR"/>
        </w:rPr>
        <w:t xml:space="preserve"> sectorielles</w:t>
      </w:r>
      <w:r w:rsidR="00952E1E" w:rsidRPr="006A1C55">
        <w:rPr>
          <w:szCs w:val="22"/>
          <w:lang w:val="fr-FR"/>
        </w:rPr>
        <w:t xml:space="preserve"> en consultation</w:t>
      </w:r>
      <w:r w:rsidR="00E5574B" w:rsidRPr="006A1C55">
        <w:rPr>
          <w:szCs w:val="22"/>
          <w:lang w:val="fr-FR"/>
        </w:rPr>
        <w:t xml:space="preserve"> tant au niveau local que national. Ces stratégies sont relatives aux secteurs de l’énergie et </w:t>
      </w:r>
      <w:r w:rsidR="00783164" w:rsidRPr="006A1C55">
        <w:rPr>
          <w:szCs w:val="22"/>
          <w:lang w:val="fr-FR"/>
        </w:rPr>
        <w:t xml:space="preserve">de la gestion </w:t>
      </w:r>
      <w:r w:rsidR="00E5574B" w:rsidRPr="006A1C55">
        <w:rPr>
          <w:szCs w:val="22"/>
          <w:lang w:val="fr-FR"/>
        </w:rPr>
        <w:t>marin</w:t>
      </w:r>
      <w:r w:rsidR="00783164" w:rsidRPr="006A1C55">
        <w:rPr>
          <w:szCs w:val="22"/>
          <w:lang w:val="fr-FR"/>
        </w:rPr>
        <w:t>e</w:t>
      </w:r>
      <w:r w:rsidR="00E5574B" w:rsidRPr="006A1C55">
        <w:rPr>
          <w:szCs w:val="22"/>
          <w:lang w:val="fr-FR"/>
        </w:rPr>
        <w:t xml:space="preserve">. </w:t>
      </w:r>
      <w:r w:rsidR="006A1C55">
        <w:rPr>
          <w:szCs w:val="22"/>
          <w:lang w:val="fr-FR"/>
        </w:rPr>
        <w:t xml:space="preserve">La programmation des autres secteurs est en cours. </w:t>
      </w:r>
    </w:p>
    <w:p w:rsidR="00952E1E" w:rsidRPr="000F0FAB" w:rsidRDefault="000F0FAB" w:rsidP="000F0FAB">
      <w:pPr>
        <w:pStyle w:val="BodyText2"/>
        <w:spacing w:after="0" w:line="240" w:lineRule="auto"/>
        <w:ind w:left="720"/>
        <w:jc w:val="both"/>
        <w:rPr>
          <w:i/>
          <w:szCs w:val="22"/>
          <w:lang w:val="fr-FR"/>
        </w:rPr>
      </w:pPr>
      <w:r w:rsidRPr="000F0FAB">
        <w:rPr>
          <w:rFonts w:cs="Arial"/>
          <w:i/>
          <w:lang w:val="fr-FR"/>
        </w:rPr>
        <w:t>20 % d’achèvement par rapport au plan de travail du projet s’achevant en juin 2012</w:t>
      </w:r>
      <w:r w:rsidRPr="000F0FAB">
        <w:rPr>
          <w:rFonts w:cs="Arial"/>
          <w:b/>
          <w:i/>
          <w:lang w:val="fr-FR"/>
        </w:rPr>
        <w:t>.</w:t>
      </w:r>
      <w:r w:rsidRPr="000F0FAB">
        <w:rPr>
          <w:i/>
          <w:szCs w:val="22"/>
          <w:lang w:val="fr-FR"/>
        </w:rPr>
        <w:t xml:space="preserve">  </w:t>
      </w:r>
    </w:p>
    <w:p w:rsidR="00F25221" w:rsidRPr="006A1C55" w:rsidRDefault="00783164" w:rsidP="00F25221">
      <w:pPr>
        <w:pStyle w:val="BodyText2"/>
        <w:numPr>
          <w:ilvl w:val="0"/>
          <w:numId w:val="30"/>
        </w:numPr>
        <w:spacing w:after="0" w:line="240" w:lineRule="auto"/>
        <w:jc w:val="both"/>
        <w:rPr>
          <w:szCs w:val="22"/>
          <w:lang w:val="fr-FR"/>
        </w:rPr>
      </w:pPr>
      <w:r w:rsidRPr="006A1C55">
        <w:rPr>
          <w:b/>
          <w:szCs w:val="22"/>
          <w:lang w:val="fr-FR"/>
        </w:rPr>
        <w:t>Action</w:t>
      </w:r>
      <w:r w:rsidR="009F4F05" w:rsidRPr="006A1C55">
        <w:rPr>
          <w:b/>
          <w:szCs w:val="22"/>
          <w:lang w:val="fr-FR"/>
        </w:rPr>
        <w:t>s visibles à béné</w:t>
      </w:r>
      <w:r w:rsidR="00F25221" w:rsidRPr="006A1C55">
        <w:rPr>
          <w:b/>
          <w:szCs w:val="22"/>
          <w:lang w:val="fr-FR"/>
        </w:rPr>
        <w:t>fices tangibles</w:t>
      </w:r>
      <w:r w:rsidR="00F25221" w:rsidRPr="006A1C55">
        <w:rPr>
          <w:szCs w:val="22"/>
          <w:lang w:val="fr-FR"/>
        </w:rPr>
        <w:t xml:space="preserve"> sur le terrain pour le</w:t>
      </w:r>
      <w:r w:rsidR="005446AB">
        <w:rPr>
          <w:szCs w:val="22"/>
          <w:lang w:val="fr-FR"/>
        </w:rPr>
        <w:t>s</w:t>
      </w:r>
      <w:r w:rsidR="00F25221" w:rsidRPr="006A1C55">
        <w:rPr>
          <w:szCs w:val="22"/>
          <w:lang w:val="fr-FR"/>
        </w:rPr>
        <w:t xml:space="preserve"> secteur</w:t>
      </w:r>
      <w:r w:rsidR="005446AB">
        <w:rPr>
          <w:szCs w:val="22"/>
          <w:lang w:val="fr-FR"/>
        </w:rPr>
        <w:t>s</w:t>
      </w:r>
      <w:r w:rsidR="00F25221" w:rsidRPr="006A1C55">
        <w:rPr>
          <w:szCs w:val="22"/>
          <w:lang w:val="fr-FR"/>
        </w:rPr>
        <w:t xml:space="preserve"> agriculture/foresterie et énergie :</w:t>
      </w:r>
    </w:p>
    <w:p w:rsidR="00F25221" w:rsidRPr="006A1C55" w:rsidRDefault="00F25221" w:rsidP="00C06B1C">
      <w:pPr>
        <w:pStyle w:val="BodyText2"/>
        <w:spacing w:after="0" w:line="240" w:lineRule="auto"/>
        <w:ind w:left="720"/>
        <w:jc w:val="both"/>
        <w:rPr>
          <w:szCs w:val="22"/>
          <w:lang w:val="fr-FR"/>
        </w:rPr>
      </w:pPr>
      <w:r w:rsidRPr="006A1C55">
        <w:rPr>
          <w:lang w:val="fr-FR"/>
        </w:rPr>
        <w:t>1. Agriculture et Foresterie :</w:t>
      </w:r>
    </w:p>
    <w:p w:rsidR="00C1056E" w:rsidRPr="006A1C55" w:rsidRDefault="00F25221" w:rsidP="00F25221">
      <w:pPr>
        <w:pStyle w:val="BodyText2"/>
        <w:spacing w:after="0" w:line="240" w:lineRule="auto"/>
        <w:ind w:left="720"/>
        <w:jc w:val="both"/>
        <w:rPr>
          <w:szCs w:val="22"/>
          <w:lang w:val="fr-FR"/>
        </w:rPr>
      </w:pPr>
      <w:r w:rsidRPr="006A1C55">
        <w:rPr>
          <w:lang w:val="fr-FR"/>
        </w:rPr>
        <w:t xml:space="preserve">1.1. </w:t>
      </w:r>
      <w:r w:rsidR="001431B0" w:rsidRPr="006A1C55">
        <w:rPr>
          <w:lang w:val="fr-FR"/>
        </w:rPr>
        <w:t>Démarrage des pépinières</w:t>
      </w:r>
      <w:r w:rsidR="006D370D" w:rsidRPr="006A1C55">
        <w:rPr>
          <w:lang w:val="fr-FR"/>
        </w:rPr>
        <w:t xml:space="preserve"> maraichères  dans 4 communes (</w:t>
      </w:r>
      <w:r w:rsidR="001431B0" w:rsidRPr="006A1C55">
        <w:rPr>
          <w:lang w:val="fr-FR"/>
        </w:rPr>
        <w:t>Roche à Bateau, Coteaux, Les Anglais et Chardonnières</w:t>
      </w:r>
      <w:r w:rsidR="006D370D" w:rsidRPr="006A1C55">
        <w:rPr>
          <w:lang w:val="fr-FR"/>
        </w:rPr>
        <w:t>) et production d’espèces agro forestières en pépinière à Cadet (3215 manguiers, 4952 avocatiers, 3742 agrumes)</w:t>
      </w:r>
      <w:r w:rsidR="00C1056E" w:rsidRPr="006A1C55">
        <w:rPr>
          <w:lang w:val="fr-FR"/>
        </w:rPr>
        <w:t xml:space="preserve"> et Rendel (6022 avocatiers ; 1241 agrumes ; 11459 caféiers) </w:t>
      </w:r>
    </w:p>
    <w:p w:rsidR="006D370D" w:rsidRPr="006A1C55" w:rsidRDefault="00C1056E" w:rsidP="00F25221">
      <w:pPr>
        <w:pStyle w:val="ListParagraph"/>
        <w:numPr>
          <w:ilvl w:val="1"/>
          <w:numId w:val="40"/>
        </w:numPr>
        <w:rPr>
          <w:lang w:val="fr-FR"/>
        </w:rPr>
      </w:pPr>
      <w:r w:rsidRPr="006A1C55">
        <w:rPr>
          <w:lang w:val="fr-FR"/>
        </w:rPr>
        <w:t>Mise en place de 3 systèmes d’irrigation gouttes à gouttes de 1000 mètres carrés</w:t>
      </w:r>
      <w:r w:rsidR="00DC0DB7" w:rsidRPr="006A1C55">
        <w:rPr>
          <w:lang w:val="fr-FR"/>
        </w:rPr>
        <w:t xml:space="preserve"> (Roche à Bateau</w:t>
      </w:r>
      <w:r w:rsidR="00F25221" w:rsidRPr="006A1C55">
        <w:rPr>
          <w:lang w:val="fr-FR"/>
        </w:rPr>
        <w:t xml:space="preserve">, </w:t>
      </w:r>
      <w:r w:rsidR="00DC0DB7" w:rsidRPr="006A1C55">
        <w:rPr>
          <w:lang w:val="fr-FR"/>
        </w:rPr>
        <w:t>Coteau, Anglais) avec premiers résultats prometteurs</w:t>
      </w:r>
      <w:r w:rsidR="00F25221" w:rsidRPr="006A1C55">
        <w:rPr>
          <w:lang w:val="fr-FR"/>
        </w:rPr>
        <w:t xml:space="preserve">. </w:t>
      </w:r>
    </w:p>
    <w:p w:rsidR="00F25221" w:rsidRPr="006A1C55" w:rsidRDefault="00F25221" w:rsidP="00F25221">
      <w:pPr>
        <w:pStyle w:val="ListParagraph"/>
        <w:numPr>
          <w:ilvl w:val="1"/>
          <w:numId w:val="40"/>
        </w:numPr>
        <w:rPr>
          <w:lang w:val="fr-FR"/>
        </w:rPr>
      </w:pPr>
      <w:r w:rsidRPr="006A1C55">
        <w:rPr>
          <w:lang w:val="fr-FR"/>
        </w:rPr>
        <w:t>Surgreffage dans 4 communes, Roche a bateau-Coteaux-Chardonnières-Les Anglais (1,382manguiers</w:t>
      </w:r>
      <w:r w:rsidR="005446AB">
        <w:rPr>
          <w:lang w:val="fr-FR"/>
        </w:rPr>
        <w:t xml:space="preserve"> et 20 avocatiers) et le bassin</w:t>
      </w:r>
      <w:r w:rsidRPr="006A1C55">
        <w:rPr>
          <w:lang w:val="fr-FR"/>
        </w:rPr>
        <w:t xml:space="preserve"> versant de Port à Piment (125 manguiers)</w:t>
      </w:r>
    </w:p>
    <w:p w:rsidR="00F25221" w:rsidRPr="006A1C55" w:rsidRDefault="00F25221" w:rsidP="00F25221">
      <w:pPr>
        <w:ind w:left="720"/>
        <w:rPr>
          <w:lang w:val="fr-FR"/>
        </w:rPr>
      </w:pPr>
      <w:r w:rsidRPr="006A1C55">
        <w:rPr>
          <w:lang w:val="fr-FR"/>
        </w:rPr>
        <w:t xml:space="preserve">1.4. </w:t>
      </w:r>
      <w:r w:rsidR="006D370D" w:rsidRPr="006A1C55">
        <w:rPr>
          <w:lang w:val="fr-FR"/>
        </w:rPr>
        <w:t xml:space="preserve">Etablissement </w:t>
      </w:r>
      <w:r w:rsidRPr="006A1C55">
        <w:rPr>
          <w:lang w:val="fr-FR"/>
        </w:rPr>
        <w:t>de centres de stockage combinés à une assistance technique pour la vente des stock</w:t>
      </w:r>
      <w:r w:rsidR="005446AB">
        <w:rPr>
          <w:lang w:val="fr-FR"/>
        </w:rPr>
        <w:t>s</w:t>
      </w:r>
      <w:r w:rsidRPr="006A1C55">
        <w:rPr>
          <w:lang w:val="fr-FR"/>
        </w:rPr>
        <w:t xml:space="preserve"> achetés af</w:t>
      </w:r>
      <w:r w:rsidR="005446AB">
        <w:rPr>
          <w:lang w:val="fr-FR"/>
        </w:rPr>
        <w:t>in d’obtenir une marge bénéficiai</w:t>
      </w:r>
      <w:r w:rsidRPr="006A1C55">
        <w:rPr>
          <w:lang w:val="fr-FR"/>
        </w:rPr>
        <w:t>re optimale (</w:t>
      </w:r>
      <w:r w:rsidR="006D370D" w:rsidRPr="006A1C55">
        <w:rPr>
          <w:lang w:val="fr-FR"/>
        </w:rPr>
        <w:t xml:space="preserve">2 </w:t>
      </w:r>
      <w:r w:rsidRPr="006A1C55">
        <w:rPr>
          <w:lang w:val="fr-FR"/>
        </w:rPr>
        <w:t xml:space="preserve">centres </w:t>
      </w:r>
      <w:r w:rsidR="006D370D" w:rsidRPr="006A1C55">
        <w:rPr>
          <w:lang w:val="fr-FR"/>
        </w:rPr>
        <w:t>à Potu et 1</w:t>
      </w:r>
      <w:r w:rsidRPr="006A1C55">
        <w:rPr>
          <w:lang w:val="fr-FR"/>
        </w:rPr>
        <w:t xml:space="preserve"> centre</w:t>
      </w:r>
      <w:r w:rsidR="006D370D" w:rsidRPr="006A1C55">
        <w:rPr>
          <w:lang w:val="fr-FR"/>
        </w:rPr>
        <w:t xml:space="preserve"> à Rendel</w:t>
      </w:r>
      <w:r w:rsidRPr="006A1C55">
        <w:rPr>
          <w:lang w:val="fr-FR"/>
        </w:rPr>
        <w:t>)</w:t>
      </w:r>
      <w:r w:rsidR="006D370D" w:rsidRPr="006A1C55">
        <w:rPr>
          <w:lang w:val="fr-FR"/>
        </w:rPr>
        <w:t xml:space="preserve"> </w:t>
      </w:r>
    </w:p>
    <w:p w:rsidR="00C06B1C" w:rsidRPr="006A1C55" w:rsidRDefault="00F25221" w:rsidP="00F25221">
      <w:pPr>
        <w:ind w:left="720"/>
        <w:rPr>
          <w:lang w:val="fr-FR"/>
        </w:rPr>
      </w:pPr>
      <w:r w:rsidRPr="006A1C55">
        <w:rPr>
          <w:lang w:val="fr-FR"/>
        </w:rPr>
        <w:t xml:space="preserve">1.5. </w:t>
      </w:r>
      <w:r w:rsidR="001431B0" w:rsidRPr="006A1C55">
        <w:rPr>
          <w:lang w:val="fr-FR"/>
        </w:rPr>
        <w:t>Essais de diversification </w:t>
      </w:r>
      <w:r w:rsidRPr="006A1C55">
        <w:rPr>
          <w:lang w:val="fr-FR"/>
        </w:rPr>
        <w:t xml:space="preserve">sur le bassin versant de Port à Piment avec </w:t>
      </w:r>
      <w:r w:rsidR="001431B0" w:rsidRPr="006A1C55">
        <w:rPr>
          <w:lang w:val="fr-FR"/>
        </w:rPr>
        <w:t xml:space="preserve">une superficie de 800 m2 </w:t>
      </w:r>
      <w:r w:rsidRPr="006A1C55">
        <w:rPr>
          <w:lang w:val="fr-FR"/>
        </w:rPr>
        <w:t xml:space="preserve">par sites (localité de </w:t>
      </w:r>
      <w:r w:rsidR="001431B0" w:rsidRPr="006A1C55">
        <w:rPr>
          <w:lang w:val="fr-FR"/>
        </w:rPr>
        <w:t>Cadet pour les cultures de piment et carotte</w:t>
      </w:r>
      <w:r w:rsidRPr="006A1C55">
        <w:rPr>
          <w:lang w:val="fr-FR"/>
        </w:rPr>
        <w:t xml:space="preserve"> ; localité de Douillette </w:t>
      </w:r>
      <w:r w:rsidR="001431B0" w:rsidRPr="006A1C55">
        <w:rPr>
          <w:lang w:val="fr-FR"/>
        </w:rPr>
        <w:t>pour les cultures de carotte,  poireau et pomme de terre</w:t>
      </w:r>
      <w:r w:rsidRPr="006A1C55">
        <w:rPr>
          <w:lang w:val="fr-FR"/>
        </w:rPr>
        <w:t>) et Essais de diversification dans 3 communes pour le piment, aubergine, calalou.</w:t>
      </w:r>
    </w:p>
    <w:p w:rsidR="006A1C55" w:rsidRDefault="00C06B1C" w:rsidP="00C06B1C">
      <w:pPr>
        <w:ind w:left="720"/>
        <w:rPr>
          <w:lang w:val="fr-FR"/>
        </w:rPr>
      </w:pPr>
      <w:r w:rsidRPr="006A1C55">
        <w:rPr>
          <w:lang w:val="fr-FR"/>
        </w:rPr>
        <w:t xml:space="preserve">2. Energie : Facilitation de la distribution de </w:t>
      </w:r>
      <w:r w:rsidR="005446AB" w:rsidRPr="006A1C55">
        <w:rPr>
          <w:lang w:val="fr-FR"/>
        </w:rPr>
        <w:t>produits énergétiques portables tels</w:t>
      </w:r>
      <w:r w:rsidRPr="006A1C55">
        <w:rPr>
          <w:lang w:val="fr-FR"/>
        </w:rPr>
        <w:t xml:space="preserve"> que des réchauds améliorés et des lampes solaires au travers d’une approche d’entreprise social</w:t>
      </w:r>
      <w:r w:rsidR="005446AB">
        <w:rPr>
          <w:lang w:val="fr-FR"/>
        </w:rPr>
        <w:t>e</w:t>
      </w:r>
      <w:r w:rsidRPr="006A1C55">
        <w:rPr>
          <w:lang w:val="fr-FR"/>
        </w:rPr>
        <w:t xml:space="preserve"> appuyé</w:t>
      </w:r>
      <w:r w:rsidR="005446AB">
        <w:rPr>
          <w:lang w:val="fr-FR"/>
        </w:rPr>
        <w:t>e</w:t>
      </w:r>
      <w:r w:rsidRPr="006A1C55">
        <w:rPr>
          <w:lang w:val="fr-FR"/>
        </w:rPr>
        <w:t xml:space="preserve"> par une stratégie de marketing/sensibilisation approprié</w:t>
      </w:r>
      <w:r w:rsidR="005446AB">
        <w:rPr>
          <w:lang w:val="fr-FR"/>
        </w:rPr>
        <w:t>e</w:t>
      </w:r>
      <w:r w:rsidRPr="006A1C55">
        <w:rPr>
          <w:lang w:val="fr-FR"/>
        </w:rPr>
        <w:t xml:space="preserve"> ainsi que la mise en place de système de crédit. Une </w:t>
      </w:r>
      <w:r w:rsidRPr="006A1C55">
        <w:rPr>
          <w:lang w:val="fr-FR"/>
        </w:rPr>
        <w:lastRenderedPageBreak/>
        <w:t xml:space="preserve">hausse de la couverture de ces produits a été </w:t>
      </w:r>
      <w:r w:rsidR="005446AB" w:rsidRPr="006A1C55">
        <w:rPr>
          <w:lang w:val="fr-FR"/>
        </w:rPr>
        <w:t>constatée</w:t>
      </w:r>
      <w:r w:rsidRPr="006A1C55">
        <w:rPr>
          <w:lang w:val="fr-FR"/>
        </w:rPr>
        <w:t xml:space="preserve"> résultant en une diminution relative de la pauvreté énergétique en zones rurales.</w:t>
      </w:r>
    </w:p>
    <w:p w:rsidR="000F0FAB" w:rsidRPr="000F0FAB" w:rsidRDefault="000F0FAB" w:rsidP="00C06B1C">
      <w:pPr>
        <w:ind w:left="720"/>
        <w:rPr>
          <w:i/>
          <w:lang w:val="fr-FR"/>
        </w:rPr>
      </w:pPr>
      <w:r w:rsidRPr="000F0FAB">
        <w:rPr>
          <w:i/>
          <w:lang w:val="fr-FR"/>
        </w:rPr>
        <w:t xml:space="preserve">3. Le restant </w:t>
      </w:r>
      <w:r w:rsidR="006A1C55" w:rsidRPr="000F0FAB">
        <w:rPr>
          <w:i/>
          <w:lang w:val="fr-FR"/>
        </w:rPr>
        <w:t xml:space="preserve">des activités pratiques sont en phase de </w:t>
      </w:r>
      <w:r w:rsidR="005446AB">
        <w:rPr>
          <w:i/>
          <w:lang w:val="fr-FR"/>
        </w:rPr>
        <w:t xml:space="preserve"> conception</w:t>
      </w:r>
      <w:r w:rsidR="006A1C55" w:rsidRPr="000F0FAB">
        <w:rPr>
          <w:i/>
          <w:lang w:val="fr-FR"/>
        </w:rPr>
        <w:t xml:space="preserve"> </w:t>
      </w:r>
    </w:p>
    <w:p w:rsidR="000F0FAB" w:rsidRDefault="000F0FAB" w:rsidP="000F0FAB">
      <w:pPr>
        <w:pStyle w:val="BodyText2"/>
        <w:spacing w:after="0" w:line="240" w:lineRule="auto"/>
        <w:ind w:left="720"/>
        <w:jc w:val="both"/>
        <w:rPr>
          <w:i/>
          <w:szCs w:val="22"/>
          <w:lang w:val="fr-FR"/>
        </w:rPr>
      </w:pPr>
      <w:r w:rsidRPr="000F0FAB">
        <w:rPr>
          <w:rFonts w:cs="Arial"/>
          <w:i/>
          <w:lang w:val="fr-FR"/>
        </w:rPr>
        <w:t>40 % d’achèvement par rapport au plan de travail du projet s’achevant en juin 2012</w:t>
      </w:r>
      <w:r w:rsidRPr="000F0FAB">
        <w:rPr>
          <w:rFonts w:cs="Arial"/>
          <w:b/>
          <w:i/>
          <w:lang w:val="fr-FR"/>
        </w:rPr>
        <w:t>.</w:t>
      </w:r>
      <w:r w:rsidRPr="000F0FAB">
        <w:rPr>
          <w:i/>
          <w:szCs w:val="22"/>
          <w:lang w:val="fr-FR"/>
        </w:rPr>
        <w:t xml:space="preserve">  </w:t>
      </w:r>
    </w:p>
    <w:p w:rsidR="000F0FAB" w:rsidRDefault="000F0FAB" w:rsidP="000F0FAB">
      <w:pPr>
        <w:autoSpaceDE w:val="0"/>
        <w:autoSpaceDN w:val="0"/>
        <w:adjustRightInd w:val="0"/>
        <w:jc w:val="both"/>
        <w:rPr>
          <w:rFonts w:eastAsia="Calibri" w:cs="Arial"/>
          <w:sz w:val="22"/>
          <w:szCs w:val="32"/>
          <w:lang w:val="fr-FR"/>
        </w:rPr>
      </w:pPr>
    </w:p>
    <w:p w:rsidR="000F0FAB" w:rsidRPr="004C64BD" w:rsidRDefault="000F0FAB" w:rsidP="00616FA5">
      <w:pPr>
        <w:pStyle w:val="BodyText2"/>
        <w:numPr>
          <w:ilvl w:val="0"/>
          <w:numId w:val="6"/>
        </w:numPr>
        <w:spacing w:after="0" w:line="240" w:lineRule="auto"/>
        <w:jc w:val="both"/>
        <w:rPr>
          <w:rFonts w:eastAsia="Calibri" w:cs="Arial"/>
          <w:szCs w:val="32"/>
          <w:lang w:val="fr-FR"/>
        </w:rPr>
      </w:pPr>
      <w:r w:rsidRPr="004C64BD">
        <w:rPr>
          <w:rFonts w:eastAsia="Calibri" w:cs="Arial"/>
          <w:szCs w:val="32"/>
          <w:lang w:val="fr-FR"/>
        </w:rPr>
        <w:t>Aussi, le champ d’action du projet DD SO inclut également le financement à petite échelle pour la coordination du CSI et la planification conjointe d'autres projets - cela s'est déjà traduit p</w:t>
      </w:r>
      <w:r w:rsidR="00AD26AF">
        <w:rPr>
          <w:rFonts w:eastAsia="Calibri" w:cs="Arial"/>
          <w:szCs w:val="32"/>
          <w:lang w:val="fr-FR"/>
        </w:rPr>
        <w:t>ar l’intégration d’un projet d’envergure de la BID</w:t>
      </w:r>
      <w:r w:rsidR="003A070E">
        <w:rPr>
          <w:rStyle w:val="FootnoteReference"/>
          <w:rFonts w:eastAsia="Calibri" w:cs="Arial"/>
          <w:szCs w:val="32"/>
          <w:lang w:val="fr-FR"/>
        </w:rPr>
        <w:footnoteReference w:id="9"/>
      </w:r>
      <w:r w:rsidR="00AD26AF">
        <w:rPr>
          <w:rFonts w:eastAsia="Calibri" w:cs="Arial"/>
          <w:szCs w:val="32"/>
          <w:lang w:val="fr-FR"/>
        </w:rPr>
        <w:t xml:space="preserve"> visant l’installation de panneaux solaires dans les centres sociaux</w:t>
      </w:r>
      <w:r w:rsidRPr="004C64BD">
        <w:rPr>
          <w:rFonts w:eastAsia="Calibri" w:cs="Arial"/>
          <w:szCs w:val="32"/>
          <w:lang w:val="fr-FR"/>
        </w:rPr>
        <w:t xml:space="preserve"> et par conséquent améliorant ainsi la coordi</w:t>
      </w:r>
      <w:r w:rsidR="005446AB">
        <w:rPr>
          <w:rFonts w:eastAsia="Calibri" w:cs="Arial"/>
          <w:szCs w:val="32"/>
          <w:lang w:val="fr-FR"/>
        </w:rPr>
        <w:t>nation de l'aide globale dans la</w:t>
      </w:r>
      <w:r w:rsidRPr="004C64BD">
        <w:rPr>
          <w:rFonts w:eastAsia="Calibri" w:cs="Arial"/>
          <w:szCs w:val="32"/>
          <w:lang w:val="fr-FR"/>
        </w:rPr>
        <w:t xml:space="preserve"> région.</w:t>
      </w:r>
    </w:p>
    <w:p w:rsidR="001A34E7" w:rsidRPr="000F0FAB" w:rsidRDefault="001A34E7" w:rsidP="000F0FAB">
      <w:pPr>
        <w:pStyle w:val="BodyText2"/>
        <w:spacing w:after="0" w:line="240" w:lineRule="auto"/>
        <w:jc w:val="both"/>
        <w:rPr>
          <w:i/>
          <w:szCs w:val="22"/>
          <w:lang w:val="fr-FR"/>
        </w:rPr>
      </w:pPr>
    </w:p>
    <w:p w:rsidR="00556FAB" w:rsidRPr="00AD26AF" w:rsidRDefault="006E394F" w:rsidP="004C64BD">
      <w:pPr>
        <w:pStyle w:val="ListParagraph"/>
        <w:numPr>
          <w:ilvl w:val="0"/>
          <w:numId w:val="29"/>
        </w:numPr>
        <w:autoSpaceDE w:val="0"/>
        <w:autoSpaceDN w:val="0"/>
        <w:adjustRightInd w:val="0"/>
        <w:jc w:val="both"/>
        <w:rPr>
          <w:szCs w:val="22"/>
          <w:lang w:val="fr-FR"/>
        </w:rPr>
      </w:pPr>
      <w:r w:rsidRPr="00AD26AF">
        <w:rPr>
          <w:rFonts w:eastAsia="Calibri" w:cs="Arial"/>
          <w:szCs w:val="32"/>
          <w:lang w:val="fr-FR"/>
        </w:rPr>
        <w:t xml:space="preserve">Le projet DD SO avance avec un retard de 5 mois par rapport au calendrier initial. Ce retard trouve sa source dans : (i) La réception des fonds ; (ii) La finalisation de contrats avec </w:t>
      </w:r>
      <w:r w:rsidR="00A66AFE">
        <w:rPr>
          <w:rFonts w:eastAsia="Calibri" w:cs="Arial"/>
          <w:szCs w:val="32"/>
          <w:lang w:val="fr-FR"/>
        </w:rPr>
        <w:t>les partenaires ; (iii) l</w:t>
      </w:r>
      <w:r w:rsidRPr="00AD26AF">
        <w:rPr>
          <w:rFonts w:eastAsia="Calibri" w:cs="Arial"/>
          <w:szCs w:val="32"/>
          <w:lang w:val="fr-FR"/>
        </w:rPr>
        <w:t>'embauche du personnel technique national ; (iv) L’aménagement depuis zéro de l’espace de travail  dans l’Ouest du Département du Sud (Port-Salut et Port à Piment) ainsi que l’acheminement de matériels spécifiques (ex : bateau) ; (v) La lenteur procédurale à la mise œuvre d’une des principales ONG partenaires sur le terrain ; (vi) Le rôle moteur que</w:t>
      </w:r>
      <w:r w:rsidR="00A66AFE">
        <w:rPr>
          <w:rFonts w:eastAsia="Calibri" w:cs="Arial"/>
          <w:szCs w:val="32"/>
          <w:lang w:val="fr-FR"/>
        </w:rPr>
        <w:t xml:space="preserve"> la Cote Sud Initiative a joué à</w:t>
      </w:r>
      <w:r w:rsidRPr="00AD26AF">
        <w:rPr>
          <w:rFonts w:eastAsia="Calibri" w:cs="Arial"/>
          <w:szCs w:val="32"/>
          <w:lang w:val="fr-FR"/>
        </w:rPr>
        <w:t xml:space="preserve"> partir du 7 Octobre après les inondations qui ont touché la région de la côte sud (routes et ponts bloqués et détruits, pertes de cultures agraires) et ont augmenté de façon spectaculaire les cas de choléra. </w:t>
      </w:r>
      <w:r w:rsidR="00556FAB" w:rsidRPr="00AD26AF">
        <w:rPr>
          <w:szCs w:val="22"/>
          <w:lang w:val="fr-FR"/>
        </w:rPr>
        <w:t>Il est important de noter que la CSI est une initiative de développement durable et que par conséquent la CSI n’est pas une initiative d’assistance humanitaire et ne projette en rien de se substituer aux plateformes et acteurs humanitaires en place. Cependant, l’urgence de la situation était telle que la CSI par le biais de la flexibilité et la coordination parmi ses partenaires s’est retrouvée à participer pro</w:t>
      </w:r>
      <w:r w:rsidR="00616FA5">
        <w:rPr>
          <w:szCs w:val="22"/>
          <w:lang w:val="fr-FR"/>
        </w:rPr>
        <w:t>-</w:t>
      </w:r>
      <w:r w:rsidR="00556FAB" w:rsidRPr="00AD26AF">
        <w:rPr>
          <w:szCs w:val="22"/>
          <w:lang w:val="fr-FR"/>
        </w:rPr>
        <w:t>activement à la réponse humanitaire qui a été remise entre les mains des acteurs humanitaires dans le courant du mois d’octobre. (Pour information, les dommages en infrastructure ont été estimés à plus d’un million de dollars).</w:t>
      </w:r>
    </w:p>
    <w:p w:rsidR="00556FAB" w:rsidRPr="00AD26AF" w:rsidRDefault="00556FAB" w:rsidP="00556FAB">
      <w:pPr>
        <w:pStyle w:val="BodyText2"/>
        <w:spacing w:line="240" w:lineRule="auto"/>
        <w:rPr>
          <w:szCs w:val="22"/>
          <w:lang w:val="fr-FR"/>
        </w:rPr>
      </w:pPr>
    </w:p>
    <w:p w:rsidR="00D71298" w:rsidRPr="00D71298" w:rsidRDefault="004C64BD" w:rsidP="004D402F">
      <w:pPr>
        <w:pStyle w:val="BodyText2"/>
        <w:numPr>
          <w:ilvl w:val="0"/>
          <w:numId w:val="6"/>
        </w:numPr>
        <w:spacing w:after="0" w:line="240" w:lineRule="auto"/>
        <w:jc w:val="both"/>
      </w:pPr>
      <w:r w:rsidRPr="00AD26AF">
        <w:rPr>
          <w:rStyle w:val="hps"/>
          <w:szCs w:val="22"/>
          <w:lang w:val="fr-FR"/>
        </w:rPr>
        <w:t>Fin 2011, le partenariat CSI se composait d’un ensemble de 15 partenaires qui sont les suivants :</w:t>
      </w:r>
      <w:r w:rsidRPr="00AD26AF">
        <w:rPr>
          <w:szCs w:val="22"/>
          <w:lang w:val="fr-FR"/>
        </w:rPr>
        <w:t xml:space="preserve"> Gouvernement d’</w:t>
      </w:r>
      <w:r w:rsidR="005306CD" w:rsidRPr="00AD26AF">
        <w:rPr>
          <w:szCs w:val="22"/>
          <w:lang w:val="fr-FR"/>
        </w:rPr>
        <w:t>Haïti</w:t>
      </w:r>
      <w:r w:rsidRPr="00AD26AF">
        <w:rPr>
          <w:szCs w:val="22"/>
          <w:lang w:val="fr-FR"/>
        </w:rPr>
        <w:t>,</w:t>
      </w:r>
      <w:r w:rsidR="005550AA">
        <w:rPr>
          <w:szCs w:val="22"/>
          <w:lang w:val="fr-FR"/>
        </w:rPr>
        <w:t xml:space="preserve"> PNUE </w:t>
      </w:r>
      <w:r w:rsidRPr="00AD26AF">
        <w:rPr>
          <w:szCs w:val="22"/>
          <w:lang w:val="fr-FR"/>
        </w:rPr>
        <w:t>, UNOPS</w:t>
      </w:r>
      <w:r w:rsidR="005550AA">
        <w:rPr>
          <w:rStyle w:val="FootnoteReference"/>
          <w:szCs w:val="22"/>
          <w:lang w:val="fr-FR"/>
        </w:rPr>
        <w:footnoteReference w:id="10"/>
      </w:r>
      <w:r w:rsidRPr="00AD26AF">
        <w:rPr>
          <w:szCs w:val="22"/>
          <w:lang w:val="fr-FR"/>
        </w:rPr>
        <w:t xml:space="preserve">, Earth Institute Columbia University (CU), Catholic Relief Services (CRS), </w:t>
      </w:r>
      <w:r w:rsidR="00D71298">
        <w:rPr>
          <w:szCs w:val="22"/>
          <w:lang w:val="fr-FR"/>
        </w:rPr>
        <w:t xml:space="preserve">Organisation pour la Réhabilitation de l’Environnement </w:t>
      </w:r>
      <w:r w:rsidRPr="00AD26AF">
        <w:rPr>
          <w:szCs w:val="22"/>
          <w:lang w:val="fr-FR"/>
        </w:rPr>
        <w:t>(ORE), The Nature Conservancy (TNC), Earthspark, Fondation Macaya, GIPPN, Kombit pou Por</w:t>
      </w:r>
      <w:r w:rsidR="00D71298">
        <w:rPr>
          <w:szCs w:val="22"/>
          <w:lang w:val="fr-FR"/>
        </w:rPr>
        <w:t>t à P</w:t>
      </w:r>
      <w:r w:rsidRPr="00AD26AF">
        <w:rPr>
          <w:szCs w:val="22"/>
          <w:lang w:val="fr-FR"/>
        </w:rPr>
        <w:t>iment, Société Audubon, Chambre de Commerce du Département de Sud, UNICEF, OIM, FONDAM, PADI.</w:t>
      </w:r>
      <w:r w:rsidRPr="00E66A99">
        <w:rPr>
          <w:szCs w:val="22"/>
          <w:lang w:val="fr-FR"/>
        </w:rPr>
        <w:t xml:space="preserve"> </w:t>
      </w:r>
    </w:p>
    <w:p w:rsidR="00AD26AF" w:rsidRPr="00AD26AF" w:rsidRDefault="004C64BD" w:rsidP="00D71298">
      <w:pPr>
        <w:pStyle w:val="BodyText2"/>
        <w:spacing w:after="0" w:line="240" w:lineRule="auto"/>
        <w:ind w:left="360"/>
        <w:jc w:val="both"/>
        <w:rPr>
          <w:rStyle w:val="hps"/>
        </w:rPr>
      </w:pPr>
      <w:r w:rsidRPr="00AD26AF">
        <w:rPr>
          <w:rStyle w:val="hps"/>
          <w:szCs w:val="22"/>
          <w:lang w:val="fr-FR"/>
        </w:rPr>
        <w:t xml:space="preserve"> </w:t>
      </w:r>
    </w:p>
    <w:p w:rsidR="005306CD" w:rsidRPr="00AD26AF" w:rsidRDefault="004C64BD" w:rsidP="00AD26AF">
      <w:pPr>
        <w:pStyle w:val="BodyText2"/>
        <w:spacing w:after="0" w:line="240" w:lineRule="auto"/>
        <w:ind w:left="360"/>
        <w:jc w:val="both"/>
        <w:rPr>
          <w:rStyle w:val="hps"/>
        </w:rPr>
      </w:pPr>
      <w:r w:rsidRPr="00AD26AF">
        <w:rPr>
          <w:rStyle w:val="hps"/>
          <w:szCs w:val="22"/>
          <w:lang w:val="fr-FR"/>
        </w:rPr>
        <w:t xml:space="preserve">Cependant, de manière </w:t>
      </w:r>
      <w:r w:rsidR="005306CD" w:rsidRPr="00AD26AF">
        <w:rPr>
          <w:rStyle w:val="hps"/>
          <w:szCs w:val="22"/>
          <w:lang w:val="fr-FR"/>
        </w:rPr>
        <w:t>contractuell</w:t>
      </w:r>
      <w:r w:rsidR="00AD26AF" w:rsidRPr="00AD26AF">
        <w:rPr>
          <w:rStyle w:val="hps"/>
          <w:szCs w:val="22"/>
          <w:lang w:val="fr-FR"/>
        </w:rPr>
        <w:t>e au travers du projet, il y a 8 institutions/organisations</w:t>
      </w:r>
      <w:r w:rsidR="00D71298">
        <w:rPr>
          <w:rStyle w:val="hps"/>
          <w:szCs w:val="22"/>
          <w:lang w:val="fr-FR"/>
        </w:rPr>
        <w:t xml:space="preserve"> qui ont reçu les fonds  du FRH</w:t>
      </w:r>
      <w:r w:rsidR="005306CD" w:rsidRPr="00AD26AF">
        <w:rPr>
          <w:rStyle w:val="hps"/>
          <w:szCs w:val="22"/>
          <w:lang w:val="fr-FR"/>
        </w:rPr>
        <w:t xml:space="preserve"> </w:t>
      </w:r>
      <w:r w:rsidR="00AD26AF" w:rsidRPr="00AD26AF">
        <w:rPr>
          <w:rStyle w:val="hps"/>
          <w:szCs w:val="22"/>
          <w:lang w:val="fr-FR"/>
        </w:rPr>
        <w:t>avec les rôles suivant</w:t>
      </w:r>
      <w:r w:rsidR="00610F12">
        <w:rPr>
          <w:rStyle w:val="hps"/>
          <w:szCs w:val="22"/>
          <w:lang w:val="fr-FR"/>
        </w:rPr>
        <w:t>s</w:t>
      </w:r>
      <w:r w:rsidR="005306CD" w:rsidRPr="00AD26AF">
        <w:rPr>
          <w:rStyle w:val="hps"/>
          <w:szCs w:val="22"/>
          <w:lang w:val="fr-FR"/>
        </w:rPr>
        <w:t> :</w:t>
      </w:r>
    </w:p>
    <w:p w:rsidR="005306CD" w:rsidRDefault="005306CD" w:rsidP="005306CD">
      <w:pPr>
        <w:pStyle w:val="BodyText2"/>
        <w:spacing w:after="0" w:line="240" w:lineRule="auto"/>
        <w:ind w:left="360"/>
        <w:jc w:val="both"/>
        <w:rPr>
          <w:rStyle w:val="hp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2019"/>
        <w:gridCol w:w="4365"/>
      </w:tblGrid>
      <w:tr w:rsidR="00AD26AF" w:rsidRPr="00610F12">
        <w:trPr>
          <w:trHeight w:val="368"/>
        </w:trPr>
        <w:tc>
          <w:tcPr>
            <w:tcW w:w="1808" w:type="dxa"/>
            <w:vAlign w:val="center"/>
          </w:tcPr>
          <w:p w:rsidR="00AD26AF" w:rsidRPr="00610F12" w:rsidRDefault="00AD26AF" w:rsidP="00AD26AF">
            <w:pPr>
              <w:rPr>
                <w:rFonts w:cs="Arial"/>
                <w:b/>
                <w:color w:val="000000"/>
                <w:sz w:val="22"/>
                <w:szCs w:val="22"/>
                <w:lang w:val="fr-FR"/>
              </w:rPr>
            </w:pPr>
            <w:r w:rsidRPr="00610F12">
              <w:rPr>
                <w:rFonts w:cs="Arial"/>
                <w:b/>
                <w:color w:val="000000"/>
                <w:sz w:val="22"/>
                <w:szCs w:val="22"/>
                <w:lang w:val="fr-FR"/>
              </w:rPr>
              <w:t>Institutions</w:t>
            </w:r>
          </w:p>
        </w:tc>
        <w:tc>
          <w:tcPr>
            <w:tcW w:w="2019" w:type="dxa"/>
            <w:vAlign w:val="center"/>
          </w:tcPr>
          <w:p w:rsidR="00AD26AF" w:rsidRPr="00610F12" w:rsidRDefault="00AD26AF" w:rsidP="00AD26AF">
            <w:pPr>
              <w:rPr>
                <w:rFonts w:cs="Arial"/>
                <w:b/>
                <w:color w:val="000000"/>
                <w:sz w:val="22"/>
                <w:szCs w:val="22"/>
                <w:lang w:val="fr-FR"/>
              </w:rPr>
            </w:pPr>
            <w:r w:rsidRPr="00610F12">
              <w:rPr>
                <w:rFonts w:cs="Arial"/>
                <w:b/>
                <w:color w:val="000000"/>
                <w:sz w:val="22"/>
                <w:szCs w:val="22"/>
                <w:lang w:val="fr-FR"/>
              </w:rPr>
              <w:t>Type d’Institutions</w:t>
            </w:r>
          </w:p>
        </w:tc>
        <w:tc>
          <w:tcPr>
            <w:tcW w:w="4365" w:type="dxa"/>
            <w:vAlign w:val="center"/>
          </w:tcPr>
          <w:p w:rsidR="00AD26AF" w:rsidRPr="00610F12" w:rsidRDefault="00AD26AF" w:rsidP="00AD26AF">
            <w:pPr>
              <w:rPr>
                <w:rFonts w:cs="Arial"/>
                <w:b/>
                <w:sz w:val="22"/>
                <w:szCs w:val="22"/>
                <w:lang w:val="fr-FR"/>
              </w:rPr>
            </w:pPr>
            <w:r w:rsidRPr="00610F12">
              <w:rPr>
                <w:rFonts w:cs="Arial"/>
                <w:b/>
                <w:sz w:val="22"/>
                <w:szCs w:val="22"/>
                <w:lang w:val="fr-FR"/>
              </w:rPr>
              <w:t>Fonctions dans la CSI</w:t>
            </w:r>
          </w:p>
        </w:tc>
      </w:tr>
      <w:tr w:rsidR="005306CD" w:rsidRPr="00610F12">
        <w:trPr>
          <w:trHeight w:val="368"/>
        </w:trPr>
        <w:tc>
          <w:tcPr>
            <w:tcW w:w="1808" w:type="dxa"/>
          </w:tcPr>
          <w:p w:rsidR="005306CD" w:rsidRPr="00610F12" w:rsidRDefault="005306CD" w:rsidP="00AD26AF">
            <w:pPr>
              <w:autoSpaceDE w:val="0"/>
              <w:autoSpaceDN w:val="0"/>
              <w:adjustRightInd w:val="0"/>
              <w:rPr>
                <w:rFonts w:cs="Arial"/>
                <w:color w:val="000000"/>
                <w:sz w:val="22"/>
                <w:szCs w:val="22"/>
                <w:lang w:val="fr-FR"/>
              </w:rPr>
            </w:pPr>
            <w:r w:rsidRPr="00610F12">
              <w:rPr>
                <w:rFonts w:cs="Arial"/>
                <w:color w:val="000000"/>
                <w:sz w:val="22"/>
                <w:szCs w:val="22"/>
                <w:lang w:val="fr-FR"/>
              </w:rPr>
              <w:t>1. MPCE</w:t>
            </w:r>
          </w:p>
        </w:tc>
        <w:tc>
          <w:tcPr>
            <w:tcW w:w="2019" w:type="dxa"/>
          </w:tcPr>
          <w:p w:rsidR="005306CD" w:rsidRPr="00610F12" w:rsidRDefault="00AD26AF" w:rsidP="00610F12">
            <w:pPr>
              <w:rPr>
                <w:rFonts w:cs="Arial"/>
                <w:color w:val="000000"/>
                <w:sz w:val="22"/>
                <w:szCs w:val="22"/>
                <w:lang w:val="fr-FR"/>
              </w:rPr>
            </w:pPr>
            <w:r w:rsidRPr="00610F12">
              <w:rPr>
                <w:rFonts w:cs="Arial"/>
                <w:color w:val="000000"/>
                <w:sz w:val="22"/>
                <w:szCs w:val="22"/>
                <w:lang w:val="fr-FR"/>
              </w:rPr>
              <w:t>Ministère de la Planification et de la Coopération Externe</w:t>
            </w:r>
          </w:p>
        </w:tc>
        <w:tc>
          <w:tcPr>
            <w:tcW w:w="4365" w:type="dxa"/>
          </w:tcPr>
          <w:p w:rsidR="005306CD" w:rsidRPr="00610F12" w:rsidRDefault="005306CD" w:rsidP="00AD26AF">
            <w:pPr>
              <w:rPr>
                <w:rFonts w:cs="Arial"/>
                <w:sz w:val="22"/>
                <w:szCs w:val="22"/>
                <w:lang w:val="fr-FR"/>
              </w:rPr>
            </w:pPr>
            <w:r w:rsidRPr="00610F12">
              <w:rPr>
                <w:rFonts w:cs="Arial"/>
                <w:sz w:val="22"/>
                <w:szCs w:val="22"/>
                <w:lang w:val="fr-FR"/>
              </w:rPr>
              <w:t xml:space="preserve">Contrepartie du Gouvernement pour la CSI, </w:t>
            </w:r>
            <w:r w:rsidR="00AD26AF" w:rsidRPr="00610F12">
              <w:rPr>
                <w:rFonts w:cs="Arial"/>
                <w:sz w:val="22"/>
                <w:szCs w:val="22"/>
                <w:lang w:val="fr-FR"/>
              </w:rPr>
              <w:t xml:space="preserve">garant de la vision stratégique et de la coopération multi ministérielle. </w:t>
            </w:r>
          </w:p>
        </w:tc>
      </w:tr>
      <w:tr w:rsidR="005306CD" w:rsidRPr="00610F12">
        <w:trPr>
          <w:trHeight w:val="368"/>
        </w:trPr>
        <w:tc>
          <w:tcPr>
            <w:tcW w:w="1808" w:type="dxa"/>
          </w:tcPr>
          <w:p w:rsidR="005306CD" w:rsidRPr="00610F12" w:rsidRDefault="005306CD" w:rsidP="007C5809">
            <w:pPr>
              <w:autoSpaceDE w:val="0"/>
              <w:autoSpaceDN w:val="0"/>
              <w:adjustRightInd w:val="0"/>
              <w:rPr>
                <w:rFonts w:cs="Arial"/>
                <w:color w:val="000000"/>
                <w:sz w:val="22"/>
                <w:szCs w:val="22"/>
                <w:lang w:val="fr-FR"/>
              </w:rPr>
            </w:pPr>
            <w:r w:rsidRPr="00610F12">
              <w:rPr>
                <w:rFonts w:cs="Arial"/>
                <w:color w:val="000000"/>
                <w:sz w:val="22"/>
                <w:szCs w:val="22"/>
                <w:lang w:val="fr-FR"/>
              </w:rPr>
              <w:t xml:space="preserve">2. </w:t>
            </w:r>
            <w:r w:rsidR="007C5809">
              <w:rPr>
                <w:rFonts w:cs="Arial"/>
                <w:color w:val="000000"/>
                <w:sz w:val="22"/>
                <w:szCs w:val="22"/>
                <w:lang w:val="fr-FR"/>
              </w:rPr>
              <w:t>PNUE</w:t>
            </w:r>
          </w:p>
        </w:tc>
        <w:tc>
          <w:tcPr>
            <w:tcW w:w="2019" w:type="dxa"/>
          </w:tcPr>
          <w:p w:rsidR="005306CD" w:rsidRPr="00610F12" w:rsidRDefault="005306CD" w:rsidP="00AD26AF">
            <w:pPr>
              <w:rPr>
                <w:rFonts w:cs="Arial"/>
                <w:color w:val="000000"/>
                <w:sz w:val="22"/>
                <w:szCs w:val="22"/>
                <w:highlight w:val="yellow"/>
                <w:lang w:val="fr-FR"/>
              </w:rPr>
            </w:pPr>
            <w:r w:rsidRPr="00610F12">
              <w:rPr>
                <w:rFonts w:cs="Arial"/>
                <w:color w:val="000000"/>
                <w:sz w:val="22"/>
                <w:szCs w:val="22"/>
                <w:lang w:val="fr-FR"/>
              </w:rPr>
              <w:t>Agence ONU</w:t>
            </w:r>
          </w:p>
        </w:tc>
        <w:tc>
          <w:tcPr>
            <w:tcW w:w="4365" w:type="dxa"/>
          </w:tcPr>
          <w:p w:rsidR="005306CD" w:rsidRPr="00610F12" w:rsidRDefault="005306CD" w:rsidP="00AD26AF">
            <w:pPr>
              <w:rPr>
                <w:rFonts w:cs="Arial"/>
                <w:sz w:val="22"/>
                <w:szCs w:val="22"/>
                <w:lang w:val="fr-FR"/>
              </w:rPr>
            </w:pPr>
            <w:r w:rsidRPr="00610F12">
              <w:rPr>
                <w:rFonts w:cs="Arial"/>
                <w:sz w:val="22"/>
                <w:szCs w:val="22"/>
                <w:lang w:val="fr-FR"/>
              </w:rPr>
              <w:t>Gest</w:t>
            </w:r>
            <w:r w:rsidR="00610F12">
              <w:rPr>
                <w:rFonts w:cs="Arial"/>
                <w:sz w:val="22"/>
                <w:szCs w:val="22"/>
                <w:lang w:val="fr-FR"/>
              </w:rPr>
              <w:t>ion du projet et coordination des</w:t>
            </w:r>
            <w:r w:rsidRPr="00610F12">
              <w:rPr>
                <w:rFonts w:cs="Arial"/>
                <w:sz w:val="22"/>
                <w:szCs w:val="22"/>
                <w:lang w:val="fr-FR"/>
              </w:rPr>
              <w:t xml:space="preserve"> secteur</w:t>
            </w:r>
            <w:r w:rsidR="00D74E10">
              <w:rPr>
                <w:rFonts w:cs="Arial"/>
                <w:sz w:val="22"/>
                <w:szCs w:val="22"/>
                <w:lang w:val="fr-FR"/>
              </w:rPr>
              <w:t>s</w:t>
            </w:r>
            <w:r w:rsidRPr="00610F12">
              <w:rPr>
                <w:rFonts w:cs="Arial"/>
                <w:sz w:val="22"/>
                <w:szCs w:val="22"/>
                <w:lang w:val="fr-FR"/>
              </w:rPr>
              <w:t xml:space="preserve"> marin</w:t>
            </w:r>
            <w:r w:rsidR="00610F12">
              <w:rPr>
                <w:rFonts w:cs="Arial"/>
                <w:sz w:val="22"/>
                <w:szCs w:val="22"/>
                <w:lang w:val="fr-FR"/>
              </w:rPr>
              <w:t>s et touristiques</w:t>
            </w:r>
          </w:p>
        </w:tc>
      </w:tr>
      <w:tr w:rsidR="005306CD" w:rsidRPr="00610F12">
        <w:trPr>
          <w:trHeight w:val="275"/>
        </w:trPr>
        <w:tc>
          <w:tcPr>
            <w:tcW w:w="1808" w:type="dxa"/>
          </w:tcPr>
          <w:p w:rsidR="005306CD" w:rsidRPr="00610F12" w:rsidRDefault="005306CD" w:rsidP="00AD26AF">
            <w:pPr>
              <w:rPr>
                <w:rFonts w:cs="Arial"/>
                <w:color w:val="000000"/>
                <w:sz w:val="22"/>
                <w:szCs w:val="22"/>
                <w:lang w:val="fr-FR"/>
              </w:rPr>
            </w:pPr>
            <w:r w:rsidRPr="00610F12">
              <w:rPr>
                <w:rFonts w:cs="Arial"/>
                <w:color w:val="000000"/>
                <w:sz w:val="22"/>
                <w:szCs w:val="22"/>
                <w:lang w:val="fr-FR"/>
              </w:rPr>
              <w:t>3. UNOPS</w:t>
            </w:r>
          </w:p>
        </w:tc>
        <w:tc>
          <w:tcPr>
            <w:tcW w:w="2019" w:type="dxa"/>
          </w:tcPr>
          <w:p w:rsidR="005306CD" w:rsidRPr="00610F12" w:rsidRDefault="005306CD" w:rsidP="00AD26AF">
            <w:pPr>
              <w:rPr>
                <w:rFonts w:cs="Arial"/>
                <w:color w:val="000000"/>
                <w:sz w:val="22"/>
                <w:szCs w:val="22"/>
                <w:lang w:val="fr-FR"/>
              </w:rPr>
            </w:pPr>
            <w:r w:rsidRPr="00610F12">
              <w:rPr>
                <w:rFonts w:cs="Arial"/>
                <w:color w:val="000000"/>
                <w:sz w:val="22"/>
                <w:szCs w:val="22"/>
                <w:lang w:val="fr-FR"/>
              </w:rPr>
              <w:t>Agence ONU</w:t>
            </w:r>
          </w:p>
        </w:tc>
        <w:tc>
          <w:tcPr>
            <w:tcW w:w="4365" w:type="dxa"/>
          </w:tcPr>
          <w:p w:rsidR="005306CD" w:rsidRPr="00610F12" w:rsidRDefault="005306CD" w:rsidP="00AD26AF">
            <w:pPr>
              <w:rPr>
                <w:rFonts w:cs="Arial"/>
                <w:sz w:val="22"/>
                <w:szCs w:val="22"/>
                <w:lang w:val="fr-FR"/>
              </w:rPr>
            </w:pPr>
            <w:r w:rsidRPr="00610F12">
              <w:rPr>
                <w:rFonts w:cs="Arial"/>
                <w:sz w:val="22"/>
                <w:szCs w:val="22"/>
                <w:lang w:val="fr-FR"/>
              </w:rPr>
              <w:t>Logistique et coordination du secteur infrastructure</w:t>
            </w:r>
          </w:p>
        </w:tc>
      </w:tr>
      <w:tr w:rsidR="005306CD" w:rsidRPr="00610F12">
        <w:trPr>
          <w:trHeight w:val="136"/>
        </w:trPr>
        <w:tc>
          <w:tcPr>
            <w:tcW w:w="1808" w:type="dxa"/>
          </w:tcPr>
          <w:p w:rsidR="005306CD" w:rsidRPr="00610F12" w:rsidRDefault="00AD26AF" w:rsidP="00AD26AF">
            <w:pPr>
              <w:pStyle w:val="BodyText"/>
              <w:jc w:val="left"/>
              <w:rPr>
                <w:rFonts w:cs="Cambria"/>
                <w:sz w:val="22"/>
                <w:szCs w:val="22"/>
                <w:lang w:val="fr-FR" w:eastAsia="en-US"/>
              </w:rPr>
            </w:pPr>
            <w:r w:rsidRPr="00610F12">
              <w:rPr>
                <w:rFonts w:cs="Cambria"/>
                <w:sz w:val="22"/>
                <w:szCs w:val="22"/>
                <w:lang w:val="fr-FR" w:eastAsia="en-US"/>
              </w:rPr>
              <w:t>4</w:t>
            </w:r>
            <w:r w:rsidR="005306CD" w:rsidRPr="00610F12">
              <w:rPr>
                <w:rFonts w:cs="Cambria"/>
                <w:sz w:val="22"/>
                <w:szCs w:val="22"/>
                <w:lang w:val="fr-FR" w:eastAsia="en-US"/>
              </w:rPr>
              <w:t xml:space="preserve">. Catholic Relief Services </w:t>
            </w:r>
          </w:p>
        </w:tc>
        <w:tc>
          <w:tcPr>
            <w:tcW w:w="2019" w:type="dxa"/>
          </w:tcPr>
          <w:p w:rsidR="005306CD" w:rsidRPr="00610F12" w:rsidRDefault="005306CD" w:rsidP="00AD26AF">
            <w:pPr>
              <w:rPr>
                <w:rFonts w:cs="Arial"/>
                <w:color w:val="000000"/>
                <w:sz w:val="22"/>
                <w:szCs w:val="22"/>
                <w:lang w:val="fr-FR"/>
              </w:rPr>
            </w:pPr>
            <w:r w:rsidRPr="00610F12">
              <w:rPr>
                <w:rFonts w:cs="Arial"/>
                <w:color w:val="000000"/>
                <w:sz w:val="22"/>
                <w:szCs w:val="22"/>
                <w:lang w:val="fr-FR"/>
              </w:rPr>
              <w:t>ONG International + 20 partenaires CBOs</w:t>
            </w:r>
          </w:p>
        </w:tc>
        <w:tc>
          <w:tcPr>
            <w:tcW w:w="4365" w:type="dxa"/>
          </w:tcPr>
          <w:p w:rsidR="005306CD" w:rsidRPr="00610F12" w:rsidRDefault="005306CD" w:rsidP="00AD26AF">
            <w:pPr>
              <w:rPr>
                <w:rFonts w:cs="Arial"/>
                <w:sz w:val="22"/>
                <w:szCs w:val="22"/>
                <w:lang w:val="fr-FR"/>
              </w:rPr>
            </w:pPr>
            <w:r w:rsidRPr="00610F12">
              <w:rPr>
                <w:rFonts w:cs="Arial"/>
                <w:sz w:val="22"/>
                <w:szCs w:val="22"/>
                <w:lang w:val="fr-FR"/>
              </w:rPr>
              <w:t>Mis</w:t>
            </w:r>
            <w:r w:rsidR="00610F12" w:rsidRPr="00610F12">
              <w:rPr>
                <w:rFonts w:cs="Arial"/>
                <w:sz w:val="22"/>
                <w:szCs w:val="22"/>
                <w:lang w:val="fr-FR"/>
              </w:rPr>
              <w:t>e en œuvre dans les secteurs d’</w:t>
            </w:r>
            <w:r w:rsidRPr="00610F12">
              <w:rPr>
                <w:rFonts w:cs="Arial"/>
                <w:sz w:val="22"/>
                <w:szCs w:val="22"/>
                <w:lang w:val="fr-FR"/>
              </w:rPr>
              <w:t>agriculture/foresterie, énergie, gestion de l’eau, santé, eau et assainissement et éducation</w:t>
            </w:r>
          </w:p>
        </w:tc>
      </w:tr>
      <w:tr w:rsidR="005306CD" w:rsidRPr="00610F12">
        <w:trPr>
          <w:trHeight w:val="512"/>
        </w:trPr>
        <w:tc>
          <w:tcPr>
            <w:tcW w:w="1808" w:type="dxa"/>
          </w:tcPr>
          <w:p w:rsidR="005306CD" w:rsidRPr="00610F12" w:rsidRDefault="00AD26AF" w:rsidP="00AD26AF">
            <w:pPr>
              <w:pStyle w:val="BodyText"/>
              <w:jc w:val="left"/>
              <w:rPr>
                <w:rFonts w:cs="Cambria"/>
                <w:sz w:val="22"/>
                <w:szCs w:val="22"/>
                <w:lang w:val="fr-FR" w:eastAsia="en-US"/>
              </w:rPr>
            </w:pPr>
            <w:r w:rsidRPr="00610F12">
              <w:rPr>
                <w:rFonts w:cs="Cambria"/>
                <w:sz w:val="22"/>
                <w:szCs w:val="22"/>
                <w:lang w:val="fr-FR" w:eastAsia="en-US"/>
              </w:rPr>
              <w:t>5</w:t>
            </w:r>
            <w:r w:rsidR="005306CD" w:rsidRPr="00610F12">
              <w:rPr>
                <w:rFonts w:cs="Cambria"/>
                <w:sz w:val="22"/>
                <w:szCs w:val="22"/>
                <w:lang w:val="fr-FR" w:eastAsia="en-US"/>
              </w:rPr>
              <w:t>. Columbia University</w:t>
            </w:r>
          </w:p>
        </w:tc>
        <w:tc>
          <w:tcPr>
            <w:tcW w:w="2019" w:type="dxa"/>
          </w:tcPr>
          <w:p w:rsidR="005306CD" w:rsidRPr="00610F12" w:rsidRDefault="005306CD" w:rsidP="00AD26AF">
            <w:pPr>
              <w:rPr>
                <w:rFonts w:cs="Arial"/>
                <w:color w:val="000000"/>
                <w:sz w:val="22"/>
                <w:szCs w:val="22"/>
                <w:lang w:val="fr-FR"/>
              </w:rPr>
            </w:pPr>
            <w:r w:rsidRPr="00610F12">
              <w:rPr>
                <w:rFonts w:cs="Arial"/>
                <w:color w:val="000000"/>
                <w:sz w:val="22"/>
                <w:szCs w:val="22"/>
                <w:lang w:val="fr-FR"/>
              </w:rPr>
              <w:t>ONG International-Université</w:t>
            </w:r>
          </w:p>
        </w:tc>
        <w:tc>
          <w:tcPr>
            <w:tcW w:w="4365" w:type="dxa"/>
          </w:tcPr>
          <w:p w:rsidR="005306CD" w:rsidRPr="00610F12" w:rsidRDefault="005306CD" w:rsidP="00AD26AF">
            <w:pPr>
              <w:rPr>
                <w:rFonts w:cs="Arial"/>
                <w:sz w:val="22"/>
                <w:szCs w:val="22"/>
                <w:lang w:val="fr-FR"/>
              </w:rPr>
            </w:pPr>
            <w:r w:rsidRPr="00610F12">
              <w:rPr>
                <w:rFonts w:cs="Arial"/>
                <w:sz w:val="22"/>
                <w:szCs w:val="22"/>
                <w:lang w:val="fr-FR"/>
              </w:rPr>
              <w:t xml:space="preserve">Assistance technique et recherche dans les secteurs d’agriculture/foresterie, énergie, </w:t>
            </w:r>
            <w:r w:rsidRPr="00610F12">
              <w:rPr>
                <w:rFonts w:cs="Arial"/>
                <w:sz w:val="22"/>
                <w:szCs w:val="22"/>
                <w:lang w:val="fr-FR"/>
              </w:rPr>
              <w:lastRenderedPageBreak/>
              <w:t>gestion de l’eau, santé, eau et assainissement et éducation</w:t>
            </w:r>
          </w:p>
        </w:tc>
      </w:tr>
      <w:tr w:rsidR="005306CD" w:rsidRPr="00610F12">
        <w:trPr>
          <w:trHeight w:val="264"/>
        </w:trPr>
        <w:tc>
          <w:tcPr>
            <w:tcW w:w="1808" w:type="dxa"/>
          </w:tcPr>
          <w:p w:rsidR="005306CD" w:rsidRPr="00610F12" w:rsidRDefault="00AD26AF" w:rsidP="00AD26AF">
            <w:pPr>
              <w:pStyle w:val="BodyText"/>
              <w:jc w:val="left"/>
              <w:rPr>
                <w:rFonts w:cs="Cambria"/>
                <w:sz w:val="22"/>
                <w:szCs w:val="22"/>
                <w:lang w:val="fr-FR" w:eastAsia="en-US"/>
              </w:rPr>
            </w:pPr>
            <w:r w:rsidRPr="00610F12">
              <w:rPr>
                <w:rFonts w:cs="Cambria"/>
                <w:sz w:val="22"/>
                <w:szCs w:val="22"/>
                <w:lang w:val="fr-FR" w:eastAsia="en-US"/>
              </w:rPr>
              <w:lastRenderedPageBreak/>
              <w:t>6</w:t>
            </w:r>
            <w:r w:rsidR="005306CD" w:rsidRPr="00610F12">
              <w:rPr>
                <w:rFonts w:cs="Cambria"/>
                <w:sz w:val="22"/>
                <w:szCs w:val="22"/>
                <w:lang w:val="fr-FR" w:eastAsia="en-US"/>
              </w:rPr>
              <w:t>. ORE</w:t>
            </w:r>
          </w:p>
        </w:tc>
        <w:tc>
          <w:tcPr>
            <w:tcW w:w="2019" w:type="dxa"/>
          </w:tcPr>
          <w:p w:rsidR="005306CD" w:rsidRPr="00610F12" w:rsidRDefault="005306CD" w:rsidP="00AD26AF">
            <w:pPr>
              <w:rPr>
                <w:rFonts w:cs="Arial"/>
                <w:color w:val="000000"/>
                <w:sz w:val="22"/>
                <w:szCs w:val="22"/>
                <w:lang w:val="fr-FR"/>
              </w:rPr>
            </w:pPr>
            <w:r w:rsidRPr="00610F12">
              <w:rPr>
                <w:rFonts w:cs="Arial"/>
                <w:color w:val="000000"/>
                <w:sz w:val="22"/>
                <w:szCs w:val="22"/>
                <w:lang w:val="fr-FR"/>
              </w:rPr>
              <w:t>ONG</w:t>
            </w:r>
          </w:p>
        </w:tc>
        <w:tc>
          <w:tcPr>
            <w:tcW w:w="4365" w:type="dxa"/>
          </w:tcPr>
          <w:p w:rsidR="005306CD" w:rsidRPr="00610F12" w:rsidRDefault="005306CD" w:rsidP="00AD26AF">
            <w:pPr>
              <w:rPr>
                <w:rFonts w:cs="Arial"/>
                <w:sz w:val="22"/>
                <w:szCs w:val="22"/>
                <w:lang w:val="fr-FR"/>
              </w:rPr>
            </w:pPr>
            <w:r w:rsidRPr="00610F12">
              <w:rPr>
                <w:rFonts w:cs="Arial"/>
                <w:sz w:val="22"/>
                <w:szCs w:val="22"/>
                <w:lang w:val="fr-FR"/>
              </w:rPr>
              <w:t>Mise en œuvre dans le</w:t>
            </w:r>
            <w:r w:rsidR="00610F12" w:rsidRPr="00610F12">
              <w:rPr>
                <w:rFonts w:cs="Arial"/>
                <w:sz w:val="22"/>
                <w:szCs w:val="22"/>
                <w:lang w:val="fr-FR"/>
              </w:rPr>
              <w:t xml:space="preserve">s secteurs </w:t>
            </w:r>
            <w:r w:rsidRPr="00610F12">
              <w:rPr>
                <w:rFonts w:cs="Arial"/>
                <w:sz w:val="22"/>
                <w:szCs w:val="22"/>
                <w:lang w:val="fr-FR"/>
              </w:rPr>
              <w:t>agriculture et foresterie</w:t>
            </w:r>
          </w:p>
        </w:tc>
      </w:tr>
      <w:tr w:rsidR="005306CD" w:rsidRPr="00610F12">
        <w:trPr>
          <w:trHeight w:val="356"/>
        </w:trPr>
        <w:tc>
          <w:tcPr>
            <w:tcW w:w="1808" w:type="dxa"/>
          </w:tcPr>
          <w:p w:rsidR="005306CD" w:rsidRPr="00610F12" w:rsidRDefault="00AD26AF" w:rsidP="00AD26AF">
            <w:pPr>
              <w:pStyle w:val="BodyText"/>
              <w:jc w:val="left"/>
              <w:rPr>
                <w:rFonts w:cs="Cambria"/>
                <w:sz w:val="22"/>
                <w:szCs w:val="22"/>
                <w:lang w:val="fr-FR" w:eastAsia="en-US"/>
              </w:rPr>
            </w:pPr>
            <w:r w:rsidRPr="00610F12">
              <w:rPr>
                <w:rFonts w:cs="Cambria"/>
                <w:sz w:val="22"/>
                <w:szCs w:val="22"/>
                <w:lang w:val="fr-FR" w:eastAsia="en-US"/>
              </w:rPr>
              <w:t>7</w:t>
            </w:r>
            <w:r w:rsidR="005306CD" w:rsidRPr="00610F12">
              <w:rPr>
                <w:rFonts w:cs="Cambria"/>
                <w:sz w:val="22"/>
                <w:szCs w:val="22"/>
                <w:lang w:val="fr-FR" w:eastAsia="en-US"/>
              </w:rPr>
              <w:t>. The Nature Conservancy</w:t>
            </w:r>
          </w:p>
        </w:tc>
        <w:tc>
          <w:tcPr>
            <w:tcW w:w="2019" w:type="dxa"/>
          </w:tcPr>
          <w:p w:rsidR="005306CD" w:rsidRPr="00610F12" w:rsidRDefault="005306CD" w:rsidP="00AD26AF">
            <w:pPr>
              <w:rPr>
                <w:rFonts w:cs="Arial"/>
                <w:color w:val="000000"/>
                <w:sz w:val="22"/>
                <w:szCs w:val="22"/>
                <w:lang w:val="fr-FR"/>
              </w:rPr>
            </w:pPr>
            <w:r w:rsidRPr="00610F12">
              <w:rPr>
                <w:rFonts w:cs="Arial"/>
                <w:color w:val="000000"/>
                <w:sz w:val="22"/>
                <w:szCs w:val="22"/>
                <w:lang w:val="fr-FR"/>
              </w:rPr>
              <w:t>ONG International</w:t>
            </w:r>
          </w:p>
        </w:tc>
        <w:tc>
          <w:tcPr>
            <w:tcW w:w="4365" w:type="dxa"/>
          </w:tcPr>
          <w:p w:rsidR="005306CD" w:rsidRPr="00610F12" w:rsidRDefault="005306CD" w:rsidP="00AD26AF">
            <w:pPr>
              <w:rPr>
                <w:rFonts w:cs="Arial"/>
                <w:sz w:val="22"/>
                <w:szCs w:val="22"/>
                <w:lang w:val="fr-FR"/>
              </w:rPr>
            </w:pPr>
            <w:r w:rsidRPr="00610F12">
              <w:rPr>
                <w:rFonts w:cs="Arial"/>
                <w:sz w:val="22"/>
                <w:szCs w:val="22"/>
                <w:lang w:val="fr-FR"/>
              </w:rPr>
              <w:t>Assistance technique dans la conservation marine</w:t>
            </w:r>
          </w:p>
        </w:tc>
      </w:tr>
      <w:tr w:rsidR="005306CD" w:rsidRPr="00610F12">
        <w:trPr>
          <w:trHeight w:val="307"/>
        </w:trPr>
        <w:tc>
          <w:tcPr>
            <w:tcW w:w="1808" w:type="dxa"/>
          </w:tcPr>
          <w:p w:rsidR="005306CD" w:rsidRPr="00610F12" w:rsidRDefault="00AD26AF" w:rsidP="00AD26AF">
            <w:pPr>
              <w:pStyle w:val="BodyText"/>
              <w:jc w:val="left"/>
              <w:rPr>
                <w:rFonts w:cs="Cambria"/>
                <w:sz w:val="22"/>
                <w:szCs w:val="22"/>
                <w:lang w:val="fr-FR" w:eastAsia="en-US"/>
              </w:rPr>
            </w:pPr>
            <w:r w:rsidRPr="00610F12">
              <w:rPr>
                <w:rFonts w:cs="Cambria"/>
                <w:sz w:val="22"/>
                <w:szCs w:val="22"/>
                <w:lang w:val="fr-FR" w:eastAsia="en-US"/>
              </w:rPr>
              <w:t>8</w:t>
            </w:r>
            <w:r w:rsidR="005306CD" w:rsidRPr="00610F12">
              <w:rPr>
                <w:rFonts w:cs="Cambria"/>
                <w:sz w:val="22"/>
                <w:szCs w:val="22"/>
                <w:lang w:val="fr-FR" w:eastAsia="en-US"/>
              </w:rPr>
              <w:t>. Earthspark</w:t>
            </w:r>
          </w:p>
        </w:tc>
        <w:tc>
          <w:tcPr>
            <w:tcW w:w="2019" w:type="dxa"/>
          </w:tcPr>
          <w:p w:rsidR="005306CD" w:rsidRPr="00610F12" w:rsidRDefault="005306CD" w:rsidP="00AD26AF">
            <w:pPr>
              <w:rPr>
                <w:rFonts w:cs="Arial"/>
                <w:color w:val="000000"/>
                <w:sz w:val="22"/>
                <w:szCs w:val="22"/>
                <w:lang w:val="fr-FR"/>
              </w:rPr>
            </w:pPr>
            <w:r w:rsidRPr="00610F12">
              <w:rPr>
                <w:rFonts w:cs="Arial"/>
                <w:color w:val="000000"/>
                <w:sz w:val="22"/>
                <w:szCs w:val="22"/>
                <w:lang w:val="fr-FR"/>
              </w:rPr>
              <w:t>ONG International</w:t>
            </w:r>
          </w:p>
        </w:tc>
        <w:tc>
          <w:tcPr>
            <w:tcW w:w="4365" w:type="dxa"/>
          </w:tcPr>
          <w:p w:rsidR="005306CD" w:rsidRPr="00610F12" w:rsidRDefault="005306CD" w:rsidP="00AD26AF">
            <w:pPr>
              <w:rPr>
                <w:rFonts w:cs="Arial"/>
                <w:sz w:val="22"/>
                <w:szCs w:val="22"/>
                <w:lang w:val="fr-FR"/>
              </w:rPr>
            </w:pPr>
            <w:r w:rsidRPr="00610F12">
              <w:rPr>
                <w:rFonts w:cs="Arial"/>
                <w:sz w:val="22"/>
                <w:szCs w:val="22"/>
                <w:lang w:val="fr-FR"/>
              </w:rPr>
              <w:t>Assistance technique en social entreprise dans le secteur de l’énergie</w:t>
            </w:r>
          </w:p>
        </w:tc>
      </w:tr>
    </w:tbl>
    <w:p w:rsidR="005306CD" w:rsidRPr="00610F12" w:rsidRDefault="005306CD" w:rsidP="005306CD">
      <w:pPr>
        <w:pStyle w:val="BodyText2"/>
        <w:spacing w:after="0" w:line="240" w:lineRule="auto"/>
        <w:ind w:left="360"/>
        <w:jc w:val="both"/>
        <w:rPr>
          <w:rStyle w:val="hps"/>
          <w:sz w:val="22"/>
          <w:szCs w:val="22"/>
        </w:rPr>
      </w:pPr>
    </w:p>
    <w:p w:rsidR="000405E1" w:rsidRDefault="000405E1" w:rsidP="000405E1">
      <w:pPr>
        <w:pStyle w:val="BodyText2"/>
        <w:spacing w:after="0" w:line="240" w:lineRule="auto"/>
        <w:ind w:left="360"/>
        <w:jc w:val="both"/>
        <w:rPr>
          <w:lang w:val="fr-FR"/>
        </w:rPr>
      </w:pPr>
    </w:p>
    <w:p w:rsidR="004D402F" w:rsidRPr="004A2D9F" w:rsidRDefault="004D402F" w:rsidP="00FB3B9C">
      <w:pPr>
        <w:pStyle w:val="BodyText"/>
        <w:widowControl/>
        <w:numPr>
          <w:ilvl w:val="0"/>
          <w:numId w:val="23"/>
        </w:numPr>
        <w:rPr>
          <w:b/>
          <w:szCs w:val="24"/>
          <w:lang w:val="fr-FR"/>
        </w:rPr>
      </w:pPr>
      <w:r w:rsidRPr="004A2D9F">
        <w:rPr>
          <w:b/>
          <w:szCs w:val="24"/>
          <w:lang w:val="fr-FR"/>
        </w:rPr>
        <w:t>FUTUR PLAN DE TRAVAIL</w:t>
      </w:r>
    </w:p>
    <w:p w:rsidR="004D402F" w:rsidRPr="00E0289B" w:rsidRDefault="004D402F" w:rsidP="004D402F">
      <w:pPr>
        <w:jc w:val="both"/>
        <w:rPr>
          <w:lang w:val="fr-FR"/>
        </w:rPr>
      </w:pPr>
    </w:p>
    <w:p w:rsidR="006E394F" w:rsidRDefault="006E394F" w:rsidP="006E394F">
      <w:pPr>
        <w:pStyle w:val="BodyText2"/>
        <w:numPr>
          <w:ilvl w:val="0"/>
          <w:numId w:val="6"/>
        </w:numPr>
        <w:spacing w:line="240" w:lineRule="auto"/>
        <w:rPr>
          <w:rFonts w:eastAsia="Calibri" w:cs="Arial"/>
          <w:szCs w:val="32"/>
          <w:lang w:val="fr-FR"/>
        </w:rPr>
      </w:pPr>
      <w:r w:rsidRPr="006E394F">
        <w:rPr>
          <w:rFonts w:eastAsia="Calibri" w:cs="Arial"/>
          <w:szCs w:val="32"/>
          <w:lang w:val="fr-FR"/>
        </w:rPr>
        <w:t>Considérant le retard de 5 mois engrangé</w:t>
      </w:r>
      <w:r w:rsidR="00616FA5">
        <w:rPr>
          <w:rFonts w:eastAsia="Calibri" w:cs="Arial"/>
          <w:szCs w:val="32"/>
          <w:lang w:val="fr-FR"/>
        </w:rPr>
        <w:t xml:space="preserve"> en décembre 2011</w:t>
      </w:r>
      <w:r w:rsidRPr="006E394F">
        <w:rPr>
          <w:rFonts w:eastAsia="Calibri" w:cs="Arial"/>
          <w:szCs w:val="32"/>
          <w:lang w:val="fr-FR"/>
        </w:rPr>
        <w:t xml:space="preserve">, il est essentiel que le </w:t>
      </w:r>
      <w:r w:rsidR="00616FA5">
        <w:rPr>
          <w:rFonts w:eastAsia="Calibri" w:cs="Arial"/>
          <w:szCs w:val="32"/>
          <w:lang w:val="fr-FR"/>
        </w:rPr>
        <w:t>premier</w:t>
      </w:r>
      <w:r w:rsidR="00616FA5" w:rsidRPr="006E394F">
        <w:rPr>
          <w:rFonts w:eastAsia="Calibri" w:cs="Arial"/>
          <w:szCs w:val="32"/>
          <w:lang w:val="fr-FR"/>
        </w:rPr>
        <w:t xml:space="preserve"> </w:t>
      </w:r>
      <w:r w:rsidRPr="006E394F">
        <w:rPr>
          <w:rFonts w:eastAsia="Calibri" w:cs="Arial"/>
          <w:szCs w:val="32"/>
          <w:lang w:val="fr-FR"/>
        </w:rPr>
        <w:t xml:space="preserve">trimestre </w:t>
      </w:r>
      <w:r w:rsidR="00616FA5">
        <w:rPr>
          <w:rFonts w:eastAsia="Calibri" w:cs="Arial"/>
          <w:szCs w:val="32"/>
          <w:lang w:val="fr-FR"/>
        </w:rPr>
        <w:t xml:space="preserve">de 2012 </w:t>
      </w:r>
      <w:r w:rsidRPr="006E394F">
        <w:rPr>
          <w:rFonts w:eastAsia="Calibri" w:cs="Arial"/>
          <w:szCs w:val="32"/>
          <w:lang w:val="fr-FR"/>
        </w:rPr>
        <w:t>soit une période charnière pour résorber ce retard, atteindre les objectifs visés</w:t>
      </w:r>
      <w:r>
        <w:rPr>
          <w:rFonts w:eastAsia="Calibri" w:cs="Arial"/>
          <w:szCs w:val="32"/>
          <w:lang w:val="fr-FR"/>
        </w:rPr>
        <w:t xml:space="preserve"> (qui resteront inchangé)</w:t>
      </w:r>
      <w:r w:rsidRPr="006E394F">
        <w:rPr>
          <w:rFonts w:eastAsia="Calibri" w:cs="Arial"/>
          <w:szCs w:val="32"/>
          <w:lang w:val="fr-FR"/>
        </w:rPr>
        <w:t xml:space="preserve"> et en même temps préparer la seconde phase du CSI. A ce titre, la gestion du projet concentrera son plan de travail sur (i) un suivi détaillé des activités de chaque partenaire de manière bilatérale afin que les résultats attendus soient délivrés dans les plus brefs délais –un ajustement du plan de travail a déjà commencé; et (ii) Le développement d’une stratégie de communication des résultats obtenus à date et à venir – des </w:t>
      </w:r>
      <w:r w:rsidR="00616FA5">
        <w:rPr>
          <w:rFonts w:eastAsia="Calibri" w:cs="Arial"/>
          <w:szCs w:val="32"/>
          <w:lang w:val="fr-FR"/>
        </w:rPr>
        <w:t>fiches techniques (</w:t>
      </w:r>
      <w:r w:rsidRPr="00616FA5">
        <w:rPr>
          <w:rFonts w:eastAsia="Calibri" w:cs="Arial"/>
          <w:i/>
          <w:szCs w:val="32"/>
          <w:lang w:val="fr-FR"/>
        </w:rPr>
        <w:t>factsheets</w:t>
      </w:r>
      <w:r w:rsidR="00616FA5">
        <w:rPr>
          <w:rFonts w:eastAsia="Calibri" w:cs="Arial"/>
          <w:szCs w:val="32"/>
          <w:lang w:val="fr-FR"/>
        </w:rPr>
        <w:t>)</w:t>
      </w:r>
      <w:r w:rsidRPr="006E394F">
        <w:rPr>
          <w:rFonts w:eastAsia="Calibri" w:cs="Arial"/>
          <w:szCs w:val="32"/>
          <w:lang w:val="fr-FR"/>
        </w:rPr>
        <w:t xml:space="preserve"> par secteur d’intervenions seront développé</w:t>
      </w:r>
      <w:r w:rsidR="00610F12">
        <w:rPr>
          <w:rFonts w:eastAsia="Calibri" w:cs="Arial"/>
          <w:szCs w:val="32"/>
          <w:lang w:val="fr-FR"/>
        </w:rPr>
        <w:t>s</w:t>
      </w:r>
      <w:r w:rsidRPr="006E394F">
        <w:rPr>
          <w:rFonts w:eastAsia="Calibri" w:cs="Arial"/>
          <w:szCs w:val="32"/>
          <w:lang w:val="fr-FR"/>
        </w:rPr>
        <w:t xml:space="preserve"> pour dissémination. </w:t>
      </w:r>
    </w:p>
    <w:p w:rsidR="006E394F" w:rsidRPr="006E394F" w:rsidRDefault="006E394F" w:rsidP="006E394F">
      <w:pPr>
        <w:pStyle w:val="BodyText2"/>
        <w:spacing w:line="240" w:lineRule="auto"/>
        <w:ind w:left="360"/>
        <w:rPr>
          <w:rFonts w:eastAsia="Calibri" w:cs="Arial"/>
          <w:szCs w:val="32"/>
          <w:lang w:val="fr-FR"/>
        </w:rPr>
      </w:pPr>
      <w:r w:rsidRPr="006E394F">
        <w:rPr>
          <w:rFonts w:eastAsia="Calibri" w:cs="Arial"/>
          <w:szCs w:val="32"/>
          <w:lang w:val="fr-FR"/>
        </w:rPr>
        <w:t>Avec 40% (3,2M) du financement décaissé, 60 % des activités vont continuer en 2012 suivant ce qui a bien commencé en 2011 mais également prenant en compte les défis et les leçons apprises</w:t>
      </w:r>
      <w:r>
        <w:rPr>
          <w:rFonts w:eastAsia="Calibri" w:cs="Arial"/>
          <w:szCs w:val="32"/>
          <w:lang w:val="fr-FR"/>
        </w:rPr>
        <w:t xml:space="preserve"> des premiers mois</w:t>
      </w:r>
      <w:r w:rsidRPr="006E394F">
        <w:rPr>
          <w:rFonts w:eastAsia="Calibri" w:cs="Arial"/>
          <w:szCs w:val="32"/>
          <w:lang w:val="fr-FR"/>
        </w:rPr>
        <w:t xml:space="preserve">. </w:t>
      </w:r>
      <w:r>
        <w:rPr>
          <w:rFonts w:eastAsia="Calibri" w:cs="Arial"/>
          <w:szCs w:val="32"/>
          <w:lang w:val="fr-FR"/>
        </w:rPr>
        <w:t xml:space="preserve">Ainsi </w:t>
      </w:r>
      <w:r>
        <w:rPr>
          <w:rFonts w:cs="Arial"/>
          <w:szCs w:val="32"/>
          <w:lang w:val="fr-FR"/>
        </w:rPr>
        <w:t>p</w:t>
      </w:r>
      <w:r w:rsidRPr="006E394F">
        <w:rPr>
          <w:rFonts w:cs="Arial"/>
          <w:szCs w:val="32"/>
          <w:lang w:val="fr-FR"/>
        </w:rPr>
        <w:t>lusieurs défis ont aussi été rencontrés depuis le début du projet. Ces défis peuvent être considéré</w:t>
      </w:r>
      <w:r w:rsidR="00FF58D6">
        <w:rPr>
          <w:rFonts w:cs="Arial"/>
          <w:szCs w:val="32"/>
          <w:lang w:val="fr-FR"/>
        </w:rPr>
        <w:t>s</w:t>
      </w:r>
      <w:r w:rsidRPr="006E394F">
        <w:rPr>
          <w:rFonts w:cs="Arial"/>
          <w:szCs w:val="32"/>
          <w:lang w:val="fr-FR"/>
        </w:rPr>
        <w:t xml:space="preserve"> comme des opportunités pour le développement de la CSI et seront considéré</w:t>
      </w:r>
      <w:r w:rsidR="00FF58D6">
        <w:rPr>
          <w:rFonts w:cs="Arial"/>
          <w:szCs w:val="32"/>
          <w:lang w:val="fr-FR"/>
        </w:rPr>
        <w:t>s</w:t>
      </w:r>
      <w:r w:rsidRPr="006E394F">
        <w:rPr>
          <w:rFonts w:cs="Arial"/>
          <w:szCs w:val="32"/>
          <w:lang w:val="fr-FR"/>
        </w:rPr>
        <w:t xml:space="preserve"> c</w:t>
      </w:r>
      <w:r w:rsidR="004C64BD">
        <w:rPr>
          <w:rFonts w:cs="Arial"/>
          <w:szCs w:val="32"/>
          <w:lang w:val="fr-FR"/>
        </w:rPr>
        <w:t>omme tel en 2012</w:t>
      </w:r>
      <w:r w:rsidRPr="006E394F">
        <w:rPr>
          <w:rFonts w:cs="Arial"/>
          <w:szCs w:val="32"/>
          <w:lang w:val="fr-FR"/>
        </w:rPr>
        <w:t>. Ces défis et opportunités sont les suivant</w:t>
      </w:r>
      <w:r w:rsidR="00FF58D6">
        <w:rPr>
          <w:rFonts w:cs="Arial"/>
          <w:szCs w:val="32"/>
          <w:lang w:val="fr-FR"/>
        </w:rPr>
        <w:t>s</w:t>
      </w:r>
      <w:r w:rsidRPr="006E394F">
        <w:rPr>
          <w:rFonts w:cs="Arial"/>
          <w:szCs w:val="32"/>
          <w:lang w:val="fr-FR"/>
        </w:rPr>
        <w:t xml:space="preserve"> : </w:t>
      </w:r>
    </w:p>
    <w:p w:rsidR="006E394F" w:rsidRDefault="004C64BD" w:rsidP="004C64BD">
      <w:pPr>
        <w:pStyle w:val="ListParagraph"/>
        <w:autoSpaceDE w:val="0"/>
        <w:autoSpaceDN w:val="0"/>
        <w:adjustRightInd w:val="0"/>
        <w:ind w:left="360"/>
        <w:jc w:val="both"/>
        <w:rPr>
          <w:rFonts w:cs="Arial"/>
          <w:szCs w:val="32"/>
          <w:lang w:val="fr-FR"/>
        </w:rPr>
      </w:pPr>
      <w:r>
        <w:rPr>
          <w:rFonts w:cs="Arial"/>
          <w:b/>
          <w:szCs w:val="32"/>
          <w:lang w:val="fr-FR"/>
        </w:rPr>
        <w:t xml:space="preserve">- </w:t>
      </w:r>
      <w:r w:rsidR="006E394F" w:rsidRPr="006E394F">
        <w:rPr>
          <w:rFonts w:cs="Arial"/>
          <w:b/>
          <w:szCs w:val="32"/>
          <w:lang w:val="fr-FR"/>
        </w:rPr>
        <w:t>Outils de Planification Départementale :</w:t>
      </w:r>
      <w:r w:rsidR="00095F91">
        <w:rPr>
          <w:rFonts w:cs="Arial"/>
          <w:szCs w:val="32"/>
          <w:lang w:val="fr-FR"/>
        </w:rPr>
        <w:t xml:space="preserve"> Le soutien </w:t>
      </w:r>
      <w:r w:rsidR="006E394F" w:rsidRPr="006E394F">
        <w:rPr>
          <w:rFonts w:cs="Arial"/>
          <w:szCs w:val="32"/>
          <w:lang w:val="fr-FR"/>
        </w:rPr>
        <w:t>au gouvernement a toujours été positif au niveau politique autant au niveau central que départemental par rapport à la philosophie de support à la planification du CSI. Ceci a été par exemple exprimé lors de la dernière Table de Concertation Départementale de l’année 2011 par le Délégué</w:t>
      </w:r>
      <w:r w:rsidR="00095F91">
        <w:rPr>
          <w:rFonts w:cs="Arial"/>
          <w:szCs w:val="32"/>
          <w:lang w:val="fr-FR"/>
        </w:rPr>
        <w:t xml:space="preserve"> Départemental</w:t>
      </w:r>
      <w:r w:rsidR="006E394F" w:rsidRPr="006E394F">
        <w:rPr>
          <w:rFonts w:cs="Arial"/>
          <w:szCs w:val="32"/>
          <w:lang w:val="fr-FR"/>
        </w:rPr>
        <w:t>. Par conséquent, début 2012, le CSI va donc proposer pour consultation de manière détaillée son modus operandi pour l’extension de sa porté</w:t>
      </w:r>
      <w:r w:rsidR="00095F91">
        <w:rPr>
          <w:rFonts w:cs="Arial"/>
          <w:szCs w:val="32"/>
          <w:lang w:val="fr-FR"/>
        </w:rPr>
        <w:t>e</w:t>
      </w:r>
      <w:r w:rsidR="006E394F" w:rsidRPr="006E394F">
        <w:rPr>
          <w:rFonts w:cs="Arial"/>
          <w:szCs w:val="32"/>
          <w:lang w:val="fr-FR"/>
        </w:rPr>
        <w:t xml:space="preserve"> géographique et pour</w:t>
      </w:r>
      <w:r w:rsidR="00095F91">
        <w:rPr>
          <w:rFonts w:cs="Arial"/>
          <w:szCs w:val="32"/>
          <w:lang w:val="fr-FR"/>
        </w:rPr>
        <w:t xml:space="preserve"> devenir officiellement l’outil</w:t>
      </w:r>
      <w:r w:rsidR="006E394F" w:rsidRPr="006E394F">
        <w:rPr>
          <w:rFonts w:cs="Arial"/>
          <w:szCs w:val="32"/>
          <w:lang w:val="fr-FR"/>
        </w:rPr>
        <w:t xml:space="preserve"> de support à la planification départementale pour le Gouvernement. </w:t>
      </w:r>
    </w:p>
    <w:p w:rsidR="00095F91" w:rsidRPr="006E394F" w:rsidRDefault="00095F91" w:rsidP="004C64BD">
      <w:pPr>
        <w:pStyle w:val="ListParagraph"/>
        <w:autoSpaceDE w:val="0"/>
        <w:autoSpaceDN w:val="0"/>
        <w:adjustRightInd w:val="0"/>
        <w:ind w:left="360"/>
        <w:jc w:val="both"/>
        <w:rPr>
          <w:rFonts w:cs="Arial"/>
          <w:szCs w:val="32"/>
          <w:lang w:val="fr-FR"/>
        </w:rPr>
      </w:pPr>
    </w:p>
    <w:p w:rsidR="00616FA5" w:rsidRDefault="004C64BD" w:rsidP="004C64BD">
      <w:pPr>
        <w:pStyle w:val="ListParagraph"/>
        <w:autoSpaceDE w:val="0"/>
        <w:autoSpaceDN w:val="0"/>
        <w:adjustRightInd w:val="0"/>
        <w:ind w:left="360"/>
        <w:jc w:val="both"/>
        <w:rPr>
          <w:rFonts w:cs="Arial"/>
          <w:szCs w:val="32"/>
          <w:lang w:val="fr-FR"/>
        </w:rPr>
      </w:pPr>
      <w:r>
        <w:rPr>
          <w:rFonts w:cs="Arial"/>
          <w:b/>
          <w:szCs w:val="32"/>
          <w:lang w:val="fr-FR"/>
        </w:rPr>
        <w:t xml:space="preserve">- </w:t>
      </w:r>
      <w:r w:rsidR="006E394F" w:rsidRPr="006E394F">
        <w:rPr>
          <w:rFonts w:cs="Arial"/>
          <w:b/>
          <w:szCs w:val="32"/>
          <w:lang w:val="fr-FR"/>
        </w:rPr>
        <w:t>Accompagnement :</w:t>
      </w:r>
      <w:r w:rsidR="00095F91">
        <w:rPr>
          <w:rFonts w:cs="Arial"/>
          <w:szCs w:val="32"/>
          <w:lang w:val="fr-FR"/>
        </w:rPr>
        <w:t xml:space="preserve"> Le manque de moyens technique, financier</w:t>
      </w:r>
      <w:r w:rsidR="006E394F" w:rsidRPr="006E394F">
        <w:rPr>
          <w:rFonts w:cs="Arial"/>
          <w:szCs w:val="32"/>
          <w:lang w:val="fr-FR"/>
        </w:rPr>
        <w:t xml:space="preserve"> et humai</w:t>
      </w:r>
      <w:r w:rsidR="00095F91">
        <w:rPr>
          <w:rFonts w:cs="Arial"/>
          <w:szCs w:val="32"/>
          <w:lang w:val="fr-FR"/>
        </w:rPr>
        <w:t>n</w:t>
      </w:r>
      <w:r w:rsidR="006E394F" w:rsidRPr="006E394F">
        <w:rPr>
          <w:rFonts w:cs="Arial"/>
          <w:szCs w:val="32"/>
          <w:lang w:val="fr-FR"/>
        </w:rPr>
        <w:t xml:space="preserve"> est un facteur limitant la participation et l’appropriation des Ministères dans les activités du projet. De plus, le Premier Ministre a indiqué son désir en fin 2011 que l’ONU facilite d’avantage le processus d’appropriation par le gouvernement des projets en Haïti. Par conséquent, le CSI propose un paquet de gouvernance visant à accompagner les Ministères dans les secteurs prioritaires.   </w:t>
      </w:r>
    </w:p>
    <w:p w:rsidR="006E394F" w:rsidRDefault="006E394F" w:rsidP="004C64BD">
      <w:pPr>
        <w:pStyle w:val="ListParagraph"/>
        <w:autoSpaceDE w:val="0"/>
        <w:autoSpaceDN w:val="0"/>
        <w:adjustRightInd w:val="0"/>
        <w:ind w:left="360"/>
        <w:jc w:val="both"/>
        <w:rPr>
          <w:rFonts w:cs="Arial"/>
          <w:szCs w:val="32"/>
          <w:lang w:val="fr-FR"/>
        </w:rPr>
      </w:pPr>
      <w:r w:rsidRPr="006E394F">
        <w:rPr>
          <w:rFonts w:cs="Arial"/>
          <w:szCs w:val="32"/>
          <w:lang w:val="fr-FR"/>
        </w:rPr>
        <w:br/>
      </w:r>
      <w:r w:rsidR="004C64BD">
        <w:rPr>
          <w:rFonts w:cs="Arial"/>
          <w:b/>
          <w:szCs w:val="32"/>
          <w:lang w:val="fr-FR"/>
        </w:rPr>
        <w:t xml:space="preserve">- </w:t>
      </w:r>
      <w:r w:rsidRPr="006E394F">
        <w:rPr>
          <w:rFonts w:cs="Arial"/>
          <w:b/>
          <w:szCs w:val="32"/>
          <w:lang w:val="fr-FR"/>
        </w:rPr>
        <w:t xml:space="preserve">Synergies : </w:t>
      </w:r>
      <w:r w:rsidRPr="006E394F">
        <w:rPr>
          <w:rFonts w:cs="Arial"/>
          <w:szCs w:val="32"/>
          <w:lang w:val="fr-FR"/>
        </w:rPr>
        <w:t xml:space="preserve">Il est important que la CSI travaille en synergie avec d’autres projets, surtout ceux d’envergure ayant un impact important dans la région. Par conséquent, des termes de collaboration stratégiques et techniques seront </w:t>
      </w:r>
      <w:r w:rsidR="00095F91" w:rsidRPr="006E394F">
        <w:rPr>
          <w:rFonts w:cs="Arial"/>
          <w:szCs w:val="32"/>
          <w:lang w:val="fr-FR"/>
        </w:rPr>
        <w:t>développés</w:t>
      </w:r>
      <w:r w:rsidRPr="006E394F">
        <w:rPr>
          <w:rFonts w:cs="Arial"/>
          <w:szCs w:val="32"/>
          <w:lang w:val="fr-FR"/>
        </w:rPr>
        <w:t xml:space="preserve"> avec le projet de vulnérabilité du PNUD qui sera invité à devenir membre de la Cote Sud Initiative.</w:t>
      </w:r>
    </w:p>
    <w:p w:rsidR="00616FA5" w:rsidRPr="006E394F" w:rsidRDefault="00616FA5" w:rsidP="004C64BD">
      <w:pPr>
        <w:pStyle w:val="ListParagraph"/>
        <w:autoSpaceDE w:val="0"/>
        <w:autoSpaceDN w:val="0"/>
        <w:adjustRightInd w:val="0"/>
        <w:ind w:left="360"/>
        <w:jc w:val="both"/>
        <w:rPr>
          <w:rFonts w:cs="Arial"/>
          <w:szCs w:val="32"/>
          <w:lang w:val="fr-FR"/>
        </w:rPr>
      </w:pPr>
    </w:p>
    <w:p w:rsidR="00F310BD" w:rsidRPr="004C64BD" w:rsidRDefault="004C64BD" w:rsidP="004C64BD">
      <w:pPr>
        <w:pStyle w:val="ListParagraph"/>
        <w:autoSpaceDE w:val="0"/>
        <w:autoSpaceDN w:val="0"/>
        <w:adjustRightInd w:val="0"/>
        <w:ind w:left="360"/>
        <w:jc w:val="both"/>
        <w:rPr>
          <w:rFonts w:cs="Arial"/>
          <w:szCs w:val="32"/>
          <w:lang w:val="fr-FR"/>
        </w:rPr>
      </w:pPr>
      <w:r>
        <w:rPr>
          <w:rFonts w:cs="Arial"/>
          <w:b/>
          <w:szCs w:val="32"/>
          <w:lang w:val="fr-FR"/>
        </w:rPr>
        <w:t xml:space="preserve">- </w:t>
      </w:r>
      <w:r w:rsidR="006E394F" w:rsidRPr="006E394F">
        <w:rPr>
          <w:rFonts w:cs="Arial"/>
          <w:b/>
          <w:szCs w:val="32"/>
          <w:lang w:val="fr-FR"/>
        </w:rPr>
        <w:t>Secteur sociaux :</w:t>
      </w:r>
      <w:r w:rsidR="006E394F" w:rsidRPr="006E394F">
        <w:rPr>
          <w:rFonts w:cs="Arial"/>
          <w:szCs w:val="32"/>
          <w:lang w:val="fr-FR"/>
        </w:rPr>
        <w:t xml:space="preserve"> Le partenaire initial du projet travaillant dans les secteurs sociaux (santé, </w:t>
      </w:r>
      <w:r w:rsidR="00945575" w:rsidRPr="006E394F">
        <w:rPr>
          <w:rFonts w:cs="Arial"/>
          <w:szCs w:val="32"/>
          <w:lang w:val="fr-FR"/>
        </w:rPr>
        <w:t>éducation,</w:t>
      </w:r>
      <w:r w:rsidR="00945575">
        <w:rPr>
          <w:rFonts w:cs="Arial"/>
          <w:szCs w:val="32"/>
          <w:lang w:val="fr-FR"/>
        </w:rPr>
        <w:t xml:space="preserve"> eau</w:t>
      </w:r>
      <w:r w:rsidR="00E7433B">
        <w:rPr>
          <w:rFonts w:cs="Arial"/>
          <w:szCs w:val="32"/>
          <w:lang w:val="fr-FR"/>
        </w:rPr>
        <w:t xml:space="preserve"> potable</w:t>
      </w:r>
      <w:r w:rsidR="00945575">
        <w:rPr>
          <w:rFonts w:cs="Arial"/>
          <w:szCs w:val="32"/>
          <w:lang w:val="fr-FR"/>
        </w:rPr>
        <w:t>, assainissement</w:t>
      </w:r>
      <w:r w:rsidR="00E7433B">
        <w:rPr>
          <w:rFonts w:cs="Arial"/>
          <w:szCs w:val="32"/>
          <w:lang w:val="fr-FR"/>
        </w:rPr>
        <w:t xml:space="preserve"> </w:t>
      </w:r>
      <w:r w:rsidR="00945575">
        <w:rPr>
          <w:rFonts w:cs="Arial"/>
          <w:szCs w:val="32"/>
          <w:lang w:val="fr-FR"/>
        </w:rPr>
        <w:t xml:space="preserve"> et hygiene</w:t>
      </w:r>
      <w:r w:rsidR="006E394F" w:rsidRPr="006E394F">
        <w:rPr>
          <w:rFonts w:cs="Arial"/>
          <w:szCs w:val="32"/>
          <w:lang w:val="fr-FR"/>
        </w:rPr>
        <w:t xml:space="preserve">) a des capacités non négligeables en </w:t>
      </w:r>
      <w:r w:rsidR="00095F91" w:rsidRPr="006E394F">
        <w:rPr>
          <w:rFonts w:cs="Arial"/>
          <w:szCs w:val="32"/>
          <w:lang w:val="fr-FR"/>
        </w:rPr>
        <w:t>termes</w:t>
      </w:r>
      <w:r w:rsidR="006E394F" w:rsidRPr="006E394F">
        <w:rPr>
          <w:rFonts w:cs="Arial"/>
          <w:szCs w:val="32"/>
          <w:lang w:val="fr-FR"/>
        </w:rPr>
        <w:t xml:space="preserve"> de mise en œuvre mais des lacunes importantes ont été </w:t>
      </w:r>
      <w:r w:rsidR="00095F91" w:rsidRPr="006E394F">
        <w:rPr>
          <w:rFonts w:cs="Arial"/>
          <w:szCs w:val="32"/>
          <w:lang w:val="fr-FR"/>
        </w:rPr>
        <w:t>constatées</w:t>
      </w:r>
      <w:r w:rsidR="00095F91">
        <w:rPr>
          <w:rFonts w:cs="Arial"/>
          <w:szCs w:val="32"/>
          <w:lang w:val="fr-FR"/>
        </w:rPr>
        <w:t xml:space="preserve"> au niveau de l’appui</w:t>
      </w:r>
      <w:r w:rsidR="006E394F" w:rsidRPr="006E394F">
        <w:rPr>
          <w:rFonts w:cs="Arial"/>
          <w:szCs w:val="32"/>
          <w:lang w:val="fr-FR"/>
        </w:rPr>
        <w:t xml:space="preserve"> au gouvernement. A ce titre, des discussions institutionnelles ont été engagé</w:t>
      </w:r>
      <w:r w:rsidR="00095F91">
        <w:rPr>
          <w:rFonts w:cs="Arial"/>
          <w:szCs w:val="32"/>
          <w:lang w:val="fr-FR"/>
        </w:rPr>
        <w:t>es</w:t>
      </w:r>
      <w:r w:rsidR="006E394F" w:rsidRPr="006E394F">
        <w:rPr>
          <w:rFonts w:cs="Arial"/>
          <w:szCs w:val="32"/>
          <w:lang w:val="fr-FR"/>
        </w:rPr>
        <w:t xml:space="preserve"> avec l’UNICEF qui considère le Sud comme région prioritaire. Par conséquent l’UNICEF sera invité à devenir membre de la Cote Sud Initiative et des discussions techniques prendront place au début du prochain trimestre.</w:t>
      </w:r>
    </w:p>
    <w:p w:rsidR="00C368B5" w:rsidRPr="00AA4B49" w:rsidRDefault="00C368B5" w:rsidP="00F310BD">
      <w:pPr>
        <w:pStyle w:val="BodyText"/>
        <w:tabs>
          <w:tab w:val="left" w:pos="360"/>
        </w:tabs>
        <w:ind w:left="720"/>
        <w:rPr>
          <w:bCs/>
          <w:lang w:val="fr-FR"/>
        </w:rPr>
        <w:sectPr w:rsidR="00C368B5" w:rsidRPr="00AA4B49">
          <w:footerReference w:type="default" r:id="rId10"/>
          <w:footerReference w:type="first" r:id="rId11"/>
          <w:pgSz w:w="12240" w:h="15840" w:code="1"/>
          <w:pgMar w:top="270" w:right="990" w:bottom="990" w:left="806" w:header="720" w:footer="418" w:gutter="0"/>
          <w:cols w:space="720"/>
          <w:docGrid w:linePitch="360"/>
        </w:sectPr>
      </w:pPr>
    </w:p>
    <w:p w:rsidR="00C368B5" w:rsidRPr="00AA4B49" w:rsidRDefault="00186B01" w:rsidP="00C368B5">
      <w:pPr>
        <w:pStyle w:val="BodyText"/>
        <w:tabs>
          <w:tab w:val="left" w:pos="360"/>
        </w:tabs>
        <w:rPr>
          <w:lang w:val="fr-FR"/>
        </w:rPr>
      </w:pPr>
      <w:r w:rsidRPr="00186B01">
        <w:rPr>
          <w:noProof/>
        </w:rPr>
        <w:lastRenderedPageBreak/>
        <w:pict>
          <v:shapetype id="_x0000_t202" coordsize="21600,21600" o:spt="202" path="m,l,21600r21600,l21600,xe">
            <v:stroke joinstyle="miter"/>
            <v:path gradientshapeok="t" o:connecttype="rect"/>
          </v:shapetype>
          <v:shape id="_x0000_s1037" type="#_x0000_t202" style="position:absolute;left:0;text-align:left;margin-left:1.65pt;margin-top:13.05pt;width:627.1pt;height:22.95pt;z-index:251657728" fillcolor="#f2f2f2" strokecolor="#d8d8d8">
            <v:textbox style="mso-next-textbox:#_x0000_s1037">
              <w:txbxContent>
                <w:p w:rsidR="005306CD" w:rsidRPr="00917536" w:rsidRDefault="005306CD" w:rsidP="00C368B5">
                  <w:pPr>
                    <w:ind w:left="360"/>
                    <w:rPr>
                      <w:b/>
                      <w:lang w:val="fr-FR"/>
                    </w:rPr>
                  </w:pPr>
                  <w:r w:rsidRPr="003A08BF">
                    <w:rPr>
                      <w:b/>
                      <w:lang w:val="fr-FR"/>
                    </w:rPr>
                    <w:t xml:space="preserve">VI. </w:t>
                  </w:r>
                  <w:r w:rsidRPr="00917536">
                    <w:rPr>
                      <w:b/>
                      <w:lang w:val="fr-FR"/>
                    </w:rPr>
                    <w:t xml:space="preserve">EVALUATION </w:t>
                  </w:r>
                  <w:r>
                    <w:rPr>
                      <w:b/>
                      <w:lang w:val="fr-FR"/>
                    </w:rPr>
                    <w:t>EN FONCTION DE</w:t>
                  </w:r>
                  <w:r w:rsidRPr="00917536">
                    <w:rPr>
                      <w:b/>
                      <w:lang w:val="fr-FR"/>
                    </w:rPr>
                    <w:t>S INDICATEUR</w:t>
                  </w:r>
                  <w:r>
                    <w:rPr>
                      <w:b/>
                      <w:lang w:val="fr-FR"/>
                    </w:rPr>
                    <w:t>S</w:t>
                  </w:r>
                  <w:r w:rsidRPr="00917536">
                    <w:rPr>
                      <w:b/>
                      <w:lang w:val="fr-FR"/>
                    </w:rPr>
                    <w:t xml:space="preserve"> DE PERFORMANCE</w:t>
                  </w:r>
                </w:p>
              </w:txbxContent>
            </v:textbox>
          </v:shape>
        </w:pict>
      </w:r>
    </w:p>
    <w:p w:rsidR="00C368B5" w:rsidRPr="00AA4B49" w:rsidRDefault="00C368B5" w:rsidP="00C368B5">
      <w:pPr>
        <w:pStyle w:val="BodyText"/>
        <w:tabs>
          <w:tab w:val="left" w:pos="360"/>
        </w:tabs>
        <w:ind w:left="720"/>
        <w:rPr>
          <w:lang w:val="fr-FR"/>
        </w:rPr>
      </w:pPr>
    </w:p>
    <w:p w:rsidR="00C368B5" w:rsidRPr="00AA4B49" w:rsidRDefault="00C368B5" w:rsidP="00C368B5">
      <w:pPr>
        <w:pStyle w:val="BodyText"/>
        <w:tabs>
          <w:tab w:val="left" w:pos="360"/>
        </w:tabs>
        <w:ind w:left="720"/>
        <w:rPr>
          <w:lang w:val="fr-FR"/>
        </w:rPr>
      </w:pPr>
    </w:p>
    <w:p w:rsidR="00C368B5" w:rsidRPr="00AA4B49" w:rsidRDefault="00C368B5" w:rsidP="00C368B5">
      <w:pPr>
        <w:pStyle w:val="BodyText"/>
        <w:tabs>
          <w:tab w:val="left" w:pos="360"/>
        </w:tabs>
        <w:ind w:left="720"/>
        <w:rPr>
          <w:lang w:val="fr-FR"/>
        </w:rPr>
      </w:pPr>
    </w:p>
    <w:tbl>
      <w:tblPr>
        <w:tblW w:w="1398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6"/>
        <w:gridCol w:w="15"/>
        <w:gridCol w:w="106"/>
        <w:gridCol w:w="34"/>
        <w:gridCol w:w="306"/>
        <w:gridCol w:w="1403"/>
        <w:gridCol w:w="23"/>
        <w:gridCol w:w="11"/>
        <w:gridCol w:w="1870"/>
        <w:gridCol w:w="14"/>
        <w:gridCol w:w="15"/>
        <w:gridCol w:w="1640"/>
        <w:gridCol w:w="16"/>
        <w:gridCol w:w="37"/>
        <w:gridCol w:w="11"/>
        <w:gridCol w:w="1777"/>
        <w:gridCol w:w="11"/>
        <w:gridCol w:w="48"/>
        <w:gridCol w:w="1567"/>
        <w:gridCol w:w="58"/>
        <w:gridCol w:w="13"/>
        <w:gridCol w:w="1636"/>
        <w:gridCol w:w="24"/>
        <w:gridCol w:w="1719"/>
      </w:tblGrid>
      <w:tr w:rsidR="00F433C2" w:rsidRPr="007D00E3">
        <w:tc>
          <w:tcPr>
            <w:tcW w:w="1783" w:type="dxa"/>
            <w:gridSpan w:val="4"/>
          </w:tcPr>
          <w:p w:rsidR="00C368B5" w:rsidRPr="0017235D" w:rsidRDefault="00C368B5" w:rsidP="007463C8">
            <w:pPr>
              <w:jc w:val="center"/>
              <w:rPr>
                <w:szCs w:val="22"/>
                <w:lang w:val="fr-FR"/>
              </w:rPr>
            </w:pPr>
          </w:p>
        </w:tc>
        <w:tc>
          <w:tcPr>
            <w:tcW w:w="1709" w:type="dxa"/>
            <w:gridSpan w:val="2"/>
          </w:tcPr>
          <w:p w:rsidR="00C368B5" w:rsidRPr="0017235D" w:rsidRDefault="008E6ACD" w:rsidP="007463C8">
            <w:pPr>
              <w:jc w:val="center"/>
              <w:rPr>
                <w:b/>
                <w:szCs w:val="22"/>
                <w:lang w:val="fr-FR"/>
              </w:rPr>
            </w:pPr>
            <w:r w:rsidRPr="0017235D">
              <w:rPr>
                <w:b/>
                <w:szCs w:val="22"/>
                <w:lang w:val="fr-FR"/>
              </w:rPr>
              <w:t>Indicateurs de performance</w:t>
            </w:r>
          </w:p>
        </w:tc>
        <w:tc>
          <w:tcPr>
            <w:tcW w:w="1905" w:type="dxa"/>
            <w:gridSpan w:val="3"/>
          </w:tcPr>
          <w:p w:rsidR="00BE335A" w:rsidRDefault="00C368B5" w:rsidP="0019635C">
            <w:pPr>
              <w:jc w:val="center"/>
              <w:rPr>
                <w:b/>
                <w:szCs w:val="22"/>
                <w:lang w:val="fr-FR"/>
              </w:rPr>
            </w:pPr>
            <w:r w:rsidRPr="0017235D">
              <w:rPr>
                <w:b/>
                <w:szCs w:val="22"/>
                <w:lang w:val="fr-FR"/>
              </w:rPr>
              <w:t>Indicat</w:t>
            </w:r>
            <w:r w:rsidR="0019635C" w:rsidRPr="0017235D">
              <w:rPr>
                <w:b/>
                <w:szCs w:val="22"/>
                <w:lang w:val="fr-FR"/>
              </w:rPr>
              <w:t>eur</w:t>
            </w:r>
            <w:r w:rsidR="00410AF2" w:rsidRPr="0017235D">
              <w:rPr>
                <w:b/>
                <w:szCs w:val="22"/>
                <w:lang w:val="fr-FR"/>
              </w:rPr>
              <w:t>s</w:t>
            </w:r>
            <w:r w:rsidR="0019635C" w:rsidRPr="0017235D">
              <w:rPr>
                <w:b/>
                <w:szCs w:val="22"/>
                <w:lang w:val="fr-FR"/>
              </w:rPr>
              <w:t xml:space="preserve"> de</w:t>
            </w:r>
            <w:r w:rsidRPr="0017235D">
              <w:rPr>
                <w:b/>
                <w:szCs w:val="22"/>
                <w:lang w:val="fr-FR"/>
              </w:rPr>
              <w:t xml:space="preserve"> </w:t>
            </w:r>
            <w:r w:rsidR="0019635C" w:rsidRPr="0017235D">
              <w:rPr>
                <w:b/>
                <w:szCs w:val="22"/>
                <w:lang w:val="fr-FR"/>
              </w:rPr>
              <w:t>r</w:t>
            </w:r>
            <w:r w:rsidR="0019635C" w:rsidRPr="0017235D">
              <w:rPr>
                <w:b/>
                <w:lang w:val="fr-FR"/>
              </w:rPr>
              <w:t>é</w:t>
            </w:r>
            <w:r w:rsidR="0019635C" w:rsidRPr="0017235D">
              <w:rPr>
                <w:b/>
                <w:szCs w:val="22"/>
                <w:lang w:val="fr-FR"/>
              </w:rPr>
              <w:t>f</w:t>
            </w:r>
            <w:r w:rsidR="0019635C" w:rsidRPr="0017235D">
              <w:rPr>
                <w:b/>
                <w:lang w:val="fr-FR"/>
              </w:rPr>
              <w:t>é</w:t>
            </w:r>
            <w:r w:rsidR="0019635C" w:rsidRPr="0017235D">
              <w:rPr>
                <w:b/>
                <w:szCs w:val="22"/>
                <w:lang w:val="fr-FR"/>
              </w:rPr>
              <w:t>rence</w:t>
            </w:r>
          </w:p>
          <w:p w:rsidR="00BE335A" w:rsidRDefault="00BE335A" w:rsidP="0019635C">
            <w:pPr>
              <w:jc w:val="center"/>
              <w:rPr>
                <w:b/>
                <w:szCs w:val="22"/>
                <w:lang w:val="fr-FR"/>
              </w:rPr>
            </w:pPr>
          </w:p>
          <w:p w:rsidR="00C368B5" w:rsidRPr="0017235D" w:rsidRDefault="00BE335A" w:rsidP="0019635C">
            <w:pPr>
              <w:jc w:val="center"/>
              <w:rPr>
                <w:b/>
                <w:szCs w:val="22"/>
                <w:lang w:val="fr-FR"/>
              </w:rPr>
            </w:pPr>
            <w:r>
              <w:rPr>
                <w:b/>
                <w:szCs w:val="22"/>
                <w:lang w:val="fr-FR"/>
              </w:rPr>
              <w:t>(Juin 2011)</w:t>
            </w:r>
          </w:p>
        </w:tc>
        <w:tc>
          <w:tcPr>
            <w:tcW w:w="1685" w:type="dxa"/>
            <w:gridSpan w:val="4"/>
          </w:tcPr>
          <w:p w:rsidR="00A87E66" w:rsidRPr="0017235D" w:rsidRDefault="00A87E66" w:rsidP="007463C8">
            <w:pPr>
              <w:jc w:val="center"/>
              <w:rPr>
                <w:b/>
                <w:szCs w:val="22"/>
                <w:lang w:val="fr-FR"/>
              </w:rPr>
            </w:pPr>
            <w:r w:rsidRPr="0017235D">
              <w:rPr>
                <w:b/>
                <w:szCs w:val="22"/>
                <w:lang w:val="fr-FR"/>
              </w:rPr>
              <w:t>Indicateurs</w:t>
            </w:r>
          </w:p>
          <w:p w:rsidR="00BE335A" w:rsidRDefault="00747CEA" w:rsidP="0019635C">
            <w:pPr>
              <w:jc w:val="center"/>
              <w:rPr>
                <w:b/>
                <w:szCs w:val="22"/>
                <w:lang w:val="fr-FR"/>
              </w:rPr>
            </w:pPr>
            <w:r w:rsidRPr="0017235D">
              <w:rPr>
                <w:b/>
                <w:szCs w:val="22"/>
                <w:lang w:val="fr-FR"/>
              </w:rPr>
              <w:t xml:space="preserve">cibles </w:t>
            </w:r>
          </w:p>
          <w:p w:rsidR="00BE335A" w:rsidRDefault="00BE335A" w:rsidP="0019635C">
            <w:pPr>
              <w:jc w:val="center"/>
              <w:rPr>
                <w:b/>
                <w:szCs w:val="22"/>
                <w:lang w:val="fr-FR"/>
              </w:rPr>
            </w:pPr>
          </w:p>
          <w:p w:rsidR="00C368B5" w:rsidRPr="0017235D" w:rsidRDefault="00BE335A" w:rsidP="0019635C">
            <w:pPr>
              <w:jc w:val="center"/>
              <w:rPr>
                <w:b/>
                <w:szCs w:val="22"/>
                <w:lang w:val="fr-FR"/>
              </w:rPr>
            </w:pPr>
            <w:r>
              <w:rPr>
                <w:b/>
                <w:szCs w:val="22"/>
                <w:lang w:val="fr-FR"/>
              </w:rPr>
              <w:t>(Juin 2012)</w:t>
            </w:r>
          </w:p>
        </w:tc>
        <w:tc>
          <w:tcPr>
            <w:tcW w:w="1885" w:type="dxa"/>
            <w:gridSpan w:val="5"/>
          </w:tcPr>
          <w:p w:rsidR="00747CEA" w:rsidRPr="0017235D" w:rsidRDefault="00747CEA" w:rsidP="00747CEA">
            <w:pPr>
              <w:jc w:val="center"/>
              <w:rPr>
                <w:b/>
                <w:szCs w:val="22"/>
                <w:lang w:val="fr-FR"/>
              </w:rPr>
            </w:pPr>
            <w:r w:rsidRPr="0017235D">
              <w:rPr>
                <w:b/>
                <w:szCs w:val="22"/>
                <w:lang w:val="fr-FR"/>
              </w:rPr>
              <w:t>Objectifs/</w:t>
            </w:r>
          </w:p>
          <w:p w:rsidR="00BE335A" w:rsidRDefault="00747CEA" w:rsidP="00747CEA">
            <w:pPr>
              <w:jc w:val="center"/>
              <w:rPr>
                <w:b/>
                <w:szCs w:val="22"/>
                <w:lang w:val="fr-FR"/>
              </w:rPr>
            </w:pPr>
            <w:r w:rsidRPr="0017235D">
              <w:rPr>
                <w:b/>
                <w:szCs w:val="22"/>
                <w:lang w:val="fr-FR"/>
              </w:rPr>
              <w:t>Indicateurs atteints</w:t>
            </w:r>
          </w:p>
          <w:p w:rsidR="00C368B5" w:rsidRPr="0017235D" w:rsidRDefault="00BE335A" w:rsidP="00747CEA">
            <w:pPr>
              <w:jc w:val="center"/>
              <w:rPr>
                <w:b/>
                <w:szCs w:val="22"/>
                <w:lang w:val="fr-FR"/>
              </w:rPr>
            </w:pPr>
            <w:r>
              <w:rPr>
                <w:b/>
                <w:szCs w:val="22"/>
                <w:lang w:val="fr-FR"/>
              </w:rPr>
              <w:t>(Décembre 2011)</w:t>
            </w:r>
          </w:p>
        </w:tc>
        <w:tc>
          <w:tcPr>
            <w:tcW w:w="1567" w:type="dxa"/>
          </w:tcPr>
          <w:p w:rsidR="00747CEA" w:rsidRPr="0017235D" w:rsidRDefault="00C368B5" w:rsidP="00747CEA">
            <w:pPr>
              <w:jc w:val="center"/>
              <w:rPr>
                <w:b/>
                <w:szCs w:val="22"/>
                <w:lang w:val="fr-FR"/>
              </w:rPr>
            </w:pPr>
            <w:r w:rsidRPr="0017235D">
              <w:rPr>
                <w:b/>
                <w:szCs w:val="22"/>
                <w:lang w:val="fr-FR"/>
              </w:rPr>
              <w:t>R</w:t>
            </w:r>
            <w:r w:rsidR="00747CEA" w:rsidRPr="0017235D">
              <w:rPr>
                <w:b/>
                <w:szCs w:val="22"/>
                <w:lang w:val="fr-FR"/>
              </w:rPr>
              <w:t xml:space="preserve">aisons </w:t>
            </w:r>
          </w:p>
          <w:p w:rsidR="00747CEA" w:rsidRPr="0017235D" w:rsidRDefault="00747CEA" w:rsidP="00747CEA">
            <w:pPr>
              <w:jc w:val="center"/>
              <w:rPr>
                <w:b/>
                <w:szCs w:val="22"/>
                <w:lang w:val="fr-FR"/>
              </w:rPr>
            </w:pPr>
            <w:r w:rsidRPr="0017235D">
              <w:rPr>
                <w:b/>
                <w:szCs w:val="22"/>
                <w:lang w:val="fr-FR"/>
              </w:rPr>
              <w:t>d’</w:t>
            </w:r>
            <w:r w:rsidR="00EF2F32" w:rsidRPr="0017235D">
              <w:rPr>
                <w:b/>
                <w:lang w:val="fr-FR"/>
              </w:rPr>
              <w:t>é</w:t>
            </w:r>
            <w:r w:rsidRPr="0017235D">
              <w:rPr>
                <w:b/>
                <w:szCs w:val="22"/>
                <w:lang w:val="fr-FR"/>
              </w:rPr>
              <w:t xml:space="preserve">ventuel(s) </w:t>
            </w:r>
          </w:p>
          <w:p w:rsidR="00C368B5" w:rsidRPr="0017235D" w:rsidRDefault="00EF2F32" w:rsidP="00EF2F32">
            <w:pPr>
              <w:jc w:val="center"/>
              <w:rPr>
                <w:b/>
                <w:szCs w:val="22"/>
                <w:lang w:val="fr-FR"/>
              </w:rPr>
            </w:pPr>
            <w:r w:rsidRPr="0017235D">
              <w:rPr>
                <w:b/>
                <w:lang w:val="fr-FR"/>
              </w:rPr>
              <w:t>é</w:t>
            </w:r>
            <w:r w:rsidR="00747CEA" w:rsidRPr="0017235D">
              <w:rPr>
                <w:b/>
                <w:szCs w:val="22"/>
                <w:lang w:val="fr-FR"/>
              </w:rPr>
              <w:t>cart(s)</w:t>
            </w:r>
          </w:p>
        </w:tc>
        <w:tc>
          <w:tcPr>
            <w:tcW w:w="1707" w:type="dxa"/>
            <w:gridSpan w:val="3"/>
          </w:tcPr>
          <w:p w:rsidR="00C368B5" w:rsidRPr="0017235D" w:rsidRDefault="00C368B5" w:rsidP="00747CEA">
            <w:pPr>
              <w:jc w:val="center"/>
              <w:rPr>
                <w:b/>
                <w:szCs w:val="22"/>
                <w:lang w:val="fr-FR"/>
              </w:rPr>
            </w:pPr>
            <w:r w:rsidRPr="0017235D">
              <w:rPr>
                <w:b/>
                <w:szCs w:val="22"/>
                <w:lang w:val="fr-FR"/>
              </w:rPr>
              <w:t xml:space="preserve">Source </w:t>
            </w:r>
            <w:r w:rsidR="00747CEA" w:rsidRPr="0017235D">
              <w:rPr>
                <w:b/>
                <w:szCs w:val="22"/>
                <w:lang w:val="fr-FR"/>
              </w:rPr>
              <w:t>de</w:t>
            </w:r>
            <w:r w:rsidRPr="0017235D">
              <w:rPr>
                <w:b/>
                <w:szCs w:val="22"/>
                <w:lang w:val="fr-FR"/>
              </w:rPr>
              <w:t xml:space="preserve"> </w:t>
            </w:r>
            <w:r w:rsidR="0017235D" w:rsidRPr="0017235D">
              <w:rPr>
                <w:b/>
                <w:szCs w:val="22"/>
                <w:lang w:val="fr-FR"/>
              </w:rPr>
              <w:t>vérification</w:t>
            </w:r>
          </w:p>
        </w:tc>
        <w:tc>
          <w:tcPr>
            <w:tcW w:w="1739" w:type="dxa"/>
            <w:gridSpan w:val="2"/>
          </w:tcPr>
          <w:p w:rsidR="00C368B5" w:rsidRPr="0017235D" w:rsidRDefault="00C368B5" w:rsidP="007463C8">
            <w:pPr>
              <w:jc w:val="center"/>
              <w:rPr>
                <w:b/>
                <w:szCs w:val="22"/>
                <w:lang w:val="fr-FR"/>
              </w:rPr>
            </w:pPr>
            <w:r w:rsidRPr="0017235D">
              <w:rPr>
                <w:b/>
                <w:szCs w:val="22"/>
                <w:lang w:val="fr-FR"/>
              </w:rPr>
              <w:t>Comment</w:t>
            </w:r>
            <w:r w:rsidR="00747CEA" w:rsidRPr="0017235D">
              <w:rPr>
                <w:b/>
                <w:szCs w:val="22"/>
                <w:lang w:val="fr-FR"/>
              </w:rPr>
              <w:t>aires</w:t>
            </w:r>
            <w:r w:rsidRPr="0017235D">
              <w:rPr>
                <w:b/>
                <w:szCs w:val="22"/>
                <w:lang w:val="fr-FR"/>
              </w:rPr>
              <w:t xml:space="preserve"> </w:t>
            </w:r>
          </w:p>
          <w:p w:rsidR="00C368B5" w:rsidRPr="0017235D" w:rsidRDefault="00917536" w:rsidP="00917536">
            <w:pPr>
              <w:jc w:val="center"/>
              <w:rPr>
                <w:b/>
                <w:szCs w:val="22"/>
                <w:lang w:val="fr-FR"/>
              </w:rPr>
            </w:pPr>
            <w:r w:rsidRPr="0017235D">
              <w:rPr>
                <w:b/>
                <w:lang w:val="fr-FR"/>
              </w:rPr>
              <w:t>é</w:t>
            </w:r>
            <w:r w:rsidR="00747CEA" w:rsidRPr="0017235D">
              <w:rPr>
                <w:b/>
                <w:szCs w:val="22"/>
                <w:lang w:val="fr-FR"/>
              </w:rPr>
              <w:t>ventuels</w:t>
            </w:r>
          </w:p>
        </w:tc>
      </w:tr>
      <w:tr w:rsidR="00C368B5" w:rsidRPr="00E66A99">
        <w:tc>
          <w:tcPr>
            <w:tcW w:w="13980" w:type="dxa"/>
            <w:gridSpan w:val="24"/>
          </w:tcPr>
          <w:p w:rsidR="00C368B5" w:rsidRPr="0017235D" w:rsidRDefault="00E73904" w:rsidP="007463C8">
            <w:pPr>
              <w:rPr>
                <w:b/>
                <w:szCs w:val="22"/>
                <w:lang w:val="fr-FR"/>
              </w:rPr>
            </w:pPr>
            <w:r w:rsidRPr="0017235D">
              <w:rPr>
                <w:b/>
                <w:szCs w:val="22"/>
                <w:lang w:val="fr-FR"/>
              </w:rPr>
              <w:t>R</w:t>
            </w:r>
            <w:r w:rsidRPr="0017235D">
              <w:rPr>
                <w:rStyle w:val="hps"/>
                <w:szCs w:val="22"/>
                <w:lang w:val="fr-FR"/>
              </w:rPr>
              <w:t>é</w:t>
            </w:r>
            <w:r w:rsidRPr="0017235D">
              <w:rPr>
                <w:b/>
                <w:szCs w:val="22"/>
                <w:lang w:val="fr-FR"/>
              </w:rPr>
              <w:t>sultat</w:t>
            </w:r>
            <w:r w:rsidR="00C368B5" w:rsidRPr="0017235D">
              <w:rPr>
                <w:b/>
                <w:szCs w:val="22"/>
                <w:lang w:val="fr-FR"/>
              </w:rPr>
              <w:t xml:space="preserve"> 1</w:t>
            </w:r>
            <w:r w:rsidR="002458E3" w:rsidRPr="0017235D">
              <w:rPr>
                <w:b/>
                <w:szCs w:val="22"/>
                <w:lang w:val="fr-FR"/>
              </w:rPr>
              <w:t xml:space="preserve">: </w:t>
            </w:r>
            <w:r w:rsidR="002458E3" w:rsidRPr="0017235D">
              <w:rPr>
                <w:rFonts w:cs="Cambria"/>
                <w:b/>
                <w:szCs w:val="20"/>
                <w:lang w:val="fr-FR"/>
              </w:rPr>
              <w:t>Leadership, Coo</w:t>
            </w:r>
            <w:r w:rsidR="00FB3E1E" w:rsidRPr="0017235D">
              <w:rPr>
                <w:rFonts w:cs="Cambria"/>
                <w:b/>
                <w:szCs w:val="20"/>
                <w:lang w:val="fr-FR"/>
              </w:rPr>
              <w:t>rdination et Gestion du Projet</w:t>
            </w:r>
            <w:r w:rsidR="00FB3E1E" w:rsidRPr="0017235D">
              <w:rPr>
                <w:rFonts w:cs="Cambria"/>
                <w:szCs w:val="20"/>
                <w:lang w:val="fr-FR"/>
              </w:rPr>
              <w:t xml:space="preserve"> </w:t>
            </w:r>
          </w:p>
        </w:tc>
      </w:tr>
      <w:tr w:rsidR="00F433C2" w:rsidRPr="00E66A99">
        <w:trPr>
          <w:trHeight w:val="548"/>
        </w:trPr>
        <w:tc>
          <w:tcPr>
            <w:tcW w:w="1783" w:type="dxa"/>
            <w:gridSpan w:val="4"/>
          </w:tcPr>
          <w:p w:rsidR="00C368B5" w:rsidRPr="0017235D" w:rsidRDefault="001967BC" w:rsidP="007463C8">
            <w:pPr>
              <w:rPr>
                <w:szCs w:val="22"/>
                <w:lang w:val="fr-FR"/>
              </w:rPr>
            </w:pPr>
            <w:r>
              <w:rPr>
                <w:szCs w:val="22"/>
                <w:lang w:val="fr-FR"/>
              </w:rPr>
              <w:t>Le gouvernement s’est approprié de la CSI</w:t>
            </w:r>
          </w:p>
        </w:tc>
        <w:tc>
          <w:tcPr>
            <w:tcW w:w="1709" w:type="dxa"/>
            <w:gridSpan w:val="2"/>
          </w:tcPr>
          <w:p w:rsidR="00C368B5" w:rsidRPr="0017235D" w:rsidRDefault="00421881" w:rsidP="00866FF5">
            <w:pPr>
              <w:rPr>
                <w:szCs w:val="22"/>
                <w:lang w:val="fr-FR"/>
              </w:rPr>
            </w:pPr>
            <w:r w:rsidRPr="0017235D">
              <w:rPr>
                <w:rFonts w:cs="Cambria"/>
                <w:szCs w:val="20"/>
                <w:lang w:val="fr-FR"/>
              </w:rPr>
              <w:t>Niveau d’appropriation de CSI par le Gouvernement</w:t>
            </w:r>
          </w:p>
        </w:tc>
        <w:tc>
          <w:tcPr>
            <w:tcW w:w="1905" w:type="dxa"/>
            <w:gridSpan w:val="3"/>
          </w:tcPr>
          <w:p w:rsidR="00C368B5" w:rsidRPr="0017235D" w:rsidRDefault="00161B66" w:rsidP="007463C8">
            <w:pPr>
              <w:rPr>
                <w:szCs w:val="22"/>
                <w:lang w:val="fr-FR"/>
              </w:rPr>
            </w:pPr>
            <w:r w:rsidRPr="0017235D">
              <w:rPr>
                <w:szCs w:val="22"/>
                <w:lang w:val="fr-FR"/>
              </w:rPr>
              <w:t>CSI est vaguement compris</w:t>
            </w:r>
          </w:p>
        </w:tc>
        <w:tc>
          <w:tcPr>
            <w:tcW w:w="1685" w:type="dxa"/>
            <w:gridSpan w:val="4"/>
          </w:tcPr>
          <w:p w:rsidR="00C368B5" w:rsidRPr="0017235D" w:rsidRDefault="00161B66" w:rsidP="007463C8">
            <w:pPr>
              <w:rPr>
                <w:szCs w:val="22"/>
                <w:lang w:val="fr-FR"/>
              </w:rPr>
            </w:pPr>
            <w:r w:rsidRPr="0017235D">
              <w:rPr>
                <w:szCs w:val="22"/>
                <w:lang w:val="fr-FR"/>
              </w:rPr>
              <w:t xml:space="preserve">CSI est l’instrument d’appui à la </w:t>
            </w:r>
            <w:r w:rsidR="0017235D" w:rsidRPr="0017235D">
              <w:rPr>
                <w:szCs w:val="22"/>
                <w:lang w:val="fr-FR"/>
              </w:rPr>
              <w:t>planification</w:t>
            </w:r>
            <w:r w:rsidRPr="0017235D">
              <w:rPr>
                <w:szCs w:val="22"/>
                <w:lang w:val="fr-FR"/>
              </w:rPr>
              <w:t xml:space="preserve"> dans le Sud-Ouest du Département</w:t>
            </w:r>
          </w:p>
        </w:tc>
        <w:tc>
          <w:tcPr>
            <w:tcW w:w="1885" w:type="dxa"/>
            <w:gridSpan w:val="5"/>
          </w:tcPr>
          <w:p w:rsidR="00C368B5" w:rsidRPr="0017235D" w:rsidRDefault="00161B66" w:rsidP="00593E18">
            <w:pPr>
              <w:rPr>
                <w:szCs w:val="22"/>
                <w:lang w:val="fr-FR"/>
              </w:rPr>
            </w:pPr>
            <w:r w:rsidRPr="0017235D">
              <w:rPr>
                <w:szCs w:val="22"/>
                <w:lang w:val="fr-FR"/>
              </w:rPr>
              <w:t xml:space="preserve">CSI est en phase de devenir l’instrument de </w:t>
            </w:r>
            <w:r w:rsidR="0017235D" w:rsidRPr="0017235D">
              <w:rPr>
                <w:szCs w:val="22"/>
                <w:lang w:val="fr-FR"/>
              </w:rPr>
              <w:t>planification</w:t>
            </w:r>
            <w:r w:rsidR="00593E18">
              <w:rPr>
                <w:szCs w:val="22"/>
                <w:lang w:val="fr-FR"/>
              </w:rPr>
              <w:t xml:space="preserve"> au niveau de tout le </w:t>
            </w:r>
            <w:r w:rsidRPr="0017235D">
              <w:rPr>
                <w:szCs w:val="22"/>
                <w:lang w:val="fr-FR"/>
              </w:rPr>
              <w:t xml:space="preserve"> Département </w:t>
            </w:r>
          </w:p>
        </w:tc>
        <w:tc>
          <w:tcPr>
            <w:tcW w:w="1625" w:type="dxa"/>
            <w:gridSpan w:val="2"/>
          </w:tcPr>
          <w:p w:rsidR="00C368B5" w:rsidRPr="0017235D" w:rsidRDefault="00161B66" w:rsidP="007463C8">
            <w:pPr>
              <w:rPr>
                <w:szCs w:val="22"/>
                <w:lang w:val="fr-FR"/>
              </w:rPr>
            </w:pPr>
            <w:r w:rsidRPr="0017235D">
              <w:rPr>
                <w:szCs w:val="22"/>
                <w:lang w:val="fr-FR"/>
              </w:rPr>
              <w:t>Requêtes répété</w:t>
            </w:r>
            <w:r w:rsidR="00593E18">
              <w:rPr>
                <w:szCs w:val="22"/>
                <w:lang w:val="fr-FR"/>
              </w:rPr>
              <w:t>e</w:t>
            </w:r>
            <w:r w:rsidRPr="0017235D">
              <w:rPr>
                <w:szCs w:val="22"/>
                <w:lang w:val="fr-FR"/>
              </w:rPr>
              <w:t xml:space="preserve">s des autorités locales et approbation du bailleur principale pour que la CSI étende sa portée géographique à tout le Département.  </w:t>
            </w:r>
          </w:p>
        </w:tc>
        <w:tc>
          <w:tcPr>
            <w:tcW w:w="1649" w:type="dxa"/>
            <w:gridSpan w:val="2"/>
          </w:tcPr>
          <w:p w:rsidR="00C368B5" w:rsidRPr="0017235D" w:rsidRDefault="0017235D" w:rsidP="007463C8">
            <w:pPr>
              <w:rPr>
                <w:szCs w:val="22"/>
                <w:lang w:val="fr-FR"/>
              </w:rPr>
            </w:pPr>
            <w:r w:rsidRPr="0017235D">
              <w:rPr>
                <w:szCs w:val="22"/>
                <w:lang w:val="fr-FR"/>
              </w:rPr>
              <w:t>Comptes rendus de réunions, liste de participants aux réunions de Comité de Gestion du CSI</w:t>
            </w:r>
          </w:p>
        </w:tc>
        <w:tc>
          <w:tcPr>
            <w:tcW w:w="1739" w:type="dxa"/>
            <w:gridSpan w:val="2"/>
          </w:tcPr>
          <w:p w:rsidR="00C368B5" w:rsidRPr="0017235D" w:rsidRDefault="001967BC" w:rsidP="000B61DB">
            <w:pPr>
              <w:rPr>
                <w:szCs w:val="22"/>
                <w:lang w:val="fr-FR"/>
              </w:rPr>
            </w:pPr>
            <w:r>
              <w:rPr>
                <w:szCs w:val="22"/>
                <w:lang w:val="fr-FR"/>
              </w:rPr>
              <w:t xml:space="preserve">Il doit être </w:t>
            </w:r>
            <w:r w:rsidR="000B61DB">
              <w:rPr>
                <w:szCs w:val="22"/>
                <w:lang w:val="fr-FR"/>
              </w:rPr>
              <w:t>souligné</w:t>
            </w:r>
            <w:r>
              <w:rPr>
                <w:szCs w:val="22"/>
                <w:lang w:val="fr-FR"/>
              </w:rPr>
              <w:t xml:space="preserve"> que la complexité de la CSI n’est cependant pas comprise par l’ensemble des</w:t>
            </w:r>
            <w:r w:rsidR="00FF769A">
              <w:rPr>
                <w:szCs w:val="22"/>
                <w:lang w:val="fr-FR"/>
              </w:rPr>
              <w:t xml:space="preserve"> acteurs car l’Initiative ne s’inscrit pas dans l</w:t>
            </w:r>
            <w:r w:rsidR="000B61DB">
              <w:rPr>
                <w:szCs w:val="22"/>
                <w:lang w:val="fr-FR"/>
              </w:rPr>
              <w:t>es rouages de projets habituel</w:t>
            </w:r>
            <w:r w:rsidR="00FF769A">
              <w:rPr>
                <w:szCs w:val="22"/>
                <w:lang w:val="fr-FR"/>
              </w:rPr>
              <w:t xml:space="preserve">s en Haïti. </w:t>
            </w:r>
          </w:p>
        </w:tc>
      </w:tr>
      <w:tr w:rsidR="00F433C2" w:rsidRPr="00E66A99">
        <w:trPr>
          <w:trHeight w:val="440"/>
        </w:trPr>
        <w:tc>
          <w:tcPr>
            <w:tcW w:w="1783" w:type="dxa"/>
            <w:gridSpan w:val="4"/>
            <w:tcBorders>
              <w:bottom w:val="single" w:sz="8" w:space="0" w:color="auto"/>
            </w:tcBorders>
          </w:tcPr>
          <w:p w:rsidR="00C368B5" w:rsidRPr="001967BC" w:rsidRDefault="001967BC" w:rsidP="001967BC">
            <w:pPr>
              <w:rPr>
                <w:szCs w:val="22"/>
                <w:lang w:val="fr-FR"/>
              </w:rPr>
            </w:pPr>
            <w:r w:rsidRPr="001967BC">
              <w:rPr>
                <w:szCs w:val="22"/>
                <w:lang w:val="fr-FR"/>
              </w:rPr>
              <w:t>La m</w:t>
            </w:r>
            <w:r w:rsidR="0017235D" w:rsidRPr="001967BC">
              <w:rPr>
                <w:szCs w:val="22"/>
                <w:lang w:val="fr-FR"/>
              </w:rPr>
              <w:t>obilisation</w:t>
            </w:r>
            <w:r w:rsidRPr="001967BC">
              <w:rPr>
                <w:szCs w:val="22"/>
                <w:lang w:val="fr-FR"/>
              </w:rPr>
              <w:t xml:space="preserve"> (en ressources matériel</w:t>
            </w:r>
            <w:r>
              <w:rPr>
                <w:szCs w:val="22"/>
                <w:lang w:val="fr-FR"/>
              </w:rPr>
              <w:t>les</w:t>
            </w:r>
            <w:r w:rsidRPr="001967BC">
              <w:rPr>
                <w:szCs w:val="22"/>
                <w:lang w:val="fr-FR"/>
              </w:rPr>
              <w:t xml:space="preserve"> et humaine</w:t>
            </w:r>
            <w:r>
              <w:rPr>
                <w:szCs w:val="22"/>
                <w:lang w:val="fr-FR"/>
              </w:rPr>
              <w:t>s</w:t>
            </w:r>
            <w:r w:rsidRPr="001967BC">
              <w:rPr>
                <w:szCs w:val="22"/>
                <w:lang w:val="fr-FR"/>
              </w:rPr>
              <w:t xml:space="preserve">) est </w:t>
            </w:r>
            <w:r w:rsidR="00AB330C" w:rsidRPr="001967BC">
              <w:rPr>
                <w:szCs w:val="22"/>
                <w:lang w:val="fr-FR"/>
              </w:rPr>
              <w:t>achevée</w:t>
            </w:r>
            <w:r w:rsidRPr="001967BC">
              <w:rPr>
                <w:szCs w:val="22"/>
                <w:lang w:val="fr-FR"/>
              </w:rPr>
              <w:t xml:space="preserve"> dans les premiers mois du projet. </w:t>
            </w:r>
          </w:p>
        </w:tc>
        <w:tc>
          <w:tcPr>
            <w:tcW w:w="1709" w:type="dxa"/>
            <w:gridSpan w:val="2"/>
            <w:tcBorders>
              <w:bottom w:val="single" w:sz="8" w:space="0" w:color="auto"/>
            </w:tcBorders>
          </w:tcPr>
          <w:p w:rsidR="00C368B5" w:rsidRPr="0017235D" w:rsidRDefault="0017235D" w:rsidP="00866FF5">
            <w:pPr>
              <w:rPr>
                <w:szCs w:val="22"/>
                <w:lang w:val="fr-FR"/>
              </w:rPr>
            </w:pPr>
            <w:r w:rsidRPr="0017235D">
              <w:rPr>
                <w:szCs w:val="22"/>
                <w:lang w:val="fr-FR"/>
              </w:rPr>
              <w:t>% de mobilisation (équipe et équipement)</w:t>
            </w:r>
          </w:p>
        </w:tc>
        <w:tc>
          <w:tcPr>
            <w:tcW w:w="1905" w:type="dxa"/>
            <w:gridSpan w:val="3"/>
            <w:tcBorders>
              <w:bottom w:val="single" w:sz="8" w:space="0" w:color="auto"/>
            </w:tcBorders>
          </w:tcPr>
          <w:p w:rsidR="00C368B5" w:rsidRPr="0017235D" w:rsidRDefault="00593E18" w:rsidP="007463C8">
            <w:pPr>
              <w:rPr>
                <w:szCs w:val="22"/>
                <w:lang w:val="fr-FR"/>
              </w:rPr>
            </w:pPr>
            <w:r>
              <w:rPr>
                <w:szCs w:val="22"/>
                <w:lang w:val="fr-FR"/>
              </w:rPr>
              <w:t>La CSI doit être pourvue</w:t>
            </w:r>
            <w:r w:rsidR="00AB330C">
              <w:rPr>
                <w:szCs w:val="22"/>
                <w:lang w:val="fr-FR"/>
              </w:rPr>
              <w:t xml:space="preserve"> en équipement et en staff de A à Z.</w:t>
            </w:r>
          </w:p>
        </w:tc>
        <w:tc>
          <w:tcPr>
            <w:tcW w:w="1685" w:type="dxa"/>
            <w:gridSpan w:val="4"/>
            <w:tcBorders>
              <w:bottom w:val="single" w:sz="8" w:space="0" w:color="auto"/>
            </w:tcBorders>
          </w:tcPr>
          <w:p w:rsidR="00C368B5" w:rsidRPr="0017235D" w:rsidRDefault="0017235D" w:rsidP="007463C8">
            <w:pPr>
              <w:rPr>
                <w:szCs w:val="22"/>
                <w:lang w:val="fr-FR"/>
              </w:rPr>
            </w:pPr>
            <w:r w:rsidRPr="0017235D">
              <w:rPr>
                <w:szCs w:val="22"/>
                <w:lang w:val="fr-FR"/>
              </w:rPr>
              <w:t>L’équipe et la logistique CSI sont 100% opérationnelles</w:t>
            </w:r>
          </w:p>
        </w:tc>
        <w:tc>
          <w:tcPr>
            <w:tcW w:w="1885" w:type="dxa"/>
            <w:gridSpan w:val="5"/>
            <w:tcBorders>
              <w:bottom w:val="single" w:sz="8" w:space="0" w:color="auto"/>
            </w:tcBorders>
          </w:tcPr>
          <w:p w:rsidR="00C368B5" w:rsidRPr="0017235D" w:rsidRDefault="00AB330C" w:rsidP="007463C8">
            <w:pPr>
              <w:rPr>
                <w:szCs w:val="22"/>
                <w:lang w:val="fr-FR"/>
              </w:rPr>
            </w:pPr>
            <w:r>
              <w:rPr>
                <w:szCs w:val="22"/>
                <w:lang w:val="fr-FR"/>
              </w:rPr>
              <w:t>Fin 2011, 100% de mobilisation</w:t>
            </w:r>
          </w:p>
        </w:tc>
        <w:tc>
          <w:tcPr>
            <w:tcW w:w="1625" w:type="dxa"/>
            <w:gridSpan w:val="2"/>
            <w:tcBorders>
              <w:bottom w:val="single" w:sz="8" w:space="0" w:color="auto"/>
            </w:tcBorders>
          </w:tcPr>
          <w:p w:rsidR="00C368B5" w:rsidRPr="0017235D" w:rsidRDefault="00FF769A" w:rsidP="002E514B">
            <w:pPr>
              <w:rPr>
                <w:szCs w:val="22"/>
                <w:lang w:val="fr-FR"/>
              </w:rPr>
            </w:pPr>
            <w:r w:rsidRPr="001F6E4E">
              <w:rPr>
                <w:rFonts w:cs="Arial"/>
                <w:szCs w:val="32"/>
                <w:lang w:val="fr-FR"/>
              </w:rPr>
              <w:t xml:space="preserve">Le </w:t>
            </w:r>
            <w:r w:rsidR="002D5896">
              <w:rPr>
                <w:rFonts w:cs="Arial"/>
                <w:szCs w:val="32"/>
                <w:lang w:val="fr-FR"/>
              </w:rPr>
              <w:t xml:space="preserve">retard administratif pour recevoir les fonds a causé un retard dans la mobilisation des activités mais également </w:t>
            </w:r>
            <w:r w:rsidR="002E514B">
              <w:rPr>
                <w:rFonts w:cs="Arial"/>
                <w:szCs w:val="32"/>
                <w:lang w:val="fr-FR"/>
              </w:rPr>
              <w:lastRenderedPageBreak/>
              <w:t>dans</w:t>
            </w:r>
            <w:r w:rsidR="002D5896">
              <w:rPr>
                <w:rFonts w:cs="Arial"/>
                <w:szCs w:val="32"/>
                <w:lang w:val="fr-FR"/>
              </w:rPr>
              <w:t xml:space="preserve"> la négociation pour louer des espaces de </w:t>
            </w:r>
            <w:r w:rsidR="002E514B">
              <w:rPr>
                <w:rFonts w:cs="Arial"/>
                <w:szCs w:val="32"/>
                <w:lang w:val="fr-FR"/>
              </w:rPr>
              <w:t xml:space="preserve">bureau </w:t>
            </w:r>
            <w:r w:rsidR="002D5896">
              <w:rPr>
                <w:rFonts w:cs="Arial"/>
                <w:szCs w:val="32"/>
                <w:lang w:val="fr-FR"/>
              </w:rPr>
              <w:t xml:space="preserve">dans le Sud </w:t>
            </w:r>
            <w:r w:rsidR="002D5896">
              <w:rPr>
                <w:szCs w:val="22"/>
                <w:lang w:val="fr-FR"/>
              </w:rPr>
              <w:t xml:space="preserve">- Bureau CSI ouvert et opérationnel en aout 2011. </w:t>
            </w:r>
            <w:r>
              <w:rPr>
                <w:szCs w:val="22"/>
                <w:lang w:val="fr-FR"/>
              </w:rPr>
              <w:t>De plus, s</w:t>
            </w:r>
            <w:r w:rsidR="00D35886">
              <w:rPr>
                <w:szCs w:val="22"/>
                <w:lang w:val="fr-FR"/>
              </w:rPr>
              <w:t>i en fin d’année le recrutement local était finalisé, cela n’a pas été facile car</w:t>
            </w:r>
            <w:r w:rsidR="00D35886" w:rsidRPr="00D35886">
              <w:rPr>
                <w:rFonts w:eastAsia="Calibri" w:cs="Arial"/>
                <w:szCs w:val="32"/>
                <w:lang w:val="fr-FR"/>
              </w:rPr>
              <w:t xml:space="preserve"> le recrutement de personnel local avec les capacités techniques requises pour le</w:t>
            </w:r>
            <w:r w:rsidR="00D35886">
              <w:rPr>
                <w:rFonts w:eastAsia="Calibri" w:cs="Arial"/>
                <w:szCs w:val="32"/>
                <w:lang w:val="fr-FR"/>
              </w:rPr>
              <w:t xml:space="preserve"> CSI loin de la capitale est un </w:t>
            </w:r>
            <w:r w:rsidR="00D35886" w:rsidRPr="00D35886">
              <w:rPr>
                <w:rFonts w:eastAsia="Calibri" w:cs="Arial"/>
                <w:szCs w:val="32"/>
                <w:lang w:val="fr-FR"/>
              </w:rPr>
              <w:t xml:space="preserve">véritable challenge  </w:t>
            </w:r>
            <w:r w:rsidR="00D35886">
              <w:rPr>
                <w:rFonts w:eastAsia="Calibri" w:cs="Arial"/>
                <w:szCs w:val="32"/>
                <w:lang w:val="fr-FR"/>
              </w:rPr>
              <w:t xml:space="preserve">en Haïti </w:t>
            </w:r>
          </w:p>
        </w:tc>
        <w:tc>
          <w:tcPr>
            <w:tcW w:w="1649" w:type="dxa"/>
            <w:gridSpan w:val="2"/>
            <w:tcBorders>
              <w:bottom w:val="single" w:sz="8" w:space="0" w:color="auto"/>
            </w:tcBorders>
          </w:tcPr>
          <w:p w:rsidR="00C368B5" w:rsidRPr="0017235D" w:rsidRDefault="00D35886" w:rsidP="007463C8">
            <w:pPr>
              <w:rPr>
                <w:szCs w:val="22"/>
                <w:lang w:val="fr-FR"/>
              </w:rPr>
            </w:pPr>
            <w:r>
              <w:rPr>
                <w:szCs w:val="22"/>
                <w:lang w:val="fr-FR"/>
              </w:rPr>
              <w:lastRenderedPageBreak/>
              <w:t>Rapports des ressources humaines</w:t>
            </w:r>
            <w:r w:rsidR="00FF769A">
              <w:rPr>
                <w:szCs w:val="22"/>
                <w:lang w:val="fr-FR"/>
              </w:rPr>
              <w:t xml:space="preserve">, </w:t>
            </w:r>
          </w:p>
        </w:tc>
        <w:tc>
          <w:tcPr>
            <w:tcW w:w="1739" w:type="dxa"/>
            <w:gridSpan w:val="2"/>
            <w:tcBorders>
              <w:bottom w:val="single" w:sz="8" w:space="0" w:color="auto"/>
            </w:tcBorders>
          </w:tcPr>
          <w:p w:rsidR="00D35886" w:rsidRDefault="00AB330C" w:rsidP="007463C8">
            <w:pPr>
              <w:rPr>
                <w:szCs w:val="22"/>
                <w:lang w:val="fr-FR"/>
              </w:rPr>
            </w:pPr>
            <w:r>
              <w:rPr>
                <w:szCs w:val="22"/>
                <w:lang w:val="fr-FR"/>
              </w:rPr>
              <w:t xml:space="preserve">La gestion adaptative du CSI en fonction de la réalité de terrain a mené à revoir la stratégie de recrutement des ressources humaines afin  </w:t>
            </w:r>
            <w:r>
              <w:rPr>
                <w:szCs w:val="22"/>
                <w:lang w:val="fr-FR"/>
              </w:rPr>
              <w:lastRenderedPageBreak/>
              <w:t>(i) optimaliser le recrutement de staff</w:t>
            </w:r>
            <w:r w:rsidR="002E514B">
              <w:rPr>
                <w:szCs w:val="22"/>
                <w:lang w:val="fr-FR"/>
              </w:rPr>
              <w:t xml:space="preserve">s </w:t>
            </w:r>
            <w:r>
              <w:rPr>
                <w:szCs w:val="22"/>
                <w:lang w:val="fr-FR"/>
              </w:rPr>
              <w:t xml:space="preserve"> locaux et (ii) prioriser certains recrutement versus d’autres.</w:t>
            </w:r>
          </w:p>
          <w:p w:rsidR="00D35886" w:rsidRDefault="00D35886" w:rsidP="007463C8">
            <w:pPr>
              <w:rPr>
                <w:szCs w:val="22"/>
                <w:lang w:val="fr-FR"/>
              </w:rPr>
            </w:pPr>
          </w:p>
          <w:p w:rsidR="00C368B5" w:rsidRPr="0017235D" w:rsidRDefault="00C368B5" w:rsidP="007463C8">
            <w:pPr>
              <w:rPr>
                <w:szCs w:val="22"/>
                <w:lang w:val="fr-FR"/>
              </w:rPr>
            </w:pPr>
          </w:p>
        </w:tc>
      </w:tr>
      <w:tr w:rsidR="00C368B5" w:rsidRPr="00E66A99">
        <w:trPr>
          <w:trHeight w:val="200"/>
        </w:trPr>
        <w:tc>
          <w:tcPr>
            <w:tcW w:w="13980" w:type="dxa"/>
            <w:gridSpan w:val="24"/>
            <w:tcBorders>
              <w:top w:val="single" w:sz="24" w:space="0" w:color="auto"/>
              <w:bottom w:val="nil"/>
            </w:tcBorders>
          </w:tcPr>
          <w:p w:rsidR="00C368B5" w:rsidRPr="0017235D" w:rsidRDefault="00866FF5" w:rsidP="002458E3">
            <w:pPr>
              <w:rPr>
                <w:szCs w:val="22"/>
                <w:lang w:val="fr-FR"/>
              </w:rPr>
            </w:pPr>
            <w:r w:rsidRPr="0017235D">
              <w:rPr>
                <w:b/>
                <w:szCs w:val="22"/>
                <w:lang w:val="fr-FR"/>
              </w:rPr>
              <w:lastRenderedPageBreak/>
              <w:t>Résultat 2</w:t>
            </w:r>
            <w:r w:rsidR="002458E3" w:rsidRPr="0017235D">
              <w:rPr>
                <w:b/>
                <w:szCs w:val="22"/>
                <w:lang w:val="fr-FR"/>
              </w:rPr>
              <w:t>:</w:t>
            </w:r>
            <w:r w:rsidR="002458E3" w:rsidRPr="0017235D">
              <w:rPr>
                <w:szCs w:val="22"/>
                <w:lang w:val="fr-FR"/>
              </w:rPr>
              <w:t xml:space="preserve"> </w:t>
            </w:r>
            <w:r w:rsidR="002458E3" w:rsidRPr="0017235D">
              <w:rPr>
                <w:rFonts w:cs="Cambria"/>
                <w:b/>
                <w:szCs w:val="20"/>
                <w:lang w:val="fr-FR"/>
              </w:rPr>
              <w:t>Etat des lieux multisectoriel, suivi et évaluation</w:t>
            </w:r>
          </w:p>
        </w:tc>
      </w:tr>
      <w:tr w:rsidR="00F433C2" w:rsidRPr="00E66A99">
        <w:trPr>
          <w:trHeight w:val="440"/>
        </w:trPr>
        <w:tc>
          <w:tcPr>
            <w:tcW w:w="1749" w:type="dxa"/>
            <w:gridSpan w:val="3"/>
            <w:tcBorders>
              <w:top w:val="single" w:sz="24" w:space="0" w:color="auto"/>
              <w:right w:val="single" w:sz="8" w:space="0" w:color="auto"/>
            </w:tcBorders>
          </w:tcPr>
          <w:p w:rsidR="00161B66" w:rsidRPr="0017235D" w:rsidRDefault="00BD1CBB" w:rsidP="00161B66">
            <w:pPr>
              <w:rPr>
                <w:szCs w:val="22"/>
                <w:lang w:val="fr-FR"/>
              </w:rPr>
            </w:pPr>
            <w:r>
              <w:rPr>
                <w:szCs w:val="22"/>
                <w:lang w:val="fr-FR"/>
              </w:rPr>
              <w:t>Les lignes de bases</w:t>
            </w:r>
            <w:r w:rsidR="002D5896">
              <w:rPr>
                <w:szCs w:val="22"/>
                <w:lang w:val="fr-FR"/>
              </w:rPr>
              <w:t xml:space="preserve"> sectorielles CSI sont développées et approuvées par le </w:t>
            </w:r>
            <w:r w:rsidR="002D5896">
              <w:rPr>
                <w:szCs w:val="22"/>
                <w:lang w:val="fr-FR"/>
              </w:rPr>
              <w:lastRenderedPageBreak/>
              <w:t>Gouvernement</w:t>
            </w:r>
          </w:p>
        </w:tc>
        <w:tc>
          <w:tcPr>
            <w:tcW w:w="1777" w:type="dxa"/>
            <w:gridSpan w:val="5"/>
            <w:tcBorders>
              <w:top w:val="single" w:sz="24" w:space="0" w:color="auto"/>
              <w:left w:val="single" w:sz="8" w:space="0" w:color="auto"/>
            </w:tcBorders>
          </w:tcPr>
          <w:p w:rsidR="00161B66" w:rsidRPr="0017235D" w:rsidRDefault="00161B66" w:rsidP="007463C8">
            <w:pPr>
              <w:rPr>
                <w:szCs w:val="22"/>
                <w:lang w:val="fr-FR"/>
              </w:rPr>
            </w:pPr>
            <w:r w:rsidRPr="0017235D">
              <w:rPr>
                <w:rFonts w:cs="Cambria"/>
                <w:szCs w:val="20"/>
                <w:lang w:val="fr-FR"/>
              </w:rPr>
              <w:lastRenderedPageBreak/>
              <w:t>Nombre d’étude</w:t>
            </w:r>
            <w:r w:rsidR="00B40899">
              <w:rPr>
                <w:rFonts w:cs="Cambria"/>
                <w:szCs w:val="20"/>
                <w:lang w:val="fr-FR"/>
              </w:rPr>
              <w:t>s</w:t>
            </w:r>
            <w:r w:rsidRPr="0017235D">
              <w:rPr>
                <w:rFonts w:cs="Cambria"/>
                <w:szCs w:val="20"/>
                <w:lang w:val="fr-FR"/>
              </w:rPr>
              <w:t xml:space="preserve"> de base sectorielle terminé</w:t>
            </w:r>
          </w:p>
        </w:tc>
        <w:tc>
          <w:tcPr>
            <w:tcW w:w="1900" w:type="dxa"/>
            <w:gridSpan w:val="3"/>
            <w:tcBorders>
              <w:top w:val="single" w:sz="24" w:space="0" w:color="auto"/>
              <w:left w:val="single" w:sz="8" w:space="0" w:color="auto"/>
            </w:tcBorders>
          </w:tcPr>
          <w:p w:rsidR="00BD1CBB" w:rsidRDefault="00BE1612" w:rsidP="007463C8">
            <w:pPr>
              <w:rPr>
                <w:lang w:val="fr-FR"/>
              </w:rPr>
            </w:pPr>
            <w:r>
              <w:rPr>
                <w:lang w:val="fr-FR"/>
              </w:rPr>
              <w:t>Il n’existe pas de diagnostique</w:t>
            </w:r>
            <w:r w:rsidR="00BD1CBB">
              <w:rPr>
                <w:lang w:val="fr-FR"/>
              </w:rPr>
              <w:t xml:space="preserve"> sectorielle Départementale - autre que des </w:t>
            </w:r>
            <w:r>
              <w:rPr>
                <w:lang w:val="fr-FR"/>
              </w:rPr>
              <w:t xml:space="preserve">diagnostiques </w:t>
            </w:r>
            <w:r w:rsidR="007828BA">
              <w:rPr>
                <w:lang w:val="fr-FR"/>
              </w:rPr>
              <w:t xml:space="preserve">nationaux ou des </w:t>
            </w:r>
            <w:r w:rsidR="007828BA">
              <w:rPr>
                <w:lang w:val="fr-FR"/>
              </w:rPr>
              <w:lastRenderedPageBreak/>
              <w:t xml:space="preserve">lignes de bases locales </w:t>
            </w:r>
            <w:r w:rsidR="00BD1CBB">
              <w:rPr>
                <w:lang w:val="fr-FR"/>
              </w:rPr>
              <w:t>liées à des sous thématiques précises</w:t>
            </w:r>
            <w:r w:rsidR="007828BA">
              <w:rPr>
                <w:lang w:val="fr-FR"/>
              </w:rPr>
              <w:t xml:space="preserve"> et/ou des zones spécifiques</w:t>
            </w:r>
            <w:r w:rsidR="00BD1CBB">
              <w:rPr>
                <w:lang w:val="fr-FR"/>
              </w:rPr>
              <w:t xml:space="preserve">. </w:t>
            </w:r>
            <w:r w:rsidR="007828BA">
              <w:rPr>
                <w:lang w:val="fr-FR"/>
              </w:rPr>
              <w:t>Aussi les données existantes au niveau local sont difficiles à obtenir et parfois introuvables</w:t>
            </w:r>
          </w:p>
          <w:p w:rsidR="00161B66" w:rsidRPr="0017235D" w:rsidRDefault="00161B66" w:rsidP="007463C8">
            <w:pPr>
              <w:rPr>
                <w:szCs w:val="22"/>
                <w:lang w:val="fr-FR"/>
              </w:rPr>
            </w:pPr>
          </w:p>
        </w:tc>
        <w:tc>
          <w:tcPr>
            <w:tcW w:w="1704" w:type="dxa"/>
            <w:gridSpan w:val="4"/>
            <w:tcBorders>
              <w:top w:val="single" w:sz="24" w:space="0" w:color="auto"/>
              <w:left w:val="single" w:sz="8" w:space="0" w:color="auto"/>
            </w:tcBorders>
          </w:tcPr>
          <w:p w:rsidR="00161B66" w:rsidRPr="0017235D" w:rsidRDefault="005E0A75" w:rsidP="007463C8">
            <w:pPr>
              <w:rPr>
                <w:szCs w:val="22"/>
                <w:lang w:val="fr-FR"/>
              </w:rPr>
            </w:pPr>
            <w:r>
              <w:rPr>
                <w:szCs w:val="22"/>
                <w:lang w:val="fr-FR"/>
              </w:rPr>
              <w:lastRenderedPageBreak/>
              <w:t>8</w:t>
            </w:r>
            <w:r w:rsidR="007828BA">
              <w:rPr>
                <w:szCs w:val="22"/>
                <w:lang w:val="fr-FR"/>
              </w:rPr>
              <w:t xml:space="preserve"> (avec des portée géographique différentes : échelle Départemental ou échelle des </w:t>
            </w:r>
            <w:r w:rsidR="007828BA">
              <w:rPr>
                <w:szCs w:val="22"/>
                <w:lang w:val="fr-FR"/>
              </w:rPr>
              <w:lastRenderedPageBreak/>
              <w:t>10 communes à l’ouest du Département)</w:t>
            </w:r>
          </w:p>
        </w:tc>
        <w:tc>
          <w:tcPr>
            <w:tcW w:w="1789" w:type="dxa"/>
            <w:gridSpan w:val="2"/>
            <w:tcBorders>
              <w:top w:val="single" w:sz="24" w:space="0" w:color="auto"/>
              <w:left w:val="single" w:sz="8" w:space="0" w:color="auto"/>
            </w:tcBorders>
          </w:tcPr>
          <w:p w:rsidR="00161B66" w:rsidRPr="0017235D" w:rsidRDefault="007828BA" w:rsidP="007463C8">
            <w:pPr>
              <w:rPr>
                <w:szCs w:val="22"/>
                <w:lang w:val="fr-FR"/>
              </w:rPr>
            </w:pPr>
            <w:r>
              <w:rPr>
                <w:szCs w:val="22"/>
                <w:lang w:val="fr-FR"/>
              </w:rPr>
              <w:lastRenderedPageBreak/>
              <w:t xml:space="preserve">Travail de collection de l’information existante par secteur est terminé et diverses </w:t>
            </w:r>
            <w:r>
              <w:rPr>
                <w:szCs w:val="22"/>
                <w:lang w:val="fr-FR"/>
              </w:rPr>
              <w:lastRenderedPageBreak/>
              <w:t>évaluations et enquêtes sont en cours et d’autres terminé en vue d’élaborer les lignes de bases.</w:t>
            </w:r>
          </w:p>
        </w:tc>
        <w:tc>
          <w:tcPr>
            <w:tcW w:w="1686" w:type="dxa"/>
            <w:gridSpan w:val="4"/>
            <w:tcBorders>
              <w:top w:val="single" w:sz="24" w:space="0" w:color="auto"/>
              <w:left w:val="single" w:sz="8" w:space="0" w:color="auto"/>
            </w:tcBorders>
          </w:tcPr>
          <w:p w:rsidR="00161B66" w:rsidRPr="0017235D" w:rsidRDefault="001E5EF8" w:rsidP="007463C8">
            <w:pPr>
              <w:rPr>
                <w:szCs w:val="22"/>
                <w:lang w:val="fr-FR"/>
              </w:rPr>
            </w:pPr>
            <w:r>
              <w:rPr>
                <w:szCs w:val="22"/>
                <w:lang w:val="fr-FR"/>
              </w:rPr>
              <w:lastRenderedPageBreak/>
              <w:t>La lenteur du processus de mobilisation (cf. résultat 1) explique le retard encouru bien que celui-</w:t>
            </w:r>
            <w:r>
              <w:rPr>
                <w:szCs w:val="22"/>
                <w:lang w:val="fr-FR"/>
              </w:rPr>
              <w:lastRenderedPageBreak/>
              <w:t xml:space="preserve">ci se résorbe petit à petit. </w:t>
            </w:r>
          </w:p>
        </w:tc>
        <w:tc>
          <w:tcPr>
            <w:tcW w:w="1656" w:type="dxa"/>
            <w:gridSpan w:val="2"/>
            <w:tcBorders>
              <w:top w:val="single" w:sz="24" w:space="0" w:color="auto"/>
              <w:left w:val="single" w:sz="8" w:space="0" w:color="auto"/>
            </w:tcBorders>
          </w:tcPr>
          <w:p w:rsidR="00161B66" w:rsidRPr="0017235D" w:rsidRDefault="007828BA" w:rsidP="007463C8">
            <w:pPr>
              <w:rPr>
                <w:szCs w:val="22"/>
                <w:lang w:val="fr-FR"/>
              </w:rPr>
            </w:pPr>
            <w:r>
              <w:rPr>
                <w:szCs w:val="22"/>
                <w:lang w:val="fr-FR"/>
              </w:rPr>
              <w:lastRenderedPageBreak/>
              <w:t xml:space="preserve">Rapports d’avancements et ébauches d’études et d’enquêtes </w:t>
            </w:r>
          </w:p>
        </w:tc>
        <w:tc>
          <w:tcPr>
            <w:tcW w:w="1719" w:type="dxa"/>
            <w:tcBorders>
              <w:top w:val="single" w:sz="24" w:space="0" w:color="auto"/>
              <w:left w:val="single" w:sz="8" w:space="0" w:color="auto"/>
            </w:tcBorders>
          </w:tcPr>
          <w:p w:rsidR="00161B66" w:rsidRPr="0017235D" w:rsidRDefault="00161B66" w:rsidP="007463C8">
            <w:pPr>
              <w:rPr>
                <w:szCs w:val="22"/>
                <w:lang w:val="fr-FR"/>
              </w:rPr>
            </w:pPr>
          </w:p>
        </w:tc>
      </w:tr>
      <w:tr w:rsidR="00F433C2" w:rsidRPr="00953143">
        <w:trPr>
          <w:trHeight w:val="440"/>
        </w:trPr>
        <w:tc>
          <w:tcPr>
            <w:tcW w:w="1749" w:type="dxa"/>
            <w:gridSpan w:val="3"/>
            <w:tcBorders>
              <w:bottom w:val="single" w:sz="24" w:space="0" w:color="auto"/>
              <w:right w:val="single" w:sz="8" w:space="0" w:color="auto"/>
            </w:tcBorders>
          </w:tcPr>
          <w:p w:rsidR="00161B66" w:rsidRPr="0017235D" w:rsidRDefault="002D5896" w:rsidP="007463C8">
            <w:pPr>
              <w:rPr>
                <w:szCs w:val="22"/>
                <w:lang w:val="fr-FR"/>
              </w:rPr>
            </w:pPr>
            <w:r>
              <w:rPr>
                <w:szCs w:val="22"/>
                <w:lang w:val="fr-FR"/>
              </w:rPr>
              <w:lastRenderedPageBreak/>
              <w:t>Système de suivi et évaluation</w:t>
            </w:r>
            <w:r w:rsidR="00BE335A">
              <w:rPr>
                <w:szCs w:val="22"/>
                <w:lang w:val="fr-FR"/>
              </w:rPr>
              <w:t xml:space="preserve"> en place</w:t>
            </w:r>
            <w:r>
              <w:rPr>
                <w:szCs w:val="22"/>
                <w:lang w:val="fr-FR"/>
              </w:rPr>
              <w:t xml:space="preserve"> </w:t>
            </w:r>
          </w:p>
        </w:tc>
        <w:tc>
          <w:tcPr>
            <w:tcW w:w="1777" w:type="dxa"/>
            <w:gridSpan w:val="5"/>
            <w:tcBorders>
              <w:left w:val="single" w:sz="8" w:space="0" w:color="auto"/>
              <w:bottom w:val="single" w:sz="24" w:space="0" w:color="auto"/>
            </w:tcBorders>
          </w:tcPr>
          <w:p w:rsidR="00161B66" w:rsidRPr="0017235D" w:rsidRDefault="00BE335A" w:rsidP="007463C8">
            <w:pPr>
              <w:rPr>
                <w:szCs w:val="22"/>
                <w:lang w:val="fr-FR"/>
              </w:rPr>
            </w:pPr>
            <w:r>
              <w:rPr>
                <w:rFonts w:cs="Cambria"/>
                <w:szCs w:val="20"/>
                <w:lang w:val="fr-FR"/>
              </w:rPr>
              <w:t>Nombre de secteur</w:t>
            </w:r>
            <w:r w:rsidR="005E0A75">
              <w:rPr>
                <w:rFonts w:cs="Cambria"/>
                <w:szCs w:val="20"/>
                <w:lang w:val="fr-FR"/>
              </w:rPr>
              <w:t>s</w:t>
            </w:r>
            <w:r>
              <w:rPr>
                <w:rFonts w:cs="Cambria"/>
                <w:szCs w:val="20"/>
                <w:lang w:val="fr-FR"/>
              </w:rPr>
              <w:t xml:space="preserve"> ayant des indicateurs de suivi</w:t>
            </w:r>
          </w:p>
        </w:tc>
        <w:tc>
          <w:tcPr>
            <w:tcW w:w="1900" w:type="dxa"/>
            <w:gridSpan w:val="3"/>
            <w:tcBorders>
              <w:left w:val="single" w:sz="8" w:space="0" w:color="auto"/>
              <w:bottom w:val="single" w:sz="24" w:space="0" w:color="auto"/>
            </w:tcBorders>
          </w:tcPr>
          <w:p w:rsidR="00161B66" w:rsidRPr="0017235D" w:rsidRDefault="005E0A75" w:rsidP="005E0A75">
            <w:pPr>
              <w:rPr>
                <w:szCs w:val="22"/>
                <w:lang w:val="fr-FR"/>
              </w:rPr>
            </w:pPr>
            <w:r>
              <w:rPr>
                <w:szCs w:val="22"/>
                <w:lang w:val="fr-FR"/>
              </w:rPr>
              <w:t xml:space="preserve">Très peu de secteur possède </w:t>
            </w:r>
            <w:r w:rsidR="00B40899">
              <w:rPr>
                <w:szCs w:val="22"/>
                <w:lang w:val="fr-FR"/>
              </w:rPr>
              <w:t>des indicateurs de suivi solide</w:t>
            </w:r>
            <w:r>
              <w:rPr>
                <w:szCs w:val="22"/>
                <w:lang w:val="fr-FR"/>
              </w:rPr>
              <w:t>, particulièrement pour les ressources</w:t>
            </w:r>
            <w:r w:rsidR="00BD1CBB">
              <w:rPr>
                <w:szCs w:val="22"/>
                <w:lang w:val="fr-FR"/>
              </w:rPr>
              <w:t xml:space="preserve"> naturelles. Q</w:t>
            </w:r>
            <w:r>
              <w:rPr>
                <w:szCs w:val="22"/>
                <w:lang w:val="fr-FR"/>
              </w:rPr>
              <w:t xml:space="preserve">uand ceux-ci existent ils ne sont pas </w:t>
            </w:r>
            <w:r w:rsidR="00B9234F">
              <w:rPr>
                <w:szCs w:val="22"/>
                <w:lang w:val="fr-FR"/>
              </w:rPr>
              <w:t>harmonisés</w:t>
            </w:r>
            <w:r>
              <w:rPr>
                <w:szCs w:val="22"/>
                <w:lang w:val="fr-FR"/>
              </w:rPr>
              <w:t xml:space="preserve"> au niveau multi communal.</w:t>
            </w:r>
          </w:p>
        </w:tc>
        <w:tc>
          <w:tcPr>
            <w:tcW w:w="1704" w:type="dxa"/>
            <w:gridSpan w:val="4"/>
            <w:tcBorders>
              <w:left w:val="single" w:sz="8" w:space="0" w:color="auto"/>
              <w:bottom w:val="single" w:sz="24" w:space="0" w:color="auto"/>
            </w:tcBorders>
          </w:tcPr>
          <w:p w:rsidR="00161B66" w:rsidRPr="0017235D" w:rsidRDefault="005E0A75" w:rsidP="007463C8">
            <w:pPr>
              <w:rPr>
                <w:szCs w:val="22"/>
                <w:lang w:val="fr-FR"/>
              </w:rPr>
            </w:pPr>
            <w:r>
              <w:rPr>
                <w:szCs w:val="22"/>
                <w:lang w:val="fr-FR"/>
              </w:rPr>
              <w:t>8</w:t>
            </w:r>
          </w:p>
        </w:tc>
        <w:tc>
          <w:tcPr>
            <w:tcW w:w="1789" w:type="dxa"/>
            <w:gridSpan w:val="2"/>
            <w:tcBorders>
              <w:left w:val="single" w:sz="8" w:space="0" w:color="auto"/>
              <w:bottom w:val="single" w:sz="24" w:space="0" w:color="auto"/>
            </w:tcBorders>
          </w:tcPr>
          <w:p w:rsidR="00161B66" w:rsidRPr="0017235D" w:rsidRDefault="005E0A75" w:rsidP="007463C8">
            <w:pPr>
              <w:rPr>
                <w:szCs w:val="22"/>
                <w:lang w:val="fr-FR"/>
              </w:rPr>
            </w:pPr>
            <w:r>
              <w:rPr>
                <w:szCs w:val="22"/>
                <w:lang w:val="fr-FR"/>
              </w:rPr>
              <w:t>Préparation de la méthodologie</w:t>
            </w:r>
          </w:p>
        </w:tc>
        <w:tc>
          <w:tcPr>
            <w:tcW w:w="1686" w:type="dxa"/>
            <w:gridSpan w:val="4"/>
            <w:tcBorders>
              <w:left w:val="single" w:sz="8" w:space="0" w:color="auto"/>
              <w:bottom w:val="single" w:sz="24" w:space="0" w:color="auto"/>
            </w:tcBorders>
          </w:tcPr>
          <w:p w:rsidR="00161B66" w:rsidRPr="0017235D" w:rsidRDefault="00BD1CBB" w:rsidP="007463C8">
            <w:pPr>
              <w:rPr>
                <w:szCs w:val="22"/>
                <w:lang w:val="fr-FR"/>
              </w:rPr>
            </w:pPr>
            <w:r>
              <w:rPr>
                <w:szCs w:val="22"/>
                <w:lang w:val="fr-FR"/>
              </w:rPr>
              <w:t>/</w:t>
            </w:r>
          </w:p>
        </w:tc>
        <w:tc>
          <w:tcPr>
            <w:tcW w:w="1656" w:type="dxa"/>
            <w:gridSpan w:val="2"/>
            <w:tcBorders>
              <w:left w:val="single" w:sz="8" w:space="0" w:color="auto"/>
              <w:bottom w:val="single" w:sz="24" w:space="0" w:color="auto"/>
            </w:tcBorders>
          </w:tcPr>
          <w:p w:rsidR="00161B66" w:rsidRPr="0017235D" w:rsidRDefault="005E0A75" w:rsidP="007463C8">
            <w:pPr>
              <w:rPr>
                <w:szCs w:val="22"/>
                <w:lang w:val="fr-FR"/>
              </w:rPr>
            </w:pPr>
            <w:r>
              <w:rPr>
                <w:szCs w:val="22"/>
                <w:lang w:val="fr-FR"/>
              </w:rPr>
              <w:t>Rapports de l’équipe suivi et évaluation</w:t>
            </w:r>
          </w:p>
        </w:tc>
        <w:tc>
          <w:tcPr>
            <w:tcW w:w="1719" w:type="dxa"/>
            <w:tcBorders>
              <w:left w:val="single" w:sz="8" w:space="0" w:color="auto"/>
              <w:bottom w:val="single" w:sz="24" w:space="0" w:color="auto"/>
            </w:tcBorders>
          </w:tcPr>
          <w:p w:rsidR="00161B66" w:rsidRPr="0017235D" w:rsidRDefault="00161B66" w:rsidP="007463C8">
            <w:pPr>
              <w:rPr>
                <w:szCs w:val="22"/>
                <w:lang w:val="fr-FR"/>
              </w:rPr>
            </w:pPr>
          </w:p>
        </w:tc>
      </w:tr>
      <w:tr w:rsidR="00421881" w:rsidRPr="00953143">
        <w:tblPrEx>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9"/>
          <w:wAfter w:w="11891" w:type="dxa"/>
          <w:trHeight w:val="100"/>
        </w:trPr>
        <w:tc>
          <w:tcPr>
            <w:tcW w:w="2089" w:type="dxa"/>
            <w:gridSpan w:val="5"/>
          </w:tcPr>
          <w:p w:rsidR="00421881" w:rsidRPr="0017235D" w:rsidRDefault="00421881" w:rsidP="002458E3">
            <w:pPr>
              <w:rPr>
                <w:b/>
                <w:szCs w:val="22"/>
                <w:lang w:val="fr-FR"/>
              </w:rPr>
            </w:pPr>
          </w:p>
        </w:tc>
      </w:tr>
      <w:tr w:rsidR="002458E3" w:rsidRPr="00E66A99">
        <w:trPr>
          <w:trHeight w:val="212"/>
        </w:trPr>
        <w:tc>
          <w:tcPr>
            <w:tcW w:w="13980" w:type="dxa"/>
            <w:gridSpan w:val="24"/>
            <w:tcBorders>
              <w:top w:val="single" w:sz="24" w:space="0" w:color="auto"/>
              <w:bottom w:val="single" w:sz="24" w:space="0" w:color="auto"/>
            </w:tcBorders>
          </w:tcPr>
          <w:p w:rsidR="002458E3" w:rsidRPr="0017235D" w:rsidRDefault="002458E3" w:rsidP="002458E3">
            <w:pPr>
              <w:rPr>
                <w:szCs w:val="22"/>
                <w:lang w:val="fr-FR"/>
              </w:rPr>
            </w:pPr>
            <w:r w:rsidRPr="0017235D">
              <w:rPr>
                <w:b/>
                <w:szCs w:val="22"/>
                <w:lang w:val="fr-FR"/>
              </w:rPr>
              <w:t xml:space="preserve">Résultat </w:t>
            </w:r>
            <w:r w:rsidR="00866FF5" w:rsidRPr="0017235D">
              <w:rPr>
                <w:rFonts w:cs="Cambria"/>
                <w:b/>
                <w:szCs w:val="20"/>
                <w:lang w:val="fr-FR"/>
              </w:rPr>
              <w:t>3</w:t>
            </w:r>
            <w:r w:rsidRPr="0017235D">
              <w:rPr>
                <w:rFonts w:cs="Cambria"/>
                <w:b/>
                <w:szCs w:val="20"/>
                <w:lang w:val="fr-FR"/>
              </w:rPr>
              <w:t>.</w:t>
            </w:r>
            <w:r w:rsidRPr="0017235D">
              <w:rPr>
                <w:rFonts w:cs="Cambria"/>
                <w:szCs w:val="20"/>
                <w:lang w:val="fr-FR"/>
              </w:rPr>
              <w:t xml:space="preserve"> </w:t>
            </w:r>
            <w:r w:rsidRPr="00BE1612">
              <w:rPr>
                <w:rFonts w:cs="Cambria"/>
                <w:b/>
                <w:szCs w:val="20"/>
                <w:lang w:val="fr-FR"/>
              </w:rPr>
              <w:t>Design, Coordination et Planification Multisectorielle</w:t>
            </w:r>
          </w:p>
        </w:tc>
      </w:tr>
      <w:tr w:rsidR="00F433C2" w:rsidRPr="007D00E3">
        <w:trPr>
          <w:trHeight w:val="440"/>
        </w:trPr>
        <w:tc>
          <w:tcPr>
            <w:tcW w:w="1643" w:type="dxa"/>
            <w:gridSpan w:val="2"/>
            <w:tcBorders>
              <w:top w:val="single" w:sz="24" w:space="0" w:color="auto"/>
              <w:right w:val="single" w:sz="8" w:space="0" w:color="auto"/>
            </w:tcBorders>
          </w:tcPr>
          <w:p w:rsidR="00BD1CBB" w:rsidRPr="0017235D" w:rsidRDefault="00BD1CBB" w:rsidP="00161B66">
            <w:pPr>
              <w:rPr>
                <w:lang w:val="fr-FR"/>
              </w:rPr>
            </w:pPr>
            <w:r>
              <w:rPr>
                <w:szCs w:val="22"/>
                <w:lang w:val="fr-FR"/>
              </w:rPr>
              <w:t xml:space="preserve">Les stratégies sectorielles CSI sont </w:t>
            </w:r>
            <w:r>
              <w:rPr>
                <w:szCs w:val="22"/>
                <w:lang w:val="fr-FR"/>
              </w:rPr>
              <w:lastRenderedPageBreak/>
              <w:t>développées et approuvées par le Gouvernement</w:t>
            </w:r>
          </w:p>
        </w:tc>
        <w:tc>
          <w:tcPr>
            <w:tcW w:w="1872" w:type="dxa"/>
            <w:gridSpan w:val="5"/>
            <w:tcBorders>
              <w:top w:val="single" w:sz="24" w:space="0" w:color="auto"/>
              <w:left w:val="single" w:sz="8" w:space="0" w:color="auto"/>
            </w:tcBorders>
          </w:tcPr>
          <w:p w:rsidR="00BD1CBB" w:rsidRPr="0017235D" w:rsidRDefault="00BD1CBB">
            <w:pPr>
              <w:rPr>
                <w:lang w:val="fr-FR"/>
              </w:rPr>
            </w:pPr>
            <w:r w:rsidRPr="0017235D">
              <w:rPr>
                <w:rFonts w:cs="Cambria"/>
                <w:szCs w:val="20"/>
                <w:lang w:val="fr-FR"/>
              </w:rPr>
              <w:lastRenderedPageBreak/>
              <w:t xml:space="preserve">Nombre de plans/stratégies sectorielles </w:t>
            </w:r>
            <w:r w:rsidRPr="0017235D">
              <w:rPr>
                <w:rFonts w:cs="Cambria"/>
                <w:szCs w:val="20"/>
                <w:lang w:val="fr-FR"/>
              </w:rPr>
              <w:lastRenderedPageBreak/>
              <w:t xml:space="preserve">développés </w:t>
            </w:r>
          </w:p>
        </w:tc>
        <w:tc>
          <w:tcPr>
            <w:tcW w:w="1896" w:type="dxa"/>
            <w:gridSpan w:val="3"/>
            <w:tcBorders>
              <w:top w:val="single" w:sz="24" w:space="0" w:color="auto"/>
              <w:left w:val="single" w:sz="8" w:space="0" w:color="auto"/>
            </w:tcBorders>
          </w:tcPr>
          <w:p w:rsidR="00BD1CBB" w:rsidRPr="0017235D" w:rsidRDefault="00BD1CBB">
            <w:pPr>
              <w:rPr>
                <w:lang w:val="fr-FR"/>
              </w:rPr>
            </w:pPr>
            <w:r>
              <w:rPr>
                <w:lang w:val="fr-FR"/>
              </w:rPr>
              <w:lastRenderedPageBreak/>
              <w:t xml:space="preserve">Il n’existe pas de stratégie sectorielle </w:t>
            </w:r>
            <w:r>
              <w:rPr>
                <w:lang w:val="fr-FR"/>
              </w:rPr>
              <w:lastRenderedPageBreak/>
              <w:t xml:space="preserve">Départementale - autre que des plans directeurs à l’échelle nationale ou des stratégies liées à des sous thématiques précises. </w:t>
            </w:r>
          </w:p>
        </w:tc>
        <w:tc>
          <w:tcPr>
            <w:tcW w:w="1708" w:type="dxa"/>
            <w:gridSpan w:val="4"/>
            <w:tcBorders>
              <w:top w:val="single" w:sz="24" w:space="0" w:color="auto"/>
              <w:left w:val="single" w:sz="8" w:space="0" w:color="auto"/>
            </w:tcBorders>
          </w:tcPr>
          <w:p w:rsidR="00BD1CBB" w:rsidRPr="0017235D" w:rsidRDefault="00BD1CBB" w:rsidP="007463C8">
            <w:pPr>
              <w:rPr>
                <w:szCs w:val="22"/>
                <w:lang w:val="fr-FR"/>
              </w:rPr>
            </w:pPr>
            <w:r>
              <w:rPr>
                <w:szCs w:val="22"/>
                <w:lang w:val="fr-FR"/>
              </w:rPr>
              <w:lastRenderedPageBreak/>
              <w:t>8</w:t>
            </w:r>
          </w:p>
        </w:tc>
        <w:tc>
          <w:tcPr>
            <w:tcW w:w="1789" w:type="dxa"/>
            <w:gridSpan w:val="2"/>
            <w:tcBorders>
              <w:top w:val="single" w:sz="24" w:space="0" w:color="auto"/>
              <w:left w:val="single" w:sz="8" w:space="0" w:color="auto"/>
            </w:tcBorders>
          </w:tcPr>
          <w:p w:rsidR="00BD1CBB" w:rsidRPr="0017235D" w:rsidRDefault="00BD1CBB" w:rsidP="007463C8">
            <w:pPr>
              <w:rPr>
                <w:szCs w:val="22"/>
                <w:lang w:val="fr-FR"/>
              </w:rPr>
            </w:pPr>
            <w:r>
              <w:rPr>
                <w:szCs w:val="22"/>
                <w:lang w:val="fr-FR"/>
              </w:rPr>
              <w:t xml:space="preserve">2 en consultation et le reste en </w:t>
            </w:r>
            <w:r>
              <w:rPr>
                <w:szCs w:val="22"/>
                <w:lang w:val="fr-FR"/>
              </w:rPr>
              <w:lastRenderedPageBreak/>
              <w:t>préparation</w:t>
            </w:r>
          </w:p>
        </w:tc>
        <w:tc>
          <w:tcPr>
            <w:tcW w:w="1693" w:type="dxa"/>
            <w:gridSpan w:val="5"/>
            <w:tcBorders>
              <w:top w:val="single" w:sz="24" w:space="0" w:color="auto"/>
              <w:left w:val="single" w:sz="8" w:space="0" w:color="auto"/>
            </w:tcBorders>
          </w:tcPr>
          <w:p w:rsidR="00BD1CBB" w:rsidRPr="0017235D" w:rsidRDefault="00BD1CBB" w:rsidP="007463C8">
            <w:pPr>
              <w:rPr>
                <w:szCs w:val="22"/>
                <w:lang w:val="fr-FR"/>
              </w:rPr>
            </w:pPr>
            <w:r>
              <w:rPr>
                <w:szCs w:val="22"/>
                <w:lang w:val="fr-FR"/>
              </w:rPr>
              <w:lastRenderedPageBreak/>
              <w:t>/</w:t>
            </w:r>
          </w:p>
        </w:tc>
        <w:tc>
          <w:tcPr>
            <w:tcW w:w="1660" w:type="dxa"/>
            <w:gridSpan w:val="2"/>
            <w:tcBorders>
              <w:top w:val="single" w:sz="24" w:space="0" w:color="auto"/>
              <w:left w:val="single" w:sz="8" w:space="0" w:color="auto"/>
            </w:tcBorders>
          </w:tcPr>
          <w:p w:rsidR="00BD1CBB" w:rsidRPr="0017235D" w:rsidRDefault="00BD1CBB" w:rsidP="007463C8">
            <w:pPr>
              <w:rPr>
                <w:szCs w:val="22"/>
                <w:lang w:val="fr-FR"/>
              </w:rPr>
            </w:pPr>
            <w:r>
              <w:rPr>
                <w:szCs w:val="22"/>
                <w:lang w:val="fr-FR"/>
              </w:rPr>
              <w:t>Ebauche de stratégie</w:t>
            </w:r>
          </w:p>
        </w:tc>
        <w:tc>
          <w:tcPr>
            <w:tcW w:w="1719" w:type="dxa"/>
            <w:tcBorders>
              <w:top w:val="single" w:sz="24" w:space="0" w:color="auto"/>
              <w:left w:val="single" w:sz="8" w:space="0" w:color="auto"/>
            </w:tcBorders>
          </w:tcPr>
          <w:p w:rsidR="00BD1CBB" w:rsidRPr="0017235D" w:rsidRDefault="00BD1CBB">
            <w:pPr>
              <w:rPr>
                <w:lang w:val="fr-FR"/>
              </w:rPr>
            </w:pPr>
          </w:p>
        </w:tc>
      </w:tr>
      <w:tr w:rsidR="00BD1CBB" w:rsidRPr="00E66A99">
        <w:trPr>
          <w:trHeight w:val="440"/>
        </w:trPr>
        <w:tc>
          <w:tcPr>
            <w:tcW w:w="13980" w:type="dxa"/>
            <w:gridSpan w:val="24"/>
            <w:tcBorders>
              <w:top w:val="single" w:sz="24" w:space="0" w:color="auto"/>
              <w:bottom w:val="single" w:sz="24" w:space="0" w:color="auto"/>
            </w:tcBorders>
          </w:tcPr>
          <w:p w:rsidR="00BD1CBB" w:rsidRPr="0017235D" w:rsidRDefault="00BD1CBB" w:rsidP="002458E3">
            <w:pPr>
              <w:rPr>
                <w:szCs w:val="22"/>
                <w:lang w:val="fr-FR"/>
              </w:rPr>
            </w:pPr>
            <w:r w:rsidRPr="0017235D">
              <w:rPr>
                <w:b/>
                <w:szCs w:val="22"/>
                <w:lang w:val="fr-FR"/>
              </w:rPr>
              <w:lastRenderedPageBreak/>
              <w:t xml:space="preserve">Résultat </w:t>
            </w:r>
            <w:r w:rsidRPr="0017235D">
              <w:rPr>
                <w:rFonts w:cs="Cambria"/>
                <w:b/>
                <w:szCs w:val="20"/>
                <w:lang w:val="fr-FR"/>
              </w:rPr>
              <w:t>4.</w:t>
            </w:r>
            <w:r w:rsidRPr="0017235D">
              <w:rPr>
                <w:rFonts w:cs="Cambria"/>
                <w:szCs w:val="20"/>
                <w:lang w:val="fr-FR"/>
              </w:rPr>
              <w:t xml:space="preserve"> </w:t>
            </w:r>
            <w:r w:rsidRPr="00BE1612">
              <w:rPr>
                <w:rFonts w:cs="Cambria"/>
                <w:b/>
                <w:szCs w:val="20"/>
                <w:lang w:val="fr-FR"/>
              </w:rPr>
              <w:t>Actions pratiques à résultats rapides</w:t>
            </w:r>
            <w:r w:rsidR="00BE1612">
              <w:rPr>
                <w:rFonts w:cs="Cambria"/>
                <w:b/>
                <w:szCs w:val="20"/>
                <w:lang w:val="fr-FR"/>
              </w:rPr>
              <w:t xml:space="preserve"> (</w:t>
            </w:r>
            <w:r w:rsidR="001E5EF8">
              <w:rPr>
                <w:rFonts w:cs="Cambria"/>
                <w:b/>
                <w:szCs w:val="20"/>
                <w:lang w:val="fr-FR"/>
              </w:rPr>
              <w:t xml:space="preserve">en </w:t>
            </w:r>
            <w:r w:rsidR="00BE1612">
              <w:rPr>
                <w:rFonts w:cs="Cambria"/>
                <w:b/>
                <w:szCs w:val="20"/>
                <w:lang w:val="fr-FR"/>
              </w:rPr>
              <w:t>moins d’un an)</w:t>
            </w:r>
          </w:p>
        </w:tc>
      </w:tr>
      <w:tr w:rsidR="00F433C2" w:rsidRPr="007D00E3">
        <w:trPr>
          <w:trHeight w:val="440"/>
        </w:trPr>
        <w:tc>
          <w:tcPr>
            <w:tcW w:w="1627" w:type="dxa"/>
            <w:tcBorders>
              <w:top w:val="single" w:sz="24" w:space="0" w:color="auto"/>
              <w:right w:val="single" w:sz="8" w:space="0" w:color="auto"/>
            </w:tcBorders>
          </w:tcPr>
          <w:p w:rsidR="00BD1CBB" w:rsidRPr="0017235D" w:rsidRDefault="00041094" w:rsidP="00161B66">
            <w:pPr>
              <w:rPr>
                <w:szCs w:val="22"/>
                <w:lang w:val="fr-FR"/>
              </w:rPr>
            </w:pPr>
            <w:r>
              <w:rPr>
                <w:szCs w:val="22"/>
                <w:lang w:val="fr-FR"/>
              </w:rPr>
              <w:t xml:space="preserve">Des bénéfices </w:t>
            </w:r>
            <w:r w:rsidR="00B4618D">
              <w:rPr>
                <w:szCs w:val="22"/>
                <w:lang w:val="fr-FR"/>
              </w:rPr>
              <w:t>directs</w:t>
            </w:r>
            <w:r>
              <w:rPr>
                <w:szCs w:val="22"/>
                <w:lang w:val="fr-FR"/>
              </w:rPr>
              <w:t xml:space="preserve"> pour la population du Sud résultent </w:t>
            </w:r>
            <w:r w:rsidR="00B4618D">
              <w:rPr>
                <w:szCs w:val="22"/>
                <w:lang w:val="fr-FR"/>
              </w:rPr>
              <w:t>d’actions</w:t>
            </w:r>
            <w:r>
              <w:rPr>
                <w:szCs w:val="22"/>
                <w:lang w:val="fr-FR"/>
              </w:rPr>
              <w:t xml:space="preserve"> pratiques</w:t>
            </w:r>
            <w:r w:rsidR="00B4618D">
              <w:rPr>
                <w:szCs w:val="22"/>
                <w:lang w:val="fr-FR"/>
              </w:rPr>
              <w:t xml:space="preserve"> visibles et tangibles sur le terrain</w:t>
            </w:r>
            <w:r>
              <w:rPr>
                <w:szCs w:val="22"/>
                <w:lang w:val="fr-FR"/>
              </w:rPr>
              <w:t xml:space="preserve">  </w:t>
            </w:r>
          </w:p>
        </w:tc>
        <w:tc>
          <w:tcPr>
            <w:tcW w:w="1888" w:type="dxa"/>
            <w:gridSpan w:val="6"/>
            <w:tcBorders>
              <w:top w:val="single" w:sz="24" w:space="0" w:color="auto"/>
              <w:left w:val="single" w:sz="8" w:space="0" w:color="auto"/>
              <w:right w:val="single" w:sz="8" w:space="0" w:color="auto"/>
            </w:tcBorders>
          </w:tcPr>
          <w:p w:rsidR="00BD1CBB" w:rsidRPr="0017235D" w:rsidRDefault="00BD1CBB" w:rsidP="007463C8">
            <w:pPr>
              <w:rPr>
                <w:szCs w:val="22"/>
                <w:lang w:val="fr-FR"/>
              </w:rPr>
            </w:pPr>
            <w:r w:rsidRPr="0017235D">
              <w:rPr>
                <w:rFonts w:cs="Cambria"/>
                <w:szCs w:val="20"/>
                <w:lang w:val="fr-FR"/>
              </w:rPr>
              <w:t>% d’activités pratiques mis en place</w:t>
            </w:r>
          </w:p>
        </w:tc>
        <w:tc>
          <w:tcPr>
            <w:tcW w:w="1896" w:type="dxa"/>
            <w:gridSpan w:val="3"/>
            <w:tcBorders>
              <w:top w:val="single" w:sz="24" w:space="0" w:color="auto"/>
              <w:left w:val="single" w:sz="8" w:space="0" w:color="auto"/>
            </w:tcBorders>
          </w:tcPr>
          <w:p w:rsidR="00342559" w:rsidRPr="00342559" w:rsidRDefault="00342559" w:rsidP="00342559">
            <w:pPr>
              <w:rPr>
                <w:szCs w:val="22"/>
                <w:lang w:val="fr-FR"/>
              </w:rPr>
            </w:pPr>
            <w:r w:rsidRPr="00342559">
              <w:rPr>
                <w:szCs w:val="22"/>
                <w:lang w:val="fr-FR"/>
              </w:rPr>
              <w:t>Bien que des actions existent déjà sur le terrain en santé, édu</w:t>
            </w:r>
            <w:r w:rsidR="005C521A">
              <w:rPr>
                <w:szCs w:val="22"/>
                <w:lang w:val="fr-FR"/>
              </w:rPr>
              <w:t>cation, eau &amp; assainissement,</w:t>
            </w:r>
            <w:r w:rsidRPr="00342559">
              <w:rPr>
                <w:szCs w:val="22"/>
                <w:lang w:val="fr-FR"/>
              </w:rPr>
              <w:t xml:space="preserve"> énergie et agriculture, l</w:t>
            </w:r>
            <w:r w:rsidR="005C521A">
              <w:rPr>
                <w:szCs w:val="22"/>
                <w:lang w:val="fr-FR"/>
              </w:rPr>
              <w:t>’ampleur des besoins nécessite</w:t>
            </w:r>
            <w:r w:rsidRPr="00342559">
              <w:rPr>
                <w:szCs w:val="22"/>
                <w:lang w:val="fr-FR"/>
              </w:rPr>
              <w:t xml:space="preserve"> un support additionnel et ciblé. De plus, d’autres secteur</w:t>
            </w:r>
            <w:r w:rsidR="005C521A">
              <w:rPr>
                <w:szCs w:val="22"/>
                <w:lang w:val="fr-FR"/>
              </w:rPr>
              <w:t>s</w:t>
            </w:r>
            <w:r w:rsidRPr="00342559">
              <w:rPr>
                <w:szCs w:val="22"/>
                <w:lang w:val="fr-FR"/>
              </w:rPr>
              <w:t xml:space="preserve"> comme celui de la pêche et du tourisme ont un poten</w:t>
            </w:r>
            <w:r w:rsidR="005C521A">
              <w:rPr>
                <w:szCs w:val="22"/>
                <w:lang w:val="fr-FR"/>
              </w:rPr>
              <w:t>tiel insoupçonné dans le D</w:t>
            </w:r>
            <w:r w:rsidRPr="00342559">
              <w:rPr>
                <w:szCs w:val="22"/>
                <w:lang w:val="fr-FR"/>
              </w:rPr>
              <w:t xml:space="preserve">épartement et reçoivent un support quasi nul. Par </w:t>
            </w:r>
            <w:r w:rsidRPr="00342559">
              <w:rPr>
                <w:szCs w:val="22"/>
                <w:lang w:val="fr-FR"/>
              </w:rPr>
              <w:lastRenderedPageBreak/>
              <w:t>conséquent, la pauvreté/vulnérabilité dans le Sud s’exprime par (i) une dégradation environnementale alarmante qui limite fortement les services rendus par les écosystèmes aux populations rurales, (ii) une pauvreté rur</w:t>
            </w:r>
            <w:r w:rsidR="005C521A">
              <w:rPr>
                <w:szCs w:val="22"/>
                <w:lang w:val="fr-FR"/>
              </w:rPr>
              <w:t xml:space="preserve">ale énergétique inquiétante, </w:t>
            </w:r>
            <w:r w:rsidRPr="00342559">
              <w:rPr>
                <w:szCs w:val="22"/>
                <w:lang w:val="fr-FR"/>
              </w:rPr>
              <w:t>(iii) un manque d’accès et de disponibili</w:t>
            </w:r>
            <w:r w:rsidR="00B40899">
              <w:rPr>
                <w:szCs w:val="22"/>
                <w:lang w:val="fr-FR"/>
              </w:rPr>
              <w:t>té de services sociaux de base</w:t>
            </w:r>
            <w:r w:rsidR="005C521A">
              <w:rPr>
                <w:szCs w:val="22"/>
                <w:lang w:val="fr-FR"/>
              </w:rPr>
              <w:t> ; et (iv)</w:t>
            </w:r>
            <w:r w:rsidR="00B40899">
              <w:rPr>
                <w:szCs w:val="22"/>
                <w:lang w:val="fr-FR"/>
              </w:rPr>
              <w:t xml:space="preserve"> un manque de capitalisation du</w:t>
            </w:r>
            <w:r w:rsidR="005C521A">
              <w:rPr>
                <w:szCs w:val="22"/>
                <w:lang w:val="fr-FR"/>
              </w:rPr>
              <w:t xml:space="preserve"> potentiel du Sud en agro-business, pêche et tourisme.</w:t>
            </w:r>
          </w:p>
          <w:p w:rsidR="00BD1CBB" w:rsidRPr="0017235D" w:rsidRDefault="00BD1CBB" w:rsidP="00F433C2">
            <w:pPr>
              <w:rPr>
                <w:szCs w:val="22"/>
                <w:lang w:val="fr-FR"/>
              </w:rPr>
            </w:pPr>
          </w:p>
        </w:tc>
        <w:tc>
          <w:tcPr>
            <w:tcW w:w="1655" w:type="dxa"/>
            <w:gridSpan w:val="2"/>
            <w:tcBorders>
              <w:top w:val="single" w:sz="24" w:space="0" w:color="auto"/>
              <w:left w:val="single" w:sz="8" w:space="0" w:color="auto"/>
            </w:tcBorders>
          </w:tcPr>
          <w:p w:rsidR="00687263" w:rsidRDefault="00152318" w:rsidP="007463C8">
            <w:pPr>
              <w:rPr>
                <w:szCs w:val="22"/>
                <w:lang w:val="fr-FR"/>
              </w:rPr>
            </w:pPr>
            <w:r>
              <w:rPr>
                <w:szCs w:val="22"/>
                <w:lang w:val="fr-FR"/>
              </w:rPr>
              <w:lastRenderedPageBreak/>
              <w:t>100% des activités pratiques sont finalisé</w:t>
            </w:r>
            <w:r w:rsidR="00797D03">
              <w:rPr>
                <w:szCs w:val="22"/>
                <w:lang w:val="fr-FR"/>
              </w:rPr>
              <w:t>es</w:t>
            </w:r>
            <w:r>
              <w:rPr>
                <w:szCs w:val="22"/>
                <w:lang w:val="fr-FR"/>
              </w:rPr>
              <w:t xml:space="preserve"> et contrib</w:t>
            </w:r>
            <w:r w:rsidR="00B40899">
              <w:rPr>
                <w:szCs w:val="22"/>
                <w:lang w:val="fr-FR"/>
              </w:rPr>
              <w:t>uent à des bénéfices direct</w:t>
            </w:r>
            <w:r w:rsidR="00687263">
              <w:rPr>
                <w:szCs w:val="22"/>
                <w:lang w:val="fr-FR"/>
              </w:rPr>
              <w:t xml:space="preserve">s </w:t>
            </w:r>
            <w:r w:rsidR="00797D03">
              <w:rPr>
                <w:szCs w:val="22"/>
                <w:lang w:val="fr-FR"/>
              </w:rPr>
              <w:t xml:space="preserve">pour la population du Sud </w:t>
            </w:r>
            <w:r w:rsidR="00687263">
              <w:rPr>
                <w:szCs w:val="22"/>
                <w:lang w:val="fr-FR"/>
              </w:rPr>
              <w:t xml:space="preserve">en termes de : </w:t>
            </w:r>
            <w:r w:rsidR="00687263">
              <w:rPr>
                <w:szCs w:val="22"/>
                <w:lang w:val="fr-FR"/>
              </w:rPr>
              <w:br/>
            </w:r>
            <w:r w:rsidR="00687263" w:rsidRPr="00687263">
              <w:rPr>
                <w:b/>
                <w:szCs w:val="22"/>
                <w:lang w:val="fr-FR"/>
              </w:rPr>
              <w:t>1.</w:t>
            </w:r>
            <w:r w:rsidR="00687263">
              <w:rPr>
                <w:szCs w:val="22"/>
                <w:lang w:val="fr-FR"/>
              </w:rPr>
              <w:t xml:space="preserve"> Sécurité alimentaire, revenues</w:t>
            </w:r>
            <w:r w:rsidR="00797D03">
              <w:rPr>
                <w:szCs w:val="22"/>
                <w:lang w:val="fr-FR"/>
              </w:rPr>
              <w:t xml:space="preserve"> augmentés</w:t>
            </w:r>
            <w:r w:rsidR="00B40899">
              <w:rPr>
                <w:szCs w:val="22"/>
                <w:lang w:val="fr-FR"/>
              </w:rPr>
              <w:t xml:space="preserve"> de production agricole</w:t>
            </w:r>
            <w:r w:rsidR="00687263">
              <w:rPr>
                <w:szCs w:val="22"/>
                <w:lang w:val="fr-FR"/>
              </w:rPr>
              <w:t xml:space="preserve"> et protection des sols ;</w:t>
            </w:r>
          </w:p>
          <w:p w:rsidR="00687263" w:rsidRDefault="00687263" w:rsidP="007463C8">
            <w:pPr>
              <w:rPr>
                <w:szCs w:val="22"/>
                <w:lang w:val="fr-FR"/>
              </w:rPr>
            </w:pPr>
            <w:r w:rsidRPr="00687263">
              <w:rPr>
                <w:b/>
                <w:szCs w:val="22"/>
                <w:lang w:val="fr-FR"/>
              </w:rPr>
              <w:t>2.</w:t>
            </w:r>
            <w:r w:rsidR="00B40899">
              <w:rPr>
                <w:szCs w:val="22"/>
                <w:lang w:val="fr-FR"/>
              </w:rPr>
              <w:t xml:space="preserve"> Sécurité alimentaire, revenu</w:t>
            </w:r>
            <w:r>
              <w:rPr>
                <w:szCs w:val="22"/>
                <w:lang w:val="fr-FR"/>
              </w:rPr>
              <w:t>s</w:t>
            </w:r>
            <w:r w:rsidR="00797D03">
              <w:rPr>
                <w:szCs w:val="22"/>
                <w:lang w:val="fr-FR"/>
              </w:rPr>
              <w:t xml:space="preserve"> augmentés</w:t>
            </w:r>
            <w:r>
              <w:rPr>
                <w:szCs w:val="22"/>
                <w:lang w:val="fr-FR"/>
              </w:rPr>
              <w:t xml:space="preserve"> </w:t>
            </w:r>
            <w:r w:rsidR="00B40899">
              <w:rPr>
                <w:szCs w:val="22"/>
                <w:lang w:val="fr-FR"/>
              </w:rPr>
              <w:t xml:space="preserve">à partir </w:t>
            </w:r>
            <w:r>
              <w:rPr>
                <w:szCs w:val="22"/>
                <w:lang w:val="fr-FR"/>
              </w:rPr>
              <w:t xml:space="preserve">d’activités de </w:t>
            </w:r>
            <w:r>
              <w:rPr>
                <w:szCs w:val="22"/>
                <w:lang w:val="fr-FR"/>
              </w:rPr>
              <w:lastRenderedPageBreak/>
              <w:t>pêche et protection des écosystèmes marins</w:t>
            </w:r>
          </w:p>
          <w:p w:rsidR="00687263" w:rsidRDefault="00687263" w:rsidP="007463C8">
            <w:pPr>
              <w:rPr>
                <w:szCs w:val="22"/>
                <w:lang w:val="fr-FR"/>
              </w:rPr>
            </w:pPr>
            <w:r w:rsidRPr="00687263">
              <w:rPr>
                <w:b/>
                <w:szCs w:val="22"/>
                <w:lang w:val="fr-FR"/>
              </w:rPr>
              <w:t>3.</w:t>
            </w:r>
            <w:r>
              <w:rPr>
                <w:szCs w:val="22"/>
                <w:lang w:val="fr-FR"/>
              </w:rPr>
              <w:t xml:space="preserve"> Accès et disponibilité de l’énergie dans les zones rurales</w:t>
            </w:r>
          </w:p>
          <w:p w:rsidR="00687263" w:rsidRDefault="00687263" w:rsidP="007463C8">
            <w:pPr>
              <w:rPr>
                <w:szCs w:val="22"/>
                <w:lang w:val="fr-FR"/>
              </w:rPr>
            </w:pPr>
            <w:r w:rsidRPr="00797D03">
              <w:rPr>
                <w:b/>
                <w:szCs w:val="22"/>
                <w:lang w:val="fr-FR"/>
              </w:rPr>
              <w:t>4.</w:t>
            </w:r>
            <w:r>
              <w:rPr>
                <w:szCs w:val="22"/>
                <w:lang w:val="fr-FR"/>
              </w:rPr>
              <w:t xml:space="preserve"> Qualité de l’éducation et du nombre d’élèves scolarisés</w:t>
            </w:r>
            <w:r w:rsidR="00797D03">
              <w:rPr>
                <w:szCs w:val="22"/>
                <w:lang w:val="fr-FR"/>
              </w:rPr>
              <w:t xml:space="preserve"> dans les zones rurales</w:t>
            </w:r>
          </w:p>
          <w:p w:rsidR="00687263" w:rsidRDefault="00687263" w:rsidP="007463C8">
            <w:pPr>
              <w:rPr>
                <w:szCs w:val="22"/>
                <w:lang w:val="fr-FR"/>
              </w:rPr>
            </w:pPr>
            <w:r w:rsidRPr="00797D03">
              <w:rPr>
                <w:b/>
                <w:szCs w:val="22"/>
                <w:lang w:val="fr-FR"/>
              </w:rPr>
              <w:t>5.</w:t>
            </w:r>
            <w:r>
              <w:rPr>
                <w:szCs w:val="22"/>
                <w:lang w:val="fr-FR"/>
              </w:rPr>
              <w:t xml:space="preserve"> Accès et disponibilités des soins de santé</w:t>
            </w:r>
            <w:r w:rsidR="00797D03">
              <w:rPr>
                <w:szCs w:val="22"/>
                <w:lang w:val="fr-FR"/>
              </w:rPr>
              <w:t xml:space="preserve"> dans les zones rurales</w:t>
            </w:r>
          </w:p>
          <w:p w:rsidR="00342559" w:rsidRDefault="00687263" w:rsidP="007463C8">
            <w:pPr>
              <w:rPr>
                <w:szCs w:val="22"/>
                <w:lang w:val="fr-FR"/>
              </w:rPr>
            </w:pPr>
            <w:r w:rsidRPr="00797D03">
              <w:rPr>
                <w:b/>
                <w:szCs w:val="22"/>
                <w:lang w:val="fr-FR"/>
              </w:rPr>
              <w:t>6.</w:t>
            </w:r>
            <w:r>
              <w:rPr>
                <w:szCs w:val="22"/>
                <w:lang w:val="fr-FR"/>
              </w:rPr>
              <w:t xml:space="preserve"> </w:t>
            </w:r>
            <w:r w:rsidR="00797D03">
              <w:rPr>
                <w:szCs w:val="22"/>
                <w:lang w:val="fr-FR"/>
              </w:rPr>
              <w:t>Accès et disponibilité de l’eau potable et des systèmes sanitaires</w:t>
            </w:r>
          </w:p>
          <w:p w:rsidR="00BD1CBB" w:rsidRPr="0017235D" w:rsidRDefault="00342559" w:rsidP="007463C8">
            <w:pPr>
              <w:rPr>
                <w:szCs w:val="22"/>
                <w:lang w:val="fr-FR"/>
              </w:rPr>
            </w:pPr>
            <w:r w:rsidRPr="00342559">
              <w:rPr>
                <w:b/>
                <w:szCs w:val="22"/>
                <w:lang w:val="fr-FR"/>
              </w:rPr>
              <w:t>7.</w:t>
            </w:r>
            <w:r>
              <w:rPr>
                <w:szCs w:val="22"/>
                <w:lang w:val="fr-FR"/>
              </w:rPr>
              <w:t xml:space="preserve"> Diversification des revenues au travers le développement du tourisme communautaire</w:t>
            </w:r>
          </w:p>
        </w:tc>
        <w:tc>
          <w:tcPr>
            <w:tcW w:w="1842" w:type="dxa"/>
            <w:gridSpan w:val="4"/>
            <w:tcBorders>
              <w:top w:val="single" w:sz="24" w:space="0" w:color="auto"/>
              <w:left w:val="single" w:sz="8" w:space="0" w:color="auto"/>
            </w:tcBorders>
          </w:tcPr>
          <w:p w:rsidR="00BD1CBB" w:rsidRPr="0017235D" w:rsidRDefault="00152318" w:rsidP="007463C8">
            <w:pPr>
              <w:rPr>
                <w:szCs w:val="22"/>
                <w:lang w:val="fr-FR"/>
              </w:rPr>
            </w:pPr>
            <w:r>
              <w:rPr>
                <w:szCs w:val="22"/>
                <w:lang w:val="fr-FR"/>
              </w:rPr>
              <w:lastRenderedPageBreak/>
              <w:t xml:space="preserve">40% d’activités pratiques sont en cours sur le terrain, particulièrement dans </w:t>
            </w:r>
            <w:r w:rsidR="00B40899">
              <w:rPr>
                <w:szCs w:val="22"/>
                <w:lang w:val="fr-FR"/>
              </w:rPr>
              <w:t xml:space="preserve">les secteurs </w:t>
            </w:r>
            <w:r>
              <w:rPr>
                <w:szCs w:val="22"/>
                <w:lang w:val="fr-FR"/>
              </w:rPr>
              <w:t>agricultu</w:t>
            </w:r>
            <w:r w:rsidR="00033A4A">
              <w:rPr>
                <w:szCs w:val="22"/>
                <w:lang w:val="fr-FR"/>
              </w:rPr>
              <w:t>re, foresterie, énergie</w:t>
            </w:r>
            <w:r>
              <w:rPr>
                <w:szCs w:val="22"/>
                <w:lang w:val="fr-FR"/>
              </w:rPr>
              <w:t xml:space="preserve">. Les 60% restant sont en phase de planification. </w:t>
            </w:r>
          </w:p>
        </w:tc>
        <w:tc>
          <w:tcPr>
            <w:tcW w:w="1693" w:type="dxa"/>
            <w:gridSpan w:val="5"/>
            <w:tcBorders>
              <w:top w:val="single" w:sz="24" w:space="0" w:color="auto"/>
              <w:left w:val="single" w:sz="8" w:space="0" w:color="auto"/>
            </w:tcBorders>
          </w:tcPr>
          <w:p w:rsidR="00BD1CBB" w:rsidRPr="0017235D" w:rsidRDefault="00797D03" w:rsidP="00797D03">
            <w:pPr>
              <w:rPr>
                <w:szCs w:val="22"/>
                <w:lang w:val="fr-FR"/>
              </w:rPr>
            </w:pPr>
            <w:r>
              <w:rPr>
                <w:szCs w:val="22"/>
                <w:lang w:val="fr-FR"/>
              </w:rPr>
              <w:t>La lenteur du processus de mobilisation (cf. résultat 1) expliqu</w:t>
            </w:r>
            <w:r w:rsidR="00033A4A">
              <w:rPr>
                <w:szCs w:val="22"/>
                <w:lang w:val="fr-FR"/>
              </w:rPr>
              <w:t>e le retard encouru ainsi que le</w:t>
            </w:r>
            <w:r>
              <w:rPr>
                <w:szCs w:val="22"/>
                <w:lang w:val="fr-FR"/>
              </w:rPr>
              <w:t xml:space="preserve"> lent démarrage de certains partenaires à mettre en place les arrangements de terrain avec les communautés locales. </w:t>
            </w:r>
          </w:p>
        </w:tc>
        <w:tc>
          <w:tcPr>
            <w:tcW w:w="1660" w:type="dxa"/>
            <w:gridSpan w:val="2"/>
            <w:tcBorders>
              <w:top w:val="single" w:sz="24" w:space="0" w:color="auto"/>
              <w:left w:val="single" w:sz="8" w:space="0" w:color="auto"/>
            </w:tcBorders>
          </w:tcPr>
          <w:p w:rsidR="00BD1CBB" w:rsidRPr="0017235D" w:rsidRDefault="00797D03" w:rsidP="007463C8">
            <w:pPr>
              <w:rPr>
                <w:szCs w:val="22"/>
                <w:lang w:val="fr-FR"/>
              </w:rPr>
            </w:pPr>
            <w:r>
              <w:rPr>
                <w:szCs w:val="22"/>
                <w:lang w:val="fr-FR"/>
              </w:rPr>
              <w:t xml:space="preserve">Rapports d’avancements des partenaires </w:t>
            </w:r>
          </w:p>
        </w:tc>
        <w:tc>
          <w:tcPr>
            <w:tcW w:w="1719" w:type="dxa"/>
            <w:tcBorders>
              <w:top w:val="single" w:sz="24" w:space="0" w:color="auto"/>
              <w:left w:val="single" w:sz="8" w:space="0" w:color="auto"/>
            </w:tcBorders>
          </w:tcPr>
          <w:p w:rsidR="00BD1CBB" w:rsidRPr="0017235D" w:rsidRDefault="00BD1CBB" w:rsidP="007463C8">
            <w:pPr>
              <w:rPr>
                <w:szCs w:val="22"/>
                <w:lang w:val="fr-FR"/>
              </w:rPr>
            </w:pPr>
          </w:p>
        </w:tc>
      </w:tr>
    </w:tbl>
    <w:p w:rsidR="004D402F" w:rsidRPr="00F574E3" w:rsidRDefault="004D402F" w:rsidP="00F574E3">
      <w:pPr>
        <w:pStyle w:val="BodyText"/>
        <w:tabs>
          <w:tab w:val="left" w:pos="360"/>
        </w:tabs>
        <w:rPr>
          <w:sz w:val="2"/>
          <w:szCs w:val="22"/>
        </w:rPr>
      </w:pPr>
    </w:p>
    <w:sectPr w:rsidR="004D402F" w:rsidRPr="00F574E3" w:rsidSect="00F574E3">
      <w:footerReference w:type="even" r:id="rId12"/>
      <w:footerReference w:type="default" r:id="rId13"/>
      <w:pgSz w:w="15840" w:h="12240" w:orient="landscape" w:code="1"/>
      <w:pgMar w:top="990" w:right="1354" w:bottom="1350" w:left="81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8C5" w:rsidRDefault="00A068C5" w:rsidP="004D402F">
      <w:r>
        <w:separator/>
      </w:r>
    </w:p>
  </w:endnote>
  <w:endnote w:type="continuationSeparator" w:id="1">
    <w:p w:rsidR="00A068C5" w:rsidRDefault="00A068C5" w:rsidP="004D40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CD" w:rsidRDefault="005306CD">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fldSimple w:instr=" PAGE   \* MERGEFORMAT ">
      <w:r w:rsidR="004A17F1" w:rsidRPr="004A17F1">
        <w:rPr>
          <w:rFonts w:ascii="Arial" w:hAnsi="Arial" w:cs="Arial"/>
          <w:noProof/>
          <w:sz w:val="18"/>
          <w:szCs w:val="18"/>
        </w:rPr>
        <w:t>1</w:t>
      </w:r>
    </w:fldSimple>
    <w:r>
      <w:rPr>
        <w:rFonts w:ascii="Arial" w:hAnsi="Arial" w:cs="Arial"/>
        <w:sz w:val="18"/>
        <w:szCs w:val="18"/>
      </w:rPr>
      <w:t xml:space="preserve"> of </w:t>
    </w:r>
    <w:fldSimple w:instr=" NUMPAGES   \* MERGEFORMAT ">
      <w:r w:rsidR="004A17F1" w:rsidRPr="004A17F1">
        <w:rPr>
          <w:rFonts w:ascii="Arial" w:hAnsi="Arial" w:cs="Arial"/>
          <w:noProof/>
          <w:sz w:val="18"/>
          <w:szCs w:val="18"/>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CD" w:rsidRDefault="005306CD">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fldSimple w:instr=" PAGE   \* MERGEFORMAT ">
      <w:r>
        <w:rPr>
          <w:rFonts w:ascii="Arial" w:hAnsi="Arial" w:cs="Arial"/>
          <w:noProof/>
          <w:sz w:val="18"/>
          <w:szCs w:val="18"/>
        </w:rPr>
        <w:t>5</w:t>
      </w:r>
    </w:fldSimple>
    <w:r>
      <w:rPr>
        <w:rFonts w:ascii="Arial" w:hAnsi="Arial" w:cs="Arial"/>
        <w:sz w:val="18"/>
        <w:szCs w:val="18"/>
      </w:rPr>
      <w:t xml:space="preserve"> of </w:t>
    </w:r>
    <w:fldSimple w:instr=" NUMPAGES   \* MERGEFORMAT ">
      <w:r w:rsidR="008D6FFF" w:rsidRPr="008D6FFF">
        <w:rPr>
          <w:rFonts w:ascii="Arial" w:hAnsi="Arial" w:cs="Arial"/>
          <w:noProof/>
          <w:sz w:val="18"/>
          <w:szCs w:val="18"/>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CD" w:rsidRDefault="00186B01" w:rsidP="004448C8">
    <w:pPr>
      <w:pStyle w:val="Footer"/>
      <w:framePr w:wrap="around" w:vAnchor="text" w:hAnchor="margin" w:xAlign="right" w:y="1"/>
      <w:rPr>
        <w:rStyle w:val="PageNumber"/>
      </w:rPr>
    </w:pPr>
    <w:r>
      <w:rPr>
        <w:rStyle w:val="PageNumber"/>
      </w:rPr>
      <w:fldChar w:fldCharType="begin"/>
    </w:r>
    <w:r w:rsidR="005306CD">
      <w:rPr>
        <w:rStyle w:val="PageNumber"/>
      </w:rPr>
      <w:instrText xml:space="preserve">PAGE  </w:instrText>
    </w:r>
    <w:r>
      <w:rPr>
        <w:rStyle w:val="PageNumber"/>
      </w:rPr>
      <w:fldChar w:fldCharType="end"/>
    </w:r>
  </w:p>
  <w:p w:rsidR="005306CD" w:rsidRDefault="005306CD" w:rsidP="004448C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CD" w:rsidRDefault="00186B01" w:rsidP="004448C8">
    <w:pPr>
      <w:pStyle w:val="Footer"/>
      <w:framePr w:wrap="around" w:vAnchor="text" w:hAnchor="margin" w:xAlign="right" w:y="1"/>
      <w:rPr>
        <w:rStyle w:val="PageNumber"/>
      </w:rPr>
    </w:pPr>
    <w:r>
      <w:rPr>
        <w:rStyle w:val="PageNumber"/>
      </w:rPr>
      <w:fldChar w:fldCharType="begin"/>
    </w:r>
    <w:r w:rsidR="005306CD">
      <w:rPr>
        <w:rStyle w:val="PageNumber"/>
      </w:rPr>
      <w:instrText xml:space="preserve">PAGE  </w:instrText>
    </w:r>
    <w:r>
      <w:rPr>
        <w:rStyle w:val="PageNumber"/>
      </w:rPr>
      <w:fldChar w:fldCharType="separate"/>
    </w:r>
    <w:r w:rsidR="004A17F1">
      <w:rPr>
        <w:rStyle w:val="PageNumber"/>
        <w:noProof/>
      </w:rPr>
      <w:t>10</w:t>
    </w:r>
    <w:r>
      <w:rPr>
        <w:rStyle w:val="PageNumber"/>
      </w:rPr>
      <w:fldChar w:fldCharType="end"/>
    </w:r>
  </w:p>
  <w:p w:rsidR="005306CD" w:rsidRDefault="005306CD" w:rsidP="00144727">
    <w:pPr>
      <w:pStyle w:val="Footer"/>
      <w:jc w:val="right"/>
      <w:rPr>
        <w:i/>
        <w:sz w:val="20"/>
        <w:lang w:val="fr-FR"/>
      </w:rPr>
    </w:pPr>
  </w:p>
  <w:p w:rsidR="005306CD" w:rsidRPr="00144727" w:rsidRDefault="005306CD" w:rsidP="00144727">
    <w:pPr>
      <w:pStyle w:val="Footer"/>
      <w:jc w:val="right"/>
      <w:rPr>
        <w:i/>
        <w:sz w:val="20"/>
        <w:lang w:val="fr-FR"/>
      </w:rPr>
    </w:pPr>
    <w:r>
      <w:rPr>
        <w:i/>
        <w:sz w:val="20"/>
        <w:lang w:val="fr-FR"/>
      </w:rPr>
      <w:t>Bureau des</w:t>
    </w:r>
    <w:r w:rsidRPr="00144727">
      <w:rPr>
        <w:i/>
        <w:sz w:val="20"/>
        <w:lang w:val="fr-FR"/>
      </w:rPr>
      <w:t xml:space="preserve"> Fonds d’A</w:t>
    </w:r>
    <w:r>
      <w:rPr>
        <w:i/>
        <w:sz w:val="20"/>
        <w:lang w:val="fr-FR"/>
      </w:rPr>
      <w:t>ffectation Multi-partemaires (MPTF Office</w:t>
    </w:r>
    <w:r w:rsidRPr="00144727">
      <w:rPr>
        <w:i/>
        <w:sz w:val="20"/>
        <w:lang w:val="fr-FR"/>
      </w:rPr>
      <w:t xml:space="preserve">), PNUD </w:t>
    </w:r>
  </w:p>
  <w:p w:rsidR="005306CD" w:rsidRPr="00144727" w:rsidRDefault="005306CD" w:rsidP="00B33ED5">
    <w:pPr>
      <w:pStyle w:val="Footer"/>
      <w:jc w:val="right"/>
      <w:rPr>
        <w:i/>
        <w:sz w:val="20"/>
        <w:lang w:val="fr-FR"/>
      </w:rPr>
    </w:pPr>
    <w:r>
      <w:rPr>
        <w:i/>
        <w:sz w:val="20"/>
        <w:lang w:val="fr-FR"/>
      </w:rPr>
      <w:t>Jan. 2012</w:t>
    </w:r>
  </w:p>
  <w:p w:rsidR="005306CD" w:rsidRDefault="005306CD" w:rsidP="004448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8C5" w:rsidRDefault="00A068C5" w:rsidP="004D402F">
      <w:r>
        <w:separator/>
      </w:r>
    </w:p>
  </w:footnote>
  <w:footnote w:type="continuationSeparator" w:id="1">
    <w:p w:rsidR="00A068C5" w:rsidRDefault="00A068C5" w:rsidP="004D402F">
      <w:r>
        <w:continuationSeparator/>
      </w:r>
    </w:p>
  </w:footnote>
  <w:footnote w:id="2">
    <w:p w:rsidR="005306CD" w:rsidRPr="003229E1" w:rsidRDefault="005306CD" w:rsidP="004D402F">
      <w:pPr>
        <w:pStyle w:val="FootnoteText"/>
        <w:rPr>
          <w:lang w:val="fr-FR"/>
        </w:rPr>
      </w:pPr>
      <w:r>
        <w:rPr>
          <w:rStyle w:val="FootnoteReference"/>
        </w:rPr>
        <w:footnoteRef/>
      </w:r>
      <w:r w:rsidRPr="003229E1">
        <w:rPr>
          <w:lang w:val="fr-FR"/>
        </w:rPr>
        <w:t xml:space="preserve"> </w:t>
      </w:r>
      <w:r w:rsidRPr="00F81A67">
        <w:rPr>
          <w:lang w:val="fr-FR"/>
        </w:rPr>
        <w:t>Le terme “programme” est utilisé pour les projets, programmes et programmes conjoints</w:t>
      </w:r>
      <w:r w:rsidRPr="0048211D">
        <w:rPr>
          <w:i/>
          <w:lang w:val="fr-FR"/>
        </w:rPr>
        <w:t>.</w:t>
      </w:r>
    </w:p>
  </w:footnote>
  <w:footnote w:id="3">
    <w:p w:rsidR="005306CD" w:rsidRPr="00F36D77" w:rsidRDefault="005306CD" w:rsidP="002C271A">
      <w:pPr>
        <w:pStyle w:val="FootnoteText"/>
        <w:rPr>
          <w:lang w:val="fr-FR"/>
        </w:rPr>
      </w:pPr>
      <w:r>
        <w:rPr>
          <w:rStyle w:val="FootnoteReference"/>
        </w:rPr>
        <w:footnoteRef/>
      </w:r>
      <w:r w:rsidRPr="00F36D77">
        <w:rPr>
          <w:lang w:val="fr-FR"/>
        </w:rPr>
        <w:t xml:space="preserve"> Indique</w:t>
      </w:r>
      <w:r>
        <w:rPr>
          <w:lang w:val="fr-FR"/>
        </w:rPr>
        <w:t xml:space="preserve">r le domaine </w:t>
      </w:r>
      <w:r w:rsidRPr="00F36D77">
        <w:rPr>
          <w:lang w:val="fr-FR"/>
        </w:rPr>
        <w:t>prioritaire pour le Fonds de Consolidation de la Paix</w:t>
      </w:r>
      <w:r>
        <w:rPr>
          <w:lang w:val="fr-FR"/>
        </w:rPr>
        <w:t xml:space="preserve"> (FCP) ; le Secteur pour le </w:t>
      </w:r>
      <w:r w:rsidRPr="0005760E">
        <w:rPr>
          <w:rStyle w:val="hps"/>
          <w:lang w:val="fr-FR"/>
        </w:rPr>
        <w:t>Fonds</w:t>
      </w:r>
      <w:r w:rsidRPr="0005760E">
        <w:rPr>
          <w:lang w:val="fr-FR"/>
        </w:rPr>
        <w:t xml:space="preserve"> </w:t>
      </w:r>
      <w:r w:rsidRPr="0005760E">
        <w:rPr>
          <w:rStyle w:val="hps"/>
          <w:lang w:val="fr-FR"/>
        </w:rPr>
        <w:t>fiduciaire pour l'Iraq</w:t>
      </w:r>
      <w:r w:rsidRPr="0005760E">
        <w:rPr>
          <w:lang w:val="fr-FR"/>
        </w:rPr>
        <w:t xml:space="preserve"> </w:t>
      </w:r>
      <w:r w:rsidRPr="0005760E">
        <w:rPr>
          <w:rStyle w:val="hps"/>
          <w:lang w:val="fr-FR"/>
        </w:rPr>
        <w:t>du GNUD</w:t>
      </w:r>
      <w:r w:rsidRPr="00F36D77">
        <w:rPr>
          <w:lang w:val="fr-FR"/>
        </w:rPr>
        <w:t>.</w:t>
      </w:r>
    </w:p>
  </w:footnote>
  <w:footnote w:id="4">
    <w:p w:rsidR="005306CD" w:rsidRPr="0077492E" w:rsidRDefault="005306CD">
      <w:pPr>
        <w:pStyle w:val="FootnoteText"/>
        <w:rPr>
          <w:lang w:val="fr-FR"/>
        </w:rPr>
      </w:pPr>
      <w:r>
        <w:rPr>
          <w:rStyle w:val="FootnoteReference"/>
        </w:rPr>
        <w:footnoteRef/>
      </w:r>
      <w:r w:rsidRPr="0077492E">
        <w:rPr>
          <w:lang w:val="fr-FR"/>
        </w:rPr>
        <w:t xml:space="preserve"> Le </w:t>
      </w:r>
      <w:r w:rsidRPr="00BC1C70">
        <w:rPr>
          <w:lang w:val="fr-FR"/>
        </w:rPr>
        <w:t>numéro</w:t>
      </w:r>
      <w:r w:rsidRPr="0077492E">
        <w:rPr>
          <w:lang w:val="fr-FR"/>
        </w:rPr>
        <w:t xml:space="preserve"> de </w:t>
      </w:r>
      <w:r w:rsidRPr="00BC1C70">
        <w:rPr>
          <w:lang w:val="fr-FR"/>
        </w:rPr>
        <w:t>référence</w:t>
      </w:r>
      <w:r w:rsidRPr="00AA16B8">
        <w:rPr>
          <w:lang w:val="fr-FR"/>
        </w:rPr>
        <w:t xml:space="preserve"> du pro</w:t>
      </w:r>
      <w:r>
        <w:rPr>
          <w:lang w:val="fr-FR"/>
        </w:rPr>
        <w:t>jet</w:t>
      </w:r>
      <w:r w:rsidRPr="0077492E">
        <w:rPr>
          <w:lang w:val="fr-FR"/>
        </w:rPr>
        <w:t xml:space="preserve"> es</w:t>
      </w:r>
      <w:r>
        <w:rPr>
          <w:lang w:val="fr-FR"/>
        </w:rPr>
        <w:t>t</w:t>
      </w:r>
      <w:r w:rsidRPr="0077492E">
        <w:rPr>
          <w:lang w:val="fr-FR"/>
        </w:rPr>
        <w:t xml:space="preserve"> le </w:t>
      </w:r>
      <w:r w:rsidRPr="00BC1C70">
        <w:rPr>
          <w:lang w:val="fr-FR"/>
        </w:rPr>
        <w:t>même</w:t>
      </w:r>
      <w:r w:rsidRPr="0077492E">
        <w:rPr>
          <w:lang w:val="fr-FR"/>
        </w:rPr>
        <w:t xml:space="preserve"> que celui sur le message de notification, aussi appel</w:t>
      </w:r>
      <w:r w:rsidRPr="00BC1C70">
        <w:rPr>
          <w:lang w:val="fr-FR"/>
        </w:rPr>
        <w:t>é</w:t>
      </w:r>
      <w:r w:rsidRPr="0077492E">
        <w:rPr>
          <w:lang w:val="fr-FR"/>
        </w:rPr>
        <w:t xml:space="preserve"> “Project ID” sur le </w:t>
      </w:r>
      <w:hyperlink r:id="rId1" w:history="1">
        <w:r w:rsidRPr="00A92A49">
          <w:rPr>
            <w:rStyle w:val="Hyperlink"/>
            <w:lang w:val="fr-FR"/>
          </w:rPr>
          <w:t>MPTF Office GATEWAY</w:t>
        </w:r>
      </w:hyperlink>
      <w:r w:rsidRPr="0077492E">
        <w:rPr>
          <w:lang w:val="fr-FR"/>
        </w:rPr>
        <w:t>.</w:t>
      </w:r>
    </w:p>
  </w:footnote>
  <w:footnote w:id="5">
    <w:p w:rsidR="00D74E10" w:rsidRPr="00D74E10" w:rsidRDefault="00D74E10">
      <w:pPr>
        <w:pStyle w:val="FootnoteText"/>
        <w:rPr>
          <w:lang w:val="en-US"/>
        </w:rPr>
      </w:pPr>
      <w:r>
        <w:rPr>
          <w:rStyle w:val="FootnoteReference"/>
        </w:rPr>
        <w:footnoteRef/>
      </w:r>
      <w:r>
        <w:t xml:space="preserve"> </w:t>
      </w:r>
      <w:r>
        <w:rPr>
          <w:lang w:val="en-US"/>
        </w:rPr>
        <w:t>MdT : Ministère du Tourisme</w:t>
      </w:r>
    </w:p>
  </w:footnote>
  <w:footnote w:id="6">
    <w:p w:rsidR="005306CD" w:rsidRPr="00F36D77" w:rsidRDefault="005306CD" w:rsidP="00F81A67">
      <w:pPr>
        <w:pStyle w:val="FootnoteText"/>
        <w:ind w:left="90" w:hanging="90"/>
        <w:rPr>
          <w:lang w:val="fr-FR"/>
        </w:rPr>
      </w:pPr>
      <w:r>
        <w:rPr>
          <w:rStyle w:val="FootnoteReference"/>
        </w:rPr>
        <w:footnoteRef/>
      </w:r>
      <w:r w:rsidRPr="00F36D77">
        <w:rPr>
          <w:lang w:val="fr-FR"/>
        </w:rPr>
        <w:t xml:space="preserve"> La date de dé</w:t>
      </w:r>
      <w:r>
        <w:rPr>
          <w:lang w:val="fr-FR"/>
        </w:rPr>
        <w:t>marrage</w:t>
      </w:r>
      <w:r w:rsidRPr="00F36D77">
        <w:rPr>
          <w:lang w:val="fr-FR"/>
        </w:rPr>
        <w:t xml:space="preserve"> est la date du premier transfert de fonds du </w:t>
      </w:r>
      <w:r>
        <w:rPr>
          <w:lang w:val="fr-FR"/>
        </w:rPr>
        <w:t>MPTF</w:t>
      </w:r>
      <w:r w:rsidRPr="00F36D77">
        <w:rPr>
          <w:lang w:val="fr-FR"/>
        </w:rPr>
        <w:t xml:space="preserve"> </w:t>
      </w:r>
      <w:r>
        <w:rPr>
          <w:lang w:val="fr-FR"/>
        </w:rPr>
        <w:t xml:space="preserve">Office </w:t>
      </w:r>
      <w:r w:rsidRPr="00F36D77">
        <w:rPr>
          <w:lang w:val="fr-FR"/>
        </w:rPr>
        <w:t>en tant qu’Agent Administratif. Cette date est disponible sur le portail du M</w:t>
      </w:r>
      <w:r>
        <w:rPr>
          <w:lang w:val="fr-FR"/>
        </w:rPr>
        <w:t>PTF Office</w:t>
      </w:r>
      <w:r w:rsidRPr="00F36D77">
        <w:rPr>
          <w:lang w:val="fr-FR"/>
        </w:rPr>
        <w:t xml:space="preserve"> (</w:t>
      </w:r>
      <w:hyperlink r:id="rId2" w:history="1">
        <w:r w:rsidRPr="00A92A49">
          <w:rPr>
            <w:rStyle w:val="Hyperlink"/>
            <w:lang w:val="fr-FR"/>
          </w:rPr>
          <w:t>MPTF Office GATEWAY</w:t>
        </w:r>
      </w:hyperlink>
      <w:r w:rsidRPr="00F36D77">
        <w:rPr>
          <w:lang w:val="fr-FR"/>
        </w:rPr>
        <w:t>).</w:t>
      </w:r>
    </w:p>
  </w:footnote>
  <w:footnote w:id="7">
    <w:p w:rsidR="005306CD" w:rsidRPr="00F36D77" w:rsidRDefault="005306CD" w:rsidP="00F81A67">
      <w:pPr>
        <w:pStyle w:val="FootnoteText"/>
        <w:ind w:left="90" w:hanging="90"/>
        <w:rPr>
          <w:lang w:val="fr-FR"/>
        </w:rPr>
      </w:pPr>
      <w:r>
        <w:rPr>
          <w:rStyle w:val="FootnoteReference"/>
        </w:rPr>
        <w:footnoteRef/>
      </w:r>
      <w:r w:rsidRPr="00F36D77">
        <w:rPr>
          <w:lang w:val="fr-FR"/>
        </w:rPr>
        <w:t xml:space="preserve"> </w:t>
      </w:r>
      <w:r w:rsidRPr="008210EE">
        <w:rPr>
          <w:lang w:val="fr-FR"/>
        </w:rPr>
        <w:t xml:space="preserve">Concerne les activités du programme complétées par l’organisation participante responsable. Les agences concernées doivent en informer le </w:t>
      </w:r>
      <w:r>
        <w:rPr>
          <w:lang w:val="fr-FR"/>
        </w:rPr>
        <w:t>MPTF Office</w:t>
      </w:r>
      <w:r w:rsidRPr="008210EE">
        <w:rPr>
          <w:lang w:val="fr-FR"/>
        </w:rPr>
        <w:t>.</w:t>
      </w:r>
      <w:r w:rsidRPr="00F36D77">
        <w:rPr>
          <w:lang w:val="fr-FR"/>
        </w:rPr>
        <w:t xml:space="preserve"> </w:t>
      </w:r>
    </w:p>
  </w:footnote>
  <w:footnote w:id="8">
    <w:p w:rsidR="003A070E" w:rsidRPr="003A070E" w:rsidRDefault="003A070E">
      <w:pPr>
        <w:pStyle w:val="FootnoteText"/>
        <w:rPr>
          <w:lang w:val="fr-FR"/>
        </w:rPr>
      </w:pPr>
      <w:r>
        <w:rPr>
          <w:rStyle w:val="FootnoteReference"/>
        </w:rPr>
        <w:footnoteRef/>
      </w:r>
      <w:r>
        <w:t xml:space="preserve"> </w:t>
      </w:r>
      <w:r w:rsidRPr="003A070E">
        <w:rPr>
          <w:lang w:val="fr-FR"/>
        </w:rPr>
        <w:t>Commission Intérimaire pour la Reconstruction d’</w:t>
      </w:r>
      <w:r w:rsidR="005550AA" w:rsidRPr="003A070E">
        <w:rPr>
          <w:lang w:val="fr-FR"/>
        </w:rPr>
        <w:t>Haïti</w:t>
      </w:r>
    </w:p>
  </w:footnote>
  <w:footnote w:id="9">
    <w:p w:rsidR="003A070E" w:rsidRPr="003A070E" w:rsidRDefault="003A070E">
      <w:pPr>
        <w:pStyle w:val="FootnoteText"/>
        <w:rPr>
          <w:lang w:val="en-US"/>
        </w:rPr>
      </w:pPr>
      <w:r>
        <w:rPr>
          <w:rStyle w:val="FootnoteReference"/>
        </w:rPr>
        <w:footnoteRef/>
      </w:r>
      <w:r>
        <w:t xml:space="preserve"> </w:t>
      </w:r>
      <w:r>
        <w:rPr>
          <w:lang w:val="en-US"/>
        </w:rPr>
        <w:t>Banque Inter-américaine de Développement</w:t>
      </w:r>
    </w:p>
  </w:footnote>
  <w:footnote w:id="10">
    <w:p w:rsidR="005550AA" w:rsidRPr="005550AA" w:rsidRDefault="005550AA">
      <w:pPr>
        <w:pStyle w:val="FootnoteText"/>
        <w:rPr>
          <w:lang w:val="fr-FR"/>
        </w:rPr>
      </w:pPr>
      <w:r>
        <w:rPr>
          <w:rStyle w:val="FootnoteReference"/>
        </w:rPr>
        <w:footnoteRef/>
      </w:r>
      <w:r>
        <w:t xml:space="preserve"> </w:t>
      </w:r>
      <w:r w:rsidRPr="005550AA">
        <w:rPr>
          <w:lang w:val="fr-FR"/>
        </w:rPr>
        <w:t>Bureau des Nations Unies d’Appui aux Projets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71566"/>
    <w:multiLevelType w:val="hybridMultilevel"/>
    <w:tmpl w:val="0408147A"/>
    <w:lvl w:ilvl="0" w:tplc="14786206">
      <w:start w:val="1"/>
      <w:numFmt w:val="bullet"/>
      <w:lvlText w:val=""/>
      <w:lvlJc w:val="left"/>
      <w:pPr>
        <w:tabs>
          <w:tab w:val="num" w:pos="360"/>
        </w:tabs>
        <w:ind w:left="360" w:hanging="360"/>
      </w:pPr>
      <w:rPr>
        <w:rFonts w:ascii="Symbol" w:hAnsi="Symbol" w:hint="default"/>
      </w:rPr>
    </w:lvl>
    <w:lvl w:ilvl="1" w:tplc="BEAA05F4">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15049"/>
    <w:multiLevelType w:val="hybridMultilevel"/>
    <w:tmpl w:val="A68A8638"/>
    <w:lvl w:ilvl="0" w:tplc="7526BDD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E174828"/>
    <w:multiLevelType w:val="hybridMultilevel"/>
    <w:tmpl w:val="BA02720C"/>
    <w:lvl w:ilvl="0" w:tplc="7526BDD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EB5570"/>
    <w:multiLevelType w:val="hybridMultilevel"/>
    <w:tmpl w:val="0248BD1C"/>
    <w:lvl w:ilvl="0" w:tplc="5C160FF8">
      <w:start w:val="1"/>
      <w:numFmt w:val="upperRoman"/>
      <w:lvlText w:val="%1."/>
      <w:lvlJc w:val="left"/>
      <w:pPr>
        <w:tabs>
          <w:tab w:val="num" w:pos="810"/>
        </w:tabs>
        <w:ind w:left="810" w:hanging="720"/>
      </w:pPr>
      <w:rPr>
        <w:rFonts w:hint="default"/>
      </w:rPr>
    </w:lvl>
    <w:lvl w:ilvl="1" w:tplc="176E2318">
      <w:numFmt w:val="none"/>
      <w:lvlText w:val=""/>
      <w:lvlJc w:val="left"/>
      <w:pPr>
        <w:tabs>
          <w:tab w:val="num" w:pos="360"/>
        </w:tabs>
      </w:pPr>
    </w:lvl>
    <w:lvl w:ilvl="2" w:tplc="AE06B436">
      <w:numFmt w:val="none"/>
      <w:lvlText w:val=""/>
      <w:lvlJc w:val="left"/>
      <w:pPr>
        <w:tabs>
          <w:tab w:val="num" w:pos="360"/>
        </w:tabs>
      </w:pPr>
    </w:lvl>
    <w:lvl w:ilvl="3" w:tplc="20082814">
      <w:numFmt w:val="none"/>
      <w:lvlText w:val=""/>
      <w:lvlJc w:val="left"/>
      <w:pPr>
        <w:tabs>
          <w:tab w:val="num" w:pos="360"/>
        </w:tabs>
      </w:pPr>
    </w:lvl>
    <w:lvl w:ilvl="4" w:tplc="EC286F5A">
      <w:numFmt w:val="none"/>
      <w:lvlText w:val=""/>
      <w:lvlJc w:val="left"/>
      <w:pPr>
        <w:tabs>
          <w:tab w:val="num" w:pos="360"/>
        </w:tabs>
      </w:pPr>
    </w:lvl>
    <w:lvl w:ilvl="5" w:tplc="67B4DEEA">
      <w:numFmt w:val="none"/>
      <w:lvlText w:val=""/>
      <w:lvlJc w:val="left"/>
      <w:pPr>
        <w:tabs>
          <w:tab w:val="num" w:pos="360"/>
        </w:tabs>
      </w:pPr>
    </w:lvl>
    <w:lvl w:ilvl="6" w:tplc="322E64CE">
      <w:numFmt w:val="none"/>
      <w:lvlText w:val=""/>
      <w:lvlJc w:val="left"/>
      <w:pPr>
        <w:tabs>
          <w:tab w:val="num" w:pos="360"/>
        </w:tabs>
      </w:pPr>
    </w:lvl>
    <w:lvl w:ilvl="7" w:tplc="BEC4E694">
      <w:numFmt w:val="none"/>
      <w:lvlText w:val=""/>
      <w:lvlJc w:val="left"/>
      <w:pPr>
        <w:tabs>
          <w:tab w:val="num" w:pos="360"/>
        </w:tabs>
      </w:pPr>
    </w:lvl>
    <w:lvl w:ilvl="8" w:tplc="3F588E80">
      <w:numFmt w:val="none"/>
      <w:lvlText w:val=""/>
      <w:lvlJc w:val="left"/>
      <w:pPr>
        <w:tabs>
          <w:tab w:val="num" w:pos="360"/>
        </w:tabs>
      </w:pPr>
    </w:lvl>
  </w:abstractNum>
  <w:abstractNum w:abstractNumId="7">
    <w:nsid w:val="10565E43"/>
    <w:multiLevelType w:val="hybridMultilevel"/>
    <w:tmpl w:val="F83E0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B4468A"/>
    <w:multiLevelType w:val="hybridMultilevel"/>
    <w:tmpl w:val="0408147A"/>
    <w:lvl w:ilvl="0" w:tplc="F2302070">
      <w:start w:val="1"/>
      <w:numFmt w:val="bullet"/>
      <w:lvlText w:val=""/>
      <w:lvlJc w:val="left"/>
      <w:pPr>
        <w:tabs>
          <w:tab w:val="num" w:pos="936"/>
        </w:tabs>
        <w:ind w:left="792" w:hanging="216"/>
      </w:pPr>
      <w:rPr>
        <w:rFonts w:ascii="Wingdings" w:hAnsi="Wingdings" w:hint="default"/>
        <w:sz w:val="20"/>
      </w:rPr>
    </w:lvl>
    <w:lvl w:ilvl="1" w:tplc="BEAA05F4">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25CAF"/>
    <w:multiLevelType w:val="hybridMultilevel"/>
    <w:tmpl w:val="CC6CF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196C77"/>
    <w:multiLevelType w:val="hybridMultilevel"/>
    <w:tmpl w:val="A564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52CB3"/>
    <w:multiLevelType w:val="hybridMultilevel"/>
    <w:tmpl w:val="5EB008DC"/>
    <w:lvl w:ilvl="0" w:tplc="C018F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96AC1"/>
    <w:multiLevelType w:val="hybridMultilevel"/>
    <w:tmpl w:val="5BD8C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34F81"/>
    <w:multiLevelType w:val="hybridMultilevel"/>
    <w:tmpl w:val="BB008EA8"/>
    <w:lvl w:ilvl="0" w:tplc="7526BDD2">
      <w:numFmt w:val="bullet"/>
      <w:lvlText w:val="-"/>
      <w:lvlJc w:val="left"/>
      <w:pPr>
        <w:ind w:left="786" w:hanging="360"/>
      </w:pPr>
      <w:rPr>
        <w:rFonts w:ascii="Cambria" w:eastAsia="Times New Roman" w:hAnsi="Cambr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2E4C57E2"/>
    <w:multiLevelType w:val="hybridMultilevel"/>
    <w:tmpl w:val="852EBE30"/>
    <w:lvl w:ilvl="0" w:tplc="1E7E4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01A34"/>
    <w:multiLevelType w:val="hybridMultilevel"/>
    <w:tmpl w:val="0408147A"/>
    <w:lvl w:ilvl="0" w:tplc="14786206">
      <w:start w:val="1"/>
      <w:numFmt w:val="bullet"/>
      <w:lvlText w:val=""/>
      <w:lvlJc w:val="left"/>
      <w:pPr>
        <w:tabs>
          <w:tab w:val="num" w:pos="360"/>
        </w:tabs>
        <w:ind w:left="360" w:hanging="360"/>
      </w:pPr>
      <w:rPr>
        <w:rFonts w:ascii="Symbol" w:hAnsi="Symbol" w:hint="default"/>
      </w:rPr>
    </w:lvl>
    <w:lvl w:ilvl="1" w:tplc="E10E3170">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736C5"/>
    <w:multiLevelType w:val="hybridMultilevel"/>
    <w:tmpl w:val="E4BC9E88"/>
    <w:lvl w:ilvl="0" w:tplc="7526BDD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D966BA"/>
    <w:multiLevelType w:val="hybridMultilevel"/>
    <w:tmpl w:val="F0D27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B7098"/>
    <w:multiLevelType w:val="multilevel"/>
    <w:tmpl w:val="BA02720C"/>
    <w:lvl w:ilvl="0">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3C304801"/>
    <w:multiLevelType w:val="hybridMultilevel"/>
    <w:tmpl w:val="52FAC996"/>
    <w:lvl w:ilvl="0" w:tplc="D742AB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330546"/>
    <w:multiLevelType w:val="hybridMultilevel"/>
    <w:tmpl w:val="FCEA621A"/>
    <w:lvl w:ilvl="0" w:tplc="48B01A72">
      <w:start w:val="3"/>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EB2407C"/>
    <w:multiLevelType w:val="hybridMultilevel"/>
    <w:tmpl w:val="2BCECD12"/>
    <w:lvl w:ilvl="0" w:tplc="F2302070">
      <w:start w:val="1"/>
      <w:numFmt w:val="bullet"/>
      <w:lvlText w:val=""/>
      <w:lvlJc w:val="left"/>
      <w:pPr>
        <w:tabs>
          <w:tab w:val="num" w:pos="936"/>
        </w:tabs>
        <w:ind w:left="792" w:hanging="21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007527"/>
    <w:multiLevelType w:val="hybridMultilevel"/>
    <w:tmpl w:val="0672A354"/>
    <w:lvl w:ilvl="0" w:tplc="0AC8E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056DB9"/>
    <w:multiLevelType w:val="hybridMultilevel"/>
    <w:tmpl w:val="1F3E0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746972"/>
    <w:multiLevelType w:val="hybridMultilevel"/>
    <w:tmpl w:val="0B46C14E"/>
    <w:lvl w:ilvl="0" w:tplc="7526BDD2">
      <w:numFmt w:val="bullet"/>
      <w:lvlText w:val="-"/>
      <w:lvlJc w:val="left"/>
      <w:pPr>
        <w:ind w:left="786" w:hanging="360"/>
      </w:pPr>
      <w:rPr>
        <w:rFonts w:ascii="Cambria" w:eastAsia="Times New Roman" w:hAnsi="Cambr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563A43E4"/>
    <w:multiLevelType w:val="hybridMultilevel"/>
    <w:tmpl w:val="E79A8FD0"/>
    <w:lvl w:ilvl="0" w:tplc="AD66CB7C">
      <w:start w:val="1"/>
      <w:numFmt w:val="bullet"/>
      <w:lvlText w:val=""/>
      <w:lvlJc w:val="left"/>
      <w:pPr>
        <w:ind w:left="720" w:hanging="360"/>
      </w:pPr>
      <w:rPr>
        <w:rFonts w:ascii="Symbol" w:hAnsi="Symbol" w:hint="default"/>
        <w:color w:val="auto"/>
        <w:lang w:val="fr-FR"/>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93935E6"/>
    <w:multiLevelType w:val="hybridMultilevel"/>
    <w:tmpl w:val="F3A6F2EE"/>
    <w:lvl w:ilvl="0" w:tplc="5C160FF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5CAA424B"/>
    <w:multiLevelType w:val="hybridMultilevel"/>
    <w:tmpl w:val="36A6EAC2"/>
    <w:lvl w:ilvl="0" w:tplc="32D45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D0D8D"/>
    <w:multiLevelType w:val="hybridMultilevel"/>
    <w:tmpl w:val="1592E854"/>
    <w:lvl w:ilvl="0" w:tplc="CCE65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2564D"/>
    <w:multiLevelType w:val="hybridMultilevel"/>
    <w:tmpl w:val="0408147A"/>
    <w:lvl w:ilvl="0" w:tplc="1478620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581AAA"/>
    <w:multiLevelType w:val="hybridMultilevel"/>
    <w:tmpl w:val="C9D217FA"/>
    <w:lvl w:ilvl="0" w:tplc="8034BF4E">
      <w:start w:val="3"/>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8D46B50"/>
    <w:multiLevelType w:val="hybridMultilevel"/>
    <w:tmpl w:val="756C5496"/>
    <w:lvl w:ilvl="0" w:tplc="4938DC4E">
      <w:start w:val="1"/>
      <w:numFmt w:val="bullet"/>
      <w:lvlText w:val=""/>
      <w:lvlJc w:val="left"/>
      <w:pPr>
        <w:tabs>
          <w:tab w:val="num" w:pos="360"/>
        </w:tabs>
        <w:ind w:left="360" w:hanging="360"/>
      </w:pPr>
      <w:rPr>
        <w:rFonts w:ascii="Wingdings" w:hAnsi="Wingdings" w:hint="default"/>
        <w:sz w:val="18"/>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6B6712F8"/>
    <w:multiLevelType w:val="hybridMultilevel"/>
    <w:tmpl w:val="0408147A"/>
    <w:lvl w:ilvl="0" w:tplc="F2302070">
      <w:start w:val="1"/>
      <w:numFmt w:val="bullet"/>
      <w:lvlText w:val=""/>
      <w:lvlJc w:val="left"/>
      <w:pPr>
        <w:tabs>
          <w:tab w:val="num" w:pos="936"/>
        </w:tabs>
        <w:ind w:left="792" w:hanging="216"/>
      </w:pPr>
      <w:rPr>
        <w:rFonts w:ascii="Wingdings" w:hAnsi="Wingdings" w:hint="default"/>
        <w:sz w:val="20"/>
      </w:rPr>
    </w:lvl>
    <w:lvl w:ilvl="1" w:tplc="BEAA05F4">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905FA"/>
    <w:multiLevelType w:val="multilevel"/>
    <w:tmpl w:val="DC68465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9D23F82"/>
    <w:multiLevelType w:val="hybridMultilevel"/>
    <w:tmpl w:val="B49EA15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C6984"/>
    <w:multiLevelType w:val="hybridMultilevel"/>
    <w:tmpl w:val="249CF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21"/>
  </w:num>
  <w:num w:numId="4">
    <w:abstractNumId w:val="6"/>
  </w:num>
  <w:num w:numId="5">
    <w:abstractNumId w:val="31"/>
  </w:num>
  <w:num w:numId="6">
    <w:abstractNumId w:val="4"/>
  </w:num>
  <w:num w:numId="7">
    <w:abstractNumId w:val="32"/>
  </w:num>
  <w:num w:numId="8">
    <w:abstractNumId w:val="10"/>
  </w:num>
  <w:num w:numId="9">
    <w:abstractNumId w:val="42"/>
  </w:num>
  <w:num w:numId="10">
    <w:abstractNumId w:val="24"/>
  </w:num>
  <w:num w:numId="11">
    <w:abstractNumId w:val="39"/>
  </w:num>
  <w:num w:numId="12">
    <w:abstractNumId w:val="12"/>
  </w:num>
  <w:num w:numId="13">
    <w:abstractNumId w:val="18"/>
  </w:num>
  <w:num w:numId="14">
    <w:abstractNumId w:val="30"/>
  </w:num>
  <w:num w:numId="15">
    <w:abstractNumId w:val="0"/>
  </w:num>
  <w:num w:numId="16">
    <w:abstractNumId w:val="23"/>
  </w:num>
  <w:num w:numId="17">
    <w:abstractNumId w:val="40"/>
  </w:num>
  <w:num w:numId="18">
    <w:abstractNumId w:val="3"/>
  </w:num>
  <w:num w:numId="19">
    <w:abstractNumId w:val="22"/>
  </w:num>
  <w:num w:numId="20">
    <w:abstractNumId w:val="36"/>
  </w:num>
  <w:num w:numId="21">
    <w:abstractNumId w:val="25"/>
  </w:num>
  <w:num w:numId="22">
    <w:abstractNumId w:val="14"/>
  </w:num>
  <w:num w:numId="23">
    <w:abstractNumId w:val="27"/>
  </w:num>
  <w:num w:numId="24">
    <w:abstractNumId w:val="5"/>
  </w:num>
  <w:num w:numId="25">
    <w:abstractNumId w:val="19"/>
  </w:num>
  <w:num w:numId="26">
    <w:abstractNumId w:val="28"/>
  </w:num>
  <w:num w:numId="27">
    <w:abstractNumId w:val="16"/>
  </w:num>
  <w:num w:numId="28">
    <w:abstractNumId w:val="2"/>
  </w:num>
  <w:num w:numId="29">
    <w:abstractNumId w:val="43"/>
  </w:num>
  <w:num w:numId="30">
    <w:abstractNumId w:val="33"/>
  </w:num>
  <w:num w:numId="31">
    <w:abstractNumId w:val="34"/>
  </w:num>
  <w:num w:numId="32">
    <w:abstractNumId w:val="11"/>
  </w:num>
  <w:num w:numId="33">
    <w:abstractNumId w:val="35"/>
  </w:num>
  <w:num w:numId="34">
    <w:abstractNumId w:val="26"/>
  </w:num>
  <w:num w:numId="35">
    <w:abstractNumId w:val="37"/>
  </w:num>
  <w:num w:numId="36">
    <w:abstractNumId w:val="1"/>
  </w:num>
  <w:num w:numId="37">
    <w:abstractNumId w:val="15"/>
  </w:num>
  <w:num w:numId="38">
    <w:abstractNumId w:val="8"/>
  </w:num>
  <w:num w:numId="39">
    <w:abstractNumId w:val="38"/>
  </w:num>
  <w:num w:numId="40">
    <w:abstractNumId w:val="41"/>
  </w:num>
  <w:num w:numId="41">
    <w:abstractNumId w:val="29"/>
  </w:num>
  <w:num w:numId="42">
    <w:abstractNumId w:val="13"/>
  </w:num>
  <w:num w:numId="43">
    <w:abstractNumId w:val="20"/>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D402F"/>
    <w:rsid w:val="00033A4A"/>
    <w:rsid w:val="000405E1"/>
    <w:rsid w:val="00041094"/>
    <w:rsid w:val="00046EA7"/>
    <w:rsid w:val="00050C51"/>
    <w:rsid w:val="00050CAE"/>
    <w:rsid w:val="000553BF"/>
    <w:rsid w:val="0005760E"/>
    <w:rsid w:val="000579B7"/>
    <w:rsid w:val="00067F28"/>
    <w:rsid w:val="00071FB6"/>
    <w:rsid w:val="00076417"/>
    <w:rsid w:val="0008211E"/>
    <w:rsid w:val="0009490C"/>
    <w:rsid w:val="00095C6F"/>
    <w:rsid w:val="00095F91"/>
    <w:rsid w:val="000B0C66"/>
    <w:rsid w:val="000B61DB"/>
    <w:rsid w:val="000C7109"/>
    <w:rsid w:val="000D578F"/>
    <w:rsid w:val="000D74E5"/>
    <w:rsid w:val="000F0FAB"/>
    <w:rsid w:val="001006D3"/>
    <w:rsid w:val="00113893"/>
    <w:rsid w:val="00117BD8"/>
    <w:rsid w:val="00121376"/>
    <w:rsid w:val="0012171D"/>
    <w:rsid w:val="001248CB"/>
    <w:rsid w:val="00131674"/>
    <w:rsid w:val="001402AA"/>
    <w:rsid w:val="001431B0"/>
    <w:rsid w:val="00144727"/>
    <w:rsid w:val="00152318"/>
    <w:rsid w:val="00161B66"/>
    <w:rsid w:val="0017235D"/>
    <w:rsid w:val="00172A1E"/>
    <w:rsid w:val="00186B01"/>
    <w:rsid w:val="00186D92"/>
    <w:rsid w:val="00191202"/>
    <w:rsid w:val="0019556C"/>
    <w:rsid w:val="0019635C"/>
    <w:rsid w:val="001967BC"/>
    <w:rsid w:val="001A2695"/>
    <w:rsid w:val="001A34E7"/>
    <w:rsid w:val="001B3333"/>
    <w:rsid w:val="001B49AE"/>
    <w:rsid w:val="001C5729"/>
    <w:rsid w:val="001D5BD6"/>
    <w:rsid w:val="001D7FFC"/>
    <w:rsid w:val="001E5EF8"/>
    <w:rsid w:val="001E6925"/>
    <w:rsid w:val="001F1403"/>
    <w:rsid w:val="001F6E4E"/>
    <w:rsid w:val="00204544"/>
    <w:rsid w:val="00205949"/>
    <w:rsid w:val="0021118E"/>
    <w:rsid w:val="00214CBA"/>
    <w:rsid w:val="00236B0F"/>
    <w:rsid w:val="00244DEE"/>
    <w:rsid w:val="002458E3"/>
    <w:rsid w:val="002517F5"/>
    <w:rsid w:val="00253755"/>
    <w:rsid w:val="0026321A"/>
    <w:rsid w:val="00264BAB"/>
    <w:rsid w:val="00272C09"/>
    <w:rsid w:val="00274C0E"/>
    <w:rsid w:val="002750F8"/>
    <w:rsid w:val="00277092"/>
    <w:rsid w:val="00283D73"/>
    <w:rsid w:val="002A1814"/>
    <w:rsid w:val="002B6526"/>
    <w:rsid w:val="002C271A"/>
    <w:rsid w:val="002D3C05"/>
    <w:rsid w:val="002D5896"/>
    <w:rsid w:val="002E0786"/>
    <w:rsid w:val="002E514B"/>
    <w:rsid w:val="002E52FA"/>
    <w:rsid w:val="00330A03"/>
    <w:rsid w:val="00342559"/>
    <w:rsid w:val="003641A1"/>
    <w:rsid w:val="003857D4"/>
    <w:rsid w:val="00391F3F"/>
    <w:rsid w:val="003A070E"/>
    <w:rsid w:val="003A08BF"/>
    <w:rsid w:val="003E1467"/>
    <w:rsid w:val="003E261B"/>
    <w:rsid w:val="003F2995"/>
    <w:rsid w:val="0040536C"/>
    <w:rsid w:val="00410AF2"/>
    <w:rsid w:val="00421881"/>
    <w:rsid w:val="00432CFE"/>
    <w:rsid w:val="004448C8"/>
    <w:rsid w:val="00445797"/>
    <w:rsid w:val="004519E5"/>
    <w:rsid w:val="00453B57"/>
    <w:rsid w:val="00462AF0"/>
    <w:rsid w:val="00463EE7"/>
    <w:rsid w:val="00466C7C"/>
    <w:rsid w:val="00496D8A"/>
    <w:rsid w:val="004A17F1"/>
    <w:rsid w:val="004A2D9F"/>
    <w:rsid w:val="004A66C3"/>
    <w:rsid w:val="004A7199"/>
    <w:rsid w:val="004B369E"/>
    <w:rsid w:val="004B6DFE"/>
    <w:rsid w:val="004C57D1"/>
    <w:rsid w:val="004C64BD"/>
    <w:rsid w:val="004D2C04"/>
    <w:rsid w:val="004D38F6"/>
    <w:rsid w:val="004D402F"/>
    <w:rsid w:val="004D6427"/>
    <w:rsid w:val="004E0435"/>
    <w:rsid w:val="004F1213"/>
    <w:rsid w:val="004F2205"/>
    <w:rsid w:val="004F2909"/>
    <w:rsid w:val="004F4DE5"/>
    <w:rsid w:val="004F6F52"/>
    <w:rsid w:val="004F77D9"/>
    <w:rsid w:val="0050210C"/>
    <w:rsid w:val="00503C9B"/>
    <w:rsid w:val="005133BF"/>
    <w:rsid w:val="005224E5"/>
    <w:rsid w:val="00526513"/>
    <w:rsid w:val="005306CD"/>
    <w:rsid w:val="005410E4"/>
    <w:rsid w:val="0054113D"/>
    <w:rsid w:val="00542E90"/>
    <w:rsid w:val="005446AB"/>
    <w:rsid w:val="005550AA"/>
    <w:rsid w:val="005551A4"/>
    <w:rsid w:val="00556FAB"/>
    <w:rsid w:val="00572B46"/>
    <w:rsid w:val="00573C96"/>
    <w:rsid w:val="00573E71"/>
    <w:rsid w:val="00574D1A"/>
    <w:rsid w:val="0058515C"/>
    <w:rsid w:val="00593E18"/>
    <w:rsid w:val="005B0FC4"/>
    <w:rsid w:val="005B4185"/>
    <w:rsid w:val="005C521A"/>
    <w:rsid w:val="005E0A75"/>
    <w:rsid w:val="005F1B2A"/>
    <w:rsid w:val="005F6318"/>
    <w:rsid w:val="00600635"/>
    <w:rsid w:val="00607BC6"/>
    <w:rsid w:val="00610F12"/>
    <w:rsid w:val="00613117"/>
    <w:rsid w:val="00616726"/>
    <w:rsid w:val="00616FA5"/>
    <w:rsid w:val="0063211A"/>
    <w:rsid w:val="0063309E"/>
    <w:rsid w:val="006355D1"/>
    <w:rsid w:val="00646FF7"/>
    <w:rsid w:val="00655607"/>
    <w:rsid w:val="006775B2"/>
    <w:rsid w:val="00687263"/>
    <w:rsid w:val="0069198C"/>
    <w:rsid w:val="006934B1"/>
    <w:rsid w:val="00694FDB"/>
    <w:rsid w:val="00696300"/>
    <w:rsid w:val="006A1C55"/>
    <w:rsid w:val="006B5ECA"/>
    <w:rsid w:val="006D370D"/>
    <w:rsid w:val="006D7366"/>
    <w:rsid w:val="006E394F"/>
    <w:rsid w:val="006F6296"/>
    <w:rsid w:val="00703137"/>
    <w:rsid w:val="0071199D"/>
    <w:rsid w:val="007201CA"/>
    <w:rsid w:val="007374A7"/>
    <w:rsid w:val="00743D99"/>
    <w:rsid w:val="007463C8"/>
    <w:rsid w:val="00747CEA"/>
    <w:rsid w:val="0075443C"/>
    <w:rsid w:val="007718D1"/>
    <w:rsid w:val="0077492E"/>
    <w:rsid w:val="00777A8C"/>
    <w:rsid w:val="007828BA"/>
    <w:rsid w:val="00782F2F"/>
    <w:rsid w:val="00783164"/>
    <w:rsid w:val="00797D03"/>
    <w:rsid w:val="007A49B3"/>
    <w:rsid w:val="007C5809"/>
    <w:rsid w:val="007C603D"/>
    <w:rsid w:val="007E6027"/>
    <w:rsid w:val="007F38AF"/>
    <w:rsid w:val="00804E34"/>
    <w:rsid w:val="008059AF"/>
    <w:rsid w:val="00815A04"/>
    <w:rsid w:val="008210EE"/>
    <w:rsid w:val="00826688"/>
    <w:rsid w:val="00835021"/>
    <w:rsid w:val="00845CA9"/>
    <w:rsid w:val="00860807"/>
    <w:rsid w:val="00864BFF"/>
    <w:rsid w:val="00866FF5"/>
    <w:rsid w:val="00875925"/>
    <w:rsid w:val="00876246"/>
    <w:rsid w:val="00877A8E"/>
    <w:rsid w:val="00882180"/>
    <w:rsid w:val="008B02AE"/>
    <w:rsid w:val="008C2774"/>
    <w:rsid w:val="008C2CF5"/>
    <w:rsid w:val="008C70F4"/>
    <w:rsid w:val="008D5C74"/>
    <w:rsid w:val="008D6FFF"/>
    <w:rsid w:val="008E286A"/>
    <w:rsid w:val="008E6ACD"/>
    <w:rsid w:val="008F73A6"/>
    <w:rsid w:val="00901BF2"/>
    <w:rsid w:val="00911E7E"/>
    <w:rsid w:val="00917536"/>
    <w:rsid w:val="009270D1"/>
    <w:rsid w:val="009326BA"/>
    <w:rsid w:val="00933802"/>
    <w:rsid w:val="00935534"/>
    <w:rsid w:val="00945575"/>
    <w:rsid w:val="00952E1E"/>
    <w:rsid w:val="00953143"/>
    <w:rsid w:val="009712FC"/>
    <w:rsid w:val="009912CD"/>
    <w:rsid w:val="00994824"/>
    <w:rsid w:val="009A3F33"/>
    <w:rsid w:val="009B1746"/>
    <w:rsid w:val="009D076A"/>
    <w:rsid w:val="009E33F4"/>
    <w:rsid w:val="009E610D"/>
    <w:rsid w:val="009E6155"/>
    <w:rsid w:val="009F133A"/>
    <w:rsid w:val="009F2419"/>
    <w:rsid w:val="009F4F05"/>
    <w:rsid w:val="00A068C5"/>
    <w:rsid w:val="00A101D7"/>
    <w:rsid w:val="00A140B3"/>
    <w:rsid w:val="00A66AFE"/>
    <w:rsid w:val="00A710C7"/>
    <w:rsid w:val="00A82835"/>
    <w:rsid w:val="00A82D63"/>
    <w:rsid w:val="00A87E66"/>
    <w:rsid w:val="00A92A49"/>
    <w:rsid w:val="00A949E1"/>
    <w:rsid w:val="00AA16B8"/>
    <w:rsid w:val="00AA4B49"/>
    <w:rsid w:val="00AB0423"/>
    <w:rsid w:val="00AB330C"/>
    <w:rsid w:val="00AC4E6C"/>
    <w:rsid w:val="00AC6803"/>
    <w:rsid w:val="00AD1B3B"/>
    <w:rsid w:val="00AD26AF"/>
    <w:rsid w:val="00AD3CB1"/>
    <w:rsid w:val="00AD5DB3"/>
    <w:rsid w:val="00B00F77"/>
    <w:rsid w:val="00B0217B"/>
    <w:rsid w:val="00B1663E"/>
    <w:rsid w:val="00B224A6"/>
    <w:rsid w:val="00B33ED5"/>
    <w:rsid w:val="00B376A1"/>
    <w:rsid w:val="00B40899"/>
    <w:rsid w:val="00B410E0"/>
    <w:rsid w:val="00B451F5"/>
    <w:rsid w:val="00B4526B"/>
    <w:rsid w:val="00B4618D"/>
    <w:rsid w:val="00B72983"/>
    <w:rsid w:val="00B90E92"/>
    <w:rsid w:val="00B9234F"/>
    <w:rsid w:val="00BA297E"/>
    <w:rsid w:val="00BC1C70"/>
    <w:rsid w:val="00BD1CBB"/>
    <w:rsid w:val="00BE1612"/>
    <w:rsid w:val="00BE335A"/>
    <w:rsid w:val="00BF1F94"/>
    <w:rsid w:val="00C06B1C"/>
    <w:rsid w:val="00C1056E"/>
    <w:rsid w:val="00C214E6"/>
    <w:rsid w:val="00C2367E"/>
    <w:rsid w:val="00C368B5"/>
    <w:rsid w:val="00C61AA0"/>
    <w:rsid w:val="00C776DA"/>
    <w:rsid w:val="00C807E6"/>
    <w:rsid w:val="00C816ED"/>
    <w:rsid w:val="00C9452B"/>
    <w:rsid w:val="00C97C32"/>
    <w:rsid w:val="00CA0E91"/>
    <w:rsid w:val="00CA6E49"/>
    <w:rsid w:val="00CD660B"/>
    <w:rsid w:val="00CD7A51"/>
    <w:rsid w:val="00CF15A8"/>
    <w:rsid w:val="00CF224C"/>
    <w:rsid w:val="00D17441"/>
    <w:rsid w:val="00D220A3"/>
    <w:rsid w:val="00D32083"/>
    <w:rsid w:val="00D33ABA"/>
    <w:rsid w:val="00D35886"/>
    <w:rsid w:val="00D37FF3"/>
    <w:rsid w:val="00D4413C"/>
    <w:rsid w:val="00D53C27"/>
    <w:rsid w:val="00D57EC1"/>
    <w:rsid w:val="00D654A5"/>
    <w:rsid w:val="00D70B05"/>
    <w:rsid w:val="00D71298"/>
    <w:rsid w:val="00D72367"/>
    <w:rsid w:val="00D735B0"/>
    <w:rsid w:val="00D74E10"/>
    <w:rsid w:val="00D85287"/>
    <w:rsid w:val="00D87B3A"/>
    <w:rsid w:val="00D90AC2"/>
    <w:rsid w:val="00DA7084"/>
    <w:rsid w:val="00DB0624"/>
    <w:rsid w:val="00DC0DB7"/>
    <w:rsid w:val="00DD69E5"/>
    <w:rsid w:val="00DE116D"/>
    <w:rsid w:val="00DE7510"/>
    <w:rsid w:val="00E0058E"/>
    <w:rsid w:val="00E013BF"/>
    <w:rsid w:val="00E056C7"/>
    <w:rsid w:val="00E07C41"/>
    <w:rsid w:val="00E10B50"/>
    <w:rsid w:val="00E1456B"/>
    <w:rsid w:val="00E25E69"/>
    <w:rsid w:val="00E50094"/>
    <w:rsid w:val="00E5574B"/>
    <w:rsid w:val="00E66257"/>
    <w:rsid w:val="00E66A99"/>
    <w:rsid w:val="00E67D62"/>
    <w:rsid w:val="00E73904"/>
    <w:rsid w:val="00E74021"/>
    <w:rsid w:val="00E7433B"/>
    <w:rsid w:val="00E7479B"/>
    <w:rsid w:val="00E76BDB"/>
    <w:rsid w:val="00E83F49"/>
    <w:rsid w:val="00E84DB0"/>
    <w:rsid w:val="00E927C2"/>
    <w:rsid w:val="00E9585C"/>
    <w:rsid w:val="00EC46E3"/>
    <w:rsid w:val="00EC4A0B"/>
    <w:rsid w:val="00EC4C4E"/>
    <w:rsid w:val="00EE3FCA"/>
    <w:rsid w:val="00EE4A89"/>
    <w:rsid w:val="00EF236E"/>
    <w:rsid w:val="00EF2F32"/>
    <w:rsid w:val="00EF467F"/>
    <w:rsid w:val="00EF7060"/>
    <w:rsid w:val="00F038C9"/>
    <w:rsid w:val="00F07D06"/>
    <w:rsid w:val="00F14CE9"/>
    <w:rsid w:val="00F22B7F"/>
    <w:rsid w:val="00F238DF"/>
    <w:rsid w:val="00F25221"/>
    <w:rsid w:val="00F310BD"/>
    <w:rsid w:val="00F31638"/>
    <w:rsid w:val="00F36D77"/>
    <w:rsid w:val="00F433C2"/>
    <w:rsid w:val="00F4555C"/>
    <w:rsid w:val="00F574E3"/>
    <w:rsid w:val="00F66B07"/>
    <w:rsid w:val="00F73101"/>
    <w:rsid w:val="00F74FFE"/>
    <w:rsid w:val="00F81A42"/>
    <w:rsid w:val="00F81A67"/>
    <w:rsid w:val="00FA0F2C"/>
    <w:rsid w:val="00FB2EB9"/>
    <w:rsid w:val="00FB3B9C"/>
    <w:rsid w:val="00FB3E1E"/>
    <w:rsid w:val="00FC1DB7"/>
    <w:rsid w:val="00FC6A70"/>
    <w:rsid w:val="00FD453C"/>
    <w:rsid w:val="00FE2457"/>
    <w:rsid w:val="00FE609A"/>
    <w:rsid w:val="00FF3464"/>
    <w:rsid w:val="00FF58D6"/>
    <w:rsid w:val="00FF76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style w:type="paragraph" w:default="1" w:styleId="Normal">
    <w:name w:val="Normal"/>
    <w:qFormat/>
    <w:rsid w:val="004D402F"/>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4D402F"/>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qFormat/>
    <w:rsid w:val="004D402F"/>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4D402F"/>
    <w:pPr>
      <w:keepNext/>
      <w:spacing w:before="240" w:after="60"/>
      <w:outlineLvl w:val="2"/>
    </w:pPr>
    <w:rPr>
      <w:rFonts w:ascii="Cambria"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D38F6"/>
    <w:rPr>
      <w:rFonts w:ascii="Tahoma" w:hAnsi="Tahoma"/>
      <w:sz w:val="16"/>
      <w:szCs w:val="16"/>
      <w:lang/>
    </w:rPr>
  </w:style>
  <w:style w:type="character" w:customStyle="1" w:styleId="BalloonTextChar">
    <w:name w:val="Balloon Text Char"/>
    <w:basedOn w:val="DefaultParagraphFont"/>
    <w:link w:val="BalloonText"/>
    <w:uiPriority w:val="99"/>
    <w:semiHidden/>
    <w:rsid w:val="003629FC"/>
    <w:rPr>
      <w:rFonts w:ascii="Lucida Grande" w:hAnsi="Lucida Grande"/>
      <w:sz w:val="18"/>
      <w:szCs w:val="18"/>
    </w:rPr>
  </w:style>
  <w:style w:type="character" w:customStyle="1" w:styleId="BalloonTextChar0">
    <w:name w:val="Balloon Text Char"/>
    <w:basedOn w:val="DefaultParagraphFont"/>
    <w:link w:val="BalloonText"/>
    <w:uiPriority w:val="99"/>
    <w:semiHidden/>
    <w:rsid w:val="003629FC"/>
    <w:rPr>
      <w:rFonts w:ascii="Lucida Grande" w:hAnsi="Lucida Grande"/>
      <w:sz w:val="18"/>
      <w:szCs w:val="18"/>
    </w:rPr>
  </w:style>
  <w:style w:type="character" w:customStyle="1" w:styleId="Heading1Char">
    <w:name w:val="Heading 1 Char"/>
    <w:link w:val="Heading1"/>
    <w:rsid w:val="004D402F"/>
    <w:rPr>
      <w:rFonts w:ascii="Cambria" w:eastAsia="Times New Roman" w:hAnsi="Cambria" w:cs="Times New Roman"/>
      <w:b/>
      <w:bCs/>
      <w:kern w:val="32"/>
      <w:sz w:val="32"/>
      <w:szCs w:val="32"/>
    </w:rPr>
  </w:style>
  <w:style w:type="character" w:customStyle="1" w:styleId="Heading2Char">
    <w:name w:val="Heading 2 Char"/>
    <w:link w:val="Heading2"/>
    <w:rsid w:val="004D402F"/>
    <w:rPr>
      <w:rFonts w:ascii="Arial" w:eastAsia="Times New Roman" w:hAnsi="Arial" w:cs="Arial"/>
      <w:b/>
      <w:bCs/>
      <w:i/>
      <w:iCs/>
      <w:sz w:val="28"/>
      <w:szCs w:val="28"/>
    </w:rPr>
  </w:style>
  <w:style w:type="character" w:customStyle="1" w:styleId="Heading3Char">
    <w:name w:val="Heading 3 Char"/>
    <w:link w:val="Heading3"/>
    <w:rsid w:val="004D402F"/>
    <w:rPr>
      <w:rFonts w:ascii="Cambria" w:eastAsia="Times New Roman" w:hAnsi="Cambria" w:cs="Times New Roman"/>
      <w:b/>
      <w:bCs/>
      <w:sz w:val="26"/>
      <w:szCs w:val="26"/>
    </w:rPr>
  </w:style>
  <w:style w:type="paragraph" w:styleId="BodyText">
    <w:name w:val="Body Text"/>
    <w:basedOn w:val="Normal"/>
    <w:link w:val="BodyTextChar"/>
    <w:rsid w:val="004D402F"/>
    <w:pPr>
      <w:widowControl w:val="0"/>
      <w:jc w:val="both"/>
    </w:pPr>
    <w:rPr>
      <w:snapToGrid w:val="0"/>
      <w:szCs w:val="20"/>
      <w:lang w:val="en-GB"/>
    </w:rPr>
  </w:style>
  <w:style w:type="character" w:customStyle="1" w:styleId="BodyTextChar">
    <w:name w:val="Body Text Char"/>
    <w:link w:val="BodyText"/>
    <w:rsid w:val="004D402F"/>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rsid w:val="004D402F"/>
    <w:pPr>
      <w:tabs>
        <w:tab w:val="center" w:pos="4320"/>
        <w:tab w:val="right" w:pos="8640"/>
      </w:tabs>
    </w:pPr>
    <w:rPr>
      <w:lang/>
    </w:rPr>
  </w:style>
  <w:style w:type="character" w:customStyle="1" w:styleId="FooterChar">
    <w:name w:val="Footer Char"/>
    <w:link w:val="Footer"/>
    <w:uiPriority w:val="99"/>
    <w:rsid w:val="004D402F"/>
    <w:rPr>
      <w:rFonts w:ascii="Times New Roman" w:eastAsia="Times New Roman" w:hAnsi="Times New Roman" w:cs="Times New Roman"/>
      <w:sz w:val="24"/>
      <w:szCs w:val="24"/>
    </w:rPr>
  </w:style>
  <w:style w:type="character" w:styleId="PageNumber">
    <w:name w:val="page number"/>
    <w:basedOn w:val="DefaultParagraphFont"/>
    <w:rsid w:val="004D402F"/>
  </w:style>
  <w:style w:type="paragraph" w:styleId="FootnoteText">
    <w:name w:val="footnote text"/>
    <w:basedOn w:val="Normal"/>
    <w:link w:val="FootnoteTextChar"/>
    <w:rsid w:val="004D402F"/>
    <w:rPr>
      <w:sz w:val="20"/>
      <w:szCs w:val="20"/>
      <w:lang/>
    </w:rPr>
  </w:style>
  <w:style w:type="character" w:customStyle="1" w:styleId="FootnoteTextChar">
    <w:name w:val="Footnote Text Char"/>
    <w:link w:val="FootnoteText"/>
    <w:rsid w:val="004D402F"/>
    <w:rPr>
      <w:rFonts w:ascii="Times New Roman" w:eastAsia="Times New Roman" w:hAnsi="Times New Roman" w:cs="Times New Roman"/>
      <w:sz w:val="20"/>
      <w:szCs w:val="20"/>
    </w:rPr>
  </w:style>
  <w:style w:type="character" w:styleId="FootnoteReference">
    <w:name w:val="footnote reference"/>
    <w:rsid w:val="004D402F"/>
    <w:rPr>
      <w:vertAlign w:val="superscript"/>
    </w:rPr>
  </w:style>
  <w:style w:type="paragraph" w:styleId="BodyText2">
    <w:name w:val="Body Text 2"/>
    <w:basedOn w:val="Normal"/>
    <w:link w:val="BodyText2Char"/>
    <w:rsid w:val="004D402F"/>
    <w:pPr>
      <w:spacing w:after="120" w:line="480" w:lineRule="auto"/>
    </w:pPr>
    <w:rPr>
      <w:lang/>
    </w:rPr>
  </w:style>
  <w:style w:type="character" w:customStyle="1" w:styleId="BodyText2Char">
    <w:name w:val="Body Text 2 Char"/>
    <w:link w:val="BodyText2"/>
    <w:rsid w:val="004D402F"/>
    <w:rPr>
      <w:rFonts w:ascii="Times New Roman" w:eastAsia="Times New Roman" w:hAnsi="Times New Roman" w:cs="Times New Roman"/>
      <w:sz w:val="24"/>
      <w:szCs w:val="24"/>
    </w:rPr>
  </w:style>
  <w:style w:type="character" w:customStyle="1" w:styleId="BalloonTextChar1">
    <w:name w:val="Balloon Text Char1"/>
    <w:link w:val="BalloonText"/>
    <w:uiPriority w:val="99"/>
    <w:semiHidden/>
    <w:rsid w:val="004D38F6"/>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7A49B3"/>
    <w:rPr>
      <w:sz w:val="20"/>
      <w:szCs w:val="20"/>
      <w:lang/>
    </w:rPr>
  </w:style>
  <w:style w:type="character" w:customStyle="1" w:styleId="EndnoteTextChar">
    <w:name w:val="Endnote Text Char"/>
    <w:link w:val="EndnoteText"/>
    <w:uiPriority w:val="99"/>
    <w:semiHidden/>
    <w:rsid w:val="007A49B3"/>
    <w:rPr>
      <w:rFonts w:ascii="Times New Roman" w:eastAsia="Times New Roman" w:hAnsi="Times New Roman"/>
    </w:rPr>
  </w:style>
  <w:style w:type="character" w:styleId="EndnoteReference">
    <w:name w:val="endnote reference"/>
    <w:uiPriority w:val="99"/>
    <w:semiHidden/>
    <w:unhideWhenUsed/>
    <w:rsid w:val="007A49B3"/>
    <w:rPr>
      <w:vertAlign w:val="superscript"/>
    </w:rPr>
  </w:style>
  <w:style w:type="paragraph" w:styleId="Header">
    <w:name w:val="header"/>
    <w:basedOn w:val="Normal"/>
    <w:link w:val="HeaderChar"/>
    <w:uiPriority w:val="99"/>
    <w:unhideWhenUsed/>
    <w:rsid w:val="007A49B3"/>
    <w:pPr>
      <w:tabs>
        <w:tab w:val="center" w:pos="4680"/>
        <w:tab w:val="right" w:pos="9360"/>
      </w:tabs>
    </w:pPr>
    <w:rPr>
      <w:lang/>
    </w:rPr>
  </w:style>
  <w:style w:type="character" w:customStyle="1" w:styleId="HeaderChar">
    <w:name w:val="Header Char"/>
    <w:link w:val="Header"/>
    <w:uiPriority w:val="99"/>
    <w:rsid w:val="007A49B3"/>
    <w:rPr>
      <w:rFonts w:ascii="Times New Roman" w:eastAsia="Times New Roman" w:hAnsi="Times New Roman"/>
      <w:sz w:val="24"/>
      <w:szCs w:val="24"/>
    </w:rPr>
  </w:style>
  <w:style w:type="paragraph" w:customStyle="1" w:styleId="H1">
    <w:name w:val="H1"/>
    <w:rsid w:val="00121376"/>
    <w:pPr>
      <w:spacing w:before="60" w:after="60"/>
    </w:pPr>
    <w:rPr>
      <w:rFonts w:ascii="Times New Roman" w:eastAsia="Times New Roman" w:hAnsi="Times New Roman" w:cs="Arial"/>
      <w:b/>
      <w:bCs/>
      <w:snapToGrid w:val="0"/>
      <w:kern w:val="32"/>
      <w:sz w:val="24"/>
      <w:szCs w:val="32"/>
      <w:lang w:val="en-GB" w:eastAsia="en-US"/>
    </w:rPr>
  </w:style>
  <w:style w:type="paragraph" w:styleId="Revision">
    <w:name w:val="Revision"/>
    <w:hidden/>
    <w:uiPriority w:val="99"/>
    <w:semiHidden/>
    <w:rsid w:val="00244DEE"/>
    <w:rPr>
      <w:rFonts w:ascii="Times New Roman" w:eastAsia="Times New Roman" w:hAnsi="Times New Roman"/>
      <w:sz w:val="24"/>
      <w:szCs w:val="24"/>
      <w:lang w:val="en-US" w:eastAsia="en-US"/>
    </w:rPr>
  </w:style>
  <w:style w:type="character" w:styleId="Hyperlink">
    <w:name w:val="Hyperlink"/>
    <w:uiPriority w:val="99"/>
    <w:rsid w:val="00D53C27"/>
    <w:rPr>
      <w:color w:val="0000FF"/>
      <w:u w:val="single"/>
    </w:rPr>
  </w:style>
  <w:style w:type="paragraph" w:customStyle="1" w:styleId="H2">
    <w:name w:val="H2"/>
    <w:rsid w:val="00D53C27"/>
    <w:rPr>
      <w:rFonts w:ascii="Times New Roman" w:eastAsia="Times New Roman" w:hAnsi="Times New Roman" w:cs="Arial"/>
      <w:b/>
      <w:bCs/>
      <w:iCs/>
      <w:snapToGrid w:val="0"/>
      <w:sz w:val="22"/>
      <w:szCs w:val="28"/>
      <w:lang w:val="en-GB" w:eastAsia="en-US"/>
    </w:rPr>
  </w:style>
  <w:style w:type="character" w:customStyle="1" w:styleId="hps">
    <w:name w:val="hps"/>
    <w:basedOn w:val="DefaultParagraphFont"/>
    <w:rsid w:val="00F36D77"/>
  </w:style>
  <w:style w:type="character" w:customStyle="1" w:styleId="atn">
    <w:name w:val="atn"/>
    <w:basedOn w:val="DefaultParagraphFont"/>
    <w:rsid w:val="00901BF2"/>
  </w:style>
  <w:style w:type="character" w:customStyle="1" w:styleId="shorttext">
    <w:name w:val="short_text"/>
    <w:basedOn w:val="DefaultParagraphFont"/>
    <w:rsid w:val="00747CEA"/>
  </w:style>
  <w:style w:type="character" w:styleId="CommentReference">
    <w:name w:val="annotation reference"/>
    <w:uiPriority w:val="99"/>
    <w:semiHidden/>
    <w:unhideWhenUsed/>
    <w:rsid w:val="00BF1F94"/>
    <w:rPr>
      <w:sz w:val="16"/>
      <w:szCs w:val="16"/>
    </w:rPr>
  </w:style>
  <w:style w:type="paragraph" w:styleId="CommentText">
    <w:name w:val="annotation text"/>
    <w:basedOn w:val="Normal"/>
    <w:link w:val="CommentTextChar"/>
    <w:uiPriority w:val="99"/>
    <w:semiHidden/>
    <w:unhideWhenUsed/>
    <w:rsid w:val="00BF1F94"/>
    <w:rPr>
      <w:sz w:val="20"/>
      <w:szCs w:val="20"/>
      <w:lang/>
    </w:rPr>
  </w:style>
  <w:style w:type="character" w:customStyle="1" w:styleId="CommentTextChar">
    <w:name w:val="Comment Text Char"/>
    <w:link w:val="CommentText"/>
    <w:uiPriority w:val="99"/>
    <w:semiHidden/>
    <w:rsid w:val="00BF1F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1F94"/>
    <w:rPr>
      <w:b/>
      <w:bCs/>
    </w:rPr>
  </w:style>
  <w:style w:type="character" w:customStyle="1" w:styleId="CommentSubjectChar">
    <w:name w:val="Comment Subject Char"/>
    <w:link w:val="CommentSubject"/>
    <w:uiPriority w:val="99"/>
    <w:semiHidden/>
    <w:rsid w:val="00BF1F94"/>
    <w:rPr>
      <w:rFonts w:ascii="Times New Roman" w:eastAsia="Times New Roman" w:hAnsi="Times New Roman"/>
      <w:b/>
      <w:bCs/>
    </w:rPr>
  </w:style>
  <w:style w:type="paragraph" w:styleId="ListParagraph">
    <w:name w:val="List Paragraph"/>
    <w:basedOn w:val="Normal"/>
    <w:uiPriority w:val="34"/>
    <w:qFormat/>
    <w:rsid w:val="00EC46E3"/>
    <w:pPr>
      <w:ind w:left="720"/>
      <w:contextualSpacing/>
    </w:pPr>
  </w:style>
  <w:style w:type="character" w:styleId="FollowedHyperlink">
    <w:name w:val="FollowedHyperlink"/>
    <w:basedOn w:val="DefaultParagraphFont"/>
    <w:rsid w:val="001F1403"/>
    <w:rPr>
      <w:color w:val="800080"/>
      <w:u w:val="single"/>
    </w:rPr>
  </w:style>
</w:styles>
</file>

<file path=word/webSettings.xml><?xml version="1.0" encoding="utf-8"?>
<w:webSettings xmlns:r="http://schemas.openxmlformats.org/officeDocument/2006/relationships" xmlns:w="http://schemas.openxmlformats.org/wordprocessingml/2006/main">
  <w:divs>
    <w:div w:id="3959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dtf.undp.org/factsheet/project/0007773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6D31-07EB-4717-BEFB-56C888AE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4614</Words>
  <Characters>25381</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29936</CharactersWithSpaces>
  <SharedDoc>false</SharedDoc>
  <HLinks>
    <vt:vector size="18" baseType="variant">
      <vt:variant>
        <vt:i4>6750266</vt:i4>
      </vt:variant>
      <vt:variant>
        <vt:i4>0</vt:i4>
      </vt:variant>
      <vt:variant>
        <vt:i4>0</vt:i4>
      </vt:variant>
      <vt:variant>
        <vt:i4>5</vt:i4>
      </vt:variant>
      <vt:variant>
        <vt:lpwstr>http://mdtf.undp.org/factsheet/project/00077735</vt:lpwstr>
      </vt:variant>
      <vt:variant>
        <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 Zemri</dc:creator>
  <cp:lastModifiedBy>Jean philippe</cp:lastModifiedBy>
  <cp:revision>2</cp:revision>
  <cp:lastPrinted>2012-04-09T21:21:00Z</cp:lastPrinted>
  <dcterms:created xsi:type="dcterms:W3CDTF">2012-04-10T20:46:00Z</dcterms:created>
  <dcterms:modified xsi:type="dcterms:W3CDTF">2012-04-10T20:46:00Z</dcterms:modified>
</cp:coreProperties>
</file>