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45" w:rsidRPr="0065431D" w:rsidRDefault="00125969" w:rsidP="0030313A">
      <w:pPr>
        <w:jc w:val="center"/>
        <w:rPr>
          <w:b/>
          <w:sz w:val="28"/>
          <w:szCs w:val="28"/>
          <w:u w:val="single"/>
        </w:rPr>
      </w:pPr>
      <w:r>
        <w:rPr>
          <w:noProof/>
          <w:spacing w:val="-3"/>
          <w:sz w:val="20"/>
        </w:rPr>
        <w:drawing>
          <wp:inline distT="0" distB="0" distL="0" distR="0">
            <wp:extent cx="1028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0838" t="3618" r="10838" b="16402"/>
                    <a:stretch>
                      <a:fillRect/>
                    </a:stretch>
                  </pic:blipFill>
                  <pic:spPr bwMode="auto">
                    <a:xfrm>
                      <a:off x="0" y="0"/>
                      <a:ext cx="1028700" cy="800100"/>
                    </a:xfrm>
                    <a:prstGeom prst="rect">
                      <a:avLst/>
                    </a:prstGeom>
                    <a:solidFill>
                      <a:srgbClr val="3366FF"/>
                    </a:solidFill>
                    <a:ln>
                      <a:noFill/>
                    </a:ln>
                  </pic:spPr>
                </pic:pic>
              </a:graphicData>
            </a:graphic>
          </wp:inline>
        </w:drawing>
      </w:r>
    </w:p>
    <w:p w:rsidR="00524045" w:rsidRPr="0065431D" w:rsidRDefault="00524045" w:rsidP="0030313A">
      <w:pPr>
        <w:jc w:val="center"/>
        <w:rPr>
          <w:b/>
        </w:rPr>
      </w:pPr>
      <w:r w:rsidRPr="0065431D">
        <w:rPr>
          <w:b/>
        </w:rPr>
        <w:t>SL-MDTF</w:t>
      </w:r>
    </w:p>
    <w:p w:rsidR="00524045" w:rsidRPr="0065431D" w:rsidRDefault="00524045" w:rsidP="0030313A">
      <w:pPr>
        <w:jc w:val="center"/>
        <w:rPr>
          <w:sz w:val="14"/>
          <w:szCs w:val="16"/>
        </w:rPr>
      </w:pPr>
    </w:p>
    <w:p w:rsidR="009036CC" w:rsidRPr="0065431D" w:rsidRDefault="00B543E6" w:rsidP="0030313A">
      <w:pPr>
        <w:jc w:val="center"/>
        <w:rPr>
          <w:b/>
          <w:bCs/>
          <w:caps/>
        </w:rPr>
      </w:pPr>
      <w:r w:rsidRPr="0065431D">
        <w:rPr>
          <w:b/>
          <w:bCs/>
          <w:caps/>
        </w:rPr>
        <w:t>Final</w:t>
      </w:r>
      <w:r w:rsidR="009036CC" w:rsidRPr="0065431D">
        <w:rPr>
          <w:b/>
          <w:bCs/>
          <w:caps/>
        </w:rPr>
        <w:t xml:space="preserve"> programme</w:t>
      </w:r>
      <w:r w:rsidR="009036CC" w:rsidRPr="0065431D">
        <w:rPr>
          <w:rStyle w:val="FootnoteReference"/>
          <w:b/>
          <w:bCs/>
          <w:caps/>
        </w:rPr>
        <w:footnoteReference w:id="1"/>
      </w:r>
      <w:r w:rsidR="009036CC" w:rsidRPr="0065431D">
        <w:rPr>
          <w:b/>
          <w:bCs/>
          <w:caps/>
        </w:rPr>
        <w:t xml:space="preserve"> NARRATIVE report</w:t>
      </w:r>
    </w:p>
    <w:p w:rsidR="00524045" w:rsidRPr="0065431D" w:rsidRDefault="00524045" w:rsidP="0030313A">
      <w:pPr>
        <w:jc w:val="center"/>
        <w:rPr>
          <w:b/>
          <w:bCs/>
          <w:caps/>
        </w:rPr>
      </w:pPr>
    </w:p>
    <w:p w:rsidR="00524045" w:rsidRPr="0065431D" w:rsidRDefault="00524045" w:rsidP="0030313A">
      <w:pPr>
        <w:jc w:val="center"/>
        <w:rPr>
          <w:b/>
          <w:bCs/>
          <w:caps/>
        </w:rPr>
      </w:pPr>
      <w:r w:rsidRPr="0065431D">
        <w:rPr>
          <w:b/>
          <w:bCs/>
          <w:caps/>
        </w:rPr>
        <w:t>REPORTING PERIOD: 1 january</w:t>
      </w:r>
      <w:r w:rsidR="00125969">
        <w:rPr>
          <w:b/>
          <w:bCs/>
          <w:caps/>
        </w:rPr>
        <w:t xml:space="preserve"> 2011</w:t>
      </w:r>
      <w:r w:rsidRPr="0065431D">
        <w:rPr>
          <w:b/>
          <w:bCs/>
          <w:caps/>
        </w:rPr>
        <w:t xml:space="preserve"> – 31 </w:t>
      </w:r>
      <w:r w:rsidR="009036CC" w:rsidRPr="0065431D">
        <w:rPr>
          <w:b/>
          <w:bCs/>
          <w:caps/>
        </w:rPr>
        <w:t>DECEMBER</w:t>
      </w:r>
      <w:r w:rsidRPr="0065431D">
        <w:rPr>
          <w:b/>
          <w:bCs/>
          <w:caps/>
        </w:rPr>
        <w:t xml:space="preserve"> 201</w:t>
      </w:r>
      <w:r w:rsidR="009036CC" w:rsidRPr="0065431D">
        <w:rPr>
          <w:b/>
          <w:bCs/>
          <w:caps/>
        </w:rPr>
        <w:t>2</w:t>
      </w:r>
    </w:p>
    <w:p w:rsidR="00B543E6" w:rsidRPr="0065431D" w:rsidRDefault="00B543E6" w:rsidP="006422F3">
      <w:pPr>
        <w:jc w:val="both"/>
        <w:rPr>
          <w:b/>
          <w:bCs/>
          <w:caps/>
        </w:rPr>
      </w:pPr>
    </w:p>
    <w:tbl>
      <w:tblPr>
        <w:tblW w:w="10386" w:type="dxa"/>
        <w:tblInd w:w="-72" w:type="dxa"/>
        <w:tblLayout w:type="fixed"/>
        <w:tblLook w:val="01E0" w:firstRow="1" w:lastRow="1" w:firstColumn="1" w:lastColumn="1" w:noHBand="0" w:noVBand="0"/>
      </w:tblPr>
      <w:tblGrid>
        <w:gridCol w:w="2970"/>
        <w:gridCol w:w="2172"/>
        <w:gridCol w:w="258"/>
        <w:gridCol w:w="3002"/>
        <w:gridCol w:w="1984"/>
      </w:tblGrid>
      <w:tr w:rsidR="00CD541E" w:rsidRPr="0065431D" w:rsidTr="00D460BE">
        <w:tblPrEx>
          <w:tblCellMar>
            <w:top w:w="0" w:type="dxa"/>
            <w:bottom w:w="0" w:type="dxa"/>
          </w:tblCellMar>
        </w:tblPrEx>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CD541E" w:rsidRPr="0065431D" w:rsidRDefault="00CD541E" w:rsidP="006422F3">
            <w:pPr>
              <w:pStyle w:val="H1"/>
              <w:jc w:val="both"/>
              <w:rPr>
                <w:rFonts w:cs="Times New Roman"/>
                <w:szCs w:val="24"/>
              </w:rPr>
            </w:pPr>
            <w:r w:rsidRPr="0065431D">
              <w:rPr>
                <w:rFonts w:cs="Times New Roman"/>
                <w:szCs w:val="24"/>
              </w:rPr>
              <w:t>Programme Title &amp; Project Number</w:t>
            </w:r>
          </w:p>
        </w:tc>
        <w:tc>
          <w:tcPr>
            <w:tcW w:w="258" w:type="dxa"/>
            <w:vMerge w:val="restart"/>
            <w:tcBorders>
              <w:left w:val="single" w:sz="4" w:space="0" w:color="auto"/>
              <w:right w:val="single" w:sz="4" w:space="0" w:color="auto"/>
            </w:tcBorders>
            <w:vAlign w:val="center"/>
          </w:tcPr>
          <w:p w:rsidR="00CD541E" w:rsidRPr="0065431D" w:rsidRDefault="00CD541E" w:rsidP="006422F3">
            <w:pPr>
              <w:jc w:val="both"/>
            </w:pPr>
          </w:p>
        </w:tc>
        <w:tc>
          <w:tcPr>
            <w:tcW w:w="4986" w:type="dxa"/>
            <w:gridSpan w:val="2"/>
            <w:tcBorders>
              <w:top w:val="single" w:sz="4" w:space="0" w:color="auto"/>
              <w:left w:val="single" w:sz="4" w:space="0" w:color="auto"/>
              <w:right w:val="single" w:sz="4" w:space="0" w:color="auto"/>
            </w:tcBorders>
            <w:shd w:val="clear" w:color="auto" w:fill="F3F3F3"/>
            <w:vAlign w:val="center"/>
          </w:tcPr>
          <w:p w:rsidR="00CD541E" w:rsidRPr="0065431D" w:rsidRDefault="00CD541E" w:rsidP="006422F3">
            <w:pPr>
              <w:pStyle w:val="H1"/>
              <w:jc w:val="both"/>
              <w:rPr>
                <w:rFonts w:cs="Times New Roman"/>
                <w:szCs w:val="24"/>
              </w:rPr>
            </w:pPr>
            <w:r w:rsidRPr="0065431D">
              <w:rPr>
                <w:rFonts w:cs="Times New Roman"/>
                <w:szCs w:val="24"/>
              </w:rPr>
              <w:t>Country, Locality(s), Thematic Area(s)</w:t>
            </w:r>
            <w:r w:rsidRPr="0065431D">
              <w:rPr>
                <w:rStyle w:val="FootnoteReference"/>
                <w:rFonts w:cs="Times New Roman"/>
                <w:szCs w:val="24"/>
              </w:rPr>
              <w:footnoteReference w:id="2"/>
            </w:r>
          </w:p>
        </w:tc>
      </w:tr>
      <w:tr w:rsidR="00CD541E" w:rsidRPr="0065431D" w:rsidTr="00D460BE">
        <w:tblPrEx>
          <w:tblCellMar>
            <w:top w:w="0" w:type="dxa"/>
            <w:bottom w:w="0" w:type="dxa"/>
          </w:tblCellMar>
        </w:tblPrEx>
        <w:trPr>
          <w:trHeight w:val="300"/>
        </w:trPr>
        <w:tc>
          <w:tcPr>
            <w:tcW w:w="5142" w:type="dxa"/>
            <w:gridSpan w:val="2"/>
            <w:vMerge w:val="restart"/>
            <w:tcBorders>
              <w:left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607"/>
            </w:tblGrid>
            <w:tr w:rsidR="00CD541E" w:rsidRPr="0065431D" w:rsidTr="0007299D">
              <w:trPr>
                <w:trHeight w:val="96"/>
              </w:trPr>
              <w:tc>
                <w:tcPr>
                  <w:tcW w:w="3607" w:type="dxa"/>
                </w:tcPr>
                <w:p w:rsidR="00CD541E" w:rsidRPr="0065431D" w:rsidRDefault="00CD541E" w:rsidP="006422F3">
                  <w:pPr>
                    <w:pStyle w:val="Default"/>
                    <w:jc w:val="both"/>
                    <w:rPr>
                      <w:rFonts w:ascii="Times New Roman" w:hAnsi="Times New Roman" w:cs="Times New Roman"/>
                      <w:sz w:val="20"/>
                      <w:szCs w:val="20"/>
                    </w:rPr>
                  </w:pPr>
                  <w:r w:rsidRPr="0065431D">
                    <w:rPr>
                      <w:rFonts w:ascii="Times New Roman" w:hAnsi="Times New Roman" w:cs="Times New Roman"/>
                      <w:bCs/>
                      <w:iCs/>
                      <w:snapToGrid w:val="0"/>
                      <w:color w:val="auto"/>
                      <w:sz w:val="20"/>
                      <w:szCs w:val="20"/>
                    </w:rPr>
                    <w:t>Project Title:</w:t>
                  </w:r>
                  <w:r w:rsidRPr="0065431D">
                    <w:rPr>
                      <w:rFonts w:ascii="Times New Roman" w:hAnsi="Times New Roman" w:cs="Times New Roman"/>
                      <w:sz w:val="20"/>
                      <w:szCs w:val="20"/>
                    </w:rPr>
                    <w:t xml:space="preserve">  </w:t>
                  </w:r>
                  <w:r w:rsidRPr="0021310A">
                    <w:rPr>
                      <w:rFonts w:ascii="Times New Roman" w:hAnsi="Times New Roman" w:cs="Times New Roman"/>
                      <w:b/>
                      <w:sz w:val="20"/>
                      <w:szCs w:val="20"/>
                    </w:rPr>
                    <w:t>Basic Education and School Feeding</w:t>
                  </w:r>
                  <w:r w:rsidRPr="0065431D">
                    <w:rPr>
                      <w:rFonts w:ascii="Times New Roman" w:hAnsi="Times New Roman" w:cs="Times New Roman"/>
                      <w:sz w:val="20"/>
                      <w:szCs w:val="20"/>
                    </w:rPr>
                    <w:t xml:space="preserve"> </w:t>
                  </w:r>
                </w:p>
              </w:tc>
            </w:tr>
          </w:tbl>
          <w:p w:rsidR="00CD541E" w:rsidRPr="0065431D" w:rsidRDefault="00CD541E" w:rsidP="006422F3">
            <w:pPr>
              <w:pStyle w:val="BodyText"/>
              <w:jc w:val="both"/>
              <w:rPr>
                <w:rFonts w:ascii="Times New Roman" w:hAnsi="Times New Roman" w:cs="Times New Roman"/>
                <w:bCs/>
                <w:iCs/>
                <w:snapToGrid w:val="0"/>
              </w:rPr>
            </w:pPr>
          </w:p>
          <w:p w:rsidR="00CD541E" w:rsidRPr="0065431D" w:rsidRDefault="00CD541E" w:rsidP="006422F3">
            <w:pPr>
              <w:pStyle w:val="Default"/>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924"/>
            </w:tblGrid>
            <w:tr w:rsidR="00CD541E" w:rsidRPr="0065431D" w:rsidTr="0007299D">
              <w:trPr>
                <w:trHeight w:val="96"/>
              </w:trPr>
              <w:tc>
                <w:tcPr>
                  <w:tcW w:w="3924" w:type="dxa"/>
                </w:tcPr>
                <w:p w:rsidR="00CD541E" w:rsidRPr="0065431D" w:rsidRDefault="00CD541E" w:rsidP="006422F3">
                  <w:pPr>
                    <w:pStyle w:val="Default"/>
                    <w:jc w:val="both"/>
                    <w:rPr>
                      <w:rFonts w:ascii="Times New Roman" w:hAnsi="Times New Roman" w:cs="Times New Roman"/>
                      <w:sz w:val="20"/>
                      <w:szCs w:val="20"/>
                    </w:rPr>
                  </w:pPr>
                  <w:r w:rsidRPr="0065431D">
                    <w:rPr>
                      <w:rFonts w:ascii="Times New Roman" w:hAnsi="Times New Roman" w:cs="Times New Roman"/>
                      <w:sz w:val="20"/>
                      <w:szCs w:val="20"/>
                    </w:rPr>
                    <w:t xml:space="preserve"> </w:t>
                  </w:r>
                  <w:r w:rsidRPr="0065431D">
                    <w:rPr>
                      <w:rFonts w:ascii="Times New Roman" w:hAnsi="Times New Roman" w:cs="Times New Roman"/>
                      <w:b/>
                      <w:bCs/>
                      <w:sz w:val="20"/>
                      <w:szCs w:val="20"/>
                    </w:rPr>
                    <w:t>Joint Vision Programme Number:  8</w:t>
                  </w:r>
                </w:p>
              </w:tc>
            </w:tr>
          </w:tbl>
          <w:p w:rsidR="00CD541E" w:rsidRPr="0065431D" w:rsidRDefault="00CD541E" w:rsidP="006422F3">
            <w:pPr>
              <w:pStyle w:val="Default"/>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003"/>
            </w:tblGrid>
            <w:tr w:rsidR="00CD541E" w:rsidRPr="0065431D" w:rsidTr="0007299D">
              <w:trPr>
                <w:trHeight w:val="96"/>
              </w:trPr>
              <w:tc>
                <w:tcPr>
                  <w:tcW w:w="3003" w:type="dxa"/>
                </w:tcPr>
                <w:p w:rsidR="00CD541E" w:rsidRDefault="00CD541E" w:rsidP="00B73374">
                  <w:pPr>
                    <w:pStyle w:val="Default"/>
                    <w:rPr>
                      <w:rFonts w:ascii="Times New Roman" w:hAnsi="Times New Roman" w:cs="Times New Roman"/>
                      <w:b/>
                      <w:i/>
                      <w:sz w:val="20"/>
                      <w:szCs w:val="20"/>
                    </w:rPr>
                  </w:pPr>
                  <w:r w:rsidRPr="0065431D">
                    <w:rPr>
                      <w:rFonts w:ascii="Times New Roman" w:hAnsi="Times New Roman" w:cs="Times New Roman"/>
                      <w:sz w:val="20"/>
                      <w:szCs w:val="20"/>
                    </w:rPr>
                    <w:t xml:space="preserve"> </w:t>
                  </w:r>
                  <w:r w:rsidRPr="0065431D">
                    <w:rPr>
                      <w:rFonts w:ascii="Times New Roman" w:hAnsi="Times New Roman" w:cs="Times New Roman"/>
                      <w:b/>
                      <w:bCs/>
                      <w:sz w:val="20"/>
                      <w:szCs w:val="20"/>
                    </w:rPr>
                    <w:t xml:space="preserve">MDTF Project ID: </w:t>
                  </w:r>
                  <w:r w:rsidRPr="0021310A">
                    <w:rPr>
                      <w:rFonts w:ascii="Times New Roman" w:hAnsi="Times New Roman" w:cs="Times New Roman"/>
                      <w:b/>
                      <w:i/>
                      <w:sz w:val="20"/>
                      <w:szCs w:val="20"/>
                    </w:rPr>
                    <w:t>00080509</w:t>
                  </w:r>
                  <w:r w:rsidR="00B73374" w:rsidRPr="0021310A">
                    <w:rPr>
                      <w:rFonts w:ascii="Times New Roman" w:hAnsi="Times New Roman" w:cs="Times New Roman"/>
                      <w:b/>
                      <w:i/>
                      <w:sz w:val="20"/>
                      <w:szCs w:val="20"/>
                    </w:rPr>
                    <w:t>/CP 10584</w:t>
                  </w:r>
                  <w:r w:rsidR="0030313A">
                    <w:rPr>
                      <w:rFonts w:ascii="Times New Roman" w:hAnsi="Times New Roman" w:cs="Times New Roman"/>
                      <w:b/>
                      <w:i/>
                      <w:sz w:val="20"/>
                      <w:szCs w:val="20"/>
                    </w:rPr>
                    <w:t xml:space="preserve"> (UNICEF)</w:t>
                  </w:r>
                </w:p>
                <w:p w:rsidR="0030313A" w:rsidRPr="0065431D" w:rsidRDefault="0030313A" w:rsidP="00B73374">
                  <w:pPr>
                    <w:pStyle w:val="Default"/>
                    <w:rPr>
                      <w:rFonts w:ascii="Times New Roman" w:hAnsi="Times New Roman" w:cs="Times New Roman"/>
                      <w:sz w:val="20"/>
                      <w:szCs w:val="20"/>
                    </w:rPr>
                  </w:pPr>
                  <w:r w:rsidRPr="0030313A">
                    <w:rPr>
                      <w:rFonts w:ascii="Times New Roman" w:hAnsi="Times New Roman" w:cs="Times New Roman"/>
                      <w:b/>
                      <w:i/>
                      <w:sz w:val="20"/>
                      <w:szCs w:val="20"/>
                    </w:rPr>
                    <w:t>00080508</w:t>
                  </w:r>
                  <w:r>
                    <w:rPr>
                      <w:rFonts w:ascii="Times New Roman" w:hAnsi="Times New Roman" w:cs="Times New Roman"/>
                      <w:b/>
                      <w:i/>
                      <w:sz w:val="20"/>
                      <w:szCs w:val="20"/>
                    </w:rPr>
                    <w:t xml:space="preserve"> (WFP)</w:t>
                  </w:r>
                </w:p>
              </w:tc>
            </w:tr>
          </w:tbl>
          <w:p w:rsidR="00CD541E" w:rsidRPr="0065431D" w:rsidRDefault="00CD541E" w:rsidP="006422F3">
            <w:pPr>
              <w:pStyle w:val="BodyText"/>
              <w:ind w:left="342"/>
              <w:jc w:val="both"/>
              <w:rPr>
                <w:rFonts w:ascii="Times New Roman" w:hAnsi="Times New Roman" w:cs="Times New Roman"/>
                <w:i/>
              </w:rPr>
            </w:pPr>
          </w:p>
        </w:tc>
        <w:tc>
          <w:tcPr>
            <w:tcW w:w="258" w:type="dxa"/>
            <w:vMerge/>
            <w:tcBorders>
              <w:left w:val="single" w:sz="4" w:space="0" w:color="auto"/>
              <w:right w:val="single" w:sz="4" w:space="0" w:color="auto"/>
            </w:tcBorders>
          </w:tcPr>
          <w:p w:rsidR="00CD541E" w:rsidRPr="0065431D" w:rsidRDefault="00CD541E" w:rsidP="006422F3">
            <w:pPr>
              <w:pStyle w:val="BodyText"/>
              <w:jc w:val="both"/>
              <w:rPr>
                <w:rFonts w:ascii="Times New Roman" w:hAnsi="Times New Roman" w:cs="Times New Roman"/>
              </w:rPr>
            </w:pPr>
          </w:p>
        </w:tc>
        <w:tc>
          <w:tcPr>
            <w:tcW w:w="4986" w:type="dxa"/>
            <w:gridSpan w:val="2"/>
            <w:tcBorders>
              <w:left w:val="single" w:sz="4" w:space="0" w:color="auto"/>
              <w:bottom w:val="single" w:sz="4" w:space="0" w:color="auto"/>
              <w:right w:val="single" w:sz="4" w:space="0" w:color="auto"/>
            </w:tcBorders>
          </w:tcPr>
          <w:p w:rsidR="00CD541E" w:rsidRPr="0065431D" w:rsidRDefault="00CD541E" w:rsidP="006422F3">
            <w:pPr>
              <w:pStyle w:val="BodyText"/>
              <w:jc w:val="both"/>
              <w:rPr>
                <w:rFonts w:ascii="Times New Roman" w:hAnsi="Times New Roman" w:cs="Times New Roman"/>
                <w:bCs/>
                <w:iCs/>
                <w:snapToGrid w:val="0"/>
                <w:color w:val="000000"/>
              </w:rPr>
            </w:pPr>
            <w:r w:rsidRPr="0065431D">
              <w:rPr>
                <w:rFonts w:ascii="Times New Roman" w:hAnsi="Times New Roman" w:cs="Times New Roman"/>
                <w:bCs/>
                <w:i/>
                <w:iCs/>
                <w:snapToGrid w:val="0"/>
                <w:color w:val="000000"/>
              </w:rPr>
              <w:t>Country/Region:</w:t>
            </w:r>
            <w:r w:rsidRPr="0065431D">
              <w:rPr>
                <w:rFonts w:ascii="Times New Roman" w:hAnsi="Times New Roman" w:cs="Times New Roman"/>
                <w:bCs/>
                <w:iCs/>
                <w:snapToGrid w:val="0"/>
                <w:color w:val="000000"/>
              </w:rPr>
              <w:t xml:space="preserve"> Sierra Leone, (nationwide)</w:t>
            </w:r>
          </w:p>
          <w:tbl>
            <w:tblPr>
              <w:tblW w:w="0" w:type="auto"/>
              <w:tblBorders>
                <w:top w:val="nil"/>
                <w:left w:val="nil"/>
                <w:bottom w:val="nil"/>
                <w:right w:val="nil"/>
              </w:tblBorders>
              <w:tblLayout w:type="fixed"/>
              <w:tblLook w:val="0000" w:firstRow="0" w:lastRow="0" w:firstColumn="0" w:lastColumn="0" w:noHBand="0" w:noVBand="0"/>
            </w:tblPr>
            <w:tblGrid>
              <w:gridCol w:w="4383"/>
            </w:tblGrid>
            <w:tr w:rsidR="00CD541E" w:rsidRPr="0065431D" w:rsidTr="0007299D">
              <w:trPr>
                <w:trHeight w:val="96"/>
              </w:trPr>
              <w:tc>
                <w:tcPr>
                  <w:tcW w:w="4383" w:type="dxa"/>
                </w:tcPr>
                <w:p w:rsidR="00CD541E" w:rsidRPr="0065431D" w:rsidRDefault="00CD541E" w:rsidP="006422F3">
                  <w:pPr>
                    <w:pStyle w:val="Default"/>
                    <w:jc w:val="both"/>
                    <w:rPr>
                      <w:rFonts w:ascii="Times New Roman" w:hAnsi="Times New Roman" w:cs="Times New Roman"/>
                      <w:sz w:val="20"/>
                      <w:szCs w:val="20"/>
                    </w:rPr>
                  </w:pPr>
                  <w:r w:rsidRPr="0065431D">
                    <w:rPr>
                      <w:rFonts w:ascii="Times New Roman" w:hAnsi="Times New Roman" w:cs="Times New Roman"/>
                      <w:sz w:val="20"/>
                      <w:szCs w:val="20"/>
                    </w:rPr>
                    <w:t xml:space="preserve">  </w:t>
                  </w:r>
                </w:p>
              </w:tc>
            </w:tr>
          </w:tbl>
          <w:p w:rsidR="00CD541E" w:rsidRPr="0065431D" w:rsidRDefault="00CD541E" w:rsidP="006422F3">
            <w:pPr>
              <w:pStyle w:val="BodyText"/>
              <w:jc w:val="both"/>
              <w:rPr>
                <w:rFonts w:ascii="Times New Roman" w:hAnsi="Times New Roman" w:cs="Times New Roman"/>
                <w:color w:val="000000"/>
              </w:rPr>
            </w:pPr>
          </w:p>
        </w:tc>
      </w:tr>
      <w:tr w:rsidR="00B543E6" w:rsidRPr="0065431D" w:rsidTr="00D460BE">
        <w:tblPrEx>
          <w:tblCellMar>
            <w:top w:w="0" w:type="dxa"/>
            <w:bottom w:w="0" w:type="dxa"/>
          </w:tblCellMar>
        </w:tblPrEx>
        <w:trPr>
          <w:trHeight w:val="426"/>
        </w:trPr>
        <w:tc>
          <w:tcPr>
            <w:tcW w:w="5142" w:type="dxa"/>
            <w:gridSpan w:val="2"/>
            <w:vMerge/>
            <w:tcBorders>
              <w:left w:val="single" w:sz="4" w:space="0" w:color="auto"/>
              <w:bottom w:val="single" w:sz="4" w:space="0" w:color="auto"/>
              <w:right w:val="single" w:sz="4" w:space="0" w:color="auto"/>
            </w:tcBorders>
          </w:tcPr>
          <w:p w:rsidR="00B543E6" w:rsidRPr="0065431D" w:rsidRDefault="00B543E6" w:rsidP="006422F3">
            <w:pPr>
              <w:pStyle w:val="BodyText"/>
              <w:numPr>
                <w:ilvl w:val="0"/>
                <w:numId w:val="5"/>
              </w:numPr>
              <w:spacing w:before="60" w:after="60"/>
              <w:ind w:left="342"/>
              <w:jc w:val="both"/>
              <w:rPr>
                <w:rFonts w:ascii="Times New Roman" w:hAnsi="Times New Roman" w:cs="Times New Roman"/>
                <w:bCs/>
                <w:iCs/>
                <w:snapToGrid w:val="0"/>
              </w:rPr>
            </w:pPr>
          </w:p>
        </w:tc>
        <w:tc>
          <w:tcPr>
            <w:tcW w:w="258" w:type="dxa"/>
            <w:vMerge/>
            <w:tcBorders>
              <w:left w:val="single" w:sz="4" w:space="0" w:color="auto"/>
              <w:right w:val="single" w:sz="4" w:space="0" w:color="auto"/>
            </w:tcBorders>
          </w:tcPr>
          <w:p w:rsidR="00B543E6" w:rsidRPr="0065431D" w:rsidRDefault="00B543E6" w:rsidP="006422F3">
            <w:pPr>
              <w:pStyle w:val="BodyText"/>
              <w:jc w:val="both"/>
              <w:rPr>
                <w:rFonts w:ascii="Times New Roman" w:hAnsi="Times New Roman" w:cs="Times New Roman"/>
              </w:rPr>
            </w:pPr>
          </w:p>
        </w:tc>
        <w:tc>
          <w:tcPr>
            <w:tcW w:w="4986" w:type="dxa"/>
            <w:gridSpan w:val="2"/>
            <w:tcBorders>
              <w:top w:val="single" w:sz="4" w:space="0" w:color="auto"/>
              <w:left w:val="single" w:sz="4" w:space="0" w:color="auto"/>
              <w:bottom w:val="single" w:sz="4" w:space="0" w:color="auto"/>
              <w:right w:val="single" w:sz="4" w:space="0" w:color="auto"/>
            </w:tcBorders>
          </w:tcPr>
          <w:p w:rsidR="00B543E6" w:rsidRPr="0065431D" w:rsidRDefault="00B543E6" w:rsidP="006422F3">
            <w:pPr>
              <w:pStyle w:val="BodyText"/>
              <w:jc w:val="both"/>
              <w:rPr>
                <w:rFonts w:ascii="Times New Roman" w:hAnsi="Times New Roman" w:cs="Times New Roman"/>
                <w:bCs/>
                <w:i/>
                <w:iCs/>
                <w:snapToGrid w:val="0"/>
              </w:rPr>
            </w:pPr>
            <w:r w:rsidRPr="0065431D">
              <w:rPr>
                <w:rFonts w:ascii="Times New Roman" w:hAnsi="Times New Roman" w:cs="Times New Roman"/>
                <w:bCs/>
                <w:i/>
                <w:iCs/>
                <w:snapToGrid w:val="0"/>
              </w:rPr>
              <w:t xml:space="preserve">Priority area/ strategic results </w:t>
            </w:r>
          </w:p>
          <w:p w:rsidR="00CD541E" w:rsidRPr="0065431D" w:rsidRDefault="002B33FE" w:rsidP="002B33FE">
            <w:pPr>
              <w:pStyle w:val="BodyText"/>
              <w:ind w:left="720"/>
              <w:jc w:val="both"/>
              <w:rPr>
                <w:rFonts w:ascii="Times New Roman" w:hAnsi="Times New Roman" w:cs="Times New Roman"/>
                <w:bCs/>
                <w:i/>
                <w:iCs/>
                <w:snapToGrid w:val="0"/>
              </w:rPr>
            </w:pPr>
            <w:r>
              <w:rPr>
                <w:rFonts w:ascii="Times New Roman" w:hAnsi="Times New Roman" w:cs="Times New Roman"/>
                <w:b/>
                <w:bCs/>
                <w:i/>
                <w:iCs/>
                <w:snapToGrid w:val="0"/>
                <w:sz w:val="22"/>
                <w:szCs w:val="22"/>
              </w:rPr>
              <w:t xml:space="preserve">    </w:t>
            </w:r>
            <w:r w:rsidR="006B2DE7" w:rsidRPr="00C92BB7">
              <w:rPr>
                <w:rFonts w:ascii="Times New Roman" w:hAnsi="Times New Roman" w:cs="Times New Roman"/>
                <w:b/>
                <w:bCs/>
                <w:i/>
                <w:iCs/>
                <w:snapToGrid w:val="0"/>
                <w:sz w:val="22"/>
                <w:szCs w:val="22"/>
              </w:rPr>
              <w:t>Increase access to education and human capital development</w:t>
            </w:r>
          </w:p>
          <w:tbl>
            <w:tblPr>
              <w:tblW w:w="0" w:type="auto"/>
              <w:tblBorders>
                <w:top w:val="nil"/>
                <w:left w:val="nil"/>
                <w:bottom w:val="nil"/>
                <w:right w:val="nil"/>
              </w:tblBorders>
              <w:tblLayout w:type="fixed"/>
              <w:tblLook w:val="0000" w:firstRow="0" w:lastRow="0" w:firstColumn="0" w:lastColumn="0" w:noHBand="0" w:noVBand="0"/>
            </w:tblPr>
            <w:tblGrid>
              <w:gridCol w:w="4548"/>
            </w:tblGrid>
            <w:tr w:rsidR="00126BF3" w:rsidRPr="0065431D">
              <w:tblPrEx>
                <w:tblCellMar>
                  <w:top w:w="0" w:type="dxa"/>
                  <w:bottom w:w="0" w:type="dxa"/>
                </w:tblCellMar>
              </w:tblPrEx>
              <w:trPr>
                <w:trHeight w:val="461"/>
              </w:trPr>
              <w:tc>
                <w:tcPr>
                  <w:tcW w:w="4548" w:type="dxa"/>
                </w:tcPr>
                <w:p w:rsidR="00126BF3" w:rsidRPr="002B33FE" w:rsidRDefault="00126BF3" w:rsidP="006422F3">
                  <w:pPr>
                    <w:autoSpaceDE w:val="0"/>
                    <w:autoSpaceDN w:val="0"/>
                    <w:adjustRightInd w:val="0"/>
                    <w:jc w:val="both"/>
                    <w:rPr>
                      <w:b/>
                      <w:color w:val="000000"/>
                      <w:sz w:val="20"/>
                      <w:szCs w:val="20"/>
                    </w:rPr>
                  </w:pPr>
                  <w:r w:rsidRPr="0065431D">
                    <w:rPr>
                      <w:color w:val="000000"/>
                      <w:sz w:val="20"/>
                      <w:szCs w:val="20"/>
                    </w:rPr>
                    <w:t>JV:</w:t>
                  </w:r>
                  <w:r w:rsidR="006B2DE7">
                    <w:rPr>
                      <w:color w:val="000000"/>
                      <w:sz w:val="20"/>
                      <w:szCs w:val="20"/>
                    </w:rPr>
                    <w:t xml:space="preserve"> </w:t>
                  </w:r>
                  <w:r w:rsidRPr="0065431D">
                    <w:rPr>
                      <w:color w:val="000000"/>
                      <w:sz w:val="20"/>
                      <w:szCs w:val="20"/>
                    </w:rPr>
                    <w:t xml:space="preserve"> </w:t>
                  </w:r>
                  <w:r w:rsidRPr="002B33FE">
                    <w:rPr>
                      <w:b/>
                      <w:color w:val="000000"/>
                      <w:sz w:val="20"/>
                      <w:szCs w:val="20"/>
                    </w:rPr>
                    <w:t xml:space="preserve">Basic Education and School Feeding (as per original JV programme) </w:t>
                  </w:r>
                </w:p>
                <w:p w:rsidR="00126BF3" w:rsidRPr="0065431D" w:rsidRDefault="00126BF3" w:rsidP="006422F3">
                  <w:pPr>
                    <w:autoSpaceDE w:val="0"/>
                    <w:autoSpaceDN w:val="0"/>
                    <w:adjustRightInd w:val="0"/>
                    <w:jc w:val="both"/>
                    <w:rPr>
                      <w:color w:val="000000"/>
                      <w:sz w:val="20"/>
                      <w:szCs w:val="20"/>
                    </w:rPr>
                  </w:pPr>
                  <w:r w:rsidRPr="002B33FE">
                    <w:rPr>
                      <w:b/>
                      <w:color w:val="000000"/>
                      <w:sz w:val="20"/>
                      <w:szCs w:val="20"/>
                    </w:rPr>
                    <w:t>AFC: Chapter Seven: Human Development</w:t>
                  </w:r>
                  <w:r w:rsidRPr="0065431D">
                    <w:rPr>
                      <w:color w:val="000000"/>
                      <w:sz w:val="20"/>
                      <w:szCs w:val="20"/>
                    </w:rPr>
                    <w:t xml:space="preserve"> : </w:t>
                  </w:r>
                </w:p>
              </w:tc>
            </w:tr>
          </w:tbl>
          <w:p w:rsidR="00126BF3" w:rsidRPr="0065431D" w:rsidRDefault="00126BF3" w:rsidP="006422F3">
            <w:pPr>
              <w:pStyle w:val="BodyText"/>
              <w:jc w:val="both"/>
              <w:rPr>
                <w:rFonts w:ascii="Times New Roman" w:hAnsi="Times New Roman" w:cs="Times New Roman"/>
                <w:bCs/>
                <w:i/>
                <w:iCs/>
                <w:snapToGrid w:val="0"/>
              </w:rPr>
            </w:pPr>
          </w:p>
        </w:tc>
      </w:tr>
      <w:tr w:rsidR="00CD541E" w:rsidRPr="0065431D" w:rsidTr="00D460BE">
        <w:tblPrEx>
          <w:tblCellMar>
            <w:top w:w="0" w:type="dxa"/>
            <w:bottom w:w="0" w:type="dxa"/>
          </w:tblCellMar>
        </w:tblPrEx>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CD541E" w:rsidRPr="0065431D" w:rsidRDefault="00CD541E" w:rsidP="006422F3">
            <w:pPr>
              <w:pStyle w:val="H1"/>
              <w:jc w:val="both"/>
              <w:rPr>
                <w:rFonts w:cs="Times New Roman"/>
                <w:sz w:val="20"/>
                <w:szCs w:val="20"/>
              </w:rPr>
            </w:pPr>
            <w:r w:rsidRPr="0065431D">
              <w:rPr>
                <w:rFonts w:cs="Times New Roman"/>
                <w:sz w:val="20"/>
                <w:szCs w:val="20"/>
              </w:rPr>
              <w:t>Participating Organization(s)</w:t>
            </w:r>
          </w:p>
        </w:tc>
        <w:tc>
          <w:tcPr>
            <w:tcW w:w="258" w:type="dxa"/>
            <w:vMerge w:val="restart"/>
            <w:tcBorders>
              <w:left w:val="single" w:sz="4" w:space="0" w:color="auto"/>
              <w:right w:val="single" w:sz="4" w:space="0" w:color="auto"/>
            </w:tcBorders>
            <w:vAlign w:val="center"/>
          </w:tcPr>
          <w:p w:rsidR="00CD541E" w:rsidRPr="0065431D" w:rsidRDefault="00CD541E" w:rsidP="006422F3">
            <w:pPr>
              <w:jc w:val="both"/>
              <w:rPr>
                <w:sz w:val="20"/>
                <w:szCs w:val="20"/>
              </w:rP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CD541E" w:rsidRPr="0065431D" w:rsidRDefault="00CD541E" w:rsidP="006422F3">
            <w:pPr>
              <w:pStyle w:val="H1"/>
              <w:jc w:val="both"/>
              <w:rPr>
                <w:rFonts w:cs="Times New Roman"/>
                <w:sz w:val="20"/>
                <w:szCs w:val="20"/>
              </w:rPr>
            </w:pPr>
            <w:r w:rsidRPr="0065431D">
              <w:rPr>
                <w:rFonts w:cs="Times New Roman"/>
                <w:sz w:val="20"/>
                <w:szCs w:val="20"/>
              </w:rPr>
              <w:t>Implementing Partners</w:t>
            </w:r>
          </w:p>
        </w:tc>
      </w:tr>
      <w:tr w:rsidR="00CD541E" w:rsidRPr="0065431D" w:rsidTr="00D460BE">
        <w:tblPrEx>
          <w:tblCellMar>
            <w:top w:w="0" w:type="dxa"/>
            <w:bottom w:w="0" w:type="dxa"/>
          </w:tblCellMar>
        </w:tblPrEx>
        <w:trPr>
          <w:trHeight w:val="495"/>
        </w:trPr>
        <w:tc>
          <w:tcPr>
            <w:tcW w:w="5142" w:type="dxa"/>
            <w:gridSpan w:val="2"/>
            <w:tcBorders>
              <w:left w:val="single" w:sz="4" w:space="0" w:color="auto"/>
              <w:bottom w:val="single" w:sz="4" w:space="0" w:color="auto"/>
              <w:right w:val="single" w:sz="4" w:space="0" w:color="auto"/>
            </w:tcBorders>
          </w:tcPr>
          <w:p w:rsidR="00CD541E" w:rsidRDefault="00CD541E" w:rsidP="006422F3">
            <w:pPr>
              <w:pStyle w:val="BodyText"/>
              <w:numPr>
                <w:ilvl w:val="0"/>
                <w:numId w:val="27"/>
              </w:numPr>
              <w:ind w:left="360"/>
              <w:jc w:val="both"/>
              <w:rPr>
                <w:rFonts w:ascii="Times New Roman" w:hAnsi="Times New Roman" w:cs="Times New Roman"/>
                <w:color w:val="000000"/>
              </w:rPr>
            </w:pPr>
            <w:r w:rsidRPr="0065431D">
              <w:rPr>
                <w:rFonts w:ascii="Times New Roman" w:hAnsi="Times New Roman" w:cs="Times New Roman"/>
                <w:color w:val="000000"/>
              </w:rPr>
              <w:t>Organizations that have received direct funding from the MPTF Office under this programme</w:t>
            </w:r>
          </w:p>
          <w:p w:rsidR="00B73374" w:rsidRPr="0065431D" w:rsidRDefault="00B73374" w:rsidP="00B73374">
            <w:pPr>
              <w:pStyle w:val="BodyText"/>
              <w:ind w:left="360"/>
              <w:jc w:val="both"/>
              <w:rPr>
                <w:rFonts w:ascii="Times New Roman" w:hAnsi="Times New Roman" w:cs="Times New Roman"/>
                <w:color w:val="000000"/>
              </w:rPr>
            </w:pPr>
          </w:p>
          <w:p w:rsidR="00CD541E" w:rsidRPr="0021310A" w:rsidRDefault="00B73374" w:rsidP="006422F3">
            <w:pPr>
              <w:pStyle w:val="Default"/>
              <w:jc w:val="both"/>
              <w:rPr>
                <w:rFonts w:ascii="Times New Roman" w:hAnsi="Times New Roman" w:cs="Times New Roman"/>
                <w:b/>
                <w:sz w:val="20"/>
                <w:szCs w:val="20"/>
              </w:rPr>
            </w:pPr>
            <w:r>
              <w:rPr>
                <w:rFonts w:ascii="Times New Roman" w:hAnsi="Times New Roman" w:cs="Times New Roman"/>
                <w:sz w:val="20"/>
                <w:szCs w:val="20"/>
              </w:rPr>
              <w:t xml:space="preserve">-    </w:t>
            </w:r>
            <w:r w:rsidRPr="0021310A">
              <w:rPr>
                <w:rFonts w:ascii="Times New Roman" w:hAnsi="Times New Roman" w:cs="Times New Roman"/>
                <w:b/>
                <w:sz w:val="20"/>
                <w:szCs w:val="20"/>
              </w:rPr>
              <w:t>WFP</w:t>
            </w:r>
          </w:p>
          <w:tbl>
            <w:tblPr>
              <w:tblW w:w="0" w:type="auto"/>
              <w:tblBorders>
                <w:top w:val="nil"/>
                <w:left w:val="nil"/>
                <w:bottom w:val="nil"/>
                <w:right w:val="nil"/>
              </w:tblBorders>
              <w:tblLayout w:type="fixed"/>
              <w:tblLook w:val="0000" w:firstRow="0" w:lastRow="0" w:firstColumn="0" w:lastColumn="0" w:noHBand="0" w:noVBand="0"/>
            </w:tblPr>
            <w:tblGrid>
              <w:gridCol w:w="4493"/>
            </w:tblGrid>
            <w:tr w:rsidR="00CD541E" w:rsidRPr="0021310A" w:rsidTr="0007299D">
              <w:trPr>
                <w:trHeight w:val="279"/>
              </w:trPr>
              <w:tc>
                <w:tcPr>
                  <w:tcW w:w="4493" w:type="dxa"/>
                </w:tcPr>
                <w:p w:rsidR="00CD541E" w:rsidRPr="0021310A" w:rsidRDefault="00CD541E" w:rsidP="006422F3">
                  <w:pPr>
                    <w:pStyle w:val="Default"/>
                    <w:jc w:val="both"/>
                    <w:rPr>
                      <w:rFonts w:ascii="Times New Roman" w:hAnsi="Times New Roman" w:cs="Times New Roman"/>
                      <w:b/>
                      <w:sz w:val="20"/>
                      <w:szCs w:val="20"/>
                    </w:rPr>
                  </w:pPr>
                  <w:r w:rsidRPr="0021310A">
                    <w:rPr>
                      <w:rFonts w:ascii="Times New Roman" w:hAnsi="Times New Roman" w:cs="Times New Roman"/>
                      <w:b/>
                      <w:sz w:val="20"/>
                      <w:szCs w:val="20"/>
                    </w:rPr>
                    <w:t>-</w:t>
                  </w:r>
                  <w:r w:rsidR="00A930E6" w:rsidRPr="0021310A">
                    <w:rPr>
                      <w:rFonts w:ascii="Times New Roman" w:hAnsi="Times New Roman" w:cs="Times New Roman"/>
                      <w:b/>
                      <w:sz w:val="20"/>
                      <w:szCs w:val="20"/>
                    </w:rPr>
                    <w:t xml:space="preserve"> </w:t>
                  </w:r>
                  <w:r w:rsidRPr="0021310A">
                    <w:rPr>
                      <w:rFonts w:ascii="Times New Roman" w:hAnsi="Times New Roman" w:cs="Times New Roman"/>
                      <w:b/>
                      <w:sz w:val="20"/>
                      <w:szCs w:val="20"/>
                    </w:rPr>
                    <w:t xml:space="preserve">UNICEF </w:t>
                  </w:r>
                </w:p>
              </w:tc>
            </w:tr>
          </w:tbl>
          <w:p w:rsidR="00CD541E" w:rsidRPr="0065431D" w:rsidRDefault="00CD541E" w:rsidP="006422F3">
            <w:pPr>
              <w:pStyle w:val="BodyText"/>
              <w:jc w:val="both"/>
              <w:rPr>
                <w:rFonts w:ascii="Times New Roman" w:hAnsi="Times New Roman" w:cs="Times New Roman"/>
              </w:rPr>
            </w:pPr>
          </w:p>
        </w:tc>
        <w:tc>
          <w:tcPr>
            <w:tcW w:w="258" w:type="dxa"/>
            <w:vMerge/>
            <w:tcBorders>
              <w:left w:val="single" w:sz="4" w:space="0" w:color="auto"/>
              <w:right w:val="single" w:sz="4" w:space="0" w:color="auto"/>
            </w:tcBorders>
          </w:tcPr>
          <w:p w:rsidR="00CD541E" w:rsidRPr="0065431D" w:rsidRDefault="00CD541E" w:rsidP="006422F3">
            <w:pPr>
              <w:pStyle w:val="BodyText"/>
              <w:jc w:val="both"/>
              <w:rPr>
                <w:rFonts w:ascii="Times New Roman" w:hAnsi="Times New Roman" w:cs="Times New Roman"/>
              </w:rPr>
            </w:pPr>
          </w:p>
        </w:tc>
        <w:tc>
          <w:tcPr>
            <w:tcW w:w="4986" w:type="dxa"/>
            <w:gridSpan w:val="2"/>
            <w:tcBorders>
              <w:left w:val="single" w:sz="4" w:space="0" w:color="auto"/>
              <w:bottom w:val="single" w:sz="4" w:space="0" w:color="auto"/>
              <w:right w:val="single" w:sz="4" w:space="0" w:color="auto"/>
            </w:tcBorders>
          </w:tcPr>
          <w:p w:rsidR="00CD541E" w:rsidRPr="0065431D" w:rsidRDefault="00CD541E" w:rsidP="006422F3">
            <w:pPr>
              <w:pStyle w:val="Default"/>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619"/>
            </w:tblGrid>
            <w:tr w:rsidR="00CD541E" w:rsidRPr="0065431D" w:rsidTr="0007299D">
              <w:trPr>
                <w:trHeight w:val="1009"/>
              </w:trPr>
              <w:tc>
                <w:tcPr>
                  <w:tcW w:w="4619" w:type="dxa"/>
                </w:tcPr>
                <w:p w:rsidR="00CD541E" w:rsidRPr="0065431D" w:rsidRDefault="00CD541E" w:rsidP="006422F3">
                  <w:pPr>
                    <w:pStyle w:val="Default"/>
                    <w:jc w:val="both"/>
                    <w:rPr>
                      <w:rFonts w:ascii="Times New Roman" w:hAnsi="Times New Roman" w:cs="Times New Roman"/>
                      <w:sz w:val="20"/>
                      <w:szCs w:val="20"/>
                    </w:rPr>
                  </w:pPr>
                  <w:r w:rsidRPr="0065431D">
                    <w:rPr>
                      <w:rFonts w:ascii="Times New Roman" w:hAnsi="Times New Roman" w:cs="Times New Roman"/>
                      <w:b/>
                      <w:bCs/>
                      <w:sz w:val="20"/>
                      <w:szCs w:val="20"/>
                    </w:rPr>
                    <w:t xml:space="preserve">Implementing Partner(s): </w:t>
                  </w:r>
                </w:p>
                <w:p w:rsidR="00CD541E" w:rsidRPr="0065431D" w:rsidRDefault="006B2DE7" w:rsidP="006422F3">
                  <w:pPr>
                    <w:pStyle w:val="Default"/>
                    <w:jc w:val="both"/>
                    <w:rPr>
                      <w:rFonts w:ascii="Times New Roman" w:hAnsi="Times New Roman" w:cs="Times New Roman"/>
                      <w:sz w:val="20"/>
                      <w:szCs w:val="20"/>
                    </w:rPr>
                  </w:pPr>
                  <w:r w:rsidRPr="00C92BB7">
                    <w:rPr>
                      <w:rFonts w:ascii="Times New Roman" w:hAnsi="Times New Roman" w:cs="Times New Roman"/>
                      <w:bCs/>
                      <w:iCs/>
                      <w:snapToGrid w:val="0"/>
                      <w:sz w:val="22"/>
                      <w:szCs w:val="22"/>
                    </w:rPr>
                    <w:t>Plan International</w:t>
                  </w:r>
                  <w:r w:rsidRPr="0065431D">
                    <w:rPr>
                      <w:rFonts w:ascii="Times New Roman" w:hAnsi="Times New Roman" w:cs="Times New Roman"/>
                      <w:bCs/>
                      <w:sz w:val="20"/>
                      <w:szCs w:val="20"/>
                    </w:rPr>
                    <w:t xml:space="preserve"> </w:t>
                  </w:r>
                  <w:r>
                    <w:rPr>
                      <w:rFonts w:ascii="Times New Roman" w:hAnsi="Times New Roman" w:cs="Times New Roman"/>
                      <w:bCs/>
                      <w:sz w:val="20"/>
                      <w:szCs w:val="20"/>
                    </w:rPr>
                    <w:t>,</w:t>
                  </w:r>
                  <w:r w:rsidRPr="00C92BB7">
                    <w:rPr>
                      <w:rFonts w:ascii="Times New Roman" w:hAnsi="Times New Roman" w:cs="Times New Roman"/>
                      <w:bCs/>
                      <w:iCs/>
                      <w:snapToGrid w:val="0"/>
                      <w:sz w:val="22"/>
                      <w:szCs w:val="22"/>
                    </w:rPr>
                    <w:t xml:space="preserve"> World Vision</w:t>
                  </w:r>
                  <w:r>
                    <w:rPr>
                      <w:rFonts w:ascii="Times New Roman" w:hAnsi="Times New Roman" w:cs="Times New Roman"/>
                      <w:bCs/>
                      <w:iCs/>
                      <w:snapToGrid w:val="0"/>
                      <w:sz w:val="22"/>
                      <w:szCs w:val="22"/>
                    </w:rPr>
                    <w:t>,</w:t>
                  </w:r>
                  <w:r w:rsidRPr="00C92BB7">
                    <w:rPr>
                      <w:rFonts w:ascii="Times New Roman" w:hAnsi="Times New Roman" w:cs="Times New Roman"/>
                      <w:bCs/>
                      <w:iCs/>
                      <w:snapToGrid w:val="0"/>
                      <w:sz w:val="22"/>
                      <w:szCs w:val="22"/>
                    </w:rPr>
                    <w:t xml:space="preserve"> International</w:t>
                  </w:r>
                  <w:r w:rsidRPr="0065431D">
                    <w:rPr>
                      <w:rFonts w:ascii="Times New Roman" w:hAnsi="Times New Roman" w:cs="Times New Roman"/>
                      <w:bCs/>
                      <w:sz w:val="20"/>
                      <w:szCs w:val="20"/>
                    </w:rPr>
                    <w:t xml:space="preserve"> </w:t>
                  </w:r>
                  <w:r w:rsidR="00CD541E" w:rsidRPr="0065431D">
                    <w:rPr>
                      <w:rFonts w:ascii="Times New Roman" w:hAnsi="Times New Roman" w:cs="Times New Roman"/>
                      <w:bCs/>
                      <w:sz w:val="20"/>
                      <w:szCs w:val="20"/>
                    </w:rPr>
                    <w:t>Ministry of Education Science and Technology, District Deputy Directors of Education, Milton Ma</w:t>
                  </w:r>
                  <w:r>
                    <w:rPr>
                      <w:rFonts w:ascii="Times New Roman" w:hAnsi="Times New Roman" w:cs="Times New Roman"/>
                      <w:bCs/>
                      <w:sz w:val="20"/>
                      <w:szCs w:val="20"/>
                    </w:rPr>
                    <w:t>r</w:t>
                  </w:r>
                  <w:r w:rsidR="00CD541E" w:rsidRPr="0065431D">
                    <w:rPr>
                      <w:rFonts w:ascii="Times New Roman" w:hAnsi="Times New Roman" w:cs="Times New Roman"/>
                      <w:bCs/>
                      <w:sz w:val="20"/>
                      <w:szCs w:val="20"/>
                    </w:rPr>
                    <w:t xml:space="preserve">gai College of Education and Technology (MMCET), Action Aid, IBIS, CARL, DIP, </w:t>
                  </w:r>
                </w:p>
                <w:p w:rsidR="00CD541E" w:rsidRPr="0065431D" w:rsidRDefault="00CD541E" w:rsidP="006422F3">
                  <w:pPr>
                    <w:pStyle w:val="Default"/>
                    <w:jc w:val="both"/>
                    <w:rPr>
                      <w:rFonts w:ascii="Times New Roman" w:hAnsi="Times New Roman" w:cs="Times New Roman"/>
                      <w:sz w:val="20"/>
                      <w:szCs w:val="20"/>
                    </w:rPr>
                  </w:pPr>
                  <w:r w:rsidRPr="0065431D">
                    <w:rPr>
                      <w:rFonts w:ascii="Times New Roman" w:hAnsi="Times New Roman" w:cs="Times New Roman"/>
                      <w:bCs/>
                      <w:sz w:val="20"/>
                      <w:szCs w:val="20"/>
                    </w:rPr>
                    <w:t xml:space="preserve">Ministry Of Education Science and Technology </w:t>
                  </w:r>
                  <w:r w:rsidR="00A930E6" w:rsidRPr="0065431D">
                    <w:rPr>
                      <w:rFonts w:ascii="Times New Roman" w:hAnsi="Times New Roman" w:cs="Times New Roman"/>
                      <w:bCs/>
                      <w:sz w:val="20"/>
                      <w:szCs w:val="20"/>
                    </w:rPr>
                    <w:t>(</w:t>
                  </w:r>
                  <w:r w:rsidRPr="0065431D">
                    <w:rPr>
                      <w:rFonts w:ascii="Times New Roman" w:hAnsi="Times New Roman" w:cs="Times New Roman"/>
                      <w:sz w:val="20"/>
                      <w:szCs w:val="20"/>
                    </w:rPr>
                    <w:t>MEST</w:t>
                  </w:r>
                  <w:r w:rsidR="00A930E6" w:rsidRPr="0065431D">
                    <w:rPr>
                      <w:rFonts w:ascii="Times New Roman" w:hAnsi="Times New Roman" w:cs="Times New Roman"/>
                      <w:sz w:val="20"/>
                      <w:szCs w:val="20"/>
                    </w:rPr>
                    <w:t>)</w:t>
                  </w:r>
                </w:p>
              </w:tc>
            </w:tr>
          </w:tbl>
          <w:p w:rsidR="00CD541E" w:rsidRPr="0065431D" w:rsidRDefault="00CD541E" w:rsidP="006422F3">
            <w:pPr>
              <w:pStyle w:val="BodyText"/>
              <w:ind w:left="16"/>
              <w:jc w:val="both"/>
              <w:rPr>
                <w:rFonts w:ascii="Times New Roman" w:hAnsi="Times New Roman" w:cs="Times New Roman"/>
              </w:rPr>
            </w:pPr>
          </w:p>
        </w:tc>
      </w:tr>
      <w:tr w:rsidR="00B543E6" w:rsidRPr="0065431D" w:rsidTr="00D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A270A9" w:rsidRDefault="00B543E6" w:rsidP="006422F3">
            <w:pPr>
              <w:pStyle w:val="H1"/>
              <w:jc w:val="both"/>
              <w:rPr>
                <w:rFonts w:cs="Times New Roman"/>
                <w:sz w:val="20"/>
                <w:szCs w:val="20"/>
              </w:rPr>
            </w:pPr>
            <w:r w:rsidRPr="0065431D">
              <w:rPr>
                <w:rFonts w:cs="Times New Roman"/>
                <w:sz w:val="20"/>
                <w:szCs w:val="20"/>
              </w:rPr>
              <w:t>Programme/Project Cost (US$)</w:t>
            </w:r>
          </w:p>
          <w:p w:rsidR="00A270A9" w:rsidRDefault="00A270A9" w:rsidP="006422F3">
            <w:pPr>
              <w:pStyle w:val="H1"/>
              <w:jc w:val="both"/>
              <w:rPr>
                <w:rFonts w:cs="Times New Roman"/>
                <w:sz w:val="20"/>
                <w:szCs w:val="20"/>
              </w:rPr>
            </w:pPr>
            <w:r>
              <w:rPr>
                <w:rFonts w:cs="Times New Roman"/>
                <w:sz w:val="20"/>
                <w:szCs w:val="20"/>
              </w:rPr>
              <w:t>MPTF/JP USD $ 735.000</w:t>
            </w:r>
            <w:r w:rsidR="0003277E">
              <w:rPr>
                <w:rFonts w:cs="Times New Roman"/>
                <w:sz w:val="20"/>
                <w:szCs w:val="20"/>
              </w:rPr>
              <w:t>- School Feeding</w:t>
            </w:r>
          </w:p>
          <w:p w:rsidR="0003277E" w:rsidRDefault="0003277E" w:rsidP="006422F3">
            <w:pPr>
              <w:pStyle w:val="H1"/>
              <w:jc w:val="both"/>
              <w:rPr>
                <w:rFonts w:cs="Times New Roman"/>
                <w:i/>
                <w:sz w:val="20"/>
                <w:szCs w:val="20"/>
              </w:rPr>
            </w:pPr>
            <w:r w:rsidRPr="0003277E">
              <w:rPr>
                <w:rFonts w:cs="Times New Roman"/>
                <w:i/>
                <w:sz w:val="20"/>
                <w:szCs w:val="20"/>
              </w:rPr>
              <w:t>by Agency (if applicable) $ 528,600 UNICEF</w:t>
            </w:r>
          </w:p>
          <w:p w:rsidR="00125969" w:rsidRPr="0003277E" w:rsidRDefault="00125969" w:rsidP="006422F3">
            <w:pPr>
              <w:pStyle w:val="H1"/>
              <w:jc w:val="both"/>
              <w:rPr>
                <w:rFonts w:cs="Times New Roman"/>
                <w:sz w:val="20"/>
                <w:szCs w:val="20"/>
              </w:rPr>
            </w:pPr>
            <w:r>
              <w:rPr>
                <w:rFonts w:cs="Times New Roman"/>
                <w:i/>
                <w:sz w:val="20"/>
                <w:szCs w:val="20"/>
              </w:rPr>
              <w:t>WFP - $735,000</w:t>
            </w:r>
            <w:bookmarkStart w:id="0" w:name="_GoBack"/>
            <w:bookmarkEnd w:id="0"/>
          </w:p>
          <w:p w:rsidR="0003277E" w:rsidRPr="0065431D" w:rsidRDefault="0003277E" w:rsidP="006422F3">
            <w:pPr>
              <w:pStyle w:val="H1"/>
              <w:jc w:val="both"/>
              <w:rPr>
                <w:rFonts w:cs="Times New Roman"/>
                <w:sz w:val="20"/>
                <w:szCs w:val="20"/>
              </w:rPr>
            </w:pPr>
          </w:p>
        </w:tc>
        <w:tc>
          <w:tcPr>
            <w:tcW w:w="258" w:type="dxa"/>
            <w:tcBorders>
              <w:top w:val="nil"/>
              <w:left w:val="single" w:sz="4" w:space="0" w:color="auto"/>
              <w:bottom w:val="nil"/>
              <w:right w:val="single" w:sz="4" w:space="0" w:color="auto"/>
            </w:tcBorders>
            <w:shd w:val="clear" w:color="auto" w:fill="auto"/>
            <w:vAlign w:val="center"/>
          </w:tcPr>
          <w:p w:rsidR="00B543E6" w:rsidRPr="0065431D" w:rsidRDefault="00B543E6" w:rsidP="006422F3">
            <w:pPr>
              <w:pStyle w:val="H1"/>
              <w:jc w:val="both"/>
              <w:rPr>
                <w:rFonts w:cs="Times New Roman"/>
                <w:sz w:val="20"/>
                <w:szCs w:val="20"/>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rsidR="00B543E6" w:rsidRPr="0065431D" w:rsidRDefault="00B543E6" w:rsidP="006422F3">
            <w:pPr>
              <w:pStyle w:val="H1"/>
              <w:jc w:val="both"/>
              <w:rPr>
                <w:rFonts w:cs="Times New Roman"/>
                <w:sz w:val="20"/>
                <w:szCs w:val="20"/>
              </w:rPr>
            </w:pPr>
            <w:r w:rsidRPr="0065431D">
              <w:rPr>
                <w:rFonts w:cs="Times New Roman"/>
                <w:sz w:val="20"/>
                <w:szCs w:val="20"/>
              </w:rPr>
              <w:t>Programme Duration</w:t>
            </w:r>
          </w:p>
        </w:tc>
      </w:tr>
      <w:tr w:rsidR="00CD541E" w:rsidRPr="0065431D" w:rsidTr="00D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2970" w:type="dxa"/>
            <w:tcBorders>
              <w:top w:val="nil"/>
              <w:left w:val="single" w:sz="4" w:space="0" w:color="auto"/>
              <w:bottom w:val="nil"/>
              <w:right w:val="nil"/>
            </w:tcBorders>
            <w:shd w:val="clear" w:color="auto" w:fill="auto"/>
            <w:vAlign w:val="center"/>
          </w:tcPr>
          <w:p w:rsidR="00CD541E" w:rsidRPr="0065431D" w:rsidRDefault="00CD541E" w:rsidP="006422F3">
            <w:pPr>
              <w:pStyle w:val="H1"/>
              <w:jc w:val="both"/>
              <w:rPr>
                <w:rFonts w:cs="Times New Roman"/>
                <w:sz w:val="20"/>
                <w:szCs w:val="20"/>
              </w:rPr>
            </w:pPr>
            <w:r w:rsidRPr="0065431D">
              <w:rPr>
                <w:rFonts w:cs="Times New Roman"/>
                <w:sz w:val="20"/>
                <w:szCs w:val="20"/>
              </w:rPr>
              <w:t>Programme/Project Cost (US$)</w:t>
            </w:r>
          </w:p>
        </w:tc>
        <w:tc>
          <w:tcPr>
            <w:tcW w:w="2172" w:type="dxa"/>
            <w:tcBorders>
              <w:top w:val="nil"/>
              <w:left w:val="nil"/>
              <w:bottom w:val="nil"/>
              <w:right w:val="single" w:sz="4" w:space="0" w:color="auto"/>
            </w:tcBorders>
            <w:shd w:val="clear" w:color="auto" w:fill="auto"/>
            <w:vAlign w:val="center"/>
          </w:tcPr>
          <w:p w:rsidR="00CD541E" w:rsidRDefault="00CD541E" w:rsidP="006422F3">
            <w:pPr>
              <w:pStyle w:val="BodyText"/>
              <w:jc w:val="both"/>
              <w:rPr>
                <w:rFonts w:ascii="Times New Roman" w:hAnsi="Times New Roman" w:cs="Times New Roman"/>
                <w:color w:val="000000"/>
              </w:rPr>
            </w:pPr>
          </w:p>
          <w:p w:rsidR="00A270A9" w:rsidRDefault="00A270A9" w:rsidP="006422F3">
            <w:pPr>
              <w:pStyle w:val="BodyText"/>
              <w:jc w:val="both"/>
              <w:rPr>
                <w:rFonts w:ascii="Times New Roman" w:hAnsi="Times New Roman" w:cs="Times New Roman"/>
                <w:color w:val="000000"/>
              </w:rPr>
            </w:pPr>
          </w:p>
          <w:p w:rsidR="00A270A9" w:rsidRPr="0065431D" w:rsidRDefault="00A270A9" w:rsidP="00A270A9">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D541E" w:rsidRPr="0065431D" w:rsidRDefault="00CD541E" w:rsidP="006422F3">
            <w:pPr>
              <w:pStyle w:val="BodyText"/>
              <w:jc w:val="both"/>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6B2DE7" w:rsidRDefault="006B2DE7" w:rsidP="006422F3">
            <w:pPr>
              <w:pStyle w:val="BodyText"/>
              <w:jc w:val="both"/>
              <w:rPr>
                <w:rFonts w:ascii="Times New Roman" w:hAnsi="Times New Roman" w:cs="Times New Roman"/>
                <w:b/>
                <w:sz w:val="22"/>
                <w:szCs w:val="22"/>
              </w:rPr>
            </w:pPr>
            <w:r w:rsidRPr="006B2DE7">
              <w:rPr>
                <w:rFonts w:ascii="Times New Roman" w:hAnsi="Times New Roman" w:cs="Times New Roman"/>
                <w:b/>
                <w:sz w:val="22"/>
                <w:szCs w:val="22"/>
              </w:rPr>
              <w:t>School Feeding:</w:t>
            </w:r>
          </w:p>
          <w:p w:rsidR="00B73374" w:rsidRDefault="00B73374" w:rsidP="006422F3">
            <w:pPr>
              <w:pStyle w:val="BodyText"/>
              <w:jc w:val="both"/>
              <w:rPr>
                <w:rFonts w:ascii="Times New Roman" w:hAnsi="Times New Roman" w:cs="Times New Roman"/>
                <w:b/>
                <w:sz w:val="22"/>
                <w:szCs w:val="22"/>
              </w:rPr>
            </w:pPr>
            <w:r w:rsidRPr="00C92BB7">
              <w:rPr>
                <w:rFonts w:ascii="Times New Roman" w:hAnsi="Times New Roman" w:cs="Times New Roman"/>
                <w:sz w:val="22"/>
                <w:szCs w:val="22"/>
              </w:rPr>
              <w:t xml:space="preserve">Overall Duration </w:t>
            </w:r>
            <w:r w:rsidRPr="00C92BB7">
              <w:rPr>
                <w:rFonts w:ascii="Times New Roman" w:hAnsi="Times New Roman" w:cs="Times New Roman"/>
                <w:b/>
                <w:sz w:val="22"/>
                <w:szCs w:val="22"/>
              </w:rPr>
              <w:t>1 year</w:t>
            </w:r>
          </w:p>
          <w:p w:rsidR="00B73374" w:rsidRDefault="00B73374" w:rsidP="006422F3">
            <w:pPr>
              <w:pStyle w:val="BodyText"/>
              <w:jc w:val="both"/>
              <w:rPr>
                <w:rFonts w:ascii="Times New Roman" w:eastAsia="Calibri" w:hAnsi="Times New Roman" w:cs="Times New Roman"/>
                <w:b/>
                <w:sz w:val="22"/>
                <w:szCs w:val="22"/>
              </w:rPr>
            </w:pPr>
            <w:r w:rsidRPr="00B73374">
              <w:rPr>
                <w:rFonts w:ascii="Times New Roman" w:eastAsia="Calibri" w:hAnsi="Times New Roman" w:cs="Times New Roman"/>
                <w:sz w:val="22"/>
                <w:szCs w:val="22"/>
              </w:rPr>
              <w:t>Start Date</w:t>
            </w:r>
            <w:r w:rsidRPr="00B73374">
              <w:rPr>
                <w:rFonts w:ascii="Times New Roman" w:eastAsia="Calibri" w:hAnsi="Times New Roman" w:cs="Times New Roman"/>
                <w:sz w:val="22"/>
                <w:szCs w:val="22"/>
                <w:vertAlign w:val="superscript"/>
              </w:rPr>
              <w:footnoteReference w:id="3"/>
            </w:r>
            <w:r w:rsidRPr="00B73374">
              <w:rPr>
                <w:rFonts w:ascii="Times New Roman" w:eastAsia="Calibri" w:hAnsi="Times New Roman" w:cs="Times New Roman"/>
                <w:sz w:val="22"/>
                <w:szCs w:val="22"/>
              </w:rPr>
              <w:t xml:space="preserve"> : </w:t>
            </w:r>
            <w:r w:rsidRPr="00B73374">
              <w:rPr>
                <w:rFonts w:ascii="Times New Roman" w:eastAsia="Calibri" w:hAnsi="Times New Roman" w:cs="Times New Roman"/>
                <w:b/>
                <w:sz w:val="22"/>
                <w:szCs w:val="22"/>
              </w:rPr>
              <w:t>July 2011</w:t>
            </w:r>
          </w:p>
          <w:p w:rsidR="00B73374" w:rsidRDefault="00B73374" w:rsidP="006422F3">
            <w:pPr>
              <w:pStyle w:val="BodyText"/>
              <w:jc w:val="both"/>
              <w:rPr>
                <w:rFonts w:ascii="Times New Roman" w:eastAsia="Calibri" w:hAnsi="Times New Roman" w:cs="Times New Roman"/>
                <w:b/>
                <w:sz w:val="22"/>
                <w:szCs w:val="22"/>
              </w:rPr>
            </w:pPr>
            <w:r w:rsidRPr="00B73374">
              <w:rPr>
                <w:rFonts w:ascii="Times New Roman" w:eastAsia="Calibri" w:hAnsi="Times New Roman" w:cs="Times New Roman"/>
                <w:sz w:val="22"/>
                <w:szCs w:val="22"/>
              </w:rPr>
              <w:t>Original End Date</w:t>
            </w:r>
            <w:r w:rsidRPr="00B73374">
              <w:rPr>
                <w:rFonts w:ascii="Times New Roman" w:eastAsia="Calibri" w:hAnsi="Times New Roman" w:cs="Times New Roman"/>
                <w:bCs/>
                <w:i/>
                <w:iCs/>
                <w:snapToGrid w:val="0"/>
                <w:sz w:val="22"/>
                <w:szCs w:val="22"/>
                <w:vertAlign w:val="superscript"/>
              </w:rPr>
              <w:footnoteReference w:id="4"/>
            </w:r>
            <w:r w:rsidRPr="00B73374">
              <w:rPr>
                <w:rFonts w:ascii="Times New Roman" w:eastAsia="Calibri" w:hAnsi="Times New Roman" w:cs="Times New Roman"/>
                <w:sz w:val="22"/>
                <w:szCs w:val="22"/>
              </w:rPr>
              <w:t xml:space="preserve">: </w:t>
            </w:r>
            <w:r w:rsidRPr="00B73374">
              <w:rPr>
                <w:rFonts w:ascii="Times New Roman" w:eastAsia="Calibri" w:hAnsi="Times New Roman" w:cs="Times New Roman"/>
                <w:b/>
                <w:sz w:val="22"/>
                <w:szCs w:val="22"/>
              </w:rPr>
              <w:t>July 2012</w:t>
            </w:r>
          </w:p>
          <w:p w:rsidR="00B73374" w:rsidRPr="00B73374" w:rsidRDefault="00B73374" w:rsidP="006422F3">
            <w:pPr>
              <w:pStyle w:val="BodyText"/>
              <w:jc w:val="both"/>
              <w:rPr>
                <w:rFonts w:ascii="Times New Roman" w:hAnsi="Times New Roman" w:cs="Times New Roman"/>
                <w:b/>
                <w:color w:val="000000"/>
                <w:sz w:val="24"/>
                <w:szCs w:val="24"/>
              </w:rPr>
            </w:pPr>
            <w:r w:rsidRPr="006B2DE7">
              <w:rPr>
                <w:rFonts w:ascii="Times New Roman" w:hAnsi="Times New Roman" w:cs="Times New Roman"/>
                <w:b/>
                <w:color w:val="000000"/>
                <w:sz w:val="24"/>
                <w:szCs w:val="24"/>
              </w:rPr>
              <w:t xml:space="preserve">Basic Education: </w:t>
            </w:r>
          </w:p>
          <w:p w:rsidR="00CD541E" w:rsidRDefault="00CD541E" w:rsidP="006422F3">
            <w:pPr>
              <w:pStyle w:val="BodyText"/>
              <w:jc w:val="both"/>
              <w:rPr>
                <w:rFonts w:ascii="Times New Roman" w:hAnsi="Times New Roman" w:cs="Times New Roman"/>
                <w:i/>
              </w:rPr>
            </w:pPr>
            <w:r w:rsidRPr="0065431D">
              <w:rPr>
                <w:rFonts w:ascii="Times New Roman" w:hAnsi="Times New Roman" w:cs="Times New Roman"/>
              </w:rPr>
              <w:t xml:space="preserve">Overall Duration </w:t>
            </w:r>
            <w:r w:rsidRPr="0065431D">
              <w:rPr>
                <w:rFonts w:ascii="Times New Roman" w:hAnsi="Times New Roman" w:cs="Times New Roman"/>
                <w:i/>
              </w:rPr>
              <w:t>(months) 14 Months</w:t>
            </w:r>
          </w:p>
          <w:p w:rsidR="006A650E" w:rsidRDefault="006A650E" w:rsidP="006422F3">
            <w:pPr>
              <w:pStyle w:val="BodyText"/>
              <w:jc w:val="both"/>
              <w:rPr>
                <w:rFonts w:ascii="Times New Roman" w:hAnsi="Times New Roman" w:cs="Times New Roman"/>
                <w:i/>
                <w:color w:val="000000"/>
              </w:rPr>
            </w:pPr>
            <w:r w:rsidRPr="0065431D">
              <w:rPr>
                <w:rFonts w:ascii="Times New Roman" w:hAnsi="Times New Roman" w:cs="Times New Roman"/>
              </w:rPr>
              <w:t>Start Date</w:t>
            </w:r>
            <w:r w:rsidRPr="0065431D">
              <w:rPr>
                <w:rStyle w:val="FootnoteReference"/>
                <w:rFonts w:ascii="Times New Roman" w:hAnsi="Times New Roman" w:cs="Times New Roman"/>
              </w:rPr>
              <w:footnoteReference w:id="5"/>
            </w:r>
            <w:r w:rsidRPr="0065431D">
              <w:rPr>
                <w:rFonts w:ascii="Times New Roman" w:hAnsi="Times New Roman" w:cs="Times New Roman"/>
              </w:rPr>
              <w:t xml:space="preserve"> </w:t>
            </w:r>
            <w:r w:rsidRPr="0065431D">
              <w:rPr>
                <w:rFonts w:ascii="Times New Roman" w:hAnsi="Times New Roman" w:cs="Times New Roman"/>
                <w:i/>
                <w:color w:val="000000"/>
              </w:rPr>
              <w:t>November, 2011</w:t>
            </w:r>
          </w:p>
          <w:p w:rsidR="006A650E" w:rsidRDefault="006A650E" w:rsidP="006422F3">
            <w:pPr>
              <w:pStyle w:val="BodyText"/>
              <w:jc w:val="both"/>
              <w:rPr>
                <w:rFonts w:ascii="Times New Roman" w:hAnsi="Times New Roman" w:cs="Times New Roman"/>
                <w:color w:val="000000"/>
              </w:rPr>
            </w:pPr>
            <w:r w:rsidRPr="0065431D">
              <w:rPr>
                <w:rFonts w:ascii="Times New Roman" w:hAnsi="Times New Roman" w:cs="Times New Roman"/>
                <w:color w:val="000000"/>
              </w:rPr>
              <w:t>End Date (or Revised End Date)</w:t>
            </w:r>
            <w:r w:rsidRPr="0065431D">
              <w:rPr>
                <w:rStyle w:val="FootnoteReference"/>
                <w:rFonts w:ascii="Times New Roman" w:hAnsi="Times New Roman" w:cs="Times New Roman"/>
                <w:i/>
                <w:iCs/>
                <w:snapToGrid w:val="0"/>
                <w:color w:val="000000"/>
              </w:rPr>
              <w:footnoteReference w:id="6"/>
            </w:r>
            <w:r w:rsidRPr="0065431D">
              <w:rPr>
                <w:rFonts w:ascii="Times New Roman" w:hAnsi="Times New Roman" w:cs="Times New Roman"/>
                <w:color w:val="000000"/>
              </w:rPr>
              <w:t xml:space="preserve"> 31/12/2012</w:t>
            </w:r>
          </w:p>
          <w:p w:rsidR="006A650E" w:rsidRDefault="006A650E" w:rsidP="006422F3">
            <w:pPr>
              <w:pStyle w:val="BodyText"/>
              <w:jc w:val="both"/>
              <w:rPr>
                <w:rFonts w:ascii="Times New Roman" w:hAnsi="Times New Roman" w:cs="Times New Roman"/>
              </w:rPr>
            </w:pPr>
            <w:r w:rsidRPr="0065431D">
              <w:rPr>
                <w:rFonts w:ascii="Times New Roman" w:hAnsi="Times New Roman" w:cs="Times New Roman"/>
              </w:rPr>
              <w:t>Operational Closure Date</w:t>
            </w:r>
            <w:r w:rsidRPr="0065431D">
              <w:rPr>
                <w:rStyle w:val="FootnoteReference"/>
                <w:rFonts w:ascii="Times New Roman" w:hAnsi="Times New Roman" w:cs="Times New Roman"/>
              </w:rPr>
              <w:footnoteReference w:id="7"/>
            </w:r>
            <w:r w:rsidRPr="0065431D">
              <w:rPr>
                <w:rFonts w:ascii="Times New Roman" w:hAnsi="Times New Roman" w:cs="Times New Roman"/>
              </w:rPr>
              <w:t xml:space="preserve"> 31/12/12</w:t>
            </w:r>
          </w:p>
          <w:p w:rsidR="006A650E" w:rsidRPr="0065431D" w:rsidRDefault="006A650E" w:rsidP="00B73374">
            <w:pPr>
              <w:pStyle w:val="BodyText"/>
              <w:jc w:val="both"/>
              <w:rPr>
                <w:rFonts w:ascii="Times New Roman" w:hAnsi="Times New Roman" w:cs="Times New Roman"/>
              </w:rPr>
            </w:pPr>
          </w:p>
        </w:tc>
        <w:tc>
          <w:tcPr>
            <w:tcW w:w="1984" w:type="dxa"/>
            <w:tcBorders>
              <w:top w:val="nil"/>
              <w:left w:val="nil"/>
              <w:bottom w:val="nil"/>
              <w:right w:val="single" w:sz="4" w:space="0" w:color="auto"/>
            </w:tcBorders>
            <w:shd w:val="clear" w:color="auto" w:fill="auto"/>
            <w:vAlign w:val="center"/>
          </w:tcPr>
          <w:p w:rsidR="00CD541E" w:rsidRPr="0065431D" w:rsidRDefault="00CD541E" w:rsidP="006422F3">
            <w:pPr>
              <w:pStyle w:val="BodyText"/>
              <w:widowControl w:val="0"/>
              <w:jc w:val="both"/>
              <w:rPr>
                <w:rFonts w:ascii="Times New Roman" w:hAnsi="Times New Roman" w:cs="Times New Roman"/>
              </w:rPr>
            </w:pPr>
          </w:p>
        </w:tc>
      </w:tr>
      <w:tr w:rsidR="00CD541E" w:rsidRPr="0065431D" w:rsidTr="00D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0"/>
        </w:trPr>
        <w:tc>
          <w:tcPr>
            <w:tcW w:w="2970" w:type="dxa"/>
            <w:tcBorders>
              <w:top w:val="nil"/>
              <w:left w:val="single" w:sz="4" w:space="0" w:color="auto"/>
              <w:bottom w:val="nil"/>
              <w:right w:val="nil"/>
            </w:tcBorders>
            <w:shd w:val="clear" w:color="auto" w:fill="auto"/>
            <w:vAlign w:val="center"/>
          </w:tcPr>
          <w:p w:rsidR="00CD541E" w:rsidRPr="0065431D" w:rsidRDefault="00CD541E" w:rsidP="006422F3">
            <w:pPr>
              <w:pStyle w:val="H2"/>
              <w:spacing w:before="120"/>
              <w:jc w:val="both"/>
              <w:rPr>
                <w:rFonts w:cs="Times New Roman"/>
                <w:b w:val="0"/>
                <w:sz w:val="20"/>
                <w:szCs w:val="20"/>
              </w:rPr>
            </w:pPr>
            <w:r w:rsidRPr="0065431D">
              <w:rPr>
                <w:rFonts w:cs="Times New Roman"/>
                <w:b w:val="0"/>
                <w:sz w:val="20"/>
                <w:szCs w:val="20"/>
              </w:rPr>
              <w:t xml:space="preserve">MPTF/JP Fund Contribution:  </w:t>
            </w:r>
          </w:p>
          <w:p w:rsidR="00CD541E" w:rsidRPr="0065431D" w:rsidRDefault="00CD541E" w:rsidP="006422F3">
            <w:pPr>
              <w:pStyle w:val="H2"/>
              <w:numPr>
                <w:ilvl w:val="0"/>
                <w:numId w:val="8"/>
              </w:numPr>
              <w:spacing w:after="120"/>
              <w:ind w:left="162" w:hanging="180"/>
              <w:jc w:val="both"/>
              <w:rPr>
                <w:rFonts w:cs="Times New Roman"/>
                <w:i/>
                <w:sz w:val="20"/>
                <w:szCs w:val="20"/>
              </w:rPr>
            </w:pPr>
            <w:r w:rsidRPr="0065431D">
              <w:rPr>
                <w:rFonts w:cs="Times New Roman"/>
                <w:b w:val="0"/>
                <w:i/>
                <w:sz w:val="20"/>
                <w:szCs w:val="20"/>
              </w:rPr>
              <w:t>by Agency (if applicable) $ 528,600</w:t>
            </w:r>
          </w:p>
        </w:tc>
        <w:tc>
          <w:tcPr>
            <w:tcW w:w="2172" w:type="dxa"/>
            <w:tcBorders>
              <w:top w:val="nil"/>
              <w:left w:val="nil"/>
              <w:bottom w:val="nil"/>
              <w:right w:val="single" w:sz="4" w:space="0" w:color="auto"/>
            </w:tcBorders>
            <w:shd w:val="clear" w:color="auto" w:fill="auto"/>
            <w:vAlign w:val="center"/>
          </w:tcPr>
          <w:p w:rsidR="00CD541E" w:rsidRPr="0065431D" w:rsidRDefault="00CD541E" w:rsidP="006422F3">
            <w:pPr>
              <w:pStyle w:val="BodyText"/>
              <w:jc w:val="both"/>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D541E" w:rsidRPr="0065431D" w:rsidRDefault="00CD541E" w:rsidP="006422F3">
            <w:pPr>
              <w:pStyle w:val="BodyText"/>
              <w:jc w:val="both"/>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CD541E" w:rsidRPr="0065431D" w:rsidRDefault="00CD541E" w:rsidP="006422F3">
            <w:pPr>
              <w:pStyle w:val="BodyText"/>
              <w:jc w:val="both"/>
              <w:rPr>
                <w:rFonts w:ascii="Times New Roman" w:hAnsi="Times New Roman" w:cs="Times New Roman"/>
              </w:rPr>
            </w:pPr>
          </w:p>
        </w:tc>
        <w:tc>
          <w:tcPr>
            <w:tcW w:w="1984" w:type="dxa"/>
            <w:tcBorders>
              <w:top w:val="nil"/>
              <w:left w:val="nil"/>
              <w:bottom w:val="nil"/>
              <w:right w:val="single" w:sz="4" w:space="0" w:color="auto"/>
            </w:tcBorders>
            <w:shd w:val="clear" w:color="auto" w:fill="auto"/>
            <w:vAlign w:val="center"/>
          </w:tcPr>
          <w:p w:rsidR="00CD541E" w:rsidRPr="0065431D" w:rsidRDefault="00CD541E" w:rsidP="006422F3">
            <w:pPr>
              <w:pStyle w:val="BodyText"/>
              <w:jc w:val="both"/>
              <w:rPr>
                <w:rFonts w:ascii="Times New Roman" w:hAnsi="Times New Roman" w:cs="Times New Roman"/>
              </w:rPr>
            </w:pPr>
          </w:p>
        </w:tc>
      </w:tr>
      <w:tr w:rsidR="00CD541E" w:rsidRPr="0065431D" w:rsidTr="00D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0"/>
        </w:trPr>
        <w:tc>
          <w:tcPr>
            <w:tcW w:w="2970" w:type="dxa"/>
            <w:tcBorders>
              <w:top w:val="nil"/>
              <w:left w:val="single" w:sz="4" w:space="0" w:color="auto"/>
              <w:bottom w:val="nil"/>
              <w:right w:val="nil"/>
            </w:tcBorders>
            <w:shd w:val="clear" w:color="auto" w:fill="D9D9D9"/>
            <w:vAlign w:val="center"/>
          </w:tcPr>
          <w:p w:rsidR="00CD541E" w:rsidRPr="0065431D" w:rsidRDefault="00CD541E" w:rsidP="006422F3">
            <w:pPr>
              <w:pStyle w:val="H2"/>
              <w:spacing w:before="120"/>
              <w:jc w:val="both"/>
              <w:rPr>
                <w:rFonts w:cs="Times New Roman"/>
                <w:b w:val="0"/>
                <w:sz w:val="20"/>
                <w:szCs w:val="20"/>
              </w:rPr>
            </w:pPr>
            <w:r w:rsidRPr="0065431D">
              <w:rPr>
                <w:rFonts w:cs="Times New Roman"/>
                <w:b w:val="0"/>
                <w:sz w:val="20"/>
                <w:szCs w:val="20"/>
              </w:rPr>
              <w:lastRenderedPageBreak/>
              <w:t>Agency Contribution</w:t>
            </w:r>
          </w:p>
          <w:p w:rsidR="00CD541E" w:rsidRPr="0065431D" w:rsidRDefault="00CD541E" w:rsidP="006422F3">
            <w:pPr>
              <w:pStyle w:val="H2"/>
              <w:numPr>
                <w:ilvl w:val="0"/>
                <w:numId w:val="7"/>
              </w:numPr>
              <w:spacing w:after="120"/>
              <w:ind w:left="162" w:hanging="162"/>
              <w:jc w:val="both"/>
              <w:rPr>
                <w:rFonts w:cs="Times New Roman"/>
                <w:sz w:val="20"/>
                <w:szCs w:val="20"/>
              </w:rPr>
            </w:pPr>
            <w:r w:rsidRPr="0065431D">
              <w:rPr>
                <w:rFonts w:cs="Times New Roman"/>
                <w:b w:val="0"/>
                <w:i/>
                <w:sz w:val="20"/>
                <w:szCs w:val="20"/>
              </w:rPr>
              <w:t>by Agency (if applicable)</w:t>
            </w:r>
          </w:p>
        </w:tc>
        <w:tc>
          <w:tcPr>
            <w:tcW w:w="2172" w:type="dxa"/>
            <w:tcBorders>
              <w:top w:val="nil"/>
              <w:left w:val="nil"/>
              <w:bottom w:val="nil"/>
              <w:right w:val="single" w:sz="4" w:space="0" w:color="auto"/>
            </w:tcBorders>
            <w:shd w:val="clear" w:color="auto" w:fill="D9D9D9"/>
            <w:vAlign w:val="center"/>
          </w:tcPr>
          <w:p w:rsidR="00CD541E" w:rsidRPr="0065431D" w:rsidRDefault="00CD541E" w:rsidP="006422F3">
            <w:pPr>
              <w:pStyle w:val="BodyText"/>
              <w:jc w:val="both"/>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D541E" w:rsidRPr="0065431D" w:rsidRDefault="00CD541E" w:rsidP="006422F3">
            <w:pPr>
              <w:pStyle w:val="BodyText"/>
              <w:jc w:val="both"/>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CD541E" w:rsidRPr="0065431D" w:rsidRDefault="00CD541E" w:rsidP="006422F3">
            <w:pPr>
              <w:pStyle w:val="BodyText"/>
              <w:jc w:val="both"/>
              <w:rPr>
                <w:rFonts w:ascii="Times New Roman" w:hAnsi="Times New Roman" w:cs="Times New Roman"/>
              </w:rPr>
            </w:pPr>
          </w:p>
        </w:tc>
        <w:tc>
          <w:tcPr>
            <w:tcW w:w="1984" w:type="dxa"/>
            <w:tcBorders>
              <w:top w:val="nil"/>
              <w:left w:val="nil"/>
              <w:bottom w:val="nil"/>
              <w:right w:val="single" w:sz="4" w:space="0" w:color="auto"/>
            </w:tcBorders>
            <w:shd w:val="clear" w:color="auto" w:fill="auto"/>
            <w:vAlign w:val="center"/>
          </w:tcPr>
          <w:p w:rsidR="00CD541E" w:rsidRPr="0065431D" w:rsidRDefault="00CD541E" w:rsidP="006422F3">
            <w:pPr>
              <w:pStyle w:val="BodyText"/>
              <w:jc w:val="both"/>
              <w:rPr>
                <w:rFonts w:ascii="Times New Roman" w:hAnsi="Times New Roman" w:cs="Times New Roman"/>
              </w:rPr>
            </w:pPr>
          </w:p>
        </w:tc>
      </w:tr>
      <w:tr w:rsidR="00CD541E" w:rsidRPr="0065431D" w:rsidTr="00D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0"/>
        </w:trPr>
        <w:tc>
          <w:tcPr>
            <w:tcW w:w="2970" w:type="dxa"/>
            <w:tcBorders>
              <w:top w:val="nil"/>
              <w:left w:val="single" w:sz="4" w:space="0" w:color="auto"/>
              <w:bottom w:val="nil"/>
              <w:right w:val="nil"/>
            </w:tcBorders>
            <w:shd w:val="clear" w:color="auto" w:fill="D9D9D9"/>
            <w:vAlign w:val="center"/>
          </w:tcPr>
          <w:p w:rsidR="00CD541E" w:rsidRPr="0065431D" w:rsidRDefault="00CD541E" w:rsidP="006422F3">
            <w:pPr>
              <w:pStyle w:val="H2"/>
              <w:jc w:val="both"/>
              <w:rPr>
                <w:rFonts w:cs="Times New Roman"/>
                <w:b w:val="0"/>
                <w:sz w:val="20"/>
                <w:szCs w:val="20"/>
              </w:rPr>
            </w:pPr>
            <w:r w:rsidRPr="0065431D">
              <w:rPr>
                <w:rFonts w:cs="Times New Roman"/>
                <w:b w:val="0"/>
                <w:sz w:val="20"/>
                <w:szCs w:val="20"/>
              </w:rPr>
              <w:t>Government Contribution</w:t>
            </w:r>
          </w:p>
          <w:p w:rsidR="00CD541E" w:rsidRPr="0065431D" w:rsidRDefault="00CD541E" w:rsidP="006422F3">
            <w:pPr>
              <w:pStyle w:val="H2"/>
              <w:jc w:val="both"/>
              <w:rPr>
                <w:rFonts w:cs="Times New Roman"/>
                <w:sz w:val="20"/>
                <w:szCs w:val="20"/>
              </w:rPr>
            </w:pPr>
            <w:r w:rsidRPr="0065431D">
              <w:rPr>
                <w:rFonts w:cs="Times New Roman"/>
                <w:b w:val="0"/>
                <w:i/>
                <w:sz w:val="20"/>
                <w:szCs w:val="20"/>
              </w:rPr>
              <w:t>(if applicable)</w:t>
            </w:r>
          </w:p>
        </w:tc>
        <w:tc>
          <w:tcPr>
            <w:tcW w:w="2172" w:type="dxa"/>
            <w:tcBorders>
              <w:top w:val="nil"/>
              <w:left w:val="nil"/>
              <w:bottom w:val="nil"/>
              <w:right w:val="single" w:sz="4" w:space="0" w:color="auto"/>
            </w:tcBorders>
            <w:shd w:val="clear" w:color="auto" w:fill="D9D9D9"/>
            <w:vAlign w:val="center"/>
          </w:tcPr>
          <w:p w:rsidR="00CD541E" w:rsidRPr="0065431D" w:rsidRDefault="00CD541E" w:rsidP="006422F3">
            <w:pPr>
              <w:pStyle w:val="BodyText"/>
              <w:jc w:val="both"/>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D541E" w:rsidRPr="0065431D" w:rsidRDefault="00CD541E" w:rsidP="006422F3">
            <w:pPr>
              <w:pStyle w:val="BodyText"/>
              <w:jc w:val="both"/>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CD541E" w:rsidRPr="0065431D" w:rsidRDefault="00CD541E" w:rsidP="006422F3">
            <w:pPr>
              <w:pStyle w:val="BodyText"/>
              <w:jc w:val="both"/>
              <w:rPr>
                <w:rFonts w:ascii="Times New Roman" w:hAnsi="Times New Roman" w:cs="Times New Roman"/>
              </w:rPr>
            </w:pPr>
          </w:p>
        </w:tc>
        <w:tc>
          <w:tcPr>
            <w:tcW w:w="1984" w:type="dxa"/>
            <w:tcBorders>
              <w:top w:val="nil"/>
              <w:left w:val="nil"/>
              <w:bottom w:val="nil"/>
              <w:right w:val="single" w:sz="4" w:space="0" w:color="auto"/>
            </w:tcBorders>
            <w:shd w:val="clear" w:color="auto" w:fill="auto"/>
            <w:vAlign w:val="center"/>
          </w:tcPr>
          <w:p w:rsidR="00CD541E" w:rsidRPr="0065431D" w:rsidRDefault="00CD541E" w:rsidP="006422F3">
            <w:pPr>
              <w:pStyle w:val="BodyText"/>
              <w:jc w:val="both"/>
              <w:rPr>
                <w:rFonts w:ascii="Times New Roman" w:hAnsi="Times New Roman" w:cs="Times New Roman"/>
              </w:rPr>
            </w:pPr>
          </w:p>
        </w:tc>
      </w:tr>
      <w:tr w:rsidR="00B543E6" w:rsidRPr="0065431D" w:rsidTr="00D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0"/>
        </w:trPr>
        <w:tc>
          <w:tcPr>
            <w:tcW w:w="2970" w:type="dxa"/>
            <w:tcBorders>
              <w:top w:val="nil"/>
              <w:left w:val="single" w:sz="4" w:space="0" w:color="auto"/>
              <w:bottom w:val="single" w:sz="4" w:space="0" w:color="auto"/>
              <w:right w:val="nil"/>
            </w:tcBorders>
            <w:shd w:val="clear" w:color="auto" w:fill="auto"/>
            <w:vAlign w:val="center"/>
          </w:tcPr>
          <w:p w:rsidR="00B543E6" w:rsidRPr="0065431D" w:rsidRDefault="00B543E6" w:rsidP="006422F3">
            <w:pPr>
              <w:pStyle w:val="H2"/>
              <w:jc w:val="both"/>
              <w:rPr>
                <w:rFonts w:cs="Times New Roman"/>
                <w:sz w:val="20"/>
                <w:szCs w:val="20"/>
              </w:rPr>
            </w:pPr>
            <w:r w:rsidRPr="0065431D">
              <w:rPr>
                <w:rFonts w:cs="Times New Roman"/>
                <w:sz w:val="20"/>
                <w:szCs w:val="20"/>
              </w:rPr>
              <w:t>TOTAL:</w:t>
            </w:r>
          </w:p>
        </w:tc>
        <w:tc>
          <w:tcPr>
            <w:tcW w:w="2172" w:type="dxa"/>
            <w:tcBorders>
              <w:top w:val="nil"/>
              <w:left w:val="nil"/>
              <w:bottom w:val="single" w:sz="4" w:space="0" w:color="auto"/>
              <w:right w:val="single" w:sz="4" w:space="0" w:color="auto"/>
            </w:tcBorders>
            <w:shd w:val="clear" w:color="auto" w:fill="auto"/>
            <w:vAlign w:val="center"/>
          </w:tcPr>
          <w:p w:rsidR="00B543E6" w:rsidRPr="0065431D" w:rsidRDefault="00B543E6" w:rsidP="006422F3">
            <w:pPr>
              <w:pStyle w:val="BodyText"/>
              <w:jc w:val="both"/>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B543E6" w:rsidRPr="0065431D" w:rsidRDefault="00B543E6" w:rsidP="006422F3">
            <w:pPr>
              <w:pStyle w:val="BodyText"/>
              <w:jc w:val="both"/>
              <w:rPr>
                <w:rFonts w:ascii="Times New Roman" w:hAnsi="Times New Roman" w:cs="Times New Roman"/>
              </w:rPr>
            </w:pPr>
          </w:p>
        </w:tc>
        <w:tc>
          <w:tcPr>
            <w:tcW w:w="3002" w:type="dxa"/>
            <w:tcBorders>
              <w:top w:val="nil"/>
              <w:left w:val="single" w:sz="4" w:space="0" w:color="auto"/>
              <w:bottom w:val="single" w:sz="4" w:space="0" w:color="auto"/>
              <w:right w:val="nil"/>
            </w:tcBorders>
            <w:shd w:val="clear" w:color="auto" w:fill="auto"/>
            <w:vAlign w:val="center"/>
          </w:tcPr>
          <w:p w:rsidR="006B2DE7" w:rsidRDefault="006B2DE7" w:rsidP="006422F3">
            <w:pPr>
              <w:pStyle w:val="BodyText"/>
              <w:jc w:val="both"/>
              <w:rPr>
                <w:rFonts w:ascii="Times New Roman" w:hAnsi="Times New Roman" w:cs="Times New Roman"/>
                <w:b/>
                <w:color w:val="000000"/>
                <w:sz w:val="24"/>
                <w:szCs w:val="24"/>
              </w:rPr>
            </w:pPr>
          </w:p>
          <w:p w:rsidR="006B2DE7" w:rsidRDefault="006B2DE7" w:rsidP="006422F3">
            <w:pPr>
              <w:pStyle w:val="BodyText"/>
              <w:jc w:val="both"/>
              <w:rPr>
                <w:rFonts w:ascii="Times New Roman" w:hAnsi="Times New Roman" w:cs="Times New Roman"/>
                <w:b/>
                <w:color w:val="000000"/>
                <w:sz w:val="24"/>
                <w:szCs w:val="24"/>
              </w:rPr>
            </w:pPr>
          </w:p>
          <w:p w:rsidR="006B2DE7" w:rsidRPr="006B2DE7" w:rsidRDefault="006B2DE7" w:rsidP="006422F3">
            <w:pPr>
              <w:pStyle w:val="BodyText"/>
              <w:jc w:val="both"/>
              <w:rPr>
                <w:rFonts w:ascii="Times New Roman" w:hAnsi="Times New Roman" w:cs="Times New Roman"/>
                <w:b/>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B543E6" w:rsidRPr="0065431D" w:rsidRDefault="00B543E6" w:rsidP="006422F3">
            <w:pPr>
              <w:pStyle w:val="BodyText"/>
              <w:jc w:val="both"/>
              <w:rPr>
                <w:rFonts w:ascii="Times New Roman" w:hAnsi="Times New Roman" w:cs="Times New Roman"/>
              </w:rPr>
            </w:pPr>
          </w:p>
        </w:tc>
      </w:tr>
      <w:tr w:rsidR="00B543E6" w:rsidRPr="0065431D" w:rsidTr="00D460BE">
        <w:tblPrEx>
          <w:tblCellMar>
            <w:top w:w="0" w:type="dxa"/>
            <w:bottom w:w="0" w:type="dxa"/>
          </w:tblCellMar>
        </w:tblPrEx>
        <w:trPr>
          <w:trHeight w:val="206"/>
        </w:trPr>
        <w:tc>
          <w:tcPr>
            <w:tcW w:w="5142" w:type="dxa"/>
            <w:gridSpan w:val="2"/>
            <w:tcBorders>
              <w:top w:val="single" w:sz="4" w:space="0" w:color="auto"/>
              <w:left w:val="single" w:sz="4" w:space="0" w:color="auto"/>
              <w:right w:val="single" w:sz="4" w:space="0" w:color="auto"/>
            </w:tcBorders>
            <w:shd w:val="clear" w:color="auto" w:fill="F3F3F3"/>
          </w:tcPr>
          <w:p w:rsidR="00B543E6" w:rsidRPr="0065431D" w:rsidRDefault="00B543E6" w:rsidP="006422F3">
            <w:pPr>
              <w:pStyle w:val="H1"/>
              <w:ind w:right="-120" w:hanging="70"/>
              <w:jc w:val="both"/>
              <w:rPr>
                <w:rFonts w:cs="Times New Roman"/>
                <w:sz w:val="20"/>
                <w:szCs w:val="20"/>
              </w:rPr>
            </w:pPr>
            <w:r w:rsidRPr="0065431D">
              <w:rPr>
                <w:rFonts w:cs="Times New Roman"/>
                <w:sz w:val="20"/>
                <w:szCs w:val="20"/>
              </w:rPr>
              <w:t>Programme Assessment/Review/Mid-Term Eval.</w:t>
            </w:r>
          </w:p>
        </w:tc>
        <w:tc>
          <w:tcPr>
            <w:tcW w:w="258" w:type="dxa"/>
            <w:vMerge w:val="restart"/>
            <w:tcBorders>
              <w:left w:val="single" w:sz="4" w:space="0" w:color="auto"/>
              <w:right w:val="single" w:sz="4" w:space="0" w:color="auto"/>
            </w:tcBorders>
          </w:tcPr>
          <w:p w:rsidR="00B543E6" w:rsidRPr="0065431D" w:rsidRDefault="00B543E6" w:rsidP="006422F3">
            <w:pPr>
              <w:jc w:val="both"/>
              <w:rPr>
                <w:sz w:val="20"/>
                <w:szCs w:val="20"/>
              </w:rPr>
            </w:pPr>
          </w:p>
        </w:tc>
        <w:tc>
          <w:tcPr>
            <w:tcW w:w="4986" w:type="dxa"/>
            <w:gridSpan w:val="2"/>
            <w:tcBorders>
              <w:top w:val="single" w:sz="4" w:space="0" w:color="auto"/>
              <w:left w:val="single" w:sz="4" w:space="0" w:color="auto"/>
              <w:right w:val="single" w:sz="4" w:space="0" w:color="auto"/>
            </w:tcBorders>
            <w:shd w:val="clear" w:color="auto" w:fill="F3F3F3"/>
          </w:tcPr>
          <w:p w:rsidR="00B543E6" w:rsidRPr="0065431D" w:rsidRDefault="00B543E6" w:rsidP="006422F3">
            <w:pPr>
              <w:pStyle w:val="H1"/>
              <w:jc w:val="both"/>
              <w:rPr>
                <w:rFonts w:cs="Times New Roman"/>
                <w:sz w:val="20"/>
                <w:szCs w:val="20"/>
              </w:rPr>
            </w:pPr>
            <w:r w:rsidRPr="0065431D">
              <w:rPr>
                <w:rFonts w:cs="Times New Roman"/>
                <w:bCs w:val="0"/>
                <w:sz w:val="20"/>
                <w:szCs w:val="20"/>
              </w:rPr>
              <w:t>Report Submitted By</w:t>
            </w:r>
          </w:p>
        </w:tc>
      </w:tr>
      <w:tr w:rsidR="00B543E6" w:rsidRPr="0065431D" w:rsidTr="00D460BE">
        <w:tblPrEx>
          <w:tblCellMar>
            <w:top w:w="0" w:type="dxa"/>
            <w:bottom w:w="0" w:type="dxa"/>
          </w:tblCellMar>
        </w:tblPrEx>
        <w:trPr>
          <w:trHeight w:val="285"/>
        </w:trPr>
        <w:tc>
          <w:tcPr>
            <w:tcW w:w="5142" w:type="dxa"/>
            <w:gridSpan w:val="2"/>
            <w:tcBorders>
              <w:left w:val="single" w:sz="4" w:space="0" w:color="auto"/>
              <w:bottom w:val="single" w:sz="4" w:space="0" w:color="auto"/>
              <w:right w:val="single" w:sz="4" w:space="0" w:color="auto"/>
            </w:tcBorders>
          </w:tcPr>
          <w:p w:rsidR="00B543E6" w:rsidRPr="0065431D" w:rsidRDefault="00B543E6" w:rsidP="006422F3">
            <w:pPr>
              <w:pStyle w:val="BodyText"/>
              <w:jc w:val="both"/>
              <w:rPr>
                <w:rFonts w:ascii="Times New Roman" w:hAnsi="Times New Roman" w:cs="Times New Roman"/>
                <w:bCs/>
                <w:i/>
                <w:iCs/>
                <w:snapToGrid w:val="0"/>
                <w:lang w:val="en-GB"/>
              </w:rPr>
            </w:pPr>
            <w:r w:rsidRPr="0065431D">
              <w:rPr>
                <w:rFonts w:ascii="Times New Roman" w:hAnsi="Times New Roman" w:cs="Times New Roman"/>
              </w:rPr>
              <w:t xml:space="preserve">Assessment/Review  - if applicable </w:t>
            </w:r>
            <w:r w:rsidRPr="0065431D">
              <w:rPr>
                <w:rFonts w:ascii="Times New Roman" w:hAnsi="Times New Roman" w:cs="Times New Roman"/>
                <w:bCs/>
                <w:i/>
                <w:iCs/>
                <w:snapToGrid w:val="0"/>
                <w:lang w:val="en-GB"/>
              </w:rPr>
              <w:t>please attach</w:t>
            </w:r>
          </w:p>
          <w:p w:rsidR="00B543E6" w:rsidRPr="0065431D" w:rsidRDefault="00125969" w:rsidP="006422F3">
            <w:pPr>
              <w:pStyle w:val="BodyText"/>
              <w:jc w:val="both"/>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56704" behindDoc="0" locked="0" layoutInCell="1" allowOverlap="1">
                      <wp:simplePos x="0" y="0"/>
                      <wp:positionH relativeFrom="column">
                        <wp:posOffset>524510</wp:posOffset>
                      </wp:positionH>
                      <wp:positionV relativeFrom="paragraph">
                        <wp:posOffset>17145</wp:posOffset>
                      </wp:positionV>
                      <wp:extent cx="90805" cy="90805"/>
                      <wp:effectExtent l="10160" t="7620" r="13335" b="63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1.3pt;margin-top:1.3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kGHAIAADo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"/>
                  </w:pict>
                </mc:Fallback>
              </mc:AlternateContent>
            </w:r>
            <w:r>
              <w:rPr>
                <w:rFonts w:ascii="Times New Roman" w:hAnsi="Times New Roman" w:cs="Times New Roman"/>
                <w:i/>
                <w:noProof/>
              </w:rPr>
              <mc:AlternateContent>
                <mc:Choice Requires="wps">
                  <w:drawing>
                    <wp:anchor distT="0" distB="0" distL="114300" distR="114300" simplePos="0" relativeHeight="251659776" behindDoc="0" locked="0" layoutInCell="1" allowOverlap="1">
                      <wp:simplePos x="0" y="0"/>
                      <wp:positionH relativeFrom="column">
                        <wp:posOffset>-8890</wp:posOffset>
                      </wp:positionH>
                      <wp:positionV relativeFrom="paragraph">
                        <wp:posOffset>17145</wp:posOffset>
                      </wp:positionV>
                      <wp:extent cx="90805" cy="90805"/>
                      <wp:effectExtent l="10160" t="7620" r="13335" b="63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pt;margin-top:1.3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EnGwIAADo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"/>
                  </w:pict>
                </mc:Fallback>
              </mc:AlternateContent>
            </w:r>
            <w:r w:rsidR="00B543E6" w:rsidRPr="0065431D">
              <w:rPr>
                <w:rFonts w:ascii="Times New Roman" w:hAnsi="Times New Roman" w:cs="Times New Roman"/>
              </w:rPr>
              <w:t xml:space="preserve">     Yes          No    Date: </w:t>
            </w:r>
            <w:r w:rsidR="00B543E6" w:rsidRPr="0065431D">
              <w:rPr>
                <w:rFonts w:ascii="Times New Roman" w:hAnsi="Times New Roman" w:cs="Times New Roman"/>
                <w:i/>
              </w:rPr>
              <w:t>dd.mm.yyyy</w:t>
            </w:r>
          </w:p>
          <w:p w:rsidR="00B543E6" w:rsidRPr="0065431D" w:rsidRDefault="00B543E6" w:rsidP="006422F3">
            <w:pPr>
              <w:pStyle w:val="BodyText"/>
              <w:jc w:val="both"/>
              <w:rPr>
                <w:rFonts w:ascii="Times New Roman" w:hAnsi="Times New Roman" w:cs="Times New Roman"/>
              </w:rPr>
            </w:pPr>
            <w:r w:rsidRPr="0065431D">
              <w:rPr>
                <w:rFonts w:ascii="Times New Roman" w:hAnsi="Times New Roman" w:cs="Times New Roman"/>
              </w:rPr>
              <w:t xml:space="preserve">Mid-Term Evaluation Report </w:t>
            </w:r>
            <w:r w:rsidRPr="0065431D">
              <w:rPr>
                <w:rFonts w:ascii="Times New Roman" w:hAnsi="Times New Roman" w:cs="Times New Roman"/>
                <w:bCs/>
                <w:i/>
                <w:iCs/>
                <w:snapToGrid w:val="0"/>
                <w:lang w:val="en-GB"/>
              </w:rPr>
              <w:t>– if applicable please attach</w:t>
            </w:r>
            <w:r w:rsidRPr="0065431D">
              <w:rPr>
                <w:rFonts w:ascii="Times New Roman" w:hAnsi="Times New Roman" w:cs="Times New Roman"/>
                <w:b/>
              </w:rPr>
              <w:t xml:space="preserve">          </w:t>
            </w:r>
          </w:p>
          <w:p w:rsidR="00B543E6" w:rsidRPr="0065431D" w:rsidRDefault="00125969" w:rsidP="006422F3">
            <w:pPr>
              <w:pStyle w:val="BodyText"/>
              <w:jc w:val="both"/>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58752" behindDoc="0" locked="0" layoutInCell="1" allowOverlap="1">
                      <wp:simplePos x="0" y="0"/>
                      <wp:positionH relativeFrom="column">
                        <wp:posOffset>519430</wp:posOffset>
                      </wp:positionH>
                      <wp:positionV relativeFrom="paragraph">
                        <wp:posOffset>20320</wp:posOffset>
                      </wp:positionV>
                      <wp:extent cx="90805" cy="90805"/>
                      <wp:effectExtent l="5080" t="10795" r="8890" b="1270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0.9pt;margin-top:1.6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k4Gw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"/>
                  </w:pict>
                </mc:Fallback>
              </mc:AlternateContent>
            </w:r>
            <w:r>
              <w:rPr>
                <w:rFonts w:ascii="Times New Roman" w:hAnsi="Times New Roman" w:cs="Times New Roman"/>
                <w:i/>
                <w:noProof/>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20955</wp:posOffset>
                      </wp:positionV>
                      <wp:extent cx="90805" cy="90805"/>
                      <wp:effectExtent l="10160" t="11430" r="13335" b="1206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pt;margin-top:1.6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WPGwIAADo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BSkoWPGwIAADoEAAAOAAAAAAAAAAAAAAAAAC4CAABkcnMvZTJvRG9jLnhtbFBLAQItABQA&#10;BgAIAAAAIQB1G/Ls3AAAAAYBAAAPAAAAAAAAAAAAAAAAAHUEAABkcnMvZG93bnJldi54bWxQSwUG&#10;AAAAAAQABADzAAAAfgUAAAAA&#10;"/>
                  </w:pict>
                </mc:Fallback>
              </mc:AlternateContent>
            </w:r>
            <w:r w:rsidR="00B543E6" w:rsidRPr="0065431D">
              <w:rPr>
                <w:rFonts w:ascii="Times New Roman" w:hAnsi="Times New Roman" w:cs="Times New Roman"/>
              </w:rPr>
              <w:t xml:space="preserve">      Yes          No    Date: </w:t>
            </w:r>
            <w:r w:rsidR="00B543E6" w:rsidRPr="0065431D">
              <w:rPr>
                <w:rFonts w:ascii="Times New Roman" w:hAnsi="Times New Roman" w:cs="Times New Roman"/>
                <w:i/>
              </w:rPr>
              <w:t>dd.mm.yyyy</w:t>
            </w:r>
          </w:p>
        </w:tc>
        <w:tc>
          <w:tcPr>
            <w:tcW w:w="258" w:type="dxa"/>
            <w:vMerge/>
            <w:tcBorders>
              <w:left w:val="single" w:sz="4" w:space="0" w:color="auto"/>
              <w:right w:val="single" w:sz="4" w:space="0" w:color="auto"/>
            </w:tcBorders>
          </w:tcPr>
          <w:p w:rsidR="00B543E6" w:rsidRPr="0065431D" w:rsidRDefault="00B543E6" w:rsidP="006422F3">
            <w:pPr>
              <w:pStyle w:val="BodyText"/>
              <w:jc w:val="both"/>
              <w:rPr>
                <w:rFonts w:ascii="Times New Roman" w:hAnsi="Times New Roman" w:cs="Times New Roman"/>
              </w:rPr>
            </w:pPr>
          </w:p>
        </w:tc>
        <w:tc>
          <w:tcPr>
            <w:tcW w:w="4986" w:type="dxa"/>
            <w:gridSpan w:val="2"/>
            <w:tcBorders>
              <w:left w:val="single" w:sz="4" w:space="0" w:color="auto"/>
              <w:bottom w:val="single" w:sz="4" w:space="0" w:color="auto"/>
              <w:right w:val="single" w:sz="4" w:space="0" w:color="auto"/>
            </w:tcBorders>
          </w:tcPr>
          <w:p w:rsidR="00B543E6" w:rsidRPr="0065431D" w:rsidRDefault="00B543E6" w:rsidP="006422F3">
            <w:pPr>
              <w:numPr>
                <w:ilvl w:val="0"/>
                <w:numId w:val="9"/>
              </w:numPr>
              <w:ind w:left="342"/>
              <w:jc w:val="both"/>
              <w:rPr>
                <w:sz w:val="20"/>
                <w:szCs w:val="20"/>
                <w:lang w:val="en-GB"/>
              </w:rPr>
            </w:pPr>
            <w:r w:rsidRPr="0065431D">
              <w:rPr>
                <w:sz w:val="20"/>
                <w:szCs w:val="20"/>
                <w:lang w:val="en-GB"/>
              </w:rPr>
              <w:t>Name:</w:t>
            </w:r>
            <w:r w:rsidR="00CD541E" w:rsidRPr="0065431D">
              <w:rPr>
                <w:sz w:val="20"/>
                <w:szCs w:val="20"/>
                <w:lang w:val="en-GB"/>
              </w:rPr>
              <w:t xml:space="preserve"> </w:t>
            </w:r>
            <w:r w:rsidR="00B4650E">
              <w:rPr>
                <w:sz w:val="20"/>
                <w:szCs w:val="20"/>
                <w:lang w:val="en-GB"/>
              </w:rPr>
              <w:t>Gon Myers</w:t>
            </w:r>
          </w:p>
          <w:p w:rsidR="00B543E6" w:rsidRPr="0065431D" w:rsidRDefault="00B543E6" w:rsidP="006422F3">
            <w:pPr>
              <w:numPr>
                <w:ilvl w:val="0"/>
                <w:numId w:val="9"/>
              </w:numPr>
              <w:ind w:left="342"/>
              <w:jc w:val="both"/>
              <w:rPr>
                <w:sz w:val="20"/>
                <w:szCs w:val="20"/>
                <w:lang w:val="en-GB"/>
              </w:rPr>
            </w:pPr>
            <w:r w:rsidRPr="0065431D">
              <w:rPr>
                <w:sz w:val="20"/>
                <w:szCs w:val="20"/>
                <w:lang w:val="en-GB"/>
              </w:rPr>
              <w:t>Title:</w:t>
            </w:r>
            <w:r w:rsidR="00B4650E">
              <w:rPr>
                <w:sz w:val="20"/>
                <w:szCs w:val="20"/>
                <w:lang w:val="en-GB"/>
              </w:rPr>
              <w:t xml:space="preserve"> Country Director/Representative</w:t>
            </w:r>
            <w:r w:rsidR="00CD541E" w:rsidRPr="0065431D">
              <w:rPr>
                <w:sz w:val="20"/>
                <w:szCs w:val="20"/>
                <w:lang w:val="en-GB"/>
              </w:rPr>
              <w:t xml:space="preserve"> </w:t>
            </w:r>
          </w:p>
          <w:p w:rsidR="00B543E6" w:rsidRPr="0065431D" w:rsidRDefault="00B543E6" w:rsidP="006422F3">
            <w:pPr>
              <w:numPr>
                <w:ilvl w:val="0"/>
                <w:numId w:val="9"/>
              </w:numPr>
              <w:ind w:left="342"/>
              <w:jc w:val="both"/>
              <w:rPr>
                <w:sz w:val="20"/>
                <w:szCs w:val="20"/>
                <w:lang w:val="en-GB"/>
              </w:rPr>
            </w:pPr>
            <w:r w:rsidRPr="0065431D">
              <w:rPr>
                <w:sz w:val="20"/>
                <w:szCs w:val="20"/>
                <w:lang w:val="en-GB"/>
              </w:rPr>
              <w:t>Participating Organization (Lead):</w:t>
            </w:r>
            <w:r w:rsidR="00CD541E" w:rsidRPr="0065431D">
              <w:rPr>
                <w:sz w:val="20"/>
                <w:szCs w:val="20"/>
                <w:lang w:val="en-GB"/>
              </w:rPr>
              <w:t xml:space="preserve"> WFP</w:t>
            </w:r>
          </w:p>
          <w:p w:rsidR="00B543E6" w:rsidRPr="0065431D" w:rsidRDefault="00B543E6" w:rsidP="0021310A">
            <w:pPr>
              <w:pStyle w:val="BodyText"/>
              <w:numPr>
                <w:ilvl w:val="0"/>
                <w:numId w:val="9"/>
              </w:numPr>
              <w:spacing w:after="120"/>
              <w:ind w:left="342"/>
              <w:jc w:val="both"/>
              <w:rPr>
                <w:rFonts w:ascii="Times New Roman" w:hAnsi="Times New Roman" w:cs="Times New Roman"/>
                <w:b/>
                <w:bCs/>
                <w:snapToGrid w:val="0"/>
                <w:kern w:val="32"/>
              </w:rPr>
            </w:pPr>
            <w:r w:rsidRPr="0065431D">
              <w:rPr>
                <w:rFonts w:ascii="Times New Roman" w:hAnsi="Times New Roman" w:cs="Times New Roman"/>
              </w:rPr>
              <w:t>Email address:</w:t>
            </w:r>
            <w:r w:rsidR="00B4650E">
              <w:rPr>
                <w:rFonts w:ascii="Times New Roman" w:hAnsi="Times New Roman" w:cs="Times New Roman"/>
              </w:rPr>
              <w:t>gon.myers@wfp.org</w:t>
            </w:r>
          </w:p>
        </w:tc>
      </w:tr>
    </w:tbl>
    <w:p w:rsidR="00B543E6" w:rsidRPr="0065431D" w:rsidRDefault="00B543E6" w:rsidP="006422F3">
      <w:pPr>
        <w:jc w:val="both"/>
      </w:pPr>
      <w:r w:rsidRPr="0065431D">
        <w:rPr>
          <w:b/>
          <w:bCs/>
          <w:caps/>
        </w:rPr>
        <w:br w:type="page"/>
      </w:r>
    </w:p>
    <w:p w:rsidR="00B543E6" w:rsidRPr="0065431D" w:rsidRDefault="00B543E6" w:rsidP="006422F3">
      <w:pPr>
        <w:pStyle w:val="Heading1"/>
        <w:tabs>
          <w:tab w:val="left" w:pos="360"/>
        </w:tabs>
        <w:ind w:left="0"/>
        <w:rPr>
          <w:rFonts w:ascii="Times New Roman" w:hAnsi="Times New Roman"/>
          <w:sz w:val="24"/>
          <w:szCs w:val="24"/>
          <w:u w:val="single"/>
        </w:rPr>
      </w:pPr>
      <w:r w:rsidRPr="0065431D">
        <w:rPr>
          <w:rFonts w:ascii="Times New Roman" w:hAnsi="Times New Roman"/>
          <w:sz w:val="24"/>
          <w:szCs w:val="24"/>
          <w:u w:val="single"/>
        </w:rPr>
        <w:br w:type="page"/>
      </w:r>
      <w:bookmarkStart w:id="1" w:name="_Toc249364482"/>
      <w:r w:rsidRPr="0065431D">
        <w:rPr>
          <w:rFonts w:ascii="Times New Roman" w:hAnsi="Times New Roman"/>
          <w:sz w:val="24"/>
          <w:szCs w:val="24"/>
          <w:u w:val="single"/>
        </w:rPr>
        <w:lastRenderedPageBreak/>
        <w:t>NARRATIVE REPORT FORMAT</w:t>
      </w:r>
      <w:bookmarkEnd w:id="1"/>
    </w:p>
    <w:p w:rsidR="00B543E6" w:rsidRPr="0065431D" w:rsidRDefault="00B543E6" w:rsidP="006422F3">
      <w:pPr>
        <w:jc w:val="both"/>
      </w:pPr>
    </w:p>
    <w:p w:rsidR="00B543E6" w:rsidRPr="0065431D" w:rsidRDefault="00B543E6" w:rsidP="006422F3">
      <w:pPr>
        <w:pStyle w:val="Heading1"/>
        <w:tabs>
          <w:tab w:val="left" w:pos="360"/>
        </w:tabs>
        <w:ind w:left="0"/>
        <w:rPr>
          <w:rFonts w:ascii="Times New Roman" w:hAnsi="Times New Roman"/>
          <w:sz w:val="24"/>
          <w:szCs w:val="24"/>
          <w:lang w:val="en-US"/>
        </w:rPr>
      </w:pPr>
      <w:bookmarkStart w:id="2" w:name="_Toc249364483"/>
      <w:r w:rsidRPr="0065431D">
        <w:rPr>
          <w:rFonts w:ascii="Times New Roman" w:hAnsi="Times New Roman"/>
          <w:sz w:val="24"/>
          <w:szCs w:val="24"/>
          <w:lang w:val="en-US"/>
        </w:rPr>
        <w:t xml:space="preserve">EXECUTIVE SUMMARY </w:t>
      </w:r>
    </w:p>
    <w:p w:rsidR="00D719E2" w:rsidRPr="0065431D" w:rsidRDefault="00D719E2" w:rsidP="006422F3">
      <w:pPr>
        <w:jc w:val="both"/>
        <w:rPr>
          <w:lang w:eastAsia="x-none"/>
        </w:rPr>
      </w:pPr>
    </w:p>
    <w:p w:rsidR="00BF5081" w:rsidRPr="00BF5081" w:rsidRDefault="00BF5081" w:rsidP="00BF5081">
      <w:pPr>
        <w:jc w:val="both"/>
        <w:rPr>
          <w:rFonts w:eastAsia="Calibri"/>
          <w:lang w:val="en-GB" w:eastAsia="en-GB"/>
        </w:rPr>
      </w:pPr>
      <w:r w:rsidRPr="00BF5081">
        <w:rPr>
          <w:rFonts w:eastAsia="Calibri"/>
          <w:snapToGrid w:val="0"/>
          <w:lang w:val="en-GB"/>
        </w:rPr>
        <w:t xml:space="preserve">This report relates to the MTDF funded Basic Education and School Feeding Programme implemented by WFP and the UNICEF Sierra Leone country office. </w:t>
      </w:r>
      <w:r w:rsidRPr="00BF5081">
        <w:rPr>
          <w:rFonts w:eastAsia="Calibri"/>
          <w:snapToGrid w:val="0"/>
          <w:shd w:val="clear" w:color="auto" w:fill="FFFFFF"/>
          <w:lang w:val="en-GB"/>
        </w:rPr>
        <w:t>The MPTF assistance aligns with the second PRSP document of Sierra Leone which highlights School Feeding as one of the interventions that can be used to ensure retention and completion in Schools located in the most vulnerable settlements.</w:t>
      </w:r>
      <w:r w:rsidRPr="00BF5081">
        <w:rPr>
          <w:rFonts w:eastAsia="Calibri"/>
          <w:snapToGrid w:val="0"/>
          <w:lang w:val="en-GB"/>
        </w:rPr>
        <w:t xml:space="preserve"> The Education Sector Plan 2007---2015 also mentions the need for the expansion of school feeding to areas not yet covered by the programme to help improve completion rate.  Component 5 of the draft document of the Small Holder Commercialization programme under the auspices of the Ministry of Agriculture and Food Security also mentions school feeding as a safety net in its social protection scheme</w:t>
      </w:r>
      <w:r w:rsidRPr="00BF5081">
        <w:rPr>
          <w:rFonts w:eastAsia="Calibri"/>
          <w:b/>
          <w:bCs/>
          <w:snapToGrid w:val="0"/>
          <w:u w:val="single"/>
          <w:lang w:val="en-GB"/>
        </w:rPr>
        <w:t xml:space="preserve">. </w:t>
      </w:r>
      <w:r w:rsidRPr="00BF5081">
        <w:rPr>
          <w:rFonts w:eastAsia="Calibri"/>
          <w:lang w:val="en-GB" w:eastAsia="en-GB"/>
        </w:rPr>
        <w:t>The most vulnerable chiefdoms in the country were targeted with school feeding. The targeting was based on the Comprehensive Food Security Vulnerability Assessment (CFSVA) and a sub-district/chiefdom vulnerability profiling conducted with MEST in consultation with Paramount Chiefs, Agencies, NGOs Government line ministries, Education Development Partners and other stakeholders within the districts. The intended deliverable of reaching 400,000 school pupils was not achieved and was readjusted to reflect the dearth in resource situation. This led to a corresponding adjustment of the metric tons distributed. A baseline survey was conducted to establish the pre-operation status of the indicators for eventual measurement of change.</w:t>
      </w:r>
    </w:p>
    <w:p w:rsidR="00BF5081" w:rsidRPr="00BF5081" w:rsidRDefault="00BF5081" w:rsidP="00BF5081">
      <w:pPr>
        <w:jc w:val="both"/>
        <w:rPr>
          <w:rFonts w:eastAsia="Calibri"/>
          <w:lang w:val="en-GB" w:eastAsia="en-GB"/>
        </w:rPr>
      </w:pPr>
    </w:p>
    <w:p w:rsidR="00BF5081" w:rsidRPr="00BF5081" w:rsidRDefault="00BF5081" w:rsidP="00BF5081">
      <w:pPr>
        <w:jc w:val="both"/>
        <w:rPr>
          <w:rFonts w:eastAsia="Calibri"/>
        </w:rPr>
      </w:pPr>
    </w:p>
    <w:p w:rsidR="00BF5081" w:rsidRPr="00BF5081" w:rsidRDefault="00BF5081" w:rsidP="00BF5081">
      <w:pPr>
        <w:jc w:val="both"/>
        <w:rPr>
          <w:rFonts w:eastAsia="Calibri"/>
        </w:rPr>
      </w:pPr>
      <w:r w:rsidRPr="00BF5081">
        <w:rPr>
          <w:rFonts w:eastAsia="Calibri"/>
        </w:rPr>
        <w:t>The reporting period covers July 2011 to July 2012 for the school feeding and November 2011 to December 2012 for Basic education.  The total programme allocation for Basic education was US$ 494,030 of which US$ 494,027 has been spent and US$ 735.000 of which US $735 was spent on School feeding. The report also includes the purpose of the programme, outputs, outcomes, challenges and lessons learned.</w:t>
      </w:r>
    </w:p>
    <w:p w:rsidR="00BF5081" w:rsidRPr="00BF5081" w:rsidRDefault="00BF5081" w:rsidP="00BF5081">
      <w:pPr>
        <w:jc w:val="both"/>
        <w:rPr>
          <w:rFonts w:eastAsia="Calibri"/>
        </w:rPr>
      </w:pPr>
    </w:p>
    <w:p w:rsidR="00BF5081" w:rsidRPr="00BF5081" w:rsidRDefault="00BF5081" w:rsidP="00BF5081">
      <w:pPr>
        <w:jc w:val="both"/>
        <w:rPr>
          <w:rFonts w:eastAsia="Calibri"/>
          <w:lang w:eastAsia="x-none"/>
        </w:rPr>
      </w:pPr>
      <w:r w:rsidRPr="00BF5081">
        <w:rPr>
          <w:rFonts w:eastAsia="Calibri"/>
          <w:lang w:eastAsia="x-none"/>
        </w:rPr>
        <w:t>The key achievements:</w:t>
      </w:r>
    </w:p>
    <w:p w:rsidR="00BF5081" w:rsidRPr="00BF5081" w:rsidRDefault="00BF5081" w:rsidP="00BF5081">
      <w:pPr>
        <w:jc w:val="both"/>
        <w:rPr>
          <w:rFonts w:eastAsia="Calibri"/>
        </w:rPr>
      </w:pPr>
      <w:r w:rsidRPr="00BF5081">
        <w:rPr>
          <w:rFonts w:eastAsia="Calibri"/>
          <w:lang w:eastAsia="x-none"/>
        </w:rPr>
        <w:t xml:space="preserve"> </w:t>
      </w:r>
      <w:r w:rsidRPr="00BF5081">
        <w:rPr>
          <w:rFonts w:eastAsia="Calibri"/>
          <w:b/>
          <w:lang w:eastAsia="x-none"/>
        </w:rPr>
        <w:t>A. Basic Education</w:t>
      </w:r>
      <w:r w:rsidRPr="00BF5081">
        <w:rPr>
          <w:rFonts w:eastAsia="Calibri"/>
          <w:lang w:eastAsia="x-none"/>
        </w:rPr>
        <w:t>:</w:t>
      </w:r>
    </w:p>
    <w:p w:rsidR="00BF5081" w:rsidRPr="00BF5081" w:rsidRDefault="00BF5081" w:rsidP="00BF5081">
      <w:pPr>
        <w:numPr>
          <w:ilvl w:val="0"/>
          <w:numId w:val="42"/>
        </w:numPr>
        <w:spacing w:after="200"/>
        <w:contextualSpacing/>
        <w:jc w:val="both"/>
        <w:rPr>
          <w:rFonts w:eastAsia="Calibri"/>
        </w:rPr>
      </w:pPr>
      <w:r w:rsidRPr="00BF5081">
        <w:rPr>
          <w:rFonts w:eastAsia="Calibri"/>
        </w:rPr>
        <w:t>Training of 69 cluster monitors and coordinators from 6 districts of Bonthe, Kenema and Tonkolili, Pujehun, Koinadugu and Western Rural Area to monitor 1,547 schools</w:t>
      </w:r>
    </w:p>
    <w:p w:rsidR="00BF5081" w:rsidRPr="00BF5081" w:rsidRDefault="00BF5081" w:rsidP="00BF5081">
      <w:pPr>
        <w:numPr>
          <w:ilvl w:val="0"/>
          <w:numId w:val="42"/>
        </w:numPr>
        <w:spacing w:after="200"/>
        <w:contextualSpacing/>
        <w:jc w:val="both"/>
        <w:rPr>
          <w:rFonts w:eastAsia="Calibri"/>
        </w:rPr>
      </w:pPr>
      <w:r w:rsidRPr="00BF5081">
        <w:rPr>
          <w:rFonts w:eastAsia="Calibri"/>
        </w:rPr>
        <w:t>Training of 750 Untrained and Unqualified teachers using the distance education approach</w:t>
      </w:r>
    </w:p>
    <w:p w:rsidR="00BF5081" w:rsidRPr="00BF5081" w:rsidRDefault="00BF5081" w:rsidP="00BF5081">
      <w:pPr>
        <w:numPr>
          <w:ilvl w:val="0"/>
          <w:numId w:val="42"/>
        </w:numPr>
        <w:spacing w:after="200"/>
        <w:contextualSpacing/>
        <w:jc w:val="both"/>
        <w:rPr>
          <w:rFonts w:eastAsia="Calibri"/>
        </w:rPr>
      </w:pPr>
      <w:r w:rsidRPr="00BF5081">
        <w:rPr>
          <w:rFonts w:eastAsia="Calibri"/>
        </w:rPr>
        <w:t>Quarterly Monitoring of Distance Education, Child-Centered Teaching Techniques and Emerging Issues by  Local Councils and MEST</w:t>
      </w:r>
    </w:p>
    <w:p w:rsidR="00BF5081" w:rsidRPr="00BF5081" w:rsidRDefault="00BF5081" w:rsidP="00BF5081">
      <w:pPr>
        <w:numPr>
          <w:ilvl w:val="0"/>
          <w:numId w:val="42"/>
        </w:numPr>
        <w:spacing w:after="200"/>
        <w:contextualSpacing/>
        <w:jc w:val="both"/>
        <w:rPr>
          <w:rFonts w:eastAsia="Calibri"/>
        </w:rPr>
      </w:pPr>
      <w:r w:rsidRPr="00BF5081">
        <w:rPr>
          <w:rFonts w:eastAsia="Calibri"/>
        </w:rPr>
        <w:t>Roll-out of Child Friendly Schooling (CFS) in 40 schools in two districts (Pujehun and Tonkolili)</w:t>
      </w:r>
    </w:p>
    <w:p w:rsidR="00BF5081" w:rsidRPr="00BF5081" w:rsidRDefault="00BF5081" w:rsidP="00BF5081">
      <w:pPr>
        <w:numPr>
          <w:ilvl w:val="0"/>
          <w:numId w:val="42"/>
        </w:numPr>
        <w:spacing w:after="200"/>
        <w:contextualSpacing/>
        <w:jc w:val="both"/>
        <w:rPr>
          <w:rFonts w:eastAsia="Calibri"/>
        </w:rPr>
      </w:pPr>
      <w:r w:rsidRPr="00BF5081">
        <w:rPr>
          <w:rFonts w:eastAsia="Calibri"/>
        </w:rPr>
        <w:t xml:space="preserve">Celebration of the First International Day of the Girl-Child on 11 October 2012     </w:t>
      </w:r>
    </w:p>
    <w:p w:rsidR="00BF5081" w:rsidRPr="00BF5081" w:rsidRDefault="00BF5081" w:rsidP="00BF5081">
      <w:pPr>
        <w:numPr>
          <w:ilvl w:val="0"/>
          <w:numId w:val="42"/>
        </w:numPr>
        <w:spacing w:after="200"/>
        <w:contextualSpacing/>
        <w:jc w:val="both"/>
        <w:rPr>
          <w:rFonts w:eastAsia="Calibri"/>
        </w:rPr>
      </w:pPr>
      <w:r w:rsidRPr="00BF5081">
        <w:rPr>
          <w:rFonts w:eastAsia="Calibri"/>
        </w:rPr>
        <w:t>Support to 82 chiefdoms to develop and implement action plans to track and enroll out of school children from six chiefdoms (Bo, Bonthe, Pujehun, Moyamba, Kenema and Kailahun)</w:t>
      </w:r>
    </w:p>
    <w:p w:rsidR="00BF5081" w:rsidRPr="00BF5081" w:rsidRDefault="00BF5081" w:rsidP="00BF5081">
      <w:pPr>
        <w:spacing w:after="200"/>
        <w:contextualSpacing/>
        <w:jc w:val="both"/>
        <w:rPr>
          <w:rFonts w:eastAsia="Calibri"/>
          <w:b/>
          <w:lang w:eastAsia="x-none"/>
        </w:rPr>
      </w:pPr>
    </w:p>
    <w:p w:rsidR="00BF5081" w:rsidRPr="00BF5081" w:rsidRDefault="00BF5081" w:rsidP="00BF5081">
      <w:pPr>
        <w:spacing w:after="200"/>
        <w:contextualSpacing/>
        <w:jc w:val="both"/>
        <w:rPr>
          <w:rFonts w:eastAsia="Calibri"/>
          <w:b/>
          <w:lang w:eastAsia="x-none"/>
        </w:rPr>
      </w:pPr>
    </w:p>
    <w:p w:rsidR="00BF5081" w:rsidRPr="00BF5081" w:rsidRDefault="00BF5081" w:rsidP="00BF5081">
      <w:pPr>
        <w:spacing w:after="200"/>
        <w:contextualSpacing/>
        <w:jc w:val="both"/>
        <w:rPr>
          <w:rFonts w:eastAsia="Calibri"/>
          <w:b/>
          <w:lang w:eastAsia="x-none"/>
        </w:rPr>
      </w:pPr>
      <w:r w:rsidRPr="00BF5081">
        <w:rPr>
          <w:rFonts w:eastAsia="Calibri"/>
          <w:b/>
          <w:lang w:eastAsia="x-none"/>
        </w:rPr>
        <w:t>B.</w:t>
      </w:r>
      <w:r w:rsidR="000B60B8">
        <w:rPr>
          <w:rFonts w:eastAsia="Calibri"/>
          <w:b/>
          <w:lang w:eastAsia="x-none"/>
        </w:rPr>
        <w:t xml:space="preserve"> </w:t>
      </w:r>
      <w:r w:rsidRPr="00BF5081">
        <w:rPr>
          <w:rFonts w:eastAsia="Calibri"/>
          <w:b/>
          <w:lang w:eastAsia="x-none"/>
        </w:rPr>
        <w:t>School Feeding:</w:t>
      </w:r>
    </w:p>
    <w:p w:rsidR="00BF5081" w:rsidRPr="00BF5081" w:rsidRDefault="00BF5081" w:rsidP="00BF5081">
      <w:pPr>
        <w:numPr>
          <w:ilvl w:val="0"/>
          <w:numId w:val="42"/>
        </w:numPr>
        <w:spacing w:after="200"/>
        <w:contextualSpacing/>
        <w:jc w:val="both"/>
        <w:rPr>
          <w:rFonts w:eastAsia="Calibri"/>
          <w:lang w:val="en-GB" w:eastAsia="en-GB"/>
        </w:rPr>
      </w:pPr>
      <w:r w:rsidRPr="00BF5081">
        <w:rPr>
          <w:rFonts w:eastAsia="Calibri"/>
          <w:lang w:val="en-GB" w:eastAsia="en-GB"/>
        </w:rPr>
        <w:t xml:space="preserve">significant increase in the ratio of boys and girls in WFP assisted schools </w:t>
      </w:r>
    </w:p>
    <w:p w:rsidR="00BF5081" w:rsidRPr="00BF5081" w:rsidRDefault="00BF5081" w:rsidP="00BF5081">
      <w:pPr>
        <w:numPr>
          <w:ilvl w:val="0"/>
          <w:numId w:val="42"/>
        </w:numPr>
        <w:spacing w:after="200"/>
        <w:contextualSpacing/>
        <w:jc w:val="both"/>
        <w:rPr>
          <w:rFonts w:eastAsia="Calibri"/>
        </w:rPr>
      </w:pPr>
      <w:r w:rsidRPr="00BF5081">
        <w:rPr>
          <w:rFonts w:eastAsia="Calibri"/>
        </w:rPr>
        <w:t>Increase in attendance Planned 90% and achieved 90%.</w:t>
      </w:r>
    </w:p>
    <w:p w:rsidR="00BF5081" w:rsidRPr="00BF5081" w:rsidRDefault="00BF5081" w:rsidP="00BF5081">
      <w:pPr>
        <w:numPr>
          <w:ilvl w:val="0"/>
          <w:numId w:val="42"/>
        </w:numPr>
        <w:spacing w:after="200"/>
        <w:contextualSpacing/>
        <w:jc w:val="both"/>
        <w:rPr>
          <w:rFonts w:eastAsia="Calibri"/>
        </w:rPr>
      </w:pPr>
      <w:r w:rsidRPr="00BF5081">
        <w:rPr>
          <w:rFonts w:eastAsia="Calibri"/>
        </w:rPr>
        <w:t>Increase in Enrollment</w:t>
      </w:r>
      <w:r w:rsidRPr="00BF5081">
        <w:rPr>
          <w:rFonts w:eastAsia="Calibri"/>
          <w:b/>
          <w:bCs/>
        </w:rPr>
        <w:t xml:space="preserve"> </w:t>
      </w:r>
      <w:r w:rsidRPr="00BF5081">
        <w:rPr>
          <w:rFonts w:eastAsia="Calibri"/>
        </w:rPr>
        <w:t>18% for girls and achieved 18%</w:t>
      </w:r>
      <w:r w:rsidRPr="00BF5081">
        <w:rPr>
          <w:rFonts w:eastAsia="Calibri"/>
          <w:b/>
          <w:bCs/>
        </w:rPr>
        <w:t xml:space="preserve">, </w:t>
      </w:r>
      <w:r w:rsidRPr="00BF5081">
        <w:rPr>
          <w:rFonts w:eastAsia="Calibri"/>
        </w:rPr>
        <w:t>planned 17% increase achieved 18% for boys.</w:t>
      </w:r>
    </w:p>
    <w:p w:rsidR="00BF5081" w:rsidRPr="00BF5081" w:rsidRDefault="00BF5081" w:rsidP="00BF5081">
      <w:pPr>
        <w:numPr>
          <w:ilvl w:val="0"/>
          <w:numId w:val="42"/>
        </w:numPr>
        <w:spacing w:after="200"/>
        <w:contextualSpacing/>
        <w:jc w:val="both"/>
        <w:rPr>
          <w:rFonts w:eastAsia="Calibri"/>
        </w:rPr>
      </w:pPr>
      <w:r w:rsidRPr="00BF5081">
        <w:rPr>
          <w:rFonts w:eastAsia="Calibri"/>
        </w:rPr>
        <w:t>Orientation of 35 partner MEST staff was achieved.</w:t>
      </w:r>
    </w:p>
    <w:p w:rsidR="00BF5081" w:rsidRPr="00BF5081" w:rsidRDefault="00BF5081" w:rsidP="00BF5081">
      <w:pPr>
        <w:numPr>
          <w:ilvl w:val="0"/>
          <w:numId w:val="42"/>
        </w:numPr>
        <w:spacing w:after="200"/>
        <w:contextualSpacing/>
        <w:jc w:val="both"/>
        <w:rPr>
          <w:rFonts w:eastAsia="Calibri"/>
        </w:rPr>
      </w:pPr>
      <w:r w:rsidRPr="00BF5081">
        <w:rPr>
          <w:rFonts w:eastAsia="Calibri"/>
        </w:rPr>
        <w:t>Food management committees were trained in assisted schools.</w:t>
      </w:r>
    </w:p>
    <w:p w:rsidR="00BF5081" w:rsidRPr="00BF5081" w:rsidRDefault="00BF5081" w:rsidP="00BF5081">
      <w:pPr>
        <w:ind w:left="1440"/>
        <w:jc w:val="both"/>
        <w:rPr>
          <w:rFonts w:eastAsia="Calibri"/>
        </w:rPr>
      </w:pPr>
    </w:p>
    <w:p w:rsidR="00BF5081" w:rsidRPr="00BF5081" w:rsidRDefault="00BF5081" w:rsidP="00BF5081">
      <w:pPr>
        <w:jc w:val="both"/>
        <w:rPr>
          <w:rFonts w:eastAsia="Calibri"/>
        </w:rPr>
      </w:pPr>
      <w:r w:rsidRPr="00BF5081">
        <w:rPr>
          <w:rFonts w:eastAsia="Calibri"/>
        </w:rPr>
        <w:t>Activity reports from Implementing Partners (IP) in the Basic Education programme showed the contribution has provided access to education for 11,500 (49% girls) children living in Bonthe, Kenema and Tonkolili, Pujehun, Moyamba through the creation of improved learning spaces and a more child-friendly environment, including 30,000 primary school pupils benefitting from the skills and knowledge of the trained teachers in Child Centred Teaching Techniques (CCTT).</w:t>
      </w:r>
    </w:p>
    <w:p w:rsidR="00BF5081" w:rsidRPr="00BF5081" w:rsidRDefault="00BF5081" w:rsidP="00BF5081">
      <w:pPr>
        <w:spacing w:after="200"/>
        <w:contextualSpacing/>
        <w:rPr>
          <w:rFonts w:eastAsia="Calibri"/>
          <w:b/>
          <w:bCs/>
        </w:rPr>
      </w:pPr>
      <w:r w:rsidRPr="00BF5081">
        <w:rPr>
          <w:rFonts w:eastAsia="Calibri"/>
        </w:rPr>
        <w:t xml:space="preserve">This number is expected to rise over the next years as more children are attracted to </w:t>
      </w:r>
      <w:r w:rsidR="00440AA3" w:rsidRPr="00BF5081">
        <w:rPr>
          <w:rFonts w:eastAsia="Calibri"/>
        </w:rPr>
        <w:t>enroll</w:t>
      </w:r>
      <w:r w:rsidRPr="00BF5081">
        <w:rPr>
          <w:rFonts w:eastAsia="Calibri"/>
        </w:rPr>
        <w:t xml:space="preserve"> and regularly attend school and complete six years of primary education.</w:t>
      </w:r>
    </w:p>
    <w:p w:rsidR="00BF5081" w:rsidRPr="00BF5081" w:rsidRDefault="00BF5081" w:rsidP="00BF5081">
      <w:pPr>
        <w:spacing w:after="200"/>
        <w:contextualSpacing/>
        <w:rPr>
          <w:rFonts w:eastAsia="Calibri"/>
        </w:rPr>
      </w:pPr>
      <w:r w:rsidRPr="00BF5081">
        <w:rPr>
          <w:rFonts w:eastAsia="Calibri"/>
        </w:rPr>
        <w:t xml:space="preserve">It also enhanced the capacity of Local and District councils in monitoring and strengthened community structures support to education. </w:t>
      </w:r>
    </w:p>
    <w:p w:rsidR="00BF5081" w:rsidRPr="00BF5081" w:rsidRDefault="00BF5081" w:rsidP="00BF5081">
      <w:pPr>
        <w:rPr>
          <w:rFonts w:eastAsia="Calibri"/>
        </w:rPr>
      </w:pPr>
    </w:p>
    <w:p w:rsidR="00BF5081" w:rsidRPr="00BF5081" w:rsidRDefault="00BF5081" w:rsidP="00BF5081">
      <w:pPr>
        <w:rPr>
          <w:rFonts w:ascii="Calibri" w:eastAsia="Calibri" w:hAnsi="Calibri"/>
          <w:sz w:val="22"/>
          <w:szCs w:val="22"/>
        </w:rPr>
      </w:pPr>
    </w:p>
    <w:p w:rsidR="00BF5081" w:rsidRPr="00BF5081" w:rsidRDefault="00BF5081" w:rsidP="00BF5081">
      <w:pPr>
        <w:widowControl w:val="0"/>
        <w:jc w:val="both"/>
        <w:rPr>
          <w:bCs/>
          <w:snapToGrid w:val="0"/>
          <w:color w:val="FF0000"/>
          <w:lang w:val="en-GB"/>
        </w:rPr>
      </w:pPr>
    </w:p>
    <w:p w:rsidR="00CA5352" w:rsidRPr="000B60B8" w:rsidRDefault="00015581" w:rsidP="00015581">
      <w:pPr>
        <w:pStyle w:val="BodyText"/>
        <w:tabs>
          <w:tab w:val="left" w:pos="720"/>
        </w:tabs>
        <w:spacing w:before="120"/>
        <w:jc w:val="both"/>
        <w:rPr>
          <w:rFonts w:ascii="Times New Roman" w:hAnsi="Times New Roman" w:cs="Times New Roman"/>
          <w:b/>
          <w:sz w:val="24"/>
          <w:szCs w:val="24"/>
        </w:rPr>
      </w:pPr>
      <w:r w:rsidRPr="000B60B8">
        <w:rPr>
          <w:rFonts w:ascii="Times New Roman" w:hAnsi="Times New Roman" w:cs="Times New Roman"/>
          <w:b/>
          <w:sz w:val="24"/>
          <w:szCs w:val="24"/>
        </w:rPr>
        <w:t xml:space="preserve">I. </w:t>
      </w:r>
      <w:r w:rsidR="00B543E6" w:rsidRPr="000B60B8">
        <w:rPr>
          <w:rFonts w:ascii="Times New Roman" w:hAnsi="Times New Roman" w:cs="Times New Roman"/>
          <w:b/>
          <w:sz w:val="24"/>
          <w:szCs w:val="24"/>
        </w:rPr>
        <w:t>Purpose</w:t>
      </w:r>
      <w:bookmarkEnd w:id="2"/>
      <w:r w:rsidR="001E1287" w:rsidRPr="000B60B8">
        <w:rPr>
          <w:rFonts w:ascii="Times New Roman" w:hAnsi="Times New Roman" w:cs="Times New Roman"/>
          <w:b/>
          <w:sz w:val="24"/>
          <w:szCs w:val="24"/>
        </w:rPr>
        <w:t xml:space="preserve"> </w:t>
      </w:r>
    </w:p>
    <w:p w:rsidR="00CF4343" w:rsidRPr="00CF4343" w:rsidRDefault="00714921" w:rsidP="00CF4343">
      <w:pPr>
        <w:pStyle w:val="ColorfulList-Accent1"/>
        <w:ind w:left="0"/>
        <w:jc w:val="both"/>
        <w:rPr>
          <w:rFonts w:ascii="Times New Roman" w:eastAsia="MS Mincho" w:hAnsi="Times New Roman"/>
        </w:rPr>
      </w:pPr>
      <w:r w:rsidRPr="00CF4343">
        <w:rPr>
          <w:rFonts w:ascii="Times New Roman" w:hAnsi="Times New Roman"/>
        </w:rPr>
        <w:t>The national strategy for the MDTF is focused on two central goals: the consolidation of peace and pro-poor growth. Both goals are designed to help reach the Millennium Development Goals as a means to make peace sustainable.  The Basic Education and School Feeding Programme is therefore contributing to increased access to primary education for children as well as to increased completion rates of primary school education. The activities implemented by WFP led to the following outcomes: (a)</w:t>
      </w:r>
      <w:r w:rsidRPr="00CF4343">
        <w:rPr>
          <w:rFonts w:ascii="Times New Roman" w:eastAsia="Calibri" w:hAnsi="Times New Roman"/>
        </w:rPr>
        <w:t xml:space="preserve"> </w:t>
      </w:r>
      <w:r w:rsidR="00CF4343" w:rsidRPr="00CF4343">
        <w:rPr>
          <w:rFonts w:ascii="Times New Roman" w:eastAsia="MS Mincho" w:hAnsi="Times New Roman"/>
        </w:rPr>
        <w:t>Food and non-food items distributed in sufficient quantity and quality to targeted girls and boys,</w:t>
      </w:r>
      <w:r w:rsidRPr="00CF4343">
        <w:rPr>
          <w:rFonts w:ascii="Times New Roman" w:eastAsia="Calibri" w:hAnsi="Times New Roman"/>
        </w:rPr>
        <w:t xml:space="preserve"> indicated by improvement in enrolment, attendance and an improvement in the gender ratio for girls who are mostly underrepresented in schools. (b) </w:t>
      </w:r>
      <w:r w:rsidR="00CF4343" w:rsidRPr="00CF4343">
        <w:rPr>
          <w:rFonts w:ascii="Times New Roman" w:eastAsia="Calibri" w:hAnsi="Times New Roman"/>
        </w:rPr>
        <w:t xml:space="preserve">35 </w:t>
      </w:r>
      <w:r w:rsidR="00CF4343" w:rsidRPr="00CF4343">
        <w:rPr>
          <w:rFonts w:ascii="Times New Roman" w:eastAsia="MS Mincho" w:hAnsi="Times New Roman"/>
        </w:rPr>
        <w:t>Partner and MEST School Feeding Coordination Unit Staff trained in the implementation of School Feeding.</w:t>
      </w:r>
      <w:r w:rsidRPr="00CF4343">
        <w:rPr>
          <w:rFonts w:ascii="Times New Roman" w:eastAsia="Calibri" w:hAnsi="Times New Roman"/>
        </w:rPr>
        <w:t xml:space="preserve">(c) </w:t>
      </w:r>
      <w:r w:rsidR="00CF4343" w:rsidRPr="00CF4343">
        <w:rPr>
          <w:rFonts w:ascii="Times New Roman" w:eastAsia="MS Mincho" w:hAnsi="Times New Roman"/>
        </w:rPr>
        <w:t>School feeding programme aligned with programme of work</w:t>
      </w:r>
    </w:p>
    <w:p w:rsidR="00714921" w:rsidRPr="00714921" w:rsidRDefault="00714921" w:rsidP="00CF4343">
      <w:pPr>
        <w:spacing w:before="100" w:beforeAutospacing="1" w:after="120" w:afterAutospacing="1"/>
        <w:jc w:val="both"/>
      </w:pPr>
      <w:r w:rsidRPr="00714921">
        <w:t>The activities implemented by UNICEF have contributed to the following outcomes: (a) national policy frameworks that are supportive of the right of all children to quality primary education; (b) attitudes, values, behaviours and practices among communities that enable timely school enrolment and completion for all children; and (c) an education system and school environment, at national and district levels, which enable quality primary education for all children.</w:t>
      </w:r>
    </w:p>
    <w:p w:rsidR="00B543E6" w:rsidRPr="0065431D" w:rsidRDefault="00B543E6" w:rsidP="00A930E6">
      <w:pPr>
        <w:pStyle w:val="BodyText"/>
        <w:ind w:left="720"/>
        <w:jc w:val="both"/>
        <w:rPr>
          <w:rFonts w:ascii="Times New Roman" w:hAnsi="Times New Roman" w:cs="Times New Roman"/>
          <w:sz w:val="24"/>
          <w:szCs w:val="24"/>
        </w:rPr>
      </w:pPr>
    </w:p>
    <w:p w:rsidR="00B543E6" w:rsidRPr="0065431D" w:rsidRDefault="00015581" w:rsidP="006422F3">
      <w:pPr>
        <w:pStyle w:val="Heading1"/>
        <w:tabs>
          <w:tab w:val="left" w:pos="360"/>
        </w:tabs>
        <w:ind w:left="0"/>
        <w:rPr>
          <w:rFonts w:ascii="Times New Roman" w:hAnsi="Times New Roman"/>
          <w:sz w:val="24"/>
          <w:szCs w:val="24"/>
          <w:lang w:val="en-US"/>
        </w:rPr>
      </w:pPr>
      <w:bookmarkStart w:id="3" w:name="_Toc249364486"/>
      <w:r w:rsidRPr="0065431D">
        <w:rPr>
          <w:rFonts w:ascii="Times New Roman" w:hAnsi="Times New Roman"/>
          <w:sz w:val="24"/>
          <w:szCs w:val="24"/>
          <w:lang w:val="en-US"/>
        </w:rPr>
        <w:t xml:space="preserve">II. </w:t>
      </w:r>
      <w:r w:rsidR="00B543E6" w:rsidRPr="0065431D">
        <w:rPr>
          <w:rFonts w:ascii="Times New Roman" w:hAnsi="Times New Roman"/>
          <w:sz w:val="24"/>
          <w:szCs w:val="24"/>
        </w:rPr>
        <w:t>Results</w:t>
      </w:r>
      <w:bookmarkEnd w:id="3"/>
      <w:r w:rsidR="00B543E6" w:rsidRPr="0065431D">
        <w:rPr>
          <w:rFonts w:ascii="Times New Roman" w:hAnsi="Times New Roman"/>
          <w:sz w:val="24"/>
          <w:szCs w:val="24"/>
        </w:rPr>
        <w:t xml:space="preserve"> </w:t>
      </w:r>
    </w:p>
    <w:p w:rsidR="00B543E6" w:rsidRPr="0065431D" w:rsidRDefault="00B543E6" w:rsidP="006422F3">
      <w:pPr>
        <w:jc w:val="both"/>
        <w:rPr>
          <w:lang w:eastAsia="x-none"/>
        </w:rPr>
      </w:pPr>
    </w:p>
    <w:p w:rsidR="00B543E6" w:rsidRDefault="00B543E6" w:rsidP="006422F3">
      <w:pPr>
        <w:numPr>
          <w:ilvl w:val="0"/>
          <w:numId w:val="28"/>
        </w:numPr>
        <w:jc w:val="both"/>
        <w:rPr>
          <w:b/>
          <w:lang w:eastAsia="x-none"/>
        </w:rPr>
      </w:pPr>
      <w:r w:rsidRPr="0065431D">
        <w:rPr>
          <w:b/>
          <w:lang w:eastAsia="x-none"/>
        </w:rPr>
        <w:t>Narrative reporting on results:</w:t>
      </w:r>
    </w:p>
    <w:p w:rsidR="00CF4343" w:rsidRPr="0065431D" w:rsidRDefault="00CF4343" w:rsidP="00CF4343">
      <w:pPr>
        <w:jc w:val="both"/>
        <w:rPr>
          <w:b/>
          <w:lang w:eastAsia="x-none"/>
        </w:rPr>
      </w:pPr>
    </w:p>
    <w:p w:rsidR="00A43840" w:rsidRPr="009C7982" w:rsidRDefault="00A43840" w:rsidP="00A43840">
      <w:pPr>
        <w:spacing w:after="200" w:line="276" w:lineRule="auto"/>
        <w:rPr>
          <w:rFonts w:eastAsia="Calibri"/>
          <w:b/>
        </w:rPr>
      </w:pPr>
      <w:r w:rsidRPr="009C7982">
        <w:rPr>
          <w:rFonts w:eastAsia="Calibri"/>
          <w:b/>
        </w:rPr>
        <w:t>School Feeding:</w:t>
      </w:r>
    </w:p>
    <w:p w:rsidR="00A43840" w:rsidRPr="009C7982" w:rsidRDefault="00A43840" w:rsidP="009C7982">
      <w:pPr>
        <w:spacing w:after="200" w:line="276" w:lineRule="auto"/>
        <w:rPr>
          <w:rFonts w:eastAsia="Calibri"/>
        </w:rPr>
      </w:pPr>
      <w:r w:rsidRPr="009C7982">
        <w:rPr>
          <w:rFonts w:eastAsia="Calibri"/>
        </w:rPr>
        <w:t>Implementation of the school feeding programme is done through three big International NGOs (Plan International, World Vision and Brac). Plan International and World Vision operate in the rural areas of Provinces as per table below:</w:t>
      </w:r>
    </w:p>
    <w:p w:rsidR="00A43840" w:rsidRPr="009C7982" w:rsidRDefault="00A43840" w:rsidP="00A43840">
      <w:pPr>
        <w:spacing w:after="200" w:line="276" w:lineRule="auto"/>
        <w:jc w:val="both"/>
        <w:rPr>
          <w:rFonts w:eastAsia="Calibri"/>
        </w:rPr>
      </w:pPr>
      <w:r w:rsidRPr="009C7982">
        <w:rPr>
          <w:rFonts w:eastAsia="Calibri"/>
          <w:b/>
        </w:rPr>
        <w:t xml:space="preserve">Project areas: </w:t>
      </w:r>
      <w:r w:rsidRPr="009C7982">
        <w:rPr>
          <w:rFonts w:eastAsia="Calibri"/>
        </w:rPr>
        <w:t xml:space="preserve">Partners implement WFP programmes in the most vulnerable chiefdoms in below districts.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C7982" w:rsidRPr="00B57EB3" w:rsidTr="00B57EB3">
        <w:tc>
          <w:tcPr>
            <w:tcW w:w="4788" w:type="dxa"/>
            <w:shd w:val="clear" w:color="auto" w:fill="auto"/>
          </w:tcPr>
          <w:p w:rsidR="00A43840" w:rsidRPr="00B57EB3" w:rsidRDefault="00A43840" w:rsidP="00B57EB3">
            <w:pPr>
              <w:jc w:val="both"/>
              <w:rPr>
                <w:rFonts w:eastAsia="Calibri"/>
                <w:b/>
                <w:sz w:val="22"/>
                <w:szCs w:val="22"/>
              </w:rPr>
            </w:pPr>
            <w:r w:rsidRPr="00B57EB3">
              <w:rPr>
                <w:rFonts w:eastAsia="Calibri"/>
                <w:b/>
                <w:sz w:val="22"/>
                <w:szCs w:val="22"/>
              </w:rPr>
              <w:t>Partner</w:t>
            </w:r>
          </w:p>
        </w:tc>
        <w:tc>
          <w:tcPr>
            <w:tcW w:w="4788" w:type="dxa"/>
            <w:shd w:val="clear" w:color="auto" w:fill="auto"/>
          </w:tcPr>
          <w:p w:rsidR="00A43840" w:rsidRPr="00B57EB3" w:rsidRDefault="00A43840" w:rsidP="00B57EB3">
            <w:pPr>
              <w:jc w:val="both"/>
              <w:rPr>
                <w:rFonts w:eastAsia="Calibri"/>
                <w:b/>
                <w:sz w:val="22"/>
                <w:szCs w:val="22"/>
              </w:rPr>
            </w:pPr>
            <w:r w:rsidRPr="00B57EB3">
              <w:rPr>
                <w:rFonts w:eastAsia="Calibri"/>
                <w:b/>
                <w:sz w:val="22"/>
                <w:szCs w:val="22"/>
              </w:rPr>
              <w:t>Operation Areas</w:t>
            </w:r>
          </w:p>
        </w:tc>
      </w:tr>
      <w:tr w:rsidR="009C7982" w:rsidRPr="00B57EB3" w:rsidTr="00B57EB3">
        <w:tc>
          <w:tcPr>
            <w:tcW w:w="4788" w:type="dxa"/>
            <w:vMerge w:val="restart"/>
            <w:shd w:val="clear" w:color="auto" w:fill="auto"/>
          </w:tcPr>
          <w:p w:rsidR="00A43840" w:rsidRPr="00B57EB3" w:rsidRDefault="00A43840" w:rsidP="00B57EB3">
            <w:pPr>
              <w:jc w:val="both"/>
              <w:rPr>
                <w:rFonts w:eastAsia="Calibri"/>
                <w:sz w:val="22"/>
                <w:szCs w:val="22"/>
              </w:rPr>
            </w:pPr>
            <w:r w:rsidRPr="00B57EB3">
              <w:rPr>
                <w:rFonts w:eastAsia="Calibri"/>
                <w:sz w:val="22"/>
                <w:szCs w:val="22"/>
              </w:rPr>
              <w:t>Plan International</w:t>
            </w:r>
          </w:p>
        </w:tc>
        <w:tc>
          <w:tcPr>
            <w:tcW w:w="4788" w:type="dxa"/>
            <w:shd w:val="clear" w:color="auto" w:fill="auto"/>
          </w:tcPr>
          <w:p w:rsidR="00A43840" w:rsidRPr="00B57EB3" w:rsidRDefault="00A43840" w:rsidP="00B57EB3">
            <w:pPr>
              <w:jc w:val="both"/>
              <w:rPr>
                <w:rFonts w:eastAsia="Calibri"/>
                <w:sz w:val="22"/>
                <w:szCs w:val="22"/>
              </w:rPr>
            </w:pPr>
            <w:r w:rsidRPr="00B57EB3">
              <w:rPr>
                <w:rFonts w:eastAsia="Calibri"/>
                <w:sz w:val="22"/>
                <w:szCs w:val="22"/>
              </w:rPr>
              <w:t>Kambia District</w:t>
            </w:r>
          </w:p>
        </w:tc>
      </w:tr>
      <w:tr w:rsidR="009C7982" w:rsidRPr="00B57EB3" w:rsidTr="00B57EB3">
        <w:tc>
          <w:tcPr>
            <w:tcW w:w="4788" w:type="dxa"/>
            <w:vMerge/>
            <w:shd w:val="clear" w:color="auto" w:fill="auto"/>
          </w:tcPr>
          <w:p w:rsidR="00A43840" w:rsidRPr="00B57EB3" w:rsidRDefault="00A43840" w:rsidP="00B57EB3">
            <w:pPr>
              <w:jc w:val="both"/>
              <w:rPr>
                <w:rFonts w:eastAsia="Calibri"/>
                <w:sz w:val="22"/>
                <w:szCs w:val="22"/>
              </w:rPr>
            </w:pPr>
          </w:p>
        </w:tc>
        <w:tc>
          <w:tcPr>
            <w:tcW w:w="4788" w:type="dxa"/>
            <w:shd w:val="clear" w:color="auto" w:fill="auto"/>
          </w:tcPr>
          <w:p w:rsidR="00A43840" w:rsidRPr="00B57EB3" w:rsidRDefault="00A43840" w:rsidP="00B57EB3">
            <w:pPr>
              <w:jc w:val="both"/>
              <w:rPr>
                <w:rFonts w:eastAsia="Calibri"/>
                <w:sz w:val="22"/>
                <w:szCs w:val="22"/>
              </w:rPr>
            </w:pPr>
            <w:r w:rsidRPr="00B57EB3">
              <w:rPr>
                <w:rFonts w:eastAsia="Calibri"/>
                <w:sz w:val="22"/>
                <w:szCs w:val="22"/>
              </w:rPr>
              <w:t>Portloko District</w:t>
            </w:r>
          </w:p>
        </w:tc>
      </w:tr>
      <w:tr w:rsidR="009C7982" w:rsidRPr="00B57EB3" w:rsidTr="00B57EB3">
        <w:tc>
          <w:tcPr>
            <w:tcW w:w="4788" w:type="dxa"/>
            <w:vMerge/>
            <w:shd w:val="clear" w:color="auto" w:fill="auto"/>
          </w:tcPr>
          <w:p w:rsidR="00A43840" w:rsidRPr="00B57EB3" w:rsidRDefault="00A43840" w:rsidP="00B57EB3">
            <w:pPr>
              <w:jc w:val="both"/>
              <w:rPr>
                <w:rFonts w:eastAsia="Calibri"/>
                <w:sz w:val="22"/>
                <w:szCs w:val="22"/>
              </w:rPr>
            </w:pPr>
          </w:p>
        </w:tc>
        <w:tc>
          <w:tcPr>
            <w:tcW w:w="4788" w:type="dxa"/>
            <w:shd w:val="clear" w:color="auto" w:fill="auto"/>
          </w:tcPr>
          <w:p w:rsidR="00A43840" w:rsidRPr="00B57EB3" w:rsidRDefault="00A43840" w:rsidP="00B57EB3">
            <w:pPr>
              <w:jc w:val="both"/>
              <w:rPr>
                <w:rFonts w:eastAsia="Calibri"/>
                <w:sz w:val="22"/>
                <w:szCs w:val="22"/>
              </w:rPr>
            </w:pPr>
            <w:r w:rsidRPr="00B57EB3">
              <w:rPr>
                <w:rFonts w:eastAsia="Calibri"/>
                <w:sz w:val="22"/>
                <w:szCs w:val="22"/>
              </w:rPr>
              <w:t>Bombali District</w:t>
            </w:r>
          </w:p>
        </w:tc>
      </w:tr>
      <w:tr w:rsidR="009C7982" w:rsidRPr="00B57EB3" w:rsidTr="00B57EB3">
        <w:tc>
          <w:tcPr>
            <w:tcW w:w="4788" w:type="dxa"/>
            <w:vMerge/>
            <w:shd w:val="clear" w:color="auto" w:fill="auto"/>
          </w:tcPr>
          <w:p w:rsidR="00A43840" w:rsidRPr="00B57EB3" w:rsidRDefault="00A43840" w:rsidP="00B57EB3">
            <w:pPr>
              <w:jc w:val="both"/>
              <w:rPr>
                <w:rFonts w:eastAsia="Calibri"/>
                <w:sz w:val="22"/>
                <w:szCs w:val="22"/>
              </w:rPr>
            </w:pPr>
          </w:p>
        </w:tc>
        <w:tc>
          <w:tcPr>
            <w:tcW w:w="4788" w:type="dxa"/>
            <w:shd w:val="clear" w:color="auto" w:fill="auto"/>
          </w:tcPr>
          <w:p w:rsidR="00A43840" w:rsidRPr="00B57EB3" w:rsidRDefault="00A43840" w:rsidP="00B57EB3">
            <w:pPr>
              <w:jc w:val="both"/>
              <w:rPr>
                <w:rFonts w:eastAsia="Calibri"/>
                <w:sz w:val="22"/>
                <w:szCs w:val="22"/>
              </w:rPr>
            </w:pPr>
            <w:r w:rsidRPr="00B57EB3">
              <w:rPr>
                <w:rFonts w:eastAsia="Calibri"/>
                <w:sz w:val="22"/>
                <w:szCs w:val="22"/>
              </w:rPr>
              <w:t>Tonkolili District</w:t>
            </w:r>
          </w:p>
        </w:tc>
      </w:tr>
      <w:tr w:rsidR="009C7982" w:rsidRPr="00B57EB3" w:rsidTr="00B57EB3">
        <w:tc>
          <w:tcPr>
            <w:tcW w:w="4788" w:type="dxa"/>
            <w:vMerge/>
            <w:shd w:val="clear" w:color="auto" w:fill="auto"/>
          </w:tcPr>
          <w:p w:rsidR="00A43840" w:rsidRPr="00B57EB3" w:rsidRDefault="00A43840" w:rsidP="00B57EB3">
            <w:pPr>
              <w:jc w:val="both"/>
              <w:rPr>
                <w:rFonts w:eastAsia="Calibri"/>
                <w:sz w:val="22"/>
                <w:szCs w:val="22"/>
              </w:rPr>
            </w:pPr>
          </w:p>
        </w:tc>
        <w:tc>
          <w:tcPr>
            <w:tcW w:w="4788" w:type="dxa"/>
            <w:shd w:val="clear" w:color="auto" w:fill="auto"/>
          </w:tcPr>
          <w:p w:rsidR="00A43840" w:rsidRPr="00B57EB3" w:rsidRDefault="00A43840" w:rsidP="00B57EB3">
            <w:pPr>
              <w:jc w:val="both"/>
              <w:rPr>
                <w:rFonts w:eastAsia="Calibri"/>
                <w:sz w:val="22"/>
                <w:szCs w:val="22"/>
              </w:rPr>
            </w:pPr>
            <w:r w:rsidRPr="00B57EB3">
              <w:rPr>
                <w:rFonts w:eastAsia="Calibri"/>
                <w:sz w:val="22"/>
                <w:szCs w:val="22"/>
              </w:rPr>
              <w:t>Moyamba District</w:t>
            </w:r>
          </w:p>
        </w:tc>
      </w:tr>
      <w:tr w:rsidR="009C7982" w:rsidRPr="00B57EB3" w:rsidTr="00B57EB3">
        <w:tc>
          <w:tcPr>
            <w:tcW w:w="4788" w:type="dxa"/>
            <w:vMerge/>
            <w:shd w:val="clear" w:color="auto" w:fill="auto"/>
          </w:tcPr>
          <w:p w:rsidR="00A43840" w:rsidRPr="00B57EB3" w:rsidRDefault="00A43840" w:rsidP="00B57EB3">
            <w:pPr>
              <w:jc w:val="both"/>
              <w:rPr>
                <w:rFonts w:eastAsia="Calibri"/>
                <w:sz w:val="22"/>
                <w:szCs w:val="22"/>
              </w:rPr>
            </w:pPr>
          </w:p>
        </w:tc>
        <w:tc>
          <w:tcPr>
            <w:tcW w:w="4788" w:type="dxa"/>
            <w:shd w:val="clear" w:color="auto" w:fill="auto"/>
          </w:tcPr>
          <w:p w:rsidR="00A43840" w:rsidRPr="00B57EB3" w:rsidRDefault="00A43840" w:rsidP="00B57EB3">
            <w:pPr>
              <w:jc w:val="both"/>
              <w:rPr>
                <w:rFonts w:eastAsia="Calibri"/>
                <w:sz w:val="22"/>
                <w:szCs w:val="22"/>
              </w:rPr>
            </w:pPr>
            <w:r w:rsidRPr="00B57EB3">
              <w:rPr>
                <w:rFonts w:eastAsia="Calibri"/>
                <w:sz w:val="22"/>
                <w:szCs w:val="22"/>
              </w:rPr>
              <w:t>Kenema District</w:t>
            </w:r>
          </w:p>
        </w:tc>
      </w:tr>
      <w:tr w:rsidR="009C7982" w:rsidRPr="00B57EB3" w:rsidTr="00B57EB3">
        <w:tc>
          <w:tcPr>
            <w:tcW w:w="4788" w:type="dxa"/>
            <w:vMerge/>
            <w:shd w:val="clear" w:color="auto" w:fill="auto"/>
          </w:tcPr>
          <w:p w:rsidR="00A43840" w:rsidRPr="00B57EB3" w:rsidRDefault="00A43840" w:rsidP="00B57EB3">
            <w:pPr>
              <w:jc w:val="both"/>
              <w:rPr>
                <w:rFonts w:eastAsia="Calibri"/>
                <w:sz w:val="22"/>
                <w:szCs w:val="22"/>
              </w:rPr>
            </w:pPr>
          </w:p>
        </w:tc>
        <w:tc>
          <w:tcPr>
            <w:tcW w:w="4788" w:type="dxa"/>
            <w:shd w:val="clear" w:color="auto" w:fill="auto"/>
          </w:tcPr>
          <w:p w:rsidR="00A43840" w:rsidRPr="00B57EB3" w:rsidRDefault="00A43840" w:rsidP="00B57EB3">
            <w:pPr>
              <w:jc w:val="both"/>
              <w:rPr>
                <w:rFonts w:eastAsia="Calibri"/>
                <w:sz w:val="22"/>
                <w:szCs w:val="22"/>
              </w:rPr>
            </w:pPr>
            <w:r w:rsidRPr="00B57EB3">
              <w:rPr>
                <w:rFonts w:eastAsia="Calibri"/>
                <w:sz w:val="22"/>
                <w:szCs w:val="22"/>
              </w:rPr>
              <w:t>Kailahun District</w:t>
            </w:r>
          </w:p>
        </w:tc>
      </w:tr>
      <w:tr w:rsidR="009C7982" w:rsidRPr="00B57EB3" w:rsidTr="00B57EB3">
        <w:tc>
          <w:tcPr>
            <w:tcW w:w="4788" w:type="dxa"/>
            <w:vMerge w:val="restart"/>
            <w:shd w:val="clear" w:color="auto" w:fill="auto"/>
          </w:tcPr>
          <w:p w:rsidR="00A43840" w:rsidRPr="00B57EB3" w:rsidRDefault="00A43840" w:rsidP="00B57EB3">
            <w:pPr>
              <w:jc w:val="both"/>
              <w:rPr>
                <w:rFonts w:eastAsia="Calibri"/>
                <w:sz w:val="22"/>
                <w:szCs w:val="22"/>
              </w:rPr>
            </w:pPr>
            <w:r w:rsidRPr="00B57EB3">
              <w:rPr>
                <w:rFonts w:eastAsia="Calibri"/>
                <w:sz w:val="22"/>
                <w:szCs w:val="22"/>
              </w:rPr>
              <w:t>World Vision</w:t>
            </w:r>
          </w:p>
        </w:tc>
        <w:tc>
          <w:tcPr>
            <w:tcW w:w="4788" w:type="dxa"/>
            <w:shd w:val="clear" w:color="auto" w:fill="auto"/>
          </w:tcPr>
          <w:p w:rsidR="00A43840" w:rsidRPr="00B57EB3" w:rsidRDefault="00A43840" w:rsidP="00B57EB3">
            <w:pPr>
              <w:jc w:val="both"/>
              <w:rPr>
                <w:rFonts w:eastAsia="Calibri"/>
                <w:sz w:val="22"/>
                <w:szCs w:val="22"/>
              </w:rPr>
            </w:pPr>
            <w:r w:rsidRPr="00B57EB3">
              <w:rPr>
                <w:rFonts w:eastAsia="Calibri"/>
                <w:sz w:val="22"/>
                <w:szCs w:val="22"/>
              </w:rPr>
              <w:t>Kono District</w:t>
            </w:r>
          </w:p>
        </w:tc>
      </w:tr>
      <w:tr w:rsidR="009C7982" w:rsidRPr="00B57EB3" w:rsidTr="00B57EB3">
        <w:tc>
          <w:tcPr>
            <w:tcW w:w="4788" w:type="dxa"/>
            <w:vMerge/>
            <w:shd w:val="clear" w:color="auto" w:fill="auto"/>
          </w:tcPr>
          <w:p w:rsidR="00A43840" w:rsidRPr="00B57EB3" w:rsidRDefault="00A43840" w:rsidP="00B57EB3">
            <w:pPr>
              <w:jc w:val="both"/>
              <w:rPr>
                <w:rFonts w:eastAsia="Calibri"/>
                <w:sz w:val="22"/>
                <w:szCs w:val="22"/>
              </w:rPr>
            </w:pPr>
          </w:p>
        </w:tc>
        <w:tc>
          <w:tcPr>
            <w:tcW w:w="4788" w:type="dxa"/>
            <w:shd w:val="clear" w:color="auto" w:fill="auto"/>
          </w:tcPr>
          <w:p w:rsidR="00A43840" w:rsidRPr="00B57EB3" w:rsidRDefault="00A43840" w:rsidP="00B57EB3">
            <w:pPr>
              <w:jc w:val="both"/>
              <w:rPr>
                <w:rFonts w:eastAsia="Calibri"/>
                <w:sz w:val="22"/>
                <w:szCs w:val="22"/>
              </w:rPr>
            </w:pPr>
            <w:r w:rsidRPr="00B57EB3">
              <w:rPr>
                <w:rFonts w:eastAsia="Calibri"/>
                <w:sz w:val="22"/>
                <w:szCs w:val="22"/>
              </w:rPr>
              <w:t>Bo District</w:t>
            </w:r>
          </w:p>
        </w:tc>
      </w:tr>
      <w:tr w:rsidR="009C7982" w:rsidRPr="00B57EB3" w:rsidTr="00B57EB3">
        <w:tc>
          <w:tcPr>
            <w:tcW w:w="4788" w:type="dxa"/>
            <w:vMerge/>
            <w:shd w:val="clear" w:color="auto" w:fill="auto"/>
          </w:tcPr>
          <w:p w:rsidR="00A43840" w:rsidRPr="00B57EB3" w:rsidRDefault="00A43840" w:rsidP="00B57EB3">
            <w:pPr>
              <w:jc w:val="both"/>
              <w:rPr>
                <w:rFonts w:eastAsia="Calibri"/>
                <w:sz w:val="22"/>
                <w:szCs w:val="22"/>
              </w:rPr>
            </w:pPr>
          </w:p>
        </w:tc>
        <w:tc>
          <w:tcPr>
            <w:tcW w:w="4788" w:type="dxa"/>
            <w:shd w:val="clear" w:color="auto" w:fill="auto"/>
          </w:tcPr>
          <w:p w:rsidR="00A43840" w:rsidRPr="00B57EB3" w:rsidRDefault="00A43840" w:rsidP="00B57EB3">
            <w:pPr>
              <w:jc w:val="both"/>
              <w:rPr>
                <w:rFonts w:eastAsia="Calibri"/>
                <w:sz w:val="22"/>
                <w:szCs w:val="22"/>
              </w:rPr>
            </w:pPr>
            <w:r w:rsidRPr="00B57EB3">
              <w:rPr>
                <w:rFonts w:eastAsia="Calibri"/>
                <w:sz w:val="22"/>
                <w:szCs w:val="22"/>
              </w:rPr>
              <w:t>Pujehun District</w:t>
            </w:r>
          </w:p>
        </w:tc>
      </w:tr>
      <w:tr w:rsidR="009C7982" w:rsidRPr="00B57EB3" w:rsidTr="00B57EB3">
        <w:tc>
          <w:tcPr>
            <w:tcW w:w="4788" w:type="dxa"/>
            <w:vMerge/>
            <w:shd w:val="clear" w:color="auto" w:fill="auto"/>
          </w:tcPr>
          <w:p w:rsidR="00A43840" w:rsidRPr="00B57EB3" w:rsidRDefault="00A43840" w:rsidP="00B57EB3">
            <w:pPr>
              <w:jc w:val="both"/>
              <w:rPr>
                <w:rFonts w:eastAsia="Calibri"/>
                <w:sz w:val="22"/>
                <w:szCs w:val="22"/>
              </w:rPr>
            </w:pPr>
          </w:p>
        </w:tc>
        <w:tc>
          <w:tcPr>
            <w:tcW w:w="4788" w:type="dxa"/>
            <w:shd w:val="clear" w:color="auto" w:fill="auto"/>
          </w:tcPr>
          <w:p w:rsidR="00A43840" w:rsidRPr="00B57EB3" w:rsidRDefault="00A43840" w:rsidP="00B57EB3">
            <w:pPr>
              <w:jc w:val="both"/>
              <w:rPr>
                <w:rFonts w:eastAsia="Calibri"/>
                <w:sz w:val="22"/>
                <w:szCs w:val="22"/>
              </w:rPr>
            </w:pPr>
            <w:r w:rsidRPr="00B57EB3">
              <w:rPr>
                <w:rFonts w:eastAsia="Calibri"/>
                <w:sz w:val="22"/>
                <w:szCs w:val="22"/>
              </w:rPr>
              <w:t>Bonthe District</w:t>
            </w:r>
          </w:p>
        </w:tc>
      </w:tr>
      <w:tr w:rsidR="009C7982" w:rsidRPr="00B57EB3" w:rsidTr="00B57EB3">
        <w:tc>
          <w:tcPr>
            <w:tcW w:w="4788" w:type="dxa"/>
            <w:shd w:val="clear" w:color="auto" w:fill="auto"/>
          </w:tcPr>
          <w:p w:rsidR="00A43840" w:rsidRPr="00B57EB3" w:rsidRDefault="00A43840" w:rsidP="00B57EB3">
            <w:pPr>
              <w:jc w:val="both"/>
              <w:rPr>
                <w:rFonts w:eastAsia="Calibri"/>
                <w:sz w:val="22"/>
                <w:szCs w:val="22"/>
              </w:rPr>
            </w:pPr>
            <w:r w:rsidRPr="00B57EB3">
              <w:rPr>
                <w:rFonts w:eastAsia="Calibri"/>
                <w:sz w:val="22"/>
                <w:szCs w:val="22"/>
              </w:rPr>
              <w:t>BRAC</w:t>
            </w:r>
          </w:p>
        </w:tc>
        <w:tc>
          <w:tcPr>
            <w:tcW w:w="4788" w:type="dxa"/>
            <w:shd w:val="clear" w:color="auto" w:fill="auto"/>
          </w:tcPr>
          <w:p w:rsidR="00A43840" w:rsidRPr="00B57EB3" w:rsidRDefault="00A43840" w:rsidP="00B57EB3">
            <w:pPr>
              <w:jc w:val="both"/>
              <w:rPr>
                <w:rFonts w:eastAsia="Calibri"/>
                <w:sz w:val="22"/>
                <w:szCs w:val="22"/>
              </w:rPr>
            </w:pPr>
            <w:r w:rsidRPr="00B57EB3">
              <w:rPr>
                <w:rFonts w:eastAsia="Calibri"/>
                <w:sz w:val="22"/>
                <w:szCs w:val="22"/>
              </w:rPr>
              <w:t>Western Area</w:t>
            </w:r>
          </w:p>
        </w:tc>
      </w:tr>
    </w:tbl>
    <w:p w:rsidR="00A43840" w:rsidRPr="009C7982" w:rsidRDefault="00A43840" w:rsidP="00A43840">
      <w:pPr>
        <w:spacing w:after="200" w:line="276" w:lineRule="auto"/>
        <w:rPr>
          <w:rFonts w:eastAsia="Calibri"/>
          <w:sz w:val="22"/>
          <w:szCs w:val="22"/>
        </w:rPr>
      </w:pPr>
    </w:p>
    <w:p w:rsidR="00A43840" w:rsidRDefault="00A43840" w:rsidP="009C7982">
      <w:pPr>
        <w:pStyle w:val="ColorfulList-Accent1"/>
        <w:jc w:val="both"/>
        <w:rPr>
          <w:rFonts w:ascii="Times New Roman" w:hAnsi="Times New Roman"/>
        </w:rPr>
      </w:pPr>
      <w:r w:rsidRPr="009C7982">
        <w:rPr>
          <w:rFonts w:ascii="Times New Roman" w:hAnsi="Times New Roman"/>
        </w:rPr>
        <w:t>The comparative advantages the partners have include their own matching funds and their prior presence in most of the implementing locations. Partners are bound to WFP through a Field Level agreement that gives details of the mode of operation including responsibilities.</w:t>
      </w:r>
    </w:p>
    <w:p w:rsidR="0058497F" w:rsidRPr="009C7982" w:rsidRDefault="0058497F" w:rsidP="009C7982">
      <w:pPr>
        <w:pStyle w:val="ColorfulList-Accent1"/>
        <w:jc w:val="both"/>
        <w:rPr>
          <w:rFonts w:ascii="Times New Roman" w:hAnsi="Times New Roman"/>
        </w:rPr>
      </w:pPr>
    </w:p>
    <w:p w:rsidR="00A43840" w:rsidRPr="009C7982" w:rsidRDefault="00A43840" w:rsidP="00804AB7">
      <w:pPr>
        <w:pStyle w:val="ColorfulList-Accent1"/>
        <w:ind w:left="0"/>
        <w:jc w:val="both"/>
        <w:rPr>
          <w:rFonts w:ascii="Times New Roman" w:hAnsi="Times New Roman"/>
          <w:b/>
        </w:rPr>
      </w:pPr>
      <w:r w:rsidRPr="009C7982">
        <w:rPr>
          <w:rFonts w:ascii="Times New Roman" w:hAnsi="Times New Roman"/>
          <w:b/>
        </w:rPr>
        <w:t>Outcomes</w:t>
      </w:r>
      <w:r w:rsidR="00804AB7">
        <w:rPr>
          <w:rFonts w:ascii="Times New Roman" w:hAnsi="Times New Roman"/>
          <w:b/>
        </w:rPr>
        <w:t>:</w:t>
      </w:r>
    </w:p>
    <w:p w:rsidR="00B543E6" w:rsidRPr="009C7982" w:rsidRDefault="00A43840" w:rsidP="009C7982">
      <w:pPr>
        <w:pStyle w:val="ColorfulList-Accent1"/>
        <w:jc w:val="both"/>
        <w:rPr>
          <w:rFonts w:ascii="Times New Roman" w:hAnsi="Times New Roman"/>
          <w:lang w:eastAsia="x-none"/>
        </w:rPr>
      </w:pPr>
      <w:r w:rsidRPr="009C7982">
        <w:rPr>
          <w:rFonts w:ascii="Times New Roman" w:hAnsi="Times New Roman"/>
        </w:rPr>
        <w:t>The school feeding implementation in target schools enabled WFP and partners to reach kids in the most vulnerable locations/chiefdoms in the country. It furthermore led to improvement in enrolment, attendance and the ratio of boys to girls. Training of the School Feeding Coordination Unit and Partner staff in the implementation of school feeding capacitated them to supervise the implementation. The capacity development of partner and MEST SFCU personnel has placed the partners and MEST in the driving seat of the implementation with WFP offering technical support</w:t>
      </w:r>
      <w:r w:rsidR="00B543E6" w:rsidRPr="009C7982">
        <w:rPr>
          <w:rFonts w:ascii="Times New Roman" w:hAnsi="Times New Roman"/>
          <w:lang w:eastAsia="x-none"/>
        </w:rPr>
        <w:tab/>
      </w:r>
    </w:p>
    <w:p w:rsidR="009B1EDC" w:rsidRPr="009B1EDC" w:rsidRDefault="009B1EDC" w:rsidP="009B1EDC">
      <w:pPr>
        <w:jc w:val="both"/>
        <w:rPr>
          <w:rFonts w:eastAsia="Calibri"/>
          <w:b/>
        </w:rPr>
      </w:pPr>
      <w:r w:rsidRPr="009B1EDC">
        <w:rPr>
          <w:rFonts w:eastAsia="Calibri"/>
          <w:b/>
        </w:rPr>
        <w:t>OUTPUTS</w:t>
      </w:r>
      <w:r w:rsidR="00804AB7">
        <w:rPr>
          <w:rFonts w:eastAsia="Calibri"/>
          <w:b/>
        </w:rPr>
        <w:t>:</w:t>
      </w:r>
    </w:p>
    <w:p w:rsidR="009B1EDC" w:rsidRPr="009B1EDC" w:rsidRDefault="009B1EDC" w:rsidP="009B1EDC">
      <w:pPr>
        <w:pStyle w:val="ColorfulList-Accent1"/>
        <w:jc w:val="both"/>
        <w:rPr>
          <w:rFonts w:ascii="Times New Roman" w:hAnsi="Times New Roman"/>
        </w:rPr>
      </w:pPr>
      <w:r w:rsidRPr="009B1EDC">
        <w:rPr>
          <w:rFonts w:ascii="Times New Roman" w:hAnsi="Times New Roman"/>
        </w:rPr>
        <w:t>Planned versus Actual Food Distribution</w:t>
      </w:r>
    </w:p>
    <w:p w:rsidR="009B1EDC" w:rsidRPr="009B1EDC" w:rsidRDefault="009B1EDC" w:rsidP="009B1EDC">
      <w:pPr>
        <w:pStyle w:val="ColorfulList-Accent1"/>
        <w:jc w:val="both"/>
        <w:rPr>
          <w:rFonts w:ascii="Times New Roman" w:hAnsi="Times New Roman"/>
        </w:rPr>
      </w:pPr>
      <w:r w:rsidRPr="009B1EDC">
        <w:rPr>
          <w:rFonts w:ascii="Times New Roman" w:hAnsi="Times New Roman"/>
        </w:rPr>
        <w:t>School feeding accounted for approximately 60% of all WFP operations. The MDTF Grant was used to procure a total of 772.58 Mt of food for the school feeding programme. Please note that though funding sources could be various, there is no segregation of use of food commodities procured for the programme on the basis of funding window. Procurement of only cereal with the grant reflects the need that was based on commodity stock situation at the time.</w:t>
      </w:r>
    </w:p>
    <w:p w:rsidR="009B1EDC" w:rsidRPr="009B1EDC" w:rsidRDefault="009B1EDC" w:rsidP="009B1EDC">
      <w:pPr>
        <w:pStyle w:val="ColorfulList-Accent1"/>
        <w:jc w:val="both"/>
        <w:rPr>
          <w:rFonts w:ascii="Times New Roman" w:hAnsi="Times New Roman"/>
        </w:rPr>
      </w:pPr>
      <w:r w:rsidRPr="009B1EDC">
        <w:rPr>
          <w:rFonts w:ascii="Times New Roman" w:hAnsi="Times New Roman"/>
        </w:rPr>
        <w:t>Out of the planned tonnage of 5,600 the school feeding programme achieved 5419.997 Mt which sums up to 97% of the planned food.</w:t>
      </w:r>
    </w:p>
    <w:p w:rsidR="009B1EDC" w:rsidRPr="009B1EDC" w:rsidRDefault="009B1EDC" w:rsidP="009B1EDC">
      <w:pPr>
        <w:pStyle w:val="ColorfulList-Accent1"/>
        <w:jc w:val="both"/>
        <w:rPr>
          <w:rFonts w:ascii="Times New Roman" w:hAnsi="Times New Roman"/>
        </w:rPr>
      </w:pPr>
    </w:p>
    <w:p w:rsidR="009B1EDC" w:rsidRPr="009B1EDC" w:rsidRDefault="009B1EDC" w:rsidP="009B1EDC">
      <w:pPr>
        <w:pStyle w:val="ColorfulList-Accent1"/>
        <w:ind w:left="0"/>
        <w:rPr>
          <w:rFonts w:ascii="Times New Roman" w:eastAsia="Calibri" w:hAnsi="Times New Roman"/>
          <w:b/>
        </w:rPr>
      </w:pPr>
      <w:r w:rsidRPr="009B1EDC">
        <w:rPr>
          <w:rFonts w:ascii="Times New Roman" w:hAnsi="Times New Roman"/>
          <w:b/>
        </w:rPr>
        <w:t>Beneficiary Achievement of the School Feeding Programme</w:t>
      </w:r>
    </w:p>
    <w:p w:rsidR="009B1EDC" w:rsidRPr="009B1EDC" w:rsidRDefault="009B1EDC" w:rsidP="009B1EDC">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940"/>
        <w:gridCol w:w="1048"/>
        <w:gridCol w:w="1052"/>
        <w:gridCol w:w="940"/>
        <w:gridCol w:w="1048"/>
        <w:gridCol w:w="993"/>
        <w:gridCol w:w="764"/>
        <w:gridCol w:w="875"/>
        <w:gridCol w:w="875"/>
      </w:tblGrid>
      <w:tr w:rsidR="009B1EDC" w:rsidRPr="00B57EB3" w:rsidTr="00B57EB3">
        <w:tc>
          <w:tcPr>
            <w:tcW w:w="1118"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Category</w:t>
            </w:r>
          </w:p>
        </w:tc>
        <w:tc>
          <w:tcPr>
            <w:tcW w:w="2921" w:type="dxa"/>
            <w:gridSpan w:val="3"/>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Planned Beneficiaries</w:t>
            </w:r>
          </w:p>
        </w:tc>
        <w:tc>
          <w:tcPr>
            <w:tcW w:w="2975" w:type="dxa"/>
            <w:gridSpan w:val="3"/>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Actual Beneficiaries</w:t>
            </w:r>
          </w:p>
        </w:tc>
        <w:tc>
          <w:tcPr>
            <w:tcW w:w="1507" w:type="dxa"/>
            <w:gridSpan w:val="2"/>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Plan vs. Actual    (%)</w:t>
            </w:r>
          </w:p>
        </w:tc>
        <w:tc>
          <w:tcPr>
            <w:tcW w:w="724"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Total</w:t>
            </w:r>
          </w:p>
        </w:tc>
      </w:tr>
      <w:tr w:rsidR="009B1EDC" w:rsidRPr="00B57EB3" w:rsidTr="00B57EB3">
        <w:tc>
          <w:tcPr>
            <w:tcW w:w="1118" w:type="dxa"/>
            <w:shd w:val="clear" w:color="auto" w:fill="auto"/>
          </w:tcPr>
          <w:p w:rsidR="009B1EDC" w:rsidRPr="00B57EB3" w:rsidRDefault="009B1EDC" w:rsidP="00B57EB3">
            <w:pPr>
              <w:jc w:val="both"/>
              <w:rPr>
                <w:rFonts w:ascii="Calibri" w:eastAsia="Calibri" w:hAnsi="Calibri"/>
                <w:sz w:val="22"/>
                <w:szCs w:val="22"/>
              </w:rPr>
            </w:pPr>
          </w:p>
        </w:tc>
        <w:tc>
          <w:tcPr>
            <w:tcW w:w="933"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Male</w:t>
            </w:r>
          </w:p>
        </w:tc>
        <w:tc>
          <w:tcPr>
            <w:tcW w:w="1048"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Female</w:t>
            </w:r>
          </w:p>
        </w:tc>
        <w:tc>
          <w:tcPr>
            <w:tcW w:w="940"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Total</w:t>
            </w:r>
          </w:p>
        </w:tc>
        <w:tc>
          <w:tcPr>
            <w:tcW w:w="934"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 xml:space="preserve">Male </w:t>
            </w:r>
          </w:p>
        </w:tc>
        <w:tc>
          <w:tcPr>
            <w:tcW w:w="1048"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Female</w:t>
            </w:r>
          </w:p>
        </w:tc>
        <w:tc>
          <w:tcPr>
            <w:tcW w:w="993"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Total</w:t>
            </w:r>
          </w:p>
        </w:tc>
        <w:tc>
          <w:tcPr>
            <w:tcW w:w="761"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Male</w:t>
            </w:r>
          </w:p>
        </w:tc>
        <w:tc>
          <w:tcPr>
            <w:tcW w:w="746"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Female</w:t>
            </w:r>
          </w:p>
        </w:tc>
        <w:tc>
          <w:tcPr>
            <w:tcW w:w="724" w:type="dxa"/>
            <w:shd w:val="clear" w:color="auto" w:fill="auto"/>
          </w:tcPr>
          <w:p w:rsidR="009B1EDC" w:rsidRPr="00B57EB3" w:rsidRDefault="009B1EDC" w:rsidP="00B57EB3">
            <w:pPr>
              <w:jc w:val="both"/>
              <w:rPr>
                <w:rFonts w:ascii="Calibri" w:eastAsia="Calibri" w:hAnsi="Calibri"/>
                <w:sz w:val="22"/>
                <w:szCs w:val="22"/>
              </w:rPr>
            </w:pPr>
          </w:p>
        </w:tc>
      </w:tr>
      <w:tr w:rsidR="009B1EDC" w:rsidRPr="00B57EB3" w:rsidTr="00B57EB3">
        <w:tc>
          <w:tcPr>
            <w:tcW w:w="1118"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Beneficiary</w:t>
            </w:r>
          </w:p>
        </w:tc>
        <w:tc>
          <w:tcPr>
            <w:tcW w:w="933"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128,000</w:t>
            </w:r>
          </w:p>
        </w:tc>
        <w:tc>
          <w:tcPr>
            <w:tcW w:w="1048"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128,000</w:t>
            </w:r>
          </w:p>
        </w:tc>
        <w:tc>
          <w:tcPr>
            <w:tcW w:w="940"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256,0000</w:t>
            </w:r>
          </w:p>
        </w:tc>
        <w:tc>
          <w:tcPr>
            <w:tcW w:w="934"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118,808</w:t>
            </w:r>
          </w:p>
        </w:tc>
        <w:tc>
          <w:tcPr>
            <w:tcW w:w="1048"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127,920</w:t>
            </w:r>
          </w:p>
        </w:tc>
        <w:tc>
          <w:tcPr>
            <w:tcW w:w="993"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246,728</w:t>
            </w:r>
          </w:p>
        </w:tc>
        <w:tc>
          <w:tcPr>
            <w:tcW w:w="761"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92.8%</w:t>
            </w:r>
          </w:p>
        </w:tc>
        <w:tc>
          <w:tcPr>
            <w:tcW w:w="746"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99.22%</w:t>
            </w:r>
          </w:p>
        </w:tc>
        <w:tc>
          <w:tcPr>
            <w:tcW w:w="724" w:type="dxa"/>
            <w:shd w:val="clear" w:color="auto" w:fill="auto"/>
          </w:tcPr>
          <w:p w:rsidR="009B1EDC" w:rsidRPr="00B57EB3" w:rsidRDefault="009B1EDC" w:rsidP="00B57EB3">
            <w:pPr>
              <w:jc w:val="both"/>
              <w:rPr>
                <w:rFonts w:ascii="Calibri" w:eastAsia="Calibri" w:hAnsi="Calibri"/>
                <w:sz w:val="22"/>
                <w:szCs w:val="22"/>
              </w:rPr>
            </w:pPr>
            <w:r w:rsidRPr="00B57EB3">
              <w:rPr>
                <w:rFonts w:ascii="Calibri" w:eastAsia="Calibri" w:hAnsi="Calibri"/>
                <w:sz w:val="22"/>
                <w:szCs w:val="22"/>
              </w:rPr>
              <w:t>96.01%</w:t>
            </w:r>
          </w:p>
        </w:tc>
      </w:tr>
    </w:tbl>
    <w:p w:rsidR="009B1EDC" w:rsidRPr="009B1EDC" w:rsidRDefault="009B1EDC" w:rsidP="009B1EDC">
      <w:pPr>
        <w:jc w:val="both"/>
        <w:rPr>
          <w:rFonts w:eastAsia="Calibri"/>
        </w:rPr>
      </w:pPr>
    </w:p>
    <w:p w:rsidR="009B1EDC" w:rsidRDefault="009B1EDC" w:rsidP="000B60B8">
      <w:pPr>
        <w:pStyle w:val="ColorfulList-Accent1"/>
        <w:ind w:left="0"/>
        <w:jc w:val="both"/>
        <w:rPr>
          <w:rFonts w:ascii="Times New Roman" w:hAnsi="Times New Roman"/>
        </w:rPr>
      </w:pPr>
      <w:r w:rsidRPr="009B1EDC">
        <w:rPr>
          <w:rFonts w:ascii="Times New Roman" w:hAnsi="Times New Roman"/>
        </w:rPr>
        <w:t>Achievement in relation to beneficiaries is quite robust especially so for girls. The surge in girl’s beneficiary figure to almost a 100% is due to enrolment of more girls in the urban settings evidently due to the value now placed on girl child education obviously due to the abundance of object lessons of successful women/girls in the urban areas. This trend is currently being reinforced by a girl’s take-home-ration project being run in three chiefdoms in the Moyamba District: a district that register lower enrolment and retention rate for girls. The take-home-ration project is a direct transfer to households of girls in classes 4-6 which serves as strong incentive to send them to school.</w:t>
      </w:r>
    </w:p>
    <w:p w:rsidR="000B60B8" w:rsidRPr="004D0EE8" w:rsidRDefault="000B60B8" w:rsidP="000B60B8">
      <w:pPr>
        <w:pStyle w:val="ColorfulList-Accent1"/>
        <w:ind w:left="0"/>
        <w:jc w:val="both"/>
        <w:rPr>
          <w:rFonts w:ascii="Times New Roman" w:hAnsi="Times New Roman"/>
        </w:rPr>
      </w:pPr>
    </w:p>
    <w:p w:rsidR="009B1EDC" w:rsidRPr="004D0EE8" w:rsidRDefault="009B1EDC" w:rsidP="004D0EE8">
      <w:pPr>
        <w:pStyle w:val="ColorfulList-Accent1"/>
        <w:jc w:val="both"/>
        <w:rPr>
          <w:rFonts w:ascii="Times New Roman" w:hAnsi="Times New Roman"/>
        </w:rPr>
      </w:pPr>
    </w:p>
    <w:p w:rsidR="00F2363E" w:rsidRPr="000B60B8" w:rsidRDefault="000B60B8" w:rsidP="000B60B8">
      <w:pPr>
        <w:pStyle w:val="ColorfulList-Accent1"/>
        <w:ind w:left="0"/>
        <w:jc w:val="both"/>
        <w:rPr>
          <w:rFonts w:ascii="Times New Roman" w:hAnsi="Times New Roman"/>
          <w:b/>
          <w:lang w:eastAsia="x-none"/>
        </w:rPr>
      </w:pPr>
      <w:r w:rsidRPr="000B60B8">
        <w:rPr>
          <w:rFonts w:ascii="Times New Roman" w:hAnsi="Times New Roman"/>
          <w:b/>
          <w:lang w:eastAsia="x-none"/>
        </w:rPr>
        <w:t>Basic Education:</w:t>
      </w:r>
    </w:p>
    <w:p w:rsidR="00B543E6" w:rsidRPr="006422F3" w:rsidRDefault="00B543E6" w:rsidP="00CB2273">
      <w:pPr>
        <w:pStyle w:val="BodyText"/>
        <w:numPr>
          <w:ilvl w:val="0"/>
          <w:numId w:val="26"/>
        </w:numPr>
        <w:jc w:val="both"/>
        <w:rPr>
          <w:rFonts w:ascii="Times New Roman" w:hAnsi="Times New Roman" w:cs="Times New Roman"/>
          <w:sz w:val="24"/>
          <w:szCs w:val="24"/>
        </w:rPr>
      </w:pPr>
      <w:r w:rsidRPr="006422F3">
        <w:rPr>
          <w:rFonts w:ascii="Times New Roman" w:hAnsi="Times New Roman" w:cs="Times New Roman"/>
          <w:b/>
          <w:sz w:val="24"/>
          <w:szCs w:val="24"/>
        </w:rPr>
        <w:t>Outcomes:</w:t>
      </w:r>
      <w:r w:rsidRPr="006422F3">
        <w:rPr>
          <w:rFonts w:ascii="Times New Roman" w:hAnsi="Times New Roman" w:cs="Times New Roman"/>
          <w:sz w:val="24"/>
          <w:szCs w:val="24"/>
        </w:rPr>
        <w:t xml:space="preserve"> </w:t>
      </w:r>
    </w:p>
    <w:p w:rsidR="00B543E6" w:rsidRPr="0065431D" w:rsidRDefault="00B543E6" w:rsidP="00015581">
      <w:pPr>
        <w:pStyle w:val="BodyText"/>
        <w:ind w:left="720"/>
        <w:jc w:val="both"/>
        <w:rPr>
          <w:rFonts w:ascii="Times New Roman" w:hAnsi="Times New Roman" w:cs="Times New Roman"/>
          <w:sz w:val="24"/>
          <w:szCs w:val="24"/>
        </w:rPr>
      </w:pPr>
    </w:p>
    <w:p w:rsidR="00D9085B" w:rsidRPr="0065431D" w:rsidRDefault="00D9085B" w:rsidP="00015581">
      <w:pPr>
        <w:pStyle w:val="ListParagraph"/>
        <w:jc w:val="both"/>
        <w:rPr>
          <w:u w:val="single"/>
        </w:rPr>
      </w:pPr>
      <w:r w:rsidRPr="0065431D">
        <w:rPr>
          <w:u w:val="single"/>
        </w:rPr>
        <w:t>Cluster monitoring of schools</w:t>
      </w:r>
    </w:p>
    <w:p w:rsidR="00D9085B" w:rsidRPr="0065431D" w:rsidRDefault="00671F82" w:rsidP="006422F3">
      <w:pPr>
        <w:pStyle w:val="BodyText"/>
        <w:tabs>
          <w:tab w:val="left" w:pos="720"/>
        </w:tabs>
        <w:spacing w:before="120"/>
        <w:ind w:left="720"/>
        <w:jc w:val="both"/>
        <w:rPr>
          <w:rFonts w:ascii="Times New Roman" w:hAnsi="Times New Roman" w:cs="Times New Roman"/>
          <w:bCs/>
          <w:sz w:val="24"/>
          <w:szCs w:val="24"/>
        </w:rPr>
      </w:pPr>
      <w:r>
        <w:rPr>
          <w:rFonts w:ascii="Times New Roman" w:hAnsi="Times New Roman" w:cs="Times New Roman"/>
          <w:bCs/>
          <w:sz w:val="24"/>
          <w:szCs w:val="24"/>
        </w:rPr>
        <w:t>Activity repor</w:t>
      </w:r>
      <w:r w:rsidR="006422F3">
        <w:rPr>
          <w:rFonts w:ascii="Times New Roman" w:hAnsi="Times New Roman" w:cs="Times New Roman"/>
          <w:bCs/>
          <w:sz w:val="24"/>
          <w:szCs w:val="24"/>
        </w:rPr>
        <w:t>t</w:t>
      </w:r>
      <w:r w:rsidR="00C03666">
        <w:rPr>
          <w:rFonts w:ascii="Times New Roman" w:hAnsi="Times New Roman" w:cs="Times New Roman"/>
          <w:bCs/>
          <w:sz w:val="24"/>
          <w:szCs w:val="24"/>
        </w:rPr>
        <w:t>s</w:t>
      </w:r>
      <w:r w:rsidR="006422F3">
        <w:rPr>
          <w:rFonts w:ascii="Times New Roman" w:hAnsi="Times New Roman" w:cs="Times New Roman"/>
          <w:bCs/>
          <w:sz w:val="24"/>
          <w:szCs w:val="24"/>
        </w:rPr>
        <w:t xml:space="preserve"> submitted by District Deputy D</w:t>
      </w:r>
      <w:r>
        <w:rPr>
          <w:rFonts w:ascii="Times New Roman" w:hAnsi="Times New Roman" w:cs="Times New Roman"/>
          <w:bCs/>
          <w:sz w:val="24"/>
          <w:szCs w:val="24"/>
        </w:rPr>
        <w:t>irectors indicate a</w:t>
      </w:r>
      <w:r w:rsidR="00D9085B" w:rsidRPr="0065431D">
        <w:rPr>
          <w:rFonts w:ascii="Times New Roman" w:hAnsi="Times New Roman" w:cs="Times New Roman"/>
          <w:bCs/>
          <w:sz w:val="24"/>
          <w:szCs w:val="24"/>
        </w:rPr>
        <w:t xml:space="preserve"> total of </w:t>
      </w:r>
      <w:r w:rsidR="007D1983" w:rsidRPr="0065431D">
        <w:rPr>
          <w:rFonts w:ascii="Times New Roman" w:hAnsi="Times New Roman" w:cs="Times New Roman"/>
          <w:bCs/>
          <w:sz w:val="24"/>
          <w:szCs w:val="24"/>
        </w:rPr>
        <w:t>72</w:t>
      </w:r>
      <w:r w:rsidR="00CE0E31" w:rsidRPr="0065431D">
        <w:rPr>
          <w:rFonts w:ascii="Times New Roman" w:hAnsi="Times New Roman" w:cs="Times New Roman"/>
          <w:bCs/>
          <w:sz w:val="24"/>
          <w:szCs w:val="24"/>
        </w:rPr>
        <w:t xml:space="preserve"> cluster monitors, 725</w:t>
      </w:r>
      <w:r w:rsidR="00D9085B" w:rsidRPr="0065431D">
        <w:rPr>
          <w:rFonts w:ascii="Times New Roman" w:hAnsi="Times New Roman" w:cs="Times New Roman"/>
          <w:bCs/>
          <w:sz w:val="24"/>
          <w:szCs w:val="24"/>
        </w:rPr>
        <w:t xml:space="preserve"> head teachers, inspectors and district education officers benefitted from cluster monitoring either as monitors or coordinators in </w:t>
      </w:r>
      <w:r w:rsidR="007C0CE0" w:rsidRPr="0065431D">
        <w:rPr>
          <w:rFonts w:ascii="Times New Roman" w:hAnsi="Times New Roman" w:cs="Times New Roman"/>
          <w:bCs/>
          <w:sz w:val="24"/>
          <w:szCs w:val="24"/>
        </w:rPr>
        <w:t>740</w:t>
      </w:r>
      <w:r w:rsidR="00D9085B" w:rsidRPr="0065431D">
        <w:rPr>
          <w:rFonts w:ascii="Times New Roman" w:hAnsi="Times New Roman" w:cs="Times New Roman"/>
          <w:bCs/>
          <w:sz w:val="24"/>
          <w:szCs w:val="24"/>
        </w:rPr>
        <w:t xml:space="preserve"> schools in 6 districts. As a result, punctuality and regularity of teachers has increased through improved school administration and regular monitoring. Communities with monitored schools also have enhanced community involvement in school affairs, and better school management.</w:t>
      </w:r>
    </w:p>
    <w:p w:rsidR="00D9085B" w:rsidRPr="0065431D" w:rsidRDefault="00D9085B" w:rsidP="00A930E6">
      <w:pPr>
        <w:jc w:val="both"/>
      </w:pPr>
    </w:p>
    <w:p w:rsidR="00D9085B" w:rsidRPr="0065431D" w:rsidRDefault="00D9085B" w:rsidP="006422F3">
      <w:pPr>
        <w:pStyle w:val="BodyText"/>
        <w:tabs>
          <w:tab w:val="left" w:pos="720"/>
        </w:tabs>
        <w:spacing w:before="120"/>
        <w:ind w:left="720"/>
        <w:jc w:val="both"/>
        <w:rPr>
          <w:rFonts w:ascii="Times New Roman" w:hAnsi="Times New Roman" w:cs="Times New Roman"/>
          <w:bCs/>
          <w:sz w:val="24"/>
          <w:szCs w:val="24"/>
        </w:rPr>
      </w:pPr>
      <w:r w:rsidRPr="0065431D">
        <w:rPr>
          <w:rFonts w:ascii="Times New Roman" w:hAnsi="Times New Roman" w:cs="Times New Roman"/>
          <w:bCs/>
          <w:sz w:val="24"/>
          <w:szCs w:val="24"/>
        </w:rPr>
        <w:t xml:space="preserve">The Deputy Director of Education and local councils </w:t>
      </w:r>
      <w:r w:rsidR="003B3669" w:rsidRPr="0065431D">
        <w:rPr>
          <w:rFonts w:ascii="Times New Roman" w:hAnsi="Times New Roman" w:cs="Times New Roman"/>
          <w:bCs/>
          <w:sz w:val="24"/>
          <w:szCs w:val="24"/>
        </w:rPr>
        <w:t>have</w:t>
      </w:r>
      <w:r w:rsidRPr="0065431D">
        <w:rPr>
          <w:rFonts w:ascii="Times New Roman" w:hAnsi="Times New Roman" w:cs="Times New Roman"/>
          <w:bCs/>
          <w:sz w:val="24"/>
          <w:szCs w:val="24"/>
        </w:rPr>
        <w:t xml:space="preserve"> </w:t>
      </w:r>
      <w:r w:rsidR="00273F09" w:rsidRPr="0065431D">
        <w:rPr>
          <w:rFonts w:ascii="Times New Roman" w:hAnsi="Times New Roman" w:cs="Times New Roman"/>
          <w:bCs/>
          <w:sz w:val="24"/>
          <w:szCs w:val="24"/>
        </w:rPr>
        <w:t xml:space="preserve">obtained </w:t>
      </w:r>
      <w:r w:rsidRPr="0065431D">
        <w:rPr>
          <w:rFonts w:ascii="Times New Roman" w:hAnsi="Times New Roman" w:cs="Times New Roman"/>
          <w:bCs/>
          <w:sz w:val="24"/>
          <w:szCs w:val="24"/>
        </w:rPr>
        <w:t xml:space="preserve">relevant information </w:t>
      </w:r>
      <w:r w:rsidR="00273F09" w:rsidRPr="0065431D">
        <w:rPr>
          <w:rFonts w:ascii="Times New Roman" w:hAnsi="Times New Roman" w:cs="Times New Roman"/>
          <w:bCs/>
          <w:sz w:val="24"/>
          <w:szCs w:val="24"/>
        </w:rPr>
        <w:t xml:space="preserve">for further </w:t>
      </w:r>
      <w:r w:rsidRPr="0065431D">
        <w:rPr>
          <w:rFonts w:ascii="Times New Roman" w:hAnsi="Times New Roman" w:cs="Times New Roman"/>
          <w:bCs/>
          <w:sz w:val="24"/>
          <w:szCs w:val="24"/>
        </w:rPr>
        <w:t xml:space="preserve">planning </w:t>
      </w:r>
      <w:r w:rsidR="00273F09" w:rsidRPr="0065431D">
        <w:rPr>
          <w:rFonts w:ascii="Times New Roman" w:hAnsi="Times New Roman" w:cs="Times New Roman"/>
          <w:bCs/>
          <w:sz w:val="24"/>
          <w:szCs w:val="24"/>
        </w:rPr>
        <w:t xml:space="preserve">of </w:t>
      </w:r>
      <w:r w:rsidRPr="0065431D">
        <w:rPr>
          <w:rFonts w:ascii="Times New Roman" w:hAnsi="Times New Roman" w:cs="Times New Roman"/>
          <w:bCs/>
          <w:sz w:val="24"/>
          <w:szCs w:val="24"/>
        </w:rPr>
        <w:t>school development</w:t>
      </w:r>
      <w:r w:rsidR="003B3669" w:rsidRPr="0065431D">
        <w:rPr>
          <w:rFonts w:ascii="Times New Roman" w:hAnsi="Times New Roman" w:cs="Times New Roman"/>
          <w:bCs/>
          <w:sz w:val="24"/>
          <w:szCs w:val="24"/>
        </w:rPr>
        <w:t xml:space="preserve"> activities</w:t>
      </w:r>
      <w:r w:rsidRPr="0065431D">
        <w:rPr>
          <w:rFonts w:ascii="Times New Roman" w:hAnsi="Times New Roman" w:cs="Times New Roman"/>
          <w:bCs/>
          <w:sz w:val="24"/>
          <w:szCs w:val="24"/>
        </w:rPr>
        <w:t xml:space="preserve">. The </w:t>
      </w:r>
      <w:r w:rsidR="00671F82">
        <w:rPr>
          <w:rFonts w:ascii="Times New Roman" w:hAnsi="Times New Roman" w:cs="Times New Roman"/>
          <w:bCs/>
          <w:sz w:val="24"/>
          <w:szCs w:val="24"/>
        </w:rPr>
        <w:t>Milton Ma</w:t>
      </w:r>
      <w:r w:rsidR="003D1B1F">
        <w:rPr>
          <w:rFonts w:ascii="Times New Roman" w:hAnsi="Times New Roman" w:cs="Times New Roman"/>
          <w:bCs/>
          <w:sz w:val="24"/>
          <w:szCs w:val="24"/>
        </w:rPr>
        <w:t>rgai</w:t>
      </w:r>
      <w:r w:rsidR="00671F82">
        <w:rPr>
          <w:rFonts w:ascii="Times New Roman" w:hAnsi="Times New Roman" w:cs="Times New Roman"/>
          <w:bCs/>
          <w:sz w:val="24"/>
          <w:szCs w:val="24"/>
        </w:rPr>
        <w:t xml:space="preserve"> College of Education and Technology</w:t>
      </w:r>
      <w:r w:rsidR="006422F3">
        <w:rPr>
          <w:rFonts w:ascii="Times New Roman" w:hAnsi="Times New Roman" w:cs="Times New Roman"/>
          <w:bCs/>
          <w:sz w:val="24"/>
          <w:szCs w:val="24"/>
        </w:rPr>
        <w:t xml:space="preserve">  (MMCET)</w:t>
      </w:r>
      <w:r w:rsidRPr="0065431D">
        <w:rPr>
          <w:rFonts w:ascii="Times New Roman" w:hAnsi="Times New Roman" w:cs="Times New Roman"/>
          <w:bCs/>
          <w:sz w:val="24"/>
          <w:szCs w:val="24"/>
        </w:rPr>
        <w:t xml:space="preserve">which monitored the programme and </w:t>
      </w:r>
      <w:r w:rsidR="00302A2E" w:rsidRPr="0065431D">
        <w:rPr>
          <w:rFonts w:ascii="Times New Roman" w:hAnsi="Times New Roman" w:cs="Times New Roman"/>
          <w:bCs/>
          <w:sz w:val="24"/>
          <w:szCs w:val="24"/>
        </w:rPr>
        <w:t>analyzed</w:t>
      </w:r>
      <w:r w:rsidRPr="0065431D">
        <w:rPr>
          <w:rFonts w:ascii="Times New Roman" w:hAnsi="Times New Roman" w:cs="Times New Roman"/>
          <w:bCs/>
          <w:sz w:val="24"/>
          <w:szCs w:val="24"/>
        </w:rPr>
        <w:t xml:space="preserve"> the data collected reported </w:t>
      </w:r>
      <w:r w:rsidR="003B3669" w:rsidRPr="0065431D">
        <w:rPr>
          <w:rFonts w:ascii="Times New Roman" w:hAnsi="Times New Roman" w:cs="Times New Roman"/>
          <w:bCs/>
          <w:sz w:val="24"/>
          <w:szCs w:val="24"/>
        </w:rPr>
        <w:t>that planning</w:t>
      </w:r>
      <w:r w:rsidRPr="0065431D">
        <w:rPr>
          <w:rFonts w:ascii="Times New Roman" w:hAnsi="Times New Roman" w:cs="Times New Roman"/>
          <w:bCs/>
          <w:sz w:val="24"/>
          <w:szCs w:val="24"/>
        </w:rPr>
        <w:t xml:space="preserve"> and preparation of lessons</w:t>
      </w:r>
      <w:r w:rsidR="003B3669" w:rsidRPr="0065431D">
        <w:rPr>
          <w:rFonts w:ascii="Times New Roman" w:hAnsi="Times New Roman" w:cs="Times New Roman"/>
          <w:bCs/>
          <w:sz w:val="24"/>
          <w:szCs w:val="24"/>
        </w:rPr>
        <w:t xml:space="preserve"> by </w:t>
      </w:r>
      <w:r w:rsidR="007C0CE0" w:rsidRPr="0065431D">
        <w:rPr>
          <w:rFonts w:ascii="Times New Roman" w:hAnsi="Times New Roman" w:cs="Times New Roman"/>
          <w:bCs/>
          <w:sz w:val="24"/>
          <w:szCs w:val="24"/>
        </w:rPr>
        <w:t>teachers before</w:t>
      </w:r>
      <w:r w:rsidRPr="0065431D">
        <w:rPr>
          <w:rFonts w:ascii="Times New Roman" w:hAnsi="Times New Roman" w:cs="Times New Roman"/>
          <w:bCs/>
          <w:sz w:val="24"/>
          <w:szCs w:val="24"/>
        </w:rPr>
        <w:t xml:space="preserve"> classes was adequate, that record keeping </w:t>
      </w:r>
      <w:r w:rsidR="003B3669" w:rsidRPr="0065431D">
        <w:rPr>
          <w:rFonts w:ascii="Times New Roman" w:hAnsi="Times New Roman" w:cs="Times New Roman"/>
          <w:bCs/>
          <w:sz w:val="24"/>
          <w:szCs w:val="24"/>
        </w:rPr>
        <w:t>has</w:t>
      </w:r>
      <w:r w:rsidRPr="0065431D">
        <w:rPr>
          <w:rFonts w:ascii="Times New Roman" w:hAnsi="Times New Roman" w:cs="Times New Roman"/>
          <w:bCs/>
          <w:sz w:val="24"/>
          <w:szCs w:val="24"/>
        </w:rPr>
        <w:t xml:space="preserve"> improved and absenteeism reduced. Monthly reports including details of the monitoring exercise, lessons learnt and challenges are submitted to the District Education Office with copies sent to UNICEF. Thus</w:t>
      </w:r>
      <w:r w:rsidR="00273F09" w:rsidRPr="0065431D">
        <w:rPr>
          <w:rFonts w:ascii="Times New Roman" w:hAnsi="Times New Roman" w:cs="Times New Roman"/>
          <w:bCs/>
          <w:sz w:val="24"/>
          <w:szCs w:val="24"/>
        </w:rPr>
        <w:t>,</w:t>
      </w:r>
      <w:r w:rsidRPr="0065431D">
        <w:rPr>
          <w:rFonts w:ascii="Times New Roman" w:hAnsi="Times New Roman" w:cs="Times New Roman"/>
          <w:bCs/>
          <w:sz w:val="24"/>
          <w:szCs w:val="24"/>
        </w:rPr>
        <w:t xml:space="preserve"> the process is refined for the next monitoring cycle</w:t>
      </w:r>
      <w:r w:rsidR="006422F3">
        <w:rPr>
          <w:rFonts w:ascii="Times New Roman" w:hAnsi="Times New Roman" w:cs="Times New Roman"/>
          <w:bCs/>
          <w:sz w:val="24"/>
          <w:szCs w:val="24"/>
        </w:rPr>
        <w:t>.</w:t>
      </w:r>
      <w:r w:rsidRPr="0065431D">
        <w:rPr>
          <w:rFonts w:ascii="Times New Roman" w:hAnsi="Times New Roman" w:cs="Times New Roman"/>
          <w:bCs/>
          <w:sz w:val="24"/>
          <w:szCs w:val="24"/>
        </w:rPr>
        <w:t xml:space="preserve"> </w:t>
      </w:r>
    </w:p>
    <w:p w:rsidR="00D9085B" w:rsidRPr="0065431D" w:rsidRDefault="00D9085B" w:rsidP="006422F3">
      <w:pPr>
        <w:ind w:left="720"/>
        <w:jc w:val="both"/>
      </w:pPr>
    </w:p>
    <w:p w:rsidR="00D9085B" w:rsidRPr="0065431D" w:rsidRDefault="00D9085B" w:rsidP="006422F3">
      <w:pPr>
        <w:pStyle w:val="BodyText"/>
        <w:tabs>
          <w:tab w:val="left" w:pos="720"/>
        </w:tabs>
        <w:spacing w:before="120"/>
        <w:ind w:left="720"/>
        <w:jc w:val="both"/>
        <w:rPr>
          <w:rFonts w:ascii="Times New Roman" w:hAnsi="Times New Roman" w:cs="Times New Roman"/>
          <w:bCs/>
          <w:sz w:val="24"/>
          <w:szCs w:val="24"/>
        </w:rPr>
      </w:pPr>
      <w:r w:rsidRPr="0065431D">
        <w:rPr>
          <w:rFonts w:ascii="Times New Roman" w:hAnsi="Times New Roman" w:cs="Times New Roman"/>
          <w:bCs/>
          <w:sz w:val="24"/>
          <w:szCs w:val="24"/>
        </w:rPr>
        <w:t xml:space="preserve">Monitoring </w:t>
      </w:r>
      <w:r w:rsidR="003D1B1F" w:rsidRPr="0065431D">
        <w:rPr>
          <w:rFonts w:ascii="Times New Roman" w:hAnsi="Times New Roman" w:cs="Times New Roman"/>
          <w:bCs/>
          <w:sz w:val="24"/>
          <w:szCs w:val="24"/>
        </w:rPr>
        <w:t xml:space="preserve">reports </w:t>
      </w:r>
      <w:r w:rsidR="003D1B1F">
        <w:rPr>
          <w:rFonts w:ascii="Times New Roman" w:hAnsi="Times New Roman" w:cs="Times New Roman"/>
          <w:bCs/>
          <w:sz w:val="24"/>
          <w:szCs w:val="24"/>
        </w:rPr>
        <w:t>from</w:t>
      </w:r>
      <w:r w:rsidR="006422F3">
        <w:rPr>
          <w:rFonts w:ascii="Times New Roman" w:hAnsi="Times New Roman" w:cs="Times New Roman"/>
          <w:bCs/>
          <w:sz w:val="24"/>
          <w:szCs w:val="24"/>
        </w:rPr>
        <w:t xml:space="preserve"> the five implementing Teacher Training Colleges and UNICEF </w:t>
      </w:r>
      <w:r w:rsidRPr="0065431D">
        <w:rPr>
          <w:rFonts w:ascii="Times New Roman" w:hAnsi="Times New Roman" w:cs="Times New Roman"/>
          <w:bCs/>
          <w:sz w:val="24"/>
          <w:szCs w:val="24"/>
        </w:rPr>
        <w:t xml:space="preserve">indicate that about </w:t>
      </w:r>
      <w:r w:rsidR="0075797E" w:rsidRPr="0065431D">
        <w:rPr>
          <w:rFonts w:ascii="Times New Roman" w:hAnsi="Times New Roman" w:cs="Times New Roman"/>
          <w:bCs/>
          <w:sz w:val="24"/>
          <w:szCs w:val="24"/>
        </w:rPr>
        <w:t>60% of 3,283 (female 1,102, male 2,181)</w:t>
      </w:r>
      <w:r w:rsidRPr="0065431D">
        <w:rPr>
          <w:rFonts w:ascii="Times New Roman" w:hAnsi="Times New Roman" w:cs="Times New Roman"/>
          <w:bCs/>
          <w:sz w:val="24"/>
          <w:szCs w:val="24"/>
        </w:rPr>
        <w:t xml:space="preserve"> teachers trained on CCTT and </w:t>
      </w:r>
      <w:r w:rsidRPr="006422F3">
        <w:rPr>
          <w:rFonts w:ascii="Times New Roman" w:hAnsi="Times New Roman" w:cs="Times New Roman"/>
          <w:bCs/>
          <w:sz w:val="24"/>
          <w:szCs w:val="24"/>
        </w:rPr>
        <w:t>EMI</w:t>
      </w:r>
      <w:r w:rsidRPr="0065431D">
        <w:rPr>
          <w:rFonts w:ascii="Times New Roman" w:hAnsi="Times New Roman" w:cs="Times New Roman"/>
          <w:bCs/>
          <w:sz w:val="24"/>
          <w:szCs w:val="24"/>
        </w:rPr>
        <w:t xml:space="preserve"> are applying </w:t>
      </w:r>
      <w:r w:rsidRPr="006422F3">
        <w:rPr>
          <w:rFonts w:ascii="Times New Roman" w:hAnsi="Times New Roman" w:cs="Times New Roman"/>
          <w:bCs/>
          <w:sz w:val="24"/>
          <w:szCs w:val="24"/>
        </w:rPr>
        <w:t>CCTT</w:t>
      </w:r>
      <w:r w:rsidRPr="0065431D">
        <w:rPr>
          <w:rFonts w:ascii="Times New Roman" w:hAnsi="Times New Roman" w:cs="Times New Roman"/>
          <w:bCs/>
          <w:sz w:val="24"/>
          <w:szCs w:val="24"/>
        </w:rPr>
        <w:t xml:space="preserve"> and incorporating EMI in the classroom interactions. Also children in those classrooms are fully participating in classroom activities, thereby making learning more interesting.</w:t>
      </w:r>
    </w:p>
    <w:p w:rsidR="00D9085B" w:rsidRPr="0065431D" w:rsidRDefault="00D9085B" w:rsidP="006422F3">
      <w:pPr>
        <w:pStyle w:val="BodyText"/>
        <w:tabs>
          <w:tab w:val="left" w:pos="720"/>
        </w:tabs>
        <w:spacing w:before="120"/>
        <w:ind w:left="720"/>
        <w:jc w:val="both"/>
        <w:rPr>
          <w:rFonts w:ascii="Times New Roman" w:hAnsi="Times New Roman" w:cs="Times New Roman"/>
          <w:bCs/>
          <w:sz w:val="24"/>
          <w:szCs w:val="24"/>
        </w:rPr>
      </w:pPr>
      <w:r w:rsidRPr="0065431D">
        <w:rPr>
          <w:rFonts w:ascii="Times New Roman" w:hAnsi="Times New Roman" w:cs="Times New Roman"/>
          <w:bCs/>
          <w:sz w:val="24"/>
          <w:szCs w:val="24"/>
        </w:rPr>
        <w:t>The 750</w:t>
      </w:r>
      <w:r w:rsidR="0075797E" w:rsidRPr="0065431D">
        <w:rPr>
          <w:rFonts w:ascii="Times New Roman" w:hAnsi="Times New Roman" w:cs="Times New Roman"/>
          <w:bCs/>
          <w:sz w:val="24"/>
          <w:szCs w:val="24"/>
        </w:rPr>
        <w:t xml:space="preserve"> (female 228, male 522)</w:t>
      </w:r>
      <w:r w:rsidRPr="0065431D">
        <w:rPr>
          <w:rFonts w:ascii="Times New Roman" w:hAnsi="Times New Roman" w:cs="Times New Roman"/>
          <w:bCs/>
          <w:sz w:val="24"/>
          <w:szCs w:val="24"/>
        </w:rPr>
        <w:t xml:space="preserve"> teachers who completed the Distance Learning Programme have taken the national certification examinations</w:t>
      </w:r>
      <w:r w:rsidR="0075797E" w:rsidRPr="0065431D">
        <w:rPr>
          <w:rFonts w:ascii="Times New Roman" w:hAnsi="Times New Roman" w:cs="Times New Roman"/>
          <w:bCs/>
          <w:sz w:val="24"/>
          <w:szCs w:val="24"/>
        </w:rPr>
        <w:t xml:space="preserve"> and are awaiting results.</w:t>
      </w:r>
      <w:r w:rsidRPr="0065431D">
        <w:rPr>
          <w:rFonts w:ascii="Times New Roman" w:hAnsi="Times New Roman" w:cs="Times New Roman"/>
          <w:bCs/>
          <w:sz w:val="24"/>
          <w:szCs w:val="24"/>
        </w:rPr>
        <w:t xml:space="preserve"> The Distance Education Course has enhanced knowledge, skills and competencies of these teachers and has equally exposed them to the new child</w:t>
      </w:r>
      <w:r w:rsidR="00273F09" w:rsidRPr="0065431D">
        <w:rPr>
          <w:rFonts w:ascii="Times New Roman" w:hAnsi="Times New Roman" w:cs="Times New Roman"/>
          <w:bCs/>
          <w:sz w:val="24"/>
          <w:szCs w:val="24"/>
        </w:rPr>
        <w:t>-centered</w:t>
      </w:r>
      <w:r w:rsidRPr="0065431D">
        <w:rPr>
          <w:rFonts w:ascii="Times New Roman" w:hAnsi="Times New Roman" w:cs="Times New Roman"/>
          <w:bCs/>
          <w:sz w:val="24"/>
          <w:szCs w:val="24"/>
        </w:rPr>
        <w:t xml:space="preserve"> teaching methodologies. This has added to the number of trained and qualified teachers in the country.</w:t>
      </w:r>
    </w:p>
    <w:p w:rsidR="00D9085B" w:rsidRPr="0065431D" w:rsidRDefault="00D9085B" w:rsidP="006422F3">
      <w:pPr>
        <w:jc w:val="both"/>
      </w:pPr>
    </w:p>
    <w:p w:rsidR="00D9085B" w:rsidRPr="0065431D" w:rsidRDefault="00D9085B" w:rsidP="006422F3">
      <w:pPr>
        <w:pStyle w:val="BodyText"/>
        <w:tabs>
          <w:tab w:val="left" w:pos="720"/>
        </w:tabs>
        <w:spacing w:before="120"/>
        <w:ind w:left="720"/>
        <w:jc w:val="both"/>
        <w:rPr>
          <w:rFonts w:ascii="Times New Roman" w:hAnsi="Times New Roman" w:cs="Times New Roman"/>
          <w:bCs/>
          <w:sz w:val="24"/>
          <w:szCs w:val="24"/>
        </w:rPr>
      </w:pPr>
      <w:r w:rsidRPr="0065431D">
        <w:rPr>
          <w:rFonts w:ascii="Times New Roman" w:hAnsi="Times New Roman" w:cs="Times New Roman"/>
          <w:bCs/>
          <w:sz w:val="24"/>
          <w:szCs w:val="24"/>
        </w:rPr>
        <w:t>The CFS National Standards and roll-out in 40 schools have so far created opportunities for promoting strong partnerships between the school and community; which ultimately may impact improvements in the learning situation of over eleven thousand children (11,000), half of them girls, in the target schools and communities.</w:t>
      </w:r>
    </w:p>
    <w:p w:rsidR="00D9085B" w:rsidRPr="0065431D" w:rsidRDefault="00D9085B" w:rsidP="006422F3">
      <w:pPr>
        <w:pStyle w:val="BodyText"/>
        <w:tabs>
          <w:tab w:val="left" w:pos="720"/>
        </w:tabs>
        <w:spacing w:before="120"/>
        <w:ind w:left="720"/>
        <w:jc w:val="both"/>
        <w:rPr>
          <w:rFonts w:ascii="Times New Roman" w:hAnsi="Times New Roman" w:cs="Times New Roman"/>
          <w:bCs/>
          <w:sz w:val="24"/>
          <w:szCs w:val="24"/>
        </w:rPr>
      </w:pPr>
      <w:r w:rsidRPr="0065431D">
        <w:rPr>
          <w:rFonts w:ascii="Times New Roman" w:hAnsi="Times New Roman" w:cs="Times New Roman"/>
          <w:bCs/>
          <w:sz w:val="24"/>
          <w:szCs w:val="24"/>
        </w:rPr>
        <w:t xml:space="preserve">There has been an increase in awareness among the community members, across gender, tradition and religion – on the importance and value of education, especially for girls. As a result, community involvement and parent participation in the education of their children has increased considerably. </w:t>
      </w:r>
    </w:p>
    <w:p w:rsidR="00D9085B" w:rsidRPr="0065431D" w:rsidRDefault="00D9085B" w:rsidP="006422F3">
      <w:pPr>
        <w:pStyle w:val="BodyText"/>
        <w:tabs>
          <w:tab w:val="left" w:pos="720"/>
        </w:tabs>
        <w:spacing w:before="120"/>
        <w:ind w:left="720"/>
        <w:jc w:val="both"/>
        <w:rPr>
          <w:rFonts w:ascii="Times New Roman" w:hAnsi="Times New Roman" w:cs="Times New Roman"/>
          <w:bCs/>
          <w:sz w:val="24"/>
          <w:szCs w:val="24"/>
        </w:rPr>
      </w:pPr>
      <w:r w:rsidRPr="0065431D">
        <w:rPr>
          <w:rFonts w:ascii="Times New Roman" w:hAnsi="Times New Roman" w:cs="Times New Roman"/>
          <w:bCs/>
          <w:sz w:val="24"/>
          <w:szCs w:val="24"/>
        </w:rPr>
        <w:t>The local authorities and other community stakeholders are using the community action plans to accelerate children’s enrolment and retention as well as increase local involvement in school management and monitoring. One community action plan per chiefdom was planned for implementation, but because of the interconnectedness of the issues of children out of school, stakeholders are simultaneously carrying out multiple actions to support the enrolment and regular attendance of vulnerable children, especially those in hard-to-reach communities. Enrolment in the sample schools in the six districts indicates a 62% increase between September</w:t>
      </w:r>
      <w:r w:rsidR="000D11D8" w:rsidRPr="0065431D">
        <w:rPr>
          <w:rFonts w:ascii="Times New Roman" w:hAnsi="Times New Roman" w:cs="Times New Roman"/>
          <w:bCs/>
          <w:sz w:val="24"/>
          <w:szCs w:val="24"/>
        </w:rPr>
        <w:t xml:space="preserve"> 2011</w:t>
      </w:r>
      <w:r w:rsidRPr="0065431D">
        <w:rPr>
          <w:rFonts w:ascii="Times New Roman" w:hAnsi="Times New Roman" w:cs="Times New Roman"/>
          <w:bCs/>
          <w:sz w:val="24"/>
          <w:szCs w:val="24"/>
        </w:rPr>
        <w:t xml:space="preserve"> and December 2012.</w:t>
      </w:r>
    </w:p>
    <w:p w:rsidR="00D9085B" w:rsidRPr="0065431D" w:rsidRDefault="00D9085B" w:rsidP="006422F3">
      <w:pPr>
        <w:jc w:val="both"/>
        <w:rPr>
          <w:color w:val="00B050"/>
        </w:rPr>
      </w:pPr>
    </w:p>
    <w:p w:rsidR="000D11D8" w:rsidRPr="0065431D" w:rsidRDefault="000D11D8" w:rsidP="00A930E6">
      <w:pPr>
        <w:pStyle w:val="BodyText"/>
        <w:ind w:left="720"/>
        <w:jc w:val="both"/>
        <w:rPr>
          <w:rFonts w:ascii="Times New Roman" w:hAnsi="Times New Roman" w:cs="Times New Roman"/>
          <w:color w:val="FF0000"/>
          <w:sz w:val="24"/>
          <w:szCs w:val="24"/>
        </w:rPr>
      </w:pPr>
    </w:p>
    <w:p w:rsidR="00B543E6" w:rsidRPr="006422F3" w:rsidRDefault="00B543E6" w:rsidP="00A930E6">
      <w:pPr>
        <w:pStyle w:val="BodyText"/>
        <w:numPr>
          <w:ilvl w:val="0"/>
          <w:numId w:val="26"/>
        </w:numPr>
        <w:jc w:val="both"/>
        <w:rPr>
          <w:rFonts w:ascii="Times New Roman" w:hAnsi="Times New Roman" w:cs="Times New Roman"/>
          <w:sz w:val="24"/>
          <w:szCs w:val="24"/>
        </w:rPr>
      </w:pPr>
      <w:r w:rsidRPr="006422F3">
        <w:rPr>
          <w:rFonts w:ascii="Times New Roman" w:hAnsi="Times New Roman" w:cs="Times New Roman"/>
          <w:b/>
          <w:bCs/>
          <w:sz w:val="24"/>
          <w:szCs w:val="24"/>
        </w:rPr>
        <w:t>Outputs:</w:t>
      </w:r>
      <w:r w:rsidRPr="006422F3">
        <w:rPr>
          <w:rFonts w:ascii="Times New Roman" w:hAnsi="Times New Roman" w:cs="Times New Roman"/>
          <w:bCs/>
          <w:sz w:val="24"/>
          <w:szCs w:val="24"/>
        </w:rPr>
        <w:t xml:space="preserve"> </w:t>
      </w:r>
    </w:p>
    <w:p w:rsidR="00B543E6" w:rsidRPr="0065431D" w:rsidRDefault="00B543E6" w:rsidP="006422F3">
      <w:pPr>
        <w:pStyle w:val="ListParagraph"/>
        <w:jc w:val="both"/>
      </w:pPr>
    </w:p>
    <w:p w:rsidR="00D9085B" w:rsidRPr="0065431D" w:rsidRDefault="00D9085B" w:rsidP="00A930E6">
      <w:pPr>
        <w:pStyle w:val="ListParagraph"/>
        <w:jc w:val="both"/>
        <w:rPr>
          <w:u w:val="single"/>
        </w:rPr>
      </w:pPr>
      <w:r w:rsidRPr="0065431D">
        <w:t xml:space="preserve">The </w:t>
      </w:r>
      <w:r w:rsidR="001E1287" w:rsidRPr="0065431D">
        <w:t xml:space="preserve">main </w:t>
      </w:r>
      <w:r w:rsidRPr="0065431D">
        <w:t>following outputs were achieved as planned</w:t>
      </w:r>
      <w:r w:rsidR="00011FCE" w:rsidRPr="0065431D">
        <w:t>.</w:t>
      </w:r>
    </w:p>
    <w:p w:rsidR="00302A2E" w:rsidRPr="0065431D" w:rsidRDefault="00302A2E" w:rsidP="00A930E6">
      <w:pPr>
        <w:pStyle w:val="ListParagraph"/>
        <w:jc w:val="both"/>
        <w:rPr>
          <w:u w:val="single"/>
        </w:rPr>
      </w:pPr>
    </w:p>
    <w:p w:rsidR="00D9085B" w:rsidRPr="0065431D" w:rsidRDefault="00D9085B" w:rsidP="00A930E6">
      <w:pPr>
        <w:pStyle w:val="ListParagraph"/>
        <w:jc w:val="both"/>
        <w:rPr>
          <w:u w:val="single"/>
        </w:rPr>
      </w:pPr>
      <w:r w:rsidRPr="0065431D">
        <w:rPr>
          <w:u w:val="single"/>
        </w:rPr>
        <w:t>Cluster monitoring of schools</w:t>
      </w:r>
    </w:p>
    <w:p w:rsidR="00D9085B" w:rsidRPr="0065431D" w:rsidRDefault="00D9085B" w:rsidP="00CB2273">
      <w:pPr>
        <w:pStyle w:val="ListParagraph"/>
        <w:jc w:val="both"/>
      </w:pPr>
      <w:r w:rsidRPr="0065431D">
        <w:t xml:space="preserve">Cluster monitoring requires both human and material resources in terms of people to conduct the inspections and supervision and the means of actually moving from school to school to execute the work. Most districts presently lack the required manpower as well as adequate motorbikes to do this well.  </w:t>
      </w:r>
    </w:p>
    <w:p w:rsidR="00D9085B" w:rsidRPr="0065431D" w:rsidRDefault="00D9085B" w:rsidP="00015581">
      <w:pPr>
        <w:pStyle w:val="ListParagraph"/>
        <w:jc w:val="both"/>
      </w:pPr>
    </w:p>
    <w:p w:rsidR="00D9085B" w:rsidRPr="0065431D" w:rsidRDefault="00D9085B" w:rsidP="00015581">
      <w:pPr>
        <w:pStyle w:val="ListParagraph"/>
        <w:jc w:val="both"/>
      </w:pPr>
      <w:r w:rsidRPr="0065431D">
        <w:t xml:space="preserve">The use of cluster monitoring strengthened the monitoring and supervision of schools and teachers. The MTDF was used to train 72 cluster monitors, and </w:t>
      </w:r>
      <w:r w:rsidR="007D1983" w:rsidRPr="0065431D">
        <w:t>6</w:t>
      </w:r>
      <w:r w:rsidRPr="0065431D">
        <w:t xml:space="preserve"> Deputy Directors of Education from </w:t>
      </w:r>
      <w:r w:rsidR="007D1983" w:rsidRPr="0065431D">
        <w:t>6</w:t>
      </w:r>
      <w:r w:rsidRPr="0065431D">
        <w:t xml:space="preserve"> districts (Kenema, Tonkolili, Bonthe</w:t>
      </w:r>
      <w:r w:rsidR="00F029E6" w:rsidRPr="0065431D">
        <w:t>) in</w:t>
      </w:r>
      <w:r w:rsidRPr="0065431D">
        <w:t xml:space="preserve"> school cluster monitoring. A total of 380 schools have been supervised and inspected using the cluster monitoring approach.</w:t>
      </w:r>
      <w:r w:rsidR="007C0CE0" w:rsidRPr="0065431D">
        <w:t xml:space="preserve"> In addition, 54 cluster monitors and coordinators were trained in December 2012 and </w:t>
      </w:r>
      <w:r w:rsidR="00DE28F1" w:rsidRPr="0065431D">
        <w:t>are</w:t>
      </w:r>
      <w:r w:rsidR="007C0CE0" w:rsidRPr="0065431D">
        <w:t xml:space="preserve"> currently monitoring the first batch of 360 schools in Pujehun, Tonkolili and Koinadugu.  </w:t>
      </w:r>
      <w:r w:rsidRPr="0065431D">
        <w:t>The</w:t>
      </w:r>
      <w:r w:rsidR="00914AFD" w:rsidRPr="0065431D">
        <w:t xml:space="preserve"> cluster </w:t>
      </w:r>
      <w:r w:rsidR="00C90548" w:rsidRPr="0065431D">
        <w:t xml:space="preserve">Monitoring </w:t>
      </w:r>
      <w:r w:rsidR="007C0CE0" w:rsidRPr="0065431D">
        <w:t>S</w:t>
      </w:r>
      <w:r w:rsidR="00C90548" w:rsidRPr="0065431D">
        <w:t>trategy</w:t>
      </w:r>
      <w:r w:rsidRPr="0065431D">
        <w:t xml:space="preserve"> used to divide the districts into zones with the supervisors being responsible to cover a certain number of zones. To create a workable solution to effective monitoring in remote areas with limited resources a monitoring schedule was developed enabling each monitor to use bikes over a certain period before handing over to another colleague so that over a prescribed time period, all the supervisors have an opportunity to carry out the monitoring. The monitors were trained in basic computer applications. In addition, </w:t>
      </w:r>
      <w:r w:rsidR="00C90548" w:rsidRPr="0065431D">
        <w:t>stakeholders</w:t>
      </w:r>
      <w:r w:rsidRPr="0065431D">
        <w:t xml:space="preserve"> in the area of education, coming from the districts and communities, were sensitized on the school cluster monitoring strategy to raise their awareness on their roles and responsibilities to participate in school development matters.</w:t>
      </w:r>
    </w:p>
    <w:p w:rsidR="00D9085B" w:rsidRPr="0065431D" w:rsidRDefault="00D9085B" w:rsidP="006422F3">
      <w:pPr>
        <w:pStyle w:val="BodyText"/>
        <w:tabs>
          <w:tab w:val="left" w:pos="720"/>
        </w:tabs>
        <w:spacing w:before="120"/>
        <w:ind w:left="720"/>
        <w:jc w:val="both"/>
        <w:rPr>
          <w:rFonts w:ascii="Times New Roman" w:hAnsi="Times New Roman" w:cs="Times New Roman"/>
          <w:bCs/>
          <w:sz w:val="24"/>
          <w:szCs w:val="24"/>
          <w:u w:val="single"/>
        </w:rPr>
      </w:pPr>
      <w:r w:rsidRPr="0065431D">
        <w:rPr>
          <w:rFonts w:ascii="Times New Roman" w:hAnsi="Times New Roman" w:cs="Times New Roman"/>
          <w:bCs/>
          <w:sz w:val="24"/>
          <w:szCs w:val="24"/>
          <w:u w:val="single"/>
        </w:rPr>
        <w:t>Teacher Training</w:t>
      </w:r>
    </w:p>
    <w:p w:rsidR="00D9085B" w:rsidRPr="0065431D" w:rsidRDefault="00D9085B" w:rsidP="006422F3">
      <w:pPr>
        <w:pStyle w:val="BodyText"/>
        <w:tabs>
          <w:tab w:val="left" w:pos="720"/>
        </w:tabs>
        <w:spacing w:before="120"/>
        <w:ind w:left="720"/>
        <w:jc w:val="both"/>
        <w:rPr>
          <w:rFonts w:ascii="Times New Roman" w:hAnsi="Times New Roman" w:cs="Times New Roman"/>
          <w:sz w:val="24"/>
          <w:szCs w:val="24"/>
        </w:rPr>
      </w:pPr>
      <w:r w:rsidRPr="0065431D">
        <w:rPr>
          <w:rFonts w:ascii="Times New Roman" w:hAnsi="Times New Roman" w:cs="Times New Roman"/>
          <w:bCs/>
          <w:sz w:val="24"/>
          <w:szCs w:val="24"/>
        </w:rPr>
        <w:t xml:space="preserve">The funds supported 750 Untrained and Unqualified teachers to sit for </w:t>
      </w:r>
      <w:r w:rsidRPr="0065431D">
        <w:rPr>
          <w:rFonts w:ascii="Times New Roman" w:hAnsi="Times New Roman" w:cs="Times New Roman"/>
          <w:sz w:val="24"/>
          <w:szCs w:val="24"/>
        </w:rPr>
        <w:t>Teachers Certificate Lower Primary teachers’ final certificate examinations conducted by National Council for Technical, Vocational and other Academic Awards (NCTVA).   The funds also contributed to Quarterly Monitoring of Distance Education, Child Centred Teaching Techniques and Emerging Issues by the colleges, local councils and the MEST.</w:t>
      </w:r>
    </w:p>
    <w:p w:rsidR="00D9085B" w:rsidRPr="0065431D" w:rsidRDefault="00D9085B" w:rsidP="00A930E6">
      <w:pPr>
        <w:jc w:val="both"/>
      </w:pPr>
      <w:r w:rsidRPr="0065431D">
        <w:t xml:space="preserve">   </w:t>
      </w:r>
    </w:p>
    <w:p w:rsidR="00D9085B" w:rsidRPr="0065431D" w:rsidRDefault="00D9085B" w:rsidP="00A930E6">
      <w:pPr>
        <w:pStyle w:val="ListParagraph"/>
        <w:jc w:val="both"/>
        <w:rPr>
          <w:u w:val="single"/>
        </w:rPr>
      </w:pPr>
      <w:r w:rsidRPr="0065431D">
        <w:rPr>
          <w:u w:val="single"/>
        </w:rPr>
        <w:t>Child Friendly Schools</w:t>
      </w:r>
    </w:p>
    <w:p w:rsidR="00D9085B" w:rsidRPr="0065431D" w:rsidRDefault="00D9085B" w:rsidP="00CB2273">
      <w:pPr>
        <w:pStyle w:val="ListParagraph"/>
        <w:jc w:val="both"/>
      </w:pPr>
      <w:r w:rsidRPr="0065431D">
        <w:t>The Funds contributed to the training and establishment of the National CFS Steering Committee as well as two district-CFS Steering Committees in Pujehun and Tonkolili. In addition, the interpretation of the CFS National Standards has been done with a set of indicators for each dimension of the National Standards developed. The under-listed supply items were provided to 40 schools in two districts to promote child-friendly schooling.</w:t>
      </w:r>
    </w:p>
    <w:p w:rsidR="00D9085B" w:rsidRPr="0065431D" w:rsidRDefault="00D9085B" w:rsidP="00015581">
      <w:pPr>
        <w:pStyle w:val="BodyText"/>
        <w:numPr>
          <w:ilvl w:val="0"/>
          <w:numId w:val="32"/>
        </w:numPr>
        <w:tabs>
          <w:tab w:val="left" w:pos="720"/>
        </w:tabs>
        <w:spacing w:before="120"/>
        <w:jc w:val="both"/>
        <w:rPr>
          <w:rFonts w:ascii="Times New Roman" w:hAnsi="Times New Roman" w:cs="Times New Roman"/>
          <w:bCs/>
          <w:sz w:val="24"/>
          <w:szCs w:val="24"/>
        </w:rPr>
      </w:pPr>
      <w:r w:rsidRPr="0065431D">
        <w:rPr>
          <w:rFonts w:ascii="Times New Roman" w:hAnsi="Times New Roman" w:cs="Times New Roman"/>
          <w:bCs/>
          <w:sz w:val="24"/>
          <w:szCs w:val="24"/>
        </w:rPr>
        <w:t>Sports and recreation items</w:t>
      </w:r>
      <w:r w:rsidRPr="0065431D">
        <w:rPr>
          <w:rStyle w:val="FootnoteReference"/>
          <w:rFonts w:ascii="Times New Roman" w:hAnsi="Times New Roman" w:cs="Times New Roman"/>
          <w:sz w:val="24"/>
          <w:szCs w:val="24"/>
        </w:rPr>
        <w:footnoteReference w:id="8"/>
      </w:r>
      <w:r w:rsidRPr="0065431D">
        <w:rPr>
          <w:rFonts w:ascii="Times New Roman" w:hAnsi="Times New Roman" w:cs="Times New Roman"/>
          <w:bCs/>
          <w:sz w:val="24"/>
          <w:szCs w:val="24"/>
        </w:rPr>
        <w:t xml:space="preserve"> have been procured and distributed to the 40 schools implementing the CFS initiative in Pujehun and Tonkolili Districts</w:t>
      </w:r>
    </w:p>
    <w:p w:rsidR="00D9085B" w:rsidRPr="0065431D" w:rsidRDefault="00D9085B" w:rsidP="00015581">
      <w:pPr>
        <w:pStyle w:val="BodyText"/>
        <w:numPr>
          <w:ilvl w:val="0"/>
          <w:numId w:val="32"/>
        </w:numPr>
        <w:tabs>
          <w:tab w:val="left" w:pos="720"/>
        </w:tabs>
        <w:spacing w:before="120"/>
        <w:jc w:val="both"/>
        <w:rPr>
          <w:rFonts w:ascii="Times New Roman" w:hAnsi="Times New Roman" w:cs="Times New Roman"/>
          <w:bCs/>
          <w:sz w:val="24"/>
          <w:szCs w:val="24"/>
        </w:rPr>
      </w:pPr>
      <w:r w:rsidRPr="0065431D">
        <w:rPr>
          <w:rFonts w:ascii="Times New Roman" w:hAnsi="Times New Roman" w:cs="Times New Roman"/>
          <w:bCs/>
          <w:sz w:val="24"/>
          <w:szCs w:val="24"/>
        </w:rPr>
        <w:t>Stationery and filing cabinets</w:t>
      </w:r>
      <w:r w:rsidRPr="0065431D">
        <w:rPr>
          <w:rStyle w:val="FootnoteReference"/>
          <w:rFonts w:ascii="Times New Roman" w:hAnsi="Times New Roman" w:cs="Times New Roman"/>
          <w:sz w:val="24"/>
          <w:szCs w:val="24"/>
        </w:rPr>
        <w:footnoteReference w:id="9"/>
      </w:r>
      <w:r w:rsidRPr="0065431D">
        <w:rPr>
          <w:rFonts w:ascii="Times New Roman" w:hAnsi="Times New Roman" w:cs="Times New Roman"/>
          <w:bCs/>
          <w:sz w:val="24"/>
          <w:szCs w:val="24"/>
        </w:rPr>
        <w:t xml:space="preserve"> procured and distributed to the 40 schools implementing the CFS initiative in Pujehun and Tonkolili Districts. </w:t>
      </w:r>
    </w:p>
    <w:p w:rsidR="00D9085B" w:rsidRPr="0065431D" w:rsidRDefault="00D9085B" w:rsidP="00302A2E">
      <w:pPr>
        <w:pStyle w:val="BodyText"/>
        <w:numPr>
          <w:ilvl w:val="0"/>
          <w:numId w:val="32"/>
        </w:numPr>
        <w:tabs>
          <w:tab w:val="left" w:pos="720"/>
        </w:tabs>
        <w:spacing w:before="120"/>
        <w:jc w:val="both"/>
        <w:rPr>
          <w:rFonts w:ascii="Times New Roman" w:hAnsi="Times New Roman" w:cs="Times New Roman"/>
          <w:bCs/>
          <w:sz w:val="24"/>
          <w:szCs w:val="24"/>
        </w:rPr>
      </w:pPr>
      <w:r w:rsidRPr="0065431D">
        <w:rPr>
          <w:rFonts w:ascii="Times New Roman" w:hAnsi="Times New Roman" w:cs="Times New Roman"/>
          <w:bCs/>
          <w:sz w:val="24"/>
          <w:szCs w:val="24"/>
        </w:rPr>
        <w:t>845 solar lights</w:t>
      </w:r>
      <w:r w:rsidRPr="0065431D">
        <w:rPr>
          <w:rStyle w:val="FootnoteReference"/>
          <w:rFonts w:ascii="Times New Roman" w:hAnsi="Times New Roman" w:cs="Times New Roman"/>
          <w:sz w:val="24"/>
          <w:szCs w:val="24"/>
        </w:rPr>
        <w:footnoteReference w:id="10"/>
      </w:r>
      <w:r w:rsidRPr="0065431D">
        <w:rPr>
          <w:rFonts w:ascii="Times New Roman" w:hAnsi="Times New Roman" w:cs="Times New Roman"/>
          <w:bCs/>
          <w:sz w:val="24"/>
          <w:szCs w:val="24"/>
        </w:rPr>
        <w:t xml:space="preserve"> procured and distributed to the 40 schools implementing the CFS initiative in Pujehun and Tonkolili Districts. </w:t>
      </w:r>
    </w:p>
    <w:p w:rsidR="00D9085B" w:rsidRPr="0065431D" w:rsidRDefault="00D9085B" w:rsidP="00273F09">
      <w:pPr>
        <w:pStyle w:val="ListParagraph"/>
        <w:ind w:left="1080"/>
        <w:jc w:val="both"/>
        <w:rPr>
          <w:color w:val="FF0000"/>
          <w:u w:val="single"/>
        </w:rPr>
      </w:pPr>
    </w:p>
    <w:p w:rsidR="00D9085B" w:rsidRPr="0065431D" w:rsidRDefault="00D9085B" w:rsidP="00273F09">
      <w:pPr>
        <w:pStyle w:val="ListParagraph"/>
        <w:jc w:val="both"/>
        <w:rPr>
          <w:u w:val="single"/>
        </w:rPr>
      </w:pPr>
      <w:r w:rsidRPr="0065431D">
        <w:rPr>
          <w:u w:val="single"/>
        </w:rPr>
        <w:t>Celebration of Girls Education Week</w:t>
      </w:r>
    </w:p>
    <w:p w:rsidR="00D9085B" w:rsidRPr="0065431D" w:rsidRDefault="00D9085B" w:rsidP="006422F3">
      <w:pPr>
        <w:pStyle w:val="BodyText"/>
        <w:tabs>
          <w:tab w:val="left" w:pos="720"/>
        </w:tabs>
        <w:spacing w:before="120"/>
        <w:ind w:left="720"/>
        <w:jc w:val="both"/>
        <w:rPr>
          <w:rFonts w:ascii="Times New Roman" w:hAnsi="Times New Roman" w:cs="Times New Roman"/>
          <w:bCs/>
          <w:sz w:val="24"/>
          <w:szCs w:val="24"/>
        </w:rPr>
      </w:pPr>
      <w:r w:rsidRPr="0065431D">
        <w:rPr>
          <w:rFonts w:ascii="Times New Roman" w:hAnsi="Times New Roman" w:cs="Times New Roman"/>
          <w:bCs/>
          <w:sz w:val="24"/>
          <w:szCs w:val="24"/>
        </w:rPr>
        <w:t xml:space="preserve">Contributions from the Multi-Donor Trust Fund were used to celebrate 2012 Girls Education Week, including the Launch of the First International Day of the Girl on 11 October 2012 which was celebrated in 14 districts by District Local Chapters of the Girls’ Education Movement/ SLEGEN. </w:t>
      </w:r>
    </w:p>
    <w:p w:rsidR="00D9085B" w:rsidRPr="0065431D" w:rsidRDefault="00D9085B" w:rsidP="006422F3">
      <w:pPr>
        <w:pStyle w:val="BodyText"/>
        <w:tabs>
          <w:tab w:val="left" w:pos="720"/>
        </w:tabs>
        <w:spacing w:before="120"/>
        <w:ind w:left="720"/>
        <w:jc w:val="both"/>
        <w:rPr>
          <w:rFonts w:ascii="Times New Roman" w:hAnsi="Times New Roman" w:cs="Times New Roman"/>
          <w:bCs/>
          <w:sz w:val="24"/>
          <w:szCs w:val="24"/>
        </w:rPr>
      </w:pPr>
      <w:r w:rsidRPr="0065431D">
        <w:rPr>
          <w:rFonts w:ascii="Times New Roman" w:hAnsi="Times New Roman" w:cs="Times New Roman"/>
          <w:bCs/>
          <w:sz w:val="24"/>
          <w:szCs w:val="24"/>
        </w:rPr>
        <w:t xml:space="preserve">A newsletter, documenting the work of mothers’ clubs in promoting the education of children in target communities was produced and distributed to various stakeholders across the country. </w:t>
      </w:r>
    </w:p>
    <w:p w:rsidR="00D9085B" w:rsidRPr="0065431D" w:rsidRDefault="00D9085B" w:rsidP="006422F3">
      <w:pPr>
        <w:pStyle w:val="BodyText"/>
        <w:tabs>
          <w:tab w:val="left" w:pos="720"/>
        </w:tabs>
        <w:spacing w:before="120"/>
        <w:ind w:left="720"/>
        <w:jc w:val="both"/>
        <w:rPr>
          <w:rFonts w:ascii="Times New Roman" w:hAnsi="Times New Roman" w:cs="Times New Roman"/>
          <w:bCs/>
          <w:sz w:val="24"/>
          <w:szCs w:val="24"/>
        </w:rPr>
      </w:pPr>
      <w:r w:rsidRPr="0065431D">
        <w:rPr>
          <w:rFonts w:ascii="Times New Roman" w:hAnsi="Times New Roman" w:cs="Times New Roman"/>
          <w:bCs/>
          <w:sz w:val="24"/>
          <w:szCs w:val="24"/>
        </w:rPr>
        <w:t xml:space="preserve">Community dialogue and discussion sessions were organized in 40 target communities in the Pujehun and Tonkolili Districts, specifically focusing on the community’s role and responsibilities in addressing the needs of vulnerable children including children with special needs. </w:t>
      </w:r>
    </w:p>
    <w:p w:rsidR="00D9085B" w:rsidRPr="0065431D" w:rsidRDefault="00D9085B" w:rsidP="006422F3">
      <w:pPr>
        <w:pStyle w:val="BodyText"/>
        <w:tabs>
          <w:tab w:val="left" w:pos="720"/>
        </w:tabs>
        <w:spacing w:before="120"/>
        <w:ind w:left="720"/>
        <w:jc w:val="both"/>
        <w:rPr>
          <w:rFonts w:ascii="Times New Roman" w:hAnsi="Times New Roman" w:cs="Times New Roman"/>
          <w:bCs/>
          <w:sz w:val="24"/>
          <w:szCs w:val="24"/>
        </w:rPr>
      </w:pPr>
    </w:p>
    <w:p w:rsidR="00D9085B" w:rsidRPr="0065431D" w:rsidRDefault="00D9085B" w:rsidP="00A930E6">
      <w:pPr>
        <w:pStyle w:val="ListParagraph"/>
        <w:jc w:val="both"/>
        <w:rPr>
          <w:u w:val="single"/>
        </w:rPr>
      </w:pPr>
      <w:r w:rsidRPr="0065431D">
        <w:rPr>
          <w:u w:val="single"/>
        </w:rPr>
        <w:t>Out</w:t>
      </w:r>
      <w:r w:rsidR="00011FCE" w:rsidRPr="0065431D">
        <w:rPr>
          <w:u w:val="single"/>
        </w:rPr>
        <w:t xml:space="preserve"> </w:t>
      </w:r>
      <w:r w:rsidR="000B60B8" w:rsidRPr="0065431D">
        <w:rPr>
          <w:u w:val="single"/>
        </w:rPr>
        <w:t>of</w:t>
      </w:r>
      <w:r w:rsidRPr="0065431D">
        <w:rPr>
          <w:u w:val="single"/>
        </w:rPr>
        <w:t xml:space="preserve"> School</w:t>
      </w:r>
    </w:p>
    <w:p w:rsidR="00D9085B" w:rsidRPr="0065431D" w:rsidRDefault="00D9085B" w:rsidP="00A930E6">
      <w:pPr>
        <w:pStyle w:val="ListParagraph"/>
        <w:jc w:val="both"/>
        <w:rPr>
          <w:u w:val="single"/>
        </w:rPr>
      </w:pPr>
      <w:r w:rsidRPr="0065431D">
        <w:rPr>
          <w:u w:val="single"/>
        </w:rPr>
        <w:t xml:space="preserve">Community sensitization and community mobilization </w:t>
      </w:r>
    </w:p>
    <w:p w:rsidR="00D9085B" w:rsidRPr="0065431D" w:rsidRDefault="00D9085B" w:rsidP="006422F3">
      <w:pPr>
        <w:pStyle w:val="BodyText"/>
        <w:tabs>
          <w:tab w:val="left" w:pos="720"/>
        </w:tabs>
        <w:spacing w:before="120"/>
        <w:ind w:left="720"/>
        <w:jc w:val="both"/>
        <w:rPr>
          <w:rFonts w:ascii="Times New Roman" w:hAnsi="Times New Roman" w:cs="Times New Roman"/>
          <w:bCs/>
          <w:sz w:val="24"/>
          <w:szCs w:val="24"/>
        </w:rPr>
      </w:pPr>
      <w:r w:rsidRPr="0065431D">
        <w:rPr>
          <w:rFonts w:ascii="Times New Roman" w:hAnsi="Times New Roman" w:cs="Times New Roman"/>
          <w:bCs/>
          <w:sz w:val="24"/>
          <w:szCs w:val="24"/>
        </w:rPr>
        <w:t xml:space="preserve">The funds were used to </w:t>
      </w:r>
      <w:r w:rsidR="00011FCE" w:rsidRPr="0065431D">
        <w:rPr>
          <w:rFonts w:ascii="Times New Roman" w:hAnsi="Times New Roman" w:cs="Times New Roman"/>
          <w:bCs/>
          <w:sz w:val="24"/>
          <w:szCs w:val="24"/>
        </w:rPr>
        <w:t>mobilize</w:t>
      </w:r>
      <w:r w:rsidRPr="0065431D">
        <w:rPr>
          <w:rFonts w:ascii="Times New Roman" w:hAnsi="Times New Roman" w:cs="Times New Roman"/>
          <w:bCs/>
          <w:sz w:val="24"/>
          <w:szCs w:val="24"/>
        </w:rPr>
        <w:t xml:space="preserve"> and </w:t>
      </w:r>
      <w:r w:rsidR="00011FCE" w:rsidRPr="0065431D">
        <w:rPr>
          <w:rFonts w:ascii="Times New Roman" w:hAnsi="Times New Roman" w:cs="Times New Roman"/>
          <w:bCs/>
          <w:sz w:val="24"/>
          <w:szCs w:val="24"/>
        </w:rPr>
        <w:t>sensitize</w:t>
      </w:r>
      <w:r w:rsidRPr="0065431D">
        <w:rPr>
          <w:rFonts w:ascii="Times New Roman" w:hAnsi="Times New Roman" w:cs="Times New Roman"/>
          <w:bCs/>
          <w:sz w:val="24"/>
          <w:szCs w:val="24"/>
        </w:rPr>
        <w:t xml:space="preserve"> communities on the benefits of education for children and the need for communities to participate in planning, managing and monitoring basic education activities. As a result of this, 82 chiefdom community action plans were developed by community stakeholders to address the major barriers to children’s access to and retention in school. More community action plans were undertaken by the local authorities to complement the ones funded by the MDTF funds, because the challenges facing children’s education are multifarious.</w:t>
      </w:r>
    </w:p>
    <w:p w:rsidR="00D9085B" w:rsidRPr="0065431D" w:rsidRDefault="00D9085B" w:rsidP="006422F3">
      <w:pPr>
        <w:pStyle w:val="BodyText"/>
        <w:tabs>
          <w:tab w:val="left" w:pos="720"/>
        </w:tabs>
        <w:spacing w:before="120"/>
        <w:ind w:left="720"/>
        <w:jc w:val="both"/>
        <w:rPr>
          <w:rFonts w:ascii="Times New Roman" w:hAnsi="Times New Roman" w:cs="Times New Roman"/>
          <w:bCs/>
          <w:sz w:val="24"/>
          <w:szCs w:val="24"/>
        </w:rPr>
      </w:pPr>
      <w:r w:rsidRPr="0065431D">
        <w:rPr>
          <w:rFonts w:ascii="Times New Roman" w:hAnsi="Times New Roman" w:cs="Times New Roman"/>
          <w:bCs/>
          <w:sz w:val="24"/>
          <w:szCs w:val="24"/>
        </w:rPr>
        <w:t xml:space="preserve">Furthermore, 18 quarterly joint monitoring visits to schools were undertaken by mothers’ clubs to step up school supervision for improved school attendance and teacher performance. </w:t>
      </w:r>
    </w:p>
    <w:p w:rsidR="00D9085B" w:rsidRPr="0065431D" w:rsidRDefault="00D9085B" w:rsidP="006422F3">
      <w:pPr>
        <w:pStyle w:val="ListParagraph"/>
        <w:jc w:val="both"/>
      </w:pPr>
    </w:p>
    <w:p w:rsidR="00B543E6" w:rsidRPr="008F73ED" w:rsidRDefault="00011FCE" w:rsidP="00A930E6">
      <w:pPr>
        <w:pStyle w:val="BodyText"/>
        <w:numPr>
          <w:ilvl w:val="0"/>
          <w:numId w:val="26"/>
        </w:numPr>
        <w:jc w:val="both"/>
        <w:rPr>
          <w:rFonts w:ascii="Times New Roman" w:hAnsi="Times New Roman" w:cs="Times New Roman"/>
          <w:b/>
          <w:sz w:val="24"/>
          <w:szCs w:val="24"/>
        </w:rPr>
      </w:pPr>
      <w:r w:rsidRPr="008F73ED">
        <w:rPr>
          <w:rFonts w:ascii="Times New Roman" w:hAnsi="Times New Roman" w:cs="Times New Roman"/>
          <w:b/>
          <w:bCs/>
          <w:sz w:val="24"/>
          <w:szCs w:val="24"/>
        </w:rPr>
        <w:t>D</w:t>
      </w:r>
      <w:r w:rsidR="00B543E6" w:rsidRPr="008F73ED">
        <w:rPr>
          <w:rFonts w:ascii="Times New Roman" w:hAnsi="Times New Roman" w:cs="Times New Roman"/>
          <w:b/>
          <w:bCs/>
          <w:sz w:val="24"/>
          <w:szCs w:val="24"/>
        </w:rPr>
        <w:t xml:space="preserve">elays in implementation, challenges, lessons learned &amp; best practices: </w:t>
      </w:r>
    </w:p>
    <w:p w:rsidR="0075797E" w:rsidRPr="008F73ED" w:rsidRDefault="0075797E" w:rsidP="00A930E6">
      <w:pPr>
        <w:pStyle w:val="BodyText"/>
        <w:jc w:val="both"/>
        <w:rPr>
          <w:rFonts w:ascii="Times New Roman" w:hAnsi="Times New Roman" w:cs="Times New Roman"/>
          <w:b/>
          <w:sz w:val="24"/>
          <w:szCs w:val="24"/>
        </w:rPr>
      </w:pPr>
    </w:p>
    <w:p w:rsidR="004A5723" w:rsidRDefault="004A5723" w:rsidP="006422F3">
      <w:pPr>
        <w:pStyle w:val="BodyText"/>
        <w:spacing w:before="120"/>
        <w:ind w:left="720"/>
        <w:jc w:val="both"/>
        <w:rPr>
          <w:rFonts w:ascii="Times New Roman" w:hAnsi="Times New Roman" w:cs="Times New Roman"/>
          <w:b/>
          <w:bCs/>
          <w:sz w:val="24"/>
          <w:szCs w:val="24"/>
        </w:rPr>
      </w:pPr>
      <w:r w:rsidRPr="004A5723">
        <w:rPr>
          <w:rFonts w:ascii="Times New Roman" w:hAnsi="Times New Roman" w:cs="Times New Roman"/>
          <w:b/>
          <w:bCs/>
          <w:sz w:val="24"/>
          <w:szCs w:val="24"/>
        </w:rPr>
        <w:t>School Feeding:</w:t>
      </w:r>
    </w:p>
    <w:p w:rsidR="004A5723" w:rsidRPr="008F73ED" w:rsidRDefault="004A5723" w:rsidP="008F73ED">
      <w:pPr>
        <w:pStyle w:val="ColorfulList-Accent1"/>
        <w:jc w:val="both"/>
        <w:rPr>
          <w:rFonts w:ascii="Times New Roman" w:hAnsi="Times New Roman"/>
        </w:rPr>
      </w:pPr>
      <w:r w:rsidRPr="008F73ED">
        <w:rPr>
          <w:rFonts w:ascii="Times New Roman" w:hAnsi="Times New Roman"/>
          <w:bCs/>
        </w:rPr>
        <w:t xml:space="preserve">The implementation of </w:t>
      </w:r>
      <w:r w:rsidR="008F73ED" w:rsidRPr="008F73ED">
        <w:rPr>
          <w:rFonts w:ascii="Times New Roman" w:hAnsi="Times New Roman"/>
          <w:bCs/>
        </w:rPr>
        <w:t>the component</w:t>
      </w:r>
      <w:r w:rsidRPr="008F73ED">
        <w:rPr>
          <w:rFonts w:ascii="Times New Roman" w:hAnsi="Times New Roman"/>
          <w:bCs/>
        </w:rPr>
        <w:t xml:space="preserve"> of the school feeding programme underscored</w:t>
      </w:r>
      <w:r w:rsidR="008F73ED" w:rsidRPr="008F73ED">
        <w:rPr>
          <w:rFonts w:ascii="Times New Roman" w:hAnsi="Times New Roman"/>
          <w:bCs/>
        </w:rPr>
        <w:t xml:space="preserve"> challenges.</w:t>
      </w:r>
      <w:r w:rsidRPr="008F73ED">
        <w:rPr>
          <w:rFonts w:ascii="Times New Roman" w:hAnsi="Times New Roman"/>
          <w:bCs/>
        </w:rPr>
        <w:t xml:space="preserve"> </w:t>
      </w:r>
      <w:r w:rsidRPr="008F73ED">
        <w:rPr>
          <w:rFonts w:ascii="Times New Roman" w:hAnsi="Times New Roman"/>
        </w:rPr>
        <w:t xml:space="preserve">The evident delay in implementation occurred during the start of the year because of the mandatory conduct of headcount of school pupils at the start of the school year to establish a feeding figure for food distribution in schools. </w:t>
      </w:r>
    </w:p>
    <w:p w:rsidR="004A5723" w:rsidRPr="008F73ED" w:rsidRDefault="004A5723" w:rsidP="008F73ED">
      <w:pPr>
        <w:pStyle w:val="ColorfulList-Accent1"/>
        <w:jc w:val="both"/>
        <w:rPr>
          <w:rFonts w:ascii="Times New Roman" w:hAnsi="Times New Roman"/>
          <w:lang w:eastAsia="ja-JP"/>
        </w:rPr>
      </w:pPr>
      <w:r w:rsidRPr="008F73ED">
        <w:rPr>
          <w:rFonts w:ascii="Times New Roman" w:hAnsi="Times New Roman"/>
          <w:lang w:eastAsia="ja-JP"/>
        </w:rPr>
        <w:t xml:space="preserve">Over the reporting period, the school feeding programme encountered challenges as follows:  with data effectiveness at the school level, challenges with monitoring by WFP, Partners, and MEST and inaccessible chiefdoms that could not be reached. The programme also had issues with the role of the SMCs in the implementation, enrolment of below age school pupils, the progressive decrease of school pupils as they reach grades 5 and 6, Girl’s Take-home-ration, targeting of the food assistance and other quality issues. </w:t>
      </w:r>
    </w:p>
    <w:p w:rsidR="004A5723" w:rsidRPr="008F73ED" w:rsidRDefault="004A5723" w:rsidP="008F73ED">
      <w:pPr>
        <w:pStyle w:val="ColorfulList-Accent1"/>
        <w:jc w:val="both"/>
        <w:rPr>
          <w:rFonts w:ascii="Times New Roman" w:hAnsi="Times New Roman"/>
          <w:lang w:eastAsia="ja-JP"/>
        </w:rPr>
      </w:pPr>
    </w:p>
    <w:p w:rsidR="004A5723" w:rsidRPr="008F73ED" w:rsidRDefault="004A5723" w:rsidP="008F73ED">
      <w:pPr>
        <w:pStyle w:val="ColorfulList-Accent1"/>
        <w:jc w:val="both"/>
        <w:rPr>
          <w:rFonts w:ascii="Times New Roman" w:hAnsi="Times New Roman"/>
          <w:lang w:eastAsia="ja-JP"/>
        </w:rPr>
      </w:pPr>
      <w:r w:rsidRPr="008F73ED">
        <w:rPr>
          <w:rFonts w:ascii="Times New Roman" w:hAnsi="Times New Roman"/>
          <w:lang w:eastAsia="ja-JP"/>
        </w:rPr>
        <w:t>Collecting data on outcome indicators is a corporate, donor, and government requirement. WFP collected the pre-operation values of the school feeding indicators by conducting a baseline survey in 2010. In 2012 a nationwide rapid assessment and monitoring exercise in the form of a census was carried out to among others follow-up on progress made on school feeding indicators. This assessment/ monitoring covered enrolment, cognitive outcomes, attendance rate, community participation in the implementation (SMCs), food management, school infrastructure and quality issues in the delivery of education.</w:t>
      </w:r>
    </w:p>
    <w:p w:rsidR="004A5723" w:rsidRPr="008F73ED" w:rsidRDefault="004A5723" w:rsidP="008F73ED">
      <w:pPr>
        <w:pStyle w:val="ColorfulList-Accent1"/>
        <w:jc w:val="both"/>
        <w:rPr>
          <w:rFonts w:ascii="Times New Roman" w:hAnsi="Times New Roman"/>
          <w:lang w:eastAsia="ja-JP"/>
        </w:rPr>
      </w:pPr>
      <w:r w:rsidRPr="008F73ED">
        <w:rPr>
          <w:rFonts w:ascii="Times New Roman" w:hAnsi="Times New Roman"/>
          <w:lang w:eastAsia="ja-JP"/>
        </w:rPr>
        <w:t>A key risk that popped up was lack of access to some beneficiaries which was due to very bad roads and riverine inlets. Few very vulnerable locations were therefore not reached.</w:t>
      </w:r>
    </w:p>
    <w:p w:rsidR="004A5723" w:rsidRPr="008F73ED" w:rsidRDefault="004A5723" w:rsidP="008F73ED">
      <w:pPr>
        <w:pStyle w:val="ColorfulList-Accent1"/>
        <w:jc w:val="both"/>
        <w:rPr>
          <w:rFonts w:ascii="Times New Roman" w:hAnsi="Times New Roman"/>
          <w:lang w:eastAsia="ja-JP"/>
        </w:rPr>
      </w:pPr>
    </w:p>
    <w:p w:rsidR="004A5723" w:rsidRPr="008F73ED" w:rsidRDefault="004A5723" w:rsidP="008F73ED">
      <w:pPr>
        <w:pStyle w:val="ColorfulList-Accent1"/>
        <w:jc w:val="both"/>
        <w:rPr>
          <w:rFonts w:ascii="Times New Roman" w:hAnsi="Times New Roman"/>
          <w:lang w:eastAsia="ja-JP"/>
        </w:rPr>
      </w:pPr>
      <w:r w:rsidRPr="008F73ED">
        <w:rPr>
          <w:rFonts w:ascii="Times New Roman" w:hAnsi="Times New Roman"/>
          <w:lang w:eastAsia="ja-JP"/>
        </w:rPr>
        <w:t>The assessment findings recorded challenges with irregular roll calls and also identified a 1:35 ratio of class 6 pupils against pupils in class 1 respectively. Pass rate in the form of transition through the National Primary School Exam was quite good at 91% and 81.4% for boys and girls respectively in WFP assisted schools. In relation to quality issues the findings reveal that only 50.8% and 60.2% male and female teachers have teaching qualifications. 45.5 % of teachers in the assisted schools are volunteer teachers. There is also need for capacity development of SMCs, District Councils and Education Directorate staff to incrementally assume control of school feeding implementation. The assessment also revealed that 63.2 % of schools assessed have insufficient classroom space, and no toilets for the physically challenged. Though 69.5% of hand washing facilities exists in assisted school, 24.5 had no soap to efficiently do the hand washing. Furthermore, 82.1% of assisted schools do not have sufficient teaching and learning materials while 78% do not also have enough furniture.</w:t>
      </w:r>
    </w:p>
    <w:p w:rsidR="004A5723" w:rsidRPr="004A5723" w:rsidRDefault="004A5723" w:rsidP="006422F3">
      <w:pPr>
        <w:pStyle w:val="BodyText"/>
        <w:spacing w:before="120"/>
        <w:ind w:left="720"/>
        <w:jc w:val="both"/>
        <w:rPr>
          <w:rFonts w:ascii="Times New Roman" w:hAnsi="Times New Roman" w:cs="Times New Roman"/>
          <w:b/>
          <w:bCs/>
          <w:sz w:val="24"/>
          <w:szCs w:val="24"/>
        </w:rPr>
      </w:pPr>
    </w:p>
    <w:p w:rsidR="004A5723" w:rsidRDefault="004A5723" w:rsidP="006422F3">
      <w:pPr>
        <w:pStyle w:val="BodyText"/>
        <w:spacing w:before="120"/>
        <w:ind w:left="720"/>
        <w:jc w:val="both"/>
        <w:rPr>
          <w:rFonts w:ascii="Times New Roman" w:hAnsi="Times New Roman" w:cs="Times New Roman"/>
          <w:bCs/>
          <w:sz w:val="24"/>
          <w:szCs w:val="24"/>
        </w:rPr>
      </w:pPr>
    </w:p>
    <w:p w:rsidR="008F73ED" w:rsidRDefault="008F73ED" w:rsidP="006422F3">
      <w:pPr>
        <w:pStyle w:val="BodyText"/>
        <w:spacing w:before="120"/>
        <w:ind w:left="720"/>
        <w:jc w:val="both"/>
        <w:rPr>
          <w:rFonts w:ascii="Times New Roman" w:hAnsi="Times New Roman" w:cs="Times New Roman"/>
          <w:bCs/>
          <w:sz w:val="24"/>
          <w:szCs w:val="24"/>
        </w:rPr>
      </w:pPr>
    </w:p>
    <w:p w:rsidR="008F73ED" w:rsidRDefault="008F73ED" w:rsidP="006422F3">
      <w:pPr>
        <w:pStyle w:val="BodyText"/>
        <w:spacing w:before="120"/>
        <w:ind w:left="720"/>
        <w:jc w:val="both"/>
        <w:rPr>
          <w:rFonts w:ascii="Times New Roman" w:hAnsi="Times New Roman" w:cs="Times New Roman"/>
          <w:bCs/>
          <w:sz w:val="24"/>
          <w:szCs w:val="24"/>
        </w:rPr>
      </w:pPr>
    </w:p>
    <w:p w:rsidR="008F73ED" w:rsidRPr="008F73ED" w:rsidRDefault="008F73ED" w:rsidP="008F73ED">
      <w:pPr>
        <w:pStyle w:val="ColorfulList-Accent1"/>
        <w:jc w:val="both"/>
        <w:rPr>
          <w:rFonts w:ascii="Times New Roman" w:hAnsi="Times New Roman"/>
          <w:b/>
          <w:lang w:eastAsia="ja-JP"/>
        </w:rPr>
      </w:pPr>
      <w:r w:rsidRPr="008F73ED">
        <w:rPr>
          <w:rFonts w:ascii="Times New Roman" w:hAnsi="Times New Roman"/>
          <w:b/>
          <w:lang w:eastAsia="ja-JP"/>
        </w:rPr>
        <w:t>Mitigations</w:t>
      </w:r>
      <w:r>
        <w:rPr>
          <w:rFonts w:ascii="Times New Roman" w:hAnsi="Times New Roman"/>
          <w:b/>
          <w:lang w:eastAsia="ja-JP"/>
        </w:rPr>
        <w:t>:</w:t>
      </w:r>
    </w:p>
    <w:p w:rsidR="008F73ED" w:rsidRPr="008F73ED" w:rsidRDefault="008F73ED" w:rsidP="008F73ED">
      <w:pPr>
        <w:pStyle w:val="ColorfulList-Accent1"/>
        <w:jc w:val="both"/>
        <w:rPr>
          <w:rFonts w:ascii="Times New Roman" w:hAnsi="Times New Roman"/>
          <w:lang w:eastAsia="ja-JP"/>
        </w:rPr>
      </w:pPr>
      <w:r w:rsidRPr="008F73ED">
        <w:rPr>
          <w:rFonts w:ascii="Times New Roman" w:hAnsi="Times New Roman"/>
          <w:lang w:eastAsia="ja-JP"/>
        </w:rPr>
        <w:t>WFP has reviewed its monitoring strategy by among others intensifying monitoring visits to project sites. Evidently in 2012 approximately 10% of project sites were monitored by WFP to ensure compliance with the project norms. A pre-evaluation monitoring of the Girls-take-Home was also conducted and adjustments to improve on implementation have been effected. Procurement process by WFP for attendance registers is now under way and would be climaxed by refresher training of teachers in its use to effectively foster WFP data collection requirement.</w:t>
      </w:r>
    </w:p>
    <w:p w:rsidR="008F73ED" w:rsidRPr="008F73ED" w:rsidRDefault="008F73ED" w:rsidP="008F73ED">
      <w:pPr>
        <w:pStyle w:val="ColorfulList-Accent1"/>
        <w:jc w:val="both"/>
        <w:rPr>
          <w:rFonts w:ascii="Times New Roman" w:hAnsi="Times New Roman"/>
          <w:lang w:eastAsia="ja-JP"/>
        </w:rPr>
      </w:pPr>
    </w:p>
    <w:p w:rsidR="008F73ED" w:rsidRPr="008F73ED" w:rsidRDefault="008F73ED" w:rsidP="008F73ED">
      <w:pPr>
        <w:pStyle w:val="ColorfulList-Accent1"/>
        <w:jc w:val="both"/>
        <w:rPr>
          <w:rFonts w:ascii="Times New Roman" w:hAnsi="Times New Roman"/>
          <w:lang w:eastAsia="ja-JP"/>
        </w:rPr>
      </w:pPr>
      <w:r w:rsidRPr="008F73ED">
        <w:rPr>
          <w:rFonts w:ascii="Times New Roman" w:hAnsi="Times New Roman"/>
          <w:lang w:eastAsia="ja-JP"/>
        </w:rPr>
        <w:t xml:space="preserve">In the area of quality issues that also fall under the WFP essential package initiative, WFP and MEST have set up a School Feeding Steering Committee that has a membership of key Education Development Partners. One of the roles of the committee is to coordinate and influence the interventions of the membership in assisted schools for the purpose of variously improving the profiles of assisted schools. </w:t>
      </w:r>
    </w:p>
    <w:p w:rsidR="008F73ED" w:rsidRDefault="008F73ED" w:rsidP="008B325B">
      <w:pPr>
        <w:pStyle w:val="BodyText"/>
        <w:spacing w:before="120"/>
        <w:jc w:val="both"/>
        <w:rPr>
          <w:rFonts w:ascii="Times New Roman" w:hAnsi="Times New Roman" w:cs="Times New Roman"/>
          <w:bCs/>
          <w:sz w:val="24"/>
          <w:szCs w:val="24"/>
        </w:rPr>
      </w:pPr>
    </w:p>
    <w:p w:rsidR="008F73ED" w:rsidRPr="008B325B" w:rsidRDefault="008F73ED" w:rsidP="008F73ED">
      <w:pPr>
        <w:pStyle w:val="BodyText"/>
        <w:spacing w:before="120"/>
        <w:jc w:val="both"/>
        <w:rPr>
          <w:rFonts w:ascii="Times New Roman" w:hAnsi="Times New Roman" w:cs="Times New Roman"/>
          <w:b/>
          <w:bCs/>
          <w:sz w:val="24"/>
          <w:szCs w:val="24"/>
        </w:rPr>
      </w:pPr>
      <w:r w:rsidRPr="008B325B">
        <w:rPr>
          <w:rFonts w:ascii="Times New Roman" w:hAnsi="Times New Roman" w:cs="Times New Roman"/>
          <w:b/>
          <w:bCs/>
          <w:sz w:val="24"/>
          <w:szCs w:val="24"/>
        </w:rPr>
        <w:t xml:space="preserve">Basic Education: </w:t>
      </w:r>
    </w:p>
    <w:p w:rsidR="0075797E" w:rsidRPr="0065431D" w:rsidRDefault="0075797E" w:rsidP="006422F3">
      <w:pPr>
        <w:pStyle w:val="BodyText"/>
        <w:spacing w:before="120"/>
        <w:ind w:left="720"/>
        <w:jc w:val="both"/>
        <w:rPr>
          <w:rFonts w:ascii="Times New Roman" w:hAnsi="Times New Roman" w:cs="Times New Roman"/>
          <w:bCs/>
          <w:sz w:val="24"/>
          <w:szCs w:val="24"/>
        </w:rPr>
      </w:pPr>
      <w:r w:rsidRPr="0065431D">
        <w:rPr>
          <w:rFonts w:ascii="Times New Roman" w:hAnsi="Times New Roman" w:cs="Times New Roman"/>
          <w:bCs/>
          <w:sz w:val="24"/>
          <w:szCs w:val="24"/>
        </w:rPr>
        <w:t xml:space="preserve">The implementation of the various components of the programme highlighted weaknesses in the capacity of </w:t>
      </w:r>
      <w:r w:rsidR="00011FCE" w:rsidRPr="0065431D">
        <w:rPr>
          <w:rFonts w:ascii="Times New Roman" w:hAnsi="Times New Roman" w:cs="Times New Roman"/>
          <w:bCs/>
          <w:sz w:val="24"/>
          <w:szCs w:val="24"/>
        </w:rPr>
        <w:t xml:space="preserve">the </w:t>
      </w:r>
      <w:r w:rsidRPr="0065431D">
        <w:rPr>
          <w:rFonts w:ascii="Times New Roman" w:hAnsi="Times New Roman" w:cs="Times New Roman"/>
          <w:bCs/>
          <w:sz w:val="24"/>
          <w:szCs w:val="24"/>
        </w:rPr>
        <w:t xml:space="preserve">Government, including government structures to effectively prioritise and plan programmes that are aimed at enhancing the learning situation of children in schools. </w:t>
      </w:r>
    </w:p>
    <w:p w:rsidR="0075797E" w:rsidRPr="0065431D" w:rsidRDefault="00011FCE" w:rsidP="008B325B">
      <w:pPr>
        <w:pStyle w:val="BodyText"/>
        <w:spacing w:before="120"/>
        <w:ind w:left="720"/>
        <w:rPr>
          <w:rFonts w:ascii="Times New Roman" w:hAnsi="Times New Roman" w:cs="Times New Roman"/>
          <w:bCs/>
          <w:color w:val="000000"/>
          <w:sz w:val="24"/>
          <w:szCs w:val="24"/>
        </w:rPr>
      </w:pPr>
      <w:r w:rsidRPr="0065431D">
        <w:rPr>
          <w:rFonts w:ascii="Times New Roman" w:hAnsi="Times New Roman" w:cs="Times New Roman"/>
          <w:bCs/>
          <w:color w:val="000000"/>
          <w:sz w:val="24"/>
          <w:szCs w:val="24"/>
        </w:rPr>
        <w:t>A</w:t>
      </w:r>
      <w:r w:rsidR="009142CD">
        <w:rPr>
          <w:rFonts w:ascii="Times New Roman" w:hAnsi="Times New Roman" w:cs="Times New Roman"/>
          <w:bCs/>
          <w:color w:val="000000"/>
          <w:sz w:val="24"/>
          <w:szCs w:val="24"/>
        </w:rPr>
        <w:t xml:space="preserve"> </w:t>
      </w:r>
      <w:r w:rsidR="0075797E" w:rsidRPr="0065431D">
        <w:rPr>
          <w:rFonts w:ascii="Times New Roman" w:hAnsi="Times New Roman" w:cs="Times New Roman"/>
          <w:bCs/>
          <w:color w:val="000000"/>
          <w:sz w:val="24"/>
          <w:szCs w:val="24"/>
        </w:rPr>
        <w:t xml:space="preserve">huge challenge </w:t>
      </w:r>
      <w:r w:rsidRPr="0065431D">
        <w:rPr>
          <w:rFonts w:ascii="Times New Roman" w:hAnsi="Times New Roman" w:cs="Times New Roman"/>
          <w:bCs/>
          <w:color w:val="000000"/>
          <w:sz w:val="24"/>
          <w:szCs w:val="24"/>
        </w:rPr>
        <w:t xml:space="preserve">persists in terms </w:t>
      </w:r>
      <w:r w:rsidR="0075797E" w:rsidRPr="0065431D">
        <w:rPr>
          <w:rFonts w:ascii="Times New Roman" w:hAnsi="Times New Roman" w:cs="Times New Roman"/>
          <w:bCs/>
          <w:color w:val="000000"/>
          <w:sz w:val="24"/>
          <w:szCs w:val="24"/>
        </w:rPr>
        <w:t>of funding availability to address the multifarious problems of out-of-school children. This challenge is being addressed by strategic collaboration with relevant stakeholders.</w:t>
      </w:r>
    </w:p>
    <w:p w:rsidR="0075797E" w:rsidRPr="0065431D" w:rsidRDefault="0075797E" w:rsidP="006422F3">
      <w:pPr>
        <w:pStyle w:val="BodyText"/>
        <w:spacing w:before="120"/>
        <w:ind w:left="720"/>
        <w:jc w:val="both"/>
        <w:rPr>
          <w:rFonts w:ascii="Times New Roman" w:hAnsi="Times New Roman" w:cs="Times New Roman"/>
          <w:color w:val="000000"/>
          <w:sz w:val="24"/>
          <w:szCs w:val="24"/>
        </w:rPr>
      </w:pPr>
      <w:r w:rsidRPr="0065431D">
        <w:rPr>
          <w:rFonts w:ascii="Times New Roman" w:hAnsi="Times New Roman" w:cs="Times New Roman"/>
          <w:bCs/>
          <w:color w:val="000000"/>
          <w:sz w:val="24"/>
          <w:szCs w:val="24"/>
        </w:rPr>
        <w:t>The poor road networks and difficult terrains of the communities slow down and sometimes reduce access of implementing partne</w:t>
      </w:r>
      <w:r w:rsidR="009142CD">
        <w:rPr>
          <w:rFonts w:ascii="Times New Roman" w:hAnsi="Times New Roman" w:cs="Times New Roman"/>
          <w:bCs/>
          <w:color w:val="000000"/>
          <w:sz w:val="24"/>
          <w:szCs w:val="24"/>
        </w:rPr>
        <w:t>rs to reach vulnerable children</w:t>
      </w:r>
      <w:r w:rsidRPr="0065431D">
        <w:rPr>
          <w:rFonts w:ascii="Times New Roman" w:hAnsi="Times New Roman" w:cs="Times New Roman"/>
          <w:bCs/>
          <w:color w:val="000000"/>
          <w:sz w:val="24"/>
          <w:szCs w:val="24"/>
        </w:rPr>
        <w:t>.</w:t>
      </w:r>
    </w:p>
    <w:p w:rsidR="0075797E" w:rsidRPr="0065431D" w:rsidRDefault="0075797E" w:rsidP="00A930E6">
      <w:pPr>
        <w:pStyle w:val="BodyText"/>
        <w:jc w:val="both"/>
        <w:rPr>
          <w:rFonts w:ascii="Times New Roman" w:hAnsi="Times New Roman" w:cs="Times New Roman"/>
          <w:color w:val="FF0000"/>
          <w:sz w:val="24"/>
          <w:szCs w:val="24"/>
        </w:rPr>
      </w:pPr>
    </w:p>
    <w:p w:rsidR="00B543E6" w:rsidRPr="009142CD" w:rsidRDefault="000C2813" w:rsidP="009142CD">
      <w:pPr>
        <w:pStyle w:val="BodyText"/>
        <w:spacing w:before="120"/>
        <w:ind w:left="720"/>
        <w:jc w:val="both"/>
        <w:rPr>
          <w:rFonts w:ascii="Times New Roman" w:hAnsi="Times New Roman" w:cs="Times New Roman"/>
          <w:bCs/>
          <w:color w:val="000000"/>
          <w:sz w:val="24"/>
          <w:szCs w:val="24"/>
        </w:rPr>
      </w:pPr>
      <w:r w:rsidRPr="0065431D">
        <w:rPr>
          <w:color w:val="FF0000"/>
        </w:rPr>
        <w:t xml:space="preserve"> </w:t>
      </w:r>
      <w:r w:rsidR="0065431D" w:rsidRPr="009142CD">
        <w:rPr>
          <w:rFonts w:ascii="Times New Roman" w:hAnsi="Times New Roman" w:cs="Times New Roman"/>
          <w:bCs/>
          <w:color w:val="000000"/>
          <w:sz w:val="24"/>
          <w:szCs w:val="24"/>
        </w:rPr>
        <w:t xml:space="preserve">Major </w:t>
      </w:r>
      <w:r w:rsidRPr="009142CD">
        <w:rPr>
          <w:rFonts w:ascii="Times New Roman" w:hAnsi="Times New Roman" w:cs="Times New Roman"/>
          <w:bCs/>
          <w:color w:val="000000"/>
          <w:sz w:val="24"/>
          <w:szCs w:val="24"/>
        </w:rPr>
        <w:t>lessons learned</w:t>
      </w:r>
      <w:r w:rsidR="000D11D8" w:rsidRPr="009142CD">
        <w:rPr>
          <w:rFonts w:ascii="Times New Roman" w:hAnsi="Times New Roman" w:cs="Times New Roman"/>
          <w:bCs/>
          <w:color w:val="000000"/>
          <w:sz w:val="24"/>
          <w:szCs w:val="24"/>
        </w:rPr>
        <w:t>:</w:t>
      </w:r>
      <w:r w:rsidRPr="009142CD">
        <w:rPr>
          <w:rFonts w:ascii="Times New Roman" w:hAnsi="Times New Roman" w:cs="Times New Roman"/>
          <w:bCs/>
          <w:color w:val="000000"/>
          <w:sz w:val="24"/>
          <w:szCs w:val="24"/>
        </w:rPr>
        <w:t xml:space="preserve"> </w:t>
      </w:r>
    </w:p>
    <w:p w:rsidR="000C2813" w:rsidRPr="0065431D" w:rsidRDefault="000C2813" w:rsidP="00A930E6">
      <w:pPr>
        <w:pStyle w:val="BodyTextStyle5"/>
        <w:spacing w:line="240" w:lineRule="auto"/>
        <w:ind w:left="720"/>
        <w:rPr>
          <w:color w:val="auto"/>
          <w:sz w:val="24"/>
          <w:szCs w:val="24"/>
        </w:rPr>
      </w:pPr>
      <w:r w:rsidRPr="0065431D">
        <w:rPr>
          <w:color w:val="auto"/>
          <w:sz w:val="24"/>
          <w:szCs w:val="24"/>
        </w:rPr>
        <w:t>Approaches to capacity building will need to move from training and technical assistance towards being embedded in strong institutional systems and community based structures.</w:t>
      </w:r>
    </w:p>
    <w:p w:rsidR="000C2813" w:rsidRPr="0065431D" w:rsidRDefault="000C2813" w:rsidP="00A930E6">
      <w:pPr>
        <w:pStyle w:val="BodyTextStyle5"/>
        <w:spacing w:line="240" w:lineRule="auto"/>
        <w:ind w:left="1080"/>
        <w:rPr>
          <w:color w:val="auto"/>
          <w:sz w:val="24"/>
          <w:szCs w:val="24"/>
        </w:rPr>
      </w:pPr>
    </w:p>
    <w:p w:rsidR="000C2813" w:rsidRPr="0065431D" w:rsidRDefault="000C2813" w:rsidP="00CB2273">
      <w:pPr>
        <w:pStyle w:val="BodyTextStyle5"/>
        <w:spacing w:line="240" w:lineRule="auto"/>
        <w:ind w:left="720"/>
        <w:rPr>
          <w:color w:val="auto"/>
          <w:sz w:val="24"/>
          <w:szCs w:val="24"/>
        </w:rPr>
      </w:pPr>
      <w:r w:rsidRPr="0065431D">
        <w:rPr>
          <w:color w:val="auto"/>
          <w:sz w:val="24"/>
          <w:szCs w:val="24"/>
        </w:rPr>
        <w:t>Involvement of a broad base of relevant stakeholders in the selection of teachers for training enhances transparency and engenders accountability of teachers after the training</w:t>
      </w:r>
      <w:r w:rsidR="0065431D" w:rsidRPr="0065431D">
        <w:rPr>
          <w:color w:val="auto"/>
          <w:sz w:val="24"/>
          <w:szCs w:val="24"/>
        </w:rPr>
        <w:t>.</w:t>
      </w:r>
      <w:r w:rsidRPr="0065431D">
        <w:rPr>
          <w:color w:val="auto"/>
          <w:sz w:val="24"/>
          <w:szCs w:val="24"/>
        </w:rPr>
        <w:t xml:space="preserve"> </w:t>
      </w:r>
    </w:p>
    <w:p w:rsidR="000C2813" w:rsidRPr="0065431D" w:rsidRDefault="000C2813" w:rsidP="006422F3">
      <w:pPr>
        <w:pStyle w:val="BodyText"/>
        <w:spacing w:before="120"/>
        <w:jc w:val="both"/>
        <w:rPr>
          <w:rFonts w:ascii="Times New Roman" w:hAnsi="Times New Roman" w:cs="Times New Roman"/>
          <w:bCs/>
          <w:sz w:val="24"/>
          <w:szCs w:val="24"/>
        </w:rPr>
      </w:pPr>
    </w:p>
    <w:p w:rsidR="000C2813" w:rsidRPr="006422F3" w:rsidRDefault="000C2813" w:rsidP="006422F3">
      <w:pPr>
        <w:pStyle w:val="BodyText2"/>
        <w:ind w:left="720"/>
        <w:rPr>
          <w:rFonts w:ascii="Times New Roman" w:hAnsi="Times New Roman" w:cs="Times New Roman"/>
          <w:sz w:val="24"/>
          <w:szCs w:val="24"/>
        </w:rPr>
      </w:pPr>
      <w:r w:rsidRPr="006422F3">
        <w:rPr>
          <w:rFonts w:ascii="Times New Roman" w:hAnsi="Times New Roman" w:cs="Times New Roman"/>
          <w:sz w:val="24"/>
          <w:szCs w:val="24"/>
        </w:rPr>
        <w:t xml:space="preserve">Government policy and procedures </w:t>
      </w:r>
      <w:r w:rsidRPr="0065431D">
        <w:rPr>
          <w:rFonts w:ascii="Times New Roman" w:hAnsi="Times New Roman" w:cs="Times New Roman"/>
          <w:sz w:val="24"/>
          <w:szCs w:val="24"/>
        </w:rPr>
        <w:t xml:space="preserve">must enhance the </w:t>
      </w:r>
      <w:r w:rsidR="0065431D" w:rsidRPr="0065431D">
        <w:rPr>
          <w:rFonts w:ascii="Times New Roman" w:hAnsi="Times New Roman" w:cs="Times New Roman"/>
          <w:sz w:val="24"/>
          <w:szCs w:val="24"/>
        </w:rPr>
        <w:t>prioritization</w:t>
      </w:r>
      <w:r w:rsidRPr="0065431D">
        <w:rPr>
          <w:rFonts w:ascii="Times New Roman" w:hAnsi="Times New Roman" w:cs="Times New Roman"/>
          <w:sz w:val="24"/>
          <w:szCs w:val="24"/>
        </w:rPr>
        <w:t xml:space="preserve"> of government’s active involvement in implementation of the CFS initiative, including promoting girls’ education, specifically in ensuring adequate, timely, and meaningful supervision </w:t>
      </w:r>
      <w:r w:rsidRPr="006422F3">
        <w:rPr>
          <w:rFonts w:ascii="Times New Roman" w:hAnsi="Times New Roman" w:cs="Times New Roman"/>
          <w:sz w:val="24"/>
          <w:szCs w:val="24"/>
        </w:rPr>
        <w:t xml:space="preserve">and monitoring of the programmes and availability of teachers. </w:t>
      </w:r>
    </w:p>
    <w:p w:rsidR="000C2813" w:rsidRPr="0065431D" w:rsidRDefault="0065431D" w:rsidP="006422F3">
      <w:pPr>
        <w:pStyle w:val="BodyText2"/>
        <w:ind w:left="720"/>
        <w:rPr>
          <w:rFonts w:ascii="Times New Roman" w:hAnsi="Times New Roman" w:cs="Times New Roman"/>
          <w:sz w:val="24"/>
          <w:szCs w:val="24"/>
        </w:rPr>
      </w:pPr>
      <w:r w:rsidRPr="006422F3">
        <w:rPr>
          <w:rFonts w:ascii="Times New Roman" w:hAnsi="Times New Roman" w:cs="Times New Roman"/>
          <w:iCs/>
          <w:sz w:val="24"/>
          <w:szCs w:val="24"/>
        </w:rPr>
        <w:br/>
      </w:r>
      <w:r w:rsidR="000C2813" w:rsidRPr="006422F3">
        <w:rPr>
          <w:rFonts w:ascii="Times New Roman" w:hAnsi="Times New Roman" w:cs="Times New Roman"/>
          <w:iCs/>
          <w:sz w:val="24"/>
          <w:szCs w:val="24"/>
        </w:rPr>
        <w:t>Management and community support</w:t>
      </w:r>
      <w:r w:rsidR="000C2813" w:rsidRPr="006422F3">
        <w:rPr>
          <w:rFonts w:ascii="Times New Roman" w:hAnsi="Times New Roman" w:cs="Times New Roman"/>
          <w:i/>
          <w:iCs/>
          <w:sz w:val="24"/>
          <w:szCs w:val="24"/>
        </w:rPr>
        <w:t xml:space="preserve"> </w:t>
      </w:r>
      <w:r w:rsidR="000C2813" w:rsidRPr="006422F3">
        <w:rPr>
          <w:rFonts w:ascii="Times New Roman" w:hAnsi="Times New Roman" w:cs="Times New Roman"/>
          <w:iCs/>
          <w:sz w:val="24"/>
          <w:szCs w:val="24"/>
        </w:rPr>
        <w:t>is essential in sustaining momentum of Gi</w:t>
      </w:r>
      <w:r w:rsidR="009142CD">
        <w:rPr>
          <w:rFonts w:ascii="Times New Roman" w:hAnsi="Times New Roman" w:cs="Times New Roman"/>
          <w:iCs/>
          <w:sz w:val="24"/>
          <w:szCs w:val="24"/>
        </w:rPr>
        <w:t>rls’ e</w:t>
      </w:r>
      <w:r w:rsidR="000C2813" w:rsidRPr="006422F3">
        <w:rPr>
          <w:rFonts w:ascii="Times New Roman" w:hAnsi="Times New Roman" w:cs="Times New Roman"/>
          <w:iCs/>
          <w:sz w:val="24"/>
          <w:szCs w:val="24"/>
        </w:rPr>
        <w:t>ducation and ensuring</w:t>
      </w:r>
      <w:r w:rsidR="000C2813" w:rsidRPr="0065431D">
        <w:rPr>
          <w:rFonts w:ascii="Times New Roman" w:hAnsi="Times New Roman" w:cs="Times New Roman"/>
          <w:iCs/>
          <w:sz w:val="24"/>
          <w:szCs w:val="24"/>
        </w:rPr>
        <w:t xml:space="preserve"> a child friendly schooling situation, particularly in poorly financed schools where morale is likely to be low. Support may be in the form of community provision of food or shelter to teachers, or even by regular “morale” visits by educational officers. Emphasis should promote awareness and appreciation of the rewards of child friendly education, including education of girls and other vulnerable groups, such as children with special need. </w:t>
      </w:r>
    </w:p>
    <w:p w:rsidR="000C2813" w:rsidRPr="0065431D" w:rsidRDefault="000C2813" w:rsidP="0065431D">
      <w:pPr>
        <w:pStyle w:val="BodyText"/>
        <w:spacing w:before="120"/>
        <w:ind w:left="720"/>
        <w:jc w:val="both"/>
        <w:rPr>
          <w:rFonts w:ascii="Times New Roman" w:hAnsi="Times New Roman" w:cs="Times New Roman"/>
          <w:iCs/>
          <w:sz w:val="24"/>
          <w:szCs w:val="24"/>
        </w:rPr>
      </w:pPr>
      <w:r w:rsidRPr="0065431D">
        <w:rPr>
          <w:rFonts w:ascii="Times New Roman" w:hAnsi="Times New Roman" w:cs="Times New Roman"/>
          <w:iCs/>
          <w:sz w:val="24"/>
          <w:szCs w:val="24"/>
        </w:rPr>
        <w:t>Involving communities in project planning and implementation builds their capacities and helps them take ownership of their children’s development, which enhanced sustainability.</w:t>
      </w:r>
    </w:p>
    <w:p w:rsidR="000C2813" w:rsidRPr="0065431D" w:rsidRDefault="000C2813" w:rsidP="0065431D">
      <w:pPr>
        <w:pStyle w:val="BodyText"/>
        <w:spacing w:before="120"/>
        <w:ind w:left="720"/>
        <w:jc w:val="both"/>
        <w:rPr>
          <w:rFonts w:ascii="Times New Roman" w:hAnsi="Times New Roman" w:cs="Times New Roman"/>
          <w:iCs/>
          <w:sz w:val="24"/>
          <w:szCs w:val="24"/>
        </w:rPr>
      </w:pPr>
      <w:r w:rsidRPr="0065431D">
        <w:rPr>
          <w:rFonts w:ascii="Times New Roman" w:hAnsi="Times New Roman" w:cs="Times New Roman"/>
          <w:iCs/>
          <w:sz w:val="24"/>
          <w:szCs w:val="24"/>
        </w:rPr>
        <w:t>Networking with other partners with the operational areas help</w:t>
      </w:r>
      <w:r w:rsidR="009142CD">
        <w:rPr>
          <w:rFonts w:ascii="Times New Roman" w:hAnsi="Times New Roman" w:cs="Times New Roman"/>
          <w:iCs/>
          <w:sz w:val="24"/>
          <w:szCs w:val="24"/>
        </w:rPr>
        <w:t>s</w:t>
      </w:r>
      <w:r w:rsidRPr="0065431D">
        <w:rPr>
          <w:rFonts w:ascii="Times New Roman" w:hAnsi="Times New Roman" w:cs="Times New Roman"/>
          <w:iCs/>
          <w:sz w:val="24"/>
          <w:szCs w:val="24"/>
        </w:rPr>
        <w:t xml:space="preserve"> to </w:t>
      </w:r>
      <w:r w:rsidR="009142CD" w:rsidRPr="0065431D">
        <w:rPr>
          <w:rFonts w:ascii="Times New Roman" w:hAnsi="Times New Roman" w:cs="Times New Roman"/>
          <w:iCs/>
          <w:sz w:val="24"/>
          <w:szCs w:val="24"/>
        </w:rPr>
        <w:t>maximize</w:t>
      </w:r>
      <w:r w:rsidRPr="0065431D">
        <w:rPr>
          <w:rFonts w:ascii="Times New Roman" w:hAnsi="Times New Roman" w:cs="Times New Roman"/>
          <w:iCs/>
          <w:sz w:val="24"/>
          <w:szCs w:val="24"/>
        </w:rPr>
        <w:t xml:space="preserve"> </w:t>
      </w:r>
      <w:r w:rsidR="009142CD">
        <w:rPr>
          <w:rFonts w:ascii="Times New Roman" w:hAnsi="Times New Roman" w:cs="Times New Roman"/>
          <w:iCs/>
          <w:sz w:val="24"/>
          <w:szCs w:val="24"/>
        </w:rPr>
        <w:t xml:space="preserve">the </w:t>
      </w:r>
      <w:r w:rsidRPr="0065431D">
        <w:rPr>
          <w:rFonts w:ascii="Times New Roman" w:hAnsi="Times New Roman" w:cs="Times New Roman"/>
          <w:iCs/>
          <w:sz w:val="24"/>
          <w:szCs w:val="24"/>
        </w:rPr>
        <w:t>project impact.</w:t>
      </w:r>
    </w:p>
    <w:p w:rsidR="000C2813" w:rsidRPr="006422F3" w:rsidRDefault="000C2813" w:rsidP="0065431D">
      <w:pPr>
        <w:pStyle w:val="BodyText"/>
        <w:spacing w:before="120"/>
        <w:jc w:val="both"/>
        <w:rPr>
          <w:rFonts w:ascii="Times New Roman" w:hAnsi="Times New Roman" w:cs="Times New Roman"/>
          <w:b/>
          <w:bCs/>
          <w:sz w:val="24"/>
          <w:szCs w:val="24"/>
        </w:rPr>
      </w:pPr>
    </w:p>
    <w:p w:rsidR="00B543E6" w:rsidRDefault="00B543E6" w:rsidP="00A930E6">
      <w:pPr>
        <w:pStyle w:val="BodyText"/>
        <w:numPr>
          <w:ilvl w:val="0"/>
          <w:numId w:val="26"/>
        </w:numPr>
        <w:jc w:val="both"/>
        <w:rPr>
          <w:rFonts w:ascii="Times New Roman" w:hAnsi="Times New Roman" w:cs="Times New Roman"/>
          <w:b/>
          <w:bCs/>
          <w:sz w:val="24"/>
          <w:szCs w:val="24"/>
        </w:rPr>
      </w:pPr>
      <w:r w:rsidRPr="006422F3">
        <w:rPr>
          <w:rFonts w:ascii="Times New Roman" w:hAnsi="Times New Roman" w:cs="Times New Roman"/>
          <w:b/>
          <w:bCs/>
          <w:sz w:val="24"/>
          <w:szCs w:val="24"/>
        </w:rPr>
        <w:t xml:space="preserve">Qualitative assessment: </w:t>
      </w:r>
    </w:p>
    <w:p w:rsidR="008B325B" w:rsidRDefault="008B325B" w:rsidP="008B325B">
      <w:pPr>
        <w:pStyle w:val="BodyText"/>
        <w:ind w:left="720"/>
        <w:jc w:val="both"/>
        <w:rPr>
          <w:rFonts w:ascii="Times New Roman" w:hAnsi="Times New Roman" w:cs="Times New Roman"/>
          <w:b/>
          <w:bCs/>
          <w:sz w:val="24"/>
          <w:szCs w:val="24"/>
        </w:rPr>
      </w:pPr>
    </w:p>
    <w:p w:rsidR="008B325B" w:rsidRDefault="008B325B" w:rsidP="008B325B">
      <w:pPr>
        <w:pStyle w:val="BodyText"/>
        <w:ind w:left="720"/>
        <w:jc w:val="both"/>
        <w:rPr>
          <w:rFonts w:ascii="Times New Roman" w:hAnsi="Times New Roman" w:cs="Times New Roman"/>
          <w:b/>
          <w:bCs/>
          <w:sz w:val="24"/>
          <w:szCs w:val="24"/>
        </w:rPr>
      </w:pPr>
      <w:r>
        <w:rPr>
          <w:rFonts w:ascii="Times New Roman" w:hAnsi="Times New Roman" w:cs="Times New Roman"/>
          <w:b/>
          <w:bCs/>
          <w:sz w:val="24"/>
          <w:szCs w:val="24"/>
        </w:rPr>
        <w:t>School Feeding:</w:t>
      </w:r>
    </w:p>
    <w:p w:rsidR="008B325B" w:rsidRDefault="008B325B" w:rsidP="008B325B">
      <w:pPr>
        <w:pStyle w:val="BodyText"/>
        <w:ind w:left="720"/>
        <w:jc w:val="both"/>
        <w:rPr>
          <w:rFonts w:ascii="Times New Roman" w:hAnsi="Times New Roman" w:cs="Times New Roman"/>
          <w:b/>
          <w:bCs/>
          <w:sz w:val="24"/>
          <w:szCs w:val="24"/>
        </w:rPr>
      </w:pPr>
    </w:p>
    <w:p w:rsidR="008B325B" w:rsidRPr="008B325B" w:rsidRDefault="008B325B" w:rsidP="008B325B">
      <w:pPr>
        <w:pStyle w:val="ColorfulList-Accent1"/>
        <w:jc w:val="both"/>
        <w:rPr>
          <w:rFonts w:ascii="Times New Roman" w:hAnsi="Times New Roman"/>
        </w:rPr>
      </w:pPr>
      <w:r w:rsidRPr="008B325B">
        <w:rPr>
          <w:rFonts w:ascii="Times New Roman" w:hAnsi="Times New Roman"/>
        </w:rPr>
        <w:t xml:space="preserve">School feeding offers key multi-sectorial benefits of education health and nutrition. Furthermore it also serves as a safety net in mitigating the effects of shocks during crisis like the fuel and food price crisis in 2009.  The Government has therefore accorded it a strategic status by recognizing it among the viable means of achieving its human capital development goals. Beyond articulation in policy documents, the government now intends to have a national school feeding programme. </w:t>
      </w:r>
    </w:p>
    <w:p w:rsidR="008B325B" w:rsidRPr="008B325B" w:rsidRDefault="008B325B" w:rsidP="008B325B">
      <w:pPr>
        <w:pStyle w:val="ColorfulList-Accent1"/>
        <w:jc w:val="both"/>
        <w:rPr>
          <w:rFonts w:ascii="Times New Roman" w:hAnsi="Times New Roman"/>
        </w:rPr>
      </w:pPr>
      <w:r w:rsidRPr="008B325B">
        <w:rPr>
          <w:rFonts w:ascii="Times New Roman" w:hAnsi="Times New Roman"/>
        </w:rPr>
        <w:t>In tandem with this focus, WFP is presently supporting the formulation of a stand-alone National School feeding policy to direct the transition of the programme to increased national ownership. Furthermore WFP and partners are also working on strengthening the capacity of the School Feeding Coordination Unit and other pertinent institutions including School Management Committees.</w:t>
      </w:r>
    </w:p>
    <w:p w:rsidR="008B325B" w:rsidRPr="008B325B" w:rsidRDefault="008B325B" w:rsidP="008B325B">
      <w:pPr>
        <w:pStyle w:val="ColorfulList-Accent1"/>
        <w:jc w:val="both"/>
        <w:rPr>
          <w:rFonts w:ascii="Times New Roman" w:hAnsi="Times New Roman"/>
        </w:rPr>
      </w:pPr>
      <w:r w:rsidRPr="008B325B">
        <w:rPr>
          <w:rFonts w:ascii="Times New Roman" w:hAnsi="Times New Roman"/>
        </w:rPr>
        <w:t xml:space="preserve">It must be though noted that there are still quality issues that could compromise the gains of the school feeding intervention: proliferation of community teachers in rural areas, textbook pupil ratio, infrastructure and poverty are among the inhibiting factors to education. In response to these debilitating factors, MEST and WFP have set up a School Feeding Steering Committee to coordinate and address quality issues. </w:t>
      </w:r>
    </w:p>
    <w:p w:rsidR="008B325B" w:rsidRPr="008B325B" w:rsidRDefault="008B325B" w:rsidP="008B325B">
      <w:pPr>
        <w:pStyle w:val="ColorfulList-Accent1"/>
        <w:jc w:val="both"/>
        <w:rPr>
          <w:rFonts w:ascii="Times New Roman" w:hAnsi="Times New Roman"/>
        </w:rPr>
      </w:pPr>
      <w:r w:rsidRPr="008B325B">
        <w:rPr>
          <w:rFonts w:ascii="Times New Roman" w:hAnsi="Times New Roman"/>
        </w:rPr>
        <w:t>Record keeping in assisted schools which should be used to measure most of the project indicators has been chronically ineffective. Teachers do not regularly do roll calls and in most cases maintain a bloated enrolment figure. As a panacea WFP has increased the leverage of the local education administrators. WFP will further sign a performance contract with schools and as well provide new registers to schools.</w:t>
      </w:r>
    </w:p>
    <w:p w:rsidR="008B325B" w:rsidRPr="008B325B" w:rsidRDefault="008B325B" w:rsidP="008B325B">
      <w:pPr>
        <w:pStyle w:val="ColorfulList-Accent1"/>
        <w:jc w:val="both"/>
        <w:rPr>
          <w:rFonts w:ascii="Times New Roman" w:hAnsi="Times New Roman"/>
        </w:rPr>
      </w:pPr>
      <w:r w:rsidRPr="008B325B">
        <w:rPr>
          <w:rFonts w:ascii="Times New Roman" w:hAnsi="Times New Roman"/>
        </w:rPr>
        <w:t>Partnership</w:t>
      </w:r>
    </w:p>
    <w:p w:rsidR="008B325B" w:rsidRPr="008B325B" w:rsidRDefault="008B325B" w:rsidP="008B325B">
      <w:pPr>
        <w:pStyle w:val="ColorfulList-Accent1"/>
        <w:jc w:val="both"/>
        <w:rPr>
          <w:rFonts w:ascii="Times New Roman" w:hAnsi="Times New Roman"/>
        </w:rPr>
      </w:pPr>
      <w:r w:rsidRPr="008B325B">
        <w:rPr>
          <w:rFonts w:ascii="Times New Roman" w:hAnsi="Times New Roman"/>
        </w:rPr>
        <w:t>WFP still maintains partnership with three International NGOs (Plan International, World Vision and Brac) who implement the school feeding programme. Foremost of all the Ministry of Education Science and Technology is the lead line ministry in the implementation. MEST has a School Feeding Coordination Unit (SFCU) that has a presence in the districts of intervention. The SFCU monitors coordinate school feeding activities alongside WFP and partners in the intervention areas. UNICEF and other education development partners are also variously providing their inputs to improve the quality of education.</w:t>
      </w:r>
    </w:p>
    <w:p w:rsidR="008B325B" w:rsidRDefault="008B325B" w:rsidP="008B325B">
      <w:pPr>
        <w:pStyle w:val="BodyText"/>
        <w:jc w:val="both"/>
        <w:rPr>
          <w:rFonts w:ascii="Times New Roman" w:hAnsi="Times New Roman" w:cs="Times New Roman"/>
          <w:b/>
          <w:bCs/>
          <w:sz w:val="24"/>
          <w:szCs w:val="24"/>
        </w:rPr>
      </w:pPr>
    </w:p>
    <w:p w:rsidR="008B325B" w:rsidRDefault="008B325B" w:rsidP="008B325B">
      <w:pPr>
        <w:pStyle w:val="BodyText"/>
        <w:ind w:left="720"/>
        <w:jc w:val="both"/>
        <w:rPr>
          <w:rFonts w:ascii="Times New Roman" w:hAnsi="Times New Roman" w:cs="Times New Roman"/>
          <w:b/>
          <w:bCs/>
          <w:sz w:val="24"/>
          <w:szCs w:val="24"/>
        </w:rPr>
      </w:pPr>
    </w:p>
    <w:p w:rsidR="008B325B" w:rsidRPr="006422F3" w:rsidRDefault="008B325B" w:rsidP="008B325B">
      <w:pPr>
        <w:pStyle w:val="BodyText"/>
        <w:ind w:left="720"/>
        <w:jc w:val="both"/>
        <w:rPr>
          <w:rFonts w:ascii="Times New Roman" w:hAnsi="Times New Roman" w:cs="Times New Roman"/>
          <w:b/>
          <w:bCs/>
          <w:sz w:val="24"/>
          <w:szCs w:val="24"/>
        </w:rPr>
      </w:pPr>
      <w:r>
        <w:rPr>
          <w:rFonts w:ascii="Times New Roman" w:hAnsi="Times New Roman" w:cs="Times New Roman"/>
          <w:b/>
          <w:bCs/>
          <w:sz w:val="24"/>
          <w:szCs w:val="24"/>
        </w:rPr>
        <w:t>Basic Education:</w:t>
      </w:r>
    </w:p>
    <w:p w:rsidR="00B543E6" w:rsidRPr="0065431D" w:rsidRDefault="00B543E6" w:rsidP="00A930E6">
      <w:pPr>
        <w:pStyle w:val="BodyText"/>
        <w:jc w:val="both"/>
        <w:rPr>
          <w:rFonts w:ascii="Times New Roman" w:hAnsi="Times New Roman" w:cs="Times New Roman"/>
          <w:bCs/>
          <w:sz w:val="24"/>
          <w:szCs w:val="24"/>
        </w:rPr>
      </w:pPr>
      <w:bookmarkStart w:id="4" w:name="_Toc249364487"/>
    </w:p>
    <w:bookmarkEnd w:id="4"/>
    <w:p w:rsidR="001B711B" w:rsidRDefault="001B711B" w:rsidP="006422F3">
      <w:pPr>
        <w:spacing w:after="120"/>
        <w:ind w:left="720"/>
        <w:jc w:val="both"/>
      </w:pPr>
      <w:r w:rsidRPr="0065431D">
        <w:rPr>
          <w:rFonts w:eastAsia="Calibri"/>
        </w:rPr>
        <w:t xml:space="preserve">The overall priority of the programme is aimed at maximizing the UN family’s contribution to the Government’s Agenda for Change </w:t>
      </w:r>
      <w:r w:rsidRPr="0065431D">
        <w:t xml:space="preserve">as well as achieving the </w:t>
      </w:r>
      <w:r w:rsidRPr="0065431D">
        <w:rPr>
          <w:rFonts w:eastAsia="Calibri"/>
        </w:rPr>
        <w:t xml:space="preserve">Millennium Development Goals. </w:t>
      </w:r>
      <w:r w:rsidRPr="0065431D">
        <w:t xml:space="preserve">  </w:t>
      </w:r>
      <w:r w:rsidRPr="0065431D">
        <w:rPr>
          <w:color w:val="1A1A1A"/>
        </w:rPr>
        <w:t xml:space="preserve">The programme is contributing to reaching the Millennium Development Goals 2 and 3 with all children successfully completing primary education and as many girls as boys transiting to secondary school - an important contribution to the on-going peace and overall development of Sierra Leone. It is also in line with </w:t>
      </w:r>
      <w:r w:rsidRPr="0065431D">
        <w:t>the 2008-2012 UNICEF Sierra Leone programme of Cooperation with a broad assistance to Sierra Leone’s Education Sector Plan (ESP) that contributed to increase enrolment and completion, improve quality of teaching and learning and strengthen national quality assistance mechanisms. The programme components have focused on addressing issues of equity, gender disparity and community participation, particular in line with Government’s priorities in enhancing ownership and participation in delivery of results for the children.</w:t>
      </w:r>
    </w:p>
    <w:p w:rsidR="000B60B8" w:rsidRPr="004D0EE8" w:rsidRDefault="000B60B8" w:rsidP="000B60B8">
      <w:pPr>
        <w:pStyle w:val="ColorfulList-Accent1"/>
        <w:ind w:left="0"/>
        <w:jc w:val="both"/>
        <w:rPr>
          <w:rFonts w:ascii="Times New Roman" w:hAnsi="Times New Roman"/>
          <w:b/>
        </w:rPr>
      </w:pPr>
    </w:p>
    <w:p w:rsidR="001B711B" w:rsidRPr="0065431D" w:rsidRDefault="001B711B" w:rsidP="006422F3">
      <w:pPr>
        <w:ind w:left="720"/>
        <w:jc w:val="both"/>
        <w:rPr>
          <w:bCs/>
        </w:rPr>
      </w:pPr>
    </w:p>
    <w:p w:rsidR="001B711B" w:rsidRDefault="001B711B" w:rsidP="006422F3">
      <w:pPr>
        <w:pStyle w:val="BodyText"/>
        <w:ind w:left="720"/>
        <w:jc w:val="both"/>
        <w:rPr>
          <w:rFonts w:ascii="Times New Roman" w:hAnsi="Times New Roman" w:cs="Times New Roman"/>
          <w:bCs/>
          <w:sz w:val="24"/>
          <w:szCs w:val="24"/>
        </w:rPr>
      </w:pPr>
      <w:r w:rsidRPr="006422F3">
        <w:rPr>
          <w:rFonts w:ascii="Times New Roman" w:hAnsi="Times New Roman" w:cs="Times New Roman"/>
          <w:b/>
          <w:bCs/>
          <w:sz w:val="24"/>
          <w:szCs w:val="24"/>
        </w:rPr>
        <w:t>Key partnerships and collaborations, and their impact on the achievement of results has been in the following areas</w:t>
      </w:r>
      <w:r w:rsidRPr="0065431D">
        <w:rPr>
          <w:rFonts w:ascii="Times New Roman" w:hAnsi="Times New Roman" w:cs="Times New Roman"/>
          <w:bCs/>
          <w:sz w:val="24"/>
          <w:szCs w:val="24"/>
        </w:rPr>
        <w:t xml:space="preserve">: </w:t>
      </w:r>
    </w:p>
    <w:p w:rsidR="00C11419" w:rsidRDefault="00C11419" w:rsidP="006422F3">
      <w:pPr>
        <w:pStyle w:val="BodyText"/>
        <w:ind w:left="720"/>
        <w:jc w:val="both"/>
        <w:rPr>
          <w:rFonts w:ascii="Times New Roman" w:hAnsi="Times New Roman" w:cs="Times New Roman"/>
          <w:sz w:val="24"/>
          <w:szCs w:val="24"/>
        </w:rPr>
      </w:pPr>
    </w:p>
    <w:p w:rsidR="00C11419" w:rsidRPr="00C11419" w:rsidRDefault="00C11419" w:rsidP="006422F3">
      <w:pPr>
        <w:pStyle w:val="BodyText"/>
        <w:ind w:left="720"/>
        <w:jc w:val="both"/>
        <w:rPr>
          <w:rFonts w:ascii="Times New Roman" w:hAnsi="Times New Roman" w:cs="Times New Roman"/>
          <w:b/>
          <w:sz w:val="24"/>
          <w:szCs w:val="24"/>
        </w:rPr>
      </w:pPr>
      <w:r w:rsidRPr="00C11419">
        <w:rPr>
          <w:rFonts w:ascii="Times New Roman" w:hAnsi="Times New Roman" w:cs="Times New Roman"/>
          <w:b/>
          <w:sz w:val="24"/>
          <w:szCs w:val="24"/>
        </w:rPr>
        <w:t>School Feeding:</w:t>
      </w:r>
    </w:p>
    <w:p w:rsidR="001B711B" w:rsidRPr="0065431D" w:rsidRDefault="001B711B" w:rsidP="006422F3">
      <w:pPr>
        <w:pStyle w:val="BodyText"/>
        <w:ind w:left="720"/>
        <w:jc w:val="both"/>
        <w:rPr>
          <w:rFonts w:ascii="Times New Roman" w:hAnsi="Times New Roman" w:cs="Times New Roman"/>
          <w:color w:val="FF0000"/>
          <w:sz w:val="24"/>
          <w:szCs w:val="24"/>
        </w:rPr>
      </w:pPr>
    </w:p>
    <w:p w:rsidR="00C11419" w:rsidRPr="00C11419" w:rsidRDefault="00C11419" w:rsidP="00C11419">
      <w:pPr>
        <w:pStyle w:val="ColorfulList-Accent1"/>
        <w:rPr>
          <w:rFonts w:ascii="Times New Roman" w:hAnsi="Times New Roman"/>
        </w:rPr>
      </w:pPr>
      <w:r w:rsidRPr="00C11419">
        <w:rPr>
          <w:rFonts w:ascii="Times New Roman" w:hAnsi="Times New Roman"/>
        </w:rPr>
        <w:t>WFP still maintains partnership with three International NGOs (Plan International, World Vision and Brac) who implement the school feeding programme. Foremost of all the Ministry of Education Science and Technology is the lead line ministry in the implementation. MEST has a School Feeding Coordination Unit (SFCU) that has a presence in the districts of intervention. The SFCU monitors coordinate school feeding activities alongside WFP and partners in the intervention areas. UNICEF and other education development partners are also variously providing their inputs to improve the quality of education.</w:t>
      </w:r>
    </w:p>
    <w:p w:rsidR="00C11419" w:rsidRDefault="00C11419" w:rsidP="00A930E6">
      <w:pPr>
        <w:pStyle w:val="BodyText2"/>
        <w:ind w:left="720"/>
        <w:rPr>
          <w:rFonts w:ascii="Times New Roman" w:hAnsi="Times New Roman" w:cs="Times New Roman"/>
          <w:b/>
          <w:iCs/>
          <w:sz w:val="24"/>
          <w:szCs w:val="24"/>
        </w:rPr>
      </w:pPr>
    </w:p>
    <w:p w:rsidR="00C11419" w:rsidRDefault="00ED3251" w:rsidP="00A930E6">
      <w:pPr>
        <w:pStyle w:val="BodyText2"/>
        <w:ind w:left="720"/>
        <w:rPr>
          <w:rFonts w:ascii="Times New Roman" w:hAnsi="Times New Roman" w:cs="Times New Roman"/>
          <w:b/>
          <w:iCs/>
          <w:sz w:val="24"/>
          <w:szCs w:val="24"/>
        </w:rPr>
      </w:pPr>
      <w:r>
        <w:rPr>
          <w:rFonts w:ascii="Times New Roman" w:hAnsi="Times New Roman" w:cs="Times New Roman"/>
          <w:b/>
          <w:iCs/>
          <w:sz w:val="24"/>
          <w:szCs w:val="24"/>
        </w:rPr>
        <w:t>Basic Education:</w:t>
      </w:r>
    </w:p>
    <w:p w:rsidR="00C11419" w:rsidRDefault="00C11419" w:rsidP="00ED3251">
      <w:pPr>
        <w:pStyle w:val="BodyText2"/>
        <w:rPr>
          <w:rFonts w:ascii="Times New Roman" w:hAnsi="Times New Roman" w:cs="Times New Roman"/>
          <w:b/>
          <w:iCs/>
          <w:sz w:val="24"/>
          <w:szCs w:val="24"/>
        </w:rPr>
      </w:pPr>
    </w:p>
    <w:p w:rsidR="001B711B" w:rsidRPr="0065431D" w:rsidRDefault="001B711B" w:rsidP="00A930E6">
      <w:pPr>
        <w:pStyle w:val="BodyText2"/>
        <w:ind w:left="720"/>
        <w:rPr>
          <w:rFonts w:ascii="Times New Roman" w:hAnsi="Times New Roman" w:cs="Times New Roman"/>
          <w:sz w:val="24"/>
          <w:szCs w:val="24"/>
        </w:rPr>
      </w:pPr>
      <w:r w:rsidRPr="0065431D">
        <w:rPr>
          <w:rFonts w:ascii="Times New Roman" w:hAnsi="Times New Roman" w:cs="Times New Roman"/>
          <w:b/>
          <w:iCs/>
          <w:sz w:val="24"/>
          <w:szCs w:val="24"/>
        </w:rPr>
        <w:t xml:space="preserve">Strengthening integrity of government support </w:t>
      </w:r>
      <w:r w:rsidR="0065431D" w:rsidRPr="0065431D">
        <w:rPr>
          <w:rFonts w:ascii="Times New Roman" w:hAnsi="Times New Roman" w:cs="Times New Roman"/>
          <w:b/>
          <w:iCs/>
          <w:sz w:val="24"/>
          <w:szCs w:val="24"/>
        </w:rPr>
        <w:t>was</w:t>
      </w:r>
      <w:r w:rsidR="0065431D" w:rsidRPr="0065431D">
        <w:rPr>
          <w:rFonts w:ascii="Times New Roman" w:hAnsi="Times New Roman" w:cs="Times New Roman"/>
          <w:iCs/>
          <w:sz w:val="24"/>
          <w:szCs w:val="24"/>
        </w:rPr>
        <w:t xml:space="preserve"> </w:t>
      </w:r>
      <w:r w:rsidRPr="0065431D">
        <w:rPr>
          <w:rFonts w:ascii="Times New Roman" w:hAnsi="Times New Roman" w:cs="Times New Roman"/>
          <w:iCs/>
          <w:sz w:val="24"/>
          <w:szCs w:val="24"/>
        </w:rPr>
        <w:t>essential</w:t>
      </w:r>
      <w:r w:rsidR="0065431D" w:rsidRPr="0065431D">
        <w:rPr>
          <w:rFonts w:ascii="Times New Roman" w:hAnsi="Times New Roman" w:cs="Times New Roman"/>
          <w:iCs/>
          <w:sz w:val="24"/>
          <w:szCs w:val="24"/>
        </w:rPr>
        <w:t>.</w:t>
      </w:r>
      <w:r w:rsidRPr="0065431D">
        <w:rPr>
          <w:rFonts w:ascii="Times New Roman" w:hAnsi="Times New Roman" w:cs="Times New Roman"/>
          <w:iCs/>
          <w:sz w:val="24"/>
          <w:szCs w:val="24"/>
        </w:rPr>
        <w:t xml:space="preserve"> </w:t>
      </w:r>
      <w:r w:rsidRPr="0065431D">
        <w:rPr>
          <w:rFonts w:ascii="Times New Roman" w:hAnsi="Times New Roman" w:cs="Times New Roman"/>
          <w:sz w:val="24"/>
          <w:szCs w:val="24"/>
        </w:rPr>
        <w:t xml:space="preserve">The extent to which the Ministry of Education, Science and Technology (MEST) has been willing and able to promote, or even collaborate in rolling out the CFS initiative has enhanced a sense of ownership of the education of children in the target communities. </w:t>
      </w:r>
    </w:p>
    <w:p w:rsidR="0065431D" w:rsidRPr="0065431D" w:rsidRDefault="0065431D" w:rsidP="00A930E6">
      <w:pPr>
        <w:pStyle w:val="BodyText2"/>
        <w:ind w:left="720"/>
        <w:rPr>
          <w:rFonts w:ascii="Times New Roman" w:hAnsi="Times New Roman" w:cs="Times New Roman"/>
          <w:sz w:val="24"/>
          <w:szCs w:val="24"/>
        </w:rPr>
      </w:pPr>
    </w:p>
    <w:p w:rsidR="001B711B" w:rsidRPr="0065431D" w:rsidRDefault="001B711B" w:rsidP="00A930E6">
      <w:pPr>
        <w:pStyle w:val="BodyText2"/>
        <w:ind w:left="720"/>
        <w:rPr>
          <w:rFonts w:ascii="Times New Roman" w:hAnsi="Times New Roman" w:cs="Times New Roman"/>
          <w:sz w:val="24"/>
          <w:szCs w:val="24"/>
        </w:rPr>
      </w:pPr>
      <w:r w:rsidRPr="0065431D">
        <w:rPr>
          <w:rFonts w:ascii="Times New Roman" w:hAnsi="Times New Roman" w:cs="Times New Roman"/>
          <w:b/>
          <w:iCs/>
          <w:sz w:val="24"/>
          <w:szCs w:val="24"/>
        </w:rPr>
        <w:t>Focus on local level interventions</w:t>
      </w:r>
      <w:r w:rsidRPr="0065431D">
        <w:rPr>
          <w:rStyle w:val="FootnoteReference"/>
          <w:rFonts w:ascii="Times New Roman" w:hAnsi="Times New Roman" w:cs="Times New Roman"/>
          <w:sz w:val="24"/>
          <w:szCs w:val="24"/>
        </w:rPr>
        <w:t xml:space="preserve"> </w:t>
      </w:r>
      <w:r w:rsidRPr="0065431D">
        <w:rPr>
          <w:rFonts w:ascii="Times New Roman" w:hAnsi="Times New Roman" w:cs="Times New Roman"/>
          <w:sz w:val="24"/>
          <w:szCs w:val="24"/>
        </w:rPr>
        <w:t xml:space="preserve"> has made it easier to plan and implement targeted action at </w:t>
      </w:r>
      <w:r w:rsidRPr="0065431D">
        <w:rPr>
          <w:rFonts w:ascii="Times New Roman" w:hAnsi="Times New Roman" w:cs="Times New Roman"/>
          <w:iCs/>
          <w:sz w:val="24"/>
          <w:szCs w:val="24"/>
        </w:rPr>
        <w:t>the district, community and school level.</w:t>
      </w:r>
      <w:r w:rsidRPr="0065431D">
        <w:rPr>
          <w:rFonts w:ascii="Times New Roman" w:hAnsi="Times New Roman" w:cs="Times New Roman"/>
          <w:sz w:val="24"/>
          <w:szCs w:val="24"/>
        </w:rPr>
        <w:t xml:space="preserve">  </w:t>
      </w:r>
    </w:p>
    <w:p w:rsidR="0065431D" w:rsidRPr="0065431D" w:rsidRDefault="0065431D" w:rsidP="00A930E6">
      <w:pPr>
        <w:pStyle w:val="BodyText2"/>
        <w:ind w:left="720"/>
        <w:rPr>
          <w:rFonts w:ascii="Times New Roman" w:hAnsi="Times New Roman" w:cs="Times New Roman"/>
          <w:sz w:val="24"/>
          <w:szCs w:val="24"/>
        </w:rPr>
      </w:pPr>
    </w:p>
    <w:p w:rsidR="001B711B" w:rsidRPr="0065431D" w:rsidRDefault="001B711B" w:rsidP="006422F3">
      <w:pPr>
        <w:pStyle w:val="BodyText"/>
        <w:spacing w:after="200"/>
        <w:ind w:left="720"/>
        <w:contextualSpacing/>
        <w:jc w:val="both"/>
        <w:rPr>
          <w:rFonts w:ascii="Times New Roman" w:hAnsi="Times New Roman" w:cs="Times New Roman"/>
          <w:sz w:val="24"/>
          <w:szCs w:val="24"/>
        </w:rPr>
      </w:pPr>
      <w:r w:rsidRPr="0065431D">
        <w:rPr>
          <w:rFonts w:ascii="Times New Roman" w:hAnsi="Times New Roman" w:cs="Times New Roman"/>
          <w:sz w:val="24"/>
          <w:szCs w:val="24"/>
        </w:rPr>
        <w:t>The INGO and NGO partners use some of their own resources to compliment funds and human resources provided for the project.  Working in collaboration with MEST, local councils, SMCs and community structures has strengthened the involvement of stakeholders and enhanced school management and monitoring, which in turn has enhanced school enrolment, regular school attendance by both pupils and teachers and in creating a conducive learning environment for the children. Since children’s education face many challenges in Sierra Leone, joint monitoring of schools enables all stakeholders to identify gaps and discuss ways forward to address the gaps identified collectively.</w:t>
      </w:r>
      <w:r w:rsidRPr="0065431D">
        <w:rPr>
          <w:rFonts w:ascii="Times New Roman" w:hAnsi="Times New Roman" w:cs="Times New Roman"/>
          <w:bCs/>
          <w:sz w:val="24"/>
          <w:szCs w:val="24"/>
        </w:rPr>
        <w:t xml:space="preserve"> </w:t>
      </w:r>
    </w:p>
    <w:p w:rsidR="001B711B" w:rsidRPr="0065431D" w:rsidRDefault="001B711B" w:rsidP="006422F3">
      <w:pPr>
        <w:pStyle w:val="BodyText"/>
        <w:spacing w:after="200"/>
        <w:ind w:left="720"/>
        <w:contextualSpacing/>
        <w:jc w:val="both"/>
        <w:rPr>
          <w:rFonts w:ascii="Times New Roman" w:hAnsi="Times New Roman" w:cs="Times New Roman"/>
          <w:sz w:val="24"/>
          <w:szCs w:val="24"/>
        </w:rPr>
      </w:pPr>
    </w:p>
    <w:p w:rsidR="001B711B" w:rsidRPr="0065431D" w:rsidRDefault="001B711B" w:rsidP="006422F3">
      <w:pPr>
        <w:pStyle w:val="BodyText"/>
        <w:spacing w:before="120"/>
        <w:ind w:left="720"/>
        <w:jc w:val="both"/>
        <w:rPr>
          <w:rFonts w:ascii="Times New Roman" w:hAnsi="Times New Roman" w:cs="Times New Roman"/>
          <w:bCs/>
          <w:sz w:val="24"/>
          <w:szCs w:val="24"/>
        </w:rPr>
      </w:pPr>
      <w:r w:rsidRPr="0065431D">
        <w:rPr>
          <w:rFonts w:ascii="Times New Roman" w:hAnsi="Times New Roman" w:cs="Times New Roman"/>
          <w:bCs/>
          <w:sz w:val="24"/>
          <w:szCs w:val="24"/>
        </w:rPr>
        <w:t>The programme has been able to address cross cutting issues such as gender because it targeted both male and female teachers, pupils and district education officials.  Addressing gender concerns and advocacy, specifically focusing on equity, partnerships and leveraging of resources at the local/community level are some of the cross-cutting issues that are being addressed by this initiative.  The community initiatives targeted most vulnerable children especially those from very poor family backgrounds and from hard-to-reach communities.  Gender focused at supporting both girl child and boy children in school to ensure their retention and completion of their education cycle.</w:t>
      </w:r>
    </w:p>
    <w:p w:rsidR="00C900F1" w:rsidRDefault="00C900F1" w:rsidP="006422F3">
      <w:pPr>
        <w:pStyle w:val="BodyText"/>
        <w:tabs>
          <w:tab w:val="left" w:pos="360"/>
        </w:tabs>
        <w:ind w:left="720"/>
        <w:jc w:val="both"/>
        <w:rPr>
          <w:rFonts w:ascii="Times New Roman" w:hAnsi="Times New Roman" w:cs="Times New Roman"/>
          <w:bCs/>
          <w:sz w:val="24"/>
          <w:szCs w:val="24"/>
        </w:rPr>
        <w:sectPr w:rsidR="00C900F1" w:rsidSect="0030313A">
          <w:footerReference w:type="default" r:id="rId10"/>
          <w:footerReference w:type="first" r:id="rId11"/>
          <w:pgSz w:w="11907" w:h="16839" w:code="9"/>
          <w:pgMar w:top="540" w:right="990" w:bottom="851" w:left="806" w:header="720" w:footer="418" w:gutter="0"/>
          <w:cols w:space="720"/>
          <w:docGrid w:linePitch="360"/>
        </w:sectPr>
      </w:pPr>
    </w:p>
    <w:p w:rsidR="00B543E6" w:rsidRPr="0065431D" w:rsidRDefault="00125969" w:rsidP="006422F3">
      <w:pPr>
        <w:pStyle w:val="BodyText"/>
        <w:tabs>
          <w:tab w:val="left" w:pos="360"/>
        </w:tabs>
        <w:ind w:left="720"/>
        <w:jc w:val="both"/>
        <w:rPr>
          <w:rFonts w:ascii="Times New Roman" w:hAnsi="Times New Roman" w:cs="Times New Roman"/>
          <w:bCs/>
          <w:sz w:val="22"/>
          <w:szCs w:val="22"/>
        </w:rPr>
      </w:pPr>
      <w:r>
        <w:rPr>
          <w:rFonts w:ascii="Times New Roman" w:hAnsi="Times New Roman" w:cs="Times New Roman"/>
          <w:noProof/>
          <w:sz w:val="22"/>
          <w:szCs w:val="22"/>
        </w:rPr>
        <mc:AlternateContent>
          <mc:Choice Requires="wps">
            <w:drawing>
              <wp:anchor distT="0" distB="0" distL="114300" distR="114300" simplePos="0" relativeHeight="251655680" behindDoc="0" locked="0" layoutInCell="1" allowOverlap="1">
                <wp:simplePos x="0" y="0"/>
                <wp:positionH relativeFrom="column">
                  <wp:posOffset>-518160</wp:posOffset>
                </wp:positionH>
                <wp:positionV relativeFrom="paragraph">
                  <wp:posOffset>-178435</wp:posOffset>
                </wp:positionV>
                <wp:extent cx="9446260" cy="291465"/>
                <wp:effectExtent l="5715" t="12065" r="6350" b="1079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B543E6" w:rsidRPr="001613F4" w:rsidRDefault="00B543E6" w:rsidP="00B543E6">
                            <w:pPr>
                              <w:jc w:val="center"/>
                              <w:rPr>
                                <w:b/>
                              </w:rPr>
                            </w:pPr>
                            <w:r>
                              <w:rPr>
                                <w:b/>
                              </w:rPr>
                              <w:t>ii)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0.8pt;margin-top:-14.05pt;width:743.8pt;height:2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" fillcolor="#f2f2f2" strokecolor="#d8d8d8">
                <v:textbox>
                  <w:txbxContent>
                    <w:p w:rsidR="00B543E6" w:rsidRPr="001613F4" w:rsidRDefault="00B543E6" w:rsidP="00B543E6">
                      <w:pPr>
                        <w:jc w:val="center"/>
                        <w:rPr>
                          <w:b/>
                        </w:rPr>
                      </w:pPr>
                      <w:r>
                        <w:rPr>
                          <w:b/>
                        </w:rPr>
                        <w:t>ii) Indicator Based Performance Assessment:</w:t>
                      </w:r>
                    </w:p>
                  </w:txbxContent>
                </v:textbox>
              </v:shape>
            </w:pict>
          </mc:Fallback>
        </mc:AlternateContent>
      </w:r>
    </w:p>
    <w:p w:rsidR="00B543E6" w:rsidRPr="0065431D" w:rsidRDefault="00B543E6" w:rsidP="00980E3C">
      <w:pPr>
        <w:pStyle w:val="BodyText"/>
        <w:jc w:val="both"/>
        <w:rPr>
          <w:rFonts w:ascii="Times New Roman" w:hAnsi="Times New Roman" w:cs="Times New Roman"/>
          <w:bCs/>
          <w:sz w:val="22"/>
          <w:szCs w:val="22"/>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B543E6" w:rsidRPr="006422F3" w:rsidTr="00D460BE">
        <w:tc>
          <w:tcPr>
            <w:tcW w:w="4265" w:type="dxa"/>
            <w:tcBorders>
              <w:bottom w:val="single" w:sz="4" w:space="0" w:color="000000"/>
            </w:tcBorders>
            <w:shd w:val="clear" w:color="auto" w:fill="auto"/>
          </w:tcPr>
          <w:p w:rsidR="00B543E6" w:rsidRPr="006422F3" w:rsidRDefault="00B543E6" w:rsidP="00980E3C">
            <w:pPr>
              <w:pStyle w:val="BodyText"/>
              <w:jc w:val="both"/>
              <w:rPr>
                <w:rFonts w:ascii="Times New Roman" w:hAnsi="Times New Roman" w:cs="Times New Roman"/>
                <w:bCs/>
                <w:sz w:val="22"/>
                <w:szCs w:val="22"/>
              </w:rPr>
            </w:pPr>
          </w:p>
        </w:tc>
        <w:tc>
          <w:tcPr>
            <w:tcW w:w="3745" w:type="dxa"/>
            <w:tcBorders>
              <w:bottom w:val="single" w:sz="4" w:space="0" w:color="000000"/>
            </w:tcBorders>
            <w:shd w:val="clear" w:color="auto" w:fill="auto"/>
          </w:tcPr>
          <w:p w:rsidR="00B543E6" w:rsidRPr="006422F3" w:rsidRDefault="00B543E6" w:rsidP="006422F3">
            <w:pPr>
              <w:jc w:val="both"/>
              <w:rPr>
                <w:b/>
                <w:sz w:val="22"/>
                <w:szCs w:val="22"/>
              </w:rPr>
            </w:pPr>
            <w:r w:rsidRPr="006422F3">
              <w:rPr>
                <w:b/>
                <w:sz w:val="22"/>
                <w:szCs w:val="22"/>
                <w:u w:val="single"/>
              </w:rPr>
              <w:t>Achieved</w:t>
            </w:r>
            <w:r w:rsidRPr="006422F3">
              <w:rPr>
                <w:b/>
                <w:sz w:val="22"/>
                <w:szCs w:val="22"/>
              </w:rPr>
              <w:t xml:space="preserve"> Indicator Targets</w:t>
            </w:r>
          </w:p>
        </w:tc>
        <w:tc>
          <w:tcPr>
            <w:tcW w:w="3960" w:type="dxa"/>
            <w:tcBorders>
              <w:bottom w:val="single" w:sz="4" w:space="0" w:color="000000"/>
            </w:tcBorders>
            <w:shd w:val="clear" w:color="auto" w:fill="auto"/>
          </w:tcPr>
          <w:p w:rsidR="00B543E6" w:rsidRPr="006422F3" w:rsidRDefault="00B543E6" w:rsidP="006422F3">
            <w:pPr>
              <w:jc w:val="both"/>
              <w:rPr>
                <w:b/>
                <w:sz w:val="22"/>
                <w:szCs w:val="22"/>
              </w:rPr>
            </w:pPr>
            <w:r w:rsidRPr="006422F3">
              <w:rPr>
                <w:b/>
                <w:sz w:val="22"/>
                <w:szCs w:val="22"/>
              </w:rPr>
              <w:t>Reasons for Variance with Planned Target (if any)</w:t>
            </w:r>
          </w:p>
        </w:tc>
        <w:tc>
          <w:tcPr>
            <w:tcW w:w="3150" w:type="dxa"/>
            <w:tcBorders>
              <w:bottom w:val="single" w:sz="4" w:space="0" w:color="000000"/>
            </w:tcBorders>
            <w:shd w:val="clear" w:color="auto" w:fill="auto"/>
          </w:tcPr>
          <w:p w:rsidR="00B543E6" w:rsidRPr="006422F3" w:rsidRDefault="00B543E6" w:rsidP="006422F3">
            <w:pPr>
              <w:jc w:val="both"/>
              <w:rPr>
                <w:b/>
                <w:sz w:val="22"/>
                <w:szCs w:val="22"/>
              </w:rPr>
            </w:pPr>
            <w:r w:rsidRPr="006422F3">
              <w:rPr>
                <w:b/>
                <w:sz w:val="22"/>
                <w:szCs w:val="22"/>
              </w:rPr>
              <w:t>Source of Verification</w:t>
            </w:r>
          </w:p>
        </w:tc>
      </w:tr>
      <w:tr w:rsidR="00B543E6" w:rsidRPr="006422F3" w:rsidTr="00D460BE">
        <w:tc>
          <w:tcPr>
            <w:tcW w:w="4265" w:type="dxa"/>
            <w:shd w:val="pct15" w:color="auto" w:fill="auto"/>
          </w:tcPr>
          <w:p w:rsidR="002B1267" w:rsidRPr="00240424" w:rsidRDefault="002B1267" w:rsidP="006422F3">
            <w:pPr>
              <w:jc w:val="both"/>
              <w:rPr>
                <w:b/>
                <w:sz w:val="28"/>
                <w:szCs w:val="28"/>
              </w:rPr>
            </w:pPr>
            <w:r w:rsidRPr="00240424">
              <w:rPr>
                <w:b/>
                <w:sz w:val="28"/>
                <w:szCs w:val="28"/>
              </w:rPr>
              <w:t>Basic Education</w:t>
            </w:r>
            <w:r w:rsidR="00240424">
              <w:rPr>
                <w:b/>
                <w:sz w:val="28"/>
                <w:szCs w:val="28"/>
              </w:rPr>
              <w:t>:</w:t>
            </w:r>
          </w:p>
          <w:p w:rsidR="002B1267" w:rsidRDefault="002B1267" w:rsidP="006422F3">
            <w:pPr>
              <w:jc w:val="both"/>
              <w:rPr>
                <w:b/>
                <w:sz w:val="22"/>
                <w:szCs w:val="22"/>
              </w:rPr>
            </w:pPr>
          </w:p>
          <w:p w:rsidR="00B543E6" w:rsidRPr="006422F3" w:rsidRDefault="00B543E6" w:rsidP="006422F3">
            <w:pPr>
              <w:jc w:val="both"/>
              <w:rPr>
                <w:b/>
                <w:sz w:val="22"/>
                <w:szCs w:val="22"/>
              </w:rPr>
            </w:pPr>
            <w:r w:rsidRPr="006422F3">
              <w:rPr>
                <w:b/>
                <w:sz w:val="22"/>
                <w:szCs w:val="22"/>
              </w:rPr>
              <w:t>Outcome 1</w:t>
            </w:r>
            <w:r w:rsidRPr="006422F3">
              <w:rPr>
                <w:rStyle w:val="FootnoteReference"/>
                <w:b/>
                <w:sz w:val="22"/>
                <w:szCs w:val="22"/>
              </w:rPr>
              <w:footnoteReference w:id="11"/>
            </w:r>
            <w:r w:rsidR="000D11D8" w:rsidRPr="006422F3">
              <w:rPr>
                <w:b/>
                <w:sz w:val="22"/>
                <w:szCs w:val="22"/>
              </w:rPr>
              <w:t xml:space="preserve">  contribute to increased access to and completion rates of  quality primary Education</w:t>
            </w:r>
          </w:p>
          <w:p w:rsidR="000D11D8" w:rsidRPr="006422F3" w:rsidRDefault="000D11D8" w:rsidP="006422F3">
            <w:pPr>
              <w:jc w:val="both"/>
              <w:rPr>
                <w:b/>
                <w:sz w:val="22"/>
                <w:szCs w:val="22"/>
              </w:rPr>
            </w:pPr>
          </w:p>
          <w:p w:rsidR="000D11D8" w:rsidRPr="006422F3" w:rsidRDefault="00B543E6" w:rsidP="006422F3">
            <w:pPr>
              <w:jc w:val="both"/>
              <w:rPr>
                <w:b/>
                <w:sz w:val="22"/>
                <w:szCs w:val="22"/>
              </w:rPr>
            </w:pPr>
            <w:r w:rsidRPr="006422F3">
              <w:rPr>
                <w:b/>
                <w:sz w:val="22"/>
                <w:szCs w:val="22"/>
              </w:rPr>
              <w:t>Indicator:</w:t>
            </w:r>
          </w:p>
          <w:p w:rsidR="00B543E6" w:rsidRPr="006422F3" w:rsidRDefault="000D11D8" w:rsidP="006422F3">
            <w:pPr>
              <w:jc w:val="both"/>
              <w:rPr>
                <w:b/>
                <w:sz w:val="22"/>
                <w:szCs w:val="22"/>
              </w:rPr>
            </w:pPr>
            <w:r w:rsidRPr="006422F3">
              <w:rPr>
                <w:b/>
                <w:sz w:val="22"/>
                <w:szCs w:val="22"/>
              </w:rPr>
              <w:t xml:space="preserve"> # of children benefitting from quality education</w:t>
            </w:r>
          </w:p>
          <w:p w:rsidR="004413AE" w:rsidRPr="006422F3" w:rsidRDefault="004413AE" w:rsidP="006422F3">
            <w:pPr>
              <w:jc w:val="both"/>
              <w:rPr>
                <w:b/>
                <w:sz w:val="22"/>
                <w:szCs w:val="22"/>
              </w:rPr>
            </w:pPr>
          </w:p>
          <w:p w:rsidR="000D11D8" w:rsidRPr="006422F3" w:rsidRDefault="000D11D8" w:rsidP="006422F3">
            <w:pPr>
              <w:jc w:val="both"/>
              <w:rPr>
                <w:b/>
                <w:sz w:val="22"/>
                <w:szCs w:val="22"/>
              </w:rPr>
            </w:pPr>
            <w:r w:rsidRPr="006422F3">
              <w:rPr>
                <w:b/>
                <w:sz w:val="22"/>
                <w:szCs w:val="22"/>
              </w:rPr>
              <w:t xml:space="preserve"># of teachers </w:t>
            </w:r>
            <w:r w:rsidR="00094A66">
              <w:rPr>
                <w:b/>
                <w:sz w:val="22"/>
                <w:szCs w:val="22"/>
              </w:rPr>
              <w:t>completing distance education programme</w:t>
            </w:r>
          </w:p>
          <w:p w:rsidR="004413AE" w:rsidRPr="006422F3" w:rsidRDefault="004413AE" w:rsidP="006422F3">
            <w:pPr>
              <w:jc w:val="both"/>
              <w:rPr>
                <w:b/>
                <w:sz w:val="22"/>
                <w:szCs w:val="22"/>
              </w:rPr>
            </w:pPr>
          </w:p>
          <w:p w:rsidR="000D11D8" w:rsidRPr="006422F3" w:rsidRDefault="000D11D8" w:rsidP="006422F3">
            <w:pPr>
              <w:jc w:val="both"/>
              <w:rPr>
                <w:b/>
                <w:sz w:val="22"/>
                <w:szCs w:val="22"/>
              </w:rPr>
            </w:pPr>
            <w:r w:rsidRPr="006422F3">
              <w:rPr>
                <w:b/>
                <w:sz w:val="22"/>
                <w:szCs w:val="22"/>
              </w:rPr>
              <w:t># of school monitored using cluster monitoring approach</w:t>
            </w:r>
          </w:p>
          <w:p w:rsidR="004413AE" w:rsidRPr="006422F3" w:rsidRDefault="004413AE" w:rsidP="006422F3">
            <w:pPr>
              <w:jc w:val="both"/>
              <w:rPr>
                <w:b/>
                <w:sz w:val="22"/>
                <w:szCs w:val="22"/>
              </w:rPr>
            </w:pPr>
          </w:p>
          <w:p w:rsidR="000D11D8" w:rsidRPr="006422F3" w:rsidRDefault="00E609B6" w:rsidP="006422F3">
            <w:pPr>
              <w:jc w:val="both"/>
              <w:rPr>
                <w:b/>
                <w:sz w:val="22"/>
                <w:szCs w:val="22"/>
              </w:rPr>
            </w:pPr>
            <w:r w:rsidRPr="006422F3">
              <w:rPr>
                <w:b/>
                <w:sz w:val="22"/>
                <w:szCs w:val="22"/>
              </w:rPr>
              <w:t># of schools implementing CFS</w:t>
            </w:r>
          </w:p>
          <w:p w:rsidR="004413AE" w:rsidRPr="006422F3" w:rsidRDefault="004413AE" w:rsidP="006422F3">
            <w:pPr>
              <w:jc w:val="both"/>
              <w:rPr>
                <w:b/>
                <w:sz w:val="22"/>
                <w:szCs w:val="22"/>
              </w:rPr>
            </w:pPr>
          </w:p>
          <w:p w:rsidR="00E609B6" w:rsidRPr="006422F3" w:rsidRDefault="00BB3435" w:rsidP="006422F3">
            <w:pPr>
              <w:jc w:val="both"/>
              <w:rPr>
                <w:b/>
                <w:sz w:val="22"/>
                <w:szCs w:val="22"/>
              </w:rPr>
            </w:pPr>
            <w:r w:rsidRPr="006422F3">
              <w:rPr>
                <w:b/>
                <w:sz w:val="22"/>
                <w:szCs w:val="22"/>
              </w:rPr>
              <w:t xml:space="preserve"># of children benefiting from </w:t>
            </w:r>
            <w:r w:rsidR="00E609B6" w:rsidRPr="006422F3">
              <w:rPr>
                <w:b/>
                <w:sz w:val="22"/>
                <w:szCs w:val="22"/>
              </w:rPr>
              <w:t>CF</w:t>
            </w:r>
            <w:r w:rsidRPr="006422F3">
              <w:rPr>
                <w:b/>
                <w:sz w:val="22"/>
                <w:szCs w:val="22"/>
              </w:rPr>
              <w:t>S</w:t>
            </w:r>
            <w:r w:rsidR="00E609B6" w:rsidRPr="006422F3">
              <w:rPr>
                <w:b/>
                <w:sz w:val="22"/>
                <w:szCs w:val="22"/>
              </w:rPr>
              <w:t xml:space="preserve"> in the 40 pilot schools</w:t>
            </w:r>
          </w:p>
          <w:p w:rsidR="004413AE" w:rsidRPr="006422F3" w:rsidRDefault="004413AE" w:rsidP="006422F3">
            <w:pPr>
              <w:jc w:val="both"/>
              <w:rPr>
                <w:b/>
                <w:sz w:val="22"/>
                <w:szCs w:val="22"/>
              </w:rPr>
            </w:pPr>
          </w:p>
          <w:p w:rsidR="00B543E6" w:rsidRPr="006422F3" w:rsidRDefault="00B543E6" w:rsidP="006422F3">
            <w:pPr>
              <w:jc w:val="both"/>
              <w:rPr>
                <w:b/>
                <w:sz w:val="22"/>
                <w:szCs w:val="22"/>
              </w:rPr>
            </w:pPr>
            <w:r w:rsidRPr="006422F3">
              <w:rPr>
                <w:b/>
                <w:sz w:val="22"/>
                <w:szCs w:val="22"/>
              </w:rPr>
              <w:t>Baseline:</w:t>
            </w:r>
            <w:r w:rsidR="000D11D8" w:rsidRPr="006422F3">
              <w:rPr>
                <w:b/>
                <w:sz w:val="22"/>
                <w:szCs w:val="22"/>
              </w:rPr>
              <w:t xml:space="preserve"> 0</w:t>
            </w:r>
          </w:p>
          <w:p w:rsidR="004413AE" w:rsidRPr="006422F3" w:rsidRDefault="004413AE" w:rsidP="006422F3">
            <w:pPr>
              <w:jc w:val="both"/>
              <w:rPr>
                <w:b/>
                <w:sz w:val="22"/>
                <w:szCs w:val="22"/>
              </w:rPr>
            </w:pPr>
          </w:p>
          <w:p w:rsidR="00B543E6" w:rsidRPr="006422F3" w:rsidRDefault="00B543E6" w:rsidP="006422F3">
            <w:pPr>
              <w:jc w:val="both"/>
              <w:rPr>
                <w:b/>
                <w:sz w:val="22"/>
                <w:szCs w:val="22"/>
              </w:rPr>
            </w:pPr>
            <w:r w:rsidRPr="006422F3">
              <w:rPr>
                <w:b/>
                <w:sz w:val="22"/>
                <w:szCs w:val="22"/>
              </w:rPr>
              <w:t>Planned Target:</w:t>
            </w:r>
            <w:r w:rsidR="000D11D8" w:rsidRPr="006422F3">
              <w:rPr>
                <w:b/>
                <w:sz w:val="22"/>
                <w:szCs w:val="22"/>
              </w:rPr>
              <w:t xml:space="preserve"> 750 teachers,</w:t>
            </w:r>
            <w:r w:rsidR="00285666" w:rsidRPr="006422F3">
              <w:rPr>
                <w:b/>
                <w:sz w:val="22"/>
                <w:szCs w:val="22"/>
              </w:rPr>
              <w:t xml:space="preserve"> 1,547 schools</w:t>
            </w:r>
          </w:p>
          <w:p w:rsidR="00B543E6" w:rsidRPr="006422F3" w:rsidRDefault="00B543E6" w:rsidP="00A930E6">
            <w:pPr>
              <w:pStyle w:val="BodyText"/>
              <w:jc w:val="both"/>
              <w:rPr>
                <w:rFonts w:ascii="Times New Roman" w:hAnsi="Times New Roman" w:cs="Times New Roman"/>
                <w:bCs/>
                <w:sz w:val="22"/>
                <w:szCs w:val="22"/>
              </w:rPr>
            </w:pPr>
          </w:p>
        </w:tc>
        <w:tc>
          <w:tcPr>
            <w:tcW w:w="3745" w:type="dxa"/>
            <w:shd w:val="pct15" w:color="auto" w:fill="auto"/>
          </w:tcPr>
          <w:p w:rsidR="00B543E6" w:rsidRPr="006422F3" w:rsidRDefault="00B543E6" w:rsidP="00A930E6">
            <w:pPr>
              <w:pStyle w:val="BodyText"/>
              <w:jc w:val="both"/>
              <w:rPr>
                <w:rFonts w:ascii="Times New Roman" w:hAnsi="Times New Roman" w:cs="Times New Roman"/>
                <w:bCs/>
                <w:sz w:val="22"/>
                <w:szCs w:val="22"/>
              </w:rPr>
            </w:pPr>
          </w:p>
          <w:p w:rsidR="00BB3435" w:rsidRPr="006422F3" w:rsidRDefault="00BB3435" w:rsidP="00CB2273">
            <w:pPr>
              <w:pStyle w:val="BodyText"/>
              <w:jc w:val="both"/>
              <w:rPr>
                <w:rFonts w:ascii="Times New Roman" w:hAnsi="Times New Roman" w:cs="Times New Roman"/>
                <w:bCs/>
                <w:sz w:val="22"/>
                <w:szCs w:val="22"/>
              </w:rPr>
            </w:pPr>
          </w:p>
          <w:p w:rsidR="00BB3435" w:rsidRPr="006422F3" w:rsidRDefault="00BB3435" w:rsidP="00015581">
            <w:pPr>
              <w:pStyle w:val="BodyText"/>
              <w:jc w:val="both"/>
              <w:rPr>
                <w:rFonts w:ascii="Times New Roman" w:hAnsi="Times New Roman" w:cs="Times New Roman"/>
                <w:bCs/>
                <w:sz w:val="22"/>
                <w:szCs w:val="22"/>
              </w:rPr>
            </w:pPr>
          </w:p>
          <w:p w:rsidR="00BB3435" w:rsidRPr="006422F3" w:rsidRDefault="00BB3435" w:rsidP="00015581">
            <w:pPr>
              <w:pStyle w:val="BodyText"/>
              <w:jc w:val="both"/>
              <w:rPr>
                <w:rFonts w:ascii="Times New Roman" w:hAnsi="Times New Roman" w:cs="Times New Roman"/>
                <w:bCs/>
                <w:sz w:val="22"/>
                <w:szCs w:val="22"/>
              </w:rPr>
            </w:pPr>
          </w:p>
          <w:p w:rsidR="004413AE" w:rsidRPr="006422F3" w:rsidRDefault="004413AE" w:rsidP="00302A2E">
            <w:pPr>
              <w:pStyle w:val="BodyText"/>
              <w:jc w:val="both"/>
              <w:rPr>
                <w:rFonts w:ascii="Times New Roman" w:hAnsi="Times New Roman" w:cs="Times New Roman"/>
                <w:bCs/>
                <w:sz w:val="22"/>
                <w:szCs w:val="22"/>
              </w:rPr>
            </w:pPr>
          </w:p>
          <w:p w:rsidR="004413AE" w:rsidRPr="006422F3" w:rsidRDefault="004413AE" w:rsidP="00273F09">
            <w:pPr>
              <w:pStyle w:val="BodyText"/>
              <w:jc w:val="both"/>
              <w:rPr>
                <w:rFonts w:ascii="Times New Roman" w:hAnsi="Times New Roman" w:cs="Times New Roman"/>
                <w:bCs/>
                <w:sz w:val="22"/>
                <w:szCs w:val="22"/>
              </w:rPr>
            </w:pPr>
          </w:p>
          <w:p w:rsidR="0030313A" w:rsidRDefault="0030313A" w:rsidP="00273F09">
            <w:pPr>
              <w:pStyle w:val="BodyText"/>
              <w:jc w:val="both"/>
              <w:rPr>
                <w:rFonts w:ascii="Times New Roman" w:hAnsi="Times New Roman" w:cs="Times New Roman"/>
                <w:bCs/>
                <w:sz w:val="22"/>
                <w:szCs w:val="22"/>
              </w:rPr>
            </w:pPr>
          </w:p>
          <w:p w:rsidR="0030313A" w:rsidRDefault="0030313A" w:rsidP="00273F09">
            <w:pPr>
              <w:pStyle w:val="BodyText"/>
              <w:jc w:val="both"/>
              <w:rPr>
                <w:rFonts w:ascii="Times New Roman" w:hAnsi="Times New Roman" w:cs="Times New Roman"/>
                <w:bCs/>
                <w:sz w:val="22"/>
                <w:szCs w:val="22"/>
              </w:rPr>
            </w:pPr>
          </w:p>
          <w:p w:rsidR="00BB3435" w:rsidRPr="006422F3" w:rsidRDefault="008E2145" w:rsidP="00273F09">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30,000</w:t>
            </w:r>
          </w:p>
          <w:p w:rsidR="008E2145" w:rsidRPr="006422F3" w:rsidRDefault="008E2145" w:rsidP="00011FCE">
            <w:pPr>
              <w:pStyle w:val="BodyText"/>
              <w:jc w:val="both"/>
              <w:rPr>
                <w:rFonts w:ascii="Times New Roman" w:hAnsi="Times New Roman" w:cs="Times New Roman"/>
                <w:bCs/>
                <w:sz w:val="22"/>
                <w:szCs w:val="22"/>
              </w:rPr>
            </w:pPr>
          </w:p>
          <w:p w:rsidR="008E2145" w:rsidRPr="006422F3" w:rsidRDefault="008E2145" w:rsidP="00011FCE">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750</w:t>
            </w:r>
          </w:p>
          <w:p w:rsidR="004413AE" w:rsidRPr="006422F3" w:rsidRDefault="004413AE" w:rsidP="0065431D">
            <w:pPr>
              <w:pStyle w:val="BodyText"/>
              <w:jc w:val="both"/>
              <w:rPr>
                <w:rFonts w:ascii="Times New Roman" w:hAnsi="Times New Roman" w:cs="Times New Roman"/>
                <w:bCs/>
                <w:sz w:val="22"/>
                <w:szCs w:val="22"/>
              </w:rPr>
            </w:pPr>
          </w:p>
          <w:p w:rsidR="004413AE" w:rsidRPr="006422F3" w:rsidRDefault="004413AE" w:rsidP="0065431D">
            <w:pPr>
              <w:pStyle w:val="BodyText"/>
              <w:jc w:val="both"/>
              <w:rPr>
                <w:rFonts w:ascii="Times New Roman" w:hAnsi="Times New Roman" w:cs="Times New Roman"/>
                <w:bCs/>
                <w:sz w:val="22"/>
                <w:szCs w:val="22"/>
              </w:rPr>
            </w:pPr>
          </w:p>
          <w:p w:rsidR="008E2145" w:rsidRPr="006422F3" w:rsidRDefault="008E2145" w:rsidP="0065431D">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380</w:t>
            </w:r>
          </w:p>
          <w:p w:rsidR="008E2145" w:rsidRPr="006422F3" w:rsidRDefault="008E2145" w:rsidP="00BF5E80">
            <w:pPr>
              <w:pStyle w:val="BodyText"/>
              <w:jc w:val="both"/>
              <w:rPr>
                <w:rFonts w:ascii="Times New Roman" w:hAnsi="Times New Roman" w:cs="Times New Roman"/>
                <w:bCs/>
                <w:sz w:val="22"/>
                <w:szCs w:val="22"/>
              </w:rPr>
            </w:pPr>
          </w:p>
          <w:p w:rsidR="0030313A" w:rsidRDefault="0030313A" w:rsidP="00980E3C">
            <w:pPr>
              <w:pStyle w:val="BodyText"/>
              <w:jc w:val="both"/>
              <w:rPr>
                <w:rFonts w:ascii="Times New Roman" w:hAnsi="Times New Roman" w:cs="Times New Roman"/>
                <w:bCs/>
                <w:sz w:val="22"/>
                <w:szCs w:val="22"/>
              </w:rPr>
            </w:pPr>
          </w:p>
          <w:p w:rsidR="008E2145" w:rsidRPr="006422F3" w:rsidRDefault="008E2145" w:rsidP="00980E3C">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40</w:t>
            </w:r>
          </w:p>
          <w:p w:rsidR="004413AE" w:rsidRPr="006422F3" w:rsidRDefault="004413AE" w:rsidP="00671F82">
            <w:pPr>
              <w:pStyle w:val="BodyText"/>
              <w:jc w:val="both"/>
              <w:rPr>
                <w:rFonts w:ascii="Times New Roman" w:hAnsi="Times New Roman" w:cs="Times New Roman"/>
                <w:bCs/>
                <w:sz w:val="22"/>
                <w:szCs w:val="22"/>
              </w:rPr>
            </w:pPr>
          </w:p>
          <w:p w:rsidR="0030313A" w:rsidRDefault="0030313A" w:rsidP="006422F3">
            <w:pPr>
              <w:pStyle w:val="BodyText"/>
              <w:jc w:val="both"/>
              <w:rPr>
                <w:rFonts w:ascii="Times New Roman" w:hAnsi="Times New Roman" w:cs="Times New Roman"/>
                <w:bCs/>
                <w:sz w:val="22"/>
                <w:szCs w:val="22"/>
              </w:rPr>
            </w:pPr>
          </w:p>
          <w:p w:rsidR="008E2145" w:rsidRPr="006422F3" w:rsidRDefault="008E2145" w:rsidP="006422F3">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11,500 (49% girls)</w:t>
            </w:r>
          </w:p>
          <w:p w:rsidR="008E2145" w:rsidRPr="006422F3" w:rsidRDefault="008E2145" w:rsidP="006422F3">
            <w:pPr>
              <w:pStyle w:val="BodyText"/>
              <w:jc w:val="both"/>
              <w:rPr>
                <w:rFonts w:ascii="Times New Roman" w:hAnsi="Times New Roman" w:cs="Times New Roman"/>
                <w:bCs/>
                <w:sz w:val="22"/>
                <w:szCs w:val="22"/>
              </w:rPr>
            </w:pPr>
          </w:p>
        </w:tc>
        <w:tc>
          <w:tcPr>
            <w:tcW w:w="3960" w:type="dxa"/>
            <w:shd w:val="pct15" w:color="auto" w:fill="auto"/>
          </w:tcPr>
          <w:p w:rsidR="009D726E" w:rsidRPr="006422F3" w:rsidRDefault="009D726E" w:rsidP="006422F3">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As a result of reflection on achievements, challenges and lessons learned during the first the phase of cluster monitoring,  a redesign of the strategy was initiated to include coordination at both school and cluster levels.</w:t>
            </w:r>
          </w:p>
          <w:p w:rsidR="009D726E" w:rsidRPr="006422F3" w:rsidRDefault="009D726E" w:rsidP="006422F3">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This will also provide more support supervision to teachers at school level and s</w:t>
            </w:r>
            <w:r w:rsidR="003D0E10" w:rsidRPr="006422F3">
              <w:rPr>
                <w:rFonts w:ascii="Times New Roman" w:hAnsi="Times New Roman" w:cs="Times New Roman"/>
                <w:bCs/>
                <w:sz w:val="22"/>
                <w:szCs w:val="22"/>
              </w:rPr>
              <w:t>tro</w:t>
            </w:r>
            <w:r w:rsidRPr="006422F3">
              <w:rPr>
                <w:rFonts w:ascii="Times New Roman" w:hAnsi="Times New Roman" w:cs="Times New Roman"/>
                <w:bCs/>
                <w:sz w:val="22"/>
                <w:szCs w:val="22"/>
              </w:rPr>
              <w:t>nger community involvement</w:t>
            </w:r>
          </w:p>
          <w:p w:rsidR="009D726E" w:rsidRPr="006422F3" w:rsidRDefault="00094A66" w:rsidP="006422F3">
            <w:pPr>
              <w:pStyle w:val="BodyText"/>
              <w:jc w:val="both"/>
              <w:rPr>
                <w:rFonts w:ascii="Times New Roman" w:hAnsi="Times New Roman" w:cs="Times New Roman"/>
                <w:bCs/>
                <w:sz w:val="22"/>
                <w:szCs w:val="22"/>
              </w:rPr>
            </w:pPr>
            <w:r>
              <w:rPr>
                <w:rFonts w:ascii="Times New Roman" w:hAnsi="Times New Roman" w:cs="Times New Roman"/>
                <w:bCs/>
                <w:sz w:val="22"/>
                <w:szCs w:val="22"/>
              </w:rPr>
              <w:t>As the strategy was changed, so the target was adjusted.</w:t>
            </w:r>
            <w:r w:rsidR="009D726E" w:rsidRPr="006422F3">
              <w:rPr>
                <w:rFonts w:ascii="Times New Roman" w:hAnsi="Times New Roman" w:cs="Times New Roman"/>
                <w:bCs/>
                <w:sz w:val="22"/>
                <w:szCs w:val="22"/>
              </w:rPr>
              <w:t xml:space="preserve"> </w:t>
            </w:r>
          </w:p>
          <w:p w:rsidR="00B543E6" w:rsidRPr="006422F3" w:rsidRDefault="00B543E6" w:rsidP="006422F3">
            <w:pPr>
              <w:pStyle w:val="BodyText"/>
              <w:jc w:val="both"/>
              <w:rPr>
                <w:rFonts w:ascii="Times New Roman" w:hAnsi="Times New Roman" w:cs="Times New Roman"/>
                <w:bCs/>
                <w:sz w:val="22"/>
                <w:szCs w:val="22"/>
              </w:rPr>
            </w:pPr>
          </w:p>
        </w:tc>
        <w:tc>
          <w:tcPr>
            <w:tcW w:w="3150" w:type="dxa"/>
            <w:shd w:val="pct15" w:color="auto" w:fill="auto"/>
          </w:tcPr>
          <w:p w:rsidR="00B543E6" w:rsidRPr="006422F3" w:rsidRDefault="00205B8D" w:rsidP="006422F3">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Monitoring  and activity report</w:t>
            </w:r>
          </w:p>
        </w:tc>
      </w:tr>
      <w:tr w:rsidR="00B543E6" w:rsidRPr="006422F3" w:rsidTr="00D460BE">
        <w:trPr>
          <w:trHeight w:val="1470"/>
        </w:trPr>
        <w:tc>
          <w:tcPr>
            <w:tcW w:w="4265" w:type="dxa"/>
            <w:vMerge w:val="restart"/>
            <w:shd w:val="clear" w:color="auto" w:fill="auto"/>
          </w:tcPr>
          <w:p w:rsidR="00B543E6" w:rsidRPr="006422F3" w:rsidRDefault="00B543E6" w:rsidP="006422F3">
            <w:pPr>
              <w:jc w:val="both"/>
              <w:rPr>
                <w:b/>
                <w:sz w:val="22"/>
                <w:szCs w:val="22"/>
              </w:rPr>
            </w:pPr>
            <w:r w:rsidRPr="006422F3">
              <w:rPr>
                <w:b/>
                <w:sz w:val="22"/>
                <w:szCs w:val="22"/>
              </w:rPr>
              <w:t>Output 1.1</w:t>
            </w:r>
            <w:r w:rsidR="00285666" w:rsidRPr="006422F3">
              <w:rPr>
                <w:b/>
                <w:sz w:val="22"/>
                <w:szCs w:val="22"/>
              </w:rPr>
              <w:t xml:space="preserve">-Train </w:t>
            </w:r>
            <w:r w:rsidR="007D1983" w:rsidRPr="006422F3">
              <w:rPr>
                <w:b/>
                <w:sz w:val="22"/>
                <w:szCs w:val="22"/>
              </w:rPr>
              <w:t>126</w:t>
            </w:r>
            <w:r w:rsidR="00285666" w:rsidRPr="006422F3">
              <w:rPr>
                <w:b/>
                <w:sz w:val="22"/>
                <w:szCs w:val="22"/>
              </w:rPr>
              <w:t xml:space="preserve"> cluster monitors from 6 districts on cluster monitors</w:t>
            </w:r>
          </w:p>
          <w:p w:rsidR="00285666" w:rsidRPr="006422F3" w:rsidRDefault="00285666" w:rsidP="006422F3">
            <w:pPr>
              <w:jc w:val="both"/>
              <w:rPr>
                <w:b/>
                <w:sz w:val="22"/>
                <w:szCs w:val="22"/>
              </w:rPr>
            </w:pPr>
          </w:p>
          <w:p w:rsidR="00ED6593" w:rsidRPr="006422F3" w:rsidRDefault="00B543E6" w:rsidP="006422F3">
            <w:pPr>
              <w:jc w:val="both"/>
              <w:rPr>
                <w:b/>
                <w:sz w:val="22"/>
                <w:szCs w:val="22"/>
              </w:rPr>
            </w:pPr>
            <w:r w:rsidRPr="006422F3">
              <w:rPr>
                <w:b/>
                <w:sz w:val="22"/>
                <w:szCs w:val="22"/>
              </w:rPr>
              <w:t xml:space="preserve">Indicator </w:t>
            </w:r>
          </w:p>
          <w:p w:rsidR="00B543E6" w:rsidRPr="006422F3" w:rsidRDefault="00B543E6" w:rsidP="006422F3">
            <w:pPr>
              <w:jc w:val="both"/>
              <w:rPr>
                <w:b/>
                <w:sz w:val="22"/>
                <w:szCs w:val="22"/>
              </w:rPr>
            </w:pPr>
            <w:r w:rsidRPr="006422F3">
              <w:rPr>
                <w:b/>
                <w:sz w:val="22"/>
                <w:szCs w:val="22"/>
              </w:rPr>
              <w:t xml:space="preserve"> 1.1.1</w:t>
            </w:r>
            <w:r w:rsidR="00285666" w:rsidRPr="006422F3">
              <w:rPr>
                <w:b/>
                <w:sz w:val="22"/>
                <w:szCs w:val="22"/>
              </w:rPr>
              <w:t xml:space="preserve">- # of monitors </w:t>
            </w:r>
            <w:r w:rsidR="007D1983" w:rsidRPr="006422F3">
              <w:rPr>
                <w:b/>
                <w:sz w:val="22"/>
                <w:szCs w:val="22"/>
              </w:rPr>
              <w:t xml:space="preserve"> and coordinators trained</w:t>
            </w:r>
            <w:r w:rsidR="00205B8D" w:rsidRPr="006422F3">
              <w:rPr>
                <w:b/>
                <w:sz w:val="22"/>
                <w:szCs w:val="22"/>
              </w:rPr>
              <w:t xml:space="preserve"> </w:t>
            </w:r>
          </w:p>
          <w:p w:rsidR="00285666" w:rsidRPr="006422F3" w:rsidRDefault="00285666" w:rsidP="006422F3">
            <w:pPr>
              <w:jc w:val="both"/>
              <w:rPr>
                <w:b/>
                <w:sz w:val="22"/>
                <w:szCs w:val="22"/>
              </w:rPr>
            </w:pPr>
          </w:p>
          <w:p w:rsidR="00B543E6" w:rsidRPr="006422F3" w:rsidRDefault="00B543E6" w:rsidP="006422F3">
            <w:pPr>
              <w:jc w:val="both"/>
              <w:rPr>
                <w:b/>
                <w:sz w:val="22"/>
                <w:szCs w:val="22"/>
              </w:rPr>
            </w:pPr>
            <w:r w:rsidRPr="006422F3">
              <w:rPr>
                <w:b/>
                <w:sz w:val="22"/>
                <w:szCs w:val="22"/>
              </w:rPr>
              <w:t>Baseline:</w:t>
            </w:r>
            <w:r w:rsidR="00285666" w:rsidRPr="006422F3">
              <w:rPr>
                <w:b/>
                <w:sz w:val="22"/>
                <w:szCs w:val="22"/>
              </w:rPr>
              <w:t xml:space="preserve"> </w:t>
            </w:r>
            <w:r w:rsidR="00D0105B" w:rsidRPr="006422F3">
              <w:rPr>
                <w:b/>
                <w:sz w:val="22"/>
                <w:szCs w:val="22"/>
              </w:rPr>
              <w:t>3</w:t>
            </w:r>
            <w:r w:rsidR="007D1983" w:rsidRPr="006422F3">
              <w:rPr>
                <w:b/>
                <w:sz w:val="22"/>
                <w:szCs w:val="22"/>
              </w:rPr>
              <w:t>6</w:t>
            </w:r>
          </w:p>
          <w:p w:rsidR="00285666" w:rsidRPr="006422F3" w:rsidRDefault="00285666" w:rsidP="006422F3">
            <w:pPr>
              <w:jc w:val="both"/>
              <w:rPr>
                <w:b/>
                <w:sz w:val="22"/>
                <w:szCs w:val="22"/>
              </w:rPr>
            </w:pPr>
          </w:p>
          <w:p w:rsidR="00B543E6" w:rsidRPr="006422F3" w:rsidRDefault="00B543E6" w:rsidP="006422F3">
            <w:pPr>
              <w:jc w:val="both"/>
              <w:rPr>
                <w:b/>
                <w:sz w:val="22"/>
                <w:szCs w:val="22"/>
              </w:rPr>
            </w:pPr>
            <w:r w:rsidRPr="006422F3">
              <w:rPr>
                <w:b/>
                <w:sz w:val="22"/>
                <w:szCs w:val="22"/>
              </w:rPr>
              <w:t>Planned Target:</w:t>
            </w:r>
            <w:r w:rsidR="007D1983" w:rsidRPr="006422F3">
              <w:rPr>
                <w:b/>
                <w:sz w:val="22"/>
                <w:szCs w:val="22"/>
              </w:rPr>
              <w:t>162</w:t>
            </w:r>
          </w:p>
          <w:p w:rsidR="00B543E6" w:rsidRPr="006422F3" w:rsidRDefault="00B543E6" w:rsidP="006422F3">
            <w:pPr>
              <w:jc w:val="both"/>
              <w:rPr>
                <w:sz w:val="22"/>
                <w:szCs w:val="22"/>
              </w:rPr>
            </w:pPr>
          </w:p>
          <w:p w:rsidR="00205B8D" w:rsidRPr="006422F3" w:rsidRDefault="00B543E6" w:rsidP="006422F3">
            <w:pPr>
              <w:jc w:val="both"/>
              <w:rPr>
                <w:b/>
                <w:sz w:val="22"/>
                <w:szCs w:val="22"/>
              </w:rPr>
            </w:pPr>
            <w:r w:rsidRPr="006422F3">
              <w:rPr>
                <w:b/>
                <w:sz w:val="22"/>
                <w:szCs w:val="22"/>
              </w:rPr>
              <w:t>Indicator 1.1.2</w:t>
            </w:r>
            <w:r w:rsidR="00285666" w:rsidRPr="006422F3">
              <w:rPr>
                <w:b/>
                <w:sz w:val="22"/>
                <w:szCs w:val="22"/>
              </w:rPr>
              <w:t xml:space="preserve"> # of schools monitored</w:t>
            </w:r>
            <w:r w:rsidR="00205B8D" w:rsidRPr="006422F3">
              <w:rPr>
                <w:b/>
                <w:sz w:val="22"/>
                <w:szCs w:val="22"/>
              </w:rPr>
              <w:t xml:space="preserve"> </w:t>
            </w:r>
          </w:p>
          <w:p w:rsidR="00A71B5E" w:rsidRPr="006422F3" w:rsidRDefault="00A71B5E" w:rsidP="006422F3">
            <w:pPr>
              <w:jc w:val="both"/>
              <w:rPr>
                <w:b/>
                <w:sz w:val="22"/>
                <w:szCs w:val="22"/>
              </w:rPr>
            </w:pPr>
          </w:p>
          <w:p w:rsidR="00B543E6" w:rsidRPr="006422F3" w:rsidRDefault="00B543E6" w:rsidP="006422F3">
            <w:pPr>
              <w:jc w:val="both"/>
              <w:rPr>
                <w:b/>
                <w:sz w:val="22"/>
                <w:szCs w:val="22"/>
              </w:rPr>
            </w:pPr>
            <w:r w:rsidRPr="006422F3">
              <w:rPr>
                <w:b/>
                <w:sz w:val="22"/>
                <w:szCs w:val="22"/>
              </w:rPr>
              <w:t>Baseline:</w:t>
            </w:r>
            <w:r w:rsidR="00D0105B" w:rsidRPr="006422F3">
              <w:rPr>
                <w:b/>
                <w:sz w:val="22"/>
                <w:szCs w:val="22"/>
              </w:rPr>
              <w:t xml:space="preserve"> 120</w:t>
            </w:r>
          </w:p>
          <w:p w:rsidR="00205B8D" w:rsidRPr="006422F3" w:rsidRDefault="00205B8D" w:rsidP="006422F3">
            <w:pPr>
              <w:jc w:val="both"/>
              <w:rPr>
                <w:b/>
                <w:sz w:val="22"/>
                <w:szCs w:val="22"/>
              </w:rPr>
            </w:pPr>
          </w:p>
          <w:p w:rsidR="00B543E6" w:rsidRPr="006422F3" w:rsidRDefault="00B543E6" w:rsidP="006422F3">
            <w:pPr>
              <w:jc w:val="both"/>
              <w:rPr>
                <w:b/>
                <w:sz w:val="22"/>
                <w:szCs w:val="22"/>
              </w:rPr>
            </w:pPr>
            <w:r w:rsidRPr="006422F3">
              <w:rPr>
                <w:b/>
                <w:sz w:val="22"/>
                <w:szCs w:val="22"/>
              </w:rPr>
              <w:t>Planned Target:</w:t>
            </w:r>
            <w:r w:rsidR="00D0105B" w:rsidRPr="006422F3">
              <w:rPr>
                <w:b/>
                <w:sz w:val="22"/>
                <w:szCs w:val="22"/>
              </w:rPr>
              <w:t>1,547</w:t>
            </w:r>
          </w:p>
          <w:p w:rsidR="00B543E6" w:rsidRPr="006422F3" w:rsidRDefault="00B543E6" w:rsidP="00A930E6">
            <w:pPr>
              <w:pStyle w:val="BodyText"/>
              <w:jc w:val="both"/>
              <w:rPr>
                <w:rFonts w:ascii="Times New Roman" w:hAnsi="Times New Roman" w:cs="Times New Roman"/>
                <w:bCs/>
                <w:sz w:val="22"/>
                <w:szCs w:val="22"/>
              </w:rPr>
            </w:pPr>
          </w:p>
          <w:p w:rsidR="00B543E6" w:rsidRPr="006422F3" w:rsidRDefault="00B543E6" w:rsidP="00A930E6">
            <w:pPr>
              <w:pStyle w:val="BodyText"/>
              <w:jc w:val="both"/>
              <w:rPr>
                <w:rFonts w:ascii="Times New Roman" w:hAnsi="Times New Roman" w:cs="Times New Roman"/>
                <w:bCs/>
                <w:sz w:val="22"/>
                <w:szCs w:val="22"/>
              </w:rPr>
            </w:pPr>
          </w:p>
        </w:tc>
        <w:tc>
          <w:tcPr>
            <w:tcW w:w="3745" w:type="dxa"/>
            <w:shd w:val="clear" w:color="auto" w:fill="auto"/>
          </w:tcPr>
          <w:p w:rsidR="00B543E6" w:rsidRPr="006422F3" w:rsidRDefault="00B543E6" w:rsidP="00CB2273">
            <w:pPr>
              <w:pStyle w:val="BodyText"/>
              <w:jc w:val="both"/>
              <w:rPr>
                <w:rFonts w:ascii="Times New Roman" w:hAnsi="Times New Roman" w:cs="Times New Roman"/>
                <w:bCs/>
                <w:sz w:val="22"/>
                <w:szCs w:val="22"/>
              </w:rPr>
            </w:pPr>
          </w:p>
          <w:p w:rsidR="00205B8D" w:rsidRPr="006422F3" w:rsidRDefault="00205B8D" w:rsidP="00015581">
            <w:pPr>
              <w:pStyle w:val="BodyText"/>
              <w:jc w:val="both"/>
              <w:rPr>
                <w:rFonts w:ascii="Times New Roman" w:hAnsi="Times New Roman" w:cs="Times New Roman"/>
                <w:bCs/>
                <w:sz w:val="22"/>
                <w:szCs w:val="22"/>
              </w:rPr>
            </w:pPr>
          </w:p>
          <w:p w:rsidR="00205B8D" w:rsidRPr="006422F3" w:rsidRDefault="00205B8D" w:rsidP="00015581">
            <w:pPr>
              <w:pStyle w:val="BodyText"/>
              <w:jc w:val="both"/>
              <w:rPr>
                <w:rFonts w:ascii="Times New Roman" w:hAnsi="Times New Roman" w:cs="Times New Roman"/>
                <w:bCs/>
                <w:sz w:val="22"/>
                <w:szCs w:val="22"/>
              </w:rPr>
            </w:pPr>
          </w:p>
          <w:p w:rsidR="00205B8D" w:rsidRPr="006422F3" w:rsidRDefault="00205B8D" w:rsidP="00302A2E">
            <w:pPr>
              <w:pStyle w:val="BodyText"/>
              <w:jc w:val="both"/>
              <w:rPr>
                <w:rFonts w:ascii="Times New Roman" w:hAnsi="Times New Roman" w:cs="Times New Roman"/>
                <w:bCs/>
                <w:sz w:val="22"/>
                <w:szCs w:val="22"/>
              </w:rPr>
            </w:pPr>
          </w:p>
        </w:tc>
        <w:tc>
          <w:tcPr>
            <w:tcW w:w="3960" w:type="dxa"/>
            <w:shd w:val="clear" w:color="auto" w:fill="auto"/>
          </w:tcPr>
          <w:p w:rsidR="00B543E6" w:rsidRPr="006422F3" w:rsidRDefault="00B543E6" w:rsidP="00273F09">
            <w:pPr>
              <w:pStyle w:val="BodyText"/>
              <w:jc w:val="both"/>
              <w:rPr>
                <w:rFonts w:ascii="Times New Roman" w:hAnsi="Times New Roman" w:cs="Times New Roman"/>
                <w:bCs/>
                <w:sz w:val="22"/>
                <w:szCs w:val="22"/>
              </w:rPr>
            </w:pPr>
          </w:p>
        </w:tc>
        <w:tc>
          <w:tcPr>
            <w:tcW w:w="3150" w:type="dxa"/>
            <w:shd w:val="clear" w:color="auto" w:fill="auto"/>
          </w:tcPr>
          <w:p w:rsidR="00B543E6" w:rsidRPr="006422F3" w:rsidRDefault="00A71B5E" w:rsidP="00273F09">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Activity Report</w:t>
            </w:r>
          </w:p>
        </w:tc>
      </w:tr>
      <w:tr w:rsidR="00B543E6" w:rsidRPr="006422F3" w:rsidTr="00D460BE">
        <w:tc>
          <w:tcPr>
            <w:tcW w:w="4265" w:type="dxa"/>
            <w:vMerge/>
            <w:shd w:val="clear" w:color="auto" w:fill="auto"/>
          </w:tcPr>
          <w:p w:rsidR="00B543E6" w:rsidRPr="006422F3" w:rsidRDefault="00B543E6" w:rsidP="006422F3">
            <w:pPr>
              <w:pStyle w:val="BodyText"/>
              <w:jc w:val="both"/>
              <w:rPr>
                <w:rFonts w:ascii="Times New Roman" w:hAnsi="Times New Roman" w:cs="Times New Roman"/>
                <w:bCs/>
                <w:sz w:val="22"/>
                <w:szCs w:val="22"/>
              </w:rPr>
            </w:pPr>
          </w:p>
        </w:tc>
        <w:tc>
          <w:tcPr>
            <w:tcW w:w="3745" w:type="dxa"/>
            <w:shd w:val="clear" w:color="auto" w:fill="auto"/>
          </w:tcPr>
          <w:p w:rsidR="00B543E6" w:rsidRPr="006422F3" w:rsidRDefault="00B543E6" w:rsidP="006422F3">
            <w:pPr>
              <w:pStyle w:val="BodyText"/>
              <w:jc w:val="both"/>
              <w:rPr>
                <w:rFonts w:ascii="Times New Roman" w:hAnsi="Times New Roman" w:cs="Times New Roman"/>
                <w:bCs/>
                <w:sz w:val="22"/>
                <w:szCs w:val="22"/>
              </w:rPr>
            </w:pPr>
          </w:p>
          <w:p w:rsidR="00D0105B" w:rsidRPr="006422F3" w:rsidRDefault="00D0105B" w:rsidP="006422F3">
            <w:pPr>
              <w:pStyle w:val="BodyText"/>
              <w:jc w:val="both"/>
              <w:rPr>
                <w:rFonts w:ascii="Times New Roman" w:hAnsi="Times New Roman" w:cs="Times New Roman"/>
                <w:bCs/>
                <w:sz w:val="22"/>
                <w:szCs w:val="22"/>
              </w:rPr>
            </w:pPr>
          </w:p>
          <w:p w:rsidR="007D1983" w:rsidRPr="006422F3" w:rsidRDefault="007D1983" w:rsidP="006422F3">
            <w:pPr>
              <w:jc w:val="both"/>
              <w:rPr>
                <w:sz w:val="22"/>
                <w:szCs w:val="22"/>
              </w:rPr>
            </w:pPr>
            <w:r w:rsidRPr="006422F3">
              <w:rPr>
                <w:sz w:val="22"/>
                <w:szCs w:val="22"/>
              </w:rPr>
              <w:t>126</w:t>
            </w:r>
          </w:p>
          <w:p w:rsidR="007D1983" w:rsidRPr="006422F3" w:rsidRDefault="007D1983" w:rsidP="006422F3">
            <w:pPr>
              <w:jc w:val="both"/>
              <w:rPr>
                <w:sz w:val="22"/>
                <w:szCs w:val="22"/>
              </w:rPr>
            </w:pPr>
          </w:p>
          <w:p w:rsidR="007D1983" w:rsidRPr="006422F3" w:rsidRDefault="007D1983" w:rsidP="006422F3">
            <w:pPr>
              <w:jc w:val="both"/>
              <w:rPr>
                <w:sz w:val="22"/>
                <w:szCs w:val="22"/>
              </w:rPr>
            </w:pPr>
          </w:p>
          <w:p w:rsidR="007D1983" w:rsidRPr="006422F3" w:rsidRDefault="007D1983" w:rsidP="006422F3">
            <w:pPr>
              <w:jc w:val="both"/>
              <w:rPr>
                <w:sz w:val="22"/>
                <w:szCs w:val="22"/>
              </w:rPr>
            </w:pPr>
          </w:p>
          <w:p w:rsidR="007D1983" w:rsidRPr="006422F3" w:rsidRDefault="007D1983" w:rsidP="006422F3">
            <w:pPr>
              <w:jc w:val="both"/>
              <w:rPr>
                <w:sz w:val="22"/>
                <w:szCs w:val="22"/>
              </w:rPr>
            </w:pPr>
          </w:p>
          <w:p w:rsidR="007D1983" w:rsidRPr="006422F3" w:rsidRDefault="004413AE" w:rsidP="006422F3">
            <w:pPr>
              <w:jc w:val="both"/>
              <w:rPr>
                <w:sz w:val="22"/>
                <w:szCs w:val="22"/>
              </w:rPr>
            </w:pPr>
            <w:r w:rsidRPr="006422F3">
              <w:rPr>
                <w:sz w:val="22"/>
                <w:szCs w:val="22"/>
              </w:rPr>
              <w:t>740</w:t>
            </w:r>
          </w:p>
          <w:p w:rsidR="00D0105B" w:rsidRPr="006422F3" w:rsidRDefault="00D0105B" w:rsidP="00A930E6">
            <w:pPr>
              <w:pStyle w:val="BodyText"/>
              <w:jc w:val="both"/>
              <w:rPr>
                <w:rFonts w:ascii="Times New Roman" w:hAnsi="Times New Roman" w:cs="Times New Roman"/>
                <w:bCs/>
                <w:sz w:val="22"/>
                <w:szCs w:val="22"/>
              </w:rPr>
            </w:pPr>
          </w:p>
        </w:tc>
        <w:tc>
          <w:tcPr>
            <w:tcW w:w="3960" w:type="dxa"/>
            <w:shd w:val="clear" w:color="auto" w:fill="auto"/>
          </w:tcPr>
          <w:p w:rsidR="00D0105B" w:rsidRPr="006422F3" w:rsidRDefault="00D0105B" w:rsidP="00A930E6">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Same reason as stated in the outcome</w:t>
            </w:r>
          </w:p>
          <w:p w:rsidR="004413AE" w:rsidRPr="006422F3" w:rsidRDefault="004413AE" w:rsidP="00CB2273">
            <w:pPr>
              <w:pStyle w:val="BodyText"/>
              <w:jc w:val="both"/>
              <w:rPr>
                <w:rFonts w:ascii="Times New Roman" w:hAnsi="Times New Roman" w:cs="Times New Roman"/>
                <w:bCs/>
                <w:sz w:val="22"/>
                <w:szCs w:val="22"/>
              </w:rPr>
            </w:pPr>
          </w:p>
          <w:p w:rsidR="004413AE" w:rsidRPr="006422F3" w:rsidRDefault="004413AE" w:rsidP="00015581">
            <w:pPr>
              <w:pStyle w:val="BodyText"/>
              <w:jc w:val="both"/>
              <w:rPr>
                <w:rFonts w:ascii="Times New Roman" w:hAnsi="Times New Roman" w:cs="Times New Roman"/>
                <w:bCs/>
                <w:sz w:val="22"/>
                <w:szCs w:val="22"/>
              </w:rPr>
            </w:pPr>
          </w:p>
          <w:p w:rsidR="004413AE" w:rsidRPr="006422F3" w:rsidRDefault="004413AE" w:rsidP="00015581">
            <w:pPr>
              <w:pStyle w:val="BodyText"/>
              <w:jc w:val="both"/>
              <w:rPr>
                <w:rFonts w:ascii="Times New Roman" w:hAnsi="Times New Roman" w:cs="Times New Roman"/>
                <w:bCs/>
                <w:sz w:val="22"/>
                <w:szCs w:val="22"/>
              </w:rPr>
            </w:pPr>
          </w:p>
          <w:p w:rsidR="004413AE" w:rsidRPr="006422F3" w:rsidRDefault="004413AE" w:rsidP="00302A2E">
            <w:pPr>
              <w:pStyle w:val="BodyText"/>
              <w:jc w:val="both"/>
              <w:rPr>
                <w:rFonts w:ascii="Times New Roman" w:hAnsi="Times New Roman" w:cs="Times New Roman"/>
                <w:bCs/>
                <w:sz w:val="22"/>
                <w:szCs w:val="22"/>
              </w:rPr>
            </w:pPr>
          </w:p>
          <w:p w:rsidR="004413AE" w:rsidRPr="006422F3" w:rsidRDefault="004413AE" w:rsidP="00273F09">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Same reason as stated in the outcome</w:t>
            </w:r>
          </w:p>
        </w:tc>
        <w:tc>
          <w:tcPr>
            <w:tcW w:w="3150" w:type="dxa"/>
            <w:shd w:val="clear" w:color="auto" w:fill="auto"/>
          </w:tcPr>
          <w:p w:rsidR="00B543E6" w:rsidRPr="006422F3" w:rsidRDefault="00D0105B" w:rsidP="00273F09">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Monitoring report</w:t>
            </w:r>
          </w:p>
          <w:p w:rsidR="004413AE" w:rsidRPr="006422F3" w:rsidRDefault="004413AE" w:rsidP="00273F09">
            <w:pPr>
              <w:pStyle w:val="BodyText"/>
              <w:jc w:val="both"/>
              <w:rPr>
                <w:rFonts w:ascii="Times New Roman" w:hAnsi="Times New Roman" w:cs="Times New Roman"/>
                <w:bCs/>
                <w:sz w:val="22"/>
                <w:szCs w:val="22"/>
              </w:rPr>
            </w:pPr>
          </w:p>
          <w:p w:rsidR="004413AE" w:rsidRPr="006422F3" w:rsidRDefault="004413AE" w:rsidP="00011FCE">
            <w:pPr>
              <w:pStyle w:val="BodyText"/>
              <w:jc w:val="both"/>
              <w:rPr>
                <w:rFonts w:ascii="Times New Roman" w:hAnsi="Times New Roman" w:cs="Times New Roman"/>
                <w:bCs/>
                <w:sz w:val="22"/>
                <w:szCs w:val="22"/>
              </w:rPr>
            </w:pPr>
          </w:p>
          <w:p w:rsidR="004413AE" w:rsidRPr="006422F3" w:rsidRDefault="004413AE" w:rsidP="00011FCE">
            <w:pPr>
              <w:pStyle w:val="BodyText"/>
              <w:jc w:val="both"/>
              <w:rPr>
                <w:rFonts w:ascii="Times New Roman" w:hAnsi="Times New Roman" w:cs="Times New Roman"/>
                <w:bCs/>
                <w:sz w:val="22"/>
                <w:szCs w:val="22"/>
              </w:rPr>
            </w:pPr>
          </w:p>
          <w:p w:rsidR="004413AE" w:rsidRPr="006422F3" w:rsidRDefault="004413AE" w:rsidP="0065431D">
            <w:pPr>
              <w:pStyle w:val="BodyText"/>
              <w:jc w:val="both"/>
              <w:rPr>
                <w:rFonts w:ascii="Times New Roman" w:hAnsi="Times New Roman" w:cs="Times New Roman"/>
                <w:bCs/>
                <w:sz w:val="22"/>
                <w:szCs w:val="22"/>
              </w:rPr>
            </w:pPr>
          </w:p>
          <w:p w:rsidR="004413AE" w:rsidRPr="006422F3" w:rsidRDefault="004413AE" w:rsidP="0065431D">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Monitoring report</w:t>
            </w:r>
          </w:p>
        </w:tc>
      </w:tr>
      <w:tr w:rsidR="00B543E6" w:rsidRPr="006422F3" w:rsidTr="00D460BE">
        <w:trPr>
          <w:trHeight w:val="1353"/>
        </w:trPr>
        <w:tc>
          <w:tcPr>
            <w:tcW w:w="4265" w:type="dxa"/>
            <w:vMerge w:val="restart"/>
            <w:shd w:val="clear" w:color="auto" w:fill="auto"/>
          </w:tcPr>
          <w:p w:rsidR="00B543E6" w:rsidRPr="006422F3" w:rsidRDefault="00B543E6" w:rsidP="006422F3">
            <w:pPr>
              <w:autoSpaceDE w:val="0"/>
              <w:autoSpaceDN w:val="0"/>
              <w:adjustRightInd w:val="0"/>
              <w:jc w:val="both"/>
              <w:rPr>
                <w:sz w:val="22"/>
                <w:szCs w:val="22"/>
              </w:rPr>
            </w:pPr>
            <w:r w:rsidRPr="006422F3">
              <w:rPr>
                <w:b/>
                <w:sz w:val="22"/>
                <w:szCs w:val="22"/>
              </w:rPr>
              <w:t>Output 1.2</w:t>
            </w:r>
            <w:r w:rsidRPr="006422F3">
              <w:rPr>
                <w:sz w:val="22"/>
                <w:szCs w:val="22"/>
              </w:rPr>
              <w:t xml:space="preserve"> </w:t>
            </w:r>
            <w:r w:rsidR="00E609B6" w:rsidRPr="006422F3">
              <w:rPr>
                <w:sz w:val="22"/>
                <w:szCs w:val="22"/>
              </w:rPr>
              <w:t>Child Friendly Schooling initiative in 40 primary schools, targeting   11,800 children (half of them girls) in the Pujehun and Tonkolili Districts</w:t>
            </w:r>
          </w:p>
          <w:p w:rsidR="00285666" w:rsidRPr="006422F3" w:rsidRDefault="00285666" w:rsidP="006422F3">
            <w:pPr>
              <w:jc w:val="both"/>
              <w:rPr>
                <w:b/>
                <w:sz w:val="22"/>
                <w:szCs w:val="22"/>
              </w:rPr>
            </w:pPr>
          </w:p>
          <w:p w:rsidR="008E2145" w:rsidRPr="006422F3" w:rsidRDefault="008E2145" w:rsidP="006422F3">
            <w:pPr>
              <w:jc w:val="both"/>
              <w:rPr>
                <w:b/>
                <w:sz w:val="22"/>
                <w:szCs w:val="22"/>
              </w:rPr>
            </w:pPr>
          </w:p>
          <w:p w:rsidR="007950DE" w:rsidRPr="006422F3" w:rsidRDefault="00B543E6" w:rsidP="006422F3">
            <w:pPr>
              <w:jc w:val="both"/>
              <w:rPr>
                <w:b/>
                <w:sz w:val="22"/>
                <w:szCs w:val="22"/>
              </w:rPr>
            </w:pPr>
            <w:r w:rsidRPr="006422F3">
              <w:rPr>
                <w:b/>
                <w:sz w:val="22"/>
                <w:szCs w:val="22"/>
              </w:rPr>
              <w:t>Indicator  1.2.1</w:t>
            </w:r>
            <w:r w:rsidR="007950DE" w:rsidRPr="006422F3">
              <w:rPr>
                <w:b/>
                <w:sz w:val="22"/>
                <w:szCs w:val="22"/>
              </w:rPr>
              <w:t xml:space="preserve">  #  of schools supported to roll out CFS</w:t>
            </w:r>
          </w:p>
          <w:p w:rsidR="007950DE" w:rsidRPr="006422F3" w:rsidRDefault="007950DE" w:rsidP="006422F3">
            <w:pPr>
              <w:jc w:val="both"/>
              <w:rPr>
                <w:b/>
                <w:sz w:val="22"/>
                <w:szCs w:val="22"/>
              </w:rPr>
            </w:pPr>
          </w:p>
          <w:p w:rsidR="00B543E6" w:rsidRPr="006422F3" w:rsidRDefault="00B543E6" w:rsidP="006422F3">
            <w:pPr>
              <w:jc w:val="both"/>
              <w:rPr>
                <w:b/>
                <w:sz w:val="22"/>
                <w:szCs w:val="22"/>
              </w:rPr>
            </w:pPr>
            <w:r w:rsidRPr="006422F3">
              <w:rPr>
                <w:b/>
                <w:sz w:val="22"/>
                <w:szCs w:val="22"/>
              </w:rPr>
              <w:t>Planned Target:</w:t>
            </w:r>
            <w:r w:rsidR="00E609B6" w:rsidRPr="006422F3">
              <w:rPr>
                <w:b/>
                <w:sz w:val="22"/>
                <w:szCs w:val="22"/>
              </w:rPr>
              <w:t xml:space="preserve"> 40</w:t>
            </w:r>
          </w:p>
          <w:p w:rsidR="00B543E6" w:rsidRPr="006422F3" w:rsidRDefault="00B543E6" w:rsidP="006422F3">
            <w:pPr>
              <w:jc w:val="both"/>
              <w:rPr>
                <w:sz w:val="22"/>
                <w:szCs w:val="22"/>
              </w:rPr>
            </w:pPr>
          </w:p>
          <w:p w:rsidR="00B543E6" w:rsidRPr="006422F3" w:rsidRDefault="00B543E6" w:rsidP="006422F3">
            <w:pPr>
              <w:jc w:val="both"/>
              <w:rPr>
                <w:sz w:val="22"/>
                <w:szCs w:val="22"/>
              </w:rPr>
            </w:pPr>
          </w:p>
          <w:p w:rsidR="00B543E6" w:rsidRPr="006422F3" w:rsidRDefault="00B543E6" w:rsidP="006422F3">
            <w:pPr>
              <w:jc w:val="both"/>
              <w:rPr>
                <w:b/>
                <w:sz w:val="22"/>
                <w:szCs w:val="22"/>
              </w:rPr>
            </w:pPr>
            <w:r w:rsidRPr="006422F3">
              <w:rPr>
                <w:b/>
                <w:sz w:val="22"/>
                <w:szCs w:val="22"/>
              </w:rPr>
              <w:t>Indicator 1.2.2</w:t>
            </w:r>
            <w:r w:rsidR="00E609B6" w:rsidRPr="006422F3">
              <w:rPr>
                <w:b/>
                <w:sz w:val="22"/>
                <w:szCs w:val="22"/>
              </w:rPr>
              <w:t xml:space="preserve"> # of children benefiting from CFS</w:t>
            </w:r>
          </w:p>
          <w:p w:rsidR="00B543E6" w:rsidRPr="006422F3" w:rsidRDefault="00B543E6" w:rsidP="006422F3">
            <w:pPr>
              <w:jc w:val="both"/>
              <w:rPr>
                <w:b/>
                <w:sz w:val="22"/>
                <w:szCs w:val="22"/>
              </w:rPr>
            </w:pPr>
            <w:r w:rsidRPr="006422F3">
              <w:rPr>
                <w:b/>
                <w:sz w:val="22"/>
                <w:szCs w:val="22"/>
              </w:rPr>
              <w:t>Baseline:</w:t>
            </w:r>
            <w:r w:rsidR="00E609B6" w:rsidRPr="006422F3">
              <w:rPr>
                <w:b/>
                <w:sz w:val="22"/>
                <w:szCs w:val="22"/>
              </w:rPr>
              <w:t xml:space="preserve"> 0</w:t>
            </w:r>
          </w:p>
          <w:p w:rsidR="00B543E6" w:rsidRPr="006422F3" w:rsidRDefault="00B543E6" w:rsidP="006422F3">
            <w:pPr>
              <w:jc w:val="both"/>
              <w:rPr>
                <w:b/>
                <w:sz w:val="22"/>
                <w:szCs w:val="22"/>
              </w:rPr>
            </w:pPr>
            <w:r w:rsidRPr="006422F3">
              <w:rPr>
                <w:b/>
                <w:sz w:val="22"/>
                <w:szCs w:val="22"/>
              </w:rPr>
              <w:t>Planned Target:</w:t>
            </w:r>
            <w:r w:rsidR="00205B8D" w:rsidRPr="006422F3">
              <w:rPr>
                <w:b/>
                <w:sz w:val="22"/>
                <w:szCs w:val="22"/>
              </w:rPr>
              <w:t xml:space="preserve"> 11,5</w:t>
            </w:r>
            <w:r w:rsidR="00E609B6" w:rsidRPr="006422F3">
              <w:rPr>
                <w:b/>
                <w:sz w:val="22"/>
                <w:szCs w:val="22"/>
              </w:rPr>
              <w:t>00</w:t>
            </w:r>
          </w:p>
          <w:p w:rsidR="00B543E6" w:rsidRPr="006422F3" w:rsidRDefault="00B543E6" w:rsidP="00A930E6">
            <w:pPr>
              <w:pStyle w:val="BodyText"/>
              <w:jc w:val="both"/>
              <w:rPr>
                <w:rFonts w:ascii="Times New Roman" w:hAnsi="Times New Roman" w:cs="Times New Roman"/>
                <w:bCs/>
                <w:sz w:val="22"/>
                <w:szCs w:val="22"/>
              </w:rPr>
            </w:pPr>
          </w:p>
          <w:p w:rsidR="004413AE" w:rsidRPr="006422F3" w:rsidRDefault="004413AE" w:rsidP="006422F3">
            <w:pPr>
              <w:jc w:val="both"/>
              <w:rPr>
                <w:b/>
                <w:sz w:val="22"/>
                <w:szCs w:val="22"/>
              </w:rPr>
            </w:pPr>
          </w:p>
          <w:p w:rsidR="008301D8" w:rsidRPr="006422F3" w:rsidRDefault="00E609B6" w:rsidP="006422F3">
            <w:pPr>
              <w:jc w:val="both"/>
              <w:rPr>
                <w:b/>
                <w:sz w:val="22"/>
                <w:szCs w:val="22"/>
              </w:rPr>
            </w:pPr>
            <w:r w:rsidRPr="006422F3">
              <w:rPr>
                <w:b/>
                <w:sz w:val="22"/>
                <w:szCs w:val="22"/>
              </w:rPr>
              <w:t xml:space="preserve">Output. </w:t>
            </w:r>
            <w:r w:rsidRPr="006422F3">
              <w:rPr>
                <w:sz w:val="22"/>
                <w:szCs w:val="22"/>
              </w:rPr>
              <w:t>Celebration of the First International Day of the Girl-child on October 11, 2012</w:t>
            </w:r>
          </w:p>
          <w:p w:rsidR="008301D8" w:rsidRPr="006422F3" w:rsidRDefault="008301D8" w:rsidP="006422F3">
            <w:pPr>
              <w:jc w:val="both"/>
              <w:rPr>
                <w:b/>
                <w:sz w:val="22"/>
                <w:szCs w:val="22"/>
              </w:rPr>
            </w:pPr>
            <w:r w:rsidRPr="006422F3">
              <w:rPr>
                <w:b/>
                <w:sz w:val="22"/>
                <w:szCs w:val="22"/>
              </w:rPr>
              <w:t>Indicator:</w:t>
            </w:r>
            <w:r w:rsidR="00E609B6" w:rsidRPr="006422F3">
              <w:rPr>
                <w:b/>
                <w:sz w:val="22"/>
                <w:szCs w:val="22"/>
              </w:rPr>
              <w:t xml:space="preserve"> </w:t>
            </w:r>
            <w:r w:rsidR="00E77CFA" w:rsidRPr="006422F3">
              <w:rPr>
                <w:b/>
                <w:sz w:val="22"/>
                <w:szCs w:val="22"/>
              </w:rPr>
              <w:t>International day of</w:t>
            </w:r>
            <w:r w:rsidR="00E609B6" w:rsidRPr="006422F3">
              <w:rPr>
                <w:b/>
                <w:sz w:val="22"/>
                <w:szCs w:val="22"/>
              </w:rPr>
              <w:t xml:space="preserve"> the girl</w:t>
            </w:r>
            <w:r w:rsidR="00E77CFA" w:rsidRPr="006422F3">
              <w:rPr>
                <w:b/>
                <w:sz w:val="22"/>
                <w:szCs w:val="22"/>
              </w:rPr>
              <w:t xml:space="preserve"> </w:t>
            </w:r>
            <w:r w:rsidR="00C92467" w:rsidRPr="006422F3">
              <w:rPr>
                <w:b/>
                <w:sz w:val="22"/>
                <w:szCs w:val="22"/>
              </w:rPr>
              <w:t xml:space="preserve">child </w:t>
            </w:r>
            <w:r w:rsidR="00E77CFA" w:rsidRPr="006422F3">
              <w:rPr>
                <w:b/>
                <w:sz w:val="22"/>
                <w:szCs w:val="22"/>
              </w:rPr>
              <w:t xml:space="preserve">celebrated? </w:t>
            </w:r>
            <w:r w:rsidR="00C92467" w:rsidRPr="006422F3">
              <w:rPr>
                <w:b/>
                <w:sz w:val="22"/>
                <w:szCs w:val="22"/>
              </w:rPr>
              <w:t>yes/no</w:t>
            </w:r>
          </w:p>
          <w:p w:rsidR="00205B8D" w:rsidRPr="006422F3" w:rsidRDefault="00205B8D" w:rsidP="006422F3">
            <w:pPr>
              <w:jc w:val="both"/>
              <w:rPr>
                <w:b/>
                <w:sz w:val="22"/>
                <w:szCs w:val="22"/>
              </w:rPr>
            </w:pPr>
          </w:p>
          <w:p w:rsidR="004413AE" w:rsidRPr="006422F3" w:rsidRDefault="004413AE" w:rsidP="006422F3">
            <w:pPr>
              <w:jc w:val="both"/>
              <w:rPr>
                <w:b/>
                <w:sz w:val="22"/>
                <w:szCs w:val="22"/>
              </w:rPr>
            </w:pPr>
          </w:p>
          <w:p w:rsidR="007950DE" w:rsidRPr="006422F3" w:rsidRDefault="007950DE" w:rsidP="006422F3">
            <w:pPr>
              <w:jc w:val="both"/>
              <w:rPr>
                <w:b/>
                <w:sz w:val="22"/>
                <w:szCs w:val="22"/>
              </w:rPr>
            </w:pPr>
            <w:r w:rsidRPr="006422F3">
              <w:rPr>
                <w:b/>
                <w:sz w:val="22"/>
                <w:szCs w:val="22"/>
              </w:rPr>
              <w:t xml:space="preserve">No. of girls reached during the </w:t>
            </w:r>
            <w:r w:rsidR="008E2145" w:rsidRPr="006422F3">
              <w:rPr>
                <w:b/>
                <w:sz w:val="22"/>
                <w:szCs w:val="22"/>
              </w:rPr>
              <w:t>celebration</w:t>
            </w:r>
          </w:p>
          <w:p w:rsidR="008301D8" w:rsidRPr="006422F3" w:rsidRDefault="008301D8" w:rsidP="006422F3">
            <w:pPr>
              <w:jc w:val="both"/>
              <w:rPr>
                <w:b/>
                <w:sz w:val="22"/>
                <w:szCs w:val="22"/>
              </w:rPr>
            </w:pPr>
            <w:r w:rsidRPr="006422F3">
              <w:rPr>
                <w:b/>
                <w:sz w:val="22"/>
                <w:szCs w:val="22"/>
              </w:rPr>
              <w:t xml:space="preserve"> </w:t>
            </w:r>
          </w:p>
          <w:p w:rsidR="008301D8" w:rsidRPr="006422F3" w:rsidRDefault="008301D8" w:rsidP="006422F3">
            <w:pPr>
              <w:jc w:val="both"/>
              <w:rPr>
                <w:b/>
                <w:sz w:val="22"/>
                <w:szCs w:val="22"/>
              </w:rPr>
            </w:pPr>
            <w:r w:rsidRPr="006422F3">
              <w:rPr>
                <w:b/>
                <w:sz w:val="22"/>
                <w:szCs w:val="22"/>
              </w:rPr>
              <w:t>Baseline: 0</w:t>
            </w:r>
          </w:p>
          <w:p w:rsidR="00B543E6" w:rsidRPr="006422F3" w:rsidRDefault="008301D8" w:rsidP="006422F3">
            <w:pPr>
              <w:jc w:val="both"/>
              <w:rPr>
                <w:b/>
                <w:sz w:val="22"/>
                <w:szCs w:val="22"/>
              </w:rPr>
            </w:pPr>
            <w:r w:rsidRPr="006422F3">
              <w:rPr>
                <w:b/>
                <w:sz w:val="22"/>
                <w:szCs w:val="22"/>
              </w:rPr>
              <w:t xml:space="preserve">Planned Target: </w:t>
            </w:r>
            <w:r w:rsidR="00205B8D" w:rsidRPr="006422F3">
              <w:rPr>
                <w:b/>
                <w:sz w:val="22"/>
                <w:szCs w:val="22"/>
              </w:rPr>
              <w:t>4,000</w:t>
            </w:r>
          </w:p>
          <w:p w:rsidR="00C92467" w:rsidRPr="006422F3" w:rsidRDefault="00C92467" w:rsidP="006422F3">
            <w:pPr>
              <w:jc w:val="both"/>
              <w:rPr>
                <w:b/>
                <w:sz w:val="22"/>
                <w:szCs w:val="22"/>
              </w:rPr>
            </w:pPr>
          </w:p>
          <w:p w:rsidR="002974D5" w:rsidRPr="006422F3" w:rsidRDefault="00C92467" w:rsidP="006422F3">
            <w:pPr>
              <w:pStyle w:val="ListParagraph"/>
              <w:ind w:left="0"/>
              <w:contextualSpacing w:val="0"/>
              <w:jc w:val="both"/>
              <w:rPr>
                <w:sz w:val="22"/>
                <w:szCs w:val="22"/>
              </w:rPr>
            </w:pPr>
            <w:r w:rsidRPr="006422F3">
              <w:rPr>
                <w:b/>
                <w:sz w:val="22"/>
                <w:szCs w:val="22"/>
              </w:rPr>
              <w:t xml:space="preserve">Output. </w:t>
            </w:r>
            <w:r w:rsidR="002974D5" w:rsidRPr="006422F3">
              <w:rPr>
                <w:sz w:val="22"/>
                <w:szCs w:val="22"/>
              </w:rPr>
              <w:t>– support 82 chiefdoms to develop  community action plans to ensure Out Develop and implement 82 Chiefdom action plans from six chiefdoms                    Bo, Bonthe, Pujehun, Moyamba, Kenema and Kailahun</w:t>
            </w:r>
          </w:p>
          <w:p w:rsidR="008E2145" w:rsidRPr="006422F3" w:rsidRDefault="008E2145" w:rsidP="006422F3">
            <w:pPr>
              <w:pStyle w:val="ListParagraph"/>
              <w:ind w:left="0"/>
              <w:contextualSpacing w:val="0"/>
              <w:jc w:val="both"/>
              <w:rPr>
                <w:sz w:val="22"/>
                <w:szCs w:val="22"/>
              </w:rPr>
            </w:pPr>
          </w:p>
          <w:p w:rsidR="008E2145" w:rsidRPr="006422F3" w:rsidRDefault="008E2145" w:rsidP="006422F3">
            <w:pPr>
              <w:pStyle w:val="ListParagraph"/>
              <w:ind w:left="0"/>
              <w:contextualSpacing w:val="0"/>
              <w:jc w:val="both"/>
              <w:rPr>
                <w:sz w:val="22"/>
                <w:szCs w:val="22"/>
              </w:rPr>
            </w:pPr>
            <w:r w:rsidRPr="006422F3">
              <w:rPr>
                <w:sz w:val="22"/>
                <w:szCs w:val="22"/>
              </w:rPr>
              <w:t>Indicator- No of chiefdoms with approved plans of action</w:t>
            </w:r>
          </w:p>
          <w:p w:rsidR="00D0105B" w:rsidRPr="006422F3" w:rsidRDefault="00D0105B" w:rsidP="006422F3">
            <w:pPr>
              <w:pStyle w:val="ListParagraph"/>
              <w:ind w:left="0"/>
              <w:contextualSpacing w:val="0"/>
              <w:jc w:val="both"/>
              <w:rPr>
                <w:sz w:val="22"/>
                <w:szCs w:val="22"/>
              </w:rPr>
            </w:pPr>
          </w:p>
          <w:p w:rsidR="008E2145" w:rsidRPr="006422F3" w:rsidRDefault="008E2145" w:rsidP="006422F3">
            <w:pPr>
              <w:pStyle w:val="ListParagraph"/>
              <w:ind w:left="0"/>
              <w:contextualSpacing w:val="0"/>
              <w:jc w:val="both"/>
              <w:rPr>
                <w:sz w:val="22"/>
                <w:szCs w:val="22"/>
              </w:rPr>
            </w:pPr>
            <w:r w:rsidRPr="006422F3">
              <w:rPr>
                <w:sz w:val="22"/>
                <w:szCs w:val="22"/>
              </w:rPr>
              <w:t>Baseline</w:t>
            </w:r>
            <w:r w:rsidR="006155E8" w:rsidRPr="006422F3">
              <w:rPr>
                <w:sz w:val="22"/>
                <w:szCs w:val="22"/>
              </w:rPr>
              <w:t xml:space="preserve"> 500</w:t>
            </w:r>
          </w:p>
          <w:p w:rsidR="008E2145" w:rsidRPr="006422F3" w:rsidRDefault="008E2145" w:rsidP="006422F3">
            <w:pPr>
              <w:pStyle w:val="ListParagraph"/>
              <w:ind w:left="0"/>
              <w:contextualSpacing w:val="0"/>
              <w:jc w:val="both"/>
              <w:rPr>
                <w:sz w:val="22"/>
                <w:szCs w:val="22"/>
              </w:rPr>
            </w:pPr>
            <w:r w:rsidRPr="006422F3">
              <w:rPr>
                <w:sz w:val="22"/>
                <w:szCs w:val="22"/>
              </w:rPr>
              <w:t xml:space="preserve">Target: </w:t>
            </w:r>
            <w:r w:rsidR="006155E8" w:rsidRPr="006422F3">
              <w:rPr>
                <w:sz w:val="22"/>
                <w:szCs w:val="22"/>
              </w:rPr>
              <w:t>582</w:t>
            </w:r>
          </w:p>
          <w:p w:rsidR="00C92467" w:rsidRPr="006422F3" w:rsidRDefault="00C92467" w:rsidP="006422F3">
            <w:pPr>
              <w:jc w:val="both"/>
              <w:rPr>
                <w:bCs/>
                <w:sz w:val="22"/>
                <w:szCs w:val="22"/>
              </w:rPr>
            </w:pPr>
          </w:p>
        </w:tc>
        <w:tc>
          <w:tcPr>
            <w:tcW w:w="3745" w:type="dxa"/>
            <w:shd w:val="clear" w:color="auto" w:fill="auto"/>
          </w:tcPr>
          <w:p w:rsidR="00B543E6" w:rsidRPr="006422F3" w:rsidRDefault="00B543E6" w:rsidP="00A930E6">
            <w:pPr>
              <w:pStyle w:val="BodyText"/>
              <w:jc w:val="both"/>
              <w:rPr>
                <w:rFonts w:ascii="Times New Roman" w:hAnsi="Times New Roman" w:cs="Times New Roman"/>
                <w:bCs/>
                <w:sz w:val="22"/>
                <w:szCs w:val="22"/>
              </w:rPr>
            </w:pPr>
          </w:p>
        </w:tc>
        <w:tc>
          <w:tcPr>
            <w:tcW w:w="3960" w:type="dxa"/>
            <w:shd w:val="clear" w:color="auto" w:fill="auto"/>
          </w:tcPr>
          <w:p w:rsidR="00B543E6" w:rsidRPr="006422F3" w:rsidRDefault="00B543E6" w:rsidP="00A930E6">
            <w:pPr>
              <w:pStyle w:val="BodyText"/>
              <w:jc w:val="both"/>
              <w:rPr>
                <w:rFonts w:ascii="Times New Roman" w:hAnsi="Times New Roman" w:cs="Times New Roman"/>
                <w:bCs/>
                <w:sz w:val="22"/>
                <w:szCs w:val="22"/>
              </w:rPr>
            </w:pPr>
          </w:p>
        </w:tc>
        <w:tc>
          <w:tcPr>
            <w:tcW w:w="3150" w:type="dxa"/>
            <w:shd w:val="clear" w:color="auto" w:fill="auto"/>
          </w:tcPr>
          <w:p w:rsidR="00B543E6" w:rsidRPr="006422F3" w:rsidRDefault="00D0105B" w:rsidP="00CB2273">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Activity report</w:t>
            </w:r>
          </w:p>
        </w:tc>
      </w:tr>
      <w:tr w:rsidR="00B543E6" w:rsidRPr="006422F3" w:rsidTr="00D460BE">
        <w:tc>
          <w:tcPr>
            <w:tcW w:w="4265" w:type="dxa"/>
            <w:vMerge/>
            <w:shd w:val="clear" w:color="auto" w:fill="auto"/>
          </w:tcPr>
          <w:p w:rsidR="00B543E6" w:rsidRPr="006422F3" w:rsidRDefault="00B543E6" w:rsidP="006422F3">
            <w:pPr>
              <w:pStyle w:val="BodyText"/>
              <w:jc w:val="both"/>
              <w:rPr>
                <w:rFonts w:ascii="Times New Roman" w:hAnsi="Times New Roman" w:cs="Times New Roman"/>
                <w:bCs/>
                <w:sz w:val="22"/>
                <w:szCs w:val="22"/>
              </w:rPr>
            </w:pPr>
          </w:p>
        </w:tc>
        <w:tc>
          <w:tcPr>
            <w:tcW w:w="3745" w:type="dxa"/>
            <w:shd w:val="clear" w:color="auto" w:fill="auto"/>
          </w:tcPr>
          <w:p w:rsidR="0065431D" w:rsidRPr="0065431D" w:rsidRDefault="007950DE" w:rsidP="006422F3">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 xml:space="preserve"> </w:t>
            </w:r>
          </w:p>
          <w:p w:rsidR="0065431D" w:rsidRPr="0065431D" w:rsidRDefault="0065431D" w:rsidP="0065431D">
            <w:pPr>
              <w:pStyle w:val="BodyText"/>
              <w:jc w:val="both"/>
              <w:rPr>
                <w:rFonts w:ascii="Times New Roman" w:hAnsi="Times New Roman" w:cs="Times New Roman"/>
                <w:bCs/>
                <w:sz w:val="22"/>
                <w:szCs w:val="22"/>
              </w:rPr>
            </w:pPr>
          </w:p>
          <w:p w:rsidR="0065431D" w:rsidRPr="0065431D" w:rsidRDefault="0065431D" w:rsidP="0065431D">
            <w:pPr>
              <w:pStyle w:val="BodyText"/>
              <w:jc w:val="both"/>
              <w:rPr>
                <w:rFonts w:ascii="Times New Roman" w:hAnsi="Times New Roman" w:cs="Times New Roman"/>
                <w:bCs/>
                <w:sz w:val="22"/>
                <w:szCs w:val="22"/>
              </w:rPr>
            </w:pPr>
          </w:p>
          <w:p w:rsidR="00D0105B" w:rsidRPr="006422F3" w:rsidRDefault="007950DE" w:rsidP="0065431D">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 xml:space="preserve"> </w:t>
            </w:r>
          </w:p>
          <w:p w:rsidR="008E2145" w:rsidRPr="006422F3" w:rsidRDefault="007950DE" w:rsidP="0065431D">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 xml:space="preserve"> </w:t>
            </w:r>
            <w:r w:rsidR="008E2145" w:rsidRPr="006422F3">
              <w:rPr>
                <w:rFonts w:ascii="Times New Roman" w:hAnsi="Times New Roman" w:cs="Times New Roman"/>
                <w:bCs/>
                <w:sz w:val="22"/>
                <w:szCs w:val="22"/>
              </w:rPr>
              <w:t>40</w:t>
            </w:r>
          </w:p>
          <w:p w:rsidR="008E2145" w:rsidRPr="006422F3" w:rsidRDefault="008E2145" w:rsidP="00BF5E80">
            <w:pPr>
              <w:pStyle w:val="BodyText"/>
              <w:jc w:val="both"/>
              <w:rPr>
                <w:rFonts w:ascii="Times New Roman" w:hAnsi="Times New Roman" w:cs="Times New Roman"/>
                <w:bCs/>
                <w:sz w:val="22"/>
                <w:szCs w:val="22"/>
              </w:rPr>
            </w:pPr>
          </w:p>
          <w:p w:rsidR="00D0105B" w:rsidRPr="006422F3" w:rsidRDefault="00D0105B" w:rsidP="00980E3C">
            <w:pPr>
              <w:pStyle w:val="BodyText"/>
              <w:jc w:val="both"/>
              <w:rPr>
                <w:rFonts w:ascii="Times New Roman" w:hAnsi="Times New Roman" w:cs="Times New Roman"/>
                <w:bCs/>
                <w:sz w:val="22"/>
                <w:szCs w:val="22"/>
              </w:rPr>
            </w:pPr>
          </w:p>
          <w:p w:rsidR="00D0105B" w:rsidRPr="006422F3" w:rsidRDefault="00D0105B" w:rsidP="00671F82">
            <w:pPr>
              <w:pStyle w:val="BodyText"/>
              <w:jc w:val="both"/>
              <w:rPr>
                <w:rFonts w:ascii="Times New Roman" w:hAnsi="Times New Roman" w:cs="Times New Roman"/>
                <w:bCs/>
                <w:sz w:val="22"/>
                <w:szCs w:val="22"/>
              </w:rPr>
            </w:pPr>
          </w:p>
          <w:p w:rsidR="008E2145" w:rsidRPr="006422F3" w:rsidRDefault="008E2145" w:rsidP="006422F3">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11,500 (49% girls)</w:t>
            </w:r>
          </w:p>
          <w:p w:rsidR="008E2145" w:rsidRPr="006422F3" w:rsidRDefault="008E2145" w:rsidP="006422F3">
            <w:pPr>
              <w:pStyle w:val="BodyText"/>
              <w:jc w:val="both"/>
              <w:rPr>
                <w:rFonts w:ascii="Times New Roman" w:hAnsi="Times New Roman" w:cs="Times New Roman"/>
                <w:bCs/>
                <w:sz w:val="22"/>
                <w:szCs w:val="22"/>
              </w:rPr>
            </w:pPr>
          </w:p>
          <w:p w:rsidR="008E2145" w:rsidRPr="006422F3" w:rsidRDefault="008E2145" w:rsidP="006422F3">
            <w:pPr>
              <w:pStyle w:val="BodyText"/>
              <w:jc w:val="both"/>
              <w:rPr>
                <w:rFonts w:ascii="Times New Roman" w:hAnsi="Times New Roman" w:cs="Times New Roman"/>
                <w:bCs/>
                <w:sz w:val="22"/>
                <w:szCs w:val="22"/>
              </w:rPr>
            </w:pPr>
          </w:p>
          <w:p w:rsidR="008E2145" w:rsidRPr="006422F3" w:rsidRDefault="008E2145" w:rsidP="006422F3">
            <w:pPr>
              <w:pStyle w:val="BodyText"/>
              <w:jc w:val="both"/>
              <w:rPr>
                <w:rFonts w:ascii="Times New Roman" w:hAnsi="Times New Roman" w:cs="Times New Roman"/>
                <w:bCs/>
                <w:sz w:val="22"/>
                <w:szCs w:val="22"/>
              </w:rPr>
            </w:pPr>
          </w:p>
          <w:p w:rsidR="008E2145" w:rsidRPr="006422F3" w:rsidRDefault="008E2145" w:rsidP="006422F3">
            <w:pPr>
              <w:pStyle w:val="BodyText"/>
              <w:jc w:val="both"/>
              <w:rPr>
                <w:rFonts w:ascii="Times New Roman" w:hAnsi="Times New Roman" w:cs="Times New Roman"/>
                <w:bCs/>
                <w:sz w:val="22"/>
                <w:szCs w:val="22"/>
              </w:rPr>
            </w:pPr>
          </w:p>
          <w:p w:rsidR="008E2145" w:rsidRPr="006422F3" w:rsidRDefault="007950DE" w:rsidP="006422F3">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 xml:space="preserve">  </w:t>
            </w:r>
          </w:p>
          <w:p w:rsidR="008E2145" w:rsidRPr="006422F3" w:rsidRDefault="008E2145" w:rsidP="006422F3">
            <w:pPr>
              <w:pStyle w:val="BodyText"/>
              <w:jc w:val="both"/>
              <w:rPr>
                <w:rFonts w:ascii="Times New Roman" w:hAnsi="Times New Roman" w:cs="Times New Roman"/>
                <w:bCs/>
                <w:sz w:val="22"/>
                <w:szCs w:val="22"/>
              </w:rPr>
            </w:pPr>
          </w:p>
          <w:p w:rsidR="008E2145" w:rsidRPr="006422F3" w:rsidRDefault="008E2145" w:rsidP="006422F3">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Yes</w:t>
            </w:r>
          </w:p>
          <w:p w:rsidR="00205B8D" w:rsidRPr="006422F3" w:rsidRDefault="00205B8D" w:rsidP="006422F3">
            <w:pPr>
              <w:pStyle w:val="BodyText"/>
              <w:jc w:val="both"/>
              <w:rPr>
                <w:rFonts w:ascii="Times New Roman" w:hAnsi="Times New Roman" w:cs="Times New Roman"/>
                <w:bCs/>
                <w:sz w:val="22"/>
                <w:szCs w:val="22"/>
              </w:rPr>
            </w:pPr>
          </w:p>
          <w:p w:rsidR="00205B8D" w:rsidRPr="0065431D" w:rsidRDefault="00205B8D" w:rsidP="0065431D">
            <w:pPr>
              <w:pStyle w:val="BodyText"/>
              <w:jc w:val="both"/>
              <w:rPr>
                <w:rFonts w:ascii="Times New Roman" w:hAnsi="Times New Roman" w:cs="Times New Roman"/>
                <w:bCs/>
                <w:sz w:val="22"/>
                <w:szCs w:val="22"/>
              </w:rPr>
            </w:pPr>
          </w:p>
          <w:p w:rsidR="0065431D" w:rsidRPr="0065431D" w:rsidRDefault="0065431D" w:rsidP="0065431D">
            <w:pPr>
              <w:pStyle w:val="BodyText"/>
              <w:jc w:val="both"/>
              <w:rPr>
                <w:rFonts w:ascii="Times New Roman" w:hAnsi="Times New Roman" w:cs="Times New Roman"/>
                <w:bCs/>
                <w:sz w:val="22"/>
                <w:szCs w:val="22"/>
              </w:rPr>
            </w:pPr>
          </w:p>
          <w:p w:rsidR="0065431D" w:rsidRPr="0065431D" w:rsidRDefault="0065431D" w:rsidP="0065431D">
            <w:pPr>
              <w:pStyle w:val="BodyText"/>
              <w:jc w:val="both"/>
              <w:rPr>
                <w:rFonts w:ascii="Times New Roman" w:hAnsi="Times New Roman" w:cs="Times New Roman"/>
                <w:bCs/>
                <w:sz w:val="22"/>
                <w:szCs w:val="22"/>
              </w:rPr>
            </w:pPr>
          </w:p>
          <w:p w:rsidR="0065431D" w:rsidRPr="0065431D" w:rsidRDefault="0065431D" w:rsidP="0065431D">
            <w:pPr>
              <w:pStyle w:val="BodyText"/>
              <w:jc w:val="both"/>
              <w:rPr>
                <w:rFonts w:ascii="Times New Roman" w:hAnsi="Times New Roman" w:cs="Times New Roman"/>
                <w:bCs/>
                <w:sz w:val="22"/>
                <w:szCs w:val="22"/>
              </w:rPr>
            </w:pPr>
          </w:p>
          <w:p w:rsidR="0065431D" w:rsidRPr="006422F3" w:rsidRDefault="0065431D" w:rsidP="0065431D">
            <w:pPr>
              <w:pStyle w:val="BodyText"/>
              <w:jc w:val="both"/>
              <w:rPr>
                <w:rFonts w:ascii="Times New Roman" w:hAnsi="Times New Roman" w:cs="Times New Roman"/>
                <w:bCs/>
                <w:sz w:val="22"/>
                <w:szCs w:val="22"/>
              </w:rPr>
            </w:pPr>
          </w:p>
          <w:p w:rsidR="00205B8D" w:rsidRPr="006422F3" w:rsidRDefault="008E2145" w:rsidP="0065431D">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4,500 girls across the country reached</w:t>
            </w:r>
            <w:r w:rsidR="007950DE" w:rsidRPr="006422F3">
              <w:rPr>
                <w:rFonts w:ascii="Times New Roman" w:hAnsi="Times New Roman" w:cs="Times New Roman"/>
                <w:bCs/>
                <w:sz w:val="22"/>
                <w:szCs w:val="22"/>
              </w:rPr>
              <w:t xml:space="preserve">    </w:t>
            </w:r>
          </w:p>
          <w:p w:rsidR="00205B8D" w:rsidRPr="006422F3" w:rsidRDefault="00205B8D" w:rsidP="00BF5E80">
            <w:pPr>
              <w:pStyle w:val="BodyText"/>
              <w:jc w:val="both"/>
              <w:rPr>
                <w:rFonts w:ascii="Times New Roman" w:hAnsi="Times New Roman" w:cs="Times New Roman"/>
                <w:bCs/>
                <w:sz w:val="22"/>
                <w:szCs w:val="22"/>
              </w:rPr>
            </w:pPr>
          </w:p>
          <w:p w:rsidR="00B543E6" w:rsidRPr="006422F3" w:rsidRDefault="00205B8D" w:rsidP="00980E3C">
            <w:pPr>
              <w:pStyle w:val="BodyText"/>
              <w:jc w:val="both"/>
              <w:rPr>
                <w:rFonts w:ascii="Times New Roman" w:hAnsi="Times New Roman" w:cs="Times New Roman"/>
                <w:bCs/>
                <w:sz w:val="22"/>
                <w:szCs w:val="22"/>
              </w:rPr>
            </w:pPr>
            <w:r w:rsidRPr="006422F3">
              <w:rPr>
                <w:rFonts w:ascii="Times New Roman" w:hAnsi="Times New Roman" w:cs="Times New Roman"/>
                <w:bCs/>
                <w:sz w:val="22"/>
                <w:szCs w:val="22"/>
              </w:rPr>
              <w:t>82</w:t>
            </w:r>
            <w:r w:rsidR="007950DE" w:rsidRPr="006422F3">
              <w:rPr>
                <w:rFonts w:ascii="Times New Roman" w:hAnsi="Times New Roman" w:cs="Times New Roman"/>
                <w:bCs/>
                <w:sz w:val="22"/>
                <w:szCs w:val="22"/>
              </w:rPr>
              <w:t xml:space="preserve">                       </w:t>
            </w:r>
          </w:p>
        </w:tc>
        <w:tc>
          <w:tcPr>
            <w:tcW w:w="3960" w:type="dxa"/>
            <w:shd w:val="clear" w:color="auto" w:fill="auto"/>
          </w:tcPr>
          <w:p w:rsidR="00B543E6" w:rsidRPr="006422F3" w:rsidRDefault="00B543E6" w:rsidP="00671F82">
            <w:pPr>
              <w:pStyle w:val="BodyText"/>
              <w:jc w:val="both"/>
              <w:rPr>
                <w:rFonts w:ascii="Times New Roman" w:hAnsi="Times New Roman" w:cs="Times New Roman"/>
                <w:bCs/>
                <w:sz w:val="22"/>
                <w:szCs w:val="22"/>
              </w:rPr>
            </w:pPr>
          </w:p>
        </w:tc>
        <w:tc>
          <w:tcPr>
            <w:tcW w:w="3150" w:type="dxa"/>
            <w:shd w:val="clear" w:color="auto" w:fill="auto"/>
          </w:tcPr>
          <w:p w:rsidR="00B543E6" w:rsidRPr="006422F3" w:rsidRDefault="00B543E6" w:rsidP="006422F3">
            <w:pPr>
              <w:pStyle w:val="BodyText"/>
              <w:jc w:val="both"/>
              <w:rPr>
                <w:rFonts w:ascii="Times New Roman" w:hAnsi="Times New Roman" w:cs="Times New Roman"/>
                <w:bCs/>
                <w:sz w:val="22"/>
                <w:szCs w:val="22"/>
              </w:rPr>
            </w:pPr>
          </w:p>
        </w:tc>
      </w:tr>
    </w:tbl>
    <w:p w:rsidR="00B543E6" w:rsidRPr="0065431D" w:rsidRDefault="00B543E6" w:rsidP="00A930E6">
      <w:pPr>
        <w:pStyle w:val="BodyText"/>
        <w:tabs>
          <w:tab w:val="left" w:pos="360"/>
        </w:tabs>
        <w:ind w:left="720"/>
        <w:jc w:val="both"/>
        <w:rPr>
          <w:rFonts w:ascii="Times New Roman" w:hAnsi="Times New Roman" w:cs="Times New Roman"/>
          <w:sz w:val="22"/>
          <w:szCs w:val="22"/>
        </w:rPr>
      </w:pPr>
    </w:p>
    <w:p w:rsidR="00B543E6" w:rsidRPr="0065431D" w:rsidRDefault="00B543E6" w:rsidP="00A930E6">
      <w:pPr>
        <w:pStyle w:val="BodyText"/>
        <w:jc w:val="both"/>
        <w:rPr>
          <w:rFonts w:ascii="Times New Roman" w:hAnsi="Times New Roman" w:cs="Times New Roman"/>
          <w:sz w:val="22"/>
          <w:szCs w:val="22"/>
        </w:rPr>
      </w:pPr>
    </w:p>
    <w:p w:rsidR="00495BBB" w:rsidRDefault="00094A66" w:rsidP="006422F3">
      <w:r>
        <w:br w:type="page"/>
      </w: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495BBB" w:rsidRPr="006422F3" w:rsidTr="00B57EB3">
        <w:tc>
          <w:tcPr>
            <w:tcW w:w="4265" w:type="dxa"/>
            <w:tcBorders>
              <w:bottom w:val="single" w:sz="4" w:space="0" w:color="000000"/>
            </w:tcBorders>
            <w:shd w:val="clear" w:color="auto" w:fill="auto"/>
          </w:tcPr>
          <w:p w:rsidR="00495BBB" w:rsidRPr="006422F3" w:rsidRDefault="00495BBB" w:rsidP="00B57EB3">
            <w:pPr>
              <w:pStyle w:val="BodyText"/>
              <w:jc w:val="both"/>
              <w:rPr>
                <w:rFonts w:ascii="Times New Roman" w:hAnsi="Times New Roman" w:cs="Times New Roman"/>
                <w:bCs/>
                <w:sz w:val="22"/>
                <w:szCs w:val="22"/>
              </w:rPr>
            </w:pPr>
          </w:p>
        </w:tc>
        <w:tc>
          <w:tcPr>
            <w:tcW w:w="3745" w:type="dxa"/>
            <w:tcBorders>
              <w:bottom w:val="single" w:sz="4" w:space="0" w:color="000000"/>
            </w:tcBorders>
            <w:shd w:val="clear" w:color="auto" w:fill="auto"/>
          </w:tcPr>
          <w:p w:rsidR="00495BBB" w:rsidRPr="006422F3" w:rsidRDefault="00495BBB" w:rsidP="00B57EB3">
            <w:pPr>
              <w:jc w:val="both"/>
              <w:rPr>
                <w:b/>
                <w:sz w:val="22"/>
                <w:szCs w:val="22"/>
              </w:rPr>
            </w:pPr>
            <w:r w:rsidRPr="006422F3">
              <w:rPr>
                <w:b/>
                <w:sz w:val="22"/>
                <w:szCs w:val="22"/>
                <w:u w:val="single"/>
              </w:rPr>
              <w:t>Achieved</w:t>
            </w:r>
            <w:r w:rsidRPr="006422F3">
              <w:rPr>
                <w:b/>
                <w:sz w:val="22"/>
                <w:szCs w:val="22"/>
              </w:rPr>
              <w:t xml:space="preserve"> Indicator Targets</w:t>
            </w:r>
          </w:p>
        </w:tc>
        <w:tc>
          <w:tcPr>
            <w:tcW w:w="3960" w:type="dxa"/>
            <w:tcBorders>
              <w:bottom w:val="single" w:sz="4" w:space="0" w:color="000000"/>
            </w:tcBorders>
            <w:shd w:val="clear" w:color="auto" w:fill="auto"/>
          </w:tcPr>
          <w:p w:rsidR="00495BBB" w:rsidRPr="006422F3" w:rsidRDefault="00495BBB" w:rsidP="00B57EB3">
            <w:pPr>
              <w:jc w:val="both"/>
              <w:rPr>
                <w:b/>
                <w:sz w:val="22"/>
                <w:szCs w:val="22"/>
              </w:rPr>
            </w:pPr>
            <w:r w:rsidRPr="006422F3">
              <w:rPr>
                <w:b/>
                <w:sz w:val="22"/>
                <w:szCs w:val="22"/>
              </w:rPr>
              <w:t>Reasons for Variance with Planned Target (if any)</w:t>
            </w:r>
          </w:p>
        </w:tc>
        <w:tc>
          <w:tcPr>
            <w:tcW w:w="3150" w:type="dxa"/>
            <w:tcBorders>
              <w:bottom w:val="single" w:sz="4" w:space="0" w:color="000000"/>
            </w:tcBorders>
            <w:shd w:val="clear" w:color="auto" w:fill="auto"/>
          </w:tcPr>
          <w:p w:rsidR="00495BBB" w:rsidRPr="006422F3" w:rsidRDefault="00495BBB" w:rsidP="00B57EB3">
            <w:pPr>
              <w:jc w:val="both"/>
              <w:rPr>
                <w:b/>
                <w:sz w:val="22"/>
                <w:szCs w:val="22"/>
              </w:rPr>
            </w:pPr>
            <w:r w:rsidRPr="006422F3">
              <w:rPr>
                <w:b/>
                <w:sz w:val="22"/>
                <w:szCs w:val="22"/>
              </w:rPr>
              <w:t>Source of Verification</w:t>
            </w:r>
          </w:p>
        </w:tc>
      </w:tr>
      <w:tr w:rsidR="00495BBB" w:rsidRPr="006422F3" w:rsidTr="00B57EB3">
        <w:tc>
          <w:tcPr>
            <w:tcW w:w="4265" w:type="dxa"/>
            <w:shd w:val="pct15" w:color="auto" w:fill="auto"/>
          </w:tcPr>
          <w:p w:rsidR="00495BBB" w:rsidRDefault="00495BBB" w:rsidP="00B57EB3">
            <w:pPr>
              <w:jc w:val="both"/>
              <w:rPr>
                <w:b/>
                <w:sz w:val="22"/>
                <w:szCs w:val="22"/>
              </w:rPr>
            </w:pPr>
          </w:p>
          <w:p w:rsidR="00495BBB" w:rsidRPr="00240424" w:rsidRDefault="00495BBB" w:rsidP="00B57EB3">
            <w:pPr>
              <w:jc w:val="both"/>
              <w:rPr>
                <w:b/>
                <w:sz w:val="28"/>
                <w:szCs w:val="28"/>
              </w:rPr>
            </w:pPr>
            <w:r w:rsidRPr="00240424">
              <w:rPr>
                <w:b/>
                <w:sz w:val="28"/>
                <w:szCs w:val="28"/>
              </w:rPr>
              <w:t>School Feeding</w:t>
            </w:r>
            <w:r w:rsidR="00A36C78" w:rsidRPr="00240424">
              <w:rPr>
                <w:b/>
                <w:sz w:val="28"/>
                <w:szCs w:val="28"/>
              </w:rPr>
              <w:t>:</w:t>
            </w:r>
          </w:p>
          <w:p w:rsidR="00495BBB" w:rsidRDefault="00495BBB" w:rsidP="00B57EB3">
            <w:pPr>
              <w:jc w:val="both"/>
              <w:rPr>
                <w:b/>
                <w:sz w:val="22"/>
                <w:szCs w:val="22"/>
              </w:rPr>
            </w:pPr>
          </w:p>
          <w:p w:rsidR="00495BBB" w:rsidRPr="00151C29" w:rsidRDefault="00495BBB" w:rsidP="00B57EB3">
            <w:pPr>
              <w:spacing w:after="200" w:line="276" w:lineRule="auto"/>
              <w:rPr>
                <w:rFonts w:eastAsia="Calibri"/>
                <w:sz w:val="22"/>
                <w:szCs w:val="22"/>
              </w:rPr>
            </w:pPr>
            <w:r w:rsidRPr="00151C29">
              <w:rPr>
                <w:rFonts w:eastAsia="Calibri"/>
                <w:b/>
                <w:sz w:val="22"/>
                <w:szCs w:val="22"/>
              </w:rPr>
              <w:t xml:space="preserve">Outcome 1: </w:t>
            </w:r>
            <w:r w:rsidRPr="00151C29">
              <w:rPr>
                <w:rFonts w:eastAsia="Calibri"/>
                <w:sz w:val="22"/>
                <w:szCs w:val="22"/>
              </w:rPr>
              <w:t>Support access to education and human capital development.</w:t>
            </w:r>
          </w:p>
          <w:p w:rsidR="00495BBB" w:rsidRPr="00151C29" w:rsidRDefault="00495BBB" w:rsidP="00B57EB3">
            <w:pPr>
              <w:spacing w:after="200" w:line="276" w:lineRule="auto"/>
              <w:rPr>
                <w:rFonts w:eastAsia="Calibri"/>
                <w:b/>
                <w:sz w:val="22"/>
                <w:szCs w:val="22"/>
              </w:rPr>
            </w:pPr>
            <w:r w:rsidRPr="00151C29">
              <w:rPr>
                <w:rFonts w:eastAsia="Calibri"/>
                <w:b/>
                <w:sz w:val="22"/>
                <w:szCs w:val="22"/>
              </w:rPr>
              <w:t>Indicators</w:t>
            </w:r>
          </w:p>
          <w:p w:rsidR="00495BBB" w:rsidRPr="00151C29" w:rsidRDefault="00495BBB" w:rsidP="00B57EB3">
            <w:pPr>
              <w:spacing w:after="200" w:line="276" w:lineRule="auto"/>
              <w:rPr>
                <w:rFonts w:eastAsia="Calibri"/>
                <w:sz w:val="22"/>
                <w:szCs w:val="22"/>
              </w:rPr>
            </w:pPr>
            <w:r w:rsidRPr="00151C29">
              <w:rPr>
                <w:rFonts w:eastAsia="Calibri"/>
                <w:sz w:val="22"/>
                <w:szCs w:val="22"/>
              </w:rPr>
              <w:t>% increase in Attendance</w:t>
            </w:r>
          </w:p>
          <w:p w:rsidR="00495BBB" w:rsidRPr="00151C29" w:rsidRDefault="00495BBB" w:rsidP="00B57EB3">
            <w:pPr>
              <w:spacing w:after="200" w:line="276" w:lineRule="auto"/>
              <w:rPr>
                <w:rFonts w:eastAsia="Calibri"/>
                <w:sz w:val="22"/>
                <w:szCs w:val="22"/>
              </w:rPr>
            </w:pPr>
            <w:r w:rsidRPr="00151C29">
              <w:rPr>
                <w:rFonts w:eastAsia="Calibri"/>
                <w:sz w:val="22"/>
                <w:szCs w:val="22"/>
              </w:rPr>
              <w:t>% increase in Enrolment</w:t>
            </w:r>
          </w:p>
          <w:p w:rsidR="00495BBB" w:rsidRPr="00151C29" w:rsidRDefault="00495BBB" w:rsidP="00B57EB3">
            <w:pPr>
              <w:spacing w:after="200" w:line="276" w:lineRule="auto"/>
              <w:rPr>
                <w:rFonts w:eastAsia="Calibri"/>
                <w:sz w:val="22"/>
                <w:szCs w:val="22"/>
              </w:rPr>
            </w:pPr>
            <w:r w:rsidRPr="00151C29">
              <w:rPr>
                <w:rFonts w:eastAsia="Calibri"/>
                <w:sz w:val="22"/>
                <w:szCs w:val="22"/>
              </w:rPr>
              <w:t>Gender ratio: ratio of girls to boys</w:t>
            </w:r>
          </w:p>
          <w:p w:rsidR="00495BBB" w:rsidRDefault="00495BBB" w:rsidP="00B57EB3">
            <w:pPr>
              <w:jc w:val="both"/>
              <w:rPr>
                <w:b/>
                <w:sz w:val="22"/>
                <w:szCs w:val="22"/>
              </w:rPr>
            </w:pPr>
            <w:r w:rsidRPr="00151C29">
              <w:rPr>
                <w:rFonts w:eastAsia="Calibri"/>
                <w:sz w:val="22"/>
                <w:szCs w:val="22"/>
              </w:rPr>
              <w:t>Pass rate:</w:t>
            </w:r>
          </w:p>
          <w:p w:rsidR="00495BBB" w:rsidRDefault="00495BBB" w:rsidP="00B57EB3">
            <w:pPr>
              <w:jc w:val="both"/>
              <w:rPr>
                <w:b/>
                <w:sz w:val="22"/>
                <w:szCs w:val="22"/>
              </w:rPr>
            </w:pPr>
          </w:p>
          <w:p w:rsidR="00495BBB" w:rsidRPr="006422F3" w:rsidRDefault="00495BBB" w:rsidP="00B57EB3">
            <w:pPr>
              <w:jc w:val="both"/>
              <w:rPr>
                <w:bCs/>
                <w:sz w:val="22"/>
                <w:szCs w:val="22"/>
              </w:rPr>
            </w:pPr>
          </w:p>
        </w:tc>
        <w:tc>
          <w:tcPr>
            <w:tcW w:w="3745" w:type="dxa"/>
            <w:shd w:val="pct15" w:color="auto" w:fill="auto"/>
          </w:tcPr>
          <w:p w:rsidR="00495BBB" w:rsidRPr="00151C29" w:rsidRDefault="00495BBB" w:rsidP="00B57EB3">
            <w:pPr>
              <w:spacing w:after="200" w:line="276" w:lineRule="auto"/>
              <w:rPr>
                <w:rFonts w:ascii="Calibri" w:eastAsia="Calibri" w:hAnsi="Calibri"/>
                <w:sz w:val="22"/>
                <w:szCs w:val="22"/>
              </w:rPr>
            </w:pPr>
            <w:r w:rsidRPr="00151C29">
              <w:rPr>
                <w:rFonts w:ascii="Calibri" w:eastAsia="Calibri" w:hAnsi="Calibri"/>
                <w:b/>
                <w:sz w:val="22"/>
                <w:szCs w:val="22"/>
              </w:rPr>
              <w:t>Attendance rate:</w:t>
            </w:r>
            <w:r w:rsidRPr="00151C29">
              <w:rPr>
                <w:rFonts w:ascii="Calibri" w:eastAsia="Calibri" w:hAnsi="Calibri"/>
                <w:sz w:val="22"/>
                <w:szCs w:val="22"/>
              </w:rPr>
              <w:t xml:space="preserve"> Planned 90% and achieved 90%.</w:t>
            </w:r>
          </w:p>
          <w:p w:rsidR="00495BBB" w:rsidRPr="00151C29" w:rsidRDefault="00495BBB" w:rsidP="00B57EB3">
            <w:pPr>
              <w:spacing w:after="200" w:line="276" w:lineRule="auto"/>
              <w:rPr>
                <w:rFonts w:ascii="Calibri" w:eastAsia="Calibri" w:hAnsi="Calibri"/>
                <w:sz w:val="22"/>
                <w:szCs w:val="22"/>
              </w:rPr>
            </w:pPr>
          </w:p>
          <w:p w:rsidR="00495BBB" w:rsidRPr="00151C29" w:rsidRDefault="00495BBB" w:rsidP="00B57EB3">
            <w:pPr>
              <w:spacing w:after="200" w:line="276" w:lineRule="auto"/>
              <w:rPr>
                <w:rFonts w:ascii="Calibri" w:eastAsia="Calibri" w:hAnsi="Calibri"/>
                <w:sz w:val="22"/>
                <w:szCs w:val="22"/>
              </w:rPr>
            </w:pPr>
            <w:r w:rsidRPr="00151C29">
              <w:rPr>
                <w:rFonts w:ascii="Calibri" w:eastAsia="Calibri" w:hAnsi="Calibri"/>
                <w:b/>
                <w:sz w:val="22"/>
                <w:szCs w:val="22"/>
              </w:rPr>
              <w:t xml:space="preserve">Enrolment: </w:t>
            </w:r>
            <w:r w:rsidRPr="00151C29">
              <w:rPr>
                <w:rFonts w:ascii="Calibri" w:eastAsia="Calibri" w:hAnsi="Calibri"/>
                <w:sz w:val="22"/>
                <w:szCs w:val="22"/>
              </w:rPr>
              <w:t>planned 17% increase achieved 18% for boys.</w:t>
            </w:r>
          </w:p>
          <w:p w:rsidR="00495BBB" w:rsidRPr="006422F3" w:rsidRDefault="00495BBB" w:rsidP="00B57EB3">
            <w:pPr>
              <w:pStyle w:val="BodyText"/>
              <w:jc w:val="both"/>
              <w:rPr>
                <w:rFonts w:ascii="Times New Roman" w:hAnsi="Times New Roman" w:cs="Times New Roman"/>
                <w:bCs/>
                <w:sz w:val="22"/>
                <w:szCs w:val="22"/>
              </w:rPr>
            </w:pPr>
            <w:r w:rsidRPr="00151C29">
              <w:rPr>
                <w:rFonts w:ascii="Calibri" w:eastAsia="Calibri" w:hAnsi="Calibri" w:cs="Times New Roman"/>
                <w:sz w:val="22"/>
                <w:szCs w:val="22"/>
              </w:rPr>
              <w:t>Planned 18% for girls and achieved 18%</w:t>
            </w:r>
          </w:p>
        </w:tc>
        <w:tc>
          <w:tcPr>
            <w:tcW w:w="3960" w:type="dxa"/>
            <w:shd w:val="pct15" w:color="auto" w:fill="auto"/>
          </w:tcPr>
          <w:p w:rsidR="00495BBB" w:rsidRPr="006422F3" w:rsidRDefault="00495BBB" w:rsidP="00B57EB3">
            <w:pPr>
              <w:pStyle w:val="BodyText"/>
              <w:jc w:val="both"/>
              <w:rPr>
                <w:rFonts w:ascii="Times New Roman" w:hAnsi="Times New Roman" w:cs="Times New Roman"/>
                <w:bCs/>
                <w:sz w:val="22"/>
                <w:szCs w:val="22"/>
              </w:rPr>
            </w:pPr>
          </w:p>
        </w:tc>
        <w:tc>
          <w:tcPr>
            <w:tcW w:w="3150" w:type="dxa"/>
            <w:shd w:val="pct15" w:color="auto" w:fill="auto"/>
          </w:tcPr>
          <w:p w:rsidR="00495BBB" w:rsidRPr="00517595" w:rsidRDefault="00495BBB" w:rsidP="00B57EB3">
            <w:pPr>
              <w:rPr>
                <w:b/>
              </w:rPr>
            </w:pPr>
            <w:r>
              <w:rPr>
                <w:b/>
              </w:rPr>
              <w:t>WFP Standard Project Reports</w:t>
            </w:r>
          </w:p>
        </w:tc>
      </w:tr>
      <w:tr w:rsidR="00495BBB" w:rsidRPr="006422F3" w:rsidTr="00B57EB3">
        <w:tc>
          <w:tcPr>
            <w:tcW w:w="4265" w:type="dxa"/>
            <w:shd w:val="clear" w:color="auto" w:fill="auto"/>
          </w:tcPr>
          <w:p w:rsidR="00495BBB" w:rsidRPr="00151C29" w:rsidRDefault="00495BBB" w:rsidP="00B57EB3">
            <w:pPr>
              <w:spacing w:after="200" w:line="276" w:lineRule="auto"/>
              <w:rPr>
                <w:rFonts w:eastAsia="Calibri"/>
                <w:sz w:val="22"/>
                <w:szCs w:val="22"/>
              </w:rPr>
            </w:pPr>
            <w:r w:rsidRPr="00151C29">
              <w:rPr>
                <w:rFonts w:eastAsia="Calibri"/>
                <w:b/>
                <w:sz w:val="22"/>
                <w:szCs w:val="22"/>
              </w:rPr>
              <w:t>Output 1.1</w:t>
            </w:r>
            <w:r w:rsidRPr="00151C29">
              <w:rPr>
                <w:rFonts w:eastAsia="Calibri"/>
                <w:sz w:val="22"/>
                <w:szCs w:val="22"/>
              </w:rPr>
              <w:t>food and non-food items distributed in sufficient quantity to targeted boys and girls</w:t>
            </w:r>
          </w:p>
          <w:p w:rsidR="00495BBB" w:rsidRPr="00151C29" w:rsidRDefault="00495BBB" w:rsidP="00B57EB3">
            <w:pPr>
              <w:spacing w:after="200" w:line="276" w:lineRule="auto"/>
              <w:rPr>
                <w:rFonts w:eastAsia="Calibri"/>
                <w:b/>
                <w:sz w:val="22"/>
                <w:szCs w:val="22"/>
              </w:rPr>
            </w:pPr>
            <w:r w:rsidRPr="00151C29">
              <w:rPr>
                <w:rFonts w:eastAsia="Calibri"/>
                <w:b/>
                <w:sz w:val="22"/>
                <w:szCs w:val="22"/>
              </w:rPr>
              <w:t>Indicators</w:t>
            </w:r>
          </w:p>
          <w:p w:rsidR="00495BBB" w:rsidRPr="00151C29" w:rsidRDefault="00495BBB" w:rsidP="00B57EB3">
            <w:pPr>
              <w:spacing w:after="200" w:line="276" w:lineRule="auto"/>
              <w:rPr>
                <w:rFonts w:eastAsia="Calibri"/>
                <w:sz w:val="22"/>
                <w:szCs w:val="22"/>
              </w:rPr>
            </w:pPr>
            <w:r w:rsidRPr="00151C29">
              <w:rPr>
                <w:rFonts w:eastAsia="Calibri"/>
                <w:sz w:val="22"/>
                <w:szCs w:val="22"/>
              </w:rPr>
              <w:t>Quantity of food distributed</w:t>
            </w:r>
          </w:p>
          <w:p w:rsidR="00495BBB" w:rsidRPr="006422F3" w:rsidRDefault="00495BBB" w:rsidP="00B57EB3">
            <w:pPr>
              <w:pStyle w:val="BodyText"/>
              <w:jc w:val="both"/>
              <w:rPr>
                <w:rFonts w:ascii="Times New Roman" w:hAnsi="Times New Roman" w:cs="Times New Roman"/>
                <w:bCs/>
                <w:sz w:val="22"/>
                <w:szCs w:val="22"/>
              </w:rPr>
            </w:pPr>
            <w:r w:rsidRPr="00151C29">
              <w:rPr>
                <w:rFonts w:ascii="Times New Roman" w:eastAsia="Calibri" w:hAnsi="Times New Roman" w:cs="Times New Roman"/>
                <w:sz w:val="22"/>
                <w:szCs w:val="22"/>
              </w:rPr>
              <w:t>Number of boys and girls reached</w:t>
            </w:r>
          </w:p>
        </w:tc>
        <w:tc>
          <w:tcPr>
            <w:tcW w:w="3745" w:type="dxa"/>
            <w:shd w:val="clear" w:color="auto" w:fill="auto"/>
          </w:tcPr>
          <w:p w:rsidR="00495BBB" w:rsidRPr="006422F3" w:rsidRDefault="00495BBB" w:rsidP="00B57EB3">
            <w:pPr>
              <w:pStyle w:val="BodyText"/>
              <w:jc w:val="both"/>
              <w:rPr>
                <w:rFonts w:ascii="Times New Roman" w:hAnsi="Times New Roman" w:cs="Times New Roman"/>
                <w:bCs/>
                <w:sz w:val="22"/>
                <w:szCs w:val="22"/>
              </w:rPr>
            </w:pPr>
          </w:p>
          <w:p w:rsidR="00495BBB" w:rsidRPr="006422F3" w:rsidRDefault="00495BBB" w:rsidP="00B57EB3">
            <w:pPr>
              <w:pStyle w:val="BodyText"/>
              <w:jc w:val="both"/>
              <w:rPr>
                <w:rFonts w:ascii="Times New Roman" w:hAnsi="Times New Roman" w:cs="Times New Roman"/>
                <w:bCs/>
                <w:sz w:val="22"/>
                <w:szCs w:val="22"/>
              </w:rPr>
            </w:pPr>
          </w:p>
          <w:p w:rsidR="00495BBB" w:rsidRPr="006422F3" w:rsidRDefault="00495BBB" w:rsidP="00B57EB3">
            <w:pPr>
              <w:jc w:val="both"/>
              <w:rPr>
                <w:sz w:val="22"/>
                <w:szCs w:val="22"/>
              </w:rPr>
            </w:pPr>
            <w:r w:rsidRPr="00DA2490">
              <w:t>Planned</w:t>
            </w:r>
            <w:r>
              <w:t xml:space="preserve"> 5,600Mt and achieved 5419.997</w:t>
            </w:r>
          </w:p>
          <w:p w:rsidR="00495BBB" w:rsidRPr="006422F3" w:rsidRDefault="00495BBB" w:rsidP="00B57EB3">
            <w:pPr>
              <w:jc w:val="both"/>
              <w:rPr>
                <w:sz w:val="22"/>
                <w:szCs w:val="22"/>
              </w:rPr>
            </w:pPr>
          </w:p>
          <w:p w:rsidR="00495BBB" w:rsidRPr="006422F3" w:rsidRDefault="00495BBB" w:rsidP="00B57EB3">
            <w:pPr>
              <w:jc w:val="both"/>
              <w:rPr>
                <w:sz w:val="22"/>
                <w:szCs w:val="22"/>
              </w:rPr>
            </w:pPr>
          </w:p>
          <w:p w:rsidR="00495BBB" w:rsidRPr="006422F3" w:rsidRDefault="00495BBB" w:rsidP="00B57EB3">
            <w:pPr>
              <w:jc w:val="both"/>
              <w:rPr>
                <w:sz w:val="22"/>
                <w:szCs w:val="22"/>
              </w:rPr>
            </w:pPr>
          </w:p>
          <w:p w:rsidR="00495BBB" w:rsidRPr="006422F3" w:rsidRDefault="00495BBB" w:rsidP="00B57EB3">
            <w:pPr>
              <w:jc w:val="both"/>
              <w:rPr>
                <w:bCs/>
                <w:sz w:val="22"/>
                <w:szCs w:val="22"/>
              </w:rPr>
            </w:pPr>
          </w:p>
        </w:tc>
        <w:tc>
          <w:tcPr>
            <w:tcW w:w="3960" w:type="dxa"/>
            <w:shd w:val="clear" w:color="auto" w:fill="auto"/>
          </w:tcPr>
          <w:p w:rsidR="00495BBB" w:rsidRPr="006422F3" w:rsidRDefault="00495BBB" w:rsidP="00B57EB3">
            <w:pPr>
              <w:pStyle w:val="BodyText"/>
              <w:jc w:val="both"/>
              <w:rPr>
                <w:rFonts w:ascii="Times New Roman" w:hAnsi="Times New Roman" w:cs="Times New Roman"/>
                <w:bCs/>
                <w:sz w:val="22"/>
                <w:szCs w:val="22"/>
              </w:rPr>
            </w:pPr>
            <w:r w:rsidRPr="00DA2490">
              <w:t>Some delay</w:t>
            </w:r>
            <w:r>
              <w:t xml:space="preserve"> in start of project to do mandatory head count of beneficiaries</w:t>
            </w:r>
          </w:p>
        </w:tc>
        <w:tc>
          <w:tcPr>
            <w:tcW w:w="3150" w:type="dxa"/>
            <w:shd w:val="clear" w:color="auto" w:fill="auto"/>
          </w:tcPr>
          <w:p w:rsidR="00495BBB" w:rsidRPr="00151C29" w:rsidRDefault="00495BBB" w:rsidP="00B57EB3">
            <w:pPr>
              <w:spacing w:after="200" w:line="276" w:lineRule="auto"/>
              <w:rPr>
                <w:rFonts w:eastAsia="Calibri"/>
                <w:b/>
                <w:sz w:val="22"/>
                <w:szCs w:val="22"/>
              </w:rPr>
            </w:pPr>
            <w:r w:rsidRPr="00151C29">
              <w:rPr>
                <w:rFonts w:eastAsia="Calibri"/>
                <w:b/>
                <w:sz w:val="22"/>
                <w:szCs w:val="22"/>
              </w:rPr>
              <w:t>WFP Standard Project Reports</w:t>
            </w:r>
          </w:p>
          <w:p w:rsidR="00495BBB" w:rsidRPr="006422F3" w:rsidRDefault="00495BBB" w:rsidP="00B57EB3">
            <w:pPr>
              <w:pStyle w:val="BodyText"/>
              <w:jc w:val="both"/>
              <w:rPr>
                <w:rFonts w:ascii="Times New Roman" w:hAnsi="Times New Roman" w:cs="Times New Roman"/>
                <w:bCs/>
                <w:sz w:val="22"/>
                <w:szCs w:val="22"/>
              </w:rPr>
            </w:pPr>
          </w:p>
        </w:tc>
      </w:tr>
      <w:tr w:rsidR="00A36C78" w:rsidRPr="006422F3" w:rsidTr="00B57EB3">
        <w:trPr>
          <w:trHeight w:val="1353"/>
        </w:trPr>
        <w:tc>
          <w:tcPr>
            <w:tcW w:w="4265" w:type="dxa"/>
            <w:shd w:val="clear" w:color="auto" w:fill="auto"/>
          </w:tcPr>
          <w:p w:rsidR="00A36C78" w:rsidRPr="00A36C78" w:rsidRDefault="00A36C78" w:rsidP="00B57EB3">
            <w:pPr>
              <w:spacing w:after="200" w:line="276" w:lineRule="auto"/>
              <w:rPr>
                <w:rFonts w:eastAsia="Calibri"/>
                <w:b/>
              </w:rPr>
            </w:pPr>
            <w:r w:rsidRPr="00A36C78">
              <w:rPr>
                <w:b/>
              </w:rPr>
              <w:t xml:space="preserve">Output 1.2 </w:t>
            </w:r>
            <w:r w:rsidRPr="00A36C78">
              <w:t>Number of beneficiaries /boys and girls reached</w:t>
            </w:r>
          </w:p>
        </w:tc>
        <w:tc>
          <w:tcPr>
            <w:tcW w:w="3745" w:type="dxa"/>
            <w:shd w:val="clear" w:color="auto" w:fill="auto"/>
          </w:tcPr>
          <w:p w:rsidR="00A36C78" w:rsidRPr="00A36C78" w:rsidRDefault="00A36C78" w:rsidP="00B57EB3">
            <w:pPr>
              <w:spacing w:after="200" w:line="276" w:lineRule="auto"/>
              <w:rPr>
                <w:rFonts w:ascii="Calibri" w:eastAsia="Calibri" w:hAnsi="Calibri"/>
                <w:sz w:val="22"/>
                <w:szCs w:val="22"/>
              </w:rPr>
            </w:pPr>
            <w:r w:rsidRPr="00A36C78">
              <w:t>Planned 256,000 achieved  246,728 beneficiaries</w:t>
            </w:r>
          </w:p>
        </w:tc>
        <w:tc>
          <w:tcPr>
            <w:tcW w:w="3960" w:type="dxa"/>
            <w:shd w:val="clear" w:color="auto" w:fill="auto"/>
          </w:tcPr>
          <w:p w:rsidR="00A36C78" w:rsidRPr="00A36C78" w:rsidRDefault="00A36C78" w:rsidP="00B57EB3">
            <w:pPr>
              <w:pStyle w:val="BodyText"/>
              <w:jc w:val="both"/>
            </w:pPr>
            <w:r w:rsidRPr="00A36C78">
              <w:t>Some targeted chiefdoms could not be reached to access challenges</w:t>
            </w:r>
          </w:p>
        </w:tc>
        <w:tc>
          <w:tcPr>
            <w:tcW w:w="3150" w:type="dxa"/>
            <w:shd w:val="clear" w:color="auto" w:fill="auto"/>
          </w:tcPr>
          <w:p w:rsidR="00A36C78" w:rsidRPr="00A36C78" w:rsidRDefault="00A36C78" w:rsidP="00A36C78">
            <w:pPr>
              <w:spacing w:after="200" w:line="276" w:lineRule="auto"/>
              <w:rPr>
                <w:rFonts w:eastAsia="Calibri"/>
                <w:b/>
                <w:sz w:val="22"/>
                <w:szCs w:val="22"/>
              </w:rPr>
            </w:pPr>
            <w:r w:rsidRPr="00A36C78">
              <w:rPr>
                <w:rFonts w:eastAsia="Calibri"/>
                <w:b/>
                <w:sz w:val="22"/>
                <w:szCs w:val="22"/>
              </w:rPr>
              <w:t>WFP Standard Project Reports</w:t>
            </w:r>
          </w:p>
          <w:p w:rsidR="00A36C78" w:rsidRDefault="00A36C78" w:rsidP="00B57EB3">
            <w:pPr>
              <w:spacing w:after="200" w:line="276" w:lineRule="auto"/>
              <w:rPr>
                <w:b/>
              </w:rPr>
            </w:pPr>
          </w:p>
        </w:tc>
      </w:tr>
      <w:tr w:rsidR="00495BBB" w:rsidRPr="006422F3" w:rsidTr="00B57EB3">
        <w:trPr>
          <w:trHeight w:val="1353"/>
        </w:trPr>
        <w:tc>
          <w:tcPr>
            <w:tcW w:w="4265" w:type="dxa"/>
            <w:shd w:val="clear" w:color="auto" w:fill="auto"/>
          </w:tcPr>
          <w:p w:rsidR="00495BBB" w:rsidRPr="00241FF2" w:rsidRDefault="00495BBB" w:rsidP="00B57EB3">
            <w:pPr>
              <w:spacing w:after="200" w:line="276" w:lineRule="auto"/>
              <w:rPr>
                <w:rFonts w:eastAsia="Calibri"/>
              </w:rPr>
            </w:pPr>
            <w:r w:rsidRPr="00241FF2">
              <w:rPr>
                <w:rFonts w:eastAsia="Calibri"/>
                <w:b/>
              </w:rPr>
              <w:t>Training</w:t>
            </w:r>
            <w:r w:rsidRPr="00241FF2">
              <w:rPr>
                <w:rFonts w:eastAsia="Calibri"/>
              </w:rPr>
              <w:t xml:space="preserve"> of partner and MEST staff in the implementation of School Feeding</w:t>
            </w:r>
          </w:p>
          <w:p w:rsidR="00495BBB" w:rsidRPr="00241FF2" w:rsidRDefault="00495BBB" w:rsidP="00B57EB3">
            <w:pPr>
              <w:spacing w:after="200" w:line="276" w:lineRule="auto"/>
              <w:rPr>
                <w:rFonts w:eastAsia="Calibri"/>
                <w:b/>
              </w:rPr>
            </w:pPr>
            <w:r w:rsidRPr="00241FF2">
              <w:rPr>
                <w:rFonts w:eastAsia="Calibri"/>
                <w:b/>
              </w:rPr>
              <w:t>Indicator</w:t>
            </w:r>
          </w:p>
          <w:p w:rsidR="00495BBB" w:rsidRPr="00241FF2" w:rsidRDefault="00495BBB" w:rsidP="00B57EB3">
            <w:pPr>
              <w:spacing w:after="200" w:line="276" w:lineRule="auto"/>
              <w:rPr>
                <w:rFonts w:eastAsia="Calibri"/>
              </w:rPr>
            </w:pPr>
            <w:r w:rsidRPr="00241FF2">
              <w:rPr>
                <w:rFonts w:eastAsia="Calibri"/>
              </w:rPr>
              <w:t>Number of people trained</w:t>
            </w:r>
          </w:p>
          <w:p w:rsidR="00495BBB" w:rsidRDefault="00495BBB" w:rsidP="00B57EB3">
            <w:pPr>
              <w:jc w:val="both"/>
              <w:rPr>
                <w:b/>
              </w:rPr>
            </w:pPr>
          </w:p>
        </w:tc>
        <w:tc>
          <w:tcPr>
            <w:tcW w:w="3745" w:type="dxa"/>
            <w:shd w:val="clear" w:color="auto" w:fill="auto"/>
          </w:tcPr>
          <w:p w:rsidR="00495BBB" w:rsidRPr="00151C29" w:rsidRDefault="00495BBB" w:rsidP="00B57EB3">
            <w:pPr>
              <w:spacing w:after="200" w:line="276" w:lineRule="auto"/>
              <w:rPr>
                <w:rFonts w:ascii="Calibri" w:eastAsia="Calibri" w:hAnsi="Calibri"/>
                <w:sz w:val="22"/>
                <w:szCs w:val="22"/>
              </w:rPr>
            </w:pPr>
            <w:r w:rsidRPr="00151C29">
              <w:rPr>
                <w:rFonts w:ascii="Calibri" w:eastAsia="Calibri" w:hAnsi="Calibri"/>
                <w:sz w:val="22"/>
                <w:szCs w:val="22"/>
              </w:rPr>
              <w:t>Orientation of 35 partner MEST staff was achieved.</w:t>
            </w:r>
          </w:p>
          <w:p w:rsidR="00495BBB" w:rsidRDefault="00495BBB" w:rsidP="00B57EB3">
            <w:pPr>
              <w:pStyle w:val="BodyText"/>
              <w:jc w:val="both"/>
            </w:pPr>
            <w:r w:rsidRPr="00151C29">
              <w:rPr>
                <w:rFonts w:ascii="Calibri" w:eastAsia="Calibri" w:hAnsi="Calibri" w:cs="Times New Roman"/>
                <w:sz w:val="22"/>
                <w:szCs w:val="22"/>
              </w:rPr>
              <w:t>Food management committees were trained by Plan in assisted schools.</w:t>
            </w:r>
          </w:p>
        </w:tc>
        <w:tc>
          <w:tcPr>
            <w:tcW w:w="3960" w:type="dxa"/>
            <w:shd w:val="clear" w:color="auto" w:fill="auto"/>
          </w:tcPr>
          <w:p w:rsidR="00495BBB" w:rsidRDefault="00495BBB" w:rsidP="00B57EB3">
            <w:pPr>
              <w:pStyle w:val="BodyText"/>
              <w:jc w:val="both"/>
            </w:pPr>
            <w:r w:rsidRPr="002F4ADE">
              <w:t>The orientation of partner and MEST staff served as training of trainers for roll out of same</w:t>
            </w:r>
            <w:r>
              <w:rPr>
                <w:b/>
              </w:rPr>
              <w:t>.</w:t>
            </w:r>
          </w:p>
        </w:tc>
        <w:tc>
          <w:tcPr>
            <w:tcW w:w="3150" w:type="dxa"/>
            <w:shd w:val="clear" w:color="auto" w:fill="auto"/>
          </w:tcPr>
          <w:p w:rsidR="00495BBB" w:rsidRPr="00151C29" w:rsidRDefault="00495BBB" w:rsidP="00B57EB3">
            <w:pPr>
              <w:spacing w:after="200" w:line="276" w:lineRule="auto"/>
              <w:rPr>
                <w:rFonts w:eastAsia="Calibri"/>
                <w:b/>
                <w:sz w:val="22"/>
                <w:szCs w:val="22"/>
              </w:rPr>
            </w:pPr>
            <w:r>
              <w:rPr>
                <w:b/>
              </w:rPr>
              <w:t>Partner Quarterly reports</w:t>
            </w:r>
          </w:p>
        </w:tc>
      </w:tr>
      <w:tr w:rsidR="00495BBB" w:rsidRPr="006422F3" w:rsidTr="00B57EB3">
        <w:trPr>
          <w:trHeight w:val="1353"/>
        </w:trPr>
        <w:tc>
          <w:tcPr>
            <w:tcW w:w="4265" w:type="dxa"/>
            <w:shd w:val="clear" w:color="auto" w:fill="auto"/>
          </w:tcPr>
          <w:p w:rsidR="00495BBB" w:rsidRPr="00151C29" w:rsidRDefault="00495BBB" w:rsidP="00B57EB3">
            <w:pPr>
              <w:spacing w:after="200" w:line="276" w:lineRule="auto"/>
              <w:rPr>
                <w:rFonts w:eastAsia="Calibri"/>
              </w:rPr>
            </w:pPr>
            <w:r w:rsidRPr="00151C29">
              <w:rPr>
                <w:rFonts w:eastAsia="Calibri"/>
                <w:b/>
              </w:rPr>
              <w:t>Output 1.3:</w:t>
            </w:r>
            <w:r w:rsidRPr="00151C29">
              <w:rPr>
                <w:rFonts w:eastAsia="Calibri"/>
              </w:rPr>
              <w:t xml:space="preserve"> School feeding programme aligned with programme of work</w:t>
            </w:r>
          </w:p>
          <w:p w:rsidR="00495BBB" w:rsidRPr="00151C29" w:rsidRDefault="00495BBB" w:rsidP="00B57EB3">
            <w:pPr>
              <w:spacing w:after="200" w:line="276" w:lineRule="auto"/>
              <w:rPr>
                <w:rFonts w:eastAsia="Calibri"/>
                <w:b/>
                <w:sz w:val="22"/>
                <w:szCs w:val="22"/>
              </w:rPr>
            </w:pPr>
            <w:r w:rsidRPr="00151C29">
              <w:rPr>
                <w:rFonts w:eastAsia="Calibri"/>
                <w:b/>
                <w:sz w:val="22"/>
                <w:szCs w:val="22"/>
              </w:rPr>
              <w:t>Indicator</w:t>
            </w:r>
          </w:p>
          <w:p w:rsidR="00495BBB" w:rsidRPr="00151C29" w:rsidRDefault="00495BBB" w:rsidP="00B57EB3">
            <w:pPr>
              <w:spacing w:after="200" w:line="276" w:lineRule="auto"/>
              <w:rPr>
                <w:rFonts w:eastAsia="Calibri"/>
                <w:b/>
                <w:color w:val="4F81BD"/>
              </w:rPr>
            </w:pPr>
            <w:r w:rsidRPr="00151C29">
              <w:rPr>
                <w:rFonts w:eastAsia="Calibri"/>
                <w:sz w:val="22"/>
                <w:szCs w:val="22"/>
              </w:rPr>
              <w:t>Number of schools assisted as a % of planned</w:t>
            </w:r>
          </w:p>
        </w:tc>
        <w:tc>
          <w:tcPr>
            <w:tcW w:w="3745" w:type="dxa"/>
            <w:shd w:val="clear" w:color="auto" w:fill="auto"/>
          </w:tcPr>
          <w:p w:rsidR="00495BBB" w:rsidRPr="00151C29" w:rsidRDefault="00495BBB" w:rsidP="00B57EB3">
            <w:pPr>
              <w:spacing w:after="200" w:line="276" w:lineRule="auto"/>
              <w:rPr>
                <w:rFonts w:ascii="Calibri" w:eastAsia="Calibri" w:hAnsi="Calibri"/>
                <w:sz w:val="22"/>
                <w:szCs w:val="22"/>
              </w:rPr>
            </w:pPr>
            <w:r w:rsidRPr="009C7B48">
              <w:t>Planned</w:t>
            </w:r>
            <w:r>
              <w:t xml:space="preserve"> 1,500 achieved 1,400</w:t>
            </w:r>
          </w:p>
        </w:tc>
        <w:tc>
          <w:tcPr>
            <w:tcW w:w="3960" w:type="dxa"/>
            <w:shd w:val="clear" w:color="auto" w:fill="auto"/>
          </w:tcPr>
          <w:p w:rsidR="00495BBB" w:rsidRPr="002F4ADE" w:rsidRDefault="00495BBB" w:rsidP="00B57EB3">
            <w:pPr>
              <w:pStyle w:val="BodyText"/>
              <w:jc w:val="both"/>
            </w:pPr>
            <w:r w:rsidRPr="009C7B48">
              <w:t>Variance in achievement could be also attributed to</w:t>
            </w:r>
            <w:r>
              <w:t xml:space="preserve"> the inaccessibility of some locations</w:t>
            </w:r>
          </w:p>
        </w:tc>
        <w:tc>
          <w:tcPr>
            <w:tcW w:w="3150" w:type="dxa"/>
            <w:shd w:val="clear" w:color="auto" w:fill="auto"/>
          </w:tcPr>
          <w:p w:rsidR="00495BBB" w:rsidRPr="00151C29" w:rsidRDefault="00495BBB" w:rsidP="00B57EB3">
            <w:pPr>
              <w:spacing w:after="200" w:line="276" w:lineRule="auto"/>
              <w:rPr>
                <w:rFonts w:eastAsia="Calibri"/>
                <w:b/>
                <w:sz w:val="22"/>
                <w:szCs w:val="22"/>
              </w:rPr>
            </w:pPr>
            <w:r w:rsidRPr="00151C29">
              <w:rPr>
                <w:rFonts w:eastAsia="Calibri"/>
                <w:b/>
                <w:sz w:val="22"/>
                <w:szCs w:val="22"/>
              </w:rPr>
              <w:t>WFP Standard Project Reports</w:t>
            </w:r>
          </w:p>
          <w:p w:rsidR="00495BBB" w:rsidRDefault="00495BBB" w:rsidP="00B57EB3">
            <w:pPr>
              <w:spacing w:after="200" w:line="276" w:lineRule="auto"/>
              <w:rPr>
                <w:b/>
              </w:rPr>
            </w:pPr>
          </w:p>
        </w:tc>
      </w:tr>
    </w:tbl>
    <w:p w:rsidR="00495BBB" w:rsidRPr="0065431D" w:rsidRDefault="00495BBB" w:rsidP="00495BBB">
      <w:pPr>
        <w:pStyle w:val="BodyText"/>
        <w:tabs>
          <w:tab w:val="left" w:pos="360"/>
        </w:tabs>
        <w:ind w:left="720"/>
        <w:jc w:val="both"/>
        <w:rPr>
          <w:rFonts w:ascii="Times New Roman" w:hAnsi="Times New Roman" w:cs="Times New Roman"/>
          <w:sz w:val="22"/>
          <w:szCs w:val="22"/>
        </w:rPr>
      </w:pPr>
    </w:p>
    <w:p w:rsidR="00495BBB" w:rsidRPr="0065431D" w:rsidRDefault="00495BBB" w:rsidP="00495BBB">
      <w:pPr>
        <w:pStyle w:val="BodyText"/>
        <w:jc w:val="both"/>
        <w:rPr>
          <w:rFonts w:ascii="Times New Roman" w:hAnsi="Times New Roman" w:cs="Times New Roman"/>
          <w:sz w:val="22"/>
          <w:szCs w:val="22"/>
        </w:rPr>
      </w:pPr>
    </w:p>
    <w:p w:rsidR="00495BBB" w:rsidRDefault="00495BBB" w:rsidP="00495BBB">
      <w:r>
        <w:br w:type="page"/>
      </w:r>
    </w:p>
    <w:p w:rsidR="00495BBB" w:rsidRDefault="00495BBB" w:rsidP="00495BBB"/>
    <w:p w:rsidR="00495BBB" w:rsidRDefault="00495BBB" w:rsidP="00495BBB"/>
    <w:p w:rsidR="006422F3" w:rsidRDefault="006422F3" w:rsidP="006422F3"/>
    <w:p w:rsidR="006422F3" w:rsidRPr="00F025F4" w:rsidRDefault="006422F3" w:rsidP="006422F3">
      <w:pPr>
        <w:pStyle w:val="Heading2"/>
        <w:ind w:left="720"/>
      </w:pPr>
      <w:bookmarkStart w:id="5" w:name="_Toc339962005"/>
      <w:r w:rsidRPr="00F025F4">
        <w:t>Acronyms</w:t>
      </w:r>
      <w:bookmarkEnd w:id="5"/>
    </w:p>
    <w:p w:rsidR="006422F3" w:rsidRPr="00E96753" w:rsidRDefault="006422F3" w:rsidP="006422F3"/>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6480"/>
      </w:tblGrid>
      <w:tr w:rsidR="006422F3" w:rsidRPr="0059743E" w:rsidTr="0042226F">
        <w:trPr>
          <w:trHeight w:val="224"/>
        </w:trPr>
        <w:tc>
          <w:tcPr>
            <w:tcW w:w="2178" w:type="dxa"/>
          </w:tcPr>
          <w:p w:rsidR="006422F3" w:rsidRPr="0059743E" w:rsidRDefault="006422F3" w:rsidP="0042226F">
            <w:pPr>
              <w:rPr>
                <w:rFonts w:cs="Calibri"/>
                <w:b/>
              </w:rPr>
            </w:pPr>
            <w:r>
              <w:rPr>
                <w:rFonts w:cs="Calibri"/>
                <w:b/>
              </w:rPr>
              <w:t>CCTT</w:t>
            </w:r>
          </w:p>
        </w:tc>
        <w:tc>
          <w:tcPr>
            <w:tcW w:w="6480" w:type="dxa"/>
          </w:tcPr>
          <w:p w:rsidR="006422F3" w:rsidRPr="0059743E" w:rsidRDefault="006422F3" w:rsidP="0042226F">
            <w:pPr>
              <w:jc w:val="both"/>
              <w:rPr>
                <w:rFonts w:cs="Calibri"/>
                <w:color w:val="000000"/>
              </w:rPr>
            </w:pPr>
            <w:r>
              <w:rPr>
                <w:rFonts w:cs="Calibri"/>
                <w:color w:val="000000"/>
              </w:rPr>
              <w:t>Child Centered Teaching Techniques</w:t>
            </w:r>
          </w:p>
        </w:tc>
      </w:tr>
      <w:tr w:rsidR="006422F3" w:rsidRPr="0059743E" w:rsidTr="0042226F">
        <w:trPr>
          <w:trHeight w:val="368"/>
        </w:trPr>
        <w:tc>
          <w:tcPr>
            <w:tcW w:w="2178" w:type="dxa"/>
          </w:tcPr>
          <w:p w:rsidR="006422F3" w:rsidRPr="0059743E" w:rsidRDefault="006422F3" w:rsidP="0042226F">
            <w:pPr>
              <w:jc w:val="both"/>
              <w:rPr>
                <w:rFonts w:cs="Calibri"/>
                <w:b/>
              </w:rPr>
            </w:pPr>
            <w:r>
              <w:rPr>
                <w:rFonts w:cs="Calibri"/>
                <w:b/>
              </w:rPr>
              <w:t>CFS</w:t>
            </w:r>
          </w:p>
        </w:tc>
        <w:tc>
          <w:tcPr>
            <w:tcW w:w="6480" w:type="dxa"/>
          </w:tcPr>
          <w:p w:rsidR="006422F3" w:rsidRPr="0059743E" w:rsidRDefault="006422F3" w:rsidP="0042226F">
            <w:pPr>
              <w:jc w:val="both"/>
              <w:rPr>
                <w:rFonts w:cs="Calibri"/>
                <w:color w:val="000000"/>
              </w:rPr>
            </w:pPr>
            <w:r>
              <w:rPr>
                <w:rFonts w:cs="Calibri"/>
                <w:color w:val="000000"/>
              </w:rPr>
              <w:t>Child Friendly Schooling</w:t>
            </w:r>
          </w:p>
        </w:tc>
      </w:tr>
      <w:tr w:rsidR="006422F3" w:rsidRPr="0059743E" w:rsidTr="0042226F">
        <w:trPr>
          <w:trHeight w:val="368"/>
        </w:trPr>
        <w:tc>
          <w:tcPr>
            <w:tcW w:w="2178" w:type="dxa"/>
          </w:tcPr>
          <w:p w:rsidR="006422F3" w:rsidRPr="0059743E" w:rsidRDefault="006422F3" w:rsidP="0042226F">
            <w:pPr>
              <w:jc w:val="both"/>
              <w:rPr>
                <w:rFonts w:cs="Calibri"/>
                <w:b/>
              </w:rPr>
            </w:pPr>
            <w:r>
              <w:rPr>
                <w:rFonts w:cs="Calibri"/>
                <w:b/>
              </w:rPr>
              <w:t>EMI</w:t>
            </w:r>
          </w:p>
        </w:tc>
        <w:tc>
          <w:tcPr>
            <w:tcW w:w="6480" w:type="dxa"/>
          </w:tcPr>
          <w:p w:rsidR="006422F3" w:rsidRPr="0059743E" w:rsidRDefault="006422F3" w:rsidP="0042226F">
            <w:pPr>
              <w:jc w:val="both"/>
              <w:rPr>
                <w:rFonts w:cs="Calibri"/>
                <w:color w:val="000000"/>
              </w:rPr>
            </w:pPr>
            <w:r>
              <w:rPr>
                <w:rFonts w:cs="Calibri"/>
                <w:color w:val="000000"/>
              </w:rPr>
              <w:t>Emerging Issues</w:t>
            </w:r>
          </w:p>
        </w:tc>
      </w:tr>
      <w:tr w:rsidR="006422F3" w:rsidRPr="0059743E" w:rsidTr="0042226F">
        <w:trPr>
          <w:trHeight w:val="368"/>
        </w:trPr>
        <w:tc>
          <w:tcPr>
            <w:tcW w:w="2178" w:type="dxa"/>
          </w:tcPr>
          <w:p w:rsidR="006422F3" w:rsidRPr="0059743E" w:rsidDel="001278EB" w:rsidRDefault="006422F3" w:rsidP="0042226F">
            <w:pPr>
              <w:jc w:val="both"/>
              <w:rPr>
                <w:rFonts w:cs="Calibri"/>
                <w:b/>
              </w:rPr>
            </w:pPr>
            <w:r>
              <w:rPr>
                <w:rFonts w:cs="Calibri"/>
                <w:b/>
              </w:rPr>
              <w:t>MEST</w:t>
            </w:r>
          </w:p>
        </w:tc>
        <w:tc>
          <w:tcPr>
            <w:tcW w:w="6480" w:type="dxa"/>
          </w:tcPr>
          <w:p w:rsidR="006422F3" w:rsidRPr="0059743E" w:rsidRDefault="006422F3" w:rsidP="0042226F">
            <w:pPr>
              <w:jc w:val="both"/>
              <w:rPr>
                <w:rFonts w:cs="Calibri"/>
                <w:color w:val="000000"/>
              </w:rPr>
            </w:pPr>
            <w:r>
              <w:rPr>
                <w:rFonts w:cs="Calibri"/>
                <w:color w:val="000000"/>
              </w:rPr>
              <w:t>Ministry of Education Science and Technology</w:t>
            </w:r>
          </w:p>
        </w:tc>
      </w:tr>
      <w:tr w:rsidR="006422F3" w:rsidRPr="0059743E" w:rsidTr="0042226F">
        <w:trPr>
          <w:trHeight w:val="368"/>
        </w:trPr>
        <w:tc>
          <w:tcPr>
            <w:tcW w:w="2178" w:type="dxa"/>
          </w:tcPr>
          <w:p w:rsidR="006422F3" w:rsidRDefault="006422F3" w:rsidP="0042226F">
            <w:pPr>
              <w:jc w:val="both"/>
              <w:rPr>
                <w:rFonts w:cs="Calibri"/>
                <w:b/>
              </w:rPr>
            </w:pPr>
            <w:r>
              <w:rPr>
                <w:rFonts w:cs="Calibri"/>
                <w:b/>
              </w:rPr>
              <w:t>MDG</w:t>
            </w:r>
          </w:p>
        </w:tc>
        <w:tc>
          <w:tcPr>
            <w:tcW w:w="6480" w:type="dxa"/>
          </w:tcPr>
          <w:p w:rsidR="006422F3" w:rsidRDefault="006422F3" w:rsidP="0042226F">
            <w:pPr>
              <w:jc w:val="both"/>
              <w:rPr>
                <w:rFonts w:cs="Calibri"/>
                <w:color w:val="000000"/>
              </w:rPr>
            </w:pPr>
            <w:r w:rsidRPr="0065431D">
              <w:rPr>
                <w:rFonts w:eastAsia="Calibri"/>
              </w:rPr>
              <w:t>Millennium Development Goals</w:t>
            </w:r>
          </w:p>
        </w:tc>
      </w:tr>
      <w:tr w:rsidR="006422F3" w:rsidRPr="0059743E" w:rsidTr="0042226F">
        <w:trPr>
          <w:trHeight w:val="368"/>
        </w:trPr>
        <w:tc>
          <w:tcPr>
            <w:tcW w:w="2178" w:type="dxa"/>
            <w:tcBorders>
              <w:top w:val="single" w:sz="4" w:space="0" w:color="auto"/>
              <w:left w:val="single" w:sz="4" w:space="0" w:color="auto"/>
              <w:bottom w:val="single" w:sz="4" w:space="0" w:color="auto"/>
              <w:right w:val="single" w:sz="4" w:space="0" w:color="auto"/>
            </w:tcBorders>
          </w:tcPr>
          <w:p w:rsidR="006422F3" w:rsidRPr="0059743E" w:rsidRDefault="006422F3" w:rsidP="0042226F">
            <w:pPr>
              <w:jc w:val="both"/>
              <w:rPr>
                <w:rFonts w:cs="Calibri"/>
                <w:b/>
              </w:rPr>
            </w:pPr>
            <w:r>
              <w:rPr>
                <w:rFonts w:cs="Calibri"/>
                <w:b/>
              </w:rPr>
              <w:t>NCTVA</w:t>
            </w:r>
          </w:p>
        </w:tc>
        <w:tc>
          <w:tcPr>
            <w:tcW w:w="6480" w:type="dxa"/>
            <w:tcBorders>
              <w:top w:val="single" w:sz="4" w:space="0" w:color="auto"/>
              <w:left w:val="single" w:sz="4" w:space="0" w:color="auto"/>
              <w:bottom w:val="single" w:sz="4" w:space="0" w:color="auto"/>
              <w:right w:val="single" w:sz="4" w:space="0" w:color="auto"/>
            </w:tcBorders>
          </w:tcPr>
          <w:p w:rsidR="006422F3" w:rsidRPr="0059743E" w:rsidRDefault="006422F3" w:rsidP="0042226F">
            <w:pPr>
              <w:jc w:val="both"/>
              <w:rPr>
                <w:rFonts w:cs="Calibri"/>
                <w:color w:val="000000"/>
              </w:rPr>
            </w:pPr>
            <w:r w:rsidRPr="0065431D">
              <w:t>National Council for Technical, Vocational and other Academic Awards</w:t>
            </w:r>
          </w:p>
        </w:tc>
      </w:tr>
      <w:tr w:rsidR="006422F3" w:rsidRPr="0059743E" w:rsidTr="0042226F">
        <w:trPr>
          <w:trHeight w:val="368"/>
        </w:trPr>
        <w:tc>
          <w:tcPr>
            <w:tcW w:w="2178" w:type="dxa"/>
            <w:tcBorders>
              <w:top w:val="single" w:sz="4" w:space="0" w:color="auto"/>
              <w:left w:val="single" w:sz="4" w:space="0" w:color="auto"/>
              <w:bottom w:val="single" w:sz="4" w:space="0" w:color="auto"/>
              <w:right w:val="single" w:sz="4" w:space="0" w:color="auto"/>
            </w:tcBorders>
          </w:tcPr>
          <w:p w:rsidR="006422F3" w:rsidRPr="0059743E" w:rsidRDefault="006422F3" w:rsidP="0042226F">
            <w:pPr>
              <w:jc w:val="both"/>
              <w:rPr>
                <w:rFonts w:cs="Calibri"/>
                <w:b/>
              </w:rPr>
            </w:pPr>
            <w:r>
              <w:rPr>
                <w:rFonts w:cs="Calibri"/>
                <w:b/>
              </w:rPr>
              <w:t>NGOs</w:t>
            </w:r>
          </w:p>
        </w:tc>
        <w:tc>
          <w:tcPr>
            <w:tcW w:w="6480" w:type="dxa"/>
            <w:tcBorders>
              <w:top w:val="single" w:sz="4" w:space="0" w:color="auto"/>
              <w:left w:val="single" w:sz="4" w:space="0" w:color="auto"/>
              <w:bottom w:val="single" w:sz="4" w:space="0" w:color="auto"/>
              <w:right w:val="single" w:sz="4" w:space="0" w:color="auto"/>
            </w:tcBorders>
          </w:tcPr>
          <w:p w:rsidR="006422F3" w:rsidRPr="0059743E" w:rsidRDefault="006422F3" w:rsidP="0042226F">
            <w:pPr>
              <w:jc w:val="both"/>
              <w:rPr>
                <w:rFonts w:cs="Calibri"/>
                <w:color w:val="000000"/>
              </w:rPr>
            </w:pPr>
            <w:r>
              <w:rPr>
                <w:rFonts w:cs="Calibri"/>
                <w:color w:val="000000"/>
              </w:rPr>
              <w:t>Non-Governmental Organizations</w:t>
            </w:r>
          </w:p>
        </w:tc>
      </w:tr>
      <w:tr w:rsidR="006422F3" w:rsidRPr="0059743E" w:rsidTr="0042226F">
        <w:trPr>
          <w:trHeight w:val="368"/>
        </w:trPr>
        <w:tc>
          <w:tcPr>
            <w:tcW w:w="2178" w:type="dxa"/>
            <w:tcBorders>
              <w:top w:val="single" w:sz="4" w:space="0" w:color="auto"/>
              <w:left w:val="single" w:sz="4" w:space="0" w:color="auto"/>
              <w:bottom w:val="single" w:sz="4" w:space="0" w:color="auto"/>
              <w:right w:val="single" w:sz="4" w:space="0" w:color="auto"/>
            </w:tcBorders>
          </w:tcPr>
          <w:p w:rsidR="006422F3" w:rsidRPr="0059743E" w:rsidRDefault="006422F3" w:rsidP="0042226F">
            <w:pPr>
              <w:jc w:val="both"/>
              <w:rPr>
                <w:rFonts w:cs="Calibri"/>
                <w:b/>
              </w:rPr>
            </w:pPr>
            <w:r>
              <w:rPr>
                <w:rFonts w:cs="Calibri"/>
                <w:b/>
              </w:rPr>
              <w:t>MMCET</w:t>
            </w:r>
          </w:p>
        </w:tc>
        <w:tc>
          <w:tcPr>
            <w:tcW w:w="6480" w:type="dxa"/>
            <w:tcBorders>
              <w:top w:val="single" w:sz="4" w:space="0" w:color="auto"/>
              <w:left w:val="single" w:sz="4" w:space="0" w:color="auto"/>
              <w:bottom w:val="single" w:sz="4" w:space="0" w:color="auto"/>
              <w:right w:val="single" w:sz="4" w:space="0" w:color="auto"/>
            </w:tcBorders>
          </w:tcPr>
          <w:p w:rsidR="006422F3" w:rsidRPr="0059743E" w:rsidRDefault="006422F3" w:rsidP="00241FF2">
            <w:pPr>
              <w:jc w:val="both"/>
              <w:rPr>
                <w:rFonts w:cs="Calibri"/>
                <w:color w:val="000000"/>
              </w:rPr>
            </w:pPr>
            <w:r>
              <w:rPr>
                <w:rFonts w:cs="Calibri"/>
                <w:color w:val="000000"/>
              </w:rPr>
              <w:t>Milton Ma</w:t>
            </w:r>
            <w:r w:rsidR="00241FF2">
              <w:rPr>
                <w:rFonts w:cs="Calibri"/>
                <w:color w:val="000000"/>
              </w:rPr>
              <w:t>rgai</w:t>
            </w:r>
            <w:r>
              <w:rPr>
                <w:rFonts w:cs="Calibri"/>
                <w:color w:val="000000"/>
              </w:rPr>
              <w:t xml:space="preserve"> College of Education and technology</w:t>
            </w:r>
          </w:p>
        </w:tc>
      </w:tr>
      <w:tr w:rsidR="006422F3" w:rsidRPr="0059743E" w:rsidTr="0042226F">
        <w:trPr>
          <w:trHeight w:val="350"/>
        </w:trPr>
        <w:tc>
          <w:tcPr>
            <w:tcW w:w="2178" w:type="dxa"/>
          </w:tcPr>
          <w:p w:rsidR="006422F3" w:rsidRPr="0059743E" w:rsidRDefault="006422F3" w:rsidP="0042226F">
            <w:pPr>
              <w:jc w:val="both"/>
              <w:rPr>
                <w:rFonts w:cs="Calibri"/>
                <w:b/>
                <w:color w:val="000000"/>
              </w:rPr>
            </w:pPr>
            <w:r>
              <w:rPr>
                <w:rFonts w:cs="Calibri"/>
                <w:b/>
                <w:color w:val="000000"/>
              </w:rPr>
              <w:t>IP</w:t>
            </w:r>
          </w:p>
        </w:tc>
        <w:tc>
          <w:tcPr>
            <w:tcW w:w="6480" w:type="dxa"/>
          </w:tcPr>
          <w:p w:rsidR="006422F3" w:rsidRPr="0059743E" w:rsidRDefault="006422F3" w:rsidP="0042226F">
            <w:pPr>
              <w:jc w:val="both"/>
              <w:rPr>
                <w:rFonts w:cs="Calibri"/>
                <w:color w:val="000000"/>
              </w:rPr>
            </w:pPr>
            <w:r>
              <w:rPr>
                <w:rFonts w:cs="Calibri"/>
                <w:color w:val="000000"/>
              </w:rPr>
              <w:t>Implementing partners</w:t>
            </w:r>
          </w:p>
        </w:tc>
      </w:tr>
      <w:tr w:rsidR="00D34F84" w:rsidRPr="0059743E" w:rsidTr="0042226F">
        <w:trPr>
          <w:trHeight w:val="350"/>
        </w:trPr>
        <w:tc>
          <w:tcPr>
            <w:tcW w:w="2178" w:type="dxa"/>
          </w:tcPr>
          <w:p w:rsidR="00D34F84" w:rsidRPr="00D34F84" w:rsidRDefault="00D34F84" w:rsidP="0042226F">
            <w:pPr>
              <w:jc w:val="both"/>
              <w:rPr>
                <w:rFonts w:cs="Calibri"/>
                <w:b/>
                <w:color w:val="000000"/>
              </w:rPr>
            </w:pPr>
            <w:r w:rsidRPr="00D34F84">
              <w:rPr>
                <w:rFonts w:eastAsia="Calibri"/>
                <w:b/>
              </w:rPr>
              <w:t>SFCU</w:t>
            </w:r>
          </w:p>
        </w:tc>
        <w:tc>
          <w:tcPr>
            <w:tcW w:w="6480" w:type="dxa"/>
          </w:tcPr>
          <w:p w:rsidR="00D34F84" w:rsidRDefault="009B499A" w:rsidP="0042226F">
            <w:pPr>
              <w:jc w:val="both"/>
              <w:rPr>
                <w:rFonts w:cs="Calibri"/>
                <w:color w:val="000000"/>
              </w:rPr>
            </w:pPr>
            <w:r>
              <w:rPr>
                <w:rFonts w:cs="Calibri"/>
                <w:color w:val="000000"/>
              </w:rPr>
              <w:t>School Feeding Coordination Unit</w:t>
            </w:r>
          </w:p>
        </w:tc>
      </w:tr>
      <w:tr w:rsidR="009B499A" w:rsidRPr="0059743E" w:rsidTr="0042226F">
        <w:trPr>
          <w:trHeight w:val="350"/>
        </w:trPr>
        <w:tc>
          <w:tcPr>
            <w:tcW w:w="2178" w:type="dxa"/>
          </w:tcPr>
          <w:p w:rsidR="009B499A" w:rsidRPr="00D34F84" w:rsidRDefault="009B499A" w:rsidP="0042226F">
            <w:pPr>
              <w:jc w:val="both"/>
              <w:rPr>
                <w:rFonts w:eastAsia="Calibri"/>
                <w:b/>
              </w:rPr>
            </w:pPr>
            <w:r>
              <w:rPr>
                <w:rFonts w:eastAsia="Calibri"/>
                <w:b/>
              </w:rPr>
              <w:t>MEST</w:t>
            </w:r>
          </w:p>
        </w:tc>
        <w:tc>
          <w:tcPr>
            <w:tcW w:w="6480" w:type="dxa"/>
          </w:tcPr>
          <w:p w:rsidR="009B499A" w:rsidRDefault="009B499A" w:rsidP="0042226F">
            <w:pPr>
              <w:jc w:val="both"/>
              <w:rPr>
                <w:rFonts w:cs="Calibri"/>
                <w:color w:val="000000"/>
              </w:rPr>
            </w:pPr>
            <w:r w:rsidRPr="0065431D">
              <w:t>Ministry of Education, Science and Technology</w:t>
            </w:r>
          </w:p>
        </w:tc>
      </w:tr>
    </w:tbl>
    <w:p w:rsidR="006422F3" w:rsidRPr="00B964E0" w:rsidRDefault="006422F3" w:rsidP="006422F3"/>
    <w:p w:rsidR="009036CC" w:rsidRPr="0065431D" w:rsidRDefault="009036CC" w:rsidP="006422F3">
      <w:pPr>
        <w:pStyle w:val="ListParagraph"/>
        <w:ind w:left="1140"/>
        <w:contextualSpacing w:val="0"/>
        <w:jc w:val="both"/>
        <w:rPr>
          <w:sz w:val="22"/>
          <w:szCs w:val="22"/>
        </w:rPr>
      </w:pPr>
      <w:r w:rsidRPr="0065431D">
        <w:rPr>
          <w:sz w:val="22"/>
          <w:szCs w:val="22"/>
        </w:rPr>
        <w:t xml:space="preserve"> </w:t>
      </w:r>
    </w:p>
    <w:sectPr w:rsidR="009036CC" w:rsidRPr="0065431D" w:rsidSect="00C900F1">
      <w:footerReference w:type="default" r:id="rId12"/>
      <w:footerReference w:type="first" r:id="rId13"/>
      <w:pgSz w:w="16839" w:h="11907" w:orient="landscape" w:code="9"/>
      <w:pgMar w:top="1440" w:right="1440" w:bottom="1440" w:left="1440"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9B" w:rsidRDefault="005C4B9B">
      <w:r>
        <w:separator/>
      </w:r>
    </w:p>
  </w:endnote>
  <w:endnote w:type="continuationSeparator" w:id="0">
    <w:p w:rsidR="005C4B9B" w:rsidRDefault="005C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E6" w:rsidRDefault="00B543E6">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125969">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fldSimple w:instr=" NUMPAGES   \* MERGEFORMAT ">
      <w:r w:rsidR="00125969" w:rsidRPr="00125969">
        <w:rPr>
          <w:rFonts w:ascii="Arial" w:hAnsi="Arial" w:cs="Arial"/>
          <w:noProof/>
          <w:sz w:val="18"/>
          <w:szCs w:val="18"/>
        </w:rPr>
        <w:t>18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E6" w:rsidRDefault="00B543E6">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A930E6">
      <w:rPr>
        <w:rFonts w:ascii="Arial" w:hAnsi="Arial" w:cs="Arial"/>
        <w:noProof/>
        <w:sz w:val="18"/>
        <w:szCs w:val="18"/>
      </w:rPr>
      <w:t>14</w:t>
    </w:r>
    <w:r>
      <w:rPr>
        <w:rFonts w:ascii="Arial" w:hAnsi="Arial" w:cs="Arial"/>
        <w:sz w:val="18"/>
        <w:szCs w:val="18"/>
      </w:rPr>
      <w:fldChar w:fldCharType="end"/>
    </w:r>
    <w:r>
      <w:rPr>
        <w:rFonts w:ascii="Arial" w:hAnsi="Arial" w:cs="Arial"/>
        <w:sz w:val="18"/>
        <w:szCs w:val="18"/>
      </w:rPr>
      <w:t xml:space="preserve"> of </w:t>
    </w:r>
    <w:fldSimple w:instr=" NUMPAGES   \* MERGEFORMAT ">
      <w:r w:rsidR="00A930E6" w:rsidRPr="00A930E6">
        <w:rPr>
          <w:rFonts w:ascii="Arial" w:hAnsi="Arial" w:cs="Arial"/>
          <w:noProof/>
          <w:sz w:val="18"/>
          <w:szCs w:val="18"/>
        </w:rPr>
        <w:t>14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45" w:rsidRDefault="009036CC">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lang w:val="en-GB"/>
      </w:rPr>
      <w:t>SL-</w:t>
    </w:r>
    <w:r w:rsidR="00524045">
      <w:rPr>
        <w:rFonts w:ascii="Arial" w:hAnsi="Arial" w:cs="Arial"/>
        <w:sz w:val="18"/>
        <w:szCs w:val="18"/>
        <w:lang w:val="en-GB"/>
      </w:rPr>
      <w:t>MDTF Annual Progress Report</w:t>
    </w:r>
    <w:r w:rsidR="00524045">
      <w:rPr>
        <w:rFonts w:ascii="Arial" w:hAnsi="Arial" w:cs="Arial"/>
        <w:sz w:val="18"/>
        <w:szCs w:val="18"/>
      </w:rPr>
      <w:tab/>
    </w:r>
    <w:r w:rsidR="00524045">
      <w:rPr>
        <w:rFonts w:ascii="Arial" w:hAnsi="Arial" w:cs="Arial"/>
        <w:sz w:val="18"/>
        <w:szCs w:val="18"/>
      </w:rPr>
      <w:tab/>
      <w:t xml:space="preserve">Page </w:t>
    </w:r>
    <w:r w:rsidR="00524045">
      <w:rPr>
        <w:rFonts w:ascii="Arial" w:hAnsi="Arial" w:cs="Arial"/>
        <w:sz w:val="18"/>
        <w:szCs w:val="18"/>
      </w:rPr>
      <w:fldChar w:fldCharType="begin"/>
    </w:r>
    <w:r w:rsidR="00524045">
      <w:rPr>
        <w:rFonts w:ascii="Arial" w:hAnsi="Arial" w:cs="Arial"/>
        <w:sz w:val="18"/>
        <w:szCs w:val="18"/>
      </w:rPr>
      <w:instrText xml:space="preserve"> PAGE   \* MERGEFORMAT </w:instrText>
    </w:r>
    <w:r w:rsidR="00524045">
      <w:rPr>
        <w:rFonts w:ascii="Arial" w:hAnsi="Arial" w:cs="Arial"/>
        <w:sz w:val="18"/>
        <w:szCs w:val="18"/>
      </w:rPr>
      <w:fldChar w:fldCharType="separate"/>
    </w:r>
    <w:r w:rsidR="00125969">
      <w:rPr>
        <w:rFonts w:ascii="Arial" w:hAnsi="Arial" w:cs="Arial"/>
        <w:noProof/>
        <w:sz w:val="18"/>
        <w:szCs w:val="18"/>
      </w:rPr>
      <w:t>13</w:t>
    </w:r>
    <w:r w:rsidR="00524045">
      <w:rPr>
        <w:rFonts w:ascii="Arial" w:hAnsi="Arial" w:cs="Arial"/>
        <w:sz w:val="18"/>
        <w:szCs w:val="18"/>
      </w:rPr>
      <w:fldChar w:fldCharType="end"/>
    </w:r>
    <w:r w:rsidR="00524045">
      <w:rPr>
        <w:rFonts w:ascii="Arial" w:hAnsi="Arial" w:cs="Arial"/>
        <w:sz w:val="18"/>
        <w:szCs w:val="18"/>
      </w:rPr>
      <w:t xml:space="preserve"> of </w:t>
    </w:r>
    <w:fldSimple w:instr=" NUMPAGES   \* MERGEFORMAT ">
      <w:r w:rsidR="00125969" w:rsidRPr="00125969">
        <w:rPr>
          <w:rFonts w:ascii="Arial" w:hAnsi="Arial" w:cs="Arial"/>
          <w:noProof/>
          <w:sz w:val="18"/>
          <w:szCs w:val="18"/>
        </w:rPr>
        <w:t>18</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45" w:rsidRDefault="00524045">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A930E6">
      <w:rPr>
        <w:rFonts w:ascii="Arial" w:hAnsi="Arial" w:cs="Arial"/>
        <w:noProof/>
        <w:sz w:val="18"/>
        <w:szCs w:val="18"/>
      </w:rPr>
      <w:t>14</w:t>
    </w:r>
    <w:r>
      <w:rPr>
        <w:rFonts w:ascii="Arial" w:hAnsi="Arial" w:cs="Arial"/>
        <w:sz w:val="18"/>
        <w:szCs w:val="18"/>
      </w:rPr>
      <w:fldChar w:fldCharType="end"/>
    </w:r>
    <w:r>
      <w:rPr>
        <w:rFonts w:ascii="Arial" w:hAnsi="Arial" w:cs="Arial"/>
        <w:sz w:val="18"/>
        <w:szCs w:val="18"/>
      </w:rPr>
      <w:t xml:space="preserve"> of </w:t>
    </w:r>
    <w:fldSimple w:instr=" NUMPAGES   \* MERGEFORMAT ">
      <w:r w:rsidR="00A930E6" w:rsidRPr="00A930E6">
        <w:rPr>
          <w:rFonts w:ascii="Arial" w:hAnsi="Arial" w:cs="Arial"/>
          <w:noProof/>
          <w:sz w:val="18"/>
          <w:szCs w:val="18"/>
        </w:rPr>
        <w:t>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9B" w:rsidRDefault="005C4B9B">
      <w:r>
        <w:separator/>
      </w:r>
    </w:p>
  </w:footnote>
  <w:footnote w:type="continuationSeparator" w:id="0">
    <w:p w:rsidR="005C4B9B" w:rsidRDefault="005C4B9B">
      <w:r>
        <w:continuationSeparator/>
      </w:r>
    </w:p>
  </w:footnote>
  <w:footnote w:id="1">
    <w:p w:rsidR="009036CC" w:rsidRPr="00F83DC8" w:rsidRDefault="009036CC" w:rsidP="009036CC">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 </w:t>
      </w:r>
    </w:p>
  </w:footnote>
  <w:footnote w:id="2">
    <w:p w:rsidR="00CD541E" w:rsidRDefault="00CD541E">
      <w:pPr>
        <w:pStyle w:val="FootnoteText"/>
      </w:pPr>
      <w:r>
        <w:rPr>
          <w:rStyle w:val="FootnoteReference"/>
        </w:rPr>
        <w:footnoteRef/>
      </w:r>
      <w:r>
        <w:t xml:space="preserve"> Priority Area for the Peacebuilding Fund; Sector for the UNDG ITF</w:t>
      </w:r>
    </w:p>
  </w:footnote>
  <w:footnote w:id="3">
    <w:p w:rsidR="00B73374" w:rsidRDefault="00B73374" w:rsidP="00B73374">
      <w:pPr>
        <w:pStyle w:val="FootnoteText"/>
      </w:pPr>
    </w:p>
  </w:footnote>
  <w:footnote w:id="4">
    <w:p w:rsidR="00B73374" w:rsidRDefault="00B73374" w:rsidP="00B73374">
      <w:pPr>
        <w:pStyle w:val="FootnoteText"/>
      </w:pPr>
    </w:p>
  </w:footnote>
  <w:footnote w:id="5">
    <w:p w:rsidR="006A650E" w:rsidRDefault="006A650E" w:rsidP="006A650E">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1" w:history="1">
        <w:r w:rsidRPr="007E719B">
          <w:rPr>
            <w:rStyle w:val="Hyperlink"/>
          </w:rPr>
          <w:t>MPTF Office GATEWAY</w:t>
        </w:r>
      </w:hyperlink>
      <w:r>
        <w:t>.</w:t>
      </w:r>
    </w:p>
  </w:footnote>
  <w:footnote w:id="6">
    <w:p w:rsidR="006A650E" w:rsidRDefault="006A650E" w:rsidP="006A650E">
      <w:pPr>
        <w:pStyle w:val="FootnoteText"/>
      </w:pPr>
      <w:r>
        <w:rPr>
          <w:rStyle w:val="FootnoteReference"/>
        </w:rPr>
        <w:footnoteRef/>
      </w:r>
      <w:r>
        <w:t xml:space="preserve"> As per approval by the relevant decision-making body/Steering Committee.</w:t>
      </w:r>
    </w:p>
  </w:footnote>
  <w:footnote w:id="7">
    <w:p w:rsidR="006A650E" w:rsidRDefault="006A650E" w:rsidP="006A650E">
      <w:pPr>
        <w:pStyle w:val="FootnoteText"/>
      </w:pPr>
      <w:r>
        <w:rPr>
          <w:rStyle w:val="FootnoteReference"/>
        </w:rPr>
        <w:footnoteRef/>
      </w:r>
      <w:r>
        <w:t xml:space="preserve"> All activities for which a Participating Organization is responsible under an approved MPTF programme have been completed. Agencies to advise the MPTF Office </w:t>
      </w:r>
    </w:p>
  </w:footnote>
  <w:footnote w:id="8">
    <w:p w:rsidR="00D9085B" w:rsidRDefault="00D9085B" w:rsidP="00D9085B">
      <w:pPr>
        <w:pStyle w:val="FootnoteText"/>
      </w:pPr>
      <w:r>
        <w:rPr>
          <w:rStyle w:val="FootnoteReference"/>
        </w:rPr>
        <w:footnoteRef/>
      </w:r>
      <w:r>
        <w:t xml:space="preserve"> 80 footballs and 40 sets of football nets; 80 volleyballs and 40 volleyball nets; 200 handballs; 400 skipping ropes; 200 Ludo games; 80 scrabble sets</w:t>
      </w:r>
    </w:p>
  </w:footnote>
  <w:footnote w:id="9">
    <w:p w:rsidR="00D9085B" w:rsidRDefault="00D9085B" w:rsidP="00D9085B">
      <w:pPr>
        <w:pStyle w:val="FootnoteText"/>
      </w:pPr>
      <w:r>
        <w:rPr>
          <w:rStyle w:val="FootnoteReference"/>
        </w:rPr>
        <w:footnoteRef/>
      </w:r>
      <w:r>
        <w:t xml:space="preserve"> 200 duplicating papers; 200 pocket files; 40 filing cabinets</w:t>
      </w:r>
    </w:p>
  </w:footnote>
  <w:footnote w:id="10">
    <w:p w:rsidR="00D9085B" w:rsidRDefault="00D9085B" w:rsidP="00D9085B">
      <w:pPr>
        <w:pStyle w:val="FootnoteText"/>
      </w:pPr>
      <w:r>
        <w:rPr>
          <w:rStyle w:val="FootnoteReference"/>
        </w:rPr>
        <w:footnoteRef/>
      </w:r>
      <w:r>
        <w:t xml:space="preserve"> The solar lights are expected to support about 2000 upper primary school children in the 40 schools. </w:t>
      </w:r>
    </w:p>
  </w:footnote>
  <w:footnote w:id="11">
    <w:p w:rsidR="00B543E6" w:rsidRDefault="00B543E6" w:rsidP="00B543E6">
      <w:pPr>
        <w:pStyle w:val="FootnoteText"/>
      </w:pPr>
      <w:r>
        <w:rPr>
          <w:rStyle w:val="FootnoteReference"/>
        </w:rPr>
        <w:footnoteRef/>
      </w:r>
      <w:r>
        <w:t xml:space="preserve"> Note: Outcomes, outputs, indicators and targets should be </w:t>
      </w:r>
      <w:r w:rsidRPr="0068496F">
        <w:rPr>
          <w:b/>
        </w:rPr>
        <w:t>as outline</w:t>
      </w:r>
      <w:r>
        <w:rPr>
          <w:b/>
        </w:rPr>
        <w:t>d</w:t>
      </w:r>
      <w:r w:rsidRPr="0068496F">
        <w:rPr>
          <w:b/>
        </w:rPr>
        <w:t xml:space="preserve"> in the Project Document</w:t>
      </w:r>
      <w:r>
        <w:t xml:space="preserve"> so that you report on your </w:t>
      </w:r>
      <w:r w:rsidRPr="0068496F">
        <w:rPr>
          <w:b/>
        </w:rPr>
        <w:t xml:space="preserve">actual achievements against planned </w:t>
      </w:r>
      <w:r>
        <w:rPr>
          <w:b/>
        </w:rPr>
        <w:t>targets</w:t>
      </w:r>
      <w:r>
        <w:t xml:space="preserve">. Add rows as required for Outcome 2, 3 etc.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5pt;height:4.5pt" o:bullet="t">
        <v:imagedata r:id="rId1" o:title="bullet"/>
      </v:shape>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nsid w:val="0198619F"/>
    <w:multiLevelType w:val="hybridMultilevel"/>
    <w:tmpl w:val="25580258"/>
    <w:lvl w:ilvl="0" w:tplc="38EE8678">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055FF"/>
    <w:multiLevelType w:val="hybridMultilevel"/>
    <w:tmpl w:val="17521076"/>
    <w:lvl w:ilvl="0" w:tplc="2B46A826">
      <w:start w:val="1"/>
      <w:numFmt w:val="bullet"/>
      <w:lvlText w:val="-"/>
      <w:lvlJc w:val="left"/>
      <w:pPr>
        <w:ind w:left="720" w:hanging="360"/>
      </w:pPr>
      <w:rPr>
        <w:rFonts w:ascii="Calibri" w:eastAsia="Cambria"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12F12"/>
    <w:multiLevelType w:val="hybridMultilevel"/>
    <w:tmpl w:val="25EAEA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D4A61"/>
    <w:multiLevelType w:val="hybridMultilevel"/>
    <w:tmpl w:val="4538CF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75E13"/>
    <w:multiLevelType w:val="hybridMultilevel"/>
    <w:tmpl w:val="8E0A8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EB5570"/>
    <w:multiLevelType w:val="hybridMultilevel"/>
    <w:tmpl w:val="012092BC"/>
    <w:lvl w:ilvl="0" w:tplc="A0624842">
      <w:start w:val="1"/>
      <w:numFmt w:val="upperRoman"/>
      <w:lvlText w:val="%1."/>
      <w:lvlJc w:val="left"/>
      <w:pPr>
        <w:tabs>
          <w:tab w:val="num" w:pos="1260"/>
        </w:tabs>
        <w:ind w:left="126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8">
    <w:nsid w:val="106E7511"/>
    <w:multiLevelType w:val="hybridMultilevel"/>
    <w:tmpl w:val="A8B0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74A81"/>
    <w:multiLevelType w:val="hybridMultilevel"/>
    <w:tmpl w:val="E5A47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40E10C1"/>
    <w:multiLevelType w:val="hybridMultilevel"/>
    <w:tmpl w:val="BBC6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E6AF1"/>
    <w:multiLevelType w:val="hybridMultilevel"/>
    <w:tmpl w:val="C71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066EDF"/>
    <w:multiLevelType w:val="hybridMultilevel"/>
    <w:tmpl w:val="2FC6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D20810"/>
    <w:multiLevelType w:val="hybridMultilevel"/>
    <w:tmpl w:val="55783F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724810"/>
    <w:multiLevelType w:val="hybridMultilevel"/>
    <w:tmpl w:val="24844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E1F4F8C"/>
    <w:multiLevelType w:val="hybridMultilevel"/>
    <w:tmpl w:val="07D004DE"/>
    <w:lvl w:ilvl="0" w:tplc="FE52261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DB204F"/>
    <w:multiLevelType w:val="hybridMultilevel"/>
    <w:tmpl w:val="CB005680"/>
    <w:lvl w:ilvl="0" w:tplc="075EE604">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182FF5"/>
    <w:multiLevelType w:val="hybridMultilevel"/>
    <w:tmpl w:val="22F0C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C5B75"/>
    <w:multiLevelType w:val="hybridMultilevel"/>
    <w:tmpl w:val="E93E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BA3CE2"/>
    <w:multiLevelType w:val="hybridMultilevel"/>
    <w:tmpl w:val="1FF8CB00"/>
    <w:lvl w:ilvl="0" w:tplc="F08842F4">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4476693"/>
    <w:multiLevelType w:val="multilevel"/>
    <w:tmpl w:val="043E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AB40B4"/>
    <w:multiLevelType w:val="hybridMultilevel"/>
    <w:tmpl w:val="967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E22504"/>
    <w:multiLevelType w:val="hybridMultilevel"/>
    <w:tmpl w:val="6BF6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004234"/>
    <w:multiLevelType w:val="hybridMultilevel"/>
    <w:tmpl w:val="2B52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08501A"/>
    <w:multiLevelType w:val="hybridMultilevel"/>
    <w:tmpl w:val="82602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3B6BDD"/>
    <w:multiLevelType w:val="hybridMultilevel"/>
    <w:tmpl w:val="20E8DF94"/>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B209CB"/>
    <w:multiLevelType w:val="hybridMultilevel"/>
    <w:tmpl w:val="BD04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CF5399"/>
    <w:multiLevelType w:val="hybridMultilevel"/>
    <w:tmpl w:val="C40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23F82"/>
    <w:multiLevelType w:val="hybridMultilevel"/>
    <w:tmpl w:val="B49EA156"/>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2E116E"/>
    <w:multiLevelType w:val="hybridMultilevel"/>
    <w:tmpl w:val="A754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B015AD"/>
    <w:multiLevelType w:val="hybridMultilevel"/>
    <w:tmpl w:val="D86E8EDA"/>
    <w:lvl w:ilvl="0" w:tplc="04090001">
      <w:start w:val="1"/>
      <w:numFmt w:val="bullet"/>
      <w:lvlText w:val=""/>
      <w:lvlJc w:val="left"/>
      <w:pPr>
        <w:ind w:left="1140" w:hanging="720"/>
      </w:pPr>
      <w:rPr>
        <w:rFonts w:ascii="Symbol" w:hAnsi="Symbol" w:hint="default"/>
        <w:sz w:val="24"/>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7"/>
  </w:num>
  <w:num w:numId="2">
    <w:abstractNumId w:val="22"/>
  </w:num>
  <w:num w:numId="3">
    <w:abstractNumId w:val="3"/>
  </w:num>
  <w:num w:numId="4">
    <w:abstractNumId w:val="30"/>
  </w:num>
  <w:num w:numId="5">
    <w:abstractNumId w:val="24"/>
  </w:num>
  <w:num w:numId="6">
    <w:abstractNumId w:val="34"/>
  </w:num>
  <w:num w:numId="7">
    <w:abstractNumId w:val="17"/>
  </w:num>
  <w:num w:numId="8">
    <w:abstractNumId w:val="21"/>
  </w:num>
  <w:num w:numId="9">
    <w:abstractNumId w:val="38"/>
  </w:num>
  <w:num w:numId="10">
    <w:abstractNumId w:val="6"/>
  </w:num>
  <w:num w:numId="11">
    <w:abstractNumId w:val="31"/>
  </w:num>
  <w:num w:numId="12">
    <w:abstractNumId w:val="4"/>
  </w:num>
  <w:num w:numId="13">
    <w:abstractNumId w:val="10"/>
  </w:num>
  <w:num w:numId="14">
    <w:abstractNumId w:val="5"/>
  </w:num>
  <w:num w:numId="15">
    <w:abstractNumId w:val="14"/>
  </w:num>
  <w:num w:numId="16">
    <w:abstractNumId w:val="15"/>
  </w:num>
  <w:num w:numId="17">
    <w:abstractNumId w:val="28"/>
  </w:num>
  <w:num w:numId="18">
    <w:abstractNumId w:val="2"/>
  </w:num>
  <w:num w:numId="19">
    <w:abstractNumId w:val="12"/>
  </w:num>
  <w:num w:numId="20">
    <w:abstractNumId w:val="18"/>
  </w:num>
  <w:num w:numId="21">
    <w:abstractNumId w:val="8"/>
  </w:num>
  <w:num w:numId="22">
    <w:abstractNumId w:val="39"/>
  </w:num>
  <w:num w:numId="23">
    <w:abstractNumId w:val="37"/>
  </w:num>
  <w:num w:numId="24">
    <w:abstractNumId w:val="36"/>
  </w:num>
  <w:num w:numId="25">
    <w:abstractNumId w:val="1"/>
  </w:num>
  <w:num w:numId="26">
    <w:abstractNumId w:val="23"/>
  </w:num>
  <w:num w:numId="27">
    <w:abstractNumId w:val="19"/>
  </w:num>
  <w:num w:numId="28">
    <w:abstractNumId w:val="25"/>
  </w:num>
  <w:num w:numId="29">
    <w:abstractNumId w:val="11"/>
  </w:num>
  <w:num w:numId="30">
    <w:abstractNumId w:val="35"/>
  </w:num>
  <w:num w:numId="31">
    <w:abstractNumId w:val="26"/>
  </w:num>
  <w:num w:numId="32">
    <w:abstractNumId w:val="9"/>
  </w:num>
  <w:num w:numId="33">
    <w:abstractNumId w:val="40"/>
  </w:num>
  <w:num w:numId="34">
    <w:abstractNumId w:val="0"/>
  </w:num>
  <w:num w:numId="35">
    <w:abstractNumId w:val="27"/>
  </w:num>
  <w:num w:numId="36">
    <w:abstractNumId w:val="16"/>
  </w:num>
  <w:num w:numId="37">
    <w:abstractNumId w:val="32"/>
  </w:num>
  <w:num w:numId="38">
    <w:abstractNumId w:val="29"/>
  </w:num>
  <w:num w:numId="39">
    <w:abstractNumId w:val="20"/>
  </w:num>
  <w:num w:numId="40">
    <w:abstractNumId w:val="13"/>
  </w:num>
  <w:num w:numId="41">
    <w:abstractNumId w:val="33"/>
  </w:num>
  <w:num w:numId="42">
    <w:abstractNumId w:val="33"/>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11FCE"/>
    <w:rsid w:val="00015581"/>
    <w:rsid w:val="0003139A"/>
    <w:rsid w:val="0003277E"/>
    <w:rsid w:val="0007299D"/>
    <w:rsid w:val="00080A86"/>
    <w:rsid w:val="0008399E"/>
    <w:rsid w:val="00094A66"/>
    <w:rsid w:val="000A3632"/>
    <w:rsid w:val="000B60B8"/>
    <w:rsid w:val="000C2813"/>
    <w:rsid w:val="000D11D8"/>
    <w:rsid w:val="000E4B16"/>
    <w:rsid w:val="00125943"/>
    <w:rsid w:val="00125969"/>
    <w:rsid w:val="00126BF3"/>
    <w:rsid w:val="001434DB"/>
    <w:rsid w:val="00161484"/>
    <w:rsid w:val="001B711B"/>
    <w:rsid w:val="001E1287"/>
    <w:rsid w:val="00205B8D"/>
    <w:rsid w:val="00212470"/>
    <w:rsid w:val="0021310A"/>
    <w:rsid w:val="00240424"/>
    <w:rsid w:val="00241FF2"/>
    <w:rsid w:val="00246643"/>
    <w:rsid w:val="00273F09"/>
    <w:rsid w:val="00285666"/>
    <w:rsid w:val="002974D5"/>
    <w:rsid w:val="002A24A3"/>
    <w:rsid w:val="002B1267"/>
    <w:rsid w:val="002B33FE"/>
    <w:rsid w:val="00302A2E"/>
    <w:rsid w:val="0030313A"/>
    <w:rsid w:val="0034312C"/>
    <w:rsid w:val="003539E0"/>
    <w:rsid w:val="00355640"/>
    <w:rsid w:val="00362A19"/>
    <w:rsid w:val="00382566"/>
    <w:rsid w:val="003A36ED"/>
    <w:rsid w:val="003B3669"/>
    <w:rsid w:val="003D0E10"/>
    <w:rsid w:val="003D1B1F"/>
    <w:rsid w:val="0042226F"/>
    <w:rsid w:val="00440AA3"/>
    <w:rsid w:val="004413AE"/>
    <w:rsid w:val="00495944"/>
    <w:rsid w:val="00495BBB"/>
    <w:rsid w:val="004A5723"/>
    <w:rsid w:val="004D0EE8"/>
    <w:rsid w:val="00524045"/>
    <w:rsid w:val="0058497F"/>
    <w:rsid w:val="00587842"/>
    <w:rsid w:val="005C4B9B"/>
    <w:rsid w:val="00606C35"/>
    <w:rsid w:val="006155E8"/>
    <w:rsid w:val="006422F3"/>
    <w:rsid w:val="0065431D"/>
    <w:rsid w:val="00671F82"/>
    <w:rsid w:val="006A650E"/>
    <w:rsid w:val="006B2DE7"/>
    <w:rsid w:val="006E26D4"/>
    <w:rsid w:val="00714921"/>
    <w:rsid w:val="0075797E"/>
    <w:rsid w:val="007950DE"/>
    <w:rsid w:val="007C0CE0"/>
    <w:rsid w:val="007D1983"/>
    <w:rsid w:val="008029C6"/>
    <w:rsid w:val="00804AB7"/>
    <w:rsid w:val="0081291E"/>
    <w:rsid w:val="008301D8"/>
    <w:rsid w:val="0084579C"/>
    <w:rsid w:val="00870371"/>
    <w:rsid w:val="008B325B"/>
    <w:rsid w:val="008E2145"/>
    <w:rsid w:val="008F73ED"/>
    <w:rsid w:val="009036CC"/>
    <w:rsid w:val="009142CD"/>
    <w:rsid w:val="00914AFD"/>
    <w:rsid w:val="00935166"/>
    <w:rsid w:val="00980E3C"/>
    <w:rsid w:val="00991818"/>
    <w:rsid w:val="009B1EDC"/>
    <w:rsid w:val="009B499A"/>
    <w:rsid w:val="009C7982"/>
    <w:rsid w:val="009D726E"/>
    <w:rsid w:val="009E716F"/>
    <w:rsid w:val="009F2636"/>
    <w:rsid w:val="009F425F"/>
    <w:rsid w:val="00A16B82"/>
    <w:rsid w:val="00A270A9"/>
    <w:rsid w:val="00A36C78"/>
    <w:rsid w:val="00A40F4B"/>
    <w:rsid w:val="00A43840"/>
    <w:rsid w:val="00A71B5E"/>
    <w:rsid w:val="00A77333"/>
    <w:rsid w:val="00A930E6"/>
    <w:rsid w:val="00A963FA"/>
    <w:rsid w:val="00AD7A8B"/>
    <w:rsid w:val="00AF3288"/>
    <w:rsid w:val="00B4650E"/>
    <w:rsid w:val="00B543E6"/>
    <w:rsid w:val="00B57EB3"/>
    <w:rsid w:val="00B60C28"/>
    <w:rsid w:val="00B73374"/>
    <w:rsid w:val="00BB0E03"/>
    <w:rsid w:val="00BB3435"/>
    <w:rsid w:val="00BF5081"/>
    <w:rsid w:val="00BF5E80"/>
    <w:rsid w:val="00C032A3"/>
    <w:rsid w:val="00C03666"/>
    <w:rsid w:val="00C11419"/>
    <w:rsid w:val="00C51E3D"/>
    <w:rsid w:val="00C77A59"/>
    <w:rsid w:val="00C900F1"/>
    <w:rsid w:val="00C90548"/>
    <w:rsid w:val="00C91BAB"/>
    <w:rsid w:val="00C92467"/>
    <w:rsid w:val="00CA5352"/>
    <w:rsid w:val="00CB2273"/>
    <w:rsid w:val="00CC0270"/>
    <w:rsid w:val="00CD541E"/>
    <w:rsid w:val="00CD7FFE"/>
    <w:rsid w:val="00CE0E31"/>
    <w:rsid w:val="00CF4343"/>
    <w:rsid w:val="00D0105B"/>
    <w:rsid w:val="00D34F84"/>
    <w:rsid w:val="00D460BE"/>
    <w:rsid w:val="00D610CF"/>
    <w:rsid w:val="00D719E2"/>
    <w:rsid w:val="00D9085B"/>
    <w:rsid w:val="00D91BA8"/>
    <w:rsid w:val="00DA0FBC"/>
    <w:rsid w:val="00DE28F1"/>
    <w:rsid w:val="00E00426"/>
    <w:rsid w:val="00E609B6"/>
    <w:rsid w:val="00E77CFA"/>
    <w:rsid w:val="00ED3251"/>
    <w:rsid w:val="00ED6593"/>
    <w:rsid w:val="00EF0FD5"/>
    <w:rsid w:val="00F029E6"/>
    <w:rsid w:val="00F2363E"/>
    <w:rsid w:val="00F3526E"/>
    <w:rsid w:val="00F920BB"/>
    <w:rsid w:val="00FD0C81"/>
    <w:rsid w:val="00FD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MediumGrid1-Accent2">
    <w:name w:val="Medium Grid 1 Accent 2"/>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link w:val="BodyText"/>
    <w:rsid w:val="000B265D"/>
    <w:rPr>
      <w:rFonts w:ascii="Arial" w:hAnsi="Arial" w:cs="Arial"/>
    </w:rPr>
  </w:style>
  <w:style w:type="paragraph" w:customStyle="1" w:styleId="NoSpacing1">
    <w:name w:val="No Spacing1"/>
    <w:link w:val="NoSpacingChar"/>
    <w:uiPriority w:val="1"/>
    <w:qFormat/>
    <w:rsid w:val="001A55C1"/>
    <w:rPr>
      <w:rFonts w:ascii="Calibri" w:eastAsia="Calibri" w:hAnsi="Calibri"/>
      <w:sz w:val="22"/>
      <w:szCs w:val="22"/>
    </w:rPr>
  </w:style>
  <w:style w:type="character" w:customStyle="1" w:styleId="NoSpacingChar">
    <w:name w:val="No Spacing Char"/>
    <w:link w:val="NoSpacing1"/>
    <w:uiPriority w:val="1"/>
    <w:rsid w:val="001A55C1"/>
    <w:rPr>
      <w:rFonts w:ascii="Calibri" w:eastAsia="Calibri" w:hAnsi="Calibri"/>
      <w:sz w:val="22"/>
      <w:szCs w:val="22"/>
      <w:lang w:val="en-US" w:eastAsia="en-US" w:bidi="ar-SA"/>
    </w:rPr>
  </w:style>
  <w:style w:type="paragraph" w:customStyle="1" w:styleId="Default">
    <w:name w:val="Default"/>
    <w:rsid w:val="00AC0F2D"/>
    <w:pPr>
      <w:autoSpaceDE w:val="0"/>
      <w:autoSpaceDN w:val="0"/>
      <w:adjustRightInd w:val="0"/>
    </w:pPr>
    <w:rPr>
      <w:rFonts w:ascii="Arial" w:eastAsia="Calibri" w:hAnsi="Arial" w:cs="Arial"/>
      <w:color w:val="000000"/>
      <w:sz w:val="24"/>
      <w:szCs w:val="24"/>
      <w:lang w:val="en-GB"/>
    </w:rPr>
  </w:style>
  <w:style w:type="paragraph" w:customStyle="1" w:styleId="yiv999393208msonospacing">
    <w:name w:val="yiv999393208msonospacing"/>
    <w:basedOn w:val="Normal"/>
    <w:rsid w:val="00AC0F2D"/>
    <w:pPr>
      <w:spacing w:before="100" w:beforeAutospacing="1" w:after="100" w:afterAutospacing="1"/>
    </w:pPr>
  </w:style>
  <w:style w:type="paragraph" w:customStyle="1" w:styleId="yiv1690713277msonormal">
    <w:name w:val="yiv1690713277msonormal"/>
    <w:basedOn w:val="Normal"/>
    <w:rsid w:val="00AC0F2D"/>
    <w:pPr>
      <w:spacing w:before="100" w:beforeAutospacing="1" w:after="100" w:afterAutospacing="1"/>
    </w:pPr>
  </w:style>
  <w:style w:type="paragraph" w:styleId="ColorfulList-Accent1">
    <w:name w:val="Colorful List Accent 1"/>
    <w:basedOn w:val="Normal"/>
    <w:qFormat/>
    <w:rsid w:val="00EA7B19"/>
    <w:pPr>
      <w:spacing w:after="200"/>
      <w:ind w:left="720"/>
      <w:contextualSpacing/>
    </w:pPr>
    <w:rPr>
      <w:rFonts w:ascii="Cambria" w:eastAsia="Cambria" w:hAnsi="Cambria"/>
    </w:rPr>
  </w:style>
  <w:style w:type="paragraph" w:styleId="ListParagraph">
    <w:name w:val="List Paragraph"/>
    <w:basedOn w:val="Normal"/>
    <w:link w:val="ListParagraphChar"/>
    <w:uiPriority w:val="34"/>
    <w:qFormat/>
    <w:rsid w:val="009036CC"/>
    <w:pPr>
      <w:ind w:left="720"/>
      <w:contextualSpacing/>
    </w:pPr>
  </w:style>
  <w:style w:type="character" w:customStyle="1" w:styleId="ListParagraphChar">
    <w:name w:val="List Paragraph Char"/>
    <w:link w:val="ListParagraph"/>
    <w:uiPriority w:val="34"/>
    <w:rsid w:val="00D719E2"/>
    <w:rPr>
      <w:sz w:val="24"/>
      <w:szCs w:val="24"/>
    </w:rPr>
  </w:style>
  <w:style w:type="paragraph" w:customStyle="1" w:styleId="BodyTextStyle5">
    <w:name w:val="Body Text Style 5"/>
    <w:basedOn w:val="Normal"/>
    <w:link w:val="BodyTextStyle5Char"/>
    <w:rsid w:val="000C2813"/>
    <w:pPr>
      <w:snapToGrid w:val="0"/>
      <w:spacing w:line="264" w:lineRule="auto"/>
      <w:jc w:val="both"/>
    </w:pPr>
    <w:rPr>
      <w:rFonts w:eastAsia="Calibri"/>
      <w:color w:val="000000"/>
      <w:sz w:val="22"/>
      <w:szCs w:val="20"/>
      <w:lang w:val="en-GB" w:eastAsia="en-GB"/>
    </w:rPr>
  </w:style>
  <w:style w:type="character" w:customStyle="1" w:styleId="BodyTextStyle5Char">
    <w:name w:val="Body Text Style 5 Char"/>
    <w:link w:val="BodyTextStyle5"/>
    <w:locked/>
    <w:rsid w:val="000C2813"/>
    <w:rPr>
      <w:rFonts w:eastAsia="Calibri"/>
      <w:color w:val="000000"/>
      <w:sz w:val="22"/>
      <w:lang w:val="en-GB" w:eastAsia="en-GB"/>
    </w:rPr>
  </w:style>
  <w:style w:type="table" w:customStyle="1" w:styleId="TableGrid1">
    <w:name w:val="Table Grid1"/>
    <w:basedOn w:val="TableNormal"/>
    <w:next w:val="TableGrid"/>
    <w:uiPriority w:val="59"/>
    <w:rsid w:val="00A4384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B1E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MediumGrid1-Accent2">
    <w:name w:val="Medium Grid 1 Accent 2"/>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link w:val="BodyText"/>
    <w:rsid w:val="000B265D"/>
    <w:rPr>
      <w:rFonts w:ascii="Arial" w:hAnsi="Arial" w:cs="Arial"/>
    </w:rPr>
  </w:style>
  <w:style w:type="paragraph" w:customStyle="1" w:styleId="NoSpacing1">
    <w:name w:val="No Spacing1"/>
    <w:link w:val="NoSpacingChar"/>
    <w:uiPriority w:val="1"/>
    <w:qFormat/>
    <w:rsid w:val="001A55C1"/>
    <w:rPr>
      <w:rFonts w:ascii="Calibri" w:eastAsia="Calibri" w:hAnsi="Calibri"/>
      <w:sz w:val="22"/>
      <w:szCs w:val="22"/>
    </w:rPr>
  </w:style>
  <w:style w:type="character" w:customStyle="1" w:styleId="NoSpacingChar">
    <w:name w:val="No Spacing Char"/>
    <w:link w:val="NoSpacing1"/>
    <w:uiPriority w:val="1"/>
    <w:rsid w:val="001A55C1"/>
    <w:rPr>
      <w:rFonts w:ascii="Calibri" w:eastAsia="Calibri" w:hAnsi="Calibri"/>
      <w:sz w:val="22"/>
      <w:szCs w:val="22"/>
      <w:lang w:val="en-US" w:eastAsia="en-US" w:bidi="ar-SA"/>
    </w:rPr>
  </w:style>
  <w:style w:type="paragraph" w:customStyle="1" w:styleId="Default">
    <w:name w:val="Default"/>
    <w:rsid w:val="00AC0F2D"/>
    <w:pPr>
      <w:autoSpaceDE w:val="0"/>
      <w:autoSpaceDN w:val="0"/>
      <w:adjustRightInd w:val="0"/>
    </w:pPr>
    <w:rPr>
      <w:rFonts w:ascii="Arial" w:eastAsia="Calibri" w:hAnsi="Arial" w:cs="Arial"/>
      <w:color w:val="000000"/>
      <w:sz w:val="24"/>
      <w:szCs w:val="24"/>
      <w:lang w:val="en-GB"/>
    </w:rPr>
  </w:style>
  <w:style w:type="paragraph" w:customStyle="1" w:styleId="yiv999393208msonospacing">
    <w:name w:val="yiv999393208msonospacing"/>
    <w:basedOn w:val="Normal"/>
    <w:rsid w:val="00AC0F2D"/>
    <w:pPr>
      <w:spacing w:before="100" w:beforeAutospacing="1" w:after="100" w:afterAutospacing="1"/>
    </w:pPr>
  </w:style>
  <w:style w:type="paragraph" w:customStyle="1" w:styleId="yiv1690713277msonormal">
    <w:name w:val="yiv1690713277msonormal"/>
    <w:basedOn w:val="Normal"/>
    <w:rsid w:val="00AC0F2D"/>
    <w:pPr>
      <w:spacing w:before="100" w:beforeAutospacing="1" w:after="100" w:afterAutospacing="1"/>
    </w:pPr>
  </w:style>
  <w:style w:type="paragraph" w:styleId="ColorfulList-Accent1">
    <w:name w:val="Colorful List Accent 1"/>
    <w:basedOn w:val="Normal"/>
    <w:qFormat/>
    <w:rsid w:val="00EA7B19"/>
    <w:pPr>
      <w:spacing w:after="200"/>
      <w:ind w:left="720"/>
      <w:contextualSpacing/>
    </w:pPr>
    <w:rPr>
      <w:rFonts w:ascii="Cambria" w:eastAsia="Cambria" w:hAnsi="Cambria"/>
    </w:rPr>
  </w:style>
  <w:style w:type="paragraph" w:styleId="ListParagraph">
    <w:name w:val="List Paragraph"/>
    <w:basedOn w:val="Normal"/>
    <w:link w:val="ListParagraphChar"/>
    <w:uiPriority w:val="34"/>
    <w:qFormat/>
    <w:rsid w:val="009036CC"/>
    <w:pPr>
      <w:ind w:left="720"/>
      <w:contextualSpacing/>
    </w:pPr>
  </w:style>
  <w:style w:type="character" w:customStyle="1" w:styleId="ListParagraphChar">
    <w:name w:val="List Paragraph Char"/>
    <w:link w:val="ListParagraph"/>
    <w:uiPriority w:val="34"/>
    <w:rsid w:val="00D719E2"/>
    <w:rPr>
      <w:sz w:val="24"/>
      <w:szCs w:val="24"/>
    </w:rPr>
  </w:style>
  <w:style w:type="paragraph" w:customStyle="1" w:styleId="BodyTextStyle5">
    <w:name w:val="Body Text Style 5"/>
    <w:basedOn w:val="Normal"/>
    <w:link w:val="BodyTextStyle5Char"/>
    <w:rsid w:val="000C2813"/>
    <w:pPr>
      <w:snapToGrid w:val="0"/>
      <w:spacing w:line="264" w:lineRule="auto"/>
      <w:jc w:val="both"/>
    </w:pPr>
    <w:rPr>
      <w:rFonts w:eastAsia="Calibri"/>
      <w:color w:val="000000"/>
      <w:sz w:val="22"/>
      <w:szCs w:val="20"/>
      <w:lang w:val="en-GB" w:eastAsia="en-GB"/>
    </w:rPr>
  </w:style>
  <w:style w:type="character" w:customStyle="1" w:styleId="BodyTextStyle5Char">
    <w:name w:val="Body Text Style 5 Char"/>
    <w:link w:val="BodyTextStyle5"/>
    <w:locked/>
    <w:rsid w:val="000C2813"/>
    <w:rPr>
      <w:rFonts w:eastAsia="Calibri"/>
      <w:color w:val="000000"/>
      <w:sz w:val="22"/>
      <w:lang w:val="en-GB" w:eastAsia="en-GB"/>
    </w:rPr>
  </w:style>
  <w:style w:type="table" w:customStyle="1" w:styleId="TableGrid1">
    <w:name w:val="Table Grid1"/>
    <w:basedOn w:val="TableNormal"/>
    <w:next w:val="TableGrid"/>
    <w:uiPriority w:val="59"/>
    <w:rsid w:val="00A4384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B1E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69FF-75BB-413E-AC07-C6CFC0EB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5220</Words>
  <Characters>29756</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34907</CharactersWithSpaces>
  <SharedDoc>false</SharedDoc>
  <HLinks>
    <vt:vector size="6" baseType="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Fiona Bayat</cp:lastModifiedBy>
  <cp:revision>2</cp:revision>
  <cp:lastPrinted>2013-03-05T14:01:00Z</cp:lastPrinted>
  <dcterms:created xsi:type="dcterms:W3CDTF">2013-03-21T14:56:00Z</dcterms:created>
  <dcterms:modified xsi:type="dcterms:W3CDTF">2013-03-21T14:56:00Z</dcterms:modified>
</cp:coreProperties>
</file>