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CD" w:rsidRPr="00604097" w:rsidRDefault="00F87ACD" w:rsidP="00BD4D2B">
      <w:pPr>
        <w:pStyle w:val="Heading1"/>
      </w:pPr>
    </w:p>
    <w:p w:rsidR="00B11C4C" w:rsidRPr="00644D38" w:rsidRDefault="00CF076E" w:rsidP="00644D38">
      <w:pPr>
        <w:jc w:val="both"/>
        <w:rPr>
          <w:b/>
          <w:u w:val="single"/>
        </w:rPr>
      </w:pPr>
      <w:r w:rsidRPr="00644D38">
        <w:rPr>
          <w:noProof/>
          <w:spacing w:val="-3"/>
          <w:lang w:val="en-US"/>
        </w:rPr>
        <w:drawing>
          <wp:inline distT="0" distB="0" distL="0" distR="0" wp14:anchorId="67D4BD8B" wp14:editId="677861C0">
            <wp:extent cx="942340" cy="796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7253" b="16402"/>
                    <a:stretch>
                      <a:fillRect/>
                    </a:stretch>
                  </pic:blipFill>
                  <pic:spPr bwMode="auto">
                    <a:xfrm>
                      <a:off x="0" y="0"/>
                      <a:ext cx="942340" cy="796925"/>
                    </a:xfrm>
                    <a:prstGeom prst="rect">
                      <a:avLst/>
                    </a:prstGeom>
                    <a:solidFill>
                      <a:srgbClr val="3366FF"/>
                    </a:solidFill>
                    <a:ln w="9525">
                      <a:noFill/>
                      <a:miter lim="800000"/>
                      <a:headEnd/>
                      <a:tailEnd/>
                    </a:ln>
                  </pic:spPr>
                </pic:pic>
              </a:graphicData>
            </a:graphic>
          </wp:inline>
        </w:drawing>
      </w:r>
    </w:p>
    <w:p w:rsidR="00AB0274" w:rsidRPr="00644D38" w:rsidRDefault="00AB0274" w:rsidP="00644D38">
      <w:pPr>
        <w:jc w:val="both"/>
        <w:rPr>
          <w:b/>
        </w:rPr>
      </w:pPr>
      <w:r w:rsidRPr="00644D38">
        <w:rPr>
          <w:b/>
        </w:rPr>
        <w:t>[Name of Fund</w:t>
      </w:r>
      <w:r w:rsidR="00B11C4C" w:rsidRPr="00644D38">
        <w:rPr>
          <w:b/>
        </w:rPr>
        <w:t xml:space="preserve"> or Joint Programme</w:t>
      </w:r>
      <w:r w:rsidRPr="00644D38">
        <w:rPr>
          <w:b/>
        </w:rPr>
        <w:t>]</w:t>
      </w:r>
    </w:p>
    <w:p w:rsidR="00AB0274" w:rsidRPr="00644D38" w:rsidRDefault="00AB0274" w:rsidP="00644D38">
      <w:pPr>
        <w:jc w:val="both"/>
      </w:pPr>
    </w:p>
    <w:p w:rsidR="00AB0274" w:rsidRPr="00644D38" w:rsidRDefault="00241DAA" w:rsidP="00644D38">
      <w:pPr>
        <w:jc w:val="both"/>
        <w:rPr>
          <w:b/>
          <w:bCs/>
          <w:caps/>
        </w:rPr>
      </w:pPr>
      <w:r w:rsidRPr="00644D38">
        <w:rPr>
          <w:b/>
          <w:bCs/>
          <w:caps/>
        </w:rPr>
        <w:t xml:space="preserve">GENERIC </w:t>
      </w:r>
      <w:r w:rsidR="00AB0274" w:rsidRPr="00644D38">
        <w:rPr>
          <w:b/>
          <w:bCs/>
          <w:caps/>
        </w:rPr>
        <w:t>ANNUAL programme</w:t>
      </w:r>
      <w:r w:rsidR="00AB0274" w:rsidRPr="00644D38">
        <w:rPr>
          <w:rStyle w:val="FootnoteReference"/>
          <w:b/>
          <w:bCs/>
          <w:caps/>
        </w:rPr>
        <w:footnoteReference w:id="1"/>
      </w:r>
      <w:r w:rsidR="00AB0274" w:rsidRPr="00644D38">
        <w:rPr>
          <w:b/>
          <w:bCs/>
          <w:caps/>
        </w:rPr>
        <w:t xml:space="preserve"> NARRATIVE progress report </w:t>
      </w:r>
    </w:p>
    <w:p w:rsidR="00AB0274" w:rsidRPr="00644D38" w:rsidRDefault="00AB0274" w:rsidP="00644D38">
      <w:pPr>
        <w:jc w:val="both"/>
        <w:rPr>
          <w:b/>
          <w:bCs/>
          <w:caps/>
        </w:rPr>
      </w:pPr>
    </w:p>
    <w:p w:rsidR="00AB0274" w:rsidRPr="00644D38" w:rsidRDefault="00AB0274" w:rsidP="00644D38">
      <w:pPr>
        <w:jc w:val="both"/>
        <w:rPr>
          <w:b/>
          <w:bCs/>
          <w:caps/>
        </w:rPr>
      </w:pPr>
      <w:r w:rsidRPr="00644D38">
        <w:rPr>
          <w:b/>
          <w:bCs/>
          <w:caps/>
        </w:rPr>
        <w:t>REPORTING PERI</w:t>
      </w:r>
      <w:r w:rsidR="007E1414" w:rsidRPr="00644D38">
        <w:rPr>
          <w:b/>
          <w:bCs/>
          <w:caps/>
        </w:rPr>
        <w:t>OD: 1 July -31 December 2011</w:t>
      </w:r>
    </w:p>
    <w:p w:rsidR="00452ED1" w:rsidRPr="00644D38" w:rsidRDefault="00452ED1" w:rsidP="00644D38">
      <w:pPr>
        <w:jc w:val="both"/>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F80443" w:rsidRPr="005C4A1D"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F80443" w:rsidRPr="00644D38" w:rsidRDefault="00F80443" w:rsidP="00644D38">
            <w:pPr>
              <w:pStyle w:val="H1"/>
              <w:jc w:val="both"/>
              <w:rPr>
                <w:rFonts w:cs="Times New Roman"/>
                <w:szCs w:val="24"/>
              </w:rPr>
            </w:pPr>
            <w:r w:rsidRPr="00644D38">
              <w:rPr>
                <w:rFonts w:cs="Times New Roman"/>
                <w:szCs w:val="24"/>
              </w:rPr>
              <w:t xml:space="preserve">Programme Title &amp; </w:t>
            </w:r>
            <w:r w:rsidR="008D49CD" w:rsidRPr="00644D38">
              <w:rPr>
                <w:rFonts w:cs="Times New Roman"/>
                <w:szCs w:val="24"/>
              </w:rPr>
              <w:t xml:space="preserve">Project </w:t>
            </w:r>
            <w:r w:rsidRPr="00644D38">
              <w:rPr>
                <w:rFonts w:cs="Times New Roman"/>
                <w:szCs w:val="24"/>
              </w:rPr>
              <w:t>Number</w:t>
            </w:r>
          </w:p>
        </w:tc>
        <w:tc>
          <w:tcPr>
            <w:tcW w:w="258" w:type="dxa"/>
            <w:vMerge w:val="restart"/>
            <w:tcBorders>
              <w:left w:val="single" w:sz="4" w:space="0" w:color="auto"/>
              <w:right w:val="single" w:sz="4" w:space="0" w:color="auto"/>
            </w:tcBorders>
            <w:vAlign w:val="center"/>
          </w:tcPr>
          <w:p w:rsidR="00F80443" w:rsidRPr="00644D38" w:rsidRDefault="00F80443" w:rsidP="00644D38">
            <w:pPr>
              <w:jc w:val="both"/>
            </w:pPr>
          </w:p>
        </w:tc>
        <w:tc>
          <w:tcPr>
            <w:tcW w:w="4986" w:type="dxa"/>
            <w:tcBorders>
              <w:top w:val="single" w:sz="4" w:space="0" w:color="auto"/>
              <w:left w:val="single" w:sz="4" w:space="0" w:color="auto"/>
              <w:right w:val="single" w:sz="4" w:space="0" w:color="auto"/>
            </w:tcBorders>
            <w:shd w:val="clear" w:color="auto" w:fill="F3F3F3"/>
            <w:vAlign w:val="center"/>
          </w:tcPr>
          <w:p w:rsidR="00F80443" w:rsidRPr="00644D38" w:rsidRDefault="00F80443" w:rsidP="00644D38">
            <w:pPr>
              <w:pStyle w:val="H1"/>
              <w:jc w:val="both"/>
              <w:rPr>
                <w:rFonts w:cs="Times New Roman"/>
                <w:szCs w:val="24"/>
              </w:rPr>
            </w:pPr>
            <w:r w:rsidRPr="00644D38">
              <w:rPr>
                <w:rFonts w:cs="Times New Roman"/>
                <w:szCs w:val="24"/>
              </w:rPr>
              <w:t>Country, Locality(s), Thematic/Priority Area(s)</w:t>
            </w:r>
            <w:r w:rsidRPr="00644D38">
              <w:rPr>
                <w:rStyle w:val="FootnoteReference"/>
                <w:rFonts w:cs="Times New Roman"/>
                <w:szCs w:val="24"/>
              </w:rPr>
              <w:footnoteReference w:id="2"/>
            </w:r>
          </w:p>
        </w:tc>
      </w:tr>
      <w:tr w:rsidR="00F80443" w:rsidRPr="005C4A1D" w:rsidTr="00954264">
        <w:trPr>
          <w:trHeight w:val="300"/>
        </w:trPr>
        <w:tc>
          <w:tcPr>
            <w:tcW w:w="5142" w:type="dxa"/>
            <w:vMerge w:val="restart"/>
            <w:tcBorders>
              <w:left w:val="single" w:sz="4" w:space="0" w:color="auto"/>
              <w:right w:val="single" w:sz="4" w:space="0" w:color="auto"/>
            </w:tcBorders>
          </w:tcPr>
          <w:p w:rsidR="00F80443" w:rsidRPr="00644D38" w:rsidRDefault="00F80443">
            <w:pPr>
              <w:pStyle w:val="BodyText"/>
              <w:numPr>
                <w:ilvl w:val="0"/>
                <w:numId w:val="6"/>
              </w:numPr>
              <w:spacing w:before="60" w:after="60"/>
              <w:ind w:left="342"/>
              <w:jc w:val="both"/>
              <w:rPr>
                <w:rFonts w:ascii="Times New Roman" w:hAnsi="Times New Roman" w:cs="Times New Roman"/>
                <w:b/>
                <w:bCs/>
                <w:iCs/>
                <w:snapToGrid w:val="0"/>
                <w:sz w:val="24"/>
                <w:szCs w:val="24"/>
              </w:rPr>
            </w:pPr>
            <w:r w:rsidRPr="00644D38">
              <w:rPr>
                <w:rFonts w:ascii="Times New Roman" w:hAnsi="Times New Roman" w:cs="Times New Roman"/>
                <w:bCs/>
                <w:iCs/>
                <w:snapToGrid w:val="0"/>
                <w:sz w:val="24"/>
                <w:szCs w:val="24"/>
              </w:rPr>
              <w:t>Programme Title:</w:t>
            </w:r>
            <w:r w:rsidR="005416FA" w:rsidRPr="00644D38">
              <w:rPr>
                <w:rFonts w:ascii="Times New Roman" w:hAnsi="Times New Roman" w:cs="Times New Roman"/>
                <w:bCs/>
                <w:iCs/>
                <w:snapToGrid w:val="0"/>
                <w:sz w:val="24"/>
                <w:szCs w:val="24"/>
              </w:rPr>
              <w:t xml:space="preserve"> </w:t>
            </w:r>
            <w:r w:rsidR="005416FA" w:rsidRPr="00644D38">
              <w:rPr>
                <w:rFonts w:ascii="Times New Roman" w:hAnsi="Times New Roman" w:cs="Times New Roman"/>
                <w:b/>
                <w:bCs/>
                <w:iCs/>
                <w:snapToGrid w:val="0"/>
                <w:sz w:val="24"/>
                <w:szCs w:val="24"/>
              </w:rPr>
              <w:t xml:space="preserve">Strategic </w:t>
            </w:r>
            <w:r w:rsidR="003E3CFD" w:rsidRPr="00644D38">
              <w:rPr>
                <w:rFonts w:ascii="Times New Roman" w:hAnsi="Times New Roman" w:cs="Times New Roman"/>
                <w:b/>
                <w:bCs/>
                <w:iCs/>
                <w:snapToGrid w:val="0"/>
                <w:sz w:val="24"/>
                <w:szCs w:val="24"/>
              </w:rPr>
              <w:t>Grain Reserve in South Sudan</w:t>
            </w:r>
          </w:p>
          <w:p w:rsidR="00F80443" w:rsidRPr="00644D38" w:rsidRDefault="00F80443">
            <w:pPr>
              <w:pStyle w:val="BodyText"/>
              <w:numPr>
                <w:ilvl w:val="0"/>
                <w:numId w:val="6"/>
              </w:numPr>
              <w:spacing w:before="60" w:after="60"/>
              <w:ind w:left="342"/>
              <w:jc w:val="both"/>
              <w:rPr>
                <w:rFonts w:ascii="Times New Roman" w:hAnsi="Times New Roman" w:cs="Times New Roman"/>
                <w:bCs/>
                <w:i/>
                <w:iCs/>
                <w:snapToGrid w:val="0"/>
                <w:sz w:val="24"/>
                <w:szCs w:val="24"/>
              </w:rPr>
            </w:pPr>
            <w:r w:rsidRPr="00644D38">
              <w:rPr>
                <w:rFonts w:ascii="Times New Roman" w:hAnsi="Times New Roman" w:cs="Times New Roman"/>
                <w:bCs/>
                <w:iCs/>
                <w:snapToGrid w:val="0"/>
                <w:sz w:val="24"/>
                <w:szCs w:val="24"/>
              </w:rPr>
              <w:t xml:space="preserve">Programme Number </w:t>
            </w:r>
            <w:r w:rsidRPr="00644D38">
              <w:rPr>
                <w:rFonts w:ascii="Times New Roman" w:hAnsi="Times New Roman" w:cs="Times New Roman"/>
                <w:bCs/>
                <w:i/>
                <w:iCs/>
                <w:snapToGrid w:val="0"/>
                <w:sz w:val="24"/>
                <w:szCs w:val="24"/>
              </w:rPr>
              <w:t xml:space="preserve">(if applicable)  </w:t>
            </w:r>
          </w:p>
          <w:p w:rsidR="00F80443" w:rsidRPr="00644D38" w:rsidRDefault="00F80443">
            <w:pPr>
              <w:pStyle w:val="BodyText"/>
              <w:numPr>
                <w:ilvl w:val="0"/>
                <w:numId w:val="6"/>
              </w:numPr>
              <w:spacing w:before="60" w:after="60"/>
              <w:ind w:left="342"/>
              <w:jc w:val="both"/>
              <w:rPr>
                <w:rFonts w:ascii="Times New Roman" w:hAnsi="Times New Roman" w:cs="Times New Roman"/>
                <w:i/>
                <w:sz w:val="24"/>
                <w:szCs w:val="24"/>
              </w:rPr>
            </w:pPr>
            <w:r w:rsidRPr="00644D38">
              <w:rPr>
                <w:rFonts w:ascii="Times New Roman" w:hAnsi="Times New Roman" w:cs="Times New Roman"/>
                <w:bCs/>
                <w:iCs/>
                <w:snapToGrid w:val="0"/>
                <w:sz w:val="24"/>
                <w:szCs w:val="24"/>
              </w:rPr>
              <w:t xml:space="preserve">MPTF Office </w:t>
            </w:r>
            <w:r w:rsidR="008D49CD" w:rsidRPr="00644D38">
              <w:rPr>
                <w:rFonts w:ascii="Times New Roman" w:hAnsi="Times New Roman" w:cs="Times New Roman"/>
                <w:bCs/>
                <w:iCs/>
                <w:snapToGrid w:val="0"/>
                <w:sz w:val="24"/>
                <w:szCs w:val="24"/>
              </w:rPr>
              <w:t>Project</w:t>
            </w:r>
            <w:r w:rsidRPr="00644D38">
              <w:rPr>
                <w:rFonts w:ascii="Times New Roman" w:hAnsi="Times New Roman" w:cs="Times New Roman"/>
                <w:bCs/>
                <w:iCs/>
                <w:snapToGrid w:val="0"/>
                <w:sz w:val="24"/>
                <w:szCs w:val="24"/>
              </w:rPr>
              <w:t xml:space="preserve"> Reference Number:</w:t>
            </w:r>
            <w:r w:rsidRPr="00644D38">
              <w:rPr>
                <w:rStyle w:val="FootnoteReference"/>
                <w:rFonts w:ascii="Times New Roman" w:hAnsi="Times New Roman" w:cs="Times New Roman"/>
                <w:bCs/>
                <w:iCs/>
                <w:snapToGrid w:val="0"/>
                <w:sz w:val="24"/>
                <w:szCs w:val="24"/>
              </w:rPr>
              <w:footnoteReference w:id="3"/>
            </w:r>
            <w:r w:rsidRPr="00644D38">
              <w:rPr>
                <w:rFonts w:ascii="Times New Roman" w:hAnsi="Times New Roman" w:cs="Times New Roman"/>
                <w:i/>
                <w:sz w:val="24"/>
                <w:szCs w:val="24"/>
              </w:rPr>
              <w:t xml:space="preserve"> </w:t>
            </w:r>
          </w:p>
          <w:p w:rsidR="00FD1A18" w:rsidRDefault="00FD1A18">
            <w:pPr>
              <w:pStyle w:val="BodyText"/>
              <w:spacing w:before="60" w:after="60"/>
              <w:ind w:left="342"/>
              <w:jc w:val="both"/>
              <w:rPr>
                <w:rFonts w:ascii="Times New Roman" w:hAnsi="Times New Roman" w:cs="Times New Roman"/>
                <w:i/>
                <w:sz w:val="24"/>
                <w:szCs w:val="24"/>
              </w:rPr>
            </w:pPr>
            <w:r w:rsidRPr="00644D38">
              <w:rPr>
                <w:rFonts w:ascii="Times New Roman" w:hAnsi="Times New Roman" w:cs="Times New Roman"/>
                <w:i/>
                <w:sz w:val="24"/>
                <w:szCs w:val="24"/>
              </w:rPr>
              <w:t>Project ID 00079635</w:t>
            </w:r>
          </w:p>
          <w:p w:rsidR="00BD4D2B" w:rsidRPr="00644D38" w:rsidRDefault="00BD4D2B" w:rsidP="00BD4D2B">
            <w:pPr>
              <w:pStyle w:val="BodyText"/>
              <w:spacing w:before="60" w:after="60"/>
              <w:ind w:left="342"/>
              <w:jc w:val="both"/>
              <w:rPr>
                <w:rFonts w:ascii="Times New Roman" w:hAnsi="Times New Roman" w:cs="Times New Roman"/>
                <w:i/>
                <w:sz w:val="24"/>
                <w:szCs w:val="24"/>
              </w:rPr>
            </w:pPr>
            <w:r w:rsidRPr="00BD4D2B">
              <w:rPr>
                <w:rFonts w:ascii="Times New Roman" w:hAnsi="Times New Roman" w:cs="Times New Roman"/>
                <w:i/>
                <w:sz w:val="24"/>
                <w:szCs w:val="24"/>
              </w:rPr>
              <w:t>PBF/I</w:t>
            </w:r>
            <w:bookmarkStart w:id="0" w:name="_GoBack"/>
            <w:bookmarkEnd w:id="0"/>
            <w:r w:rsidRPr="00BD4D2B">
              <w:rPr>
                <w:rFonts w:ascii="Times New Roman" w:hAnsi="Times New Roman" w:cs="Times New Roman"/>
                <w:i/>
                <w:sz w:val="24"/>
                <w:szCs w:val="24"/>
              </w:rPr>
              <w:t>RF-43</w:t>
            </w:r>
          </w:p>
        </w:tc>
        <w:tc>
          <w:tcPr>
            <w:tcW w:w="258" w:type="dxa"/>
            <w:vMerge/>
            <w:tcBorders>
              <w:left w:val="single" w:sz="4" w:space="0" w:color="auto"/>
              <w:right w:val="single" w:sz="4" w:space="0" w:color="auto"/>
            </w:tcBorders>
          </w:tcPr>
          <w:p w:rsidR="00F80443" w:rsidRPr="00644D38" w:rsidRDefault="00F80443" w:rsidP="00644D38">
            <w:pPr>
              <w:pStyle w:val="BodyText"/>
              <w:jc w:val="both"/>
              <w:rPr>
                <w:rFonts w:ascii="Times New Roman" w:hAnsi="Times New Roman" w:cs="Times New Roman"/>
                <w:sz w:val="24"/>
                <w:szCs w:val="24"/>
              </w:rPr>
            </w:pPr>
          </w:p>
        </w:tc>
        <w:tc>
          <w:tcPr>
            <w:tcW w:w="4986" w:type="dxa"/>
            <w:tcBorders>
              <w:left w:val="single" w:sz="4" w:space="0" w:color="auto"/>
              <w:bottom w:val="single" w:sz="4" w:space="0" w:color="auto"/>
              <w:right w:val="single" w:sz="4" w:space="0" w:color="auto"/>
            </w:tcBorders>
          </w:tcPr>
          <w:p w:rsidR="00F80443" w:rsidRPr="00644D38" w:rsidRDefault="00F80443" w:rsidP="00644D38">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(if applicable)</w:t>
            </w:r>
          </w:p>
          <w:p w:rsidR="00F80443" w:rsidRPr="00644D38" w:rsidRDefault="00F80443" w:rsidP="00644D38">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Country/Region</w:t>
            </w:r>
            <w:r w:rsidR="005416FA" w:rsidRPr="00644D38">
              <w:rPr>
                <w:rFonts w:ascii="Times New Roman" w:hAnsi="Times New Roman" w:cs="Times New Roman"/>
                <w:bCs/>
                <w:i/>
                <w:iCs/>
                <w:snapToGrid w:val="0"/>
                <w:sz w:val="24"/>
                <w:szCs w:val="24"/>
              </w:rPr>
              <w:t xml:space="preserve"> </w:t>
            </w:r>
            <w:r w:rsidR="001A2C75" w:rsidRPr="00644D38">
              <w:rPr>
                <w:rFonts w:ascii="Times New Roman" w:hAnsi="Times New Roman" w:cs="Times New Roman"/>
                <w:b/>
                <w:bCs/>
                <w:i/>
                <w:iCs/>
                <w:snapToGrid w:val="0"/>
                <w:sz w:val="24"/>
                <w:szCs w:val="24"/>
              </w:rPr>
              <w:t>Republic of South</w:t>
            </w:r>
            <w:r w:rsidR="005416FA" w:rsidRPr="00644D38">
              <w:rPr>
                <w:rFonts w:ascii="Times New Roman" w:hAnsi="Times New Roman" w:cs="Times New Roman"/>
                <w:b/>
                <w:bCs/>
                <w:i/>
                <w:iCs/>
                <w:snapToGrid w:val="0"/>
                <w:sz w:val="24"/>
                <w:szCs w:val="24"/>
              </w:rPr>
              <w:t xml:space="preserve"> Sudan</w:t>
            </w:r>
          </w:p>
          <w:p w:rsidR="00F80443" w:rsidRPr="00644D38" w:rsidRDefault="00F80443" w:rsidP="00644D38">
            <w:pPr>
              <w:pStyle w:val="BodyText"/>
              <w:jc w:val="both"/>
              <w:rPr>
                <w:rFonts w:ascii="Times New Roman" w:hAnsi="Times New Roman" w:cs="Times New Roman"/>
                <w:sz w:val="24"/>
                <w:szCs w:val="24"/>
              </w:rPr>
            </w:pPr>
          </w:p>
        </w:tc>
      </w:tr>
      <w:tr w:rsidR="00F80443" w:rsidRPr="005C4A1D" w:rsidTr="00954264">
        <w:trPr>
          <w:trHeight w:val="426"/>
        </w:trPr>
        <w:tc>
          <w:tcPr>
            <w:tcW w:w="5142" w:type="dxa"/>
            <w:vMerge/>
            <w:tcBorders>
              <w:left w:val="single" w:sz="4" w:space="0" w:color="auto"/>
              <w:bottom w:val="single" w:sz="4" w:space="0" w:color="auto"/>
              <w:right w:val="single" w:sz="4" w:space="0" w:color="auto"/>
            </w:tcBorders>
          </w:tcPr>
          <w:p w:rsidR="00F80443" w:rsidRPr="00644D38" w:rsidRDefault="00F80443">
            <w:pPr>
              <w:pStyle w:val="BodyText"/>
              <w:numPr>
                <w:ilvl w:val="0"/>
                <w:numId w:val="6"/>
              </w:numPr>
              <w:spacing w:before="60" w:after="60"/>
              <w:ind w:left="342"/>
              <w:jc w:val="both"/>
              <w:rPr>
                <w:rFonts w:ascii="Times New Roman" w:hAnsi="Times New Roman" w:cs="Times New Roman"/>
                <w:bCs/>
                <w:iCs/>
                <w:snapToGrid w:val="0"/>
                <w:sz w:val="24"/>
                <w:szCs w:val="24"/>
              </w:rPr>
            </w:pPr>
          </w:p>
        </w:tc>
        <w:tc>
          <w:tcPr>
            <w:tcW w:w="258" w:type="dxa"/>
            <w:vMerge/>
            <w:tcBorders>
              <w:left w:val="single" w:sz="4" w:space="0" w:color="auto"/>
              <w:right w:val="single" w:sz="4" w:space="0" w:color="auto"/>
            </w:tcBorders>
          </w:tcPr>
          <w:p w:rsidR="00F80443" w:rsidRPr="00644D38" w:rsidRDefault="00F80443" w:rsidP="00644D38">
            <w:pPr>
              <w:pStyle w:val="BodyText"/>
              <w:jc w:val="both"/>
              <w:rPr>
                <w:rFonts w:ascii="Times New Roman" w:hAnsi="Times New Roman" w:cs="Times New Roman"/>
                <w:sz w:val="24"/>
                <w:szCs w:val="24"/>
              </w:rPr>
            </w:pPr>
          </w:p>
        </w:tc>
        <w:tc>
          <w:tcPr>
            <w:tcW w:w="4986" w:type="dxa"/>
            <w:tcBorders>
              <w:top w:val="single" w:sz="4" w:space="0" w:color="auto"/>
              <w:left w:val="single" w:sz="4" w:space="0" w:color="auto"/>
              <w:bottom w:val="single" w:sz="4" w:space="0" w:color="auto"/>
              <w:right w:val="single" w:sz="4" w:space="0" w:color="auto"/>
            </w:tcBorders>
          </w:tcPr>
          <w:p w:rsidR="00626526" w:rsidRPr="00644D38" w:rsidRDefault="00F80443" w:rsidP="00644D38">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Thematic/Priority</w:t>
            </w:r>
            <w:r w:rsidR="005416FA" w:rsidRPr="00644D38">
              <w:rPr>
                <w:rFonts w:ascii="Times New Roman" w:hAnsi="Times New Roman" w:cs="Times New Roman"/>
                <w:bCs/>
                <w:i/>
                <w:iCs/>
                <w:snapToGrid w:val="0"/>
                <w:sz w:val="24"/>
                <w:szCs w:val="24"/>
              </w:rPr>
              <w:t xml:space="preserve"> </w:t>
            </w:r>
          </w:p>
          <w:p w:rsidR="00626526" w:rsidRPr="00644D38" w:rsidRDefault="00626526" w:rsidP="00644D38">
            <w:pPr>
              <w:pStyle w:val="BodyText"/>
              <w:jc w:val="both"/>
              <w:rPr>
                <w:rFonts w:ascii="Times New Roman" w:hAnsi="Times New Roman" w:cs="Times New Roman"/>
                <w:bCs/>
                <w:i/>
                <w:iCs/>
                <w:snapToGrid w:val="0"/>
                <w:sz w:val="24"/>
                <w:szCs w:val="24"/>
              </w:rPr>
            </w:pPr>
          </w:p>
          <w:p w:rsidR="00626526" w:rsidRPr="00644D38" w:rsidRDefault="00626526" w:rsidP="00644D38">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Build a Str</w:t>
            </w:r>
            <w:r w:rsidR="006A32F9" w:rsidRPr="00644D38">
              <w:rPr>
                <w:rFonts w:ascii="Times New Roman" w:hAnsi="Times New Roman" w:cs="Times New Roman"/>
                <w:bCs/>
                <w:i/>
                <w:iCs/>
                <w:snapToGrid w:val="0"/>
                <w:sz w:val="24"/>
                <w:szCs w:val="24"/>
              </w:rPr>
              <w:t>ategic Grain R</w:t>
            </w:r>
            <w:r w:rsidR="001A2C75" w:rsidRPr="00644D38">
              <w:rPr>
                <w:rFonts w:ascii="Times New Roman" w:hAnsi="Times New Roman" w:cs="Times New Roman"/>
                <w:bCs/>
                <w:i/>
                <w:iCs/>
                <w:snapToGrid w:val="0"/>
                <w:sz w:val="24"/>
                <w:szCs w:val="24"/>
              </w:rPr>
              <w:t>eserve in South</w:t>
            </w:r>
            <w:r w:rsidR="005B70E2" w:rsidRPr="00644D38">
              <w:rPr>
                <w:rFonts w:ascii="Times New Roman" w:hAnsi="Times New Roman" w:cs="Times New Roman"/>
                <w:bCs/>
                <w:i/>
                <w:iCs/>
                <w:snapToGrid w:val="0"/>
                <w:sz w:val="24"/>
                <w:szCs w:val="24"/>
              </w:rPr>
              <w:t xml:space="preserve"> S</w:t>
            </w:r>
            <w:r w:rsidRPr="00644D38">
              <w:rPr>
                <w:rFonts w:ascii="Times New Roman" w:hAnsi="Times New Roman" w:cs="Times New Roman"/>
                <w:bCs/>
                <w:i/>
                <w:iCs/>
                <w:snapToGrid w:val="0"/>
                <w:sz w:val="24"/>
                <w:szCs w:val="24"/>
              </w:rPr>
              <w:t xml:space="preserve">udan to be nationally prepared </w:t>
            </w:r>
            <w:r w:rsidR="005B70E2" w:rsidRPr="00644D38">
              <w:rPr>
                <w:rFonts w:ascii="Times New Roman" w:hAnsi="Times New Roman" w:cs="Times New Roman"/>
                <w:bCs/>
                <w:i/>
                <w:iCs/>
                <w:snapToGrid w:val="0"/>
                <w:sz w:val="24"/>
                <w:szCs w:val="24"/>
              </w:rPr>
              <w:t xml:space="preserve">to </w:t>
            </w:r>
            <w:r w:rsidR="00311C7E" w:rsidRPr="00644D38">
              <w:rPr>
                <w:rFonts w:ascii="Times New Roman" w:hAnsi="Times New Roman" w:cs="Times New Roman"/>
                <w:bCs/>
                <w:i/>
                <w:iCs/>
                <w:snapToGrid w:val="0"/>
                <w:sz w:val="24"/>
                <w:szCs w:val="24"/>
              </w:rPr>
              <w:t xml:space="preserve">effectively respond </w:t>
            </w:r>
            <w:r w:rsidR="00BE6769" w:rsidRPr="00644D38">
              <w:rPr>
                <w:rFonts w:ascii="Times New Roman" w:hAnsi="Times New Roman" w:cs="Times New Roman"/>
                <w:bCs/>
                <w:i/>
                <w:iCs/>
                <w:snapToGrid w:val="0"/>
                <w:sz w:val="24"/>
                <w:szCs w:val="24"/>
              </w:rPr>
              <w:t>to emergency; to support safety net program</w:t>
            </w:r>
            <w:r w:rsidR="006A32F9" w:rsidRPr="00644D38">
              <w:rPr>
                <w:rFonts w:ascii="Times New Roman" w:hAnsi="Times New Roman" w:cs="Times New Roman"/>
                <w:bCs/>
                <w:i/>
                <w:iCs/>
                <w:snapToGrid w:val="0"/>
                <w:sz w:val="24"/>
                <w:szCs w:val="24"/>
              </w:rPr>
              <w:t>s</w:t>
            </w:r>
            <w:r w:rsidR="00BE6769" w:rsidRPr="00644D38">
              <w:rPr>
                <w:rFonts w:ascii="Times New Roman" w:hAnsi="Times New Roman" w:cs="Times New Roman"/>
                <w:bCs/>
                <w:i/>
                <w:iCs/>
                <w:snapToGrid w:val="0"/>
                <w:sz w:val="24"/>
                <w:szCs w:val="24"/>
              </w:rPr>
              <w:t xml:space="preserve"> for the poor </w:t>
            </w:r>
            <w:r w:rsidR="00311C7E" w:rsidRPr="00644D38">
              <w:rPr>
                <w:rFonts w:ascii="Times New Roman" w:hAnsi="Times New Roman" w:cs="Times New Roman"/>
                <w:bCs/>
                <w:i/>
                <w:iCs/>
                <w:snapToGrid w:val="0"/>
                <w:sz w:val="24"/>
                <w:szCs w:val="24"/>
              </w:rPr>
              <w:t xml:space="preserve">and early revitalization of the economy </w:t>
            </w:r>
            <w:r w:rsidR="003B0BBB" w:rsidRPr="00644D38">
              <w:rPr>
                <w:rFonts w:ascii="Times New Roman" w:hAnsi="Times New Roman" w:cs="Times New Roman"/>
                <w:bCs/>
                <w:i/>
                <w:iCs/>
                <w:snapToGrid w:val="0"/>
                <w:sz w:val="24"/>
                <w:szCs w:val="24"/>
              </w:rPr>
              <w:t xml:space="preserve">specifically the agriculture sector. </w:t>
            </w:r>
          </w:p>
          <w:p w:rsidR="00626526" w:rsidRPr="00644D38" w:rsidRDefault="005416FA" w:rsidP="00644D38">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 xml:space="preserve"> </w:t>
            </w:r>
          </w:p>
          <w:p w:rsidR="00F80443" w:rsidRPr="00644D38" w:rsidRDefault="005416FA" w:rsidP="00644D38">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 xml:space="preserve">Priority  Areas 3 and 4 </w:t>
            </w:r>
          </w:p>
          <w:p w:rsidR="005416FA" w:rsidRPr="00644D38" w:rsidRDefault="005416FA" w:rsidP="00644D38">
            <w:pPr>
              <w:pStyle w:val="BodyText"/>
              <w:jc w:val="both"/>
              <w:rPr>
                <w:rFonts w:ascii="Times New Roman" w:hAnsi="Times New Roman" w:cs="Times New Roman"/>
                <w:bCs/>
                <w:i/>
                <w:iCs/>
                <w:snapToGrid w:val="0"/>
                <w:sz w:val="24"/>
                <w:szCs w:val="24"/>
              </w:rPr>
            </w:pPr>
          </w:p>
        </w:tc>
      </w:tr>
    </w:tbl>
    <w:p w:rsidR="000134CC" w:rsidRPr="00644D38" w:rsidRDefault="000134CC" w:rsidP="00644D38">
      <w:pPr>
        <w:jc w:val="both"/>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0134CC" w:rsidRPr="005C4A1D"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0134CC" w:rsidRPr="00644D38" w:rsidRDefault="000134CC" w:rsidP="00644D38">
            <w:pPr>
              <w:pStyle w:val="H1"/>
              <w:jc w:val="both"/>
              <w:rPr>
                <w:rFonts w:cs="Times New Roman"/>
                <w:szCs w:val="24"/>
              </w:rPr>
            </w:pPr>
            <w:r w:rsidRPr="00644D38">
              <w:rPr>
                <w:rFonts w:cs="Times New Roman"/>
                <w:szCs w:val="24"/>
              </w:rPr>
              <w:t>Participating Organization(s)</w:t>
            </w:r>
          </w:p>
        </w:tc>
        <w:tc>
          <w:tcPr>
            <w:tcW w:w="258" w:type="dxa"/>
            <w:vMerge w:val="restart"/>
            <w:tcBorders>
              <w:left w:val="single" w:sz="4" w:space="0" w:color="auto"/>
              <w:right w:val="single" w:sz="4" w:space="0" w:color="auto"/>
            </w:tcBorders>
            <w:vAlign w:val="center"/>
          </w:tcPr>
          <w:p w:rsidR="000134CC" w:rsidRPr="00644D38" w:rsidRDefault="000134CC" w:rsidP="00644D38">
            <w:pPr>
              <w:jc w:val="both"/>
            </w:pPr>
          </w:p>
        </w:tc>
        <w:tc>
          <w:tcPr>
            <w:tcW w:w="4986" w:type="dxa"/>
            <w:tcBorders>
              <w:top w:val="single" w:sz="4" w:space="0" w:color="auto"/>
              <w:left w:val="single" w:sz="4" w:space="0" w:color="auto"/>
              <w:right w:val="single" w:sz="4" w:space="0" w:color="auto"/>
            </w:tcBorders>
            <w:shd w:val="clear" w:color="auto" w:fill="F3F3F3"/>
            <w:vAlign w:val="center"/>
          </w:tcPr>
          <w:p w:rsidR="000134CC" w:rsidRPr="00644D38" w:rsidRDefault="000134CC" w:rsidP="00644D38">
            <w:pPr>
              <w:pStyle w:val="H1"/>
              <w:jc w:val="both"/>
              <w:rPr>
                <w:rFonts w:cs="Times New Roman"/>
                <w:szCs w:val="24"/>
              </w:rPr>
            </w:pPr>
            <w:r w:rsidRPr="00644D38">
              <w:rPr>
                <w:rFonts w:cs="Times New Roman"/>
                <w:szCs w:val="24"/>
              </w:rPr>
              <w:t>Implementing Partners</w:t>
            </w:r>
          </w:p>
        </w:tc>
      </w:tr>
      <w:tr w:rsidR="000134CC" w:rsidRPr="005C4A1D" w:rsidTr="00954264">
        <w:trPr>
          <w:trHeight w:val="495"/>
        </w:trPr>
        <w:tc>
          <w:tcPr>
            <w:tcW w:w="5142" w:type="dxa"/>
            <w:tcBorders>
              <w:left w:val="single" w:sz="4" w:space="0" w:color="auto"/>
              <w:bottom w:val="single" w:sz="4" w:space="0" w:color="auto"/>
              <w:right w:val="single" w:sz="4" w:space="0" w:color="auto"/>
            </w:tcBorders>
          </w:tcPr>
          <w:p w:rsidR="000134CC" w:rsidRPr="00644D38" w:rsidRDefault="0070378C" w:rsidP="00644D38">
            <w:pPr>
              <w:pStyle w:val="BodyText"/>
              <w:numPr>
                <w:ilvl w:val="0"/>
                <w:numId w:val="11"/>
              </w:numPr>
              <w:jc w:val="both"/>
              <w:rPr>
                <w:rFonts w:ascii="Times New Roman" w:hAnsi="Times New Roman" w:cs="Times New Roman"/>
                <w:sz w:val="24"/>
                <w:szCs w:val="24"/>
              </w:rPr>
            </w:pPr>
            <w:r w:rsidRPr="00644D38">
              <w:rPr>
                <w:rFonts w:ascii="Times New Roman" w:hAnsi="Times New Roman" w:cs="Times New Roman"/>
                <w:sz w:val="24"/>
                <w:szCs w:val="24"/>
              </w:rPr>
              <w:t>Organizations that have received direct funding from th</w:t>
            </w:r>
            <w:r w:rsidR="00EB559E" w:rsidRPr="00644D38">
              <w:rPr>
                <w:rFonts w:ascii="Times New Roman" w:hAnsi="Times New Roman" w:cs="Times New Roman"/>
                <w:sz w:val="24"/>
                <w:szCs w:val="24"/>
              </w:rPr>
              <w:t>e</w:t>
            </w:r>
            <w:r w:rsidRPr="00644D38">
              <w:rPr>
                <w:rFonts w:ascii="Times New Roman" w:hAnsi="Times New Roman" w:cs="Times New Roman"/>
                <w:sz w:val="24"/>
                <w:szCs w:val="24"/>
              </w:rPr>
              <w:t xml:space="preserve"> MPTF Office under this programme</w:t>
            </w:r>
          </w:p>
          <w:p w:rsidR="001B2650" w:rsidRPr="00644D38" w:rsidRDefault="001B2650" w:rsidP="00644D38">
            <w:pPr>
              <w:pStyle w:val="BodyText"/>
              <w:ind w:left="720"/>
              <w:jc w:val="both"/>
              <w:rPr>
                <w:rFonts w:ascii="Times New Roman" w:hAnsi="Times New Roman" w:cs="Times New Roman"/>
                <w:sz w:val="24"/>
                <w:szCs w:val="24"/>
              </w:rPr>
            </w:pPr>
          </w:p>
          <w:p w:rsidR="00FD55A5" w:rsidRPr="00644D38" w:rsidRDefault="00FD55A5" w:rsidP="00644D38">
            <w:pPr>
              <w:pStyle w:val="BodyText"/>
              <w:numPr>
                <w:ilvl w:val="0"/>
                <w:numId w:val="11"/>
              </w:numPr>
              <w:jc w:val="both"/>
              <w:rPr>
                <w:rFonts w:ascii="Times New Roman" w:hAnsi="Times New Roman" w:cs="Times New Roman"/>
                <w:sz w:val="24"/>
                <w:szCs w:val="24"/>
              </w:rPr>
            </w:pPr>
            <w:r w:rsidRPr="00644D38">
              <w:rPr>
                <w:rFonts w:ascii="Times New Roman" w:hAnsi="Times New Roman" w:cs="Times New Roman"/>
                <w:sz w:val="24"/>
                <w:szCs w:val="24"/>
              </w:rPr>
              <w:t>World Food Programme South Sudan</w:t>
            </w:r>
          </w:p>
          <w:p w:rsidR="000134CC" w:rsidRPr="00644D38" w:rsidRDefault="000134CC" w:rsidP="00644D38">
            <w:pPr>
              <w:pStyle w:val="BodyText"/>
              <w:jc w:val="both"/>
              <w:rPr>
                <w:rFonts w:ascii="Times New Roman" w:hAnsi="Times New Roman" w:cs="Times New Roman"/>
                <w:i/>
                <w:sz w:val="24"/>
                <w:szCs w:val="24"/>
              </w:rPr>
            </w:pPr>
          </w:p>
          <w:p w:rsidR="000134CC" w:rsidRPr="00644D38" w:rsidRDefault="000134CC" w:rsidP="00644D38">
            <w:pPr>
              <w:pStyle w:val="BodyText"/>
              <w:jc w:val="both"/>
              <w:rPr>
                <w:rFonts w:ascii="Times New Roman" w:hAnsi="Times New Roman" w:cs="Times New Roman"/>
                <w:i/>
                <w:sz w:val="24"/>
                <w:szCs w:val="24"/>
              </w:rPr>
            </w:pPr>
          </w:p>
        </w:tc>
        <w:tc>
          <w:tcPr>
            <w:tcW w:w="258" w:type="dxa"/>
            <w:vMerge/>
            <w:tcBorders>
              <w:left w:val="single" w:sz="4" w:space="0" w:color="auto"/>
              <w:right w:val="single" w:sz="4" w:space="0" w:color="auto"/>
            </w:tcBorders>
          </w:tcPr>
          <w:p w:rsidR="000134CC" w:rsidRPr="00644D38" w:rsidRDefault="000134CC" w:rsidP="00644D38">
            <w:pPr>
              <w:pStyle w:val="BodyText"/>
              <w:jc w:val="both"/>
              <w:rPr>
                <w:rFonts w:ascii="Times New Roman" w:hAnsi="Times New Roman" w:cs="Times New Roman"/>
                <w:sz w:val="24"/>
                <w:szCs w:val="24"/>
              </w:rPr>
            </w:pPr>
          </w:p>
        </w:tc>
        <w:tc>
          <w:tcPr>
            <w:tcW w:w="4986" w:type="dxa"/>
            <w:tcBorders>
              <w:left w:val="single" w:sz="4" w:space="0" w:color="auto"/>
              <w:bottom w:val="single" w:sz="4" w:space="0" w:color="auto"/>
              <w:right w:val="single" w:sz="4" w:space="0" w:color="auto"/>
            </w:tcBorders>
          </w:tcPr>
          <w:p w:rsidR="000134CC" w:rsidRPr="00644D38" w:rsidRDefault="009E3952">
            <w:pPr>
              <w:pStyle w:val="BodyText"/>
              <w:numPr>
                <w:ilvl w:val="0"/>
                <w:numId w:val="7"/>
              </w:numPr>
              <w:spacing w:before="60" w:after="60"/>
              <w:ind w:left="376"/>
              <w:jc w:val="both"/>
              <w:rPr>
                <w:rFonts w:ascii="Times New Roman" w:hAnsi="Times New Roman" w:cs="Times New Roman"/>
                <w:bCs/>
                <w:iCs/>
                <w:snapToGrid w:val="0"/>
                <w:color w:val="000000"/>
                <w:sz w:val="24"/>
                <w:szCs w:val="24"/>
              </w:rPr>
            </w:pPr>
            <w:bookmarkStart w:id="1" w:name="_Toc249364478"/>
            <w:r w:rsidRPr="00644D38">
              <w:rPr>
                <w:rFonts w:ascii="Times New Roman" w:hAnsi="Times New Roman" w:cs="Times New Roman"/>
                <w:bCs/>
                <w:iCs/>
                <w:snapToGrid w:val="0"/>
                <w:color w:val="000000"/>
                <w:sz w:val="24"/>
                <w:szCs w:val="24"/>
              </w:rPr>
              <w:t>National counterparts (government, private, NGOs &amp; others</w:t>
            </w:r>
            <w:bookmarkEnd w:id="1"/>
            <w:r w:rsidRPr="00644D38">
              <w:rPr>
                <w:rFonts w:ascii="Times New Roman" w:hAnsi="Times New Roman" w:cs="Times New Roman"/>
                <w:bCs/>
                <w:iCs/>
                <w:snapToGrid w:val="0"/>
                <w:color w:val="000000"/>
                <w:sz w:val="24"/>
                <w:szCs w:val="24"/>
              </w:rPr>
              <w:t>) and other International Organizations</w:t>
            </w:r>
          </w:p>
          <w:p w:rsidR="00FD55A5" w:rsidRPr="00644D38" w:rsidRDefault="00FD55A5">
            <w:pPr>
              <w:pStyle w:val="BodyText"/>
              <w:numPr>
                <w:ilvl w:val="0"/>
                <w:numId w:val="7"/>
              </w:numPr>
              <w:spacing w:before="60" w:after="60"/>
              <w:ind w:left="376"/>
              <w:jc w:val="both"/>
              <w:rPr>
                <w:rFonts w:ascii="Times New Roman" w:hAnsi="Times New Roman" w:cs="Times New Roman"/>
                <w:bCs/>
                <w:iCs/>
                <w:snapToGrid w:val="0"/>
                <w:color w:val="000000"/>
                <w:sz w:val="24"/>
                <w:szCs w:val="24"/>
              </w:rPr>
            </w:pPr>
            <w:r w:rsidRPr="00644D38">
              <w:rPr>
                <w:rFonts w:ascii="Times New Roman" w:hAnsi="Times New Roman" w:cs="Times New Roman"/>
                <w:bCs/>
                <w:iCs/>
                <w:snapToGrid w:val="0"/>
                <w:color w:val="000000"/>
                <w:sz w:val="24"/>
                <w:szCs w:val="24"/>
              </w:rPr>
              <w:t>Government of South Sudan</w:t>
            </w:r>
          </w:p>
          <w:p w:rsidR="00FD55A5" w:rsidRPr="00644D38" w:rsidRDefault="00FD55A5">
            <w:pPr>
              <w:pStyle w:val="BodyText"/>
              <w:numPr>
                <w:ilvl w:val="0"/>
                <w:numId w:val="7"/>
              </w:numPr>
              <w:spacing w:before="60" w:after="60"/>
              <w:ind w:left="376"/>
              <w:jc w:val="both"/>
              <w:rPr>
                <w:rFonts w:ascii="Times New Roman" w:hAnsi="Times New Roman" w:cs="Times New Roman"/>
                <w:bCs/>
                <w:iCs/>
                <w:snapToGrid w:val="0"/>
                <w:color w:val="000000"/>
                <w:sz w:val="24"/>
                <w:szCs w:val="24"/>
              </w:rPr>
            </w:pPr>
            <w:r w:rsidRPr="00644D38">
              <w:rPr>
                <w:rFonts w:ascii="Times New Roman" w:hAnsi="Times New Roman" w:cs="Times New Roman"/>
                <w:bCs/>
                <w:iCs/>
                <w:snapToGrid w:val="0"/>
                <w:color w:val="000000"/>
                <w:sz w:val="24"/>
                <w:szCs w:val="24"/>
              </w:rPr>
              <w:t>International Food Policy Research Institute (IFPRI)</w:t>
            </w:r>
          </w:p>
          <w:p w:rsidR="00FD55A5" w:rsidRPr="00644D38" w:rsidRDefault="00FD55A5">
            <w:pPr>
              <w:pStyle w:val="BodyText"/>
              <w:numPr>
                <w:ilvl w:val="0"/>
                <w:numId w:val="7"/>
              </w:numPr>
              <w:spacing w:before="60" w:after="60"/>
              <w:ind w:left="376"/>
              <w:jc w:val="both"/>
              <w:rPr>
                <w:rFonts w:ascii="Times New Roman" w:hAnsi="Times New Roman" w:cs="Times New Roman"/>
                <w:bCs/>
                <w:iCs/>
                <w:snapToGrid w:val="0"/>
                <w:color w:val="000000"/>
                <w:sz w:val="24"/>
                <w:szCs w:val="24"/>
              </w:rPr>
            </w:pPr>
            <w:r w:rsidRPr="00644D38">
              <w:rPr>
                <w:rFonts w:ascii="Times New Roman" w:hAnsi="Times New Roman" w:cs="Times New Roman"/>
                <w:bCs/>
                <w:iCs/>
                <w:snapToGrid w:val="0"/>
                <w:color w:val="000000"/>
                <w:sz w:val="24"/>
                <w:szCs w:val="24"/>
              </w:rPr>
              <w:t xml:space="preserve">Private Sector Contractors </w:t>
            </w:r>
          </w:p>
        </w:tc>
      </w:tr>
    </w:tbl>
    <w:p w:rsidR="000134CC" w:rsidRPr="00644D38" w:rsidRDefault="000134CC" w:rsidP="00644D38">
      <w:pPr>
        <w:jc w:val="both"/>
        <w:rPr>
          <w:b/>
          <w:bCs/>
          <w:caps/>
        </w:rPr>
      </w:pPr>
    </w:p>
    <w:tbl>
      <w:tblPr>
        <w:tblW w:w="10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900"/>
        <w:gridCol w:w="258"/>
        <w:gridCol w:w="3002"/>
        <w:gridCol w:w="1984"/>
      </w:tblGrid>
      <w:tr w:rsidR="0044761E" w:rsidRPr="005C4A1D" w:rsidTr="0044761E">
        <w:trPr>
          <w:trHeight w:val="440"/>
        </w:trPr>
        <w:tc>
          <w:tcPr>
            <w:tcW w:w="5130" w:type="dxa"/>
            <w:gridSpan w:val="2"/>
            <w:tcBorders>
              <w:top w:val="single" w:sz="4" w:space="0" w:color="auto"/>
              <w:left w:val="single" w:sz="4" w:space="0" w:color="auto"/>
              <w:bottom w:val="nil"/>
              <w:right w:val="single" w:sz="4" w:space="0" w:color="auto"/>
            </w:tcBorders>
            <w:shd w:val="clear" w:color="auto" w:fill="F2F2F2"/>
            <w:vAlign w:val="center"/>
          </w:tcPr>
          <w:p w:rsidR="000134CC" w:rsidRPr="00644D38" w:rsidRDefault="000134CC" w:rsidP="00644D38">
            <w:pPr>
              <w:pStyle w:val="H1"/>
              <w:jc w:val="both"/>
              <w:rPr>
                <w:rFonts w:cs="Times New Roman"/>
                <w:szCs w:val="24"/>
              </w:rPr>
            </w:pPr>
            <w:r w:rsidRPr="00644D38">
              <w:rPr>
                <w:rFonts w:cs="Times New Roman"/>
                <w:szCs w:val="24"/>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H1"/>
              <w:jc w:val="both"/>
              <w:rPr>
                <w:rFonts w:cs="Times New Roman"/>
                <w:szCs w:val="24"/>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0134CC" w:rsidRPr="00644D38" w:rsidRDefault="000134CC" w:rsidP="00644D38">
            <w:pPr>
              <w:pStyle w:val="H1"/>
              <w:jc w:val="both"/>
              <w:rPr>
                <w:rFonts w:cs="Times New Roman"/>
                <w:szCs w:val="24"/>
              </w:rPr>
            </w:pPr>
            <w:r w:rsidRPr="00644D38">
              <w:rPr>
                <w:rFonts w:cs="Times New Roman"/>
                <w:szCs w:val="24"/>
              </w:rPr>
              <w:t>Programme Duration</w:t>
            </w:r>
          </w:p>
        </w:tc>
      </w:tr>
      <w:tr w:rsidR="0044761E" w:rsidRPr="005C4A1D" w:rsidTr="0044761E">
        <w:trPr>
          <w:trHeight w:val="636"/>
        </w:trPr>
        <w:tc>
          <w:tcPr>
            <w:tcW w:w="4230" w:type="dxa"/>
            <w:tcBorders>
              <w:top w:val="nil"/>
              <w:left w:val="single" w:sz="4" w:space="0" w:color="auto"/>
              <w:bottom w:val="nil"/>
              <w:right w:val="nil"/>
            </w:tcBorders>
            <w:shd w:val="clear" w:color="auto" w:fill="auto"/>
            <w:vAlign w:val="center"/>
          </w:tcPr>
          <w:p w:rsidR="000134CC" w:rsidRPr="00644D38" w:rsidRDefault="000134CC" w:rsidP="00644D38">
            <w:pPr>
              <w:pStyle w:val="H2"/>
              <w:jc w:val="both"/>
              <w:rPr>
                <w:rFonts w:cs="Times New Roman"/>
                <w:b w:val="0"/>
                <w:sz w:val="24"/>
                <w:szCs w:val="24"/>
              </w:rPr>
            </w:pPr>
            <w:r w:rsidRPr="00644D38">
              <w:rPr>
                <w:rFonts w:cs="Times New Roman"/>
                <w:b w:val="0"/>
                <w:sz w:val="24"/>
                <w:szCs w:val="24"/>
              </w:rPr>
              <w:t>M</w:t>
            </w:r>
            <w:r w:rsidR="005B1F46" w:rsidRPr="00644D38">
              <w:rPr>
                <w:rFonts w:cs="Times New Roman"/>
                <w:b w:val="0"/>
                <w:sz w:val="24"/>
                <w:szCs w:val="24"/>
              </w:rPr>
              <w:t>P</w:t>
            </w:r>
            <w:r w:rsidRPr="00644D38">
              <w:rPr>
                <w:rFonts w:cs="Times New Roman"/>
                <w:b w:val="0"/>
                <w:sz w:val="24"/>
                <w:szCs w:val="24"/>
              </w:rPr>
              <w:t>TF</w:t>
            </w:r>
            <w:r w:rsidR="00EB559E" w:rsidRPr="00644D38">
              <w:rPr>
                <w:rFonts w:cs="Times New Roman"/>
                <w:b w:val="0"/>
                <w:sz w:val="24"/>
                <w:szCs w:val="24"/>
              </w:rPr>
              <w:t>/JP</w:t>
            </w:r>
            <w:r w:rsidRPr="00644D38">
              <w:rPr>
                <w:rFonts w:cs="Times New Roman"/>
                <w:b w:val="0"/>
                <w:sz w:val="24"/>
                <w:szCs w:val="24"/>
              </w:rPr>
              <w:t xml:space="preserve"> Contribution:  </w:t>
            </w:r>
          </w:p>
          <w:p w:rsidR="000134CC" w:rsidRPr="00644D38" w:rsidRDefault="00E250F5" w:rsidP="00644D38">
            <w:pPr>
              <w:pStyle w:val="H2"/>
              <w:numPr>
                <w:ilvl w:val="0"/>
                <w:numId w:val="9"/>
              </w:numPr>
              <w:ind w:left="162" w:hanging="180"/>
              <w:jc w:val="both"/>
              <w:rPr>
                <w:rFonts w:cs="Times New Roman"/>
                <w:i/>
                <w:sz w:val="24"/>
                <w:szCs w:val="24"/>
              </w:rPr>
            </w:pPr>
            <w:r w:rsidRPr="00644D38">
              <w:rPr>
                <w:rFonts w:cs="Times New Roman"/>
                <w:b w:val="0"/>
                <w:i/>
                <w:sz w:val="24"/>
                <w:szCs w:val="24"/>
              </w:rPr>
              <w:t>US$1,990,200</w:t>
            </w:r>
          </w:p>
        </w:tc>
        <w:tc>
          <w:tcPr>
            <w:tcW w:w="900" w:type="dxa"/>
            <w:tcBorders>
              <w:top w:val="nil"/>
              <w:left w:val="nil"/>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c>
          <w:tcPr>
            <w:tcW w:w="3002" w:type="dxa"/>
            <w:tcBorders>
              <w:top w:val="nil"/>
              <w:left w:val="single" w:sz="4" w:space="0" w:color="auto"/>
              <w:bottom w:val="nil"/>
              <w:right w:val="nil"/>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r w:rsidRPr="00644D38">
              <w:rPr>
                <w:rFonts w:ascii="Times New Roman" w:hAnsi="Times New Roman" w:cs="Times New Roman"/>
                <w:sz w:val="24"/>
                <w:szCs w:val="24"/>
              </w:rPr>
              <w:t>Overall Duration</w:t>
            </w:r>
            <w:r w:rsidR="00EB559E" w:rsidRPr="00644D38">
              <w:rPr>
                <w:rFonts w:ascii="Times New Roman" w:hAnsi="Times New Roman" w:cs="Times New Roman"/>
                <w:sz w:val="24"/>
                <w:szCs w:val="24"/>
              </w:rPr>
              <w:t xml:space="preserve"> </w:t>
            </w:r>
            <w:r w:rsidR="00EB559E" w:rsidRPr="00644D38">
              <w:rPr>
                <w:rFonts w:ascii="Times New Roman" w:hAnsi="Times New Roman" w:cs="Times New Roman"/>
                <w:i/>
                <w:sz w:val="24"/>
                <w:szCs w:val="24"/>
              </w:rPr>
              <w:t>(months)</w:t>
            </w:r>
            <w:r w:rsidR="002A5178" w:rsidRPr="00644D38">
              <w:rPr>
                <w:rFonts w:ascii="Times New Roman" w:hAnsi="Times New Roman" w:cs="Times New Roman"/>
                <w:i/>
                <w:sz w:val="24"/>
                <w:szCs w:val="24"/>
              </w:rPr>
              <w:t xml:space="preserve"> 36 months </w:t>
            </w:r>
          </w:p>
        </w:tc>
        <w:tc>
          <w:tcPr>
            <w:tcW w:w="1984" w:type="dxa"/>
            <w:tcBorders>
              <w:top w:val="nil"/>
              <w:left w:val="nil"/>
              <w:bottom w:val="nil"/>
              <w:right w:val="single" w:sz="4" w:space="0" w:color="auto"/>
            </w:tcBorders>
            <w:shd w:val="clear" w:color="auto" w:fill="auto"/>
            <w:vAlign w:val="center"/>
          </w:tcPr>
          <w:p w:rsidR="000134CC" w:rsidRPr="00644D38" w:rsidRDefault="000134CC" w:rsidP="00644D38">
            <w:pPr>
              <w:pStyle w:val="BodyText"/>
              <w:widowControl w:val="0"/>
              <w:jc w:val="both"/>
              <w:rPr>
                <w:rFonts w:ascii="Times New Roman" w:hAnsi="Times New Roman" w:cs="Times New Roman"/>
                <w:sz w:val="24"/>
                <w:szCs w:val="24"/>
              </w:rPr>
            </w:pPr>
          </w:p>
        </w:tc>
      </w:tr>
      <w:tr w:rsidR="0044761E" w:rsidRPr="005C4A1D" w:rsidTr="0044761E">
        <w:trPr>
          <w:trHeight w:val="350"/>
        </w:trPr>
        <w:tc>
          <w:tcPr>
            <w:tcW w:w="4230" w:type="dxa"/>
            <w:tcBorders>
              <w:top w:val="nil"/>
              <w:left w:val="single" w:sz="4" w:space="0" w:color="auto"/>
              <w:bottom w:val="nil"/>
              <w:right w:val="nil"/>
            </w:tcBorders>
            <w:shd w:val="clear" w:color="auto" w:fill="auto"/>
            <w:vAlign w:val="center"/>
          </w:tcPr>
          <w:p w:rsidR="000134CC" w:rsidRPr="00644D38" w:rsidRDefault="000134CC" w:rsidP="00644D38">
            <w:pPr>
              <w:pStyle w:val="H2"/>
              <w:jc w:val="both"/>
              <w:rPr>
                <w:rFonts w:cs="Times New Roman"/>
                <w:b w:val="0"/>
                <w:sz w:val="24"/>
                <w:szCs w:val="24"/>
              </w:rPr>
            </w:pPr>
            <w:r w:rsidRPr="00644D38">
              <w:rPr>
                <w:rFonts w:cs="Times New Roman"/>
                <w:b w:val="0"/>
                <w:sz w:val="24"/>
                <w:szCs w:val="24"/>
              </w:rPr>
              <w:lastRenderedPageBreak/>
              <w:t>Agency Contribution</w:t>
            </w:r>
          </w:p>
          <w:p w:rsidR="000134CC" w:rsidRPr="00644D38" w:rsidRDefault="00E250F5" w:rsidP="00644D38">
            <w:pPr>
              <w:pStyle w:val="H2"/>
              <w:numPr>
                <w:ilvl w:val="0"/>
                <w:numId w:val="8"/>
              </w:numPr>
              <w:ind w:left="162" w:hanging="162"/>
              <w:jc w:val="both"/>
              <w:rPr>
                <w:rFonts w:cs="Times New Roman"/>
                <w:sz w:val="24"/>
                <w:szCs w:val="24"/>
              </w:rPr>
            </w:pPr>
            <w:r w:rsidRPr="00644D38">
              <w:rPr>
                <w:rFonts w:cs="Times New Roman"/>
                <w:b w:val="0"/>
                <w:i/>
                <w:sz w:val="24"/>
                <w:szCs w:val="24"/>
              </w:rPr>
              <w:t xml:space="preserve">Not available </w:t>
            </w:r>
          </w:p>
        </w:tc>
        <w:tc>
          <w:tcPr>
            <w:tcW w:w="900" w:type="dxa"/>
            <w:tcBorders>
              <w:top w:val="nil"/>
              <w:left w:val="nil"/>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c>
          <w:tcPr>
            <w:tcW w:w="3002" w:type="dxa"/>
            <w:tcBorders>
              <w:top w:val="nil"/>
              <w:left w:val="single" w:sz="4" w:space="0" w:color="auto"/>
              <w:bottom w:val="nil"/>
              <w:right w:val="nil"/>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r w:rsidRPr="00644D38">
              <w:rPr>
                <w:rFonts w:ascii="Times New Roman" w:hAnsi="Times New Roman" w:cs="Times New Roman"/>
                <w:sz w:val="24"/>
                <w:szCs w:val="24"/>
              </w:rPr>
              <w:t>Start Date</w:t>
            </w:r>
            <w:r w:rsidRPr="00644D38">
              <w:rPr>
                <w:rStyle w:val="FootnoteReference"/>
                <w:rFonts w:ascii="Times New Roman" w:hAnsi="Times New Roman" w:cs="Times New Roman"/>
                <w:sz w:val="24"/>
                <w:szCs w:val="24"/>
              </w:rPr>
              <w:footnoteReference w:id="4"/>
            </w:r>
            <w:r w:rsidR="00EB559E" w:rsidRPr="00644D38">
              <w:rPr>
                <w:rFonts w:ascii="Times New Roman" w:hAnsi="Times New Roman" w:cs="Times New Roman"/>
                <w:sz w:val="24"/>
                <w:szCs w:val="24"/>
              </w:rPr>
              <w:t xml:space="preserve"> </w:t>
            </w:r>
            <w:r w:rsidR="00EB559E" w:rsidRPr="00644D38">
              <w:rPr>
                <w:rFonts w:ascii="Times New Roman" w:hAnsi="Times New Roman" w:cs="Times New Roman"/>
                <w:i/>
                <w:sz w:val="24"/>
                <w:szCs w:val="24"/>
              </w:rPr>
              <w:t>(</w:t>
            </w:r>
            <w:proofErr w:type="spellStart"/>
            <w:r w:rsidR="00EB559E" w:rsidRPr="00644D38">
              <w:rPr>
                <w:rFonts w:ascii="Times New Roman" w:hAnsi="Times New Roman" w:cs="Times New Roman"/>
                <w:i/>
                <w:sz w:val="24"/>
                <w:szCs w:val="24"/>
              </w:rPr>
              <w:t>dd.mm.yyyy</w:t>
            </w:r>
            <w:proofErr w:type="spellEnd"/>
            <w:r w:rsidR="00EB559E" w:rsidRPr="00644D38">
              <w:rPr>
                <w:rFonts w:ascii="Times New Roman" w:hAnsi="Times New Roman" w:cs="Times New Roman"/>
                <w:i/>
                <w:sz w:val="24"/>
                <w:szCs w:val="24"/>
              </w:rPr>
              <w:t>)</w:t>
            </w:r>
          </w:p>
        </w:tc>
        <w:tc>
          <w:tcPr>
            <w:tcW w:w="1984" w:type="dxa"/>
            <w:tcBorders>
              <w:top w:val="nil"/>
              <w:left w:val="nil"/>
              <w:bottom w:val="nil"/>
              <w:right w:val="single" w:sz="4" w:space="0" w:color="auto"/>
            </w:tcBorders>
            <w:shd w:val="clear" w:color="auto" w:fill="auto"/>
            <w:vAlign w:val="center"/>
          </w:tcPr>
          <w:p w:rsidR="000134CC" w:rsidRPr="00644D38" w:rsidRDefault="00AD0415" w:rsidP="00644D38">
            <w:pPr>
              <w:pStyle w:val="BodyText"/>
              <w:jc w:val="both"/>
              <w:rPr>
                <w:rFonts w:ascii="Times New Roman" w:hAnsi="Times New Roman" w:cs="Times New Roman"/>
                <w:sz w:val="24"/>
                <w:szCs w:val="24"/>
              </w:rPr>
            </w:pPr>
            <w:r w:rsidRPr="00644D38">
              <w:rPr>
                <w:rFonts w:ascii="Times New Roman" w:hAnsi="Times New Roman" w:cs="Times New Roman"/>
                <w:i/>
                <w:sz w:val="24"/>
                <w:szCs w:val="24"/>
              </w:rPr>
              <w:t>27 July 2011</w:t>
            </w:r>
          </w:p>
        </w:tc>
      </w:tr>
      <w:tr w:rsidR="0044761E" w:rsidRPr="005C4A1D" w:rsidTr="0044761E">
        <w:trPr>
          <w:trHeight w:val="350"/>
        </w:trPr>
        <w:tc>
          <w:tcPr>
            <w:tcW w:w="4230" w:type="dxa"/>
            <w:tcBorders>
              <w:top w:val="nil"/>
              <w:left w:val="single" w:sz="4" w:space="0" w:color="auto"/>
              <w:bottom w:val="nil"/>
              <w:right w:val="nil"/>
            </w:tcBorders>
            <w:shd w:val="clear" w:color="auto" w:fill="D9D9D9"/>
            <w:vAlign w:val="center"/>
          </w:tcPr>
          <w:p w:rsidR="000134CC" w:rsidRPr="00644D38" w:rsidRDefault="000134CC" w:rsidP="00644D38">
            <w:pPr>
              <w:pStyle w:val="H2"/>
              <w:jc w:val="both"/>
              <w:rPr>
                <w:rFonts w:cs="Times New Roman"/>
                <w:b w:val="0"/>
                <w:sz w:val="24"/>
                <w:szCs w:val="24"/>
              </w:rPr>
            </w:pPr>
            <w:r w:rsidRPr="00644D38">
              <w:rPr>
                <w:rFonts w:cs="Times New Roman"/>
                <w:b w:val="0"/>
                <w:sz w:val="24"/>
                <w:szCs w:val="24"/>
              </w:rPr>
              <w:t>Government Contribution</w:t>
            </w:r>
          </w:p>
          <w:p w:rsidR="000134CC" w:rsidRPr="00644D38" w:rsidRDefault="000134CC" w:rsidP="00644D38">
            <w:pPr>
              <w:pStyle w:val="H2"/>
              <w:jc w:val="both"/>
              <w:rPr>
                <w:rFonts w:cs="Times New Roman"/>
                <w:sz w:val="24"/>
                <w:szCs w:val="24"/>
              </w:rPr>
            </w:pPr>
            <w:r w:rsidRPr="00644D38">
              <w:rPr>
                <w:rFonts w:cs="Times New Roman"/>
                <w:b w:val="0"/>
                <w:i/>
                <w:sz w:val="24"/>
                <w:szCs w:val="24"/>
              </w:rPr>
              <w:t>(if applicable)</w:t>
            </w:r>
          </w:p>
        </w:tc>
        <w:tc>
          <w:tcPr>
            <w:tcW w:w="900" w:type="dxa"/>
            <w:tcBorders>
              <w:top w:val="nil"/>
              <w:left w:val="nil"/>
              <w:bottom w:val="nil"/>
              <w:right w:val="single" w:sz="4" w:space="0" w:color="auto"/>
            </w:tcBorders>
            <w:shd w:val="clear" w:color="auto" w:fill="D9D9D9"/>
            <w:vAlign w:val="center"/>
          </w:tcPr>
          <w:p w:rsidR="000134CC" w:rsidRPr="00644D38" w:rsidRDefault="000134CC" w:rsidP="00644D38">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c>
          <w:tcPr>
            <w:tcW w:w="3002" w:type="dxa"/>
            <w:tcBorders>
              <w:top w:val="nil"/>
              <w:left w:val="single" w:sz="4" w:space="0" w:color="auto"/>
              <w:bottom w:val="nil"/>
              <w:right w:val="nil"/>
            </w:tcBorders>
            <w:shd w:val="clear" w:color="auto" w:fill="auto"/>
            <w:vAlign w:val="center"/>
          </w:tcPr>
          <w:p w:rsidR="000134CC" w:rsidRPr="00644D38" w:rsidRDefault="003C4D74" w:rsidP="00644D38">
            <w:pPr>
              <w:pStyle w:val="BodyText"/>
              <w:jc w:val="both"/>
              <w:rPr>
                <w:rFonts w:ascii="Times New Roman" w:hAnsi="Times New Roman" w:cs="Times New Roman"/>
                <w:sz w:val="24"/>
                <w:szCs w:val="24"/>
              </w:rPr>
            </w:pPr>
            <w:r w:rsidRPr="00644D38">
              <w:rPr>
                <w:rFonts w:ascii="Times New Roman" w:hAnsi="Times New Roman" w:cs="Times New Roman"/>
                <w:sz w:val="24"/>
                <w:szCs w:val="24"/>
              </w:rPr>
              <w:t xml:space="preserve">End Date </w:t>
            </w:r>
            <w:r w:rsidR="0097453F" w:rsidRPr="00644D38">
              <w:rPr>
                <w:rFonts w:ascii="Times New Roman" w:hAnsi="Times New Roman" w:cs="Times New Roman"/>
                <w:sz w:val="24"/>
                <w:szCs w:val="24"/>
              </w:rPr>
              <w:t>(</w:t>
            </w:r>
            <w:r w:rsidRPr="00644D38">
              <w:rPr>
                <w:rFonts w:ascii="Times New Roman" w:hAnsi="Times New Roman" w:cs="Times New Roman"/>
                <w:sz w:val="24"/>
                <w:szCs w:val="24"/>
              </w:rPr>
              <w:t xml:space="preserve">or </w:t>
            </w:r>
            <w:r w:rsidR="000134CC" w:rsidRPr="00644D38">
              <w:rPr>
                <w:rFonts w:ascii="Times New Roman" w:hAnsi="Times New Roman" w:cs="Times New Roman"/>
                <w:sz w:val="24"/>
                <w:szCs w:val="24"/>
              </w:rPr>
              <w:t>Revised End Date</w:t>
            </w:r>
            <w:r w:rsidR="0097453F" w:rsidRPr="00644D38">
              <w:rPr>
                <w:rFonts w:ascii="Times New Roman" w:hAnsi="Times New Roman" w:cs="Times New Roman"/>
                <w:sz w:val="24"/>
                <w:szCs w:val="24"/>
              </w:rPr>
              <w:t>)</w:t>
            </w:r>
            <w:r w:rsidR="0097453F" w:rsidRPr="00644D38">
              <w:rPr>
                <w:rStyle w:val="FootnoteReference"/>
                <w:rFonts w:ascii="Times New Roman" w:hAnsi="Times New Roman" w:cs="Times New Roman"/>
                <w:bCs/>
                <w:i/>
                <w:iCs/>
                <w:snapToGrid w:val="0"/>
                <w:sz w:val="24"/>
                <w:szCs w:val="24"/>
              </w:rPr>
              <w:footnoteReference w:id="5"/>
            </w:r>
            <w:r w:rsidR="00DC26BB" w:rsidRPr="00644D38">
              <w:rPr>
                <w:rFonts w:ascii="Times New Roman" w:hAnsi="Times New Roman" w:cs="Times New Roman"/>
                <w:sz w:val="24"/>
                <w:szCs w:val="24"/>
              </w:rPr>
              <w:t xml:space="preserve"> </w:t>
            </w:r>
            <w:r w:rsidR="002A5178" w:rsidRPr="00644D38">
              <w:rPr>
                <w:rFonts w:ascii="Times New Roman" w:hAnsi="Times New Roman" w:cs="Times New Roman"/>
                <w:sz w:val="24"/>
                <w:szCs w:val="24"/>
              </w:rPr>
              <w:t xml:space="preserve"> </w:t>
            </w:r>
          </w:p>
        </w:tc>
        <w:tc>
          <w:tcPr>
            <w:tcW w:w="1984" w:type="dxa"/>
            <w:tcBorders>
              <w:top w:val="nil"/>
              <w:left w:val="nil"/>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r>
      <w:tr w:rsidR="0044761E" w:rsidRPr="005C4A1D" w:rsidTr="0044761E">
        <w:trPr>
          <w:trHeight w:val="350"/>
        </w:trPr>
        <w:tc>
          <w:tcPr>
            <w:tcW w:w="4230" w:type="dxa"/>
            <w:tcBorders>
              <w:top w:val="nil"/>
              <w:left w:val="single" w:sz="4" w:space="0" w:color="auto"/>
              <w:bottom w:val="nil"/>
              <w:right w:val="nil"/>
            </w:tcBorders>
            <w:shd w:val="clear" w:color="auto" w:fill="D9D9D9"/>
            <w:vAlign w:val="center"/>
          </w:tcPr>
          <w:p w:rsidR="000134CC" w:rsidRPr="00644D38" w:rsidRDefault="000134CC" w:rsidP="00644D38">
            <w:pPr>
              <w:pStyle w:val="H2"/>
              <w:jc w:val="both"/>
              <w:rPr>
                <w:rFonts w:cs="Times New Roman"/>
                <w:b w:val="0"/>
                <w:sz w:val="24"/>
                <w:szCs w:val="24"/>
              </w:rPr>
            </w:pPr>
            <w:r w:rsidRPr="00644D38">
              <w:rPr>
                <w:rFonts w:cs="Times New Roman"/>
                <w:b w:val="0"/>
                <w:sz w:val="24"/>
                <w:szCs w:val="24"/>
              </w:rPr>
              <w:t>Other Contribution</w:t>
            </w:r>
            <w:r w:rsidR="00EB559E" w:rsidRPr="00644D38">
              <w:rPr>
                <w:rFonts w:cs="Times New Roman"/>
                <w:b w:val="0"/>
                <w:sz w:val="24"/>
                <w:szCs w:val="24"/>
              </w:rPr>
              <w:t>s</w:t>
            </w:r>
          </w:p>
          <w:p w:rsidR="00E250F5" w:rsidRPr="00644D38" w:rsidRDefault="0044761E" w:rsidP="00644D38">
            <w:pPr>
              <w:pStyle w:val="H2"/>
              <w:ind w:right="-198"/>
              <w:jc w:val="both"/>
              <w:rPr>
                <w:rFonts w:cs="Times New Roman"/>
                <w:b w:val="0"/>
                <w:sz w:val="24"/>
                <w:szCs w:val="24"/>
              </w:rPr>
            </w:pPr>
            <w:r w:rsidRPr="00644D38">
              <w:rPr>
                <w:rFonts w:cs="Times New Roman"/>
                <w:b w:val="0"/>
                <w:sz w:val="24"/>
                <w:szCs w:val="24"/>
              </w:rPr>
              <w:t xml:space="preserve">Government of Norway </w:t>
            </w:r>
            <w:r w:rsidR="00E250F5" w:rsidRPr="00644D38">
              <w:rPr>
                <w:rFonts w:cs="Times New Roman"/>
                <w:b w:val="0"/>
                <w:sz w:val="24"/>
                <w:szCs w:val="24"/>
              </w:rPr>
              <w:t>US$2</w:t>
            </w:r>
            <w:r w:rsidRPr="00644D38">
              <w:rPr>
                <w:rFonts w:cs="Times New Roman"/>
                <w:b w:val="0"/>
                <w:sz w:val="24"/>
                <w:szCs w:val="24"/>
              </w:rPr>
              <w:t xml:space="preserve">.5 million </w:t>
            </w:r>
            <w:r w:rsidR="00E250F5" w:rsidRPr="00644D38">
              <w:rPr>
                <w:rFonts w:cs="Times New Roman"/>
                <w:b w:val="0"/>
                <w:sz w:val="24"/>
                <w:szCs w:val="24"/>
              </w:rPr>
              <w:t xml:space="preserve"> </w:t>
            </w:r>
          </w:p>
          <w:p w:rsidR="000134CC" w:rsidRPr="00644D38" w:rsidRDefault="000134CC" w:rsidP="00644D38">
            <w:pPr>
              <w:pStyle w:val="H2"/>
              <w:jc w:val="both"/>
              <w:rPr>
                <w:rFonts w:cs="Times New Roman"/>
                <w:sz w:val="24"/>
                <w:szCs w:val="24"/>
              </w:rPr>
            </w:pPr>
            <w:r w:rsidRPr="00644D38">
              <w:rPr>
                <w:rFonts w:cs="Times New Roman"/>
                <w:b w:val="0"/>
                <w:i/>
                <w:sz w:val="24"/>
                <w:szCs w:val="24"/>
              </w:rPr>
              <w:t>(if applicable)</w:t>
            </w:r>
          </w:p>
        </w:tc>
        <w:tc>
          <w:tcPr>
            <w:tcW w:w="900" w:type="dxa"/>
            <w:tcBorders>
              <w:top w:val="nil"/>
              <w:left w:val="nil"/>
              <w:bottom w:val="nil"/>
              <w:right w:val="single" w:sz="4" w:space="0" w:color="auto"/>
            </w:tcBorders>
            <w:shd w:val="clear" w:color="auto" w:fill="D9D9D9"/>
            <w:vAlign w:val="center"/>
          </w:tcPr>
          <w:p w:rsidR="000134CC" w:rsidRPr="00644D38" w:rsidRDefault="000134CC" w:rsidP="00644D38">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c>
          <w:tcPr>
            <w:tcW w:w="3002" w:type="dxa"/>
            <w:tcBorders>
              <w:top w:val="nil"/>
              <w:left w:val="single" w:sz="4" w:space="0" w:color="auto"/>
              <w:bottom w:val="nil"/>
              <w:right w:val="nil"/>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r w:rsidRPr="00644D38">
              <w:rPr>
                <w:rFonts w:ascii="Times New Roman" w:hAnsi="Times New Roman" w:cs="Times New Roman"/>
                <w:sz w:val="24"/>
                <w:szCs w:val="24"/>
              </w:rPr>
              <w:t>Operational Closure Date</w:t>
            </w:r>
            <w:r w:rsidRPr="00644D38">
              <w:rPr>
                <w:rStyle w:val="FootnoteReference"/>
                <w:rFonts w:ascii="Times New Roman" w:hAnsi="Times New Roman" w:cs="Times New Roman"/>
                <w:sz w:val="24"/>
                <w:szCs w:val="24"/>
              </w:rPr>
              <w:footnoteReference w:id="6"/>
            </w:r>
            <w:r w:rsidR="006F7B33" w:rsidRPr="00644D38">
              <w:rPr>
                <w:rFonts w:ascii="Times New Roman" w:hAnsi="Times New Roman" w:cs="Times New Roman"/>
                <w:sz w:val="24"/>
                <w:szCs w:val="24"/>
              </w:rPr>
              <w:t xml:space="preserve"> </w:t>
            </w:r>
            <w:r w:rsidR="000A5F18" w:rsidRPr="00644D38">
              <w:rPr>
                <w:rFonts w:ascii="Times New Roman" w:hAnsi="Times New Roman" w:cs="Times New Roman"/>
                <w:sz w:val="24"/>
                <w:szCs w:val="24"/>
              </w:rPr>
              <w:t>26</w:t>
            </w:r>
            <w:r w:rsidR="002A5178" w:rsidRPr="00644D38">
              <w:rPr>
                <w:rFonts w:ascii="Times New Roman" w:hAnsi="Times New Roman" w:cs="Times New Roman"/>
                <w:sz w:val="24"/>
                <w:szCs w:val="24"/>
              </w:rPr>
              <w:t xml:space="preserve"> July 2014 </w:t>
            </w:r>
          </w:p>
        </w:tc>
        <w:tc>
          <w:tcPr>
            <w:tcW w:w="1984" w:type="dxa"/>
            <w:tcBorders>
              <w:top w:val="nil"/>
              <w:left w:val="nil"/>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r>
      <w:tr w:rsidR="0044761E" w:rsidRPr="005C4A1D" w:rsidTr="0044761E">
        <w:trPr>
          <w:trHeight w:val="350"/>
        </w:trPr>
        <w:tc>
          <w:tcPr>
            <w:tcW w:w="4230" w:type="dxa"/>
            <w:tcBorders>
              <w:top w:val="nil"/>
              <w:left w:val="single" w:sz="4" w:space="0" w:color="auto"/>
              <w:bottom w:val="single" w:sz="4" w:space="0" w:color="auto"/>
              <w:right w:val="nil"/>
            </w:tcBorders>
            <w:shd w:val="clear" w:color="auto" w:fill="auto"/>
            <w:vAlign w:val="center"/>
          </w:tcPr>
          <w:p w:rsidR="000134CC" w:rsidRPr="00644D38" w:rsidRDefault="000134CC" w:rsidP="00644D38">
            <w:pPr>
              <w:pStyle w:val="H2"/>
              <w:jc w:val="both"/>
              <w:rPr>
                <w:rFonts w:cs="Times New Roman"/>
                <w:sz w:val="24"/>
                <w:szCs w:val="24"/>
              </w:rPr>
            </w:pPr>
            <w:r w:rsidRPr="00644D38">
              <w:rPr>
                <w:rFonts w:cs="Times New Roman"/>
                <w:sz w:val="24"/>
                <w:szCs w:val="24"/>
              </w:rPr>
              <w:t>TOTAL:</w:t>
            </w:r>
            <w:r w:rsidR="007E1414" w:rsidRPr="00644D38">
              <w:rPr>
                <w:rFonts w:cs="Times New Roman"/>
                <w:sz w:val="24"/>
                <w:szCs w:val="24"/>
              </w:rPr>
              <w:t xml:space="preserve"> $99,624,552</w:t>
            </w:r>
          </w:p>
        </w:tc>
        <w:tc>
          <w:tcPr>
            <w:tcW w:w="900" w:type="dxa"/>
            <w:tcBorders>
              <w:top w:val="nil"/>
              <w:left w:val="nil"/>
              <w:bottom w:val="single" w:sz="4" w:space="0" w:color="auto"/>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c>
          <w:tcPr>
            <w:tcW w:w="3002" w:type="dxa"/>
            <w:tcBorders>
              <w:top w:val="nil"/>
              <w:left w:val="single" w:sz="4" w:space="0" w:color="auto"/>
              <w:bottom w:val="single" w:sz="4" w:space="0" w:color="auto"/>
              <w:right w:val="nil"/>
            </w:tcBorders>
            <w:shd w:val="clear" w:color="auto" w:fill="auto"/>
            <w:vAlign w:val="center"/>
          </w:tcPr>
          <w:p w:rsidR="000134CC" w:rsidRPr="00644D38" w:rsidRDefault="000134CC" w:rsidP="00644D38">
            <w:pPr>
              <w:pStyle w:val="BodyText"/>
              <w:jc w:val="both"/>
              <w:rPr>
                <w:rFonts w:ascii="Times New Roman" w:hAnsi="Times New Roman" w:cs="Times New Roman"/>
                <w:color w:val="000000"/>
                <w:sz w:val="24"/>
                <w:szCs w:val="24"/>
              </w:rPr>
            </w:pPr>
            <w:r w:rsidRPr="00644D38">
              <w:rPr>
                <w:rFonts w:ascii="Times New Roman" w:hAnsi="Times New Roman" w:cs="Times New Roman"/>
                <w:sz w:val="24"/>
                <w:szCs w:val="24"/>
              </w:rPr>
              <w:t>Expected Financial Closure Date</w:t>
            </w:r>
            <w:r w:rsidR="000A5F18" w:rsidRPr="00644D38">
              <w:rPr>
                <w:rFonts w:ascii="Times New Roman" w:hAnsi="Times New Roman" w:cs="Times New Roman"/>
                <w:sz w:val="24"/>
                <w:szCs w:val="24"/>
              </w:rPr>
              <w:t xml:space="preserve"> 26 </w:t>
            </w:r>
            <w:r w:rsidR="002A5178" w:rsidRPr="00644D38">
              <w:rPr>
                <w:rFonts w:ascii="Times New Roman" w:hAnsi="Times New Roman" w:cs="Times New Roman"/>
                <w:sz w:val="24"/>
                <w:szCs w:val="24"/>
              </w:rPr>
              <w:t xml:space="preserve"> </w:t>
            </w:r>
            <w:r w:rsidR="005152A0" w:rsidRPr="00644D38">
              <w:rPr>
                <w:rFonts w:ascii="Times New Roman" w:hAnsi="Times New Roman" w:cs="Times New Roman"/>
                <w:sz w:val="24"/>
                <w:szCs w:val="24"/>
              </w:rPr>
              <w:t xml:space="preserve">January </w:t>
            </w:r>
            <w:r w:rsidR="002A5178" w:rsidRPr="00644D38">
              <w:rPr>
                <w:rFonts w:ascii="Times New Roman" w:hAnsi="Times New Roman" w:cs="Times New Roman"/>
                <w:sz w:val="24"/>
                <w:szCs w:val="24"/>
              </w:rPr>
              <w:t>201</w:t>
            </w:r>
            <w:r w:rsidR="005152A0" w:rsidRPr="00644D38">
              <w:rPr>
                <w:rFonts w:ascii="Times New Roman" w:hAnsi="Times New Roman" w:cs="Times New Roman"/>
                <w:sz w:val="24"/>
                <w:szCs w:val="24"/>
              </w:rPr>
              <w:t>5</w:t>
            </w:r>
          </w:p>
        </w:tc>
        <w:tc>
          <w:tcPr>
            <w:tcW w:w="1984" w:type="dxa"/>
            <w:tcBorders>
              <w:top w:val="nil"/>
              <w:left w:val="nil"/>
              <w:bottom w:val="single" w:sz="4" w:space="0" w:color="auto"/>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r>
    </w:tbl>
    <w:p w:rsidR="00F80443" w:rsidRPr="00644D38" w:rsidRDefault="00F80443" w:rsidP="00644D38">
      <w:pPr>
        <w:jc w:val="both"/>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0134CC" w:rsidRPr="005C4A1D" w:rsidTr="00954264">
        <w:trPr>
          <w:trHeight w:val="206"/>
        </w:trPr>
        <w:tc>
          <w:tcPr>
            <w:tcW w:w="5142" w:type="dxa"/>
            <w:tcBorders>
              <w:top w:val="single" w:sz="4" w:space="0" w:color="auto"/>
              <w:left w:val="single" w:sz="4" w:space="0" w:color="auto"/>
              <w:right w:val="single" w:sz="4" w:space="0" w:color="auto"/>
            </w:tcBorders>
            <w:shd w:val="clear" w:color="auto" w:fill="F3F3F3"/>
          </w:tcPr>
          <w:p w:rsidR="000134CC" w:rsidRPr="00644D38" w:rsidRDefault="000134CC" w:rsidP="00644D38">
            <w:pPr>
              <w:pStyle w:val="H1"/>
              <w:ind w:right="-120" w:hanging="70"/>
              <w:jc w:val="both"/>
              <w:rPr>
                <w:rFonts w:cs="Times New Roman"/>
                <w:szCs w:val="24"/>
              </w:rPr>
            </w:pPr>
            <w:r w:rsidRPr="00644D38">
              <w:rPr>
                <w:rFonts w:cs="Times New Roman"/>
                <w:szCs w:val="24"/>
              </w:rPr>
              <w:t>Programme</w:t>
            </w:r>
            <w:r w:rsidR="00EE0977" w:rsidRPr="00644D38">
              <w:rPr>
                <w:rFonts w:cs="Times New Roman"/>
                <w:szCs w:val="24"/>
              </w:rPr>
              <w:t xml:space="preserve"> Assessment/</w:t>
            </w:r>
            <w:r w:rsidR="0097453F" w:rsidRPr="00644D38">
              <w:rPr>
                <w:rFonts w:cs="Times New Roman"/>
                <w:szCs w:val="24"/>
              </w:rPr>
              <w:t>Review/</w:t>
            </w:r>
            <w:r w:rsidR="00EE0977" w:rsidRPr="00644D38">
              <w:rPr>
                <w:rFonts w:cs="Times New Roman"/>
                <w:szCs w:val="24"/>
              </w:rPr>
              <w:t>Mid-Term</w:t>
            </w:r>
            <w:r w:rsidRPr="00644D38">
              <w:rPr>
                <w:rFonts w:cs="Times New Roman"/>
                <w:szCs w:val="24"/>
              </w:rPr>
              <w:t xml:space="preserve"> </w:t>
            </w:r>
            <w:proofErr w:type="spellStart"/>
            <w:r w:rsidRPr="00644D38">
              <w:rPr>
                <w:rFonts w:cs="Times New Roman"/>
                <w:szCs w:val="24"/>
              </w:rPr>
              <w:t>Eval</w:t>
            </w:r>
            <w:proofErr w:type="spellEnd"/>
            <w:r w:rsidR="00954264" w:rsidRPr="00644D38">
              <w:rPr>
                <w:rFonts w:cs="Times New Roman"/>
                <w:szCs w:val="24"/>
              </w:rPr>
              <w:t>.</w:t>
            </w:r>
          </w:p>
        </w:tc>
        <w:tc>
          <w:tcPr>
            <w:tcW w:w="258" w:type="dxa"/>
            <w:vMerge w:val="restart"/>
            <w:tcBorders>
              <w:left w:val="single" w:sz="4" w:space="0" w:color="auto"/>
              <w:right w:val="single" w:sz="4" w:space="0" w:color="auto"/>
            </w:tcBorders>
          </w:tcPr>
          <w:p w:rsidR="000134CC" w:rsidRPr="00644D38" w:rsidRDefault="000134CC" w:rsidP="00644D38">
            <w:pPr>
              <w:jc w:val="both"/>
            </w:pPr>
          </w:p>
        </w:tc>
        <w:tc>
          <w:tcPr>
            <w:tcW w:w="4986" w:type="dxa"/>
            <w:tcBorders>
              <w:top w:val="single" w:sz="4" w:space="0" w:color="auto"/>
              <w:left w:val="single" w:sz="4" w:space="0" w:color="auto"/>
              <w:right w:val="single" w:sz="4" w:space="0" w:color="auto"/>
            </w:tcBorders>
            <w:shd w:val="clear" w:color="auto" w:fill="F3F3F3"/>
          </w:tcPr>
          <w:p w:rsidR="000134CC" w:rsidRPr="00644D38" w:rsidRDefault="0097453F" w:rsidP="00644D38">
            <w:pPr>
              <w:pStyle w:val="H1"/>
              <w:jc w:val="both"/>
              <w:rPr>
                <w:rFonts w:cs="Times New Roman"/>
                <w:szCs w:val="24"/>
              </w:rPr>
            </w:pPr>
            <w:r w:rsidRPr="00644D38">
              <w:rPr>
                <w:rFonts w:cs="Times New Roman"/>
                <w:bCs w:val="0"/>
                <w:szCs w:val="24"/>
              </w:rPr>
              <w:t xml:space="preserve">Report </w:t>
            </w:r>
            <w:r w:rsidR="000134CC" w:rsidRPr="00644D38">
              <w:rPr>
                <w:rFonts w:cs="Times New Roman"/>
                <w:bCs w:val="0"/>
                <w:szCs w:val="24"/>
              </w:rPr>
              <w:t>Submitted By</w:t>
            </w:r>
          </w:p>
        </w:tc>
      </w:tr>
      <w:tr w:rsidR="000134CC" w:rsidRPr="005C4A1D" w:rsidTr="00954264">
        <w:trPr>
          <w:trHeight w:val="285"/>
        </w:trPr>
        <w:tc>
          <w:tcPr>
            <w:tcW w:w="5142" w:type="dxa"/>
            <w:tcBorders>
              <w:left w:val="single" w:sz="4" w:space="0" w:color="auto"/>
              <w:bottom w:val="single" w:sz="4" w:space="0" w:color="auto"/>
              <w:right w:val="single" w:sz="4" w:space="0" w:color="auto"/>
            </w:tcBorders>
          </w:tcPr>
          <w:p w:rsidR="00B23725" w:rsidRPr="00644D38" w:rsidRDefault="00BD4D2B" w:rsidP="00644D38">
            <w:pPr>
              <w:pStyle w:val="BodyText"/>
              <w:jc w:val="both"/>
              <w:rPr>
                <w:rFonts w:ascii="Times New Roman" w:hAnsi="Times New Roman" w:cs="Times New Roman"/>
                <w:bCs/>
                <w:i/>
                <w:iCs/>
                <w:snapToGrid w:val="0"/>
                <w:sz w:val="24"/>
                <w:szCs w:val="24"/>
              </w:rPr>
            </w:pPr>
            <w:r>
              <w:rPr>
                <w:rFonts w:ascii="Times New Roman" w:hAnsi="Times New Roman" w:cs="Times New Roman"/>
                <w:i/>
                <w:noProof/>
                <w:sz w:val="24"/>
                <w:szCs w:val="24"/>
              </w:rPr>
              <w:pict w14:anchorId="104ADDF1">
                <v:rect id="_x0000_s1026" style="position:absolute;left:0;text-align:left;margin-left:40.9pt;margin-top:10.8pt;width:22.85pt;height:17.45pt;z-index:251654656;mso-position-horizontal-relative:text;mso-position-vertical-relative:text">
                  <v:textbox>
                    <w:txbxContent>
                      <w:p w:rsidR="00840C5C" w:rsidRPr="00B23725" w:rsidRDefault="00840C5C" w:rsidP="00B23725">
                        <w:pPr>
                          <w:contextualSpacing/>
                          <w:jc w:val="both"/>
                          <w:rPr>
                            <w:sz w:val="15"/>
                            <w:lang w:val="it-IT"/>
                          </w:rPr>
                        </w:pPr>
                        <w:r w:rsidRPr="00B23725">
                          <w:rPr>
                            <w:sz w:val="15"/>
                            <w:lang w:val="it-IT"/>
                          </w:rPr>
                          <w:t>X</w:t>
                        </w:r>
                      </w:p>
                    </w:txbxContent>
                  </v:textbox>
                </v:rect>
              </w:pict>
            </w:r>
            <w:r w:rsidR="00EE0977" w:rsidRPr="00644D38">
              <w:rPr>
                <w:rFonts w:ascii="Times New Roman" w:hAnsi="Times New Roman" w:cs="Times New Roman"/>
                <w:sz w:val="24"/>
                <w:szCs w:val="24"/>
              </w:rPr>
              <w:t>Assessment</w:t>
            </w:r>
            <w:r w:rsidR="0097453F" w:rsidRPr="00644D38">
              <w:rPr>
                <w:rFonts w:ascii="Times New Roman" w:hAnsi="Times New Roman" w:cs="Times New Roman"/>
                <w:sz w:val="24"/>
                <w:szCs w:val="24"/>
              </w:rPr>
              <w:t>/Review</w:t>
            </w:r>
            <w:r w:rsidR="000134CC" w:rsidRPr="00644D38">
              <w:rPr>
                <w:rFonts w:ascii="Times New Roman" w:hAnsi="Times New Roman" w:cs="Times New Roman"/>
                <w:sz w:val="24"/>
                <w:szCs w:val="24"/>
              </w:rPr>
              <w:t xml:space="preserve">  </w:t>
            </w:r>
            <w:r w:rsidR="00066978" w:rsidRPr="00644D38">
              <w:rPr>
                <w:rFonts w:ascii="Times New Roman" w:hAnsi="Times New Roman" w:cs="Times New Roman"/>
                <w:sz w:val="24"/>
                <w:szCs w:val="24"/>
              </w:rPr>
              <w:t xml:space="preserve">- </w:t>
            </w:r>
            <w:r w:rsidR="0053545E" w:rsidRPr="00644D38">
              <w:rPr>
                <w:rFonts w:ascii="Times New Roman" w:hAnsi="Times New Roman" w:cs="Times New Roman"/>
                <w:sz w:val="24"/>
                <w:szCs w:val="24"/>
              </w:rPr>
              <w:t xml:space="preserve">if applicable </w:t>
            </w:r>
            <w:r w:rsidR="00066978" w:rsidRPr="00644D38">
              <w:rPr>
                <w:rFonts w:ascii="Times New Roman" w:hAnsi="Times New Roman" w:cs="Times New Roman"/>
                <w:bCs/>
                <w:i/>
                <w:iCs/>
                <w:snapToGrid w:val="0"/>
                <w:sz w:val="24"/>
                <w:szCs w:val="24"/>
              </w:rPr>
              <w:t>please attach</w:t>
            </w:r>
          </w:p>
          <w:p w:rsidR="004D1571" w:rsidRPr="00644D38" w:rsidRDefault="00BD4D2B" w:rsidP="00644D38">
            <w:pPr>
              <w:pStyle w:val="BodyText"/>
              <w:jc w:val="both"/>
              <w:rPr>
                <w:rFonts w:ascii="Times New Roman" w:hAnsi="Times New Roman" w:cs="Times New Roman"/>
                <w:sz w:val="24"/>
                <w:szCs w:val="24"/>
              </w:rPr>
            </w:pPr>
            <w:r>
              <w:rPr>
                <w:rFonts w:ascii="Times New Roman" w:hAnsi="Times New Roman" w:cs="Times New Roman"/>
                <w:i/>
                <w:noProof/>
                <w:sz w:val="24"/>
                <w:szCs w:val="24"/>
              </w:rPr>
              <w:pict w14:anchorId="23311C34">
                <v:rect id="_x0000_s1029" style="position:absolute;left:0;text-align:left;margin-left:-.7pt;margin-top:1.35pt;width:7.15pt;height:7.15pt;z-index:251657728"/>
              </w:pict>
            </w:r>
            <w:r w:rsidR="000134CC" w:rsidRPr="00644D38">
              <w:rPr>
                <w:rFonts w:ascii="Times New Roman" w:hAnsi="Times New Roman" w:cs="Times New Roman"/>
                <w:sz w:val="24"/>
                <w:szCs w:val="24"/>
              </w:rPr>
              <w:t xml:space="preserve">     Yes          No    Date: </w:t>
            </w:r>
            <w:proofErr w:type="spellStart"/>
            <w:r w:rsidR="0097453F" w:rsidRPr="00644D38">
              <w:rPr>
                <w:rFonts w:ascii="Times New Roman" w:hAnsi="Times New Roman" w:cs="Times New Roman"/>
                <w:i/>
                <w:sz w:val="24"/>
                <w:szCs w:val="24"/>
              </w:rPr>
              <w:t>dd.mm.yyyy</w:t>
            </w:r>
            <w:proofErr w:type="spellEnd"/>
          </w:p>
          <w:p w:rsidR="000134CC" w:rsidRPr="00644D38" w:rsidRDefault="00BD4D2B" w:rsidP="00644D38">
            <w:pPr>
              <w:pStyle w:val="BodyText"/>
              <w:jc w:val="both"/>
              <w:rPr>
                <w:rFonts w:ascii="Times New Roman" w:hAnsi="Times New Roman" w:cs="Times New Roman"/>
                <w:sz w:val="24"/>
                <w:szCs w:val="24"/>
              </w:rPr>
            </w:pPr>
            <w:r>
              <w:rPr>
                <w:rFonts w:ascii="Times New Roman" w:hAnsi="Times New Roman" w:cs="Times New Roman"/>
                <w:i/>
                <w:noProof/>
                <w:sz w:val="24"/>
                <w:szCs w:val="24"/>
              </w:rPr>
              <w:pict w14:anchorId="2E13AC77">
                <v:rect id="_x0000_s1028" style="position:absolute;left:0;text-align:left;margin-left:40.9pt;margin-top:25.05pt;width:22.85pt;height:15.95pt;z-index:251656704">
                  <v:textbox>
                    <w:txbxContent>
                      <w:p w:rsidR="00840C5C" w:rsidRPr="00B23725" w:rsidRDefault="00840C5C">
                        <w:pPr>
                          <w:rPr>
                            <w:sz w:val="15"/>
                            <w:lang w:val="it-IT"/>
                          </w:rPr>
                        </w:pPr>
                        <w:r w:rsidRPr="00B23725">
                          <w:rPr>
                            <w:sz w:val="15"/>
                            <w:lang w:val="it-IT"/>
                          </w:rPr>
                          <w:t>X</w:t>
                        </w:r>
                      </w:p>
                    </w:txbxContent>
                  </v:textbox>
                </v:rect>
              </w:pict>
            </w:r>
            <w:r w:rsidR="00066978" w:rsidRPr="00644D38">
              <w:rPr>
                <w:rFonts w:ascii="Times New Roman" w:hAnsi="Times New Roman" w:cs="Times New Roman"/>
                <w:sz w:val="24"/>
                <w:szCs w:val="24"/>
              </w:rPr>
              <w:t>Mid-</w:t>
            </w:r>
            <w:r w:rsidR="0097453F" w:rsidRPr="00644D38">
              <w:rPr>
                <w:rFonts w:ascii="Times New Roman" w:hAnsi="Times New Roman" w:cs="Times New Roman"/>
                <w:sz w:val="24"/>
                <w:szCs w:val="24"/>
              </w:rPr>
              <w:t xml:space="preserve">Term </w:t>
            </w:r>
            <w:r w:rsidR="000134CC" w:rsidRPr="00644D38">
              <w:rPr>
                <w:rFonts w:ascii="Times New Roman" w:hAnsi="Times New Roman" w:cs="Times New Roman"/>
                <w:sz w:val="24"/>
                <w:szCs w:val="24"/>
              </w:rPr>
              <w:t xml:space="preserve">Evaluation Report </w:t>
            </w:r>
            <w:r w:rsidR="00066978" w:rsidRPr="00644D38">
              <w:rPr>
                <w:rFonts w:ascii="Times New Roman" w:hAnsi="Times New Roman" w:cs="Times New Roman"/>
                <w:bCs/>
                <w:i/>
                <w:iCs/>
                <w:snapToGrid w:val="0"/>
                <w:sz w:val="24"/>
                <w:szCs w:val="24"/>
              </w:rPr>
              <w:t xml:space="preserve">– </w:t>
            </w:r>
            <w:r w:rsidR="0053545E" w:rsidRPr="00644D38">
              <w:rPr>
                <w:rFonts w:ascii="Times New Roman" w:hAnsi="Times New Roman" w:cs="Times New Roman"/>
                <w:bCs/>
                <w:i/>
                <w:iCs/>
                <w:snapToGrid w:val="0"/>
                <w:sz w:val="24"/>
                <w:szCs w:val="24"/>
              </w:rPr>
              <w:t xml:space="preserve">if applicable </w:t>
            </w:r>
            <w:r w:rsidR="00066978" w:rsidRPr="00644D38">
              <w:rPr>
                <w:rFonts w:ascii="Times New Roman" w:hAnsi="Times New Roman" w:cs="Times New Roman"/>
                <w:bCs/>
                <w:i/>
                <w:iCs/>
                <w:snapToGrid w:val="0"/>
                <w:sz w:val="24"/>
                <w:szCs w:val="24"/>
              </w:rPr>
              <w:t>please a</w:t>
            </w:r>
            <w:r w:rsidR="000134CC" w:rsidRPr="00644D38">
              <w:rPr>
                <w:rFonts w:ascii="Times New Roman" w:hAnsi="Times New Roman" w:cs="Times New Roman"/>
                <w:bCs/>
                <w:i/>
                <w:iCs/>
                <w:snapToGrid w:val="0"/>
                <w:sz w:val="24"/>
                <w:szCs w:val="24"/>
              </w:rPr>
              <w:t>ttach</w:t>
            </w:r>
            <w:r w:rsidR="000134CC" w:rsidRPr="00644D38">
              <w:rPr>
                <w:rFonts w:ascii="Times New Roman" w:hAnsi="Times New Roman" w:cs="Times New Roman"/>
                <w:b/>
                <w:sz w:val="24"/>
                <w:szCs w:val="24"/>
              </w:rPr>
              <w:t xml:space="preserve">          </w:t>
            </w:r>
          </w:p>
          <w:p w:rsidR="000134CC" w:rsidRPr="00644D38" w:rsidRDefault="00BD4D2B" w:rsidP="00644D38">
            <w:pPr>
              <w:pStyle w:val="BodyText"/>
              <w:jc w:val="both"/>
              <w:rPr>
                <w:rFonts w:ascii="Times New Roman" w:hAnsi="Times New Roman" w:cs="Times New Roman"/>
                <w:sz w:val="24"/>
                <w:szCs w:val="24"/>
              </w:rPr>
            </w:pPr>
            <w:r>
              <w:rPr>
                <w:rFonts w:ascii="Times New Roman" w:hAnsi="Times New Roman" w:cs="Times New Roman"/>
                <w:i/>
                <w:noProof/>
                <w:sz w:val="24"/>
                <w:szCs w:val="24"/>
              </w:rPr>
              <w:pict w14:anchorId="43CC2633">
                <v:rect id="_x0000_s1027" style="position:absolute;left:0;text-align:left;margin-left:-.7pt;margin-top:1.65pt;width:7.15pt;height:7.15pt;z-index:251655680"/>
              </w:pict>
            </w:r>
            <w:r w:rsidR="000134CC" w:rsidRPr="00644D38">
              <w:rPr>
                <w:rFonts w:ascii="Times New Roman" w:hAnsi="Times New Roman" w:cs="Times New Roman"/>
                <w:sz w:val="24"/>
                <w:szCs w:val="24"/>
              </w:rPr>
              <w:t xml:space="preserve">      Yes          No</w:t>
            </w:r>
            <w:r w:rsidR="00066978" w:rsidRPr="00644D38">
              <w:rPr>
                <w:rFonts w:ascii="Times New Roman" w:hAnsi="Times New Roman" w:cs="Times New Roman"/>
                <w:sz w:val="24"/>
                <w:szCs w:val="24"/>
              </w:rPr>
              <w:t xml:space="preserve">    Date: </w:t>
            </w:r>
            <w:proofErr w:type="spellStart"/>
            <w:r w:rsidR="0097453F" w:rsidRPr="00644D38">
              <w:rPr>
                <w:rFonts w:ascii="Times New Roman" w:hAnsi="Times New Roman" w:cs="Times New Roman"/>
                <w:i/>
                <w:sz w:val="24"/>
                <w:szCs w:val="24"/>
              </w:rPr>
              <w:t>dd.mm.yyyy</w:t>
            </w:r>
            <w:proofErr w:type="spellEnd"/>
          </w:p>
        </w:tc>
        <w:tc>
          <w:tcPr>
            <w:tcW w:w="258" w:type="dxa"/>
            <w:vMerge/>
            <w:tcBorders>
              <w:left w:val="single" w:sz="4" w:space="0" w:color="auto"/>
              <w:right w:val="single" w:sz="4" w:space="0" w:color="auto"/>
            </w:tcBorders>
          </w:tcPr>
          <w:p w:rsidR="000134CC" w:rsidRPr="00644D38" w:rsidRDefault="000134CC" w:rsidP="00644D38">
            <w:pPr>
              <w:pStyle w:val="BodyText"/>
              <w:jc w:val="both"/>
              <w:rPr>
                <w:rFonts w:ascii="Times New Roman" w:hAnsi="Times New Roman" w:cs="Times New Roman"/>
                <w:sz w:val="24"/>
                <w:szCs w:val="24"/>
              </w:rPr>
            </w:pPr>
          </w:p>
        </w:tc>
        <w:tc>
          <w:tcPr>
            <w:tcW w:w="4986" w:type="dxa"/>
            <w:tcBorders>
              <w:left w:val="single" w:sz="4" w:space="0" w:color="auto"/>
              <w:bottom w:val="single" w:sz="4" w:space="0" w:color="auto"/>
              <w:right w:val="single" w:sz="4" w:space="0" w:color="auto"/>
            </w:tcBorders>
          </w:tcPr>
          <w:p w:rsidR="000134CC" w:rsidRPr="00644D38" w:rsidRDefault="000134CC" w:rsidP="00644D38">
            <w:pPr>
              <w:numPr>
                <w:ilvl w:val="0"/>
                <w:numId w:val="10"/>
              </w:numPr>
              <w:ind w:left="342"/>
              <w:jc w:val="both"/>
            </w:pPr>
            <w:r w:rsidRPr="00644D38">
              <w:t>Name:</w:t>
            </w:r>
            <w:r w:rsidR="006B6E3C" w:rsidRPr="00644D38">
              <w:t xml:space="preserve"> </w:t>
            </w:r>
            <w:proofErr w:type="spellStart"/>
            <w:r w:rsidR="004149D1" w:rsidRPr="00644D38">
              <w:t>Mr.</w:t>
            </w:r>
            <w:proofErr w:type="spellEnd"/>
            <w:r w:rsidR="004149D1" w:rsidRPr="00644D38">
              <w:t xml:space="preserve"> Chris </w:t>
            </w:r>
            <w:proofErr w:type="spellStart"/>
            <w:r w:rsidR="004149D1" w:rsidRPr="00644D38">
              <w:t>Nikoi</w:t>
            </w:r>
            <w:proofErr w:type="spellEnd"/>
          </w:p>
          <w:p w:rsidR="000134CC" w:rsidRPr="00644D38" w:rsidRDefault="000134CC" w:rsidP="00644D38">
            <w:pPr>
              <w:numPr>
                <w:ilvl w:val="0"/>
                <w:numId w:val="10"/>
              </w:numPr>
              <w:ind w:left="342"/>
              <w:jc w:val="both"/>
            </w:pPr>
            <w:r w:rsidRPr="00644D38">
              <w:t>Title:</w:t>
            </w:r>
            <w:r w:rsidR="006B6E3C" w:rsidRPr="00644D38">
              <w:t xml:space="preserve"> </w:t>
            </w:r>
            <w:r w:rsidR="004149D1" w:rsidRPr="00644D38">
              <w:t>Country Director</w:t>
            </w:r>
          </w:p>
          <w:p w:rsidR="000134CC" w:rsidRPr="00644D38" w:rsidRDefault="000134CC" w:rsidP="00644D38">
            <w:pPr>
              <w:numPr>
                <w:ilvl w:val="0"/>
                <w:numId w:val="10"/>
              </w:numPr>
              <w:ind w:left="342"/>
              <w:jc w:val="both"/>
            </w:pPr>
            <w:r w:rsidRPr="00644D38">
              <w:t>Participating Organization (Lead):</w:t>
            </w:r>
            <w:r w:rsidR="006B6E3C" w:rsidRPr="00644D38">
              <w:t>WFP</w:t>
            </w:r>
          </w:p>
          <w:p w:rsidR="000134CC" w:rsidRPr="00644D38" w:rsidRDefault="00AC4360">
            <w:pPr>
              <w:pStyle w:val="BodyText"/>
              <w:numPr>
                <w:ilvl w:val="0"/>
                <w:numId w:val="10"/>
              </w:numPr>
              <w:spacing w:after="120"/>
              <w:ind w:left="342"/>
              <w:jc w:val="both"/>
              <w:rPr>
                <w:rFonts w:ascii="Times New Roman" w:hAnsi="Times New Roman" w:cs="Times New Roman"/>
                <w:b/>
                <w:bCs/>
                <w:snapToGrid w:val="0"/>
                <w:kern w:val="32"/>
                <w:sz w:val="24"/>
                <w:szCs w:val="24"/>
              </w:rPr>
            </w:pPr>
            <w:r w:rsidRPr="00644D38">
              <w:rPr>
                <w:rFonts w:ascii="Times New Roman" w:hAnsi="Times New Roman" w:cs="Times New Roman"/>
                <w:sz w:val="24"/>
                <w:szCs w:val="24"/>
              </w:rPr>
              <w:t>Email address</w:t>
            </w:r>
            <w:r w:rsidR="000134CC" w:rsidRPr="00644D38">
              <w:rPr>
                <w:rFonts w:ascii="Times New Roman" w:hAnsi="Times New Roman" w:cs="Times New Roman"/>
                <w:sz w:val="24"/>
                <w:szCs w:val="24"/>
              </w:rPr>
              <w:t>:</w:t>
            </w:r>
            <w:r w:rsidR="006B6E3C" w:rsidRPr="00644D38">
              <w:rPr>
                <w:rFonts w:ascii="Times New Roman" w:hAnsi="Times New Roman" w:cs="Times New Roman"/>
                <w:sz w:val="24"/>
                <w:szCs w:val="24"/>
              </w:rPr>
              <w:t xml:space="preserve"> </w:t>
            </w:r>
            <w:r w:rsidR="004149D1" w:rsidRPr="00644D38">
              <w:rPr>
                <w:rFonts w:ascii="Times New Roman" w:hAnsi="Times New Roman" w:cs="Times New Roman"/>
                <w:sz w:val="24"/>
                <w:szCs w:val="24"/>
              </w:rPr>
              <w:t>Ch</w:t>
            </w:r>
            <w:r w:rsidR="0044761E" w:rsidRPr="00644D38">
              <w:rPr>
                <w:rFonts w:ascii="Times New Roman" w:hAnsi="Times New Roman" w:cs="Times New Roman"/>
                <w:sz w:val="24"/>
                <w:szCs w:val="24"/>
              </w:rPr>
              <w:t>ri</w:t>
            </w:r>
            <w:r w:rsidR="004149D1" w:rsidRPr="00644D38">
              <w:rPr>
                <w:rFonts w:ascii="Times New Roman" w:hAnsi="Times New Roman" w:cs="Times New Roman"/>
                <w:sz w:val="24"/>
                <w:szCs w:val="24"/>
              </w:rPr>
              <w:t>s.Nikoi</w:t>
            </w:r>
            <w:r w:rsidR="006B6E3C" w:rsidRPr="00644D38">
              <w:rPr>
                <w:rFonts w:ascii="Times New Roman" w:hAnsi="Times New Roman" w:cs="Times New Roman"/>
                <w:sz w:val="24"/>
                <w:szCs w:val="24"/>
              </w:rPr>
              <w:t>@wfp.org</w:t>
            </w:r>
          </w:p>
        </w:tc>
      </w:tr>
    </w:tbl>
    <w:p w:rsidR="00AB0274" w:rsidRPr="00644D38" w:rsidRDefault="000134CC" w:rsidP="00644D38">
      <w:pPr>
        <w:jc w:val="both"/>
      </w:pPr>
      <w:r w:rsidRPr="00644D38">
        <w:rPr>
          <w:b/>
          <w:bCs/>
          <w:caps/>
        </w:rPr>
        <w:br w:type="page"/>
      </w:r>
    </w:p>
    <w:p w:rsidR="00683D23" w:rsidRPr="005C4A1D" w:rsidRDefault="00683D23">
      <w:pPr>
        <w:ind w:left="-540"/>
        <w:jc w:val="both"/>
        <w:rPr>
          <w:b/>
        </w:rPr>
      </w:pPr>
    </w:p>
    <w:p w:rsidR="005F4D3D" w:rsidRPr="005C4A1D" w:rsidRDefault="005F4D3D">
      <w:pPr>
        <w:jc w:val="both"/>
        <w:rPr>
          <w:b/>
          <w:lang w:eastAsia="en-GB"/>
        </w:rPr>
      </w:pPr>
      <w:r w:rsidRPr="005C4A1D">
        <w:rPr>
          <w:b/>
          <w:lang w:eastAsia="en-GB"/>
        </w:rPr>
        <w:t xml:space="preserve">PURPOSE </w:t>
      </w:r>
    </w:p>
    <w:p w:rsidR="005F4D3D" w:rsidRPr="005C4A1D" w:rsidRDefault="005F4D3D">
      <w:pPr>
        <w:jc w:val="both"/>
        <w:rPr>
          <w:b/>
          <w:lang w:eastAsia="en-GB"/>
        </w:rPr>
      </w:pPr>
    </w:p>
    <w:p w:rsidR="005F4D3D" w:rsidRPr="005C4A1D" w:rsidRDefault="005F4D3D">
      <w:pPr>
        <w:jc w:val="both"/>
        <w:rPr>
          <w:lang w:eastAsia="en-GB"/>
        </w:rPr>
      </w:pPr>
      <w:r w:rsidRPr="005C4A1D">
        <w:rPr>
          <w:lang w:eastAsia="en-GB"/>
        </w:rPr>
        <w:t>This project a</w:t>
      </w:r>
      <w:r w:rsidR="002B10BF" w:rsidRPr="005C4A1D">
        <w:rPr>
          <w:lang w:eastAsia="en-GB"/>
        </w:rPr>
        <w:t>ims to establish a SGR for the R</w:t>
      </w:r>
      <w:r w:rsidRPr="005C4A1D">
        <w:rPr>
          <w:lang w:eastAsia="en-GB"/>
        </w:rPr>
        <w:t>epublic of South Sudan to enable the government to</w:t>
      </w:r>
      <w:r w:rsidR="00722839" w:rsidRPr="005C4A1D">
        <w:rPr>
          <w:lang w:eastAsia="en-GB"/>
        </w:rPr>
        <w:t>:</w:t>
      </w:r>
      <w:r w:rsidRPr="005C4A1D">
        <w:rPr>
          <w:lang w:eastAsia="en-GB"/>
        </w:rPr>
        <w:t xml:space="preserve"> </w:t>
      </w:r>
    </w:p>
    <w:p w:rsidR="005F4D3D" w:rsidRPr="005C4A1D" w:rsidRDefault="005F4D3D">
      <w:pPr>
        <w:jc w:val="both"/>
        <w:rPr>
          <w:lang w:eastAsia="en-GB"/>
        </w:rPr>
      </w:pPr>
    </w:p>
    <w:p w:rsidR="005F4D3D" w:rsidRPr="005C4A1D" w:rsidRDefault="005F4D3D">
      <w:pPr>
        <w:jc w:val="both"/>
        <w:rPr>
          <w:lang w:eastAsia="en-GB"/>
        </w:rPr>
      </w:pPr>
      <w:r w:rsidRPr="005C4A1D">
        <w:rPr>
          <w:lang w:eastAsia="en-GB"/>
        </w:rPr>
        <w:t xml:space="preserve">1.  </w:t>
      </w:r>
      <w:r w:rsidR="00722839" w:rsidRPr="005C4A1D">
        <w:rPr>
          <w:lang w:eastAsia="en-GB"/>
        </w:rPr>
        <w:t>Effectively and timely respond</w:t>
      </w:r>
      <w:r w:rsidRPr="005C4A1D">
        <w:rPr>
          <w:lang w:eastAsia="en-GB"/>
        </w:rPr>
        <w:t xml:space="preserve"> to emergencies </w:t>
      </w:r>
    </w:p>
    <w:p w:rsidR="005F4D3D" w:rsidRPr="005C4A1D" w:rsidRDefault="005F4D3D">
      <w:pPr>
        <w:jc w:val="both"/>
        <w:rPr>
          <w:lang w:eastAsia="en-GB"/>
        </w:rPr>
      </w:pPr>
      <w:r w:rsidRPr="005C4A1D">
        <w:rPr>
          <w:lang w:eastAsia="en-GB"/>
        </w:rPr>
        <w:t>2. Run nationally owned safety net program</w:t>
      </w:r>
      <w:r w:rsidR="00722839" w:rsidRPr="005C4A1D">
        <w:rPr>
          <w:lang w:eastAsia="en-GB"/>
        </w:rPr>
        <w:t>s</w:t>
      </w:r>
      <w:r w:rsidRPr="005C4A1D">
        <w:rPr>
          <w:lang w:eastAsia="en-GB"/>
        </w:rPr>
        <w:t xml:space="preserve"> </w:t>
      </w:r>
      <w:r w:rsidR="00722839" w:rsidRPr="005C4A1D">
        <w:rPr>
          <w:lang w:eastAsia="en-GB"/>
        </w:rPr>
        <w:t>for the poor.</w:t>
      </w:r>
    </w:p>
    <w:p w:rsidR="005F4D3D" w:rsidRPr="005C4A1D" w:rsidRDefault="005F4D3D">
      <w:pPr>
        <w:jc w:val="both"/>
        <w:rPr>
          <w:lang w:eastAsia="en-GB"/>
        </w:rPr>
      </w:pPr>
      <w:r w:rsidRPr="005C4A1D">
        <w:rPr>
          <w:lang w:eastAsia="en-GB"/>
        </w:rPr>
        <w:t>3. S</w:t>
      </w:r>
      <w:r w:rsidR="00722839" w:rsidRPr="005C4A1D">
        <w:rPr>
          <w:lang w:eastAsia="en-GB"/>
        </w:rPr>
        <w:t>timulate agricultural</w:t>
      </w:r>
      <w:r w:rsidRPr="005C4A1D">
        <w:rPr>
          <w:lang w:eastAsia="en-GB"/>
        </w:rPr>
        <w:t xml:space="preserve"> production.  </w:t>
      </w:r>
    </w:p>
    <w:p w:rsidR="005F4D3D" w:rsidRPr="005C4A1D" w:rsidRDefault="005F4D3D">
      <w:pPr>
        <w:jc w:val="both"/>
        <w:rPr>
          <w:lang w:eastAsia="en-GB"/>
        </w:rPr>
      </w:pPr>
    </w:p>
    <w:p w:rsidR="001429E1" w:rsidRPr="005C4A1D" w:rsidRDefault="005F2CF5">
      <w:pPr>
        <w:jc w:val="both"/>
      </w:pPr>
      <w:r w:rsidRPr="005C4A1D">
        <w:rPr>
          <w:lang w:eastAsia="en-GB"/>
        </w:rPr>
        <w:t xml:space="preserve">While </w:t>
      </w:r>
      <w:r w:rsidR="004C0244" w:rsidRPr="005C4A1D">
        <w:t xml:space="preserve">remarkable progress has been </w:t>
      </w:r>
      <w:r w:rsidRPr="005C4A1D">
        <w:t>made during the six years of the Comprehensive Peace Agreement (CPA, 2005)—culminating in the January 2011 referendum and independence on 9 July, life-threatening conditions still persist in many parts of the country. After nearly four decades of conflict, rapid rural transformation and livelihood improvement are among the top priorities for the new state.</w:t>
      </w:r>
      <w:r w:rsidR="005D29AE" w:rsidRPr="005C4A1D">
        <w:t xml:space="preserve"> </w:t>
      </w:r>
      <w:r w:rsidRPr="005C4A1D">
        <w:t>The Government of S</w:t>
      </w:r>
      <w:r w:rsidR="004C0244" w:rsidRPr="005C4A1D">
        <w:t xml:space="preserve">outh Sudan has </w:t>
      </w:r>
      <w:proofErr w:type="gramStart"/>
      <w:r w:rsidR="004C0244" w:rsidRPr="005C4A1D">
        <w:t xml:space="preserve">also </w:t>
      </w:r>
      <w:r w:rsidRPr="005C4A1D">
        <w:t xml:space="preserve"> recognized</w:t>
      </w:r>
      <w:proofErr w:type="gramEnd"/>
      <w:r w:rsidRPr="005C4A1D">
        <w:t xml:space="preserve"> the strong linkages between food insecurity and political instability.</w:t>
      </w:r>
      <w:r w:rsidRPr="005C4A1D">
        <w:rPr>
          <w:b/>
        </w:rPr>
        <w:t xml:space="preserve"> </w:t>
      </w:r>
    </w:p>
    <w:p w:rsidR="00CB1F3F" w:rsidRPr="005C4A1D" w:rsidRDefault="00CB1F3F">
      <w:pPr>
        <w:autoSpaceDE w:val="0"/>
        <w:autoSpaceDN w:val="0"/>
        <w:adjustRightInd w:val="0"/>
        <w:jc w:val="both"/>
        <w:rPr>
          <w:b/>
          <w:color w:val="231F20"/>
          <w:lang w:val="en-US"/>
        </w:rPr>
      </w:pPr>
    </w:p>
    <w:p w:rsidR="005D2E23" w:rsidRPr="005C4A1D" w:rsidRDefault="005F2CF5">
      <w:pPr>
        <w:autoSpaceDE w:val="0"/>
        <w:autoSpaceDN w:val="0"/>
        <w:adjustRightInd w:val="0"/>
        <w:jc w:val="both"/>
      </w:pPr>
      <w:r w:rsidRPr="005C4A1D">
        <w:t xml:space="preserve">Most countries have found that an effective system of food reserves is an essential part of the institutional architecture for achieving genuine food security. For the most critical moments, Strategic Grain Reserves are an irreplaceable tool. Having a Strategic Grain Reserve, that builds and strengthens national capacities, can reduce the time needed to ship in food into the region for a crisis, increasing the ability of the Government of South Sudan to facilitate a resumption of stability for the affected communities, build trust with the population and demonstrate </w:t>
      </w:r>
      <w:r w:rsidR="00D9007C" w:rsidRPr="005C4A1D">
        <w:t>the government</w:t>
      </w:r>
      <w:r w:rsidR="00856B6F" w:rsidRPr="005C4A1D">
        <w:t xml:space="preserve"> commitment </w:t>
      </w:r>
      <w:r w:rsidR="00722839" w:rsidRPr="005C4A1D">
        <w:t xml:space="preserve">to </w:t>
      </w:r>
      <w:r w:rsidR="00856B6F" w:rsidRPr="005C4A1D">
        <w:t>the welfare of its citizens</w:t>
      </w:r>
      <w:r w:rsidRPr="005C4A1D">
        <w:t>.</w:t>
      </w:r>
      <w:r w:rsidR="0080573A" w:rsidRPr="005C4A1D">
        <w:t xml:space="preserve">  </w:t>
      </w:r>
    </w:p>
    <w:p w:rsidR="00781B45" w:rsidRPr="005C4A1D" w:rsidRDefault="00781B45" w:rsidP="00644D38">
      <w:pPr>
        <w:autoSpaceDE w:val="0"/>
        <w:autoSpaceDN w:val="0"/>
        <w:adjustRightInd w:val="0"/>
        <w:jc w:val="both"/>
        <w:rPr>
          <w:color w:val="231F20"/>
          <w:lang w:val="en-US"/>
        </w:rPr>
      </w:pPr>
    </w:p>
    <w:p w:rsidR="00CE5821" w:rsidRPr="005C4A1D" w:rsidRDefault="00BD0728">
      <w:pPr>
        <w:jc w:val="both"/>
      </w:pPr>
      <w:r w:rsidRPr="005C4A1D">
        <w:rPr>
          <w:color w:val="231F20"/>
          <w:lang w:val="en-US"/>
        </w:rPr>
        <w:t>To support the government in creating</w:t>
      </w:r>
      <w:r w:rsidRPr="005C4A1D">
        <w:rPr>
          <w:b/>
          <w:color w:val="231F20"/>
          <w:lang w:val="en-US"/>
        </w:rPr>
        <w:t xml:space="preserve"> </w:t>
      </w:r>
      <w:r w:rsidRPr="005C4A1D">
        <w:rPr>
          <w:color w:val="231F20"/>
          <w:lang w:val="en-US"/>
        </w:rPr>
        <w:t>this vital institution</w:t>
      </w:r>
      <w:r w:rsidRPr="005C4A1D">
        <w:rPr>
          <w:b/>
          <w:color w:val="231F20"/>
          <w:lang w:val="en-US"/>
        </w:rPr>
        <w:t>,</w:t>
      </w:r>
      <w:r w:rsidR="00B37671" w:rsidRPr="005C4A1D">
        <w:rPr>
          <w:b/>
          <w:color w:val="231F20"/>
          <w:lang w:val="en-US"/>
        </w:rPr>
        <w:t xml:space="preserve"> </w:t>
      </w:r>
      <w:r w:rsidR="00644D38">
        <w:t>i</w:t>
      </w:r>
      <w:r w:rsidRPr="005C4A1D">
        <w:t>n May 2011, WFP launched a three-year Special Operation (SO 200267) for the establishment of a S</w:t>
      </w:r>
      <w:r w:rsidR="00CE5821" w:rsidRPr="005C4A1D">
        <w:t>trategic Grain Reserve</w:t>
      </w:r>
      <w:r w:rsidRPr="005C4A1D">
        <w:t xml:space="preserve"> to be handed over to the Government of South Sudan in the final year of implementation. The project, with an overall requir</w:t>
      </w:r>
      <w:r w:rsidR="00856B6F" w:rsidRPr="005C4A1D">
        <w:t>ement of US$97 million, included</w:t>
      </w:r>
      <w:r w:rsidRPr="005C4A1D">
        <w:t xml:space="preserve"> building five warehouses with a total capacity of 100,000 MT as well as developing the administration and logistics capacity of the Government of South Sudan to operate the reserve. </w:t>
      </w:r>
    </w:p>
    <w:p w:rsidR="009B39FE" w:rsidRPr="005C4A1D" w:rsidRDefault="009B39FE" w:rsidP="00644D38">
      <w:pPr>
        <w:autoSpaceDE w:val="0"/>
        <w:autoSpaceDN w:val="0"/>
        <w:adjustRightInd w:val="0"/>
        <w:jc w:val="both"/>
        <w:rPr>
          <w:color w:val="000000"/>
          <w:lang w:val="en-US"/>
        </w:rPr>
      </w:pPr>
    </w:p>
    <w:p w:rsidR="009B39FE" w:rsidRPr="005C4A1D" w:rsidRDefault="00C4317B" w:rsidP="00644D38">
      <w:pPr>
        <w:autoSpaceDE w:val="0"/>
        <w:autoSpaceDN w:val="0"/>
        <w:adjustRightInd w:val="0"/>
        <w:ind w:left="360"/>
        <w:jc w:val="both"/>
        <w:rPr>
          <w:color w:val="000000"/>
          <w:lang w:val="en-US"/>
        </w:rPr>
      </w:pPr>
      <w:r w:rsidRPr="00644D38">
        <w:rPr>
          <w:noProof/>
          <w:color w:val="000000"/>
          <w:lang w:val="en-US"/>
        </w:rPr>
        <w:lastRenderedPageBreak/>
        <w:drawing>
          <wp:anchor distT="0" distB="0" distL="114300" distR="114300" simplePos="0" relativeHeight="251659776" behindDoc="0" locked="0" layoutInCell="1" allowOverlap="1" wp14:anchorId="09E24B9F" wp14:editId="497BC51D">
            <wp:simplePos x="0" y="0"/>
            <wp:positionH relativeFrom="column">
              <wp:posOffset>-359410</wp:posOffset>
            </wp:positionH>
            <wp:positionV relativeFrom="paragraph">
              <wp:posOffset>95250</wp:posOffset>
            </wp:positionV>
            <wp:extent cx="4835525" cy="6381750"/>
            <wp:effectExtent l="1905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835525" cy="6381750"/>
                    </a:xfrm>
                    <a:prstGeom prst="rect">
                      <a:avLst/>
                    </a:prstGeom>
                    <a:noFill/>
                    <a:ln w="9525">
                      <a:noFill/>
                      <a:miter lim="800000"/>
                      <a:headEnd/>
                      <a:tailEnd/>
                    </a:ln>
                  </pic:spPr>
                </pic:pic>
              </a:graphicData>
            </a:graphic>
          </wp:anchor>
        </w:drawing>
      </w:r>
    </w:p>
    <w:p w:rsidR="00CF076E" w:rsidRPr="005C4A1D" w:rsidRDefault="00CF076E">
      <w:pPr>
        <w:jc w:val="both"/>
      </w:pPr>
      <w:r w:rsidRPr="005C4A1D">
        <w:t>Chart 1 draws out the linkages between the objectives of the Strategic Grain Reserve and their relationship to the pillars and objectives of the United Nations Develop</w:t>
      </w:r>
      <w:r w:rsidR="002B10BF" w:rsidRPr="005C4A1D">
        <w:t>ment A</w:t>
      </w:r>
      <w:r w:rsidRPr="005C4A1D">
        <w:t xml:space="preserve">ssistance Framework for South Sudan. There is also cross cutting alignment with the South Sudan development framework 2012-2013. In </w:t>
      </w:r>
      <w:r w:rsidR="00B416BC" w:rsidRPr="005C4A1D">
        <w:t>South Sud</w:t>
      </w:r>
      <w:r w:rsidR="00281438" w:rsidRPr="005C4A1D">
        <w:t>an</w:t>
      </w:r>
      <w:r w:rsidRPr="005C4A1D">
        <w:t xml:space="preserve">, humanitarian agencies and commercial actors have to rely on congested ports to import food and are usually faced with a lack of transport capacity thereby increasing the lead time of bringing much needed food supplies. In a humanitarian emergency, these delays can be life threatening. </w:t>
      </w:r>
      <w:r w:rsidR="00281438" w:rsidRPr="005C4A1D">
        <w:t>T</w:t>
      </w:r>
      <w:r w:rsidR="009B7698" w:rsidRPr="005C4A1D">
        <w:t>he Strategic Grain Reserve</w:t>
      </w:r>
      <w:r w:rsidRPr="005C4A1D">
        <w:t xml:space="preserve"> can help to provide the needed food commodities to the Government and humanitarian partners in a timely and cost effective manner. </w:t>
      </w:r>
    </w:p>
    <w:p w:rsidR="00CF076E" w:rsidRPr="005C4A1D" w:rsidRDefault="00CF076E">
      <w:pPr>
        <w:jc w:val="both"/>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56B6F" w:rsidRPr="005C4A1D" w:rsidRDefault="00856B6F" w:rsidP="00644D38">
      <w:pPr>
        <w:jc w:val="both"/>
        <w:rPr>
          <w:color w:val="000000"/>
          <w:lang w:val="en-US"/>
        </w:rPr>
      </w:pPr>
      <w:r w:rsidRPr="005C4A1D">
        <w:rPr>
          <w:color w:val="000000"/>
          <w:lang w:val="en-US"/>
        </w:rPr>
        <w:t xml:space="preserve">While the strategic grain reserve </w:t>
      </w:r>
      <w:r w:rsidR="00883F20" w:rsidRPr="005C4A1D">
        <w:rPr>
          <w:color w:val="000000"/>
          <w:lang w:val="en-US"/>
        </w:rPr>
        <w:t xml:space="preserve">is </w:t>
      </w:r>
      <w:r w:rsidR="005F4D3D" w:rsidRPr="005C4A1D">
        <w:rPr>
          <w:lang w:val="en-US"/>
        </w:rPr>
        <w:t xml:space="preserve">envisaged </w:t>
      </w:r>
      <w:r w:rsidRPr="005C4A1D">
        <w:rPr>
          <w:color w:val="000000"/>
          <w:lang w:val="en-US"/>
        </w:rPr>
        <w:t>as</w:t>
      </w:r>
      <w:r w:rsidR="00883F20" w:rsidRPr="005C4A1D">
        <w:rPr>
          <w:color w:val="000000"/>
          <w:lang w:val="en-US"/>
        </w:rPr>
        <w:t xml:space="preserve"> a</w:t>
      </w:r>
      <w:r w:rsidR="002B10BF" w:rsidRPr="005C4A1D">
        <w:rPr>
          <w:color w:val="000000"/>
          <w:lang w:val="en-US"/>
        </w:rPr>
        <w:t xml:space="preserve"> safety net institution </w:t>
      </w:r>
      <w:r w:rsidRPr="005C4A1D">
        <w:rPr>
          <w:color w:val="000000"/>
          <w:lang w:val="en-US"/>
        </w:rPr>
        <w:t>for</w:t>
      </w:r>
      <w:r w:rsidR="00883F20" w:rsidRPr="005C4A1D">
        <w:rPr>
          <w:color w:val="000000"/>
          <w:lang w:val="en-US"/>
        </w:rPr>
        <w:t xml:space="preserve"> </w:t>
      </w:r>
      <w:r w:rsidR="002B10BF" w:rsidRPr="005C4A1D">
        <w:rPr>
          <w:color w:val="000000"/>
          <w:lang w:val="en-US"/>
        </w:rPr>
        <w:t>ensuring timely</w:t>
      </w:r>
      <w:r w:rsidR="00883F20" w:rsidRPr="005C4A1D">
        <w:rPr>
          <w:color w:val="000000"/>
          <w:lang w:val="en-US"/>
        </w:rPr>
        <w:t xml:space="preserve"> and </w:t>
      </w:r>
      <w:r w:rsidR="002B10BF" w:rsidRPr="005C4A1D">
        <w:rPr>
          <w:color w:val="000000"/>
          <w:lang w:val="en-US"/>
        </w:rPr>
        <w:t xml:space="preserve">effectively </w:t>
      </w:r>
      <w:r w:rsidRPr="005C4A1D">
        <w:rPr>
          <w:color w:val="000000"/>
          <w:lang w:val="en-US"/>
        </w:rPr>
        <w:t xml:space="preserve">response to food </w:t>
      </w:r>
      <w:r w:rsidR="001447FB" w:rsidRPr="005C4A1D">
        <w:rPr>
          <w:color w:val="000000"/>
          <w:lang w:val="en-US"/>
        </w:rPr>
        <w:t>emergencies</w:t>
      </w:r>
      <w:r w:rsidR="002B10BF" w:rsidRPr="005C4A1D">
        <w:rPr>
          <w:color w:val="000000"/>
          <w:lang w:val="en-US"/>
        </w:rPr>
        <w:t>,</w:t>
      </w:r>
      <w:r w:rsidRPr="005C4A1D">
        <w:rPr>
          <w:color w:val="000000"/>
          <w:lang w:val="en-US"/>
        </w:rPr>
        <w:t xml:space="preserve"> it can also play a role in post conflict recovery by giving rural farmers a market outlet for their production and support </w:t>
      </w:r>
      <w:r w:rsidR="002B10BF" w:rsidRPr="005C4A1D">
        <w:rPr>
          <w:color w:val="000000"/>
          <w:lang w:val="en-US"/>
        </w:rPr>
        <w:t xml:space="preserve"> </w:t>
      </w:r>
      <w:r w:rsidRPr="005C4A1D">
        <w:rPr>
          <w:color w:val="000000"/>
          <w:lang w:val="en-US"/>
        </w:rPr>
        <w:t>longer-term</w:t>
      </w:r>
      <w:r w:rsidR="00883F20" w:rsidRPr="005C4A1D">
        <w:rPr>
          <w:color w:val="000000"/>
          <w:lang w:val="en-US"/>
        </w:rPr>
        <w:t xml:space="preserve"> </w:t>
      </w:r>
      <w:r w:rsidRPr="005C4A1D">
        <w:rPr>
          <w:color w:val="000000"/>
          <w:lang w:val="en-US"/>
        </w:rPr>
        <w:t>opportunities</w:t>
      </w:r>
      <w:r w:rsidR="00883F20" w:rsidRPr="005C4A1D">
        <w:rPr>
          <w:color w:val="000000"/>
          <w:lang w:val="en-US"/>
        </w:rPr>
        <w:t>.</w:t>
      </w:r>
    </w:p>
    <w:p w:rsidR="00644D38" w:rsidRDefault="00644D38">
      <w:pPr>
        <w:rPr>
          <w:color w:val="000000"/>
          <w:lang w:val="en-US"/>
        </w:rPr>
      </w:pPr>
      <w:r>
        <w:rPr>
          <w:color w:val="000000"/>
          <w:lang w:val="en-US"/>
        </w:rPr>
        <w:br w:type="page"/>
      </w:r>
    </w:p>
    <w:p w:rsidR="00856B6F" w:rsidRPr="005C4A1D" w:rsidRDefault="00856B6F">
      <w:pPr>
        <w:jc w:val="both"/>
        <w:rPr>
          <w:color w:val="000000"/>
          <w:lang w:val="en-US"/>
        </w:rPr>
      </w:pPr>
    </w:p>
    <w:p w:rsidR="00D9007C" w:rsidRPr="005C4A1D" w:rsidRDefault="00D9007C" w:rsidP="00644D38">
      <w:pPr>
        <w:jc w:val="both"/>
        <w:rPr>
          <w:lang w:val="en-US"/>
        </w:rPr>
      </w:pPr>
    </w:p>
    <w:p w:rsidR="00010CC7" w:rsidRPr="005C4A1D" w:rsidRDefault="00CF076E" w:rsidP="00644D38">
      <w:pPr>
        <w:pStyle w:val="Heading1"/>
        <w:tabs>
          <w:tab w:val="left" w:pos="360"/>
        </w:tabs>
        <w:ind w:left="0"/>
        <w:rPr>
          <w:rFonts w:ascii="Times New Roman" w:hAnsi="Times New Roman"/>
          <w:sz w:val="24"/>
          <w:szCs w:val="24"/>
          <w:lang w:val="en-US"/>
        </w:rPr>
      </w:pPr>
      <w:r w:rsidRPr="005C4A1D">
        <w:rPr>
          <w:rFonts w:ascii="Times New Roman" w:hAnsi="Times New Roman"/>
          <w:sz w:val="24"/>
          <w:szCs w:val="24"/>
          <w:lang w:val="en-US"/>
        </w:rPr>
        <w:t xml:space="preserve">II. </w:t>
      </w:r>
      <w:r w:rsidR="00010CC7" w:rsidRPr="005C4A1D">
        <w:rPr>
          <w:rFonts w:ascii="Times New Roman" w:hAnsi="Times New Roman"/>
          <w:sz w:val="24"/>
          <w:szCs w:val="24"/>
          <w:lang w:val="en-US"/>
        </w:rPr>
        <w:t>RESOURCES</w:t>
      </w:r>
    </w:p>
    <w:p w:rsidR="00CB1F3F" w:rsidRPr="005C4A1D" w:rsidRDefault="00CB1F3F" w:rsidP="00644D38">
      <w:pPr>
        <w:jc w:val="both"/>
        <w:rPr>
          <w:lang w:val="en-US"/>
        </w:rPr>
      </w:pPr>
    </w:p>
    <w:p w:rsidR="00CB1F3F" w:rsidRPr="005C4A1D" w:rsidRDefault="00B42178" w:rsidP="00644D38">
      <w:pPr>
        <w:jc w:val="both"/>
        <w:rPr>
          <w:lang w:val="en-US"/>
        </w:rPr>
      </w:pPr>
      <w:r w:rsidRPr="005C4A1D">
        <w:t>This three</w:t>
      </w:r>
      <w:r w:rsidR="00CB1F3F" w:rsidRPr="005C4A1D">
        <w:t xml:space="preserve">-year Special Operation (SO 200267) for the establishment of a Strategic Grain Reserve requires US$97 million. To date the </w:t>
      </w:r>
      <w:r w:rsidR="000C4E19" w:rsidRPr="005C4A1D">
        <w:t>project has</w:t>
      </w:r>
      <w:r w:rsidR="00CB1F3F" w:rsidRPr="005C4A1D">
        <w:t xml:space="preserve"> received </w:t>
      </w:r>
      <w:r w:rsidR="00CB1F3F" w:rsidRPr="005C4A1D">
        <w:rPr>
          <w:lang w:val="en-US"/>
        </w:rPr>
        <w:t>US$ 4.5 million</w:t>
      </w:r>
      <w:r w:rsidR="001447FB" w:rsidRPr="005C4A1D">
        <w:rPr>
          <w:lang w:val="en-US"/>
        </w:rPr>
        <w:t xml:space="preserve">, consisting of </w:t>
      </w:r>
      <w:r w:rsidR="000C4E19" w:rsidRPr="005C4A1D">
        <w:rPr>
          <w:lang w:val="en-US"/>
        </w:rPr>
        <w:t>US$ 2 million</w:t>
      </w:r>
      <w:r w:rsidR="001447FB" w:rsidRPr="005C4A1D">
        <w:rPr>
          <w:lang w:val="en-US"/>
        </w:rPr>
        <w:t xml:space="preserve"> from</w:t>
      </w:r>
      <w:r w:rsidR="000C4E19" w:rsidRPr="005C4A1D">
        <w:rPr>
          <w:lang w:val="en-US"/>
        </w:rPr>
        <w:t xml:space="preserve"> </w:t>
      </w:r>
      <w:r w:rsidR="00883F20" w:rsidRPr="005C4A1D">
        <w:rPr>
          <w:lang w:val="en-US"/>
        </w:rPr>
        <w:t xml:space="preserve">the </w:t>
      </w:r>
      <w:r w:rsidR="000C4E19" w:rsidRPr="005C4A1D">
        <w:rPr>
          <w:lang w:val="en-US"/>
        </w:rPr>
        <w:t>Peace Building Fund</w:t>
      </w:r>
      <w:r w:rsidR="00883F20" w:rsidRPr="005C4A1D">
        <w:rPr>
          <w:lang w:val="en-US"/>
        </w:rPr>
        <w:t xml:space="preserve"> </w:t>
      </w:r>
      <w:r w:rsidR="00604097" w:rsidRPr="005C4A1D">
        <w:rPr>
          <w:lang w:val="en-US"/>
        </w:rPr>
        <w:t>and US$ 2.5 million from the Government of Norway</w:t>
      </w:r>
      <w:r w:rsidR="001A0E87" w:rsidRPr="005C4A1D">
        <w:rPr>
          <w:lang w:val="en-US"/>
        </w:rPr>
        <w:t>.</w:t>
      </w:r>
    </w:p>
    <w:p w:rsidR="001A0E87" w:rsidRPr="005C4A1D" w:rsidRDefault="001A0E87" w:rsidP="00644D38">
      <w:pPr>
        <w:jc w:val="both"/>
        <w:rPr>
          <w:lang w:val="en-US"/>
        </w:rPr>
      </w:pPr>
    </w:p>
    <w:p w:rsidR="001A0E87" w:rsidRPr="00644D38" w:rsidRDefault="001A0E87">
      <w:pPr>
        <w:autoSpaceDE w:val="0"/>
        <w:autoSpaceDN w:val="0"/>
        <w:adjustRightInd w:val="0"/>
        <w:jc w:val="both"/>
        <w:rPr>
          <w:color w:val="000000"/>
        </w:rPr>
      </w:pPr>
      <w:r w:rsidRPr="00644D38">
        <w:rPr>
          <w:color w:val="000000"/>
        </w:rPr>
        <w:t xml:space="preserve">With the generous support from the Peace Building Fund, </w:t>
      </w:r>
      <w:r w:rsidR="00883F20" w:rsidRPr="00644D38">
        <w:rPr>
          <w:color w:val="000000"/>
        </w:rPr>
        <w:t xml:space="preserve">which encouraged </w:t>
      </w:r>
      <w:r w:rsidRPr="00644D38">
        <w:rPr>
          <w:color w:val="000000"/>
        </w:rPr>
        <w:t>the Government of Norway</w:t>
      </w:r>
      <w:r w:rsidR="00883F20" w:rsidRPr="00644D38">
        <w:rPr>
          <w:color w:val="000000"/>
        </w:rPr>
        <w:t>’s</w:t>
      </w:r>
      <w:r w:rsidRPr="00644D38">
        <w:rPr>
          <w:color w:val="000000"/>
        </w:rPr>
        <w:t xml:space="preserve"> contribution</w:t>
      </w:r>
      <w:r w:rsidR="00883F20" w:rsidRPr="00644D38">
        <w:rPr>
          <w:color w:val="000000"/>
        </w:rPr>
        <w:t>, WFP has</w:t>
      </w:r>
      <w:r w:rsidRPr="00644D38">
        <w:rPr>
          <w:color w:val="000000"/>
        </w:rPr>
        <w:t xml:space="preserve"> not experience</w:t>
      </w:r>
      <w:r w:rsidR="00883F20" w:rsidRPr="00644D38">
        <w:rPr>
          <w:color w:val="000000"/>
        </w:rPr>
        <w:t>d</w:t>
      </w:r>
      <w:r w:rsidRPr="00644D38">
        <w:rPr>
          <w:color w:val="000000"/>
        </w:rPr>
        <w:t xml:space="preserve"> any delays to</w:t>
      </w:r>
      <w:r w:rsidR="00883F20" w:rsidRPr="00644D38">
        <w:rPr>
          <w:color w:val="000000"/>
        </w:rPr>
        <w:t xml:space="preserve"> moving </w:t>
      </w:r>
      <w:r w:rsidRPr="00644D38">
        <w:rPr>
          <w:color w:val="000000"/>
        </w:rPr>
        <w:t xml:space="preserve">forward with the </w:t>
      </w:r>
      <w:r w:rsidR="00883F20" w:rsidRPr="00644D38">
        <w:rPr>
          <w:color w:val="000000"/>
        </w:rPr>
        <w:t xml:space="preserve">first phase of the project due to lack of funds. </w:t>
      </w:r>
    </w:p>
    <w:p w:rsidR="001A0E87" w:rsidRPr="005C4A1D" w:rsidRDefault="001A0E87" w:rsidP="00644D38">
      <w:pPr>
        <w:jc w:val="both"/>
        <w:rPr>
          <w:lang w:val="en-US"/>
        </w:rPr>
      </w:pPr>
    </w:p>
    <w:p w:rsidR="00FA458D" w:rsidRPr="005C4A1D" w:rsidRDefault="00FA458D" w:rsidP="00644D38">
      <w:pPr>
        <w:jc w:val="both"/>
        <w:rPr>
          <w:lang w:val="en-US"/>
        </w:rPr>
      </w:pPr>
    </w:p>
    <w:p w:rsidR="00FA458D" w:rsidRPr="005C4A1D" w:rsidRDefault="00883F20">
      <w:pPr>
        <w:autoSpaceDE w:val="0"/>
        <w:autoSpaceDN w:val="0"/>
        <w:adjustRightInd w:val="0"/>
        <w:spacing w:after="240"/>
        <w:jc w:val="both"/>
        <w:rPr>
          <w:color w:val="000000"/>
        </w:rPr>
      </w:pPr>
      <w:r w:rsidRPr="005C4A1D">
        <w:rPr>
          <w:color w:val="000000"/>
        </w:rPr>
        <w:t xml:space="preserve">A </w:t>
      </w:r>
      <w:r w:rsidR="00FA458D" w:rsidRPr="005C4A1D">
        <w:rPr>
          <w:color w:val="000000"/>
        </w:rPr>
        <w:t xml:space="preserve">Project Manager, Program Officer and support staff have been recruited and </w:t>
      </w:r>
      <w:r w:rsidRPr="005C4A1D">
        <w:rPr>
          <w:color w:val="000000"/>
        </w:rPr>
        <w:t xml:space="preserve">have </w:t>
      </w:r>
      <w:r w:rsidR="00FA458D" w:rsidRPr="005C4A1D">
        <w:rPr>
          <w:color w:val="000000"/>
        </w:rPr>
        <w:t>assumed</w:t>
      </w:r>
      <w:r w:rsidRPr="005C4A1D">
        <w:rPr>
          <w:color w:val="000000"/>
        </w:rPr>
        <w:t xml:space="preserve"> their duties </w:t>
      </w:r>
      <w:r w:rsidR="00FA458D" w:rsidRPr="005C4A1D">
        <w:rPr>
          <w:color w:val="000000"/>
        </w:rPr>
        <w:t xml:space="preserve">early this year. </w:t>
      </w:r>
    </w:p>
    <w:p w:rsidR="00FA458D" w:rsidRPr="005C4A1D" w:rsidRDefault="00FA458D" w:rsidP="00644D38">
      <w:pPr>
        <w:jc w:val="both"/>
        <w:rPr>
          <w:lang w:val="en-US"/>
        </w:rPr>
      </w:pPr>
      <w:r w:rsidRPr="005C4A1D">
        <w:rPr>
          <w:lang w:val="en-US"/>
        </w:rPr>
        <w:t>The head of the Project Management Team supervises the team of daily consultants. By using the World Food Programme (WFP) specialized staff for specific tasks, the project is able to draw on a broad range of technical expertise that otherwise would have to be hired through project funds.</w:t>
      </w:r>
    </w:p>
    <w:p w:rsidR="00FA458D" w:rsidRPr="005C4A1D" w:rsidRDefault="00FA458D">
      <w:pPr>
        <w:jc w:val="both"/>
        <w:rPr>
          <w:lang w:val="en-US"/>
        </w:rPr>
      </w:pPr>
    </w:p>
    <w:p w:rsidR="00FA458D" w:rsidRPr="005C4A1D" w:rsidRDefault="00FA458D" w:rsidP="00644D38">
      <w:pPr>
        <w:jc w:val="both"/>
        <w:rPr>
          <w:highlight w:val="yellow"/>
          <w:lang w:val="en-US"/>
        </w:rPr>
      </w:pPr>
      <w:r w:rsidRPr="005C4A1D">
        <w:rPr>
          <w:lang w:val="en-US"/>
        </w:rPr>
        <w:t>The WFP South Sudan Country Office finance division manages the financial resources of the project, in accordance with its Financial Rules and Regulations and its Procurement Rules. The organizations accounts are audited annually</w:t>
      </w:r>
      <w:r w:rsidRPr="005C4A1D">
        <w:rPr>
          <w:highlight w:val="yellow"/>
          <w:lang w:val="en-US"/>
        </w:rPr>
        <w:t>.</w:t>
      </w:r>
    </w:p>
    <w:p w:rsidR="00FA458D" w:rsidRPr="005C4A1D" w:rsidRDefault="00FA458D" w:rsidP="00644D38">
      <w:pPr>
        <w:jc w:val="both"/>
        <w:rPr>
          <w:lang w:val="en-US"/>
        </w:rPr>
      </w:pPr>
    </w:p>
    <w:p w:rsidR="00662312" w:rsidRPr="005C4A1D" w:rsidRDefault="00662312" w:rsidP="00644D38">
      <w:pPr>
        <w:jc w:val="both"/>
        <w:rPr>
          <w:lang w:val="en-US"/>
        </w:rPr>
      </w:pPr>
      <w:r w:rsidRPr="005C4A1D">
        <w:rPr>
          <w:lang w:val="en-US"/>
        </w:rPr>
        <w:t xml:space="preserve">WFP has entered into framework agreement for collaboration with </w:t>
      </w:r>
      <w:r w:rsidR="00FD67F9" w:rsidRPr="005C4A1D">
        <w:rPr>
          <w:lang w:val="en-US"/>
        </w:rPr>
        <w:t>International Food Po</w:t>
      </w:r>
      <w:r w:rsidR="00FD67F9">
        <w:rPr>
          <w:lang w:val="en-US"/>
        </w:rPr>
        <w:t>licy Research institute (IFPRI)</w:t>
      </w:r>
      <w:r w:rsidRPr="005C4A1D">
        <w:rPr>
          <w:lang w:val="en-US"/>
        </w:rPr>
        <w:t xml:space="preserve">. This agreement allows WFP South Sudan to draw on IFPRI expertise on policy and economic analysis work to support the grain reserve project. </w:t>
      </w:r>
    </w:p>
    <w:p w:rsidR="00662312" w:rsidRPr="005C4A1D" w:rsidRDefault="00662312" w:rsidP="00644D38">
      <w:pPr>
        <w:jc w:val="both"/>
        <w:rPr>
          <w:lang w:val="en-US"/>
        </w:rPr>
      </w:pPr>
    </w:p>
    <w:p w:rsidR="00840C5C" w:rsidRPr="005C4A1D" w:rsidRDefault="00662312" w:rsidP="00644D38">
      <w:pPr>
        <w:jc w:val="both"/>
        <w:rPr>
          <w:lang w:val="en-US"/>
        </w:rPr>
      </w:pPr>
      <w:r w:rsidRPr="005C4A1D">
        <w:rPr>
          <w:lang w:val="en-US"/>
        </w:rPr>
        <w:t>T</w:t>
      </w:r>
      <w:r w:rsidR="000C4E19" w:rsidRPr="005C4A1D">
        <w:rPr>
          <w:lang w:val="en-US"/>
        </w:rPr>
        <w:t xml:space="preserve">he Peace Building fund </w:t>
      </w:r>
      <w:r w:rsidR="00563F3F" w:rsidRPr="005C4A1D">
        <w:rPr>
          <w:lang w:val="en-US"/>
        </w:rPr>
        <w:t xml:space="preserve">contribution is </w:t>
      </w:r>
      <w:r w:rsidR="000C4E19" w:rsidRPr="005C4A1D">
        <w:rPr>
          <w:lang w:val="en-US"/>
        </w:rPr>
        <w:t xml:space="preserve">meant </w:t>
      </w:r>
      <w:r w:rsidR="00563F3F" w:rsidRPr="005C4A1D">
        <w:rPr>
          <w:lang w:val="en-US"/>
        </w:rPr>
        <w:t xml:space="preserve">to set up </w:t>
      </w:r>
      <w:r w:rsidR="000C4E19" w:rsidRPr="005C4A1D">
        <w:rPr>
          <w:lang w:val="en-US"/>
        </w:rPr>
        <w:t>the found</w:t>
      </w:r>
      <w:r w:rsidR="00604097" w:rsidRPr="005C4A1D">
        <w:rPr>
          <w:lang w:val="en-US"/>
        </w:rPr>
        <w:t xml:space="preserve">ation </w:t>
      </w:r>
      <w:r w:rsidR="000C4E19" w:rsidRPr="005C4A1D">
        <w:rPr>
          <w:lang w:val="en-US"/>
        </w:rPr>
        <w:t>for</w:t>
      </w:r>
      <w:r w:rsidR="00840C5C" w:rsidRPr="005C4A1D">
        <w:rPr>
          <w:lang w:val="en-US"/>
        </w:rPr>
        <w:t xml:space="preserve"> establishing a SGR</w:t>
      </w:r>
      <w:r w:rsidR="00604097" w:rsidRPr="005C4A1D">
        <w:rPr>
          <w:lang w:val="en-US"/>
        </w:rPr>
        <w:t xml:space="preserve">; </w:t>
      </w:r>
      <w:r w:rsidR="00680D7E" w:rsidRPr="005C4A1D">
        <w:rPr>
          <w:lang w:val="en-US"/>
        </w:rPr>
        <w:t>d</w:t>
      </w:r>
      <w:r w:rsidR="005E6C9A" w:rsidRPr="005C4A1D">
        <w:rPr>
          <w:lang w:val="en-US"/>
        </w:rPr>
        <w:t xml:space="preserve">uring the first year the project </w:t>
      </w:r>
      <w:r w:rsidR="00680D7E" w:rsidRPr="005C4A1D">
        <w:rPr>
          <w:lang w:val="en-US"/>
        </w:rPr>
        <w:t>aim</w:t>
      </w:r>
      <w:r w:rsidR="000C4E19" w:rsidRPr="005C4A1D">
        <w:rPr>
          <w:lang w:val="en-US"/>
        </w:rPr>
        <w:t>:</w:t>
      </w:r>
      <w:r w:rsidR="00840C5C" w:rsidRPr="005C4A1D">
        <w:rPr>
          <w:lang w:val="en-US"/>
        </w:rPr>
        <w:t xml:space="preserve"> </w:t>
      </w:r>
    </w:p>
    <w:p w:rsidR="00840C5C" w:rsidRPr="005C4A1D" w:rsidRDefault="00840C5C" w:rsidP="00644D38">
      <w:pPr>
        <w:jc w:val="both"/>
        <w:rPr>
          <w:lang w:val="en-US"/>
        </w:rPr>
      </w:pPr>
    </w:p>
    <w:p w:rsidR="000C4E19" w:rsidRPr="005C4A1D" w:rsidRDefault="005E6C9A" w:rsidP="00644D38">
      <w:pPr>
        <w:pStyle w:val="ListParagraph"/>
        <w:numPr>
          <w:ilvl w:val="0"/>
          <w:numId w:val="36"/>
        </w:numPr>
        <w:autoSpaceDE w:val="0"/>
        <w:autoSpaceDN w:val="0"/>
        <w:adjustRightInd w:val="0"/>
        <w:jc w:val="both"/>
        <w:rPr>
          <w:color w:val="000000"/>
          <w:lang w:val="en-US"/>
        </w:rPr>
      </w:pPr>
      <w:r w:rsidRPr="005C4A1D">
        <w:rPr>
          <w:lang w:val="en-US"/>
        </w:rPr>
        <w:t>To d</w:t>
      </w:r>
      <w:r w:rsidR="000C4E19" w:rsidRPr="005C4A1D">
        <w:rPr>
          <w:lang w:val="en-US"/>
        </w:rPr>
        <w:t xml:space="preserve">evelop the GOSS institutional </w:t>
      </w:r>
      <w:r w:rsidR="00840C5C" w:rsidRPr="005C4A1D">
        <w:rPr>
          <w:lang w:val="en-US"/>
        </w:rPr>
        <w:t xml:space="preserve">policy framework </w:t>
      </w:r>
      <w:r w:rsidR="000C4E19" w:rsidRPr="005C4A1D">
        <w:rPr>
          <w:color w:val="000000"/>
          <w:lang w:val="en-US"/>
        </w:rPr>
        <w:t>that will officially legalize the SGR establishment</w:t>
      </w:r>
      <w:r w:rsidR="00604097" w:rsidRPr="005C4A1D">
        <w:rPr>
          <w:color w:val="000000"/>
          <w:lang w:val="en-US"/>
        </w:rPr>
        <w:t xml:space="preserve"> through </w:t>
      </w:r>
      <w:r w:rsidR="00680D7E" w:rsidRPr="005C4A1D">
        <w:rPr>
          <w:color w:val="000000"/>
          <w:lang w:val="en-US"/>
        </w:rPr>
        <w:t>presidential decree</w:t>
      </w:r>
      <w:r w:rsidR="000C4E19" w:rsidRPr="005C4A1D">
        <w:rPr>
          <w:color w:val="000000"/>
          <w:lang w:val="en-US"/>
        </w:rPr>
        <w:t xml:space="preserve">; </w:t>
      </w:r>
    </w:p>
    <w:p w:rsidR="00840C5C" w:rsidRPr="005C4A1D" w:rsidRDefault="005E6C9A" w:rsidP="00644D38">
      <w:pPr>
        <w:pStyle w:val="ListParagraph"/>
        <w:numPr>
          <w:ilvl w:val="0"/>
          <w:numId w:val="36"/>
        </w:numPr>
        <w:jc w:val="both"/>
        <w:rPr>
          <w:lang w:val="en-US"/>
        </w:rPr>
      </w:pPr>
      <w:r w:rsidRPr="005C4A1D">
        <w:rPr>
          <w:lang w:val="en-US"/>
        </w:rPr>
        <w:t>To c</w:t>
      </w:r>
      <w:r w:rsidR="00604097" w:rsidRPr="005C4A1D">
        <w:rPr>
          <w:lang w:val="en-US"/>
        </w:rPr>
        <w:t>onduct baseline survey and design the M&amp;E system</w:t>
      </w:r>
      <w:r w:rsidR="00680D7E" w:rsidRPr="005C4A1D">
        <w:rPr>
          <w:lang w:val="en-US"/>
        </w:rPr>
        <w:t>;</w:t>
      </w:r>
    </w:p>
    <w:p w:rsidR="000C4E19" w:rsidRPr="005C4A1D" w:rsidRDefault="005E6C9A" w:rsidP="00644D38">
      <w:pPr>
        <w:pStyle w:val="ListParagraph"/>
        <w:numPr>
          <w:ilvl w:val="0"/>
          <w:numId w:val="36"/>
        </w:numPr>
        <w:jc w:val="both"/>
        <w:rPr>
          <w:lang w:val="en-US"/>
        </w:rPr>
      </w:pPr>
      <w:r w:rsidRPr="005C4A1D">
        <w:rPr>
          <w:color w:val="000000"/>
          <w:lang w:val="en-US"/>
        </w:rPr>
        <w:t>To c</w:t>
      </w:r>
      <w:r w:rsidR="000C4E19" w:rsidRPr="005C4A1D">
        <w:rPr>
          <w:color w:val="000000"/>
          <w:lang w:val="en-US"/>
        </w:rPr>
        <w:t>lear land for reserve locations</w:t>
      </w:r>
      <w:r w:rsidR="00680D7E" w:rsidRPr="005C4A1D">
        <w:rPr>
          <w:color w:val="000000"/>
          <w:lang w:val="en-US"/>
        </w:rPr>
        <w:t>;</w:t>
      </w:r>
    </w:p>
    <w:p w:rsidR="00662312" w:rsidRPr="005C4A1D" w:rsidRDefault="005E6C9A" w:rsidP="00644D38">
      <w:pPr>
        <w:pStyle w:val="ListParagraph"/>
        <w:numPr>
          <w:ilvl w:val="0"/>
          <w:numId w:val="36"/>
        </w:numPr>
        <w:jc w:val="both"/>
        <w:rPr>
          <w:lang w:val="en-US"/>
        </w:rPr>
      </w:pPr>
      <w:r w:rsidRPr="005C4A1D">
        <w:rPr>
          <w:lang w:val="en-US"/>
        </w:rPr>
        <w:t>To r</w:t>
      </w:r>
      <w:r w:rsidR="00604097" w:rsidRPr="005C4A1D">
        <w:rPr>
          <w:lang w:val="en-US"/>
        </w:rPr>
        <w:t>ecruit</w:t>
      </w:r>
      <w:r w:rsidR="00840C5C" w:rsidRPr="005C4A1D">
        <w:rPr>
          <w:lang w:val="en-US"/>
        </w:rPr>
        <w:t xml:space="preserve"> WFP specialized managem</w:t>
      </w:r>
      <w:r w:rsidR="00662312" w:rsidRPr="005C4A1D">
        <w:rPr>
          <w:lang w:val="en-US"/>
        </w:rPr>
        <w:t>ent team for project supervision</w:t>
      </w:r>
    </w:p>
    <w:p w:rsidR="00662312" w:rsidRPr="005C4A1D" w:rsidRDefault="00662312" w:rsidP="00644D38">
      <w:pPr>
        <w:pStyle w:val="ListParagraph"/>
        <w:jc w:val="both"/>
        <w:rPr>
          <w:lang w:val="en-US"/>
        </w:rPr>
      </w:pPr>
    </w:p>
    <w:p w:rsidR="00604097" w:rsidRPr="005C4A1D" w:rsidRDefault="00662312">
      <w:pPr>
        <w:jc w:val="both"/>
        <w:rPr>
          <w:color w:val="000000"/>
        </w:rPr>
      </w:pPr>
      <w:r w:rsidRPr="005C4A1D">
        <w:rPr>
          <w:color w:val="000000"/>
        </w:rPr>
        <w:t>The South Sudan Country office has not embarked as yet on a major resource mobilization effort</w:t>
      </w:r>
      <w:r w:rsidR="00BF276C" w:rsidRPr="005C4A1D">
        <w:rPr>
          <w:color w:val="000000"/>
        </w:rPr>
        <w:t xml:space="preserve"> f</w:t>
      </w:r>
      <w:r w:rsidRPr="005C4A1D">
        <w:rPr>
          <w:color w:val="000000"/>
        </w:rPr>
        <w:t xml:space="preserve">or </w:t>
      </w:r>
      <w:r w:rsidR="00BF276C" w:rsidRPr="005C4A1D">
        <w:rPr>
          <w:color w:val="000000"/>
        </w:rPr>
        <w:t xml:space="preserve">this project. </w:t>
      </w:r>
      <w:r w:rsidR="00973E41" w:rsidRPr="005C4A1D">
        <w:rPr>
          <w:color w:val="000000"/>
        </w:rPr>
        <w:t xml:space="preserve">Once the </w:t>
      </w:r>
      <w:r w:rsidR="005E6C9A" w:rsidRPr="005C4A1D">
        <w:rPr>
          <w:color w:val="000000"/>
        </w:rPr>
        <w:t>GOSS issue</w:t>
      </w:r>
      <w:r w:rsidR="00883F20" w:rsidRPr="005C4A1D">
        <w:rPr>
          <w:color w:val="000000"/>
        </w:rPr>
        <w:t>s</w:t>
      </w:r>
      <w:r w:rsidR="005E6C9A" w:rsidRPr="005C4A1D">
        <w:rPr>
          <w:color w:val="000000"/>
        </w:rPr>
        <w:t xml:space="preserve"> the </w:t>
      </w:r>
      <w:r w:rsidR="00973E41" w:rsidRPr="005C4A1D">
        <w:rPr>
          <w:color w:val="000000"/>
        </w:rPr>
        <w:t>proclamation</w:t>
      </w:r>
      <w:r w:rsidR="00BF276C" w:rsidRPr="005C4A1D">
        <w:rPr>
          <w:color w:val="000000"/>
        </w:rPr>
        <w:t>, demonstrating</w:t>
      </w:r>
      <w:r w:rsidR="00973E41" w:rsidRPr="005C4A1D">
        <w:rPr>
          <w:color w:val="000000"/>
        </w:rPr>
        <w:t xml:space="preserve"> the government</w:t>
      </w:r>
      <w:r w:rsidR="00883F20" w:rsidRPr="005C4A1D">
        <w:rPr>
          <w:color w:val="000000"/>
        </w:rPr>
        <w:t>’s</w:t>
      </w:r>
      <w:r w:rsidR="00973E41" w:rsidRPr="005C4A1D">
        <w:rPr>
          <w:color w:val="000000"/>
        </w:rPr>
        <w:t xml:space="preserve"> commitment, WFP will step up resource mobilization efforts beginning with a donor briefing jointly hosted by The Government of South Sudan</w:t>
      </w:r>
      <w:r w:rsidR="00604097" w:rsidRPr="005C4A1D">
        <w:rPr>
          <w:color w:val="000000"/>
        </w:rPr>
        <w:t xml:space="preserve"> and WFP</w:t>
      </w:r>
      <w:r w:rsidR="00973E41" w:rsidRPr="005C4A1D">
        <w:rPr>
          <w:color w:val="000000"/>
        </w:rPr>
        <w:t xml:space="preserve">. </w:t>
      </w:r>
    </w:p>
    <w:p w:rsidR="001A0E87" w:rsidRPr="005C4A1D" w:rsidRDefault="001A0E87">
      <w:pPr>
        <w:jc w:val="both"/>
        <w:rPr>
          <w:color w:val="000000"/>
        </w:rPr>
      </w:pPr>
    </w:p>
    <w:p w:rsidR="00CF076E" w:rsidRPr="005C4A1D" w:rsidRDefault="00CF076E">
      <w:pPr>
        <w:autoSpaceDE w:val="0"/>
        <w:autoSpaceDN w:val="0"/>
        <w:adjustRightInd w:val="0"/>
        <w:spacing w:after="240"/>
        <w:jc w:val="both"/>
        <w:rPr>
          <w:lang w:val="en-US"/>
        </w:rPr>
      </w:pPr>
      <w:r w:rsidRPr="005C4A1D">
        <w:rPr>
          <w:lang w:val="en-US"/>
        </w:rPr>
        <w:t>III. IMPLEMENTATION AND MONITORING ARRANGEMENTS</w:t>
      </w:r>
    </w:p>
    <w:p w:rsidR="003C1948" w:rsidRPr="005C4A1D" w:rsidRDefault="00604097">
      <w:pPr>
        <w:autoSpaceDE w:val="0"/>
        <w:autoSpaceDN w:val="0"/>
        <w:adjustRightInd w:val="0"/>
        <w:jc w:val="both"/>
        <w:rPr>
          <w:color w:val="000000"/>
        </w:rPr>
      </w:pPr>
      <w:r w:rsidRPr="005C4A1D">
        <w:rPr>
          <w:lang w:val="en-US"/>
        </w:rPr>
        <w:t xml:space="preserve">WFP </w:t>
      </w:r>
      <w:r w:rsidR="001A0E87" w:rsidRPr="005C4A1D">
        <w:rPr>
          <w:lang w:val="en-US"/>
        </w:rPr>
        <w:t xml:space="preserve">has </w:t>
      </w:r>
      <w:r w:rsidRPr="005C4A1D">
        <w:rPr>
          <w:lang w:val="en-US"/>
        </w:rPr>
        <w:t xml:space="preserve">conducted numerous formal and informal </w:t>
      </w:r>
      <w:r w:rsidR="00BC0EA2" w:rsidRPr="005C4A1D">
        <w:rPr>
          <w:color w:val="000000"/>
        </w:rPr>
        <w:t xml:space="preserve">consultations with government </w:t>
      </w:r>
      <w:r w:rsidR="00DE39AE" w:rsidRPr="005C4A1D">
        <w:rPr>
          <w:color w:val="000000"/>
        </w:rPr>
        <w:t>counterparts</w:t>
      </w:r>
      <w:r w:rsidR="003C1948" w:rsidRPr="005C4A1D">
        <w:rPr>
          <w:color w:val="000000"/>
        </w:rPr>
        <w:t xml:space="preserve">. Through </w:t>
      </w:r>
      <w:r w:rsidR="00883F20" w:rsidRPr="005C4A1D">
        <w:rPr>
          <w:color w:val="000000"/>
        </w:rPr>
        <w:t>these</w:t>
      </w:r>
      <w:r w:rsidR="00DE39AE" w:rsidRPr="005C4A1D">
        <w:rPr>
          <w:color w:val="000000"/>
        </w:rPr>
        <w:t xml:space="preserve"> consultation</w:t>
      </w:r>
      <w:r w:rsidR="0053415B" w:rsidRPr="005C4A1D">
        <w:rPr>
          <w:color w:val="000000"/>
        </w:rPr>
        <w:t>s</w:t>
      </w:r>
      <w:r w:rsidR="00DE39AE" w:rsidRPr="005C4A1D">
        <w:rPr>
          <w:color w:val="000000"/>
        </w:rPr>
        <w:t xml:space="preserve"> it </w:t>
      </w:r>
      <w:r w:rsidR="0053415B" w:rsidRPr="005C4A1D">
        <w:rPr>
          <w:color w:val="000000"/>
        </w:rPr>
        <w:t>becomes</w:t>
      </w:r>
      <w:r w:rsidR="00DE39AE" w:rsidRPr="005C4A1D">
        <w:rPr>
          <w:color w:val="000000"/>
        </w:rPr>
        <w:t xml:space="preserve"> evident</w:t>
      </w:r>
      <w:r w:rsidR="003C1948" w:rsidRPr="005C4A1D">
        <w:rPr>
          <w:color w:val="000000"/>
        </w:rPr>
        <w:t xml:space="preserve"> </w:t>
      </w:r>
      <w:r w:rsidR="00883F20" w:rsidRPr="005C4A1D">
        <w:rPr>
          <w:color w:val="000000"/>
        </w:rPr>
        <w:t>that a bottom</w:t>
      </w:r>
      <w:r w:rsidR="00BC0EA2" w:rsidRPr="005C4A1D">
        <w:rPr>
          <w:color w:val="000000"/>
        </w:rPr>
        <w:t xml:space="preserve"> up approach </w:t>
      </w:r>
      <w:r w:rsidR="003C1948" w:rsidRPr="005C4A1D">
        <w:rPr>
          <w:color w:val="000000"/>
        </w:rPr>
        <w:t>which</w:t>
      </w:r>
      <w:r w:rsidR="00DE39AE" w:rsidRPr="005C4A1D">
        <w:rPr>
          <w:color w:val="000000"/>
        </w:rPr>
        <w:t xml:space="preserve"> ensured </w:t>
      </w:r>
      <w:r w:rsidR="00BC0EA2" w:rsidRPr="005C4A1D">
        <w:rPr>
          <w:color w:val="000000"/>
        </w:rPr>
        <w:t xml:space="preserve">government involvement in the </w:t>
      </w:r>
      <w:r w:rsidR="00DE39AE" w:rsidRPr="005C4A1D">
        <w:rPr>
          <w:color w:val="000000"/>
        </w:rPr>
        <w:t xml:space="preserve">project </w:t>
      </w:r>
      <w:r w:rsidR="003C1948" w:rsidRPr="005C4A1D">
        <w:rPr>
          <w:color w:val="000000"/>
        </w:rPr>
        <w:t xml:space="preserve">from </w:t>
      </w:r>
      <w:r w:rsidR="00DE39AE" w:rsidRPr="005C4A1D">
        <w:rPr>
          <w:color w:val="000000"/>
        </w:rPr>
        <w:t xml:space="preserve">inception </w:t>
      </w:r>
      <w:r w:rsidR="003C1948" w:rsidRPr="005C4A1D">
        <w:rPr>
          <w:color w:val="000000"/>
        </w:rPr>
        <w:t xml:space="preserve">was </w:t>
      </w:r>
      <w:r w:rsidR="00DE39AE" w:rsidRPr="005C4A1D">
        <w:rPr>
          <w:color w:val="000000"/>
        </w:rPr>
        <w:t xml:space="preserve">the only way </w:t>
      </w:r>
      <w:r w:rsidR="003C1948" w:rsidRPr="005C4A1D">
        <w:rPr>
          <w:color w:val="000000"/>
        </w:rPr>
        <w:t xml:space="preserve">of </w:t>
      </w:r>
      <w:r w:rsidR="00BC0EA2" w:rsidRPr="005C4A1D">
        <w:rPr>
          <w:color w:val="000000"/>
        </w:rPr>
        <w:t xml:space="preserve">guaranteeing sustainability. </w:t>
      </w:r>
      <w:r w:rsidR="003C1948" w:rsidRPr="005C4A1D">
        <w:rPr>
          <w:color w:val="000000"/>
        </w:rPr>
        <w:t xml:space="preserve"> </w:t>
      </w:r>
    </w:p>
    <w:p w:rsidR="003C1948" w:rsidRPr="005C4A1D" w:rsidRDefault="003C1948">
      <w:pPr>
        <w:autoSpaceDE w:val="0"/>
        <w:autoSpaceDN w:val="0"/>
        <w:adjustRightInd w:val="0"/>
        <w:jc w:val="both"/>
        <w:rPr>
          <w:color w:val="000000"/>
        </w:rPr>
      </w:pPr>
    </w:p>
    <w:p w:rsidR="003C1948" w:rsidRPr="00644D38" w:rsidRDefault="0053415B">
      <w:pPr>
        <w:autoSpaceDE w:val="0"/>
        <w:autoSpaceDN w:val="0"/>
        <w:adjustRightInd w:val="0"/>
        <w:jc w:val="both"/>
        <w:rPr>
          <w:color w:val="000000"/>
        </w:rPr>
      </w:pPr>
      <w:r w:rsidRPr="00644D38">
        <w:rPr>
          <w:color w:val="000000"/>
        </w:rPr>
        <w:lastRenderedPageBreak/>
        <w:t>The initial</w:t>
      </w:r>
      <w:r w:rsidR="003C1948" w:rsidRPr="00644D38">
        <w:rPr>
          <w:color w:val="000000"/>
        </w:rPr>
        <w:t xml:space="preserve"> </w:t>
      </w:r>
      <w:r w:rsidR="00644D38">
        <w:rPr>
          <w:color w:val="000000"/>
        </w:rPr>
        <w:t xml:space="preserve">project </w:t>
      </w:r>
      <w:r w:rsidR="003C1948" w:rsidRPr="00644D38">
        <w:rPr>
          <w:color w:val="000000"/>
        </w:rPr>
        <w:t xml:space="preserve">strategy was to start building the infrastructure required for the reserve as the first step and then subsequently move towards operationalizing the reserve, followed by a hand over to the Government. </w:t>
      </w:r>
    </w:p>
    <w:p w:rsidR="003C1948" w:rsidRPr="00644D38" w:rsidRDefault="003C1948">
      <w:pPr>
        <w:autoSpaceDE w:val="0"/>
        <w:autoSpaceDN w:val="0"/>
        <w:adjustRightInd w:val="0"/>
        <w:jc w:val="both"/>
        <w:rPr>
          <w:color w:val="000000"/>
        </w:rPr>
      </w:pPr>
    </w:p>
    <w:p w:rsidR="003C1948" w:rsidRPr="00644D38" w:rsidRDefault="003C1948">
      <w:pPr>
        <w:autoSpaceDE w:val="0"/>
        <w:autoSpaceDN w:val="0"/>
        <w:adjustRightInd w:val="0"/>
        <w:jc w:val="both"/>
        <w:rPr>
          <w:color w:val="000000"/>
        </w:rPr>
      </w:pPr>
      <w:r w:rsidRPr="00644D38">
        <w:rPr>
          <w:color w:val="000000"/>
        </w:rPr>
        <w:t>However during the course of our formal and informal consultations with government counterparts and IFPRI, we concluded that the pro</w:t>
      </w:r>
      <w:r w:rsidR="0053415B" w:rsidRPr="00644D38">
        <w:rPr>
          <w:color w:val="000000"/>
        </w:rPr>
        <w:t>ject ought to be implemented in</w:t>
      </w:r>
      <w:r w:rsidRPr="00644D38">
        <w:rPr>
          <w:color w:val="000000"/>
        </w:rPr>
        <w:t xml:space="preserve"> three distinct phases as outlined below. </w:t>
      </w:r>
    </w:p>
    <w:p w:rsidR="003C1948" w:rsidRPr="005C4A1D" w:rsidRDefault="003C1948">
      <w:pPr>
        <w:autoSpaceDE w:val="0"/>
        <w:autoSpaceDN w:val="0"/>
        <w:adjustRightInd w:val="0"/>
        <w:jc w:val="both"/>
        <w:rPr>
          <w:color w:val="000000"/>
        </w:rPr>
      </w:pPr>
    </w:p>
    <w:p w:rsidR="00BC0EA2" w:rsidRPr="005C4A1D" w:rsidRDefault="00BC0EA2">
      <w:pPr>
        <w:autoSpaceDE w:val="0"/>
        <w:autoSpaceDN w:val="0"/>
        <w:adjustRightInd w:val="0"/>
        <w:jc w:val="both"/>
        <w:rPr>
          <w:color w:val="000000"/>
          <w:lang w:val="en-US"/>
        </w:rPr>
      </w:pPr>
    </w:p>
    <w:p w:rsidR="00604097" w:rsidRPr="005C4A1D" w:rsidRDefault="00604097">
      <w:pPr>
        <w:autoSpaceDE w:val="0"/>
        <w:autoSpaceDN w:val="0"/>
        <w:adjustRightInd w:val="0"/>
        <w:jc w:val="both"/>
        <w:rPr>
          <w:color w:val="000000"/>
        </w:rPr>
      </w:pPr>
      <w:proofErr w:type="gramStart"/>
      <w:r w:rsidRPr="005C4A1D">
        <w:rPr>
          <w:b/>
          <w:color w:val="000000"/>
        </w:rPr>
        <w:t>PHASE  I</w:t>
      </w:r>
      <w:proofErr w:type="gramEnd"/>
      <w:r w:rsidR="003C1948" w:rsidRPr="005C4A1D">
        <w:rPr>
          <w:color w:val="000000"/>
        </w:rPr>
        <w:t xml:space="preserve">  Building</w:t>
      </w:r>
      <w:r w:rsidRPr="005C4A1D">
        <w:rPr>
          <w:color w:val="000000"/>
        </w:rPr>
        <w:t xml:space="preserve"> the nec</w:t>
      </w:r>
      <w:r w:rsidR="0053415B" w:rsidRPr="005C4A1D">
        <w:rPr>
          <w:color w:val="000000"/>
        </w:rPr>
        <w:t xml:space="preserve">essary institutional requirement </w:t>
      </w:r>
      <w:r w:rsidRPr="005C4A1D">
        <w:rPr>
          <w:color w:val="000000"/>
        </w:rPr>
        <w:t>and formation of suppor</w:t>
      </w:r>
      <w:r w:rsidR="003C1948" w:rsidRPr="005C4A1D">
        <w:rPr>
          <w:color w:val="000000"/>
        </w:rPr>
        <w:t xml:space="preserve">ting organizational structures within </w:t>
      </w:r>
      <w:r w:rsidR="0053415B" w:rsidRPr="005C4A1D">
        <w:rPr>
          <w:color w:val="000000"/>
        </w:rPr>
        <w:t>the existing government bodies.</w:t>
      </w:r>
    </w:p>
    <w:p w:rsidR="00604097" w:rsidRPr="005C4A1D" w:rsidRDefault="00604097">
      <w:pPr>
        <w:autoSpaceDE w:val="0"/>
        <w:autoSpaceDN w:val="0"/>
        <w:adjustRightInd w:val="0"/>
        <w:jc w:val="both"/>
        <w:rPr>
          <w:color w:val="000000"/>
        </w:rPr>
      </w:pPr>
    </w:p>
    <w:p w:rsidR="00604097" w:rsidRPr="005C4A1D" w:rsidRDefault="00604097">
      <w:pPr>
        <w:autoSpaceDE w:val="0"/>
        <w:autoSpaceDN w:val="0"/>
        <w:adjustRightInd w:val="0"/>
        <w:jc w:val="both"/>
        <w:rPr>
          <w:color w:val="000000"/>
        </w:rPr>
      </w:pPr>
      <w:r w:rsidRPr="005C4A1D">
        <w:rPr>
          <w:b/>
          <w:color w:val="000000"/>
        </w:rPr>
        <w:t>PHASE II</w:t>
      </w:r>
      <w:r w:rsidRPr="005C4A1D">
        <w:rPr>
          <w:color w:val="000000"/>
        </w:rPr>
        <w:t xml:space="preserve"> </w:t>
      </w:r>
      <w:proofErr w:type="gramStart"/>
      <w:r w:rsidRPr="005C4A1D">
        <w:rPr>
          <w:color w:val="000000"/>
        </w:rPr>
        <w:t>Operationalization  of</w:t>
      </w:r>
      <w:proofErr w:type="gramEnd"/>
      <w:r w:rsidRPr="005C4A1D">
        <w:rPr>
          <w:color w:val="000000"/>
        </w:rPr>
        <w:t xml:space="preserve">  those  organizational structures   through  a  small-scale  pilot </w:t>
      </w:r>
      <w:r w:rsidR="00DE39AE" w:rsidRPr="005C4A1D">
        <w:rPr>
          <w:color w:val="000000"/>
        </w:rPr>
        <w:t>grain reserve jointly managed  by</w:t>
      </w:r>
      <w:r w:rsidRPr="005C4A1D">
        <w:rPr>
          <w:color w:val="000000"/>
        </w:rPr>
        <w:t xml:space="preserve"> WFP  and  the Government of South Sudan</w:t>
      </w:r>
      <w:r w:rsidR="0053415B" w:rsidRPr="005C4A1D">
        <w:rPr>
          <w:color w:val="000000"/>
        </w:rPr>
        <w:t>.</w:t>
      </w:r>
    </w:p>
    <w:p w:rsidR="00604097" w:rsidRPr="005C4A1D" w:rsidRDefault="00604097">
      <w:pPr>
        <w:autoSpaceDE w:val="0"/>
        <w:autoSpaceDN w:val="0"/>
        <w:adjustRightInd w:val="0"/>
        <w:jc w:val="both"/>
        <w:rPr>
          <w:color w:val="000000"/>
        </w:rPr>
      </w:pPr>
    </w:p>
    <w:p w:rsidR="00604097" w:rsidRPr="005C4A1D" w:rsidRDefault="00604097">
      <w:pPr>
        <w:autoSpaceDE w:val="0"/>
        <w:autoSpaceDN w:val="0"/>
        <w:adjustRightInd w:val="0"/>
        <w:jc w:val="both"/>
        <w:rPr>
          <w:color w:val="000000"/>
        </w:rPr>
      </w:pPr>
      <w:proofErr w:type="gramStart"/>
      <w:r w:rsidRPr="005C4A1D">
        <w:rPr>
          <w:b/>
          <w:color w:val="000000"/>
        </w:rPr>
        <w:t>PHASE  III</w:t>
      </w:r>
      <w:proofErr w:type="gramEnd"/>
      <w:r w:rsidRPr="005C4A1D">
        <w:rPr>
          <w:color w:val="000000"/>
        </w:rPr>
        <w:t xml:space="preserve">  Implementing the project at scale</w:t>
      </w:r>
      <w:r w:rsidR="003C1948" w:rsidRPr="005C4A1D">
        <w:rPr>
          <w:color w:val="000000"/>
        </w:rPr>
        <w:t>,</w:t>
      </w:r>
      <w:r w:rsidRPr="005C4A1D">
        <w:rPr>
          <w:color w:val="000000"/>
        </w:rPr>
        <w:t xml:space="preserve"> </w:t>
      </w:r>
      <w:r w:rsidR="00DE39AE" w:rsidRPr="005C4A1D">
        <w:rPr>
          <w:color w:val="000000"/>
        </w:rPr>
        <w:t>including construction of additional warehouses</w:t>
      </w:r>
      <w:r w:rsidR="003C1948" w:rsidRPr="005C4A1D">
        <w:rPr>
          <w:color w:val="000000"/>
        </w:rPr>
        <w:t>,</w:t>
      </w:r>
      <w:r w:rsidR="00DE39AE" w:rsidRPr="005C4A1D">
        <w:rPr>
          <w:color w:val="000000"/>
        </w:rPr>
        <w:t xml:space="preserve"> </w:t>
      </w:r>
      <w:r w:rsidRPr="005C4A1D">
        <w:rPr>
          <w:color w:val="000000"/>
        </w:rPr>
        <w:t>and finalizing the handover</w:t>
      </w:r>
    </w:p>
    <w:p w:rsidR="00680D7E" w:rsidRPr="005C4A1D" w:rsidRDefault="00680D7E">
      <w:pPr>
        <w:jc w:val="both"/>
        <w:rPr>
          <w:lang w:val="en-US"/>
        </w:rPr>
      </w:pPr>
    </w:p>
    <w:p w:rsidR="00B00953" w:rsidRPr="005C4A1D" w:rsidRDefault="00B00953">
      <w:pPr>
        <w:jc w:val="both"/>
        <w:rPr>
          <w:lang w:val="en-US"/>
        </w:rPr>
      </w:pPr>
      <w:r w:rsidRPr="005C4A1D">
        <w:rPr>
          <w:lang w:val="en-US"/>
        </w:rPr>
        <w:t xml:space="preserve">World Food program with support from International Food Policy Research institute (IFPRI) will develop </w:t>
      </w:r>
      <w:r w:rsidR="00DE39AE" w:rsidRPr="005C4A1D">
        <w:rPr>
          <w:lang w:val="en-US"/>
        </w:rPr>
        <w:t>rigorous</w:t>
      </w:r>
      <w:r w:rsidRPr="005C4A1D">
        <w:rPr>
          <w:lang w:val="en-US"/>
        </w:rPr>
        <w:t xml:space="preserve"> monitoring and evaluation system</w:t>
      </w:r>
      <w:r w:rsidR="00DE39AE" w:rsidRPr="005C4A1D">
        <w:rPr>
          <w:lang w:val="en-US"/>
        </w:rPr>
        <w:t>s</w:t>
      </w:r>
      <w:r w:rsidRPr="005C4A1D">
        <w:rPr>
          <w:lang w:val="en-US"/>
        </w:rPr>
        <w:t xml:space="preserve">. </w:t>
      </w:r>
      <w:r w:rsidR="00996F06" w:rsidRPr="005C4A1D">
        <w:rPr>
          <w:lang w:val="en-US"/>
        </w:rPr>
        <w:t>Preparation</w:t>
      </w:r>
      <w:r w:rsidRPr="005C4A1D">
        <w:rPr>
          <w:lang w:val="en-US"/>
        </w:rPr>
        <w:t xml:space="preserve"> is underway to develop the </w:t>
      </w:r>
      <w:r w:rsidR="00996F06" w:rsidRPr="005C4A1D">
        <w:rPr>
          <w:lang w:val="en-US"/>
        </w:rPr>
        <w:t>instruments</w:t>
      </w:r>
      <w:r w:rsidRPr="005C4A1D">
        <w:rPr>
          <w:lang w:val="en-US"/>
        </w:rPr>
        <w:t xml:space="preserve"> that will be used to collect </w:t>
      </w:r>
      <w:r w:rsidR="00996F06" w:rsidRPr="005C4A1D">
        <w:rPr>
          <w:lang w:val="en-US"/>
        </w:rPr>
        <w:t xml:space="preserve">outputs, outcomes and goals that will feed into the evaluation system. This will be followed by focus group discussion and eventually a baseline survey which will provide data to measure the performance of the project. </w:t>
      </w:r>
    </w:p>
    <w:p w:rsidR="00B00953" w:rsidRPr="005C4A1D" w:rsidRDefault="00B00953">
      <w:pPr>
        <w:jc w:val="both"/>
        <w:rPr>
          <w:lang w:val="en-US"/>
        </w:rPr>
      </w:pPr>
    </w:p>
    <w:p w:rsidR="00024E63" w:rsidRPr="005C4A1D" w:rsidRDefault="00024E63">
      <w:pPr>
        <w:jc w:val="both"/>
        <w:rPr>
          <w:lang w:val="en-US"/>
        </w:rPr>
      </w:pPr>
      <w:r w:rsidRPr="005C4A1D">
        <w:rPr>
          <w:lang w:val="en-US"/>
        </w:rPr>
        <w:t xml:space="preserve">Three levels of M&amp;E </w:t>
      </w:r>
      <w:r w:rsidR="002758F3" w:rsidRPr="005C4A1D">
        <w:rPr>
          <w:lang w:val="en-US"/>
        </w:rPr>
        <w:t>have</w:t>
      </w:r>
      <w:r w:rsidRPr="005C4A1D">
        <w:rPr>
          <w:lang w:val="en-US"/>
        </w:rPr>
        <w:t xml:space="preserve"> been identified. </w:t>
      </w:r>
    </w:p>
    <w:p w:rsidR="00024E63" w:rsidRPr="005C4A1D" w:rsidRDefault="00024E63">
      <w:pPr>
        <w:jc w:val="both"/>
        <w:rPr>
          <w:lang w:val="en-US"/>
        </w:rPr>
      </w:pPr>
    </w:p>
    <w:p w:rsidR="00024E63" w:rsidRPr="005C4A1D" w:rsidRDefault="00024E63">
      <w:pPr>
        <w:pStyle w:val="ListParagraph"/>
        <w:numPr>
          <w:ilvl w:val="0"/>
          <w:numId w:val="35"/>
        </w:numPr>
        <w:jc w:val="both"/>
        <w:rPr>
          <w:lang w:val="en-US"/>
        </w:rPr>
      </w:pPr>
      <w:r w:rsidRPr="005C4A1D">
        <w:rPr>
          <w:lang w:val="en-US"/>
        </w:rPr>
        <w:t xml:space="preserve">Monitoring and </w:t>
      </w:r>
      <w:r w:rsidR="002758F3" w:rsidRPr="005C4A1D">
        <w:rPr>
          <w:lang w:val="en-US"/>
        </w:rPr>
        <w:t>evaluati</w:t>
      </w:r>
      <w:r w:rsidR="007804E8" w:rsidRPr="005C4A1D">
        <w:rPr>
          <w:lang w:val="en-US"/>
        </w:rPr>
        <w:t>ng</w:t>
      </w:r>
      <w:r w:rsidRPr="005C4A1D">
        <w:rPr>
          <w:lang w:val="en-US"/>
        </w:rPr>
        <w:t xml:space="preserve"> the </w:t>
      </w:r>
      <w:r w:rsidR="002758F3" w:rsidRPr="005C4A1D">
        <w:rPr>
          <w:lang w:val="en-US"/>
        </w:rPr>
        <w:t>special operation</w:t>
      </w:r>
      <w:r w:rsidR="007804E8" w:rsidRPr="005C4A1D">
        <w:rPr>
          <w:lang w:val="en-US"/>
        </w:rPr>
        <w:t xml:space="preserve"> implementation progress</w:t>
      </w:r>
      <w:r w:rsidR="002758F3" w:rsidRPr="005C4A1D">
        <w:rPr>
          <w:lang w:val="en-US"/>
        </w:rPr>
        <w:t xml:space="preserve">. </w:t>
      </w:r>
    </w:p>
    <w:p w:rsidR="002758F3" w:rsidRPr="005C4A1D" w:rsidRDefault="002758F3">
      <w:pPr>
        <w:pStyle w:val="ListParagraph"/>
        <w:numPr>
          <w:ilvl w:val="0"/>
          <w:numId w:val="35"/>
        </w:numPr>
        <w:jc w:val="both"/>
        <w:rPr>
          <w:lang w:val="en-US"/>
        </w:rPr>
      </w:pPr>
      <w:r w:rsidRPr="005C4A1D">
        <w:rPr>
          <w:lang w:val="en-US"/>
        </w:rPr>
        <w:t>Monitoring and evaluating the objectives set in the logical framework and implementation strategy</w:t>
      </w:r>
    </w:p>
    <w:p w:rsidR="002758F3" w:rsidRPr="005C4A1D" w:rsidRDefault="002758F3">
      <w:pPr>
        <w:pStyle w:val="ListParagraph"/>
        <w:numPr>
          <w:ilvl w:val="0"/>
          <w:numId w:val="35"/>
        </w:numPr>
        <w:jc w:val="both"/>
        <w:rPr>
          <w:lang w:val="en-US"/>
        </w:rPr>
      </w:pPr>
      <w:r w:rsidRPr="005C4A1D">
        <w:rPr>
          <w:lang w:val="en-US"/>
        </w:rPr>
        <w:t>Monitoring and evaluating the operational procedures and book keeping</w:t>
      </w:r>
      <w:r w:rsidR="007804E8" w:rsidRPr="005C4A1D">
        <w:rPr>
          <w:lang w:val="en-US"/>
        </w:rPr>
        <w:t xml:space="preserve"> during the execution of the project</w:t>
      </w:r>
      <w:r w:rsidRPr="005C4A1D">
        <w:rPr>
          <w:lang w:val="en-US"/>
        </w:rPr>
        <w:t xml:space="preserve">. </w:t>
      </w:r>
    </w:p>
    <w:p w:rsidR="002758F3" w:rsidRPr="005C4A1D" w:rsidRDefault="002758F3">
      <w:pPr>
        <w:jc w:val="both"/>
        <w:rPr>
          <w:lang w:val="en-US"/>
        </w:rPr>
      </w:pPr>
    </w:p>
    <w:p w:rsidR="00567FA8" w:rsidRPr="005C4A1D" w:rsidRDefault="00567FA8">
      <w:pPr>
        <w:jc w:val="both"/>
        <w:rPr>
          <w:lang w:val="en-US"/>
        </w:rPr>
      </w:pPr>
    </w:p>
    <w:p w:rsidR="00CF076E" w:rsidRPr="005C4A1D" w:rsidRDefault="00CF076E" w:rsidP="00644D38">
      <w:pPr>
        <w:pStyle w:val="Heading1"/>
        <w:numPr>
          <w:ilvl w:val="0"/>
          <w:numId w:val="30"/>
        </w:numPr>
        <w:tabs>
          <w:tab w:val="left" w:pos="360"/>
        </w:tabs>
        <w:rPr>
          <w:rFonts w:ascii="Times New Roman" w:hAnsi="Times New Roman"/>
          <w:sz w:val="24"/>
          <w:szCs w:val="24"/>
        </w:rPr>
      </w:pPr>
      <w:bookmarkStart w:id="2" w:name="_Toc249364486"/>
      <w:r w:rsidRPr="005C4A1D">
        <w:rPr>
          <w:rFonts w:ascii="Times New Roman" w:hAnsi="Times New Roman"/>
          <w:sz w:val="24"/>
          <w:szCs w:val="24"/>
        </w:rPr>
        <w:t>Results</w:t>
      </w:r>
      <w:bookmarkEnd w:id="2"/>
      <w:r w:rsidRPr="005C4A1D">
        <w:rPr>
          <w:rFonts w:ascii="Times New Roman" w:hAnsi="Times New Roman"/>
          <w:sz w:val="24"/>
          <w:szCs w:val="24"/>
        </w:rPr>
        <w:t xml:space="preserve"> </w:t>
      </w:r>
    </w:p>
    <w:p w:rsidR="005E6C9A" w:rsidRPr="005C4A1D" w:rsidRDefault="005E6C9A" w:rsidP="00644D38">
      <w:pPr>
        <w:jc w:val="both"/>
      </w:pPr>
    </w:p>
    <w:p w:rsidR="005E6C9A" w:rsidRPr="005C4A1D" w:rsidRDefault="00A31F84">
      <w:pPr>
        <w:autoSpaceDE w:val="0"/>
        <w:autoSpaceDN w:val="0"/>
        <w:adjustRightInd w:val="0"/>
        <w:jc w:val="both"/>
        <w:rPr>
          <w:color w:val="000000" w:themeColor="text1"/>
        </w:rPr>
      </w:pPr>
      <w:r w:rsidRPr="005C4A1D">
        <w:rPr>
          <w:color w:val="000000"/>
        </w:rPr>
        <w:t>T</w:t>
      </w:r>
      <w:r w:rsidR="005E6C9A" w:rsidRPr="005C4A1D">
        <w:rPr>
          <w:color w:val="000000"/>
        </w:rPr>
        <w:t xml:space="preserve">he launch of the </w:t>
      </w:r>
      <w:r w:rsidR="005E6C9A" w:rsidRPr="005C4A1D">
        <w:rPr>
          <w:color w:val="000000" w:themeColor="text1"/>
        </w:rPr>
        <w:t>project coincided with the declaration of South Sudan as the world’s newest nation and this, naturally focused the Government’s attention on some of its more immediate state-building priorities. At the same time WFP also had to concentrate a lot of its effort and attention on standing up its Juba office to a fully-fledged Country Office.</w:t>
      </w:r>
      <w:r w:rsidRPr="005C4A1D">
        <w:rPr>
          <w:color w:val="000000" w:themeColor="text1"/>
        </w:rPr>
        <w:t xml:space="preserve"> </w:t>
      </w:r>
      <w:r w:rsidR="009E0D88" w:rsidRPr="005C4A1D">
        <w:rPr>
          <w:color w:val="000000" w:themeColor="text1"/>
        </w:rPr>
        <w:t xml:space="preserve">These factors led to a delay of several months in starting the project. </w:t>
      </w:r>
    </w:p>
    <w:p w:rsidR="005E6C9A" w:rsidRPr="005C4A1D" w:rsidRDefault="005E6C9A" w:rsidP="00644D38">
      <w:pPr>
        <w:jc w:val="both"/>
      </w:pPr>
    </w:p>
    <w:p w:rsidR="00CF076E" w:rsidRPr="005C4A1D" w:rsidRDefault="00CF076E" w:rsidP="00644D38">
      <w:pPr>
        <w:jc w:val="both"/>
        <w:rPr>
          <w:lang w:val="it-IT"/>
        </w:rPr>
      </w:pPr>
    </w:p>
    <w:p w:rsidR="00C50F0C" w:rsidRPr="005C4A1D" w:rsidRDefault="00563F3F">
      <w:pPr>
        <w:jc w:val="both"/>
        <w:rPr>
          <w:color w:val="000000"/>
        </w:rPr>
      </w:pPr>
      <w:r w:rsidRPr="005C4A1D">
        <w:rPr>
          <w:lang w:val="en-US"/>
        </w:rPr>
        <w:t>Recognizing the importance of national ownership for the sustainability of the project, WFP has sought commitment in the form of fiscal and human resources from the Government.</w:t>
      </w:r>
      <w:r w:rsidR="00C50F0C" w:rsidRPr="005C4A1D">
        <w:rPr>
          <w:lang w:val="en-US"/>
        </w:rPr>
        <w:t xml:space="preserve"> To this effect a consultative meeting was organized. </w:t>
      </w:r>
      <w:r w:rsidR="00C50F0C" w:rsidRPr="005C4A1D">
        <w:t xml:space="preserve">The consultative meeting was attended by the Minister of Agriculture and Forestry, the Minister of Humanitarian Affairs and Disaster Management, the Deputy Governor of the Commercial Bank of South Sudan, and senior representatives of other Government Ministries of the Government of South Sudan. The meeting resulted in the formation of a Technical Working Group with the goal to develop a comprehensive framework for the conception and implementation of the SGR and to prepare a draft proclamation outlining the commitment of the Government of South Sudan to establish a SGR. </w:t>
      </w:r>
    </w:p>
    <w:p w:rsidR="00C50F0C" w:rsidRPr="005C4A1D" w:rsidRDefault="00C50F0C">
      <w:pPr>
        <w:autoSpaceDE w:val="0"/>
        <w:autoSpaceDN w:val="0"/>
        <w:adjustRightInd w:val="0"/>
        <w:spacing w:after="240"/>
        <w:jc w:val="both"/>
        <w:rPr>
          <w:color w:val="000000"/>
        </w:rPr>
      </w:pPr>
    </w:p>
    <w:p w:rsidR="00CF01A5" w:rsidRPr="005C4A1D" w:rsidRDefault="00C50F0C">
      <w:pPr>
        <w:autoSpaceDE w:val="0"/>
        <w:autoSpaceDN w:val="0"/>
        <w:adjustRightInd w:val="0"/>
        <w:jc w:val="both"/>
        <w:rPr>
          <w:bCs/>
        </w:rPr>
      </w:pPr>
      <w:r w:rsidRPr="005C4A1D">
        <w:rPr>
          <w:bCs/>
        </w:rPr>
        <w:lastRenderedPageBreak/>
        <w:t xml:space="preserve">WFP </w:t>
      </w:r>
      <w:r w:rsidR="00296A38" w:rsidRPr="005C4A1D">
        <w:rPr>
          <w:bCs/>
        </w:rPr>
        <w:t xml:space="preserve">and IFPRI have concluded global collaboration agreement in early 2012. This has provided the SGR project with technical analyses and policy development. The IFPRI team has done </w:t>
      </w:r>
      <w:r w:rsidR="00722839" w:rsidRPr="005C4A1D">
        <w:rPr>
          <w:bCs/>
        </w:rPr>
        <w:t>two mission</w:t>
      </w:r>
      <w:r w:rsidR="00296A38" w:rsidRPr="005C4A1D">
        <w:rPr>
          <w:bCs/>
        </w:rPr>
        <w:t>s</w:t>
      </w:r>
      <w:r w:rsidR="00722839" w:rsidRPr="005C4A1D">
        <w:rPr>
          <w:bCs/>
        </w:rPr>
        <w:t xml:space="preserve"> </w:t>
      </w:r>
      <w:r w:rsidR="00CF01A5" w:rsidRPr="005C4A1D">
        <w:rPr>
          <w:bCs/>
        </w:rPr>
        <w:t xml:space="preserve">to South Sudan </w:t>
      </w:r>
      <w:r w:rsidR="00296A38" w:rsidRPr="005C4A1D">
        <w:rPr>
          <w:bCs/>
        </w:rPr>
        <w:t xml:space="preserve">to support WFP in project implementation. </w:t>
      </w:r>
    </w:p>
    <w:p w:rsidR="00CF01A5" w:rsidRPr="005C4A1D" w:rsidRDefault="00CF01A5">
      <w:pPr>
        <w:autoSpaceDE w:val="0"/>
        <w:autoSpaceDN w:val="0"/>
        <w:adjustRightInd w:val="0"/>
        <w:jc w:val="both"/>
        <w:rPr>
          <w:color w:val="000000"/>
        </w:rPr>
      </w:pPr>
    </w:p>
    <w:p w:rsidR="00C36657" w:rsidRPr="005C4A1D" w:rsidRDefault="00C50F0C" w:rsidP="00644D38">
      <w:pPr>
        <w:pStyle w:val="Heading1"/>
        <w:numPr>
          <w:ilvl w:val="0"/>
          <w:numId w:val="31"/>
        </w:numPr>
        <w:tabs>
          <w:tab w:val="left" w:pos="360"/>
        </w:tabs>
        <w:rPr>
          <w:rFonts w:ascii="Times New Roman" w:hAnsi="Times New Roman"/>
          <w:sz w:val="24"/>
          <w:szCs w:val="24"/>
          <w:lang w:val="en-US"/>
        </w:rPr>
      </w:pPr>
      <w:bookmarkStart w:id="3" w:name="_Toc249364487"/>
      <w:r w:rsidRPr="005C4A1D">
        <w:rPr>
          <w:rFonts w:ascii="Times New Roman" w:hAnsi="Times New Roman"/>
          <w:sz w:val="24"/>
          <w:szCs w:val="24"/>
        </w:rPr>
        <w:t>Fu</w:t>
      </w:r>
      <w:r w:rsidR="00C36657" w:rsidRPr="005C4A1D">
        <w:rPr>
          <w:rFonts w:ascii="Times New Roman" w:hAnsi="Times New Roman"/>
          <w:sz w:val="24"/>
          <w:szCs w:val="24"/>
        </w:rPr>
        <w:t>ture Work Plan (if applicable)</w:t>
      </w:r>
      <w:bookmarkEnd w:id="3"/>
    </w:p>
    <w:p w:rsidR="00C36657" w:rsidRPr="005C4A1D" w:rsidRDefault="00C36657" w:rsidP="00644D38">
      <w:pPr>
        <w:jc w:val="both"/>
        <w:rPr>
          <w:lang w:val="en-US"/>
        </w:rPr>
      </w:pPr>
    </w:p>
    <w:p w:rsidR="00BB0A13" w:rsidRPr="005C4A1D" w:rsidRDefault="00C36657">
      <w:pPr>
        <w:pStyle w:val="BodyText"/>
        <w:tabs>
          <w:tab w:val="left" w:pos="360"/>
        </w:tabs>
        <w:jc w:val="both"/>
        <w:rPr>
          <w:rFonts w:ascii="Times New Roman" w:hAnsi="Times New Roman" w:cs="Times New Roman"/>
          <w:bCs/>
          <w:sz w:val="24"/>
          <w:szCs w:val="24"/>
        </w:rPr>
      </w:pPr>
      <w:r w:rsidRPr="005C4A1D">
        <w:rPr>
          <w:rFonts w:ascii="Times New Roman" w:hAnsi="Times New Roman" w:cs="Times New Roman"/>
          <w:bCs/>
          <w:sz w:val="24"/>
          <w:szCs w:val="24"/>
        </w:rPr>
        <w:t>Some key milestones that WFP will achieve in 2012 are:</w:t>
      </w:r>
    </w:p>
    <w:p w:rsidR="00C36657" w:rsidRPr="005C4A1D" w:rsidRDefault="00C36657">
      <w:pPr>
        <w:pStyle w:val="BodyText"/>
        <w:tabs>
          <w:tab w:val="left" w:pos="360"/>
        </w:tabs>
        <w:jc w:val="both"/>
        <w:rPr>
          <w:rFonts w:ascii="Times New Roman" w:hAnsi="Times New Roman" w:cs="Times New Roman"/>
          <w:bCs/>
          <w:sz w:val="24"/>
          <w:szCs w:val="24"/>
        </w:rPr>
      </w:pPr>
    </w:p>
    <w:p w:rsidR="00C36657" w:rsidRPr="005C4A1D" w:rsidRDefault="00D4230F">
      <w:pPr>
        <w:pStyle w:val="BodyText"/>
        <w:numPr>
          <w:ilvl w:val="0"/>
          <w:numId w:val="32"/>
        </w:numPr>
        <w:tabs>
          <w:tab w:val="left" w:pos="360"/>
        </w:tabs>
        <w:jc w:val="both"/>
        <w:rPr>
          <w:rFonts w:ascii="Times New Roman" w:hAnsi="Times New Roman" w:cs="Times New Roman"/>
          <w:bCs/>
          <w:sz w:val="24"/>
          <w:szCs w:val="24"/>
        </w:rPr>
      </w:pPr>
      <w:r w:rsidRPr="005C4A1D">
        <w:rPr>
          <w:rFonts w:ascii="Times New Roman" w:hAnsi="Times New Roman" w:cs="Times New Roman"/>
          <w:bCs/>
          <w:sz w:val="24"/>
          <w:szCs w:val="24"/>
        </w:rPr>
        <w:t>T</w:t>
      </w:r>
      <w:r w:rsidR="00296A38" w:rsidRPr="005C4A1D">
        <w:rPr>
          <w:rFonts w:ascii="Times New Roman" w:hAnsi="Times New Roman" w:cs="Times New Roman"/>
          <w:bCs/>
          <w:sz w:val="24"/>
          <w:szCs w:val="24"/>
        </w:rPr>
        <w:t xml:space="preserve">he Government of South Sudan will </w:t>
      </w:r>
      <w:r w:rsidRPr="005C4A1D">
        <w:rPr>
          <w:rFonts w:ascii="Times New Roman" w:hAnsi="Times New Roman" w:cs="Times New Roman"/>
          <w:bCs/>
          <w:sz w:val="24"/>
          <w:szCs w:val="24"/>
        </w:rPr>
        <w:t xml:space="preserve">make a </w:t>
      </w:r>
      <w:r w:rsidR="00680D7E" w:rsidRPr="005C4A1D">
        <w:rPr>
          <w:rFonts w:ascii="Times New Roman" w:hAnsi="Times New Roman" w:cs="Times New Roman"/>
          <w:bCs/>
          <w:sz w:val="24"/>
          <w:szCs w:val="24"/>
        </w:rPr>
        <w:t xml:space="preserve">proclamation for establishing a SGR in South Sudan. </w:t>
      </w:r>
      <w:r w:rsidR="00AE7809" w:rsidRPr="005C4A1D">
        <w:rPr>
          <w:rFonts w:ascii="Times New Roman" w:hAnsi="Times New Roman" w:cs="Times New Roman"/>
          <w:bCs/>
          <w:sz w:val="24"/>
          <w:szCs w:val="24"/>
        </w:rPr>
        <w:t xml:space="preserve">Subsequently WFP and the government of South Sudan will organize a meeting with donors and relevant UN agencies to solicit support. </w:t>
      </w:r>
    </w:p>
    <w:p w:rsidR="00D4230F" w:rsidRPr="005C4A1D" w:rsidRDefault="00AE7809">
      <w:pPr>
        <w:pStyle w:val="BodyText"/>
        <w:numPr>
          <w:ilvl w:val="0"/>
          <w:numId w:val="32"/>
        </w:numPr>
        <w:tabs>
          <w:tab w:val="left" w:pos="360"/>
        </w:tabs>
        <w:jc w:val="both"/>
        <w:rPr>
          <w:rFonts w:ascii="Times New Roman" w:hAnsi="Times New Roman" w:cs="Times New Roman"/>
          <w:bCs/>
          <w:sz w:val="24"/>
          <w:szCs w:val="24"/>
        </w:rPr>
      </w:pPr>
      <w:r w:rsidRPr="005C4A1D">
        <w:rPr>
          <w:rFonts w:ascii="Times New Roman" w:hAnsi="Times New Roman" w:cs="Times New Roman"/>
          <w:bCs/>
          <w:sz w:val="24"/>
          <w:szCs w:val="24"/>
        </w:rPr>
        <w:t xml:space="preserve">The </w:t>
      </w:r>
      <w:r w:rsidR="00854D55" w:rsidRPr="005C4A1D">
        <w:rPr>
          <w:rFonts w:ascii="Times New Roman" w:hAnsi="Times New Roman" w:cs="Times New Roman"/>
          <w:bCs/>
          <w:sz w:val="24"/>
          <w:szCs w:val="24"/>
        </w:rPr>
        <w:t xml:space="preserve">Technical Working Group </w:t>
      </w:r>
      <w:r w:rsidR="00C50F0C" w:rsidRPr="005C4A1D">
        <w:rPr>
          <w:rFonts w:ascii="Times New Roman" w:hAnsi="Times New Roman" w:cs="Times New Roman"/>
          <w:bCs/>
          <w:sz w:val="24"/>
          <w:szCs w:val="24"/>
        </w:rPr>
        <w:t xml:space="preserve">will </w:t>
      </w:r>
      <w:r w:rsidR="00D4230F" w:rsidRPr="005C4A1D">
        <w:rPr>
          <w:rFonts w:ascii="Times New Roman" w:hAnsi="Times New Roman" w:cs="Times New Roman"/>
          <w:bCs/>
          <w:sz w:val="24"/>
          <w:szCs w:val="24"/>
        </w:rPr>
        <w:t xml:space="preserve">start addressing some of the technical pre-conditions for setting up a Strategic Grain Reserve. </w:t>
      </w:r>
      <w:r w:rsidR="00C50F0C" w:rsidRPr="005C4A1D">
        <w:rPr>
          <w:rFonts w:ascii="Times New Roman" w:hAnsi="Times New Roman" w:cs="Times New Roman"/>
          <w:bCs/>
          <w:sz w:val="24"/>
          <w:szCs w:val="24"/>
        </w:rPr>
        <w:t xml:space="preserve">The areas </w:t>
      </w:r>
      <w:r w:rsidR="00D4230F" w:rsidRPr="005C4A1D">
        <w:rPr>
          <w:rFonts w:ascii="Times New Roman" w:hAnsi="Times New Roman" w:cs="Times New Roman"/>
          <w:bCs/>
          <w:sz w:val="24"/>
          <w:szCs w:val="24"/>
        </w:rPr>
        <w:t>that will be worked on are:</w:t>
      </w:r>
    </w:p>
    <w:p w:rsidR="00C50F0C" w:rsidRPr="005C4A1D" w:rsidRDefault="00C50F0C">
      <w:pPr>
        <w:pStyle w:val="BodyText"/>
        <w:tabs>
          <w:tab w:val="left" w:pos="360"/>
        </w:tabs>
        <w:ind w:left="720"/>
        <w:jc w:val="both"/>
        <w:rPr>
          <w:rFonts w:ascii="Times New Roman" w:hAnsi="Times New Roman" w:cs="Times New Roman"/>
          <w:bCs/>
          <w:sz w:val="24"/>
          <w:szCs w:val="24"/>
        </w:rPr>
      </w:pPr>
    </w:p>
    <w:p w:rsidR="00D4230F" w:rsidRPr="005C4A1D" w:rsidRDefault="00AE7809">
      <w:pPr>
        <w:pStyle w:val="BodyText"/>
        <w:numPr>
          <w:ilvl w:val="1"/>
          <w:numId w:val="32"/>
        </w:numPr>
        <w:tabs>
          <w:tab w:val="left" w:pos="360"/>
        </w:tabs>
        <w:jc w:val="both"/>
        <w:rPr>
          <w:rFonts w:ascii="Times New Roman" w:hAnsi="Times New Roman" w:cs="Times New Roman"/>
          <w:bCs/>
          <w:sz w:val="24"/>
          <w:szCs w:val="24"/>
        </w:rPr>
      </w:pPr>
      <w:r w:rsidRPr="005C4A1D">
        <w:rPr>
          <w:rFonts w:ascii="Times New Roman" w:hAnsi="Times New Roman" w:cs="Times New Roman"/>
          <w:bCs/>
          <w:sz w:val="24"/>
          <w:szCs w:val="24"/>
        </w:rPr>
        <w:t>Help the government</w:t>
      </w:r>
      <w:r w:rsidR="00B008C7" w:rsidRPr="005C4A1D">
        <w:rPr>
          <w:rFonts w:ascii="Times New Roman" w:hAnsi="Times New Roman" w:cs="Times New Roman"/>
          <w:bCs/>
          <w:sz w:val="24"/>
          <w:szCs w:val="24"/>
        </w:rPr>
        <w:t xml:space="preserve"> to</w:t>
      </w:r>
      <w:r w:rsidRPr="005C4A1D">
        <w:rPr>
          <w:rFonts w:ascii="Times New Roman" w:hAnsi="Times New Roman" w:cs="Times New Roman"/>
          <w:bCs/>
          <w:sz w:val="24"/>
          <w:szCs w:val="24"/>
        </w:rPr>
        <w:t xml:space="preserve"> establish a </w:t>
      </w:r>
      <w:r w:rsidR="00D4230F" w:rsidRPr="005C4A1D">
        <w:rPr>
          <w:rFonts w:ascii="Times New Roman" w:hAnsi="Times New Roman" w:cs="Times New Roman"/>
          <w:bCs/>
          <w:sz w:val="24"/>
          <w:szCs w:val="24"/>
        </w:rPr>
        <w:t xml:space="preserve">crop forecasting and food security analysis system(s)  </w:t>
      </w:r>
    </w:p>
    <w:p w:rsidR="00D4230F" w:rsidRPr="005C4A1D" w:rsidRDefault="00D4230F">
      <w:pPr>
        <w:pStyle w:val="BodyText"/>
        <w:numPr>
          <w:ilvl w:val="1"/>
          <w:numId w:val="32"/>
        </w:numPr>
        <w:tabs>
          <w:tab w:val="left" w:pos="360"/>
        </w:tabs>
        <w:jc w:val="both"/>
        <w:rPr>
          <w:rFonts w:ascii="Times New Roman" w:hAnsi="Times New Roman" w:cs="Times New Roman"/>
          <w:bCs/>
          <w:sz w:val="24"/>
          <w:szCs w:val="24"/>
        </w:rPr>
      </w:pPr>
      <w:r w:rsidRPr="005C4A1D">
        <w:rPr>
          <w:rFonts w:ascii="Times New Roman" w:hAnsi="Times New Roman" w:cs="Times New Roman"/>
          <w:bCs/>
          <w:sz w:val="24"/>
          <w:szCs w:val="24"/>
        </w:rPr>
        <w:t>Developing an early warning system, including improved weather forecasting</w:t>
      </w:r>
      <w:r w:rsidR="00AE7809" w:rsidRPr="005C4A1D">
        <w:rPr>
          <w:rFonts w:ascii="Times New Roman" w:hAnsi="Times New Roman" w:cs="Times New Roman"/>
          <w:bCs/>
          <w:sz w:val="24"/>
          <w:szCs w:val="24"/>
        </w:rPr>
        <w:t>.</w:t>
      </w:r>
    </w:p>
    <w:p w:rsidR="00D4230F" w:rsidRPr="005C4A1D" w:rsidRDefault="00D4230F">
      <w:pPr>
        <w:pStyle w:val="BodyText"/>
        <w:numPr>
          <w:ilvl w:val="1"/>
          <w:numId w:val="32"/>
        </w:numPr>
        <w:tabs>
          <w:tab w:val="left" w:pos="360"/>
        </w:tabs>
        <w:jc w:val="both"/>
        <w:rPr>
          <w:rFonts w:ascii="Times New Roman" w:hAnsi="Times New Roman" w:cs="Times New Roman"/>
          <w:bCs/>
          <w:sz w:val="24"/>
          <w:szCs w:val="24"/>
        </w:rPr>
      </w:pPr>
      <w:r w:rsidRPr="005C4A1D">
        <w:rPr>
          <w:rFonts w:ascii="Times New Roman" w:hAnsi="Times New Roman" w:cs="Times New Roman"/>
          <w:bCs/>
          <w:sz w:val="24"/>
          <w:szCs w:val="24"/>
        </w:rPr>
        <w:t>Policy setting and guidelines</w:t>
      </w:r>
    </w:p>
    <w:p w:rsidR="00D4230F" w:rsidRPr="005C4A1D" w:rsidRDefault="00D4230F">
      <w:pPr>
        <w:pStyle w:val="BodyText"/>
        <w:numPr>
          <w:ilvl w:val="1"/>
          <w:numId w:val="32"/>
        </w:numPr>
        <w:tabs>
          <w:tab w:val="left" w:pos="360"/>
        </w:tabs>
        <w:jc w:val="both"/>
        <w:rPr>
          <w:rFonts w:ascii="Times New Roman" w:hAnsi="Times New Roman" w:cs="Times New Roman"/>
          <w:bCs/>
          <w:sz w:val="24"/>
          <w:szCs w:val="24"/>
        </w:rPr>
      </w:pPr>
      <w:r w:rsidRPr="005C4A1D">
        <w:rPr>
          <w:rFonts w:ascii="Times New Roman" w:hAnsi="Times New Roman" w:cs="Times New Roman"/>
          <w:bCs/>
          <w:sz w:val="24"/>
          <w:szCs w:val="24"/>
        </w:rPr>
        <w:t>Comprehensive framework for monitoring and evaluation for both the governing body of the Strategic Grain Reserve and the project</w:t>
      </w:r>
    </w:p>
    <w:p w:rsidR="00D4230F" w:rsidRPr="005C4A1D" w:rsidRDefault="00D4230F">
      <w:pPr>
        <w:pStyle w:val="BodyText"/>
        <w:numPr>
          <w:ilvl w:val="1"/>
          <w:numId w:val="32"/>
        </w:numPr>
        <w:tabs>
          <w:tab w:val="left" w:pos="360"/>
        </w:tabs>
        <w:jc w:val="both"/>
        <w:rPr>
          <w:rFonts w:ascii="Times New Roman" w:hAnsi="Times New Roman" w:cs="Times New Roman"/>
          <w:bCs/>
          <w:sz w:val="24"/>
          <w:szCs w:val="24"/>
        </w:rPr>
      </w:pPr>
      <w:r w:rsidRPr="005C4A1D">
        <w:rPr>
          <w:rFonts w:ascii="Times New Roman" w:hAnsi="Times New Roman" w:cs="Times New Roman"/>
          <w:bCs/>
          <w:sz w:val="24"/>
          <w:szCs w:val="24"/>
        </w:rPr>
        <w:t>Drafting of a capacity augmentation plan to ensure success of the project</w:t>
      </w:r>
    </w:p>
    <w:p w:rsidR="00D4230F" w:rsidRPr="005C4A1D" w:rsidRDefault="00D4230F">
      <w:pPr>
        <w:pStyle w:val="BodyText"/>
        <w:tabs>
          <w:tab w:val="left" w:pos="360"/>
        </w:tabs>
        <w:jc w:val="both"/>
        <w:rPr>
          <w:rFonts w:ascii="Times New Roman" w:hAnsi="Times New Roman" w:cs="Times New Roman"/>
          <w:bCs/>
          <w:sz w:val="24"/>
          <w:szCs w:val="24"/>
        </w:rPr>
      </w:pPr>
    </w:p>
    <w:p w:rsidR="003E2E91" w:rsidRPr="005C4A1D" w:rsidRDefault="00AE7809">
      <w:pPr>
        <w:pStyle w:val="BodyText"/>
        <w:numPr>
          <w:ilvl w:val="0"/>
          <w:numId w:val="32"/>
        </w:numPr>
        <w:tabs>
          <w:tab w:val="left" w:pos="360"/>
        </w:tabs>
        <w:jc w:val="both"/>
        <w:rPr>
          <w:rFonts w:ascii="Times New Roman" w:hAnsi="Times New Roman" w:cs="Times New Roman"/>
          <w:bCs/>
          <w:sz w:val="24"/>
          <w:szCs w:val="24"/>
          <w:lang w:val="en-US"/>
        </w:rPr>
      </w:pPr>
      <w:r w:rsidRPr="005C4A1D">
        <w:rPr>
          <w:rFonts w:ascii="Times New Roman" w:hAnsi="Times New Roman" w:cs="Times New Roman"/>
          <w:bCs/>
          <w:sz w:val="24"/>
          <w:szCs w:val="24"/>
        </w:rPr>
        <w:t>The Technical Working G</w:t>
      </w:r>
      <w:r w:rsidR="008E651B" w:rsidRPr="005C4A1D">
        <w:rPr>
          <w:rFonts w:ascii="Times New Roman" w:hAnsi="Times New Roman" w:cs="Times New Roman"/>
          <w:bCs/>
          <w:sz w:val="24"/>
          <w:szCs w:val="24"/>
        </w:rPr>
        <w:t xml:space="preserve">roup </w:t>
      </w:r>
      <w:r w:rsidRPr="005C4A1D">
        <w:rPr>
          <w:rFonts w:ascii="Times New Roman" w:hAnsi="Times New Roman" w:cs="Times New Roman"/>
          <w:bCs/>
          <w:sz w:val="24"/>
          <w:szCs w:val="24"/>
        </w:rPr>
        <w:t>will undertake</w:t>
      </w:r>
      <w:r w:rsidR="008E651B" w:rsidRPr="005C4A1D">
        <w:rPr>
          <w:rFonts w:ascii="Times New Roman" w:hAnsi="Times New Roman" w:cs="Times New Roman"/>
          <w:bCs/>
          <w:sz w:val="24"/>
          <w:szCs w:val="24"/>
        </w:rPr>
        <w:t xml:space="preserve"> the necessary steps to implement the government decree and also to design the SGR framework policy and procedures for its establishment. </w:t>
      </w:r>
      <w:r w:rsidR="00E913BB" w:rsidRPr="005C4A1D">
        <w:rPr>
          <w:rFonts w:ascii="Times New Roman" w:hAnsi="Times New Roman" w:cs="Times New Roman"/>
          <w:bCs/>
          <w:sz w:val="24"/>
          <w:szCs w:val="24"/>
        </w:rPr>
        <w:t xml:space="preserve"> </w:t>
      </w:r>
    </w:p>
    <w:p w:rsidR="00AE7809" w:rsidRPr="005C4A1D" w:rsidRDefault="00AE7809">
      <w:pPr>
        <w:pStyle w:val="BodyText"/>
        <w:tabs>
          <w:tab w:val="left" w:pos="360"/>
        </w:tabs>
        <w:ind w:left="360"/>
        <w:jc w:val="both"/>
        <w:rPr>
          <w:rFonts w:ascii="Times New Roman" w:hAnsi="Times New Roman" w:cs="Times New Roman"/>
          <w:bCs/>
          <w:sz w:val="24"/>
          <w:szCs w:val="24"/>
          <w:lang w:val="en-US"/>
        </w:rPr>
      </w:pPr>
    </w:p>
    <w:p w:rsidR="003E2E91" w:rsidRPr="005C4A1D" w:rsidRDefault="003E2E91">
      <w:pPr>
        <w:pStyle w:val="BodyText"/>
        <w:tabs>
          <w:tab w:val="left" w:pos="360"/>
        </w:tabs>
        <w:ind w:left="360"/>
        <w:jc w:val="both"/>
        <w:rPr>
          <w:rFonts w:ascii="Times New Roman" w:hAnsi="Times New Roman" w:cs="Times New Roman"/>
          <w:bCs/>
          <w:sz w:val="24"/>
          <w:szCs w:val="24"/>
        </w:rPr>
      </w:pPr>
    </w:p>
    <w:p w:rsidR="003E2E91" w:rsidRPr="005C4A1D" w:rsidRDefault="003E2E91">
      <w:pPr>
        <w:pStyle w:val="BodyText"/>
        <w:tabs>
          <w:tab w:val="left" w:pos="360"/>
        </w:tabs>
        <w:jc w:val="both"/>
        <w:rPr>
          <w:rFonts w:ascii="Times New Roman" w:hAnsi="Times New Roman" w:cs="Times New Roman"/>
          <w:color w:val="000000"/>
          <w:sz w:val="24"/>
          <w:szCs w:val="24"/>
        </w:rPr>
      </w:pPr>
      <w:r w:rsidRPr="005C4A1D">
        <w:rPr>
          <w:rFonts w:ascii="Times New Roman" w:hAnsi="Times New Roman" w:cs="Times New Roman"/>
          <w:color w:val="000000"/>
          <w:sz w:val="24"/>
          <w:szCs w:val="24"/>
        </w:rPr>
        <w:t>One of the central pillar of successful handover of SGR to GOSS will be building national capacity -</w:t>
      </w:r>
      <w:r w:rsidR="0018287C" w:rsidRPr="005C4A1D">
        <w:rPr>
          <w:rFonts w:ascii="Times New Roman" w:hAnsi="Times New Roman" w:cs="Times New Roman"/>
          <w:color w:val="000000"/>
          <w:sz w:val="24"/>
          <w:szCs w:val="24"/>
        </w:rPr>
        <w:t>h</w:t>
      </w:r>
      <w:r w:rsidRPr="005C4A1D">
        <w:rPr>
          <w:rFonts w:ascii="Times New Roman" w:hAnsi="Times New Roman" w:cs="Times New Roman"/>
          <w:color w:val="000000"/>
          <w:sz w:val="24"/>
          <w:szCs w:val="24"/>
        </w:rPr>
        <w:t xml:space="preserve">uman and physical capacity- to effectively manage, empirically evaluate and successfully integrate </w:t>
      </w:r>
      <w:r w:rsidR="004D24F6" w:rsidRPr="005C4A1D">
        <w:rPr>
          <w:rFonts w:ascii="Times New Roman" w:hAnsi="Times New Roman" w:cs="Times New Roman"/>
          <w:color w:val="000000"/>
          <w:sz w:val="24"/>
          <w:szCs w:val="24"/>
        </w:rPr>
        <w:t>into nationally owned safety net programmes.</w:t>
      </w:r>
      <w:r w:rsidRPr="005C4A1D">
        <w:rPr>
          <w:rFonts w:ascii="Times New Roman" w:hAnsi="Times New Roman" w:cs="Times New Roman"/>
          <w:color w:val="000000"/>
          <w:sz w:val="24"/>
          <w:szCs w:val="24"/>
        </w:rPr>
        <w:t xml:space="preserve"> </w:t>
      </w:r>
    </w:p>
    <w:p w:rsidR="003E2E91" w:rsidRPr="005C4A1D" w:rsidRDefault="003E2E91">
      <w:pPr>
        <w:autoSpaceDE w:val="0"/>
        <w:autoSpaceDN w:val="0"/>
        <w:adjustRightInd w:val="0"/>
        <w:jc w:val="both"/>
        <w:rPr>
          <w:color w:val="000000"/>
        </w:rPr>
      </w:pPr>
    </w:p>
    <w:p w:rsidR="003E2E91" w:rsidRPr="005C4A1D" w:rsidRDefault="003E2E91">
      <w:pPr>
        <w:autoSpaceDE w:val="0"/>
        <w:autoSpaceDN w:val="0"/>
        <w:adjustRightInd w:val="0"/>
        <w:jc w:val="both"/>
        <w:rPr>
          <w:color w:val="000000"/>
        </w:rPr>
      </w:pPr>
      <w:r w:rsidRPr="005C4A1D">
        <w:rPr>
          <w:color w:val="000000"/>
        </w:rPr>
        <w:t xml:space="preserve">In this regard, WFP will carry out </w:t>
      </w:r>
      <w:r w:rsidR="004D24F6" w:rsidRPr="005C4A1D">
        <w:rPr>
          <w:color w:val="000000"/>
        </w:rPr>
        <w:t xml:space="preserve">a </w:t>
      </w:r>
      <w:r w:rsidRPr="005C4A1D">
        <w:rPr>
          <w:color w:val="000000"/>
        </w:rPr>
        <w:t>series of training and study tour</w:t>
      </w:r>
      <w:r w:rsidR="004D24F6" w:rsidRPr="005C4A1D">
        <w:rPr>
          <w:color w:val="000000"/>
        </w:rPr>
        <w:t xml:space="preserve">s for </w:t>
      </w:r>
      <w:r w:rsidRPr="005C4A1D">
        <w:rPr>
          <w:color w:val="000000"/>
        </w:rPr>
        <w:t xml:space="preserve">GOSS officials in countries with </w:t>
      </w:r>
      <w:r w:rsidR="004D24F6" w:rsidRPr="005C4A1D">
        <w:rPr>
          <w:color w:val="000000"/>
        </w:rPr>
        <w:t>successful SGR and safety net</w:t>
      </w:r>
      <w:r w:rsidRPr="005C4A1D">
        <w:rPr>
          <w:color w:val="000000"/>
        </w:rPr>
        <w:t xml:space="preserve"> programs.  The PBF fund is partly earmarked for this purpose.</w:t>
      </w:r>
    </w:p>
    <w:p w:rsidR="003E2E91" w:rsidRPr="005C4A1D" w:rsidRDefault="003E2E91">
      <w:pPr>
        <w:pStyle w:val="BodyText"/>
        <w:tabs>
          <w:tab w:val="left" w:pos="360"/>
        </w:tabs>
        <w:jc w:val="both"/>
        <w:rPr>
          <w:rFonts w:ascii="Times New Roman" w:hAnsi="Times New Roman" w:cs="Times New Roman"/>
          <w:bCs/>
          <w:sz w:val="24"/>
          <w:szCs w:val="24"/>
        </w:rPr>
      </w:pPr>
    </w:p>
    <w:p w:rsidR="00AE7809" w:rsidRPr="00644D38" w:rsidRDefault="00AE7809" w:rsidP="00644D38">
      <w:pPr>
        <w:autoSpaceDE w:val="0"/>
        <w:autoSpaceDN w:val="0"/>
        <w:adjustRightInd w:val="0"/>
        <w:jc w:val="both"/>
        <w:rPr>
          <w:color w:val="000000"/>
          <w:lang w:val="en-US"/>
        </w:rPr>
      </w:pPr>
      <w:r w:rsidRPr="00644D38">
        <w:rPr>
          <w:color w:val="000000"/>
          <w:lang w:val="en-US"/>
        </w:rPr>
        <w:t>The South Sudan Country Office, in consultation with the Regional Bureau for East and Central Africa and WFP Headquarters will be unde</w:t>
      </w:r>
      <w:r w:rsidR="00F37FBD" w:rsidRPr="00644D38">
        <w:rPr>
          <w:color w:val="000000"/>
          <w:lang w:val="en-US"/>
        </w:rPr>
        <w:t xml:space="preserve">rtaking a review of the initial </w:t>
      </w:r>
      <w:r w:rsidRPr="00644D38">
        <w:rPr>
          <w:color w:val="000000"/>
          <w:lang w:val="en-US"/>
        </w:rPr>
        <w:t>indicat</w:t>
      </w:r>
      <w:r w:rsidR="00F37FBD" w:rsidRPr="00644D38">
        <w:rPr>
          <w:color w:val="000000"/>
          <w:lang w:val="en-US"/>
        </w:rPr>
        <w:t>ors established for this project</w:t>
      </w:r>
      <w:r w:rsidRPr="00644D38">
        <w:rPr>
          <w:color w:val="000000"/>
          <w:lang w:val="en-US"/>
        </w:rPr>
        <w:t>.</w:t>
      </w:r>
    </w:p>
    <w:p w:rsidR="00AE7809" w:rsidRPr="005C4A1D" w:rsidRDefault="00AE7809">
      <w:pPr>
        <w:pStyle w:val="BodyText"/>
        <w:tabs>
          <w:tab w:val="left" w:pos="360"/>
        </w:tabs>
        <w:jc w:val="both"/>
        <w:rPr>
          <w:rFonts w:ascii="Times New Roman" w:hAnsi="Times New Roman" w:cs="Times New Roman"/>
          <w:bCs/>
          <w:sz w:val="24"/>
          <w:szCs w:val="24"/>
        </w:rPr>
      </w:pPr>
    </w:p>
    <w:p w:rsidR="00CA38FE" w:rsidRPr="005C4A1D" w:rsidRDefault="00BD4D2B">
      <w:pPr>
        <w:pStyle w:val="BodyText"/>
        <w:tabs>
          <w:tab w:val="left" w:pos="360"/>
        </w:tabs>
        <w:ind w:left="720"/>
        <w:jc w:val="both"/>
        <w:rPr>
          <w:rFonts w:ascii="Times New Roman" w:hAnsi="Times New Roman" w:cs="Times New Roman"/>
          <w:bCs/>
          <w:sz w:val="24"/>
          <w:szCs w:val="24"/>
        </w:rPr>
      </w:pPr>
      <w:r>
        <w:rPr>
          <w:rFonts w:ascii="Times New Roman" w:hAnsi="Times New Roman" w:cs="Times New Roman"/>
          <w:noProof/>
          <w:sz w:val="24"/>
          <w:szCs w:val="24"/>
        </w:rPr>
        <w:pict w14:anchorId="2C45C5C6">
          <v:shapetype id="_x0000_t202" coordsize="21600,21600" o:spt="202" path="m,l,21600r21600,l21600,xe">
            <v:stroke joinstyle="miter"/>
            <v:path gradientshapeok="t" o:connecttype="rect"/>
          </v:shapetype>
          <v:shape id="_x0000_s1030" type="#_x0000_t202" style="position:absolute;left:0;text-align:left;margin-left:1.65pt;margin-top:2.65pt;width:486pt;height:22.95pt;z-index:251658752" fillcolor="#f2f2f2" strokecolor="#d8d8d8">
            <v:textbox style="mso-next-textbox:#_x0000_s1030">
              <w:txbxContent>
                <w:p w:rsidR="00840C5C" w:rsidRPr="00570355" w:rsidRDefault="00840C5C" w:rsidP="00AC7FD3">
                  <w:pPr>
                    <w:ind w:left="360"/>
                    <w:rPr>
                      <w:b/>
                      <w:sz w:val="21"/>
                      <w:szCs w:val="21"/>
                    </w:rPr>
                  </w:pPr>
                  <w:r w:rsidRPr="00570355">
                    <w:rPr>
                      <w:b/>
                      <w:sz w:val="21"/>
                      <w:szCs w:val="21"/>
                    </w:rPr>
                    <w:t>VI. INDICATOR BASED PERFORMANCE ASSESSMENT</w:t>
                  </w:r>
                </w:p>
              </w:txbxContent>
            </v:textbox>
          </v:shape>
        </w:pict>
      </w:r>
    </w:p>
    <w:p w:rsidR="00AC7FD3" w:rsidRPr="005C4A1D" w:rsidRDefault="00AC7FD3">
      <w:pPr>
        <w:pStyle w:val="BodyText"/>
        <w:tabs>
          <w:tab w:val="left" w:pos="360"/>
        </w:tabs>
        <w:ind w:left="720"/>
        <w:jc w:val="both"/>
        <w:rPr>
          <w:rFonts w:ascii="Times New Roman" w:hAnsi="Times New Roman" w:cs="Times New Roman"/>
          <w:sz w:val="24"/>
          <w:szCs w:val="24"/>
        </w:rPr>
      </w:pPr>
    </w:p>
    <w:p w:rsidR="00AC7FD3" w:rsidRPr="005C4A1D" w:rsidRDefault="00AC7FD3">
      <w:pPr>
        <w:pStyle w:val="BodyText"/>
        <w:tabs>
          <w:tab w:val="left" w:pos="360"/>
        </w:tabs>
        <w:ind w:left="720"/>
        <w:jc w:val="both"/>
        <w:rPr>
          <w:rFonts w:ascii="Times New Roman" w:hAnsi="Times New Roman" w:cs="Times New Roman"/>
          <w:sz w:val="24"/>
          <w:szCs w:val="24"/>
        </w:rPr>
      </w:pPr>
    </w:p>
    <w:tbl>
      <w:tblPr>
        <w:tblW w:w="13140"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549"/>
        <w:gridCol w:w="1176"/>
        <w:gridCol w:w="1176"/>
        <w:gridCol w:w="1176"/>
        <w:gridCol w:w="1954"/>
        <w:gridCol w:w="84"/>
        <w:gridCol w:w="1866"/>
        <w:gridCol w:w="1849"/>
      </w:tblGrid>
      <w:tr w:rsidR="00AC7FD3" w:rsidRPr="005C4A1D" w:rsidTr="00CF01A5">
        <w:tc>
          <w:tcPr>
            <w:tcW w:w="2310" w:type="dxa"/>
          </w:tcPr>
          <w:p w:rsidR="00AC7FD3" w:rsidRPr="005C4A1D" w:rsidRDefault="00AC7FD3" w:rsidP="00644D38">
            <w:pPr>
              <w:jc w:val="both"/>
            </w:pPr>
          </w:p>
        </w:tc>
        <w:tc>
          <w:tcPr>
            <w:tcW w:w="1549" w:type="dxa"/>
          </w:tcPr>
          <w:p w:rsidR="00AC7FD3" w:rsidRPr="005C4A1D" w:rsidRDefault="00AC7FD3" w:rsidP="00644D38">
            <w:pPr>
              <w:jc w:val="both"/>
              <w:rPr>
                <w:b/>
              </w:rPr>
            </w:pPr>
            <w:r w:rsidRPr="005C4A1D">
              <w:rPr>
                <w:b/>
              </w:rPr>
              <w:t>Performance Indicators</w:t>
            </w:r>
          </w:p>
        </w:tc>
        <w:tc>
          <w:tcPr>
            <w:tcW w:w="1176" w:type="dxa"/>
          </w:tcPr>
          <w:p w:rsidR="00AC7FD3" w:rsidRPr="005C4A1D" w:rsidRDefault="00AC7FD3" w:rsidP="00644D38">
            <w:pPr>
              <w:jc w:val="both"/>
              <w:rPr>
                <w:b/>
              </w:rPr>
            </w:pPr>
            <w:r w:rsidRPr="005C4A1D">
              <w:rPr>
                <w:b/>
              </w:rPr>
              <w:t>Indicator Baselines</w:t>
            </w:r>
          </w:p>
        </w:tc>
        <w:tc>
          <w:tcPr>
            <w:tcW w:w="1176" w:type="dxa"/>
          </w:tcPr>
          <w:p w:rsidR="00AC7FD3" w:rsidRPr="005C4A1D" w:rsidRDefault="00AC7FD3" w:rsidP="00644D38">
            <w:pPr>
              <w:jc w:val="both"/>
              <w:rPr>
                <w:b/>
              </w:rPr>
            </w:pPr>
            <w:r w:rsidRPr="005C4A1D">
              <w:rPr>
                <w:b/>
              </w:rPr>
              <w:t>Planned Indicator Targets</w:t>
            </w:r>
          </w:p>
        </w:tc>
        <w:tc>
          <w:tcPr>
            <w:tcW w:w="1176" w:type="dxa"/>
          </w:tcPr>
          <w:p w:rsidR="00AC7FD3" w:rsidRPr="005C4A1D" w:rsidRDefault="00AC7FD3" w:rsidP="00644D38">
            <w:pPr>
              <w:jc w:val="both"/>
              <w:rPr>
                <w:b/>
              </w:rPr>
            </w:pPr>
            <w:r w:rsidRPr="005C4A1D">
              <w:rPr>
                <w:b/>
              </w:rPr>
              <w:t>Achieved Indicator Targets</w:t>
            </w:r>
          </w:p>
        </w:tc>
        <w:tc>
          <w:tcPr>
            <w:tcW w:w="1954" w:type="dxa"/>
          </w:tcPr>
          <w:p w:rsidR="00AC7FD3" w:rsidRPr="005C4A1D" w:rsidRDefault="00AC7FD3" w:rsidP="00644D38">
            <w:pPr>
              <w:jc w:val="both"/>
              <w:rPr>
                <w:b/>
              </w:rPr>
            </w:pPr>
            <w:r w:rsidRPr="005C4A1D">
              <w:rPr>
                <w:b/>
              </w:rPr>
              <w:t>Reasons for Variance</w:t>
            </w:r>
          </w:p>
          <w:p w:rsidR="00AC7FD3" w:rsidRPr="005C4A1D" w:rsidRDefault="00AC7FD3" w:rsidP="00644D38">
            <w:pPr>
              <w:jc w:val="both"/>
              <w:rPr>
                <w:b/>
              </w:rPr>
            </w:pPr>
            <w:r w:rsidRPr="005C4A1D">
              <w:rPr>
                <w:b/>
              </w:rPr>
              <w:t>(if any)</w:t>
            </w:r>
          </w:p>
        </w:tc>
        <w:tc>
          <w:tcPr>
            <w:tcW w:w="1950" w:type="dxa"/>
            <w:gridSpan w:val="2"/>
          </w:tcPr>
          <w:p w:rsidR="00AC7FD3" w:rsidRPr="005C4A1D" w:rsidRDefault="00AC7FD3" w:rsidP="00644D38">
            <w:pPr>
              <w:jc w:val="both"/>
              <w:rPr>
                <w:b/>
              </w:rPr>
            </w:pPr>
            <w:r w:rsidRPr="005C4A1D">
              <w:rPr>
                <w:b/>
              </w:rPr>
              <w:t>Source of Verification</w:t>
            </w:r>
          </w:p>
        </w:tc>
        <w:tc>
          <w:tcPr>
            <w:tcW w:w="1849" w:type="dxa"/>
          </w:tcPr>
          <w:p w:rsidR="00AC7FD3" w:rsidRPr="005C4A1D" w:rsidRDefault="00AC7FD3" w:rsidP="00644D38">
            <w:pPr>
              <w:jc w:val="both"/>
              <w:rPr>
                <w:b/>
              </w:rPr>
            </w:pPr>
            <w:r w:rsidRPr="005C4A1D">
              <w:rPr>
                <w:b/>
              </w:rPr>
              <w:t xml:space="preserve">Comments </w:t>
            </w:r>
          </w:p>
          <w:p w:rsidR="00AC7FD3" w:rsidRPr="005C4A1D" w:rsidRDefault="00AC7FD3" w:rsidP="00644D38">
            <w:pPr>
              <w:jc w:val="both"/>
              <w:rPr>
                <w:b/>
              </w:rPr>
            </w:pPr>
            <w:r w:rsidRPr="005C4A1D">
              <w:rPr>
                <w:b/>
              </w:rPr>
              <w:t>(if any)</w:t>
            </w:r>
          </w:p>
        </w:tc>
      </w:tr>
      <w:tr w:rsidR="00AC7FD3" w:rsidRPr="005C4A1D" w:rsidTr="005C75B9">
        <w:tc>
          <w:tcPr>
            <w:tcW w:w="13140" w:type="dxa"/>
            <w:gridSpan w:val="9"/>
          </w:tcPr>
          <w:p w:rsidR="00AC7FD3" w:rsidRPr="005C4A1D" w:rsidRDefault="00AC7FD3" w:rsidP="00644D38">
            <w:pPr>
              <w:jc w:val="both"/>
              <w:rPr>
                <w:b/>
              </w:rPr>
            </w:pPr>
            <w:r w:rsidRPr="005C4A1D">
              <w:rPr>
                <w:b/>
              </w:rPr>
              <w:t>Outcome 1</w:t>
            </w:r>
            <w:r w:rsidR="00124FA6" w:rsidRPr="005C4A1D">
              <w:rPr>
                <w:rStyle w:val="FootnoteReference"/>
                <w:b/>
              </w:rPr>
              <w:footnoteReference w:id="7"/>
            </w:r>
            <w:r w:rsidR="002C2B33" w:rsidRPr="005C4A1D">
              <w:rPr>
                <w:b/>
              </w:rPr>
              <w:t xml:space="preserve"> </w:t>
            </w:r>
          </w:p>
          <w:p w:rsidR="00AC7FD3" w:rsidRPr="005C4A1D" w:rsidRDefault="00AC7FD3" w:rsidP="00644D38">
            <w:pPr>
              <w:jc w:val="both"/>
            </w:pPr>
          </w:p>
        </w:tc>
      </w:tr>
      <w:tr w:rsidR="00AC7FD3" w:rsidRPr="005C4A1D" w:rsidTr="00CF01A5">
        <w:trPr>
          <w:trHeight w:val="548"/>
        </w:trPr>
        <w:tc>
          <w:tcPr>
            <w:tcW w:w="2310" w:type="dxa"/>
            <w:vMerge w:val="restart"/>
          </w:tcPr>
          <w:p w:rsidR="00AC7FD3" w:rsidRPr="005C4A1D" w:rsidRDefault="00AC7FD3" w:rsidP="00644D38">
            <w:pPr>
              <w:jc w:val="both"/>
              <w:rPr>
                <w:b/>
              </w:rPr>
            </w:pPr>
            <w:r w:rsidRPr="005C4A1D">
              <w:rPr>
                <w:b/>
              </w:rPr>
              <w:t>Output 1.1</w:t>
            </w:r>
          </w:p>
          <w:p w:rsidR="002C2B33" w:rsidRPr="005C4A1D" w:rsidRDefault="002C2B33" w:rsidP="00644D38">
            <w:pPr>
              <w:jc w:val="both"/>
              <w:rPr>
                <w:b/>
              </w:rPr>
            </w:pPr>
            <w:r w:rsidRPr="005C4A1D">
              <w:rPr>
                <w:b/>
              </w:rPr>
              <w:t xml:space="preserve">GOSS proclamation to establish a SRG in South Sudan </w:t>
            </w:r>
          </w:p>
          <w:p w:rsidR="00AC7FD3" w:rsidRPr="005C4A1D" w:rsidRDefault="00AC7FD3" w:rsidP="00644D38">
            <w:pPr>
              <w:jc w:val="both"/>
            </w:pPr>
          </w:p>
        </w:tc>
        <w:tc>
          <w:tcPr>
            <w:tcW w:w="1549" w:type="dxa"/>
          </w:tcPr>
          <w:p w:rsidR="00AC7FD3" w:rsidRPr="005C4A1D" w:rsidRDefault="00AC7FD3">
            <w:pPr>
              <w:jc w:val="both"/>
            </w:pPr>
            <w:r w:rsidRPr="005C4A1D">
              <w:lastRenderedPageBreak/>
              <w:t>Indicator  1.1.1</w:t>
            </w: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512"/>
        </w:trPr>
        <w:tc>
          <w:tcPr>
            <w:tcW w:w="2310" w:type="dxa"/>
            <w:vMerge/>
          </w:tcPr>
          <w:p w:rsidR="00AC7FD3" w:rsidRPr="005C4A1D" w:rsidRDefault="00AC7FD3" w:rsidP="00644D38">
            <w:pPr>
              <w:jc w:val="both"/>
            </w:pPr>
          </w:p>
        </w:tc>
        <w:tc>
          <w:tcPr>
            <w:tcW w:w="1549" w:type="dxa"/>
          </w:tcPr>
          <w:p w:rsidR="00AC7FD3" w:rsidRPr="005C4A1D" w:rsidRDefault="00AC7FD3">
            <w:pPr>
              <w:jc w:val="both"/>
            </w:pPr>
            <w:r w:rsidRPr="005C4A1D">
              <w:t>Indicator 1.1.2</w:t>
            </w: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512"/>
        </w:trPr>
        <w:tc>
          <w:tcPr>
            <w:tcW w:w="2310" w:type="dxa"/>
            <w:vMerge/>
          </w:tcPr>
          <w:p w:rsidR="00AC7FD3" w:rsidRPr="005C4A1D" w:rsidRDefault="00AC7FD3" w:rsidP="00644D38">
            <w:pPr>
              <w:jc w:val="both"/>
            </w:pPr>
          </w:p>
        </w:tc>
        <w:tc>
          <w:tcPr>
            <w:tcW w:w="1549" w:type="dxa"/>
          </w:tcPr>
          <w:p w:rsidR="00AC7FD3" w:rsidRPr="005C4A1D" w:rsidRDefault="00AC7FD3">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440"/>
        </w:trPr>
        <w:tc>
          <w:tcPr>
            <w:tcW w:w="2310" w:type="dxa"/>
            <w:vMerge w:val="restart"/>
          </w:tcPr>
          <w:p w:rsidR="00AC7FD3" w:rsidRPr="005C4A1D" w:rsidRDefault="00AC7FD3" w:rsidP="00644D38">
            <w:pPr>
              <w:jc w:val="both"/>
              <w:rPr>
                <w:b/>
              </w:rPr>
            </w:pPr>
            <w:r w:rsidRPr="005C4A1D">
              <w:rPr>
                <w:b/>
              </w:rPr>
              <w:lastRenderedPageBreak/>
              <w:t>Output 1.2</w:t>
            </w:r>
          </w:p>
          <w:p w:rsidR="00CF01A5" w:rsidRPr="005C4A1D" w:rsidRDefault="00CF01A5" w:rsidP="00644D38">
            <w:pPr>
              <w:jc w:val="both"/>
              <w:rPr>
                <w:b/>
              </w:rPr>
            </w:pPr>
          </w:p>
        </w:tc>
        <w:tc>
          <w:tcPr>
            <w:tcW w:w="1549" w:type="dxa"/>
          </w:tcPr>
          <w:p w:rsidR="00AC7FD3" w:rsidRPr="005C4A1D" w:rsidRDefault="00AC7FD3">
            <w:pPr>
              <w:jc w:val="both"/>
            </w:pPr>
            <w:r w:rsidRPr="005C4A1D">
              <w:t>Indicator  1.2.1</w:t>
            </w: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467"/>
        </w:trPr>
        <w:tc>
          <w:tcPr>
            <w:tcW w:w="2310" w:type="dxa"/>
            <w:vMerge/>
          </w:tcPr>
          <w:p w:rsidR="00AC7FD3" w:rsidRPr="005C4A1D" w:rsidRDefault="00AC7FD3" w:rsidP="00644D38">
            <w:pPr>
              <w:jc w:val="both"/>
            </w:pPr>
          </w:p>
        </w:tc>
        <w:tc>
          <w:tcPr>
            <w:tcW w:w="1549" w:type="dxa"/>
          </w:tcPr>
          <w:p w:rsidR="00AC7FD3" w:rsidRPr="005C4A1D" w:rsidRDefault="00AC7FD3">
            <w:pPr>
              <w:jc w:val="both"/>
            </w:pPr>
            <w:r w:rsidRPr="005C4A1D">
              <w:t>Indicator 1.2.2</w:t>
            </w: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530"/>
        </w:trPr>
        <w:tc>
          <w:tcPr>
            <w:tcW w:w="2310" w:type="dxa"/>
            <w:vMerge/>
          </w:tcPr>
          <w:p w:rsidR="00AC7FD3" w:rsidRPr="005C4A1D" w:rsidRDefault="00AC7FD3" w:rsidP="00644D38">
            <w:pPr>
              <w:jc w:val="both"/>
            </w:pPr>
          </w:p>
        </w:tc>
        <w:tc>
          <w:tcPr>
            <w:tcW w:w="1549"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5C75B9">
        <w:tc>
          <w:tcPr>
            <w:tcW w:w="13140" w:type="dxa"/>
            <w:gridSpan w:val="9"/>
          </w:tcPr>
          <w:p w:rsidR="00AC7FD3" w:rsidRPr="005C4A1D" w:rsidRDefault="00AC7FD3" w:rsidP="00644D38">
            <w:pPr>
              <w:jc w:val="both"/>
              <w:rPr>
                <w:b/>
              </w:rPr>
            </w:pPr>
            <w:r w:rsidRPr="005C4A1D">
              <w:rPr>
                <w:b/>
              </w:rPr>
              <w:t>Outcome 2</w:t>
            </w:r>
            <w:r w:rsidR="00CF01A5" w:rsidRPr="005C4A1D">
              <w:rPr>
                <w:b/>
              </w:rPr>
              <w:t xml:space="preserve"> </w:t>
            </w:r>
          </w:p>
          <w:p w:rsidR="00AC7FD3" w:rsidRPr="005C4A1D" w:rsidRDefault="00AC7FD3" w:rsidP="00644D38">
            <w:pPr>
              <w:jc w:val="both"/>
              <w:rPr>
                <w:b/>
              </w:rPr>
            </w:pPr>
          </w:p>
        </w:tc>
      </w:tr>
      <w:tr w:rsidR="00AC7FD3" w:rsidRPr="005C4A1D" w:rsidTr="00CF01A5">
        <w:trPr>
          <w:trHeight w:val="422"/>
        </w:trPr>
        <w:tc>
          <w:tcPr>
            <w:tcW w:w="2310" w:type="dxa"/>
            <w:vMerge w:val="restart"/>
          </w:tcPr>
          <w:p w:rsidR="00AC7FD3" w:rsidRPr="005C4A1D" w:rsidRDefault="00AC7FD3" w:rsidP="00644D38">
            <w:pPr>
              <w:jc w:val="both"/>
              <w:rPr>
                <w:b/>
              </w:rPr>
            </w:pPr>
            <w:r w:rsidRPr="005C4A1D">
              <w:rPr>
                <w:b/>
              </w:rPr>
              <w:t>Output 2.1</w:t>
            </w:r>
          </w:p>
          <w:p w:rsidR="00AC7FD3" w:rsidRPr="005C4A1D" w:rsidRDefault="00F37FBD" w:rsidP="00644D38">
            <w:pPr>
              <w:jc w:val="both"/>
              <w:rPr>
                <w:b/>
              </w:rPr>
            </w:pPr>
            <w:r w:rsidRPr="005C4A1D">
              <w:rPr>
                <w:lang w:val="en-US"/>
              </w:rPr>
              <w:t xml:space="preserve">M&amp;E system developed </w:t>
            </w:r>
          </w:p>
        </w:tc>
        <w:tc>
          <w:tcPr>
            <w:tcW w:w="1549" w:type="dxa"/>
          </w:tcPr>
          <w:p w:rsidR="00AC7FD3" w:rsidRPr="005C4A1D" w:rsidRDefault="00AC7FD3">
            <w:pPr>
              <w:jc w:val="both"/>
            </w:pPr>
            <w:r w:rsidRPr="005C4A1D">
              <w:t>Indicator  2.1.1</w:t>
            </w: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458"/>
        </w:trPr>
        <w:tc>
          <w:tcPr>
            <w:tcW w:w="2310" w:type="dxa"/>
            <w:vMerge/>
          </w:tcPr>
          <w:p w:rsidR="00AC7FD3" w:rsidRPr="005C4A1D" w:rsidRDefault="00AC7FD3" w:rsidP="00644D38">
            <w:pPr>
              <w:jc w:val="both"/>
              <w:rPr>
                <w:b/>
              </w:rPr>
            </w:pPr>
          </w:p>
        </w:tc>
        <w:tc>
          <w:tcPr>
            <w:tcW w:w="1549" w:type="dxa"/>
          </w:tcPr>
          <w:p w:rsidR="00AC7FD3" w:rsidRPr="005C4A1D" w:rsidRDefault="00AC7FD3">
            <w:pPr>
              <w:jc w:val="both"/>
            </w:pPr>
            <w:r w:rsidRPr="005C4A1D">
              <w:t>Indicator  2.1.2</w:t>
            </w: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440"/>
        </w:trPr>
        <w:tc>
          <w:tcPr>
            <w:tcW w:w="2310" w:type="dxa"/>
            <w:vMerge/>
          </w:tcPr>
          <w:p w:rsidR="00AC7FD3" w:rsidRPr="005C4A1D" w:rsidRDefault="00AC7FD3" w:rsidP="00644D38">
            <w:pPr>
              <w:jc w:val="both"/>
              <w:rPr>
                <w:b/>
              </w:rPr>
            </w:pPr>
          </w:p>
        </w:tc>
        <w:tc>
          <w:tcPr>
            <w:tcW w:w="1549" w:type="dxa"/>
          </w:tcPr>
          <w:p w:rsidR="00AC7FD3" w:rsidRPr="005C4A1D" w:rsidRDefault="00AC7FD3">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512"/>
        </w:trPr>
        <w:tc>
          <w:tcPr>
            <w:tcW w:w="2310" w:type="dxa"/>
            <w:vMerge w:val="restart"/>
          </w:tcPr>
          <w:p w:rsidR="00AC7FD3" w:rsidRPr="005C4A1D" w:rsidRDefault="00AC7FD3" w:rsidP="00644D38">
            <w:pPr>
              <w:jc w:val="both"/>
              <w:rPr>
                <w:b/>
              </w:rPr>
            </w:pPr>
          </w:p>
          <w:p w:rsidR="00AC7FD3" w:rsidRPr="005C4A1D" w:rsidRDefault="00AC7FD3" w:rsidP="00644D38">
            <w:pPr>
              <w:jc w:val="both"/>
              <w:rPr>
                <w:b/>
              </w:rPr>
            </w:pPr>
            <w:r w:rsidRPr="005C4A1D">
              <w:rPr>
                <w:b/>
              </w:rPr>
              <w:t>Output 2.2</w:t>
            </w:r>
          </w:p>
          <w:p w:rsidR="00F37FBD" w:rsidRPr="005C4A1D" w:rsidRDefault="00F37FBD" w:rsidP="00644D38">
            <w:pPr>
              <w:jc w:val="both"/>
              <w:rPr>
                <w:b/>
              </w:rPr>
            </w:pPr>
            <w:r w:rsidRPr="005C4A1D">
              <w:rPr>
                <w:b/>
              </w:rPr>
              <w:t xml:space="preserve">Baseline survey conducted. </w:t>
            </w:r>
          </w:p>
        </w:tc>
        <w:tc>
          <w:tcPr>
            <w:tcW w:w="1549" w:type="dxa"/>
          </w:tcPr>
          <w:p w:rsidR="00AC7FD3" w:rsidRPr="005C4A1D" w:rsidRDefault="00AC7FD3">
            <w:pPr>
              <w:jc w:val="both"/>
            </w:pPr>
            <w:r w:rsidRPr="005C4A1D">
              <w:t>Indicator  2.2.1</w:t>
            </w: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458"/>
        </w:trPr>
        <w:tc>
          <w:tcPr>
            <w:tcW w:w="2310" w:type="dxa"/>
            <w:vMerge/>
          </w:tcPr>
          <w:p w:rsidR="00AC7FD3" w:rsidRPr="005C4A1D" w:rsidRDefault="00AC7FD3" w:rsidP="00644D38">
            <w:pPr>
              <w:jc w:val="both"/>
            </w:pPr>
          </w:p>
        </w:tc>
        <w:tc>
          <w:tcPr>
            <w:tcW w:w="1549" w:type="dxa"/>
          </w:tcPr>
          <w:p w:rsidR="00AC7FD3" w:rsidRPr="005C4A1D" w:rsidRDefault="00AC7FD3">
            <w:pPr>
              <w:jc w:val="both"/>
            </w:pPr>
            <w:r w:rsidRPr="005C4A1D">
              <w:t>Indicator  2.2.2</w:t>
            </w: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CF01A5">
        <w:trPr>
          <w:trHeight w:val="512"/>
        </w:trPr>
        <w:tc>
          <w:tcPr>
            <w:tcW w:w="2310" w:type="dxa"/>
            <w:vMerge/>
          </w:tcPr>
          <w:p w:rsidR="00AC7FD3" w:rsidRPr="005C4A1D" w:rsidRDefault="00AC7FD3" w:rsidP="00644D38">
            <w:pPr>
              <w:jc w:val="both"/>
            </w:pPr>
          </w:p>
        </w:tc>
        <w:tc>
          <w:tcPr>
            <w:tcW w:w="1549"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1176" w:type="dxa"/>
          </w:tcPr>
          <w:p w:rsidR="00AC7FD3" w:rsidRPr="005C4A1D" w:rsidRDefault="00AC7FD3" w:rsidP="00644D38">
            <w:pPr>
              <w:jc w:val="both"/>
            </w:pPr>
          </w:p>
        </w:tc>
        <w:tc>
          <w:tcPr>
            <w:tcW w:w="2038" w:type="dxa"/>
            <w:gridSpan w:val="2"/>
          </w:tcPr>
          <w:p w:rsidR="00AC7FD3" w:rsidRPr="005C4A1D" w:rsidRDefault="00AC7FD3" w:rsidP="00644D38">
            <w:pPr>
              <w:jc w:val="both"/>
            </w:pPr>
          </w:p>
        </w:tc>
        <w:tc>
          <w:tcPr>
            <w:tcW w:w="1866" w:type="dxa"/>
          </w:tcPr>
          <w:p w:rsidR="00AC7FD3" w:rsidRPr="005C4A1D" w:rsidRDefault="00AC7FD3" w:rsidP="00644D38">
            <w:pPr>
              <w:jc w:val="both"/>
            </w:pPr>
          </w:p>
        </w:tc>
        <w:tc>
          <w:tcPr>
            <w:tcW w:w="1849" w:type="dxa"/>
          </w:tcPr>
          <w:p w:rsidR="00AC7FD3" w:rsidRPr="005C4A1D" w:rsidRDefault="00AC7FD3" w:rsidP="00644D38">
            <w:pPr>
              <w:jc w:val="both"/>
            </w:pPr>
          </w:p>
        </w:tc>
      </w:tr>
      <w:tr w:rsidR="00AC7FD3" w:rsidRPr="005C4A1D" w:rsidTr="005C75B9">
        <w:trPr>
          <w:trHeight w:val="197"/>
        </w:trPr>
        <w:tc>
          <w:tcPr>
            <w:tcW w:w="13140" w:type="dxa"/>
            <w:gridSpan w:val="9"/>
          </w:tcPr>
          <w:p w:rsidR="00AC7FD3" w:rsidRPr="005C4A1D" w:rsidRDefault="00AC7FD3" w:rsidP="00644D38">
            <w:pPr>
              <w:jc w:val="both"/>
            </w:pPr>
          </w:p>
        </w:tc>
      </w:tr>
      <w:tr w:rsidR="004D4C2A" w:rsidRPr="005C4A1D" w:rsidTr="00C17B29">
        <w:tc>
          <w:tcPr>
            <w:tcW w:w="13140" w:type="dxa"/>
            <w:gridSpan w:val="9"/>
          </w:tcPr>
          <w:p w:rsidR="004D4C2A" w:rsidRPr="005C4A1D" w:rsidRDefault="004D4C2A" w:rsidP="00644D38">
            <w:pPr>
              <w:jc w:val="both"/>
              <w:rPr>
                <w:b/>
              </w:rPr>
            </w:pPr>
            <w:r w:rsidRPr="005C4A1D">
              <w:rPr>
                <w:b/>
              </w:rPr>
              <w:t xml:space="preserve">Outcome 3 </w:t>
            </w:r>
          </w:p>
        </w:tc>
      </w:tr>
      <w:tr w:rsidR="004D4C2A" w:rsidRPr="005C4A1D" w:rsidTr="00C17B29">
        <w:trPr>
          <w:trHeight w:val="422"/>
        </w:trPr>
        <w:tc>
          <w:tcPr>
            <w:tcW w:w="2310" w:type="dxa"/>
            <w:vMerge w:val="restart"/>
          </w:tcPr>
          <w:p w:rsidR="004D4C2A" w:rsidRPr="005C4A1D" w:rsidRDefault="004D4C2A" w:rsidP="00644D38">
            <w:pPr>
              <w:jc w:val="both"/>
              <w:rPr>
                <w:b/>
              </w:rPr>
            </w:pPr>
            <w:r w:rsidRPr="005C4A1D">
              <w:rPr>
                <w:b/>
              </w:rPr>
              <w:t>Output 3.1</w:t>
            </w:r>
          </w:p>
          <w:p w:rsidR="004D4C2A" w:rsidRPr="005C4A1D" w:rsidRDefault="004D4C2A" w:rsidP="00644D38">
            <w:pPr>
              <w:jc w:val="both"/>
              <w:rPr>
                <w:b/>
              </w:rPr>
            </w:pPr>
          </w:p>
        </w:tc>
        <w:tc>
          <w:tcPr>
            <w:tcW w:w="1549" w:type="dxa"/>
          </w:tcPr>
          <w:p w:rsidR="004D4C2A" w:rsidRPr="005C4A1D" w:rsidRDefault="004D4C2A">
            <w:pPr>
              <w:jc w:val="both"/>
            </w:pPr>
            <w:r w:rsidRPr="005C4A1D">
              <w:t>Indicator  2.1.1</w:t>
            </w: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2038" w:type="dxa"/>
            <w:gridSpan w:val="2"/>
          </w:tcPr>
          <w:p w:rsidR="004D4C2A" w:rsidRPr="005C4A1D" w:rsidRDefault="004D4C2A" w:rsidP="00644D38">
            <w:pPr>
              <w:jc w:val="both"/>
            </w:pPr>
          </w:p>
        </w:tc>
        <w:tc>
          <w:tcPr>
            <w:tcW w:w="1866" w:type="dxa"/>
          </w:tcPr>
          <w:p w:rsidR="004D4C2A" w:rsidRPr="005C4A1D" w:rsidRDefault="004D4C2A" w:rsidP="00644D38">
            <w:pPr>
              <w:jc w:val="both"/>
            </w:pPr>
          </w:p>
        </w:tc>
        <w:tc>
          <w:tcPr>
            <w:tcW w:w="1849" w:type="dxa"/>
          </w:tcPr>
          <w:p w:rsidR="004D4C2A" w:rsidRPr="005C4A1D" w:rsidRDefault="004D4C2A" w:rsidP="00644D38">
            <w:pPr>
              <w:jc w:val="both"/>
            </w:pPr>
          </w:p>
        </w:tc>
      </w:tr>
      <w:tr w:rsidR="004D4C2A" w:rsidRPr="005C4A1D" w:rsidTr="00C17B29">
        <w:trPr>
          <w:trHeight w:val="458"/>
        </w:trPr>
        <w:tc>
          <w:tcPr>
            <w:tcW w:w="2310" w:type="dxa"/>
            <w:vMerge/>
          </w:tcPr>
          <w:p w:rsidR="004D4C2A" w:rsidRPr="005C4A1D" w:rsidRDefault="004D4C2A" w:rsidP="00644D38">
            <w:pPr>
              <w:jc w:val="both"/>
              <w:rPr>
                <w:b/>
              </w:rPr>
            </w:pPr>
          </w:p>
        </w:tc>
        <w:tc>
          <w:tcPr>
            <w:tcW w:w="1549" w:type="dxa"/>
          </w:tcPr>
          <w:p w:rsidR="004D4C2A" w:rsidRPr="005C4A1D" w:rsidRDefault="004D4C2A">
            <w:pPr>
              <w:jc w:val="both"/>
            </w:pPr>
            <w:r w:rsidRPr="005C4A1D">
              <w:t>Indicator  2.1.2</w:t>
            </w: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2038" w:type="dxa"/>
            <w:gridSpan w:val="2"/>
          </w:tcPr>
          <w:p w:rsidR="004D4C2A" w:rsidRPr="005C4A1D" w:rsidRDefault="004D4C2A" w:rsidP="00644D38">
            <w:pPr>
              <w:jc w:val="both"/>
            </w:pPr>
          </w:p>
        </w:tc>
        <w:tc>
          <w:tcPr>
            <w:tcW w:w="1866" w:type="dxa"/>
          </w:tcPr>
          <w:p w:rsidR="004D4C2A" w:rsidRPr="005C4A1D" w:rsidRDefault="004D4C2A" w:rsidP="00644D38">
            <w:pPr>
              <w:jc w:val="both"/>
            </w:pPr>
          </w:p>
        </w:tc>
        <w:tc>
          <w:tcPr>
            <w:tcW w:w="1849" w:type="dxa"/>
          </w:tcPr>
          <w:p w:rsidR="004D4C2A" w:rsidRPr="005C4A1D" w:rsidRDefault="004D4C2A" w:rsidP="00644D38">
            <w:pPr>
              <w:jc w:val="both"/>
            </w:pPr>
          </w:p>
        </w:tc>
      </w:tr>
      <w:tr w:rsidR="004D4C2A" w:rsidRPr="005C4A1D" w:rsidTr="00C17B29">
        <w:trPr>
          <w:trHeight w:val="440"/>
        </w:trPr>
        <w:tc>
          <w:tcPr>
            <w:tcW w:w="2310" w:type="dxa"/>
            <w:vMerge/>
          </w:tcPr>
          <w:p w:rsidR="004D4C2A" w:rsidRPr="005C4A1D" w:rsidRDefault="004D4C2A" w:rsidP="00644D38">
            <w:pPr>
              <w:jc w:val="both"/>
              <w:rPr>
                <w:b/>
              </w:rPr>
            </w:pPr>
          </w:p>
        </w:tc>
        <w:tc>
          <w:tcPr>
            <w:tcW w:w="1549" w:type="dxa"/>
          </w:tcPr>
          <w:p w:rsidR="004D4C2A" w:rsidRPr="005C4A1D" w:rsidRDefault="004D4C2A">
            <w:pPr>
              <w:jc w:val="both"/>
            </w:pP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2038" w:type="dxa"/>
            <w:gridSpan w:val="2"/>
          </w:tcPr>
          <w:p w:rsidR="004D4C2A" w:rsidRPr="005C4A1D" w:rsidRDefault="004D4C2A" w:rsidP="00644D38">
            <w:pPr>
              <w:jc w:val="both"/>
            </w:pPr>
          </w:p>
        </w:tc>
        <w:tc>
          <w:tcPr>
            <w:tcW w:w="1866" w:type="dxa"/>
          </w:tcPr>
          <w:p w:rsidR="004D4C2A" w:rsidRPr="005C4A1D" w:rsidRDefault="004D4C2A" w:rsidP="00644D38">
            <w:pPr>
              <w:jc w:val="both"/>
            </w:pPr>
          </w:p>
        </w:tc>
        <w:tc>
          <w:tcPr>
            <w:tcW w:w="1849" w:type="dxa"/>
          </w:tcPr>
          <w:p w:rsidR="004D4C2A" w:rsidRPr="005C4A1D" w:rsidRDefault="004D4C2A" w:rsidP="00644D38">
            <w:pPr>
              <w:jc w:val="both"/>
            </w:pPr>
          </w:p>
        </w:tc>
      </w:tr>
      <w:tr w:rsidR="004D4C2A" w:rsidRPr="005C4A1D" w:rsidTr="00C17B29">
        <w:trPr>
          <w:trHeight w:val="512"/>
        </w:trPr>
        <w:tc>
          <w:tcPr>
            <w:tcW w:w="2310" w:type="dxa"/>
            <w:vMerge w:val="restart"/>
          </w:tcPr>
          <w:p w:rsidR="004D4C2A" w:rsidRPr="005C4A1D" w:rsidRDefault="004D4C2A" w:rsidP="00644D38">
            <w:pPr>
              <w:jc w:val="both"/>
              <w:rPr>
                <w:b/>
              </w:rPr>
            </w:pPr>
          </w:p>
          <w:p w:rsidR="004D4C2A" w:rsidRPr="005C4A1D" w:rsidRDefault="004D4C2A" w:rsidP="00644D38">
            <w:pPr>
              <w:jc w:val="both"/>
              <w:rPr>
                <w:b/>
              </w:rPr>
            </w:pPr>
            <w:r w:rsidRPr="005C4A1D">
              <w:rPr>
                <w:b/>
              </w:rPr>
              <w:t xml:space="preserve">Output 3.2 </w:t>
            </w:r>
            <w:r w:rsidRPr="005C4A1D">
              <w:rPr>
                <w:lang w:val="en-US"/>
              </w:rPr>
              <w:t xml:space="preserve">recruit WFP specialized </w:t>
            </w:r>
            <w:r w:rsidR="00B008C7" w:rsidRPr="005C4A1D">
              <w:rPr>
                <w:lang w:val="en-US"/>
              </w:rPr>
              <w:t xml:space="preserve">project </w:t>
            </w:r>
            <w:r w:rsidRPr="005C4A1D">
              <w:rPr>
                <w:lang w:val="en-US"/>
              </w:rPr>
              <w:t>management team</w:t>
            </w:r>
          </w:p>
        </w:tc>
        <w:tc>
          <w:tcPr>
            <w:tcW w:w="1549" w:type="dxa"/>
          </w:tcPr>
          <w:p w:rsidR="004D4C2A" w:rsidRPr="005C4A1D" w:rsidRDefault="004D4C2A">
            <w:pPr>
              <w:jc w:val="both"/>
            </w:pPr>
            <w:r w:rsidRPr="005C4A1D">
              <w:t>Indicator  2.2.1</w:t>
            </w: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2038" w:type="dxa"/>
            <w:gridSpan w:val="2"/>
          </w:tcPr>
          <w:p w:rsidR="004D4C2A" w:rsidRPr="005C4A1D" w:rsidRDefault="004D4C2A" w:rsidP="00644D38">
            <w:pPr>
              <w:jc w:val="both"/>
            </w:pPr>
          </w:p>
        </w:tc>
        <w:tc>
          <w:tcPr>
            <w:tcW w:w="1866" w:type="dxa"/>
          </w:tcPr>
          <w:p w:rsidR="004D4C2A" w:rsidRPr="005C4A1D" w:rsidRDefault="004D4C2A" w:rsidP="00644D38">
            <w:pPr>
              <w:jc w:val="both"/>
            </w:pPr>
          </w:p>
        </w:tc>
        <w:tc>
          <w:tcPr>
            <w:tcW w:w="1849" w:type="dxa"/>
          </w:tcPr>
          <w:p w:rsidR="004D4C2A" w:rsidRPr="005C4A1D" w:rsidRDefault="004D4C2A" w:rsidP="00644D38">
            <w:pPr>
              <w:jc w:val="both"/>
            </w:pPr>
          </w:p>
        </w:tc>
      </w:tr>
      <w:tr w:rsidR="004D4C2A" w:rsidRPr="005C4A1D" w:rsidTr="00C17B29">
        <w:trPr>
          <w:trHeight w:val="458"/>
        </w:trPr>
        <w:tc>
          <w:tcPr>
            <w:tcW w:w="2310" w:type="dxa"/>
            <w:vMerge/>
          </w:tcPr>
          <w:p w:rsidR="004D4C2A" w:rsidRPr="005C4A1D" w:rsidRDefault="004D4C2A" w:rsidP="00644D38">
            <w:pPr>
              <w:jc w:val="both"/>
            </w:pPr>
          </w:p>
        </w:tc>
        <w:tc>
          <w:tcPr>
            <w:tcW w:w="1549" w:type="dxa"/>
          </w:tcPr>
          <w:p w:rsidR="004D4C2A" w:rsidRPr="005C4A1D" w:rsidRDefault="004D4C2A">
            <w:pPr>
              <w:jc w:val="both"/>
            </w:pPr>
            <w:r w:rsidRPr="005C4A1D">
              <w:t>Indicator  2.2.2</w:t>
            </w: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2038" w:type="dxa"/>
            <w:gridSpan w:val="2"/>
          </w:tcPr>
          <w:p w:rsidR="004D4C2A" w:rsidRPr="005C4A1D" w:rsidRDefault="004D4C2A" w:rsidP="00644D38">
            <w:pPr>
              <w:jc w:val="both"/>
            </w:pPr>
          </w:p>
        </w:tc>
        <w:tc>
          <w:tcPr>
            <w:tcW w:w="1866" w:type="dxa"/>
          </w:tcPr>
          <w:p w:rsidR="004D4C2A" w:rsidRPr="005C4A1D" w:rsidRDefault="004D4C2A" w:rsidP="00644D38">
            <w:pPr>
              <w:jc w:val="both"/>
            </w:pPr>
          </w:p>
        </w:tc>
        <w:tc>
          <w:tcPr>
            <w:tcW w:w="1849" w:type="dxa"/>
          </w:tcPr>
          <w:p w:rsidR="004D4C2A" w:rsidRPr="005C4A1D" w:rsidRDefault="004D4C2A" w:rsidP="00644D38">
            <w:pPr>
              <w:jc w:val="both"/>
            </w:pPr>
          </w:p>
        </w:tc>
      </w:tr>
      <w:tr w:rsidR="004D4C2A" w:rsidRPr="005C4A1D" w:rsidTr="00C17B29">
        <w:trPr>
          <w:trHeight w:val="512"/>
        </w:trPr>
        <w:tc>
          <w:tcPr>
            <w:tcW w:w="2310" w:type="dxa"/>
            <w:vMerge/>
          </w:tcPr>
          <w:p w:rsidR="004D4C2A" w:rsidRPr="005C4A1D" w:rsidRDefault="004D4C2A" w:rsidP="00644D38">
            <w:pPr>
              <w:jc w:val="both"/>
            </w:pPr>
          </w:p>
        </w:tc>
        <w:tc>
          <w:tcPr>
            <w:tcW w:w="1549" w:type="dxa"/>
          </w:tcPr>
          <w:p w:rsidR="004D4C2A" w:rsidRPr="005C4A1D" w:rsidRDefault="004D4C2A" w:rsidP="00644D38">
            <w:pPr>
              <w:jc w:val="both"/>
            </w:pP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1176" w:type="dxa"/>
          </w:tcPr>
          <w:p w:rsidR="004D4C2A" w:rsidRPr="005C4A1D" w:rsidRDefault="004D4C2A" w:rsidP="00644D38">
            <w:pPr>
              <w:jc w:val="both"/>
            </w:pPr>
          </w:p>
        </w:tc>
        <w:tc>
          <w:tcPr>
            <w:tcW w:w="2038" w:type="dxa"/>
            <w:gridSpan w:val="2"/>
          </w:tcPr>
          <w:p w:rsidR="004D4C2A" w:rsidRPr="005C4A1D" w:rsidRDefault="004D4C2A" w:rsidP="00644D38">
            <w:pPr>
              <w:jc w:val="both"/>
            </w:pPr>
          </w:p>
        </w:tc>
        <w:tc>
          <w:tcPr>
            <w:tcW w:w="1866" w:type="dxa"/>
          </w:tcPr>
          <w:p w:rsidR="004D4C2A" w:rsidRPr="005C4A1D" w:rsidRDefault="004D4C2A" w:rsidP="00644D38">
            <w:pPr>
              <w:jc w:val="both"/>
            </w:pPr>
          </w:p>
        </w:tc>
        <w:tc>
          <w:tcPr>
            <w:tcW w:w="1849" w:type="dxa"/>
          </w:tcPr>
          <w:p w:rsidR="004D4C2A" w:rsidRPr="005C4A1D" w:rsidRDefault="004D4C2A" w:rsidP="00644D38">
            <w:pPr>
              <w:jc w:val="both"/>
            </w:pPr>
          </w:p>
        </w:tc>
      </w:tr>
      <w:tr w:rsidR="004D4C2A" w:rsidRPr="005C4A1D" w:rsidTr="00C17B29">
        <w:trPr>
          <w:trHeight w:val="197"/>
        </w:trPr>
        <w:tc>
          <w:tcPr>
            <w:tcW w:w="13140" w:type="dxa"/>
            <w:gridSpan w:val="9"/>
          </w:tcPr>
          <w:p w:rsidR="004D4C2A" w:rsidRPr="005C4A1D" w:rsidRDefault="004D4C2A" w:rsidP="00644D38">
            <w:pPr>
              <w:jc w:val="both"/>
            </w:pPr>
          </w:p>
        </w:tc>
      </w:tr>
    </w:tbl>
    <w:p w:rsidR="004D4C2A" w:rsidRPr="005C4A1D" w:rsidRDefault="004D4C2A">
      <w:pPr>
        <w:pStyle w:val="BodyText"/>
        <w:jc w:val="both"/>
        <w:rPr>
          <w:rFonts w:ascii="Times New Roman" w:hAnsi="Times New Roman" w:cs="Times New Roman"/>
          <w:sz w:val="24"/>
          <w:szCs w:val="24"/>
        </w:rPr>
      </w:pPr>
    </w:p>
    <w:p w:rsidR="00AC7FD3" w:rsidRPr="005C4A1D" w:rsidRDefault="00AC7FD3">
      <w:pPr>
        <w:pStyle w:val="BodyText"/>
        <w:jc w:val="both"/>
        <w:rPr>
          <w:rFonts w:ascii="Times New Roman" w:hAnsi="Times New Roman" w:cs="Times New Roman"/>
          <w:sz w:val="24"/>
          <w:szCs w:val="24"/>
        </w:rPr>
      </w:pPr>
    </w:p>
    <w:sectPr w:rsidR="00AC7FD3" w:rsidRPr="005C4A1D" w:rsidSect="003A18AE">
      <w:headerReference w:type="default" r:id="rId11"/>
      <w:footerReference w:type="default" r:id="rId12"/>
      <w:footerReference w:type="first" r:id="rId13"/>
      <w:pgSz w:w="12240" w:h="15840" w:code="1"/>
      <w:pgMar w:top="810" w:right="810"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86" w:rsidRPr="00570355" w:rsidRDefault="00D84886">
      <w:pPr>
        <w:rPr>
          <w:sz w:val="21"/>
          <w:szCs w:val="21"/>
        </w:rPr>
      </w:pPr>
      <w:r w:rsidRPr="00570355">
        <w:rPr>
          <w:sz w:val="21"/>
          <w:szCs w:val="21"/>
        </w:rPr>
        <w:separator/>
      </w:r>
    </w:p>
  </w:endnote>
  <w:endnote w:type="continuationSeparator" w:id="0">
    <w:p w:rsidR="00D84886" w:rsidRPr="00570355" w:rsidRDefault="00D84886">
      <w:pPr>
        <w:rPr>
          <w:sz w:val="21"/>
          <w:szCs w:val="21"/>
        </w:rPr>
      </w:pPr>
      <w:r w:rsidRPr="0057035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5C" w:rsidRPr="00570355" w:rsidRDefault="00840C5C">
    <w:pPr>
      <w:pStyle w:val="Footer"/>
      <w:pBdr>
        <w:top w:val="single" w:sz="4" w:space="1" w:color="auto"/>
      </w:pBdr>
      <w:tabs>
        <w:tab w:val="clear" w:pos="4320"/>
        <w:tab w:val="clear" w:pos="8640"/>
        <w:tab w:val="center" w:pos="4500"/>
        <w:tab w:val="right" w:pos="9000"/>
      </w:tabs>
      <w:rPr>
        <w:rFonts w:ascii="Arial" w:hAnsi="Arial" w:cs="Arial"/>
        <w:sz w:val="16"/>
        <w:szCs w:val="16"/>
      </w:rPr>
    </w:pPr>
    <w:r w:rsidRPr="00570355">
      <w:rPr>
        <w:rFonts w:ascii="Arial" w:hAnsi="Arial" w:cs="Arial"/>
        <w:sz w:val="16"/>
        <w:szCs w:val="16"/>
      </w:rPr>
      <w:tab/>
    </w:r>
    <w:r w:rsidRPr="00570355">
      <w:rPr>
        <w:rFonts w:ascii="Arial" w:hAnsi="Arial" w:cs="Arial"/>
        <w:sz w:val="16"/>
        <w:szCs w:val="16"/>
      </w:rPr>
      <w:tab/>
      <w:t xml:space="preserve">Page </w:t>
    </w:r>
    <w:r w:rsidR="00130DB9" w:rsidRPr="00570355">
      <w:rPr>
        <w:rFonts w:ascii="Arial" w:hAnsi="Arial" w:cs="Arial"/>
        <w:sz w:val="16"/>
        <w:szCs w:val="16"/>
      </w:rPr>
      <w:fldChar w:fldCharType="begin"/>
    </w:r>
    <w:r w:rsidRPr="00570355">
      <w:rPr>
        <w:rFonts w:ascii="Arial" w:hAnsi="Arial" w:cs="Arial"/>
        <w:sz w:val="16"/>
        <w:szCs w:val="16"/>
      </w:rPr>
      <w:instrText xml:space="preserve"> PAGE   \* MERGEFORMAT </w:instrText>
    </w:r>
    <w:r w:rsidR="00130DB9" w:rsidRPr="00570355">
      <w:rPr>
        <w:rFonts w:ascii="Arial" w:hAnsi="Arial" w:cs="Arial"/>
        <w:sz w:val="16"/>
        <w:szCs w:val="16"/>
      </w:rPr>
      <w:fldChar w:fldCharType="separate"/>
    </w:r>
    <w:r w:rsidR="00BD4D2B">
      <w:rPr>
        <w:rFonts w:ascii="Arial" w:hAnsi="Arial" w:cs="Arial"/>
        <w:noProof/>
        <w:sz w:val="16"/>
        <w:szCs w:val="16"/>
      </w:rPr>
      <w:t>1</w:t>
    </w:r>
    <w:r w:rsidR="00130DB9" w:rsidRPr="00570355">
      <w:rPr>
        <w:rFonts w:ascii="Arial" w:hAnsi="Arial" w:cs="Arial"/>
        <w:sz w:val="16"/>
        <w:szCs w:val="16"/>
      </w:rPr>
      <w:fldChar w:fldCharType="end"/>
    </w:r>
    <w:r w:rsidRPr="00570355">
      <w:rPr>
        <w:rFonts w:ascii="Arial" w:hAnsi="Arial" w:cs="Arial"/>
        <w:sz w:val="16"/>
        <w:szCs w:val="16"/>
      </w:rPr>
      <w:t xml:space="preserve"> of </w:t>
    </w:r>
    <w:fldSimple w:instr=" NUMPAGES   \* MERGEFORMAT ">
      <w:r w:rsidR="00BD4D2B" w:rsidRPr="00BD4D2B">
        <w:rPr>
          <w:rFonts w:ascii="Arial" w:hAnsi="Arial" w:cs="Arial"/>
          <w:noProof/>
          <w:sz w:val="16"/>
          <w:szCs w:val="18"/>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5C" w:rsidRPr="00570355" w:rsidRDefault="00840C5C">
    <w:pPr>
      <w:pStyle w:val="Footer"/>
      <w:pBdr>
        <w:top w:val="single" w:sz="4" w:space="1" w:color="auto"/>
      </w:pBdr>
      <w:tabs>
        <w:tab w:val="clear" w:pos="4320"/>
        <w:tab w:val="clear" w:pos="8640"/>
        <w:tab w:val="center" w:pos="4500"/>
        <w:tab w:val="right" w:pos="9000"/>
      </w:tabs>
      <w:rPr>
        <w:rFonts w:ascii="Arial" w:hAnsi="Arial" w:cs="Arial"/>
        <w:sz w:val="16"/>
        <w:szCs w:val="16"/>
      </w:rPr>
    </w:pPr>
    <w:r w:rsidRPr="00570355">
      <w:rPr>
        <w:rFonts w:ascii="Arial" w:hAnsi="Arial" w:cs="Arial"/>
        <w:sz w:val="16"/>
        <w:szCs w:val="16"/>
      </w:rPr>
      <w:t>Sixth Six-Month Progress Report</w:t>
    </w:r>
    <w:r w:rsidRPr="00570355">
      <w:rPr>
        <w:rFonts w:ascii="Arial" w:hAnsi="Arial" w:cs="Arial"/>
        <w:sz w:val="16"/>
        <w:szCs w:val="16"/>
      </w:rPr>
      <w:tab/>
      <w:t>1 January – 30 June 2007</w:t>
    </w:r>
    <w:r w:rsidRPr="00570355">
      <w:rPr>
        <w:rFonts w:ascii="Arial" w:hAnsi="Arial" w:cs="Arial"/>
        <w:sz w:val="16"/>
        <w:szCs w:val="16"/>
      </w:rPr>
      <w:tab/>
      <w:t xml:space="preserve">Page </w:t>
    </w:r>
    <w:r w:rsidR="00130DB9" w:rsidRPr="00570355">
      <w:rPr>
        <w:rFonts w:ascii="Arial" w:hAnsi="Arial" w:cs="Arial"/>
        <w:sz w:val="16"/>
        <w:szCs w:val="16"/>
      </w:rPr>
      <w:fldChar w:fldCharType="begin"/>
    </w:r>
    <w:r w:rsidRPr="00570355">
      <w:rPr>
        <w:rFonts w:ascii="Arial" w:hAnsi="Arial" w:cs="Arial"/>
        <w:sz w:val="16"/>
        <w:szCs w:val="16"/>
      </w:rPr>
      <w:instrText xml:space="preserve"> PAGE   \* MERGEFORMAT </w:instrText>
    </w:r>
    <w:r w:rsidR="00130DB9" w:rsidRPr="00570355">
      <w:rPr>
        <w:rFonts w:ascii="Arial" w:hAnsi="Arial" w:cs="Arial"/>
        <w:sz w:val="16"/>
        <w:szCs w:val="16"/>
      </w:rPr>
      <w:fldChar w:fldCharType="separate"/>
    </w:r>
    <w:r w:rsidRPr="00570355">
      <w:rPr>
        <w:rFonts w:ascii="Arial" w:hAnsi="Arial" w:cs="Arial"/>
        <w:noProof/>
        <w:sz w:val="16"/>
        <w:szCs w:val="16"/>
      </w:rPr>
      <w:t>5</w:t>
    </w:r>
    <w:r w:rsidR="00130DB9" w:rsidRPr="00570355">
      <w:rPr>
        <w:rFonts w:ascii="Arial" w:hAnsi="Arial" w:cs="Arial"/>
        <w:sz w:val="16"/>
        <w:szCs w:val="16"/>
      </w:rPr>
      <w:fldChar w:fldCharType="end"/>
    </w:r>
    <w:r w:rsidRPr="00570355">
      <w:rPr>
        <w:rFonts w:ascii="Arial" w:hAnsi="Arial" w:cs="Arial"/>
        <w:sz w:val="16"/>
        <w:szCs w:val="16"/>
      </w:rPr>
      <w:t xml:space="preserve"> of </w:t>
    </w:r>
    <w:fldSimple w:instr=" NUMPAGES   \* MERGEFORMAT ">
      <w:r w:rsidR="00F56668" w:rsidRPr="00F56668">
        <w:rPr>
          <w:rFonts w:ascii="Arial" w:hAnsi="Arial" w:cs="Arial"/>
          <w:noProof/>
          <w:sz w:val="16"/>
          <w:szCs w:val="18"/>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86" w:rsidRPr="00570355" w:rsidRDefault="00D84886">
      <w:pPr>
        <w:rPr>
          <w:sz w:val="21"/>
          <w:szCs w:val="21"/>
        </w:rPr>
      </w:pPr>
      <w:r w:rsidRPr="00570355">
        <w:rPr>
          <w:sz w:val="21"/>
          <w:szCs w:val="21"/>
        </w:rPr>
        <w:separator/>
      </w:r>
    </w:p>
  </w:footnote>
  <w:footnote w:type="continuationSeparator" w:id="0">
    <w:p w:rsidR="00D84886" w:rsidRPr="00570355" w:rsidRDefault="00D84886">
      <w:pPr>
        <w:rPr>
          <w:sz w:val="21"/>
          <w:szCs w:val="21"/>
        </w:rPr>
      </w:pPr>
      <w:r w:rsidRPr="00570355">
        <w:rPr>
          <w:sz w:val="21"/>
          <w:szCs w:val="21"/>
        </w:rPr>
        <w:continuationSeparator/>
      </w:r>
    </w:p>
  </w:footnote>
  <w:footnote w:id="1">
    <w:p w:rsidR="00840C5C" w:rsidRPr="00570355" w:rsidRDefault="00840C5C" w:rsidP="00AB0274">
      <w:pPr>
        <w:pStyle w:val="FootnoteText"/>
        <w:rPr>
          <w:sz w:val="18"/>
          <w:szCs w:val="18"/>
        </w:rPr>
      </w:pPr>
      <w:r w:rsidRPr="00570355">
        <w:rPr>
          <w:rStyle w:val="FootnoteReference"/>
          <w:sz w:val="18"/>
          <w:szCs w:val="18"/>
        </w:rPr>
        <w:footnoteRef/>
      </w:r>
      <w:r w:rsidRPr="00570355">
        <w:rPr>
          <w:sz w:val="18"/>
          <w:szCs w:val="18"/>
        </w:rPr>
        <w:t xml:space="preserve"> The term “programme” is used for programmes, joint programmes and projects.</w:t>
      </w:r>
    </w:p>
  </w:footnote>
  <w:footnote w:id="2">
    <w:p w:rsidR="00840C5C" w:rsidRPr="00570355" w:rsidRDefault="00840C5C">
      <w:pPr>
        <w:pStyle w:val="FootnoteText"/>
        <w:rPr>
          <w:sz w:val="18"/>
          <w:szCs w:val="18"/>
        </w:rPr>
      </w:pPr>
      <w:r w:rsidRPr="00570355">
        <w:rPr>
          <w:rStyle w:val="FootnoteReference"/>
          <w:sz w:val="18"/>
          <w:szCs w:val="18"/>
        </w:rPr>
        <w:footnoteRef/>
      </w:r>
      <w:r w:rsidRPr="00570355">
        <w:rPr>
          <w:sz w:val="18"/>
          <w:szCs w:val="18"/>
        </w:rPr>
        <w:t xml:space="preserve"> Strategic Results, as formulated in the Performance Management Plan (PMP) for the PBF; Sector for the UNDG ITF.</w:t>
      </w:r>
    </w:p>
  </w:footnote>
  <w:footnote w:id="3">
    <w:p w:rsidR="00840C5C" w:rsidRPr="00570355" w:rsidRDefault="00840C5C">
      <w:pPr>
        <w:pStyle w:val="FootnoteText"/>
        <w:rPr>
          <w:sz w:val="18"/>
          <w:szCs w:val="18"/>
        </w:rPr>
      </w:pPr>
      <w:r w:rsidRPr="00570355">
        <w:rPr>
          <w:rStyle w:val="FootnoteReference"/>
          <w:sz w:val="18"/>
          <w:szCs w:val="18"/>
        </w:rPr>
        <w:footnoteRef/>
      </w:r>
      <w:r w:rsidRPr="00570355">
        <w:rPr>
          <w:sz w:val="18"/>
          <w:szCs w:val="18"/>
        </w:rPr>
        <w:t xml:space="preserve"> The MPTF Office Project Reference Number is the same number as the one on the Notification message. It is also referred to “Project ID” on the </w:t>
      </w:r>
      <w:hyperlink r:id="rId1" w:history="1">
        <w:r w:rsidRPr="00570355">
          <w:rPr>
            <w:rStyle w:val="Hyperlink"/>
            <w:sz w:val="18"/>
            <w:szCs w:val="18"/>
          </w:rPr>
          <w:t>MPTF Office GATEWAY</w:t>
        </w:r>
      </w:hyperlink>
    </w:p>
  </w:footnote>
  <w:footnote w:id="4">
    <w:p w:rsidR="00840C5C" w:rsidRPr="00570355" w:rsidRDefault="00840C5C" w:rsidP="000134CC">
      <w:pPr>
        <w:pStyle w:val="FootnoteText"/>
        <w:rPr>
          <w:sz w:val="18"/>
          <w:szCs w:val="18"/>
        </w:rPr>
      </w:pPr>
      <w:r w:rsidRPr="00570355">
        <w:rPr>
          <w:rStyle w:val="FootnoteReference"/>
          <w:sz w:val="18"/>
          <w:szCs w:val="18"/>
        </w:rPr>
        <w:footnoteRef/>
      </w:r>
      <w:r w:rsidRPr="00570355">
        <w:rPr>
          <w:sz w:val="18"/>
          <w:szCs w:val="18"/>
        </w:rPr>
        <w:t xml:space="preserve"> The start date is the date of the first transfer of the funds from the MPTF Office as Administrative Agent. Transfer date is available on the </w:t>
      </w:r>
      <w:hyperlink r:id="rId2" w:history="1">
        <w:r w:rsidRPr="00570355">
          <w:rPr>
            <w:rStyle w:val="Hyperlink"/>
            <w:sz w:val="18"/>
            <w:szCs w:val="18"/>
          </w:rPr>
          <w:t>MPTF Office GATEWAY</w:t>
        </w:r>
      </w:hyperlink>
    </w:p>
  </w:footnote>
  <w:footnote w:id="5">
    <w:p w:rsidR="00840C5C" w:rsidRPr="00570355" w:rsidRDefault="00840C5C">
      <w:pPr>
        <w:pStyle w:val="FootnoteText"/>
        <w:rPr>
          <w:sz w:val="18"/>
          <w:szCs w:val="18"/>
        </w:rPr>
      </w:pPr>
      <w:r w:rsidRPr="00570355">
        <w:rPr>
          <w:rStyle w:val="FootnoteReference"/>
          <w:sz w:val="18"/>
          <w:szCs w:val="18"/>
        </w:rPr>
        <w:footnoteRef/>
      </w:r>
      <w:r w:rsidRPr="00570355">
        <w:rPr>
          <w:sz w:val="18"/>
          <w:szCs w:val="18"/>
        </w:rPr>
        <w:t xml:space="preserve"> As per approval by the relevant decision-making body/Steering Committee.</w:t>
      </w:r>
    </w:p>
  </w:footnote>
  <w:footnote w:id="6">
    <w:p w:rsidR="00840C5C" w:rsidRPr="00570355" w:rsidRDefault="00840C5C" w:rsidP="000134CC">
      <w:pPr>
        <w:pStyle w:val="FootnoteText"/>
        <w:rPr>
          <w:sz w:val="18"/>
          <w:szCs w:val="18"/>
        </w:rPr>
      </w:pPr>
      <w:r w:rsidRPr="00570355">
        <w:rPr>
          <w:rStyle w:val="FootnoteReference"/>
          <w:sz w:val="18"/>
          <w:szCs w:val="18"/>
        </w:rPr>
        <w:footnoteRef/>
      </w:r>
      <w:r w:rsidRPr="00570355">
        <w:rPr>
          <w:sz w:val="18"/>
          <w:szCs w:val="18"/>
        </w:rPr>
        <w:t xml:space="preserve"> All activities for which a Participating Organization is responsible under an approved MPTF programme have been completed. </w:t>
      </w:r>
      <w:proofErr w:type="gramStart"/>
      <w:r w:rsidRPr="00570355">
        <w:rPr>
          <w:sz w:val="18"/>
          <w:szCs w:val="18"/>
        </w:rPr>
        <w:t>Agencies to advise the MPTF Office.</w:t>
      </w:r>
      <w:proofErr w:type="gramEnd"/>
      <w:r w:rsidRPr="00570355">
        <w:rPr>
          <w:sz w:val="18"/>
          <w:szCs w:val="18"/>
        </w:rPr>
        <w:t xml:space="preserve"> </w:t>
      </w:r>
    </w:p>
  </w:footnote>
  <w:footnote w:id="7">
    <w:p w:rsidR="00840C5C" w:rsidRPr="00570355" w:rsidRDefault="00840C5C">
      <w:pPr>
        <w:pStyle w:val="FootnoteText"/>
        <w:rPr>
          <w:sz w:val="18"/>
          <w:szCs w:val="18"/>
        </w:rPr>
      </w:pPr>
      <w:r w:rsidRPr="00570355">
        <w:rPr>
          <w:rStyle w:val="FootnoteReference"/>
          <w:sz w:val="18"/>
          <w:szCs w:val="18"/>
        </w:rPr>
        <w:footnoteRef/>
      </w:r>
      <w:r w:rsidRPr="00570355">
        <w:rPr>
          <w:sz w:val="18"/>
          <w:szCs w:val="18"/>
        </w:rPr>
        <w:t xml:space="preserve"> For PBF: Either country relevant or PMP specific.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32" w:rsidRDefault="00061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5.25pt;height:5.25pt" o:bullet="t">
        <v:imagedata r:id="rId1" o:title="bullet"/>
      </v:shape>
    </w:pict>
  </w:numPicBullet>
  <w:numPicBullet w:numPicBulletId="1">
    <w:pict>
      <v:shape id="_x0000_i1152" type="#_x0000_t75" style="width:3in;height:3in" o:bullet="t"/>
    </w:pict>
  </w:numPicBullet>
  <w:numPicBullet w:numPicBulletId="2">
    <w:pict>
      <v:shape id="_x0000_i1153" type="#_x0000_t75" style="width:3in;height:3in" o:bullet="t"/>
    </w:pict>
  </w:numPicBullet>
  <w:numPicBullet w:numPicBulletId="3">
    <w:pict>
      <v:shape id="_x0000_i1154" type="#_x0000_t75" style="width:3in;height:3in" o:bullet="t"/>
    </w:pict>
  </w:numPicBullet>
  <w:numPicBullet w:numPicBulletId="4">
    <w:pict>
      <v:shape id="_x0000_i1155" type="#_x0000_t75" style="width:3in;height:3in" o:bullet="t"/>
    </w:pict>
  </w:numPicBullet>
  <w:numPicBullet w:numPicBulletId="5">
    <w:pict>
      <v:shape id="_x0000_i1156" type="#_x0000_t75" style="width:3in;height:3in" o:bullet="t"/>
    </w:pict>
  </w:numPicBullet>
  <w:numPicBullet w:numPicBulletId="6">
    <w:pict>
      <v:shape id="_x0000_i1157" type="#_x0000_t75" style="width:3in;height:3in" o:bullet="t"/>
    </w:pict>
  </w:numPicBullet>
  <w:numPicBullet w:numPicBulletId="7">
    <w:pict>
      <v:shape id="_x0000_i1158" type="#_x0000_t75" style="width:3in;height:3in" o:bullet="t"/>
    </w:pict>
  </w:numPicBullet>
  <w:numPicBullet w:numPicBulletId="8">
    <w:pict>
      <v:shape id="_x0000_i1159" type="#_x0000_t75" style="width:3in;height:3in" o:bullet="t"/>
    </w:pict>
  </w:numPicBullet>
  <w:numPicBullet w:numPicBulletId="9">
    <w:pict>
      <v:shape id="_x0000_i1160" type="#_x0000_t75" style="width:3in;height:3in" o:bullet="t"/>
    </w:pict>
  </w:numPicBullet>
  <w:numPicBullet w:numPicBulletId="10">
    <w:pict>
      <v:shape id="_x0000_i1161" type="#_x0000_t75" style="width:3in;height:3in" o:bullet="t"/>
    </w:pict>
  </w:numPicBullet>
  <w:numPicBullet w:numPicBulletId="11">
    <w:pict>
      <v:shape id="_x0000_i1162" type="#_x0000_t75" style="width:3in;height:3in" o:bullet="t"/>
    </w:pict>
  </w:numPicBullet>
  <w:numPicBullet w:numPicBulletId="12">
    <w:pict>
      <v:shape id="_x0000_i1163" type="#_x0000_t75" style="width:3in;height:3in" o:bullet="t"/>
    </w:pict>
  </w:numPicBullet>
  <w:numPicBullet w:numPicBulletId="13">
    <w:pict>
      <v:shape id="_x0000_i1164" type="#_x0000_t75" style="width:3in;height:3in" o:bullet="t"/>
    </w:pict>
  </w:numPicBullet>
  <w:numPicBullet w:numPicBulletId="14">
    <w:pict>
      <v:shape id="_x0000_i1165" type="#_x0000_t75" style="width:3in;height:3in" o:bullet="t"/>
    </w:pict>
  </w:numPicBullet>
  <w:abstractNum w:abstractNumId="0">
    <w:nsid w:val="02226FC9"/>
    <w:multiLevelType w:val="hybridMultilevel"/>
    <w:tmpl w:val="722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4688"/>
    <w:multiLevelType w:val="hybridMultilevel"/>
    <w:tmpl w:val="476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53424"/>
    <w:multiLevelType w:val="hybridMultilevel"/>
    <w:tmpl w:val="3D14A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196667C"/>
    <w:multiLevelType w:val="hybridMultilevel"/>
    <w:tmpl w:val="FC46C3C2"/>
    <w:lvl w:ilvl="0" w:tplc="9FC6E8D4">
      <w:start w:val="1"/>
      <w:numFmt w:val="decimal"/>
      <w:lvlText w:val="%1."/>
      <w:lvlJc w:val="left"/>
      <w:pPr>
        <w:tabs>
          <w:tab w:val="num" w:pos="720"/>
        </w:tabs>
        <w:ind w:left="720" w:hanging="360"/>
      </w:pPr>
    </w:lvl>
    <w:lvl w:ilvl="1" w:tplc="C7DE3DBE" w:tentative="1">
      <w:start w:val="1"/>
      <w:numFmt w:val="decimal"/>
      <w:lvlText w:val="%2."/>
      <w:lvlJc w:val="left"/>
      <w:pPr>
        <w:tabs>
          <w:tab w:val="num" w:pos="1440"/>
        </w:tabs>
        <w:ind w:left="1440" w:hanging="360"/>
      </w:pPr>
    </w:lvl>
    <w:lvl w:ilvl="2" w:tplc="28C8026E" w:tentative="1">
      <w:start w:val="1"/>
      <w:numFmt w:val="decimal"/>
      <w:lvlText w:val="%3."/>
      <w:lvlJc w:val="left"/>
      <w:pPr>
        <w:tabs>
          <w:tab w:val="num" w:pos="2160"/>
        </w:tabs>
        <w:ind w:left="2160" w:hanging="360"/>
      </w:pPr>
    </w:lvl>
    <w:lvl w:ilvl="3" w:tplc="747E836A" w:tentative="1">
      <w:start w:val="1"/>
      <w:numFmt w:val="decimal"/>
      <w:lvlText w:val="%4."/>
      <w:lvlJc w:val="left"/>
      <w:pPr>
        <w:tabs>
          <w:tab w:val="num" w:pos="2880"/>
        </w:tabs>
        <w:ind w:left="2880" w:hanging="360"/>
      </w:pPr>
    </w:lvl>
    <w:lvl w:ilvl="4" w:tplc="EB68A76A" w:tentative="1">
      <w:start w:val="1"/>
      <w:numFmt w:val="decimal"/>
      <w:lvlText w:val="%5."/>
      <w:lvlJc w:val="left"/>
      <w:pPr>
        <w:tabs>
          <w:tab w:val="num" w:pos="3600"/>
        </w:tabs>
        <w:ind w:left="3600" w:hanging="360"/>
      </w:pPr>
    </w:lvl>
    <w:lvl w:ilvl="5" w:tplc="00784522" w:tentative="1">
      <w:start w:val="1"/>
      <w:numFmt w:val="decimal"/>
      <w:lvlText w:val="%6."/>
      <w:lvlJc w:val="left"/>
      <w:pPr>
        <w:tabs>
          <w:tab w:val="num" w:pos="4320"/>
        </w:tabs>
        <w:ind w:left="4320" w:hanging="360"/>
      </w:pPr>
    </w:lvl>
    <w:lvl w:ilvl="6" w:tplc="B95CA2EA" w:tentative="1">
      <w:start w:val="1"/>
      <w:numFmt w:val="decimal"/>
      <w:lvlText w:val="%7."/>
      <w:lvlJc w:val="left"/>
      <w:pPr>
        <w:tabs>
          <w:tab w:val="num" w:pos="5040"/>
        </w:tabs>
        <w:ind w:left="5040" w:hanging="360"/>
      </w:pPr>
    </w:lvl>
    <w:lvl w:ilvl="7" w:tplc="5566ACB2" w:tentative="1">
      <w:start w:val="1"/>
      <w:numFmt w:val="decimal"/>
      <w:lvlText w:val="%8."/>
      <w:lvlJc w:val="left"/>
      <w:pPr>
        <w:tabs>
          <w:tab w:val="num" w:pos="5760"/>
        </w:tabs>
        <w:ind w:left="5760" w:hanging="360"/>
      </w:pPr>
    </w:lvl>
    <w:lvl w:ilvl="8" w:tplc="9C783F68" w:tentative="1">
      <w:start w:val="1"/>
      <w:numFmt w:val="decimal"/>
      <w:lvlText w:val="%9."/>
      <w:lvlJc w:val="left"/>
      <w:pPr>
        <w:tabs>
          <w:tab w:val="num" w:pos="6480"/>
        </w:tabs>
        <w:ind w:left="6480" w:hanging="360"/>
      </w:pPr>
    </w:lvl>
  </w:abstractNum>
  <w:abstractNum w:abstractNumId="6">
    <w:nsid w:val="141F2EDF"/>
    <w:multiLevelType w:val="hybridMultilevel"/>
    <w:tmpl w:val="80C23968"/>
    <w:lvl w:ilvl="0" w:tplc="38B272F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942CF"/>
    <w:multiLevelType w:val="hybridMultilevel"/>
    <w:tmpl w:val="72CC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A1B71"/>
    <w:multiLevelType w:val="hybridMultilevel"/>
    <w:tmpl w:val="CD4A3B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F96AC1"/>
    <w:multiLevelType w:val="hybridMultilevel"/>
    <w:tmpl w:val="CD98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35BE9"/>
    <w:multiLevelType w:val="hybridMultilevel"/>
    <w:tmpl w:val="D0DABF7A"/>
    <w:lvl w:ilvl="0" w:tplc="CAFA612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B5788"/>
    <w:multiLevelType w:val="hybridMultilevel"/>
    <w:tmpl w:val="5BB25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5F14B5"/>
    <w:multiLevelType w:val="hybridMultilevel"/>
    <w:tmpl w:val="262A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25BA0"/>
    <w:multiLevelType w:val="hybridMultilevel"/>
    <w:tmpl w:val="7382AAE2"/>
    <w:lvl w:ilvl="0" w:tplc="31808CC0">
      <w:start w:val="1"/>
      <w:numFmt w:val="decimal"/>
      <w:lvlText w:val="%1-"/>
      <w:lvlJc w:val="left"/>
      <w:pPr>
        <w:ind w:left="180" w:hanging="720"/>
      </w:pPr>
      <w:rPr>
        <w:rFonts w:ascii="Times New Roman" w:eastAsia="Times New Roman" w:hAnsi="Times New Roman" w:cs="Times New Roman"/>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81BD6"/>
    <w:multiLevelType w:val="hybridMultilevel"/>
    <w:tmpl w:val="1DF8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C7C1E"/>
    <w:multiLevelType w:val="hybridMultilevel"/>
    <w:tmpl w:val="D69CB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F24F71"/>
    <w:multiLevelType w:val="hybridMultilevel"/>
    <w:tmpl w:val="D3AC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57C4E"/>
    <w:multiLevelType w:val="hybridMultilevel"/>
    <w:tmpl w:val="0930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D2A57"/>
    <w:multiLevelType w:val="hybridMultilevel"/>
    <w:tmpl w:val="DA964A7E"/>
    <w:lvl w:ilvl="0" w:tplc="A062484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2A49A4"/>
    <w:multiLevelType w:val="hybridMultilevel"/>
    <w:tmpl w:val="2C54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27E50"/>
    <w:multiLevelType w:val="hybridMultilevel"/>
    <w:tmpl w:val="3890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85851"/>
    <w:multiLevelType w:val="hybridMultilevel"/>
    <w:tmpl w:val="D702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5C74D1E"/>
    <w:multiLevelType w:val="hybridMultilevel"/>
    <w:tmpl w:val="4DF8B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835121D"/>
    <w:multiLevelType w:val="hybridMultilevel"/>
    <w:tmpl w:val="15DC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22648"/>
    <w:multiLevelType w:val="hybridMultilevel"/>
    <w:tmpl w:val="B39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6349F"/>
    <w:multiLevelType w:val="hybridMultilevel"/>
    <w:tmpl w:val="94E21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8239B"/>
    <w:multiLevelType w:val="multilevel"/>
    <w:tmpl w:val="65BA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B8081F"/>
    <w:multiLevelType w:val="hybridMultilevel"/>
    <w:tmpl w:val="016E3E14"/>
    <w:lvl w:ilvl="0" w:tplc="F4DC302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A674C"/>
    <w:multiLevelType w:val="hybridMultilevel"/>
    <w:tmpl w:val="438A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F2698"/>
    <w:multiLevelType w:val="hybridMultilevel"/>
    <w:tmpl w:val="BACE089A"/>
    <w:lvl w:ilvl="0" w:tplc="67CC9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5221B"/>
    <w:multiLevelType w:val="hybridMultilevel"/>
    <w:tmpl w:val="48520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4"/>
  </w:num>
  <w:num w:numId="3">
    <w:abstractNumId w:val="1"/>
  </w:num>
  <w:num w:numId="4">
    <w:abstractNumId w:val="19"/>
  </w:num>
  <w:num w:numId="5">
    <w:abstractNumId w:val="23"/>
  </w:num>
  <w:num w:numId="6">
    <w:abstractNumId w:val="20"/>
  </w:num>
  <w:num w:numId="7">
    <w:abstractNumId w:val="31"/>
  </w:num>
  <w:num w:numId="8">
    <w:abstractNumId w:val="9"/>
  </w:num>
  <w:num w:numId="9">
    <w:abstractNumId w:val="15"/>
  </w:num>
  <w:num w:numId="10">
    <w:abstractNumId w:val="36"/>
  </w:num>
  <w:num w:numId="11">
    <w:abstractNumId w:val="14"/>
  </w:num>
  <w:num w:numId="12">
    <w:abstractNumId w:val="27"/>
  </w:num>
  <w:num w:numId="13">
    <w:abstractNumId w:val="26"/>
  </w:num>
  <w:num w:numId="14">
    <w:abstractNumId w:val="11"/>
  </w:num>
  <w:num w:numId="15">
    <w:abstractNumId w:val="33"/>
  </w:num>
  <w:num w:numId="16">
    <w:abstractNumId w:val="24"/>
  </w:num>
  <w:num w:numId="17">
    <w:abstractNumId w:val="3"/>
  </w:num>
  <w:num w:numId="18">
    <w:abstractNumId w:val="18"/>
  </w:num>
  <w:num w:numId="19">
    <w:abstractNumId w:val="29"/>
  </w:num>
  <w:num w:numId="20">
    <w:abstractNumId w:val="7"/>
  </w:num>
  <w:num w:numId="21">
    <w:abstractNumId w:val="38"/>
  </w:num>
  <w:num w:numId="22">
    <w:abstractNumId w:val="2"/>
  </w:num>
  <w:num w:numId="23">
    <w:abstractNumId w:val="12"/>
  </w:num>
  <w:num w:numId="24">
    <w:abstractNumId w:val="25"/>
  </w:num>
  <w:num w:numId="25">
    <w:abstractNumId w:val="21"/>
  </w:num>
  <w:num w:numId="26">
    <w:abstractNumId w:val="0"/>
  </w:num>
  <w:num w:numId="27">
    <w:abstractNumId w:val="16"/>
  </w:num>
  <w:num w:numId="28">
    <w:abstractNumId w:val="32"/>
  </w:num>
  <w:num w:numId="29">
    <w:abstractNumId w:val="10"/>
  </w:num>
  <w:num w:numId="30">
    <w:abstractNumId w:val="6"/>
  </w:num>
  <w:num w:numId="31">
    <w:abstractNumId w:val="22"/>
  </w:num>
  <w:num w:numId="32">
    <w:abstractNumId w:val="30"/>
  </w:num>
  <w:num w:numId="33">
    <w:abstractNumId w:val="5"/>
  </w:num>
  <w:num w:numId="34">
    <w:abstractNumId w:val="37"/>
  </w:num>
  <w:num w:numId="35">
    <w:abstractNumId w:val="28"/>
  </w:num>
  <w:num w:numId="36">
    <w:abstractNumId w:val="17"/>
  </w:num>
  <w:num w:numId="37">
    <w:abstractNumId w:val="8"/>
  </w:num>
  <w:num w:numId="38">
    <w:abstractNumId w:val="13"/>
  </w:num>
  <w:num w:numId="39">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2049" fillcolor="white">
      <v:fill color="white"/>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8F2AC2"/>
    <w:rsid w:val="00001090"/>
    <w:rsid w:val="00003AEB"/>
    <w:rsid w:val="0000463D"/>
    <w:rsid w:val="00004E2F"/>
    <w:rsid w:val="00006F87"/>
    <w:rsid w:val="000078BC"/>
    <w:rsid w:val="00007ECE"/>
    <w:rsid w:val="00010CC7"/>
    <w:rsid w:val="000121B0"/>
    <w:rsid w:val="000134CC"/>
    <w:rsid w:val="00013DD9"/>
    <w:rsid w:val="00016418"/>
    <w:rsid w:val="00022F3D"/>
    <w:rsid w:val="00023CB6"/>
    <w:rsid w:val="00024E63"/>
    <w:rsid w:val="00024F9B"/>
    <w:rsid w:val="00027B2D"/>
    <w:rsid w:val="000308D4"/>
    <w:rsid w:val="00031DC9"/>
    <w:rsid w:val="0003275E"/>
    <w:rsid w:val="00043245"/>
    <w:rsid w:val="00047BF0"/>
    <w:rsid w:val="00047ECF"/>
    <w:rsid w:val="00052FF4"/>
    <w:rsid w:val="0005307F"/>
    <w:rsid w:val="00054C7F"/>
    <w:rsid w:val="00056B62"/>
    <w:rsid w:val="00057B53"/>
    <w:rsid w:val="00057D18"/>
    <w:rsid w:val="00061526"/>
    <w:rsid w:val="00061732"/>
    <w:rsid w:val="00061CBE"/>
    <w:rsid w:val="0006362F"/>
    <w:rsid w:val="00064352"/>
    <w:rsid w:val="00066137"/>
    <w:rsid w:val="00066978"/>
    <w:rsid w:val="000707CD"/>
    <w:rsid w:val="000719E7"/>
    <w:rsid w:val="00072486"/>
    <w:rsid w:val="00075406"/>
    <w:rsid w:val="00085676"/>
    <w:rsid w:val="000856CC"/>
    <w:rsid w:val="00085C04"/>
    <w:rsid w:val="00090D90"/>
    <w:rsid w:val="00092501"/>
    <w:rsid w:val="00092FA0"/>
    <w:rsid w:val="00094451"/>
    <w:rsid w:val="00094B2F"/>
    <w:rsid w:val="000952DB"/>
    <w:rsid w:val="000963E1"/>
    <w:rsid w:val="00096711"/>
    <w:rsid w:val="000968C1"/>
    <w:rsid w:val="00097669"/>
    <w:rsid w:val="000978CA"/>
    <w:rsid w:val="000A0CB2"/>
    <w:rsid w:val="000A126F"/>
    <w:rsid w:val="000A146E"/>
    <w:rsid w:val="000A5536"/>
    <w:rsid w:val="000A5F18"/>
    <w:rsid w:val="000A6B53"/>
    <w:rsid w:val="000A76D7"/>
    <w:rsid w:val="000B09FF"/>
    <w:rsid w:val="000B599B"/>
    <w:rsid w:val="000B7434"/>
    <w:rsid w:val="000B7D96"/>
    <w:rsid w:val="000C0119"/>
    <w:rsid w:val="000C03EE"/>
    <w:rsid w:val="000C05F0"/>
    <w:rsid w:val="000C0B78"/>
    <w:rsid w:val="000C2A11"/>
    <w:rsid w:val="000C35B0"/>
    <w:rsid w:val="000C4E19"/>
    <w:rsid w:val="000C656D"/>
    <w:rsid w:val="000D498F"/>
    <w:rsid w:val="000D4A69"/>
    <w:rsid w:val="000D5AB1"/>
    <w:rsid w:val="000D6D9C"/>
    <w:rsid w:val="000E29CC"/>
    <w:rsid w:val="000E565E"/>
    <w:rsid w:val="000E56D9"/>
    <w:rsid w:val="000F089D"/>
    <w:rsid w:val="000F1760"/>
    <w:rsid w:val="000F23F3"/>
    <w:rsid w:val="000F6B87"/>
    <w:rsid w:val="001034E2"/>
    <w:rsid w:val="00104FD9"/>
    <w:rsid w:val="00106032"/>
    <w:rsid w:val="00106A96"/>
    <w:rsid w:val="00107683"/>
    <w:rsid w:val="00107760"/>
    <w:rsid w:val="001109E5"/>
    <w:rsid w:val="00110D27"/>
    <w:rsid w:val="0011166F"/>
    <w:rsid w:val="00114459"/>
    <w:rsid w:val="00114C7D"/>
    <w:rsid w:val="00115BC3"/>
    <w:rsid w:val="001166D5"/>
    <w:rsid w:val="0011699C"/>
    <w:rsid w:val="00117BE3"/>
    <w:rsid w:val="001210A7"/>
    <w:rsid w:val="00122622"/>
    <w:rsid w:val="0012303A"/>
    <w:rsid w:val="00123EC0"/>
    <w:rsid w:val="00124B56"/>
    <w:rsid w:val="00124FA6"/>
    <w:rsid w:val="00126292"/>
    <w:rsid w:val="00126F9C"/>
    <w:rsid w:val="00127A4E"/>
    <w:rsid w:val="001306BB"/>
    <w:rsid w:val="00130DB9"/>
    <w:rsid w:val="00131FDD"/>
    <w:rsid w:val="00132552"/>
    <w:rsid w:val="0013530A"/>
    <w:rsid w:val="00135A00"/>
    <w:rsid w:val="0013612C"/>
    <w:rsid w:val="00136A69"/>
    <w:rsid w:val="00137DC0"/>
    <w:rsid w:val="00140FE5"/>
    <w:rsid w:val="001413E1"/>
    <w:rsid w:val="001429E1"/>
    <w:rsid w:val="00143640"/>
    <w:rsid w:val="001436A4"/>
    <w:rsid w:val="00144613"/>
    <w:rsid w:val="001447FB"/>
    <w:rsid w:val="00144ED5"/>
    <w:rsid w:val="0014549D"/>
    <w:rsid w:val="00145891"/>
    <w:rsid w:val="001500E9"/>
    <w:rsid w:val="00152349"/>
    <w:rsid w:val="00152A7A"/>
    <w:rsid w:val="00152C2B"/>
    <w:rsid w:val="0015472D"/>
    <w:rsid w:val="001547E7"/>
    <w:rsid w:val="001556F2"/>
    <w:rsid w:val="00157380"/>
    <w:rsid w:val="0015763B"/>
    <w:rsid w:val="001602DF"/>
    <w:rsid w:val="00160579"/>
    <w:rsid w:val="00161B96"/>
    <w:rsid w:val="001631B7"/>
    <w:rsid w:val="001649DC"/>
    <w:rsid w:val="00164D69"/>
    <w:rsid w:val="00165038"/>
    <w:rsid w:val="00170DD0"/>
    <w:rsid w:val="00171470"/>
    <w:rsid w:val="0017274A"/>
    <w:rsid w:val="001737DA"/>
    <w:rsid w:val="0017410F"/>
    <w:rsid w:val="001742CC"/>
    <w:rsid w:val="00177DF2"/>
    <w:rsid w:val="0018287C"/>
    <w:rsid w:val="00182CF0"/>
    <w:rsid w:val="0018433C"/>
    <w:rsid w:val="001854AB"/>
    <w:rsid w:val="00186C6B"/>
    <w:rsid w:val="00190734"/>
    <w:rsid w:val="00193B41"/>
    <w:rsid w:val="00194DDC"/>
    <w:rsid w:val="001957DC"/>
    <w:rsid w:val="00196119"/>
    <w:rsid w:val="00196957"/>
    <w:rsid w:val="00197C6B"/>
    <w:rsid w:val="001A0BE9"/>
    <w:rsid w:val="001A0E87"/>
    <w:rsid w:val="001A2C73"/>
    <w:rsid w:val="001A2C75"/>
    <w:rsid w:val="001A5801"/>
    <w:rsid w:val="001A6C5F"/>
    <w:rsid w:val="001B2650"/>
    <w:rsid w:val="001B4B3F"/>
    <w:rsid w:val="001B59C3"/>
    <w:rsid w:val="001C1E68"/>
    <w:rsid w:val="001C209F"/>
    <w:rsid w:val="001C4C70"/>
    <w:rsid w:val="001C542E"/>
    <w:rsid w:val="001C5C73"/>
    <w:rsid w:val="001C7C21"/>
    <w:rsid w:val="001D034C"/>
    <w:rsid w:val="001D0881"/>
    <w:rsid w:val="001D1478"/>
    <w:rsid w:val="001D1E0E"/>
    <w:rsid w:val="001D242B"/>
    <w:rsid w:val="001D4CA5"/>
    <w:rsid w:val="001D757B"/>
    <w:rsid w:val="001E101F"/>
    <w:rsid w:val="001E119F"/>
    <w:rsid w:val="001E1693"/>
    <w:rsid w:val="001E21A6"/>
    <w:rsid w:val="001E232C"/>
    <w:rsid w:val="001E2946"/>
    <w:rsid w:val="001E6748"/>
    <w:rsid w:val="001E73CC"/>
    <w:rsid w:val="001F3FDE"/>
    <w:rsid w:val="001F45E5"/>
    <w:rsid w:val="001F4683"/>
    <w:rsid w:val="001F4D9E"/>
    <w:rsid w:val="001F5C51"/>
    <w:rsid w:val="00204B81"/>
    <w:rsid w:val="00205C75"/>
    <w:rsid w:val="00205F81"/>
    <w:rsid w:val="00206941"/>
    <w:rsid w:val="00206C71"/>
    <w:rsid w:val="0021182F"/>
    <w:rsid w:val="00212FEB"/>
    <w:rsid w:val="00213E87"/>
    <w:rsid w:val="00214CF8"/>
    <w:rsid w:val="0021513C"/>
    <w:rsid w:val="00215D1B"/>
    <w:rsid w:val="002169D0"/>
    <w:rsid w:val="00216EA3"/>
    <w:rsid w:val="002179BB"/>
    <w:rsid w:val="00220D29"/>
    <w:rsid w:val="0022174F"/>
    <w:rsid w:val="00225073"/>
    <w:rsid w:val="0022600F"/>
    <w:rsid w:val="00230247"/>
    <w:rsid w:val="00231F89"/>
    <w:rsid w:val="00233E28"/>
    <w:rsid w:val="0023529C"/>
    <w:rsid w:val="002411F6"/>
    <w:rsid w:val="0024160D"/>
    <w:rsid w:val="00241DAA"/>
    <w:rsid w:val="00243F99"/>
    <w:rsid w:val="002455B6"/>
    <w:rsid w:val="00245F16"/>
    <w:rsid w:val="00247BA2"/>
    <w:rsid w:val="00251130"/>
    <w:rsid w:val="00252D7B"/>
    <w:rsid w:val="002535FA"/>
    <w:rsid w:val="00253F7D"/>
    <w:rsid w:val="00255B0E"/>
    <w:rsid w:val="0025606E"/>
    <w:rsid w:val="002562DF"/>
    <w:rsid w:val="00260B8F"/>
    <w:rsid w:val="002637DC"/>
    <w:rsid w:val="0027001F"/>
    <w:rsid w:val="00270043"/>
    <w:rsid w:val="0027139F"/>
    <w:rsid w:val="0027356F"/>
    <w:rsid w:val="00274BA5"/>
    <w:rsid w:val="00274F02"/>
    <w:rsid w:val="0027562E"/>
    <w:rsid w:val="002758F3"/>
    <w:rsid w:val="00275A4A"/>
    <w:rsid w:val="002801C6"/>
    <w:rsid w:val="002805D4"/>
    <w:rsid w:val="00280FB9"/>
    <w:rsid w:val="00281438"/>
    <w:rsid w:val="002831AD"/>
    <w:rsid w:val="002843E4"/>
    <w:rsid w:val="00284411"/>
    <w:rsid w:val="002858B7"/>
    <w:rsid w:val="00293D52"/>
    <w:rsid w:val="00296A38"/>
    <w:rsid w:val="002A02A4"/>
    <w:rsid w:val="002A0F11"/>
    <w:rsid w:val="002A2134"/>
    <w:rsid w:val="002A2D83"/>
    <w:rsid w:val="002A3031"/>
    <w:rsid w:val="002A340B"/>
    <w:rsid w:val="002A5178"/>
    <w:rsid w:val="002A5950"/>
    <w:rsid w:val="002A5D58"/>
    <w:rsid w:val="002A6952"/>
    <w:rsid w:val="002A7331"/>
    <w:rsid w:val="002A7665"/>
    <w:rsid w:val="002B10BF"/>
    <w:rsid w:val="002B14C9"/>
    <w:rsid w:val="002B2B6B"/>
    <w:rsid w:val="002B5701"/>
    <w:rsid w:val="002B5DC4"/>
    <w:rsid w:val="002B6CE0"/>
    <w:rsid w:val="002B71C1"/>
    <w:rsid w:val="002B73A4"/>
    <w:rsid w:val="002C126A"/>
    <w:rsid w:val="002C2B33"/>
    <w:rsid w:val="002C37DA"/>
    <w:rsid w:val="002C4A03"/>
    <w:rsid w:val="002C50E8"/>
    <w:rsid w:val="002C59BD"/>
    <w:rsid w:val="002C690B"/>
    <w:rsid w:val="002D3A45"/>
    <w:rsid w:val="002D61A7"/>
    <w:rsid w:val="002E080E"/>
    <w:rsid w:val="002E2192"/>
    <w:rsid w:val="002E50CF"/>
    <w:rsid w:val="002E7441"/>
    <w:rsid w:val="002E77D1"/>
    <w:rsid w:val="002F0880"/>
    <w:rsid w:val="002F1156"/>
    <w:rsid w:val="002F3EFE"/>
    <w:rsid w:val="002F4180"/>
    <w:rsid w:val="002F456B"/>
    <w:rsid w:val="002F47C5"/>
    <w:rsid w:val="002F5953"/>
    <w:rsid w:val="002F6AF4"/>
    <w:rsid w:val="00303DA6"/>
    <w:rsid w:val="0030509D"/>
    <w:rsid w:val="00306002"/>
    <w:rsid w:val="00306E81"/>
    <w:rsid w:val="00307C87"/>
    <w:rsid w:val="00310168"/>
    <w:rsid w:val="00310C19"/>
    <w:rsid w:val="00311C7E"/>
    <w:rsid w:val="00312299"/>
    <w:rsid w:val="00312685"/>
    <w:rsid w:val="0031283E"/>
    <w:rsid w:val="00313885"/>
    <w:rsid w:val="00314A5F"/>
    <w:rsid w:val="003168CE"/>
    <w:rsid w:val="00320895"/>
    <w:rsid w:val="00321296"/>
    <w:rsid w:val="00330077"/>
    <w:rsid w:val="0033662C"/>
    <w:rsid w:val="003369D5"/>
    <w:rsid w:val="0033766C"/>
    <w:rsid w:val="00340890"/>
    <w:rsid w:val="0034386B"/>
    <w:rsid w:val="003440E4"/>
    <w:rsid w:val="00344BFF"/>
    <w:rsid w:val="00346939"/>
    <w:rsid w:val="00346CB7"/>
    <w:rsid w:val="00346FFE"/>
    <w:rsid w:val="003475AF"/>
    <w:rsid w:val="00351A14"/>
    <w:rsid w:val="0035229A"/>
    <w:rsid w:val="00352949"/>
    <w:rsid w:val="00354859"/>
    <w:rsid w:val="00356D08"/>
    <w:rsid w:val="00360431"/>
    <w:rsid w:val="00360501"/>
    <w:rsid w:val="00360945"/>
    <w:rsid w:val="0036774E"/>
    <w:rsid w:val="003707DE"/>
    <w:rsid w:val="003708CB"/>
    <w:rsid w:val="00372D07"/>
    <w:rsid w:val="003741A1"/>
    <w:rsid w:val="00375FFA"/>
    <w:rsid w:val="0037784E"/>
    <w:rsid w:val="00377F9A"/>
    <w:rsid w:val="003815EF"/>
    <w:rsid w:val="00382466"/>
    <w:rsid w:val="00382573"/>
    <w:rsid w:val="00382C99"/>
    <w:rsid w:val="00383357"/>
    <w:rsid w:val="00385243"/>
    <w:rsid w:val="003873F4"/>
    <w:rsid w:val="003879DF"/>
    <w:rsid w:val="00390F98"/>
    <w:rsid w:val="00393257"/>
    <w:rsid w:val="00396D76"/>
    <w:rsid w:val="00396FEE"/>
    <w:rsid w:val="00397F78"/>
    <w:rsid w:val="003A085F"/>
    <w:rsid w:val="003A0CB4"/>
    <w:rsid w:val="003A18AE"/>
    <w:rsid w:val="003A1AF5"/>
    <w:rsid w:val="003A27F6"/>
    <w:rsid w:val="003A305A"/>
    <w:rsid w:val="003A77A2"/>
    <w:rsid w:val="003A7F40"/>
    <w:rsid w:val="003A7FBA"/>
    <w:rsid w:val="003B0060"/>
    <w:rsid w:val="003B0303"/>
    <w:rsid w:val="003B0BBB"/>
    <w:rsid w:val="003B2C59"/>
    <w:rsid w:val="003B454A"/>
    <w:rsid w:val="003C1948"/>
    <w:rsid w:val="003C1A31"/>
    <w:rsid w:val="003C1A52"/>
    <w:rsid w:val="003C263F"/>
    <w:rsid w:val="003C3941"/>
    <w:rsid w:val="003C3FC0"/>
    <w:rsid w:val="003C4D74"/>
    <w:rsid w:val="003C5142"/>
    <w:rsid w:val="003C61A6"/>
    <w:rsid w:val="003C6557"/>
    <w:rsid w:val="003D13A8"/>
    <w:rsid w:val="003D210A"/>
    <w:rsid w:val="003D3325"/>
    <w:rsid w:val="003D4331"/>
    <w:rsid w:val="003D713D"/>
    <w:rsid w:val="003E068D"/>
    <w:rsid w:val="003E1087"/>
    <w:rsid w:val="003E1948"/>
    <w:rsid w:val="003E2E91"/>
    <w:rsid w:val="003E3CFD"/>
    <w:rsid w:val="003E442A"/>
    <w:rsid w:val="003E51E4"/>
    <w:rsid w:val="003E62C0"/>
    <w:rsid w:val="003E6AF1"/>
    <w:rsid w:val="003F0F7A"/>
    <w:rsid w:val="003F231D"/>
    <w:rsid w:val="003F446E"/>
    <w:rsid w:val="003F5D12"/>
    <w:rsid w:val="003F7C37"/>
    <w:rsid w:val="003F7E15"/>
    <w:rsid w:val="00400AA8"/>
    <w:rsid w:val="00404C8F"/>
    <w:rsid w:val="00405A55"/>
    <w:rsid w:val="0041185F"/>
    <w:rsid w:val="00412D59"/>
    <w:rsid w:val="00413EAD"/>
    <w:rsid w:val="004149D1"/>
    <w:rsid w:val="004160BF"/>
    <w:rsid w:val="004174FB"/>
    <w:rsid w:val="00417B11"/>
    <w:rsid w:val="00420C6A"/>
    <w:rsid w:val="00422D8B"/>
    <w:rsid w:val="00423315"/>
    <w:rsid w:val="00427179"/>
    <w:rsid w:val="004306AA"/>
    <w:rsid w:val="00431726"/>
    <w:rsid w:val="00431BC2"/>
    <w:rsid w:val="00432267"/>
    <w:rsid w:val="0043348A"/>
    <w:rsid w:val="00435C09"/>
    <w:rsid w:val="004366EB"/>
    <w:rsid w:val="00441EA0"/>
    <w:rsid w:val="00442935"/>
    <w:rsid w:val="00442C6B"/>
    <w:rsid w:val="0044408D"/>
    <w:rsid w:val="0044761E"/>
    <w:rsid w:val="00450994"/>
    <w:rsid w:val="00452ED1"/>
    <w:rsid w:val="00454E74"/>
    <w:rsid w:val="0045566E"/>
    <w:rsid w:val="00455DEA"/>
    <w:rsid w:val="0045611F"/>
    <w:rsid w:val="004600E3"/>
    <w:rsid w:val="00460633"/>
    <w:rsid w:val="00461CAC"/>
    <w:rsid w:val="004625F4"/>
    <w:rsid w:val="004628E4"/>
    <w:rsid w:val="00463BDF"/>
    <w:rsid w:val="004658BE"/>
    <w:rsid w:val="00465922"/>
    <w:rsid w:val="00465B26"/>
    <w:rsid w:val="00466449"/>
    <w:rsid w:val="00466AE2"/>
    <w:rsid w:val="00466DEB"/>
    <w:rsid w:val="00466E3B"/>
    <w:rsid w:val="00470009"/>
    <w:rsid w:val="0047020F"/>
    <w:rsid w:val="00470C2A"/>
    <w:rsid w:val="00471235"/>
    <w:rsid w:val="00474CF5"/>
    <w:rsid w:val="004763E7"/>
    <w:rsid w:val="00476850"/>
    <w:rsid w:val="0047708F"/>
    <w:rsid w:val="0048016B"/>
    <w:rsid w:val="00480C5E"/>
    <w:rsid w:val="00482220"/>
    <w:rsid w:val="004839A3"/>
    <w:rsid w:val="004847D7"/>
    <w:rsid w:val="004863CF"/>
    <w:rsid w:val="00490F0E"/>
    <w:rsid w:val="0049327D"/>
    <w:rsid w:val="00494CBF"/>
    <w:rsid w:val="0049514A"/>
    <w:rsid w:val="004A0A50"/>
    <w:rsid w:val="004A35DE"/>
    <w:rsid w:val="004A50D7"/>
    <w:rsid w:val="004B27BD"/>
    <w:rsid w:val="004B2DD1"/>
    <w:rsid w:val="004B3EEB"/>
    <w:rsid w:val="004B49C8"/>
    <w:rsid w:val="004B536A"/>
    <w:rsid w:val="004B56DD"/>
    <w:rsid w:val="004B5AAB"/>
    <w:rsid w:val="004C0244"/>
    <w:rsid w:val="004C065F"/>
    <w:rsid w:val="004C21DA"/>
    <w:rsid w:val="004C2FA1"/>
    <w:rsid w:val="004C473F"/>
    <w:rsid w:val="004C57DF"/>
    <w:rsid w:val="004C62BF"/>
    <w:rsid w:val="004D1571"/>
    <w:rsid w:val="004D24F6"/>
    <w:rsid w:val="004D2586"/>
    <w:rsid w:val="004D4C2A"/>
    <w:rsid w:val="004D52B0"/>
    <w:rsid w:val="004D7D08"/>
    <w:rsid w:val="004E034C"/>
    <w:rsid w:val="004E15BE"/>
    <w:rsid w:val="004E1DC1"/>
    <w:rsid w:val="004E49B9"/>
    <w:rsid w:val="004E4B51"/>
    <w:rsid w:val="004E5376"/>
    <w:rsid w:val="004E5497"/>
    <w:rsid w:val="004E7392"/>
    <w:rsid w:val="004F156A"/>
    <w:rsid w:val="004F5F38"/>
    <w:rsid w:val="004F61CB"/>
    <w:rsid w:val="004F6B31"/>
    <w:rsid w:val="004F71AC"/>
    <w:rsid w:val="005014CA"/>
    <w:rsid w:val="00506385"/>
    <w:rsid w:val="00507889"/>
    <w:rsid w:val="00510055"/>
    <w:rsid w:val="00510D98"/>
    <w:rsid w:val="0051419B"/>
    <w:rsid w:val="005152A0"/>
    <w:rsid w:val="00521F30"/>
    <w:rsid w:val="0052379D"/>
    <w:rsid w:val="00524012"/>
    <w:rsid w:val="0052663C"/>
    <w:rsid w:val="005268DC"/>
    <w:rsid w:val="00526D3A"/>
    <w:rsid w:val="0052705F"/>
    <w:rsid w:val="0052760B"/>
    <w:rsid w:val="00527D69"/>
    <w:rsid w:val="00527E89"/>
    <w:rsid w:val="00532A92"/>
    <w:rsid w:val="00533606"/>
    <w:rsid w:val="0053415B"/>
    <w:rsid w:val="0053545E"/>
    <w:rsid w:val="0053589E"/>
    <w:rsid w:val="005369C5"/>
    <w:rsid w:val="00536E7A"/>
    <w:rsid w:val="00536F34"/>
    <w:rsid w:val="00537107"/>
    <w:rsid w:val="00537CAD"/>
    <w:rsid w:val="00540142"/>
    <w:rsid w:val="00540389"/>
    <w:rsid w:val="005416FA"/>
    <w:rsid w:val="00544C7C"/>
    <w:rsid w:val="005473D7"/>
    <w:rsid w:val="00550C06"/>
    <w:rsid w:val="00552664"/>
    <w:rsid w:val="00553C40"/>
    <w:rsid w:val="00555A12"/>
    <w:rsid w:val="00555FF5"/>
    <w:rsid w:val="0055767A"/>
    <w:rsid w:val="005578E7"/>
    <w:rsid w:val="005636DC"/>
    <w:rsid w:val="00563F3F"/>
    <w:rsid w:val="005663F1"/>
    <w:rsid w:val="005673D2"/>
    <w:rsid w:val="00567FA8"/>
    <w:rsid w:val="00570355"/>
    <w:rsid w:val="00573DAD"/>
    <w:rsid w:val="00581F54"/>
    <w:rsid w:val="0058369B"/>
    <w:rsid w:val="00591084"/>
    <w:rsid w:val="00592057"/>
    <w:rsid w:val="00592E6C"/>
    <w:rsid w:val="0059646F"/>
    <w:rsid w:val="005974E8"/>
    <w:rsid w:val="005A054E"/>
    <w:rsid w:val="005A0F3F"/>
    <w:rsid w:val="005A5D2D"/>
    <w:rsid w:val="005A6EA5"/>
    <w:rsid w:val="005A7572"/>
    <w:rsid w:val="005B135E"/>
    <w:rsid w:val="005B1CA3"/>
    <w:rsid w:val="005B1CBB"/>
    <w:rsid w:val="005B1F46"/>
    <w:rsid w:val="005B4029"/>
    <w:rsid w:val="005B4B46"/>
    <w:rsid w:val="005B5972"/>
    <w:rsid w:val="005B607F"/>
    <w:rsid w:val="005B70E2"/>
    <w:rsid w:val="005C0233"/>
    <w:rsid w:val="005C1731"/>
    <w:rsid w:val="005C4A1D"/>
    <w:rsid w:val="005C75B9"/>
    <w:rsid w:val="005C7AE1"/>
    <w:rsid w:val="005D0D8D"/>
    <w:rsid w:val="005D27D4"/>
    <w:rsid w:val="005D29AE"/>
    <w:rsid w:val="005D2E23"/>
    <w:rsid w:val="005D33F6"/>
    <w:rsid w:val="005D5D53"/>
    <w:rsid w:val="005D746B"/>
    <w:rsid w:val="005E1B7E"/>
    <w:rsid w:val="005E4EDD"/>
    <w:rsid w:val="005E6099"/>
    <w:rsid w:val="005E6C9A"/>
    <w:rsid w:val="005F0467"/>
    <w:rsid w:val="005F2CF5"/>
    <w:rsid w:val="005F30CA"/>
    <w:rsid w:val="005F4D3D"/>
    <w:rsid w:val="005F7269"/>
    <w:rsid w:val="005F7AC7"/>
    <w:rsid w:val="006002EE"/>
    <w:rsid w:val="00600AB3"/>
    <w:rsid w:val="00601372"/>
    <w:rsid w:val="00601E0F"/>
    <w:rsid w:val="006020B1"/>
    <w:rsid w:val="006035A8"/>
    <w:rsid w:val="00604097"/>
    <w:rsid w:val="006053F9"/>
    <w:rsid w:val="006117B9"/>
    <w:rsid w:val="00615B82"/>
    <w:rsid w:val="00615E8B"/>
    <w:rsid w:val="006179D4"/>
    <w:rsid w:val="00617CFC"/>
    <w:rsid w:val="00617F57"/>
    <w:rsid w:val="00620475"/>
    <w:rsid w:val="00621531"/>
    <w:rsid w:val="00623599"/>
    <w:rsid w:val="00626526"/>
    <w:rsid w:val="0063220A"/>
    <w:rsid w:val="006329AF"/>
    <w:rsid w:val="00641437"/>
    <w:rsid w:val="006437CD"/>
    <w:rsid w:val="0064431E"/>
    <w:rsid w:val="006447B1"/>
    <w:rsid w:val="00644D38"/>
    <w:rsid w:val="00645E3A"/>
    <w:rsid w:val="00650E20"/>
    <w:rsid w:val="00651A65"/>
    <w:rsid w:val="0065559B"/>
    <w:rsid w:val="0065590C"/>
    <w:rsid w:val="00655D27"/>
    <w:rsid w:val="00656759"/>
    <w:rsid w:val="006602F1"/>
    <w:rsid w:val="00662312"/>
    <w:rsid w:val="00665109"/>
    <w:rsid w:val="00665986"/>
    <w:rsid w:val="0066634E"/>
    <w:rsid w:val="00670D9B"/>
    <w:rsid w:val="00673516"/>
    <w:rsid w:val="00674928"/>
    <w:rsid w:val="00674E8F"/>
    <w:rsid w:val="00675678"/>
    <w:rsid w:val="00675934"/>
    <w:rsid w:val="00680C27"/>
    <w:rsid w:val="00680D7E"/>
    <w:rsid w:val="00683138"/>
    <w:rsid w:val="00683389"/>
    <w:rsid w:val="006834E2"/>
    <w:rsid w:val="00683D23"/>
    <w:rsid w:val="006846AD"/>
    <w:rsid w:val="00685438"/>
    <w:rsid w:val="00685ABC"/>
    <w:rsid w:val="006870DC"/>
    <w:rsid w:val="0068796F"/>
    <w:rsid w:val="00687D71"/>
    <w:rsid w:val="0069077B"/>
    <w:rsid w:val="00690DF2"/>
    <w:rsid w:val="00692D90"/>
    <w:rsid w:val="00693899"/>
    <w:rsid w:val="006A1378"/>
    <w:rsid w:val="006A2549"/>
    <w:rsid w:val="006A32F9"/>
    <w:rsid w:val="006B0F7C"/>
    <w:rsid w:val="006B2C67"/>
    <w:rsid w:val="006B42EB"/>
    <w:rsid w:val="006B6E3C"/>
    <w:rsid w:val="006B7BE8"/>
    <w:rsid w:val="006C1E4E"/>
    <w:rsid w:val="006C3859"/>
    <w:rsid w:val="006C5AAB"/>
    <w:rsid w:val="006C5EB0"/>
    <w:rsid w:val="006C7EB3"/>
    <w:rsid w:val="006D04D6"/>
    <w:rsid w:val="006D33A7"/>
    <w:rsid w:val="006D3545"/>
    <w:rsid w:val="006D3D21"/>
    <w:rsid w:val="006E7E04"/>
    <w:rsid w:val="006F0970"/>
    <w:rsid w:val="006F1D4C"/>
    <w:rsid w:val="006F4639"/>
    <w:rsid w:val="006F4E81"/>
    <w:rsid w:val="006F5636"/>
    <w:rsid w:val="006F6548"/>
    <w:rsid w:val="006F7271"/>
    <w:rsid w:val="006F7B33"/>
    <w:rsid w:val="006F7D47"/>
    <w:rsid w:val="0070378C"/>
    <w:rsid w:val="00703AFB"/>
    <w:rsid w:val="007041E5"/>
    <w:rsid w:val="0070460B"/>
    <w:rsid w:val="0070583F"/>
    <w:rsid w:val="0071179E"/>
    <w:rsid w:val="00712513"/>
    <w:rsid w:val="0071347B"/>
    <w:rsid w:val="0071507D"/>
    <w:rsid w:val="0071684E"/>
    <w:rsid w:val="00717598"/>
    <w:rsid w:val="00717C7A"/>
    <w:rsid w:val="00721E1A"/>
    <w:rsid w:val="00722839"/>
    <w:rsid w:val="00730077"/>
    <w:rsid w:val="007301A2"/>
    <w:rsid w:val="00733BB2"/>
    <w:rsid w:val="007416AC"/>
    <w:rsid w:val="00744618"/>
    <w:rsid w:val="00744987"/>
    <w:rsid w:val="00745CB0"/>
    <w:rsid w:val="0074678D"/>
    <w:rsid w:val="00747763"/>
    <w:rsid w:val="007501B3"/>
    <w:rsid w:val="00751E22"/>
    <w:rsid w:val="00752B3E"/>
    <w:rsid w:val="007544C4"/>
    <w:rsid w:val="007557BE"/>
    <w:rsid w:val="00755B48"/>
    <w:rsid w:val="00760206"/>
    <w:rsid w:val="007626D9"/>
    <w:rsid w:val="00762FEF"/>
    <w:rsid w:val="00764769"/>
    <w:rsid w:val="00765216"/>
    <w:rsid w:val="00766AF4"/>
    <w:rsid w:val="00766B02"/>
    <w:rsid w:val="00771F7F"/>
    <w:rsid w:val="00772376"/>
    <w:rsid w:val="007723A7"/>
    <w:rsid w:val="0077310A"/>
    <w:rsid w:val="007779CB"/>
    <w:rsid w:val="0078000D"/>
    <w:rsid w:val="00780042"/>
    <w:rsid w:val="007804E8"/>
    <w:rsid w:val="00781B45"/>
    <w:rsid w:val="00782335"/>
    <w:rsid w:val="00782838"/>
    <w:rsid w:val="007831C6"/>
    <w:rsid w:val="007835B4"/>
    <w:rsid w:val="007922FC"/>
    <w:rsid w:val="007962BF"/>
    <w:rsid w:val="007970F0"/>
    <w:rsid w:val="007A01BD"/>
    <w:rsid w:val="007A6936"/>
    <w:rsid w:val="007B239B"/>
    <w:rsid w:val="007B400F"/>
    <w:rsid w:val="007B641A"/>
    <w:rsid w:val="007C035D"/>
    <w:rsid w:val="007C0CE4"/>
    <w:rsid w:val="007C0FDB"/>
    <w:rsid w:val="007C4057"/>
    <w:rsid w:val="007C503A"/>
    <w:rsid w:val="007C618C"/>
    <w:rsid w:val="007C7195"/>
    <w:rsid w:val="007D09F7"/>
    <w:rsid w:val="007D144D"/>
    <w:rsid w:val="007D3081"/>
    <w:rsid w:val="007D30BA"/>
    <w:rsid w:val="007D4EA8"/>
    <w:rsid w:val="007D72A5"/>
    <w:rsid w:val="007D76F9"/>
    <w:rsid w:val="007E0F6F"/>
    <w:rsid w:val="007E1414"/>
    <w:rsid w:val="007E464F"/>
    <w:rsid w:val="007E4FE2"/>
    <w:rsid w:val="007E724D"/>
    <w:rsid w:val="007E7920"/>
    <w:rsid w:val="007F192B"/>
    <w:rsid w:val="007F1E32"/>
    <w:rsid w:val="007F3F8D"/>
    <w:rsid w:val="007F5010"/>
    <w:rsid w:val="007F5B2F"/>
    <w:rsid w:val="007F6401"/>
    <w:rsid w:val="007F6DB8"/>
    <w:rsid w:val="00800034"/>
    <w:rsid w:val="00800CB2"/>
    <w:rsid w:val="0080284B"/>
    <w:rsid w:val="00802DAE"/>
    <w:rsid w:val="00804918"/>
    <w:rsid w:val="0080520B"/>
    <w:rsid w:val="0080573A"/>
    <w:rsid w:val="00807D8A"/>
    <w:rsid w:val="00811DC6"/>
    <w:rsid w:val="00813AC1"/>
    <w:rsid w:val="00814B1B"/>
    <w:rsid w:val="00821B23"/>
    <w:rsid w:val="0082426B"/>
    <w:rsid w:val="0082670A"/>
    <w:rsid w:val="008269DB"/>
    <w:rsid w:val="00832740"/>
    <w:rsid w:val="0083425A"/>
    <w:rsid w:val="00836FAA"/>
    <w:rsid w:val="0084010D"/>
    <w:rsid w:val="00840C5C"/>
    <w:rsid w:val="00843477"/>
    <w:rsid w:val="008450E8"/>
    <w:rsid w:val="00845975"/>
    <w:rsid w:val="00847324"/>
    <w:rsid w:val="00854D55"/>
    <w:rsid w:val="008552F1"/>
    <w:rsid w:val="00856B6F"/>
    <w:rsid w:val="00860BC1"/>
    <w:rsid w:val="00862256"/>
    <w:rsid w:val="00864194"/>
    <w:rsid w:val="008654FB"/>
    <w:rsid w:val="008655A6"/>
    <w:rsid w:val="00865FF9"/>
    <w:rsid w:val="00867311"/>
    <w:rsid w:val="008678FD"/>
    <w:rsid w:val="008679D3"/>
    <w:rsid w:val="00872B6C"/>
    <w:rsid w:val="0087336E"/>
    <w:rsid w:val="0087517D"/>
    <w:rsid w:val="00875794"/>
    <w:rsid w:val="008765CE"/>
    <w:rsid w:val="008809EA"/>
    <w:rsid w:val="00881377"/>
    <w:rsid w:val="00881946"/>
    <w:rsid w:val="0088302C"/>
    <w:rsid w:val="00883F20"/>
    <w:rsid w:val="008877E3"/>
    <w:rsid w:val="00891CD2"/>
    <w:rsid w:val="00892409"/>
    <w:rsid w:val="00893793"/>
    <w:rsid w:val="00893C52"/>
    <w:rsid w:val="008A00CC"/>
    <w:rsid w:val="008A295D"/>
    <w:rsid w:val="008A2BB1"/>
    <w:rsid w:val="008A459F"/>
    <w:rsid w:val="008A58CC"/>
    <w:rsid w:val="008A6CA5"/>
    <w:rsid w:val="008B02B5"/>
    <w:rsid w:val="008B11F2"/>
    <w:rsid w:val="008B125F"/>
    <w:rsid w:val="008B1A92"/>
    <w:rsid w:val="008B609E"/>
    <w:rsid w:val="008B6CB9"/>
    <w:rsid w:val="008B6CE5"/>
    <w:rsid w:val="008C051A"/>
    <w:rsid w:val="008C1362"/>
    <w:rsid w:val="008C1C25"/>
    <w:rsid w:val="008C224A"/>
    <w:rsid w:val="008C2693"/>
    <w:rsid w:val="008C479C"/>
    <w:rsid w:val="008C493E"/>
    <w:rsid w:val="008C7B0B"/>
    <w:rsid w:val="008D49CD"/>
    <w:rsid w:val="008D4D3A"/>
    <w:rsid w:val="008D559D"/>
    <w:rsid w:val="008D6296"/>
    <w:rsid w:val="008D76B2"/>
    <w:rsid w:val="008E0959"/>
    <w:rsid w:val="008E20C1"/>
    <w:rsid w:val="008E2D54"/>
    <w:rsid w:val="008E325C"/>
    <w:rsid w:val="008E4F97"/>
    <w:rsid w:val="008E5B7B"/>
    <w:rsid w:val="008E5BE7"/>
    <w:rsid w:val="008E650C"/>
    <w:rsid w:val="008E651B"/>
    <w:rsid w:val="008E65F6"/>
    <w:rsid w:val="008E66F1"/>
    <w:rsid w:val="008E7EFB"/>
    <w:rsid w:val="008F2AC2"/>
    <w:rsid w:val="008F2BCF"/>
    <w:rsid w:val="008F4668"/>
    <w:rsid w:val="00903ED8"/>
    <w:rsid w:val="00904F73"/>
    <w:rsid w:val="009050F0"/>
    <w:rsid w:val="009059F1"/>
    <w:rsid w:val="00906395"/>
    <w:rsid w:val="00907013"/>
    <w:rsid w:val="00910018"/>
    <w:rsid w:val="009126DE"/>
    <w:rsid w:val="00912C30"/>
    <w:rsid w:val="009137F7"/>
    <w:rsid w:val="0091558E"/>
    <w:rsid w:val="00916967"/>
    <w:rsid w:val="0092093C"/>
    <w:rsid w:val="009232C6"/>
    <w:rsid w:val="00923D7A"/>
    <w:rsid w:val="009253E9"/>
    <w:rsid w:val="00925EE6"/>
    <w:rsid w:val="009261CF"/>
    <w:rsid w:val="009267B2"/>
    <w:rsid w:val="00930AE2"/>
    <w:rsid w:val="00934B74"/>
    <w:rsid w:val="00936E25"/>
    <w:rsid w:val="00937093"/>
    <w:rsid w:val="00942A18"/>
    <w:rsid w:val="00942EE1"/>
    <w:rsid w:val="0094531C"/>
    <w:rsid w:val="009531DE"/>
    <w:rsid w:val="00953BFD"/>
    <w:rsid w:val="00953EC5"/>
    <w:rsid w:val="00954264"/>
    <w:rsid w:val="00954AD0"/>
    <w:rsid w:val="009553AF"/>
    <w:rsid w:val="009616E3"/>
    <w:rsid w:val="00962458"/>
    <w:rsid w:val="00962AF2"/>
    <w:rsid w:val="00962E51"/>
    <w:rsid w:val="009631C9"/>
    <w:rsid w:val="009654E0"/>
    <w:rsid w:val="00966499"/>
    <w:rsid w:val="0096704B"/>
    <w:rsid w:val="00967129"/>
    <w:rsid w:val="00971F63"/>
    <w:rsid w:val="00973DB0"/>
    <w:rsid w:val="00973E41"/>
    <w:rsid w:val="0097453F"/>
    <w:rsid w:val="00976754"/>
    <w:rsid w:val="00976E29"/>
    <w:rsid w:val="00980A3D"/>
    <w:rsid w:val="00981D54"/>
    <w:rsid w:val="00983256"/>
    <w:rsid w:val="009832B3"/>
    <w:rsid w:val="009848E7"/>
    <w:rsid w:val="009854A5"/>
    <w:rsid w:val="00986BA5"/>
    <w:rsid w:val="009920F5"/>
    <w:rsid w:val="00995566"/>
    <w:rsid w:val="00995DC5"/>
    <w:rsid w:val="00996EEE"/>
    <w:rsid w:val="00996F06"/>
    <w:rsid w:val="009973FA"/>
    <w:rsid w:val="009A4766"/>
    <w:rsid w:val="009A5446"/>
    <w:rsid w:val="009A6058"/>
    <w:rsid w:val="009A6F48"/>
    <w:rsid w:val="009B214C"/>
    <w:rsid w:val="009B286A"/>
    <w:rsid w:val="009B39FE"/>
    <w:rsid w:val="009B3EC0"/>
    <w:rsid w:val="009B7698"/>
    <w:rsid w:val="009B7E20"/>
    <w:rsid w:val="009C03F4"/>
    <w:rsid w:val="009C05C5"/>
    <w:rsid w:val="009C0A67"/>
    <w:rsid w:val="009C1C57"/>
    <w:rsid w:val="009C2C9B"/>
    <w:rsid w:val="009C5C27"/>
    <w:rsid w:val="009C5C67"/>
    <w:rsid w:val="009C7423"/>
    <w:rsid w:val="009D0955"/>
    <w:rsid w:val="009D1F95"/>
    <w:rsid w:val="009D238E"/>
    <w:rsid w:val="009D3570"/>
    <w:rsid w:val="009D41E3"/>
    <w:rsid w:val="009D4FB1"/>
    <w:rsid w:val="009D563F"/>
    <w:rsid w:val="009D5D55"/>
    <w:rsid w:val="009E0D88"/>
    <w:rsid w:val="009E1AA3"/>
    <w:rsid w:val="009E1FDA"/>
    <w:rsid w:val="009E3952"/>
    <w:rsid w:val="009E6EA7"/>
    <w:rsid w:val="009F02B2"/>
    <w:rsid w:val="009F03DA"/>
    <w:rsid w:val="009F043F"/>
    <w:rsid w:val="009F20FF"/>
    <w:rsid w:val="009F3E07"/>
    <w:rsid w:val="009F57B6"/>
    <w:rsid w:val="009F5AF1"/>
    <w:rsid w:val="009F649C"/>
    <w:rsid w:val="009F677E"/>
    <w:rsid w:val="00A013D7"/>
    <w:rsid w:val="00A026AF"/>
    <w:rsid w:val="00A03233"/>
    <w:rsid w:val="00A06524"/>
    <w:rsid w:val="00A06DA5"/>
    <w:rsid w:val="00A12763"/>
    <w:rsid w:val="00A16BD2"/>
    <w:rsid w:val="00A17308"/>
    <w:rsid w:val="00A17B13"/>
    <w:rsid w:val="00A21B9C"/>
    <w:rsid w:val="00A23616"/>
    <w:rsid w:val="00A2458B"/>
    <w:rsid w:val="00A258EB"/>
    <w:rsid w:val="00A26B83"/>
    <w:rsid w:val="00A27E9F"/>
    <w:rsid w:val="00A31BF8"/>
    <w:rsid w:val="00A31F84"/>
    <w:rsid w:val="00A32239"/>
    <w:rsid w:val="00A32FDA"/>
    <w:rsid w:val="00A33A02"/>
    <w:rsid w:val="00A359B9"/>
    <w:rsid w:val="00A37C5B"/>
    <w:rsid w:val="00A40CB0"/>
    <w:rsid w:val="00A46E8F"/>
    <w:rsid w:val="00A47F31"/>
    <w:rsid w:val="00A50DF1"/>
    <w:rsid w:val="00A540DA"/>
    <w:rsid w:val="00A54CA1"/>
    <w:rsid w:val="00A55F03"/>
    <w:rsid w:val="00A5719C"/>
    <w:rsid w:val="00A573CE"/>
    <w:rsid w:val="00A61216"/>
    <w:rsid w:val="00A62173"/>
    <w:rsid w:val="00A64391"/>
    <w:rsid w:val="00A7197E"/>
    <w:rsid w:val="00A734CD"/>
    <w:rsid w:val="00A80361"/>
    <w:rsid w:val="00A81AC4"/>
    <w:rsid w:val="00A81EFE"/>
    <w:rsid w:val="00A81FED"/>
    <w:rsid w:val="00A82D0D"/>
    <w:rsid w:val="00A877BB"/>
    <w:rsid w:val="00A87C9B"/>
    <w:rsid w:val="00A90199"/>
    <w:rsid w:val="00A9121A"/>
    <w:rsid w:val="00A9154F"/>
    <w:rsid w:val="00A91552"/>
    <w:rsid w:val="00A91A74"/>
    <w:rsid w:val="00A92088"/>
    <w:rsid w:val="00A93049"/>
    <w:rsid w:val="00A96288"/>
    <w:rsid w:val="00AA45F9"/>
    <w:rsid w:val="00AA4D9C"/>
    <w:rsid w:val="00AA6424"/>
    <w:rsid w:val="00AA66E8"/>
    <w:rsid w:val="00AA6911"/>
    <w:rsid w:val="00AB0274"/>
    <w:rsid w:val="00AB36A9"/>
    <w:rsid w:val="00AB4503"/>
    <w:rsid w:val="00AB4C85"/>
    <w:rsid w:val="00AC0B78"/>
    <w:rsid w:val="00AC11CA"/>
    <w:rsid w:val="00AC2CF0"/>
    <w:rsid w:val="00AC4360"/>
    <w:rsid w:val="00AC454E"/>
    <w:rsid w:val="00AC5693"/>
    <w:rsid w:val="00AC5D88"/>
    <w:rsid w:val="00AC5DD6"/>
    <w:rsid w:val="00AC6753"/>
    <w:rsid w:val="00AC6E12"/>
    <w:rsid w:val="00AC7FD3"/>
    <w:rsid w:val="00AD0415"/>
    <w:rsid w:val="00AD1065"/>
    <w:rsid w:val="00AD13A2"/>
    <w:rsid w:val="00AD31D1"/>
    <w:rsid w:val="00AD3286"/>
    <w:rsid w:val="00AD3396"/>
    <w:rsid w:val="00AD4F41"/>
    <w:rsid w:val="00AD5017"/>
    <w:rsid w:val="00AD7BFD"/>
    <w:rsid w:val="00AE1F6B"/>
    <w:rsid w:val="00AE1FEA"/>
    <w:rsid w:val="00AE2DA0"/>
    <w:rsid w:val="00AE3237"/>
    <w:rsid w:val="00AE3459"/>
    <w:rsid w:val="00AE4A17"/>
    <w:rsid w:val="00AE5D9E"/>
    <w:rsid w:val="00AE66DC"/>
    <w:rsid w:val="00AE7809"/>
    <w:rsid w:val="00AF591F"/>
    <w:rsid w:val="00AF6095"/>
    <w:rsid w:val="00AF7B8F"/>
    <w:rsid w:val="00B008C7"/>
    <w:rsid w:val="00B00953"/>
    <w:rsid w:val="00B06F4D"/>
    <w:rsid w:val="00B10494"/>
    <w:rsid w:val="00B1120D"/>
    <w:rsid w:val="00B11AED"/>
    <w:rsid w:val="00B11C4C"/>
    <w:rsid w:val="00B11E0C"/>
    <w:rsid w:val="00B20E18"/>
    <w:rsid w:val="00B21C60"/>
    <w:rsid w:val="00B23725"/>
    <w:rsid w:val="00B23979"/>
    <w:rsid w:val="00B23CF9"/>
    <w:rsid w:val="00B24CE1"/>
    <w:rsid w:val="00B26E7E"/>
    <w:rsid w:val="00B27172"/>
    <w:rsid w:val="00B27BAF"/>
    <w:rsid w:val="00B306A5"/>
    <w:rsid w:val="00B30E23"/>
    <w:rsid w:val="00B313F4"/>
    <w:rsid w:val="00B345D4"/>
    <w:rsid w:val="00B34CA9"/>
    <w:rsid w:val="00B3516E"/>
    <w:rsid w:val="00B36B8A"/>
    <w:rsid w:val="00B37671"/>
    <w:rsid w:val="00B416BC"/>
    <w:rsid w:val="00B42178"/>
    <w:rsid w:val="00B447C7"/>
    <w:rsid w:val="00B460A1"/>
    <w:rsid w:val="00B50BD2"/>
    <w:rsid w:val="00B54645"/>
    <w:rsid w:val="00B54704"/>
    <w:rsid w:val="00B54C63"/>
    <w:rsid w:val="00B562EC"/>
    <w:rsid w:val="00B57A2B"/>
    <w:rsid w:val="00B63C2F"/>
    <w:rsid w:val="00B67833"/>
    <w:rsid w:val="00B67A97"/>
    <w:rsid w:val="00B67E27"/>
    <w:rsid w:val="00B67EEC"/>
    <w:rsid w:val="00B713C1"/>
    <w:rsid w:val="00B7285F"/>
    <w:rsid w:val="00B72C73"/>
    <w:rsid w:val="00B72E39"/>
    <w:rsid w:val="00B734EC"/>
    <w:rsid w:val="00B746D4"/>
    <w:rsid w:val="00B7513E"/>
    <w:rsid w:val="00B75649"/>
    <w:rsid w:val="00B75B5E"/>
    <w:rsid w:val="00B7777C"/>
    <w:rsid w:val="00B77B7A"/>
    <w:rsid w:val="00B84453"/>
    <w:rsid w:val="00B84BA4"/>
    <w:rsid w:val="00B84D61"/>
    <w:rsid w:val="00B86B07"/>
    <w:rsid w:val="00B91208"/>
    <w:rsid w:val="00B912E2"/>
    <w:rsid w:val="00B91DB1"/>
    <w:rsid w:val="00B93518"/>
    <w:rsid w:val="00B936C7"/>
    <w:rsid w:val="00B95314"/>
    <w:rsid w:val="00B95C3E"/>
    <w:rsid w:val="00B962BB"/>
    <w:rsid w:val="00B978DD"/>
    <w:rsid w:val="00B97FBF"/>
    <w:rsid w:val="00BA3157"/>
    <w:rsid w:val="00BA3272"/>
    <w:rsid w:val="00BA3663"/>
    <w:rsid w:val="00BA4B96"/>
    <w:rsid w:val="00BA5995"/>
    <w:rsid w:val="00BA7421"/>
    <w:rsid w:val="00BB0A13"/>
    <w:rsid w:val="00BB0A3A"/>
    <w:rsid w:val="00BB0E7C"/>
    <w:rsid w:val="00BB17B3"/>
    <w:rsid w:val="00BB1EF4"/>
    <w:rsid w:val="00BB294F"/>
    <w:rsid w:val="00BB3696"/>
    <w:rsid w:val="00BB5A76"/>
    <w:rsid w:val="00BB7074"/>
    <w:rsid w:val="00BB7AA7"/>
    <w:rsid w:val="00BC02CF"/>
    <w:rsid w:val="00BC0EA2"/>
    <w:rsid w:val="00BC2865"/>
    <w:rsid w:val="00BC7124"/>
    <w:rsid w:val="00BD04D5"/>
    <w:rsid w:val="00BD0728"/>
    <w:rsid w:val="00BD0D1D"/>
    <w:rsid w:val="00BD17AE"/>
    <w:rsid w:val="00BD2A6A"/>
    <w:rsid w:val="00BD4888"/>
    <w:rsid w:val="00BD4D2B"/>
    <w:rsid w:val="00BD6AB1"/>
    <w:rsid w:val="00BD6BEC"/>
    <w:rsid w:val="00BE0412"/>
    <w:rsid w:val="00BE25ED"/>
    <w:rsid w:val="00BE31C8"/>
    <w:rsid w:val="00BE389F"/>
    <w:rsid w:val="00BE3B0B"/>
    <w:rsid w:val="00BE5B12"/>
    <w:rsid w:val="00BE64E1"/>
    <w:rsid w:val="00BE6769"/>
    <w:rsid w:val="00BE6BD3"/>
    <w:rsid w:val="00BF09B1"/>
    <w:rsid w:val="00BF1CC9"/>
    <w:rsid w:val="00BF276C"/>
    <w:rsid w:val="00C02A14"/>
    <w:rsid w:val="00C02CA8"/>
    <w:rsid w:val="00C04E8D"/>
    <w:rsid w:val="00C122C1"/>
    <w:rsid w:val="00C14D93"/>
    <w:rsid w:val="00C165EE"/>
    <w:rsid w:val="00C17F79"/>
    <w:rsid w:val="00C2162B"/>
    <w:rsid w:val="00C21861"/>
    <w:rsid w:val="00C23B8B"/>
    <w:rsid w:val="00C23D9A"/>
    <w:rsid w:val="00C26EC4"/>
    <w:rsid w:val="00C31CBD"/>
    <w:rsid w:val="00C36657"/>
    <w:rsid w:val="00C37214"/>
    <w:rsid w:val="00C416C0"/>
    <w:rsid w:val="00C4317B"/>
    <w:rsid w:val="00C44C5E"/>
    <w:rsid w:val="00C44CC5"/>
    <w:rsid w:val="00C453DA"/>
    <w:rsid w:val="00C46F56"/>
    <w:rsid w:val="00C50F0C"/>
    <w:rsid w:val="00C54A78"/>
    <w:rsid w:val="00C54B7D"/>
    <w:rsid w:val="00C567AD"/>
    <w:rsid w:val="00C5695E"/>
    <w:rsid w:val="00C57AA9"/>
    <w:rsid w:val="00C57C0B"/>
    <w:rsid w:val="00C60354"/>
    <w:rsid w:val="00C6112E"/>
    <w:rsid w:val="00C612DD"/>
    <w:rsid w:val="00C61837"/>
    <w:rsid w:val="00C61B1A"/>
    <w:rsid w:val="00C67A9F"/>
    <w:rsid w:val="00C67E41"/>
    <w:rsid w:val="00C7035A"/>
    <w:rsid w:val="00C71B79"/>
    <w:rsid w:val="00C72067"/>
    <w:rsid w:val="00C73DDF"/>
    <w:rsid w:val="00C80CE4"/>
    <w:rsid w:val="00C81716"/>
    <w:rsid w:val="00C81746"/>
    <w:rsid w:val="00C823DA"/>
    <w:rsid w:val="00C82A2B"/>
    <w:rsid w:val="00C83FEF"/>
    <w:rsid w:val="00C8586E"/>
    <w:rsid w:val="00C85B34"/>
    <w:rsid w:val="00C87E85"/>
    <w:rsid w:val="00C91B1F"/>
    <w:rsid w:val="00C94870"/>
    <w:rsid w:val="00C95625"/>
    <w:rsid w:val="00C95EA6"/>
    <w:rsid w:val="00C96738"/>
    <w:rsid w:val="00C96919"/>
    <w:rsid w:val="00C96F44"/>
    <w:rsid w:val="00CA01FE"/>
    <w:rsid w:val="00CA0DEC"/>
    <w:rsid w:val="00CA1D1E"/>
    <w:rsid w:val="00CA33AC"/>
    <w:rsid w:val="00CA38BE"/>
    <w:rsid w:val="00CA38FE"/>
    <w:rsid w:val="00CA4503"/>
    <w:rsid w:val="00CA4837"/>
    <w:rsid w:val="00CA4C0E"/>
    <w:rsid w:val="00CA6CAA"/>
    <w:rsid w:val="00CA7FB6"/>
    <w:rsid w:val="00CB1F3F"/>
    <w:rsid w:val="00CB1FDA"/>
    <w:rsid w:val="00CC05BF"/>
    <w:rsid w:val="00CC1761"/>
    <w:rsid w:val="00CC6E5F"/>
    <w:rsid w:val="00CD0A00"/>
    <w:rsid w:val="00CD4E4C"/>
    <w:rsid w:val="00CD522D"/>
    <w:rsid w:val="00CD5C20"/>
    <w:rsid w:val="00CD7A84"/>
    <w:rsid w:val="00CD7AF1"/>
    <w:rsid w:val="00CD7F3E"/>
    <w:rsid w:val="00CE43B3"/>
    <w:rsid w:val="00CE49E6"/>
    <w:rsid w:val="00CE4EBD"/>
    <w:rsid w:val="00CE500A"/>
    <w:rsid w:val="00CE54A7"/>
    <w:rsid w:val="00CE5821"/>
    <w:rsid w:val="00CE757A"/>
    <w:rsid w:val="00CF01A5"/>
    <w:rsid w:val="00CF076E"/>
    <w:rsid w:val="00CF370D"/>
    <w:rsid w:val="00CF40A2"/>
    <w:rsid w:val="00CF414A"/>
    <w:rsid w:val="00CF4774"/>
    <w:rsid w:val="00CF5963"/>
    <w:rsid w:val="00CF69D4"/>
    <w:rsid w:val="00CF79D4"/>
    <w:rsid w:val="00D00906"/>
    <w:rsid w:val="00D00E18"/>
    <w:rsid w:val="00D02FD3"/>
    <w:rsid w:val="00D04053"/>
    <w:rsid w:val="00D0696D"/>
    <w:rsid w:val="00D07907"/>
    <w:rsid w:val="00D10850"/>
    <w:rsid w:val="00D111DE"/>
    <w:rsid w:val="00D139C9"/>
    <w:rsid w:val="00D14F94"/>
    <w:rsid w:val="00D159EE"/>
    <w:rsid w:val="00D218C2"/>
    <w:rsid w:val="00D2236E"/>
    <w:rsid w:val="00D227B6"/>
    <w:rsid w:val="00D244BA"/>
    <w:rsid w:val="00D24A1F"/>
    <w:rsid w:val="00D25167"/>
    <w:rsid w:val="00D25CAD"/>
    <w:rsid w:val="00D270D2"/>
    <w:rsid w:val="00D272A4"/>
    <w:rsid w:val="00D35F2B"/>
    <w:rsid w:val="00D36941"/>
    <w:rsid w:val="00D369DF"/>
    <w:rsid w:val="00D4003B"/>
    <w:rsid w:val="00D41131"/>
    <w:rsid w:val="00D4230F"/>
    <w:rsid w:val="00D42945"/>
    <w:rsid w:val="00D444C1"/>
    <w:rsid w:val="00D450A3"/>
    <w:rsid w:val="00D45859"/>
    <w:rsid w:val="00D5127E"/>
    <w:rsid w:val="00D52FF7"/>
    <w:rsid w:val="00D55FE8"/>
    <w:rsid w:val="00D56FBD"/>
    <w:rsid w:val="00D57D80"/>
    <w:rsid w:val="00D6369A"/>
    <w:rsid w:val="00D63FD0"/>
    <w:rsid w:val="00D65793"/>
    <w:rsid w:val="00D658DF"/>
    <w:rsid w:val="00D676F3"/>
    <w:rsid w:val="00D701C9"/>
    <w:rsid w:val="00D70622"/>
    <w:rsid w:val="00D72043"/>
    <w:rsid w:val="00D72415"/>
    <w:rsid w:val="00D72A60"/>
    <w:rsid w:val="00D7553F"/>
    <w:rsid w:val="00D77874"/>
    <w:rsid w:val="00D809C4"/>
    <w:rsid w:val="00D81307"/>
    <w:rsid w:val="00D82567"/>
    <w:rsid w:val="00D834F4"/>
    <w:rsid w:val="00D84886"/>
    <w:rsid w:val="00D85905"/>
    <w:rsid w:val="00D86A12"/>
    <w:rsid w:val="00D9007C"/>
    <w:rsid w:val="00D9058B"/>
    <w:rsid w:val="00D92A87"/>
    <w:rsid w:val="00D94E6E"/>
    <w:rsid w:val="00D962B5"/>
    <w:rsid w:val="00DA3DCF"/>
    <w:rsid w:val="00DA5EA1"/>
    <w:rsid w:val="00DA69FA"/>
    <w:rsid w:val="00DB2916"/>
    <w:rsid w:val="00DB514C"/>
    <w:rsid w:val="00DB6417"/>
    <w:rsid w:val="00DB64B1"/>
    <w:rsid w:val="00DB72BD"/>
    <w:rsid w:val="00DC02EC"/>
    <w:rsid w:val="00DC12DE"/>
    <w:rsid w:val="00DC26BB"/>
    <w:rsid w:val="00DC2F33"/>
    <w:rsid w:val="00DC4B54"/>
    <w:rsid w:val="00DC4C84"/>
    <w:rsid w:val="00DC6793"/>
    <w:rsid w:val="00DC7925"/>
    <w:rsid w:val="00DD12AB"/>
    <w:rsid w:val="00DD14BB"/>
    <w:rsid w:val="00DD1776"/>
    <w:rsid w:val="00DD308B"/>
    <w:rsid w:val="00DD3BAE"/>
    <w:rsid w:val="00DD4C1A"/>
    <w:rsid w:val="00DD6EE0"/>
    <w:rsid w:val="00DD736F"/>
    <w:rsid w:val="00DE0ECB"/>
    <w:rsid w:val="00DE2EC9"/>
    <w:rsid w:val="00DE38C1"/>
    <w:rsid w:val="00DE39AE"/>
    <w:rsid w:val="00DE47F4"/>
    <w:rsid w:val="00DE6264"/>
    <w:rsid w:val="00DE6C7F"/>
    <w:rsid w:val="00DE6E89"/>
    <w:rsid w:val="00DF0E1B"/>
    <w:rsid w:val="00DF1027"/>
    <w:rsid w:val="00DF1FC2"/>
    <w:rsid w:val="00DF1FEB"/>
    <w:rsid w:val="00DF4D3B"/>
    <w:rsid w:val="00DF56A0"/>
    <w:rsid w:val="00DF7CC6"/>
    <w:rsid w:val="00E04C7A"/>
    <w:rsid w:val="00E10174"/>
    <w:rsid w:val="00E208AA"/>
    <w:rsid w:val="00E20C3E"/>
    <w:rsid w:val="00E21720"/>
    <w:rsid w:val="00E250F5"/>
    <w:rsid w:val="00E30984"/>
    <w:rsid w:val="00E30EB7"/>
    <w:rsid w:val="00E31BDF"/>
    <w:rsid w:val="00E35E16"/>
    <w:rsid w:val="00E364B9"/>
    <w:rsid w:val="00E4120D"/>
    <w:rsid w:val="00E427E4"/>
    <w:rsid w:val="00E43310"/>
    <w:rsid w:val="00E50C8F"/>
    <w:rsid w:val="00E50EAD"/>
    <w:rsid w:val="00E52100"/>
    <w:rsid w:val="00E527F5"/>
    <w:rsid w:val="00E571C3"/>
    <w:rsid w:val="00E621C6"/>
    <w:rsid w:val="00E626BD"/>
    <w:rsid w:val="00E64927"/>
    <w:rsid w:val="00E7048D"/>
    <w:rsid w:val="00E70E1C"/>
    <w:rsid w:val="00E72340"/>
    <w:rsid w:val="00E74833"/>
    <w:rsid w:val="00E8097F"/>
    <w:rsid w:val="00E834FE"/>
    <w:rsid w:val="00E85F01"/>
    <w:rsid w:val="00E90C73"/>
    <w:rsid w:val="00E913BB"/>
    <w:rsid w:val="00E95D1A"/>
    <w:rsid w:val="00EA15E4"/>
    <w:rsid w:val="00EA3B64"/>
    <w:rsid w:val="00EA55B2"/>
    <w:rsid w:val="00EA57D1"/>
    <w:rsid w:val="00EA61A7"/>
    <w:rsid w:val="00EA795A"/>
    <w:rsid w:val="00EB0144"/>
    <w:rsid w:val="00EB05BD"/>
    <w:rsid w:val="00EB08D3"/>
    <w:rsid w:val="00EB1471"/>
    <w:rsid w:val="00EB1A36"/>
    <w:rsid w:val="00EB2668"/>
    <w:rsid w:val="00EB42D7"/>
    <w:rsid w:val="00EB559E"/>
    <w:rsid w:val="00EB55ED"/>
    <w:rsid w:val="00EB5ED0"/>
    <w:rsid w:val="00EB66F9"/>
    <w:rsid w:val="00EB7422"/>
    <w:rsid w:val="00EC2E93"/>
    <w:rsid w:val="00EC4FB6"/>
    <w:rsid w:val="00EC7307"/>
    <w:rsid w:val="00EC7CC5"/>
    <w:rsid w:val="00ED0660"/>
    <w:rsid w:val="00ED068F"/>
    <w:rsid w:val="00ED4504"/>
    <w:rsid w:val="00ED7D51"/>
    <w:rsid w:val="00EE031C"/>
    <w:rsid w:val="00EE0977"/>
    <w:rsid w:val="00EE1BD1"/>
    <w:rsid w:val="00EE3B61"/>
    <w:rsid w:val="00EE43F4"/>
    <w:rsid w:val="00EE6C4E"/>
    <w:rsid w:val="00EE7BAF"/>
    <w:rsid w:val="00EF024F"/>
    <w:rsid w:val="00EF4A58"/>
    <w:rsid w:val="00EF5825"/>
    <w:rsid w:val="00EF6399"/>
    <w:rsid w:val="00EF6E14"/>
    <w:rsid w:val="00EF7C96"/>
    <w:rsid w:val="00F000D7"/>
    <w:rsid w:val="00F00C80"/>
    <w:rsid w:val="00F01182"/>
    <w:rsid w:val="00F02B7D"/>
    <w:rsid w:val="00F03CDD"/>
    <w:rsid w:val="00F060A0"/>
    <w:rsid w:val="00F06325"/>
    <w:rsid w:val="00F06DC5"/>
    <w:rsid w:val="00F06ED4"/>
    <w:rsid w:val="00F10E1F"/>
    <w:rsid w:val="00F117D5"/>
    <w:rsid w:val="00F1278E"/>
    <w:rsid w:val="00F15F22"/>
    <w:rsid w:val="00F16D47"/>
    <w:rsid w:val="00F1764E"/>
    <w:rsid w:val="00F207F5"/>
    <w:rsid w:val="00F22A76"/>
    <w:rsid w:val="00F23A1F"/>
    <w:rsid w:val="00F24E0D"/>
    <w:rsid w:val="00F25119"/>
    <w:rsid w:val="00F26045"/>
    <w:rsid w:val="00F261D3"/>
    <w:rsid w:val="00F27853"/>
    <w:rsid w:val="00F30692"/>
    <w:rsid w:val="00F316CE"/>
    <w:rsid w:val="00F33E1A"/>
    <w:rsid w:val="00F35390"/>
    <w:rsid w:val="00F35FE9"/>
    <w:rsid w:val="00F3634A"/>
    <w:rsid w:val="00F37FBD"/>
    <w:rsid w:val="00F40764"/>
    <w:rsid w:val="00F41298"/>
    <w:rsid w:val="00F41349"/>
    <w:rsid w:val="00F418E8"/>
    <w:rsid w:val="00F41978"/>
    <w:rsid w:val="00F44116"/>
    <w:rsid w:val="00F45928"/>
    <w:rsid w:val="00F46998"/>
    <w:rsid w:val="00F51A19"/>
    <w:rsid w:val="00F53EFF"/>
    <w:rsid w:val="00F546B0"/>
    <w:rsid w:val="00F56668"/>
    <w:rsid w:val="00F60964"/>
    <w:rsid w:val="00F61F6D"/>
    <w:rsid w:val="00F62971"/>
    <w:rsid w:val="00F634DF"/>
    <w:rsid w:val="00F63964"/>
    <w:rsid w:val="00F65954"/>
    <w:rsid w:val="00F66FD0"/>
    <w:rsid w:val="00F676CC"/>
    <w:rsid w:val="00F70AB5"/>
    <w:rsid w:val="00F719EA"/>
    <w:rsid w:val="00F751A1"/>
    <w:rsid w:val="00F755E7"/>
    <w:rsid w:val="00F7637C"/>
    <w:rsid w:val="00F77B53"/>
    <w:rsid w:val="00F80140"/>
    <w:rsid w:val="00F80443"/>
    <w:rsid w:val="00F80D48"/>
    <w:rsid w:val="00F812D2"/>
    <w:rsid w:val="00F81681"/>
    <w:rsid w:val="00F87ACD"/>
    <w:rsid w:val="00F9018A"/>
    <w:rsid w:val="00F912E9"/>
    <w:rsid w:val="00F928E0"/>
    <w:rsid w:val="00F9361F"/>
    <w:rsid w:val="00F93AF2"/>
    <w:rsid w:val="00F96453"/>
    <w:rsid w:val="00F971C2"/>
    <w:rsid w:val="00FA0B87"/>
    <w:rsid w:val="00FA2EBE"/>
    <w:rsid w:val="00FA458D"/>
    <w:rsid w:val="00FA60C4"/>
    <w:rsid w:val="00FB45E2"/>
    <w:rsid w:val="00FB5F29"/>
    <w:rsid w:val="00FB7ECA"/>
    <w:rsid w:val="00FC16D2"/>
    <w:rsid w:val="00FC2DF8"/>
    <w:rsid w:val="00FC36F8"/>
    <w:rsid w:val="00FC5EE8"/>
    <w:rsid w:val="00FC5FD1"/>
    <w:rsid w:val="00FC6A91"/>
    <w:rsid w:val="00FD032B"/>
    <w:rsid w:val="00FD0529"/>
    <w:rsid w:val="00FD0566"/>
    <w:rsid w:val="00FD1A18"/>
    <w:rsid w:val="00FD43AF"/>
    <w:rsid w:val="00FD506B"/>
    <w:rsid w:val="00FD5475"/>
    <w:rsid w:val="00FD55A5"/>
    <w:rsid w:val="00FD67F9"/>
    <w:rsid w:val="00FE01A0"/>
    <w:rsid w:val="00FE0753"/>
    <w:rsid w:val="00FE2F2E"/>
    <w:rsid w:val="00FE3224"/>
    <w:rsid w:val="00FE4793"/>
    <w:rsid w:val="00FE4872"/>
    <w:rsid w:val="00FE7EC1"/>
    <w:rsid w:val="00FF20A5"/>
    <w:rsid w:val="00FF3B14"/>
    <w:rsid w:val="00FF7A48"/>
    <w:rsid w:val="00FF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colormenu v:ext="edit" fillcolor="none [3212]" strokecolor="none [3212]"/>
    </o:shapedefaults>
    <o:shapelayout v:ext="edit">
      <o:idmap v:ext="edit" data="1"/>
    </o:shapelayout>
  </w:shapeDefaults>
  <w:decimalSymbol w:val="."/>
  <w:listSeparator w:val=","/>
  <w14:docId w14:val="4706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lang w:val="en-GB"/>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5">
    <w:name w:val="heading 5"/>
    <w:basedOn w:val="Normal"/>
    <w:next w:val="Normal"/>
    <w:link w:val="Heading5Char"/>
    <w:uiPriority w:val="9"/>
    <w:semiHidden/>
    <w:unhideWhenUsed/>
    <w:qFormat/>
    <w:rsid w:val="0019073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6870D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link w:val="ListParagraphChar"/>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aliases w:val="FOOTNOTES,fn,single space,Footnote,Footnote Text Char Char Char,Footnote Text1 Char,Footnote Text2,Footnote Text Char Char Char1 Char,Footnote Text Char Char Char1,ft,ADB,ALTS FOOTNOTE,Testo nota a piè di pagina Carattere"/>
    <w:basedOn w:val="Normal"/>
    <w:link w:val="FootnoteTextChar"/>
    <w:rsid w:val="00967129"/>
    <w:rPr>
      <w:sz w:val="20"/>
      <w:szCs w:val="20"/>
    </w:rPr>
  </w:style>
  <w:style w:type="character" w:customStyle="1" w:styleId="FootnoteTextChar">
    <w:name w:val="Footnote Text Char"/>
    <w:aliases w:val="FOOTNOTES Char,fn Char,single space Char,Footnote Char,Footnote Text Char Char Char Char,Footnote Text1 Char Char,Footnote Text2 Char,Footnote Text Char Char Char1 Char Char,Footnote Text Char Char Char1 Char1,ft Char,ADB Char"/>
    <w:basedOn w:val="DefaultParagraphFont"/>
    <w:link w:val="FootnoteText"/>
    <w:rsid w:val="00967129"/>
  </w:style>
  <w:style w:type="character" w:styleId="FootnoteReference">
    <w:name w:val="footnote reference"/>
    <w:aliases w:val="ftref,Char Char,Carattere Char1,Carattere Char Char Carattere Carattere Char Char"/>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Default">
    <w:name w:val="Default"/>
    <w:rsid w:val="00C81716"/>
    <w:pPr>
      <w:autoSpaceDE w:val="0"/>
      <w:autoSpaceDN w:val="0"/>
      <w:adjustRightInd w:val="0"/>
    </w:pPr>
    <w:rPr>
      <w:rFonts w:ascii="Book Antiqua" w:hAnsi="Book Antiqua" w:cs="Book Antiqua"/>
      <w:color w:val="000000"/>
      <w:sz w:val="24"/>
      <w:szCs w:val="24"/>
      <w:lang w:val="it-IT" w:eastAsia="it-IT"/>
    </w:rPr>
  </w:style>
  <w:style w:type="character" w:customStyle="1" w:styleId="TestonotaapidipaginaCarattere1">
    <w:name w:val="Testo nota a piè di pagina Carattere1"/>
    <w:aliases w:val="FOOTNOTES Carattere,fn Carattere,single space Carattere,Footnote Carattere,Testo nota a piè di pagina Carattere Carattere,Footnote Text Char Char Char Carattere,Footnote Text1 Char Carattere,Footnote Text2 Carattere"/>
    <w:basedOn w:val="DefaultParagraphFont"/>
    <w:uiPriority w:val="99"/>
    <w:locked/>
    <w:rsid w:val="006870DC"/>
    <w:rPr>
      <w:rFonts w:ascii="Calibri" w:eastAsia="Calibri" w:hAnsi="Calibri" w:cs="Calibri"/>
      <w:sz w:val="20"/>
      <w:szCs w:val="20"/>
      <w:lang w:val="en-US"/>
    </w:rPr>
  </w:style>
  <w:style w:type="paragraph" w:styleId="NoSpacing">
    <w:name w:val="No Spacing"/>
    <w:link w:val="NoSpacingChar"/>
    <w:uiPriority w:val="99"/>
    <w:qFormat/>
    <w:rsid w:val="006870DC"/>
    <w:rPr>
      <w:rFonts w:ascii="Calibri" w:hAnsi="Calibri"/>
      <w:sz w:val="22"/>
      <w:szCs w:val="22"/>
    </w:rPr>
  </w:style>
  <w:style w:type="character" w:customStyle="1" w:styleId="NoSpacingChar">
    <w:name w:val="No Spacing Char"/>
    <w:basedOn w:val="DefaultParagraphFont"/>
    <w:link w:val="NoSpacing"/>
    <w:uiPriority w:val="99"/>
    <w:locked/>
    <w:rsid w:val="006870DC"/>
    <w:rPr>
      <w:rFonts w:ascii="Calibri" w:hAnsi="Calibri"/>
      <w:sz w:val="22"/>
      <w:szCs w:val="22"/>
      <w:lang w:val="en-US" w:eastAsia="en-US" w:bidi="ar-SA"/>
    </w:rPr>
  </w:style>
  <w:style w:type="character" w:customStyle="1" w:styleId="Heading6Char">
    <w:name w:val="Heading 6 Char"/>
    <w:basedOn w:val="DefaultParagraphFont"/>
    <w:link w:val="Heading6"/>
    <w:uiPriority w:val="9"/>
    <w:rsid w:val="006870DC"/>
    <w:rPr>
      <w:rFonts w:ascii="Calibri" w:eastAsia="Times New Roman" w:hAnsi="Calibri" w:cs="Times New Roman"/>
      <w:b/>
      <w:bCs/>
      <w:sz w:val="22"/>
      <w:szCs w:val="22"/>
      <w:lang w:val="en-GB" w:eastAsia="en-US"/>
    </w:rPr>
  </w:style>
  <w:style w:type="character" w:customStyle="1" w:styleId="Heading5Char">
    <w:name w:val="Heading 5 Char"/>
    <w:basedOn w:val="DefaultParagraphFont"/>
    <w:link w:val="Heading5"/>
    <w:uiPriority w:val="9"/>
    <w:semiHidden/>
    <w:rsid w:val="00190734"/>
    <w:rPr>
      <w:rFonts w:ascii="Calibri" w:eastAsia="Times New Roman" w:hAnsi="Calibri" w:cs="Times New Roman"/>
      <w:b/>
      <w:bCs/>
      <w:i/>
      <w:iCs/>
      <w:sz w:val="26"/>
      <w:szCs w:val="26"/>
      <w:lang w:val="en-GB" w:eastAsia="en-US"/>
    </w:rPr>
  </w:style>
  <w:style w:type="paragraph" w:customStyle="1" w:styleId="CM9">
    <w:name w:val="CM9"/>
    <w:basedOn w:val="Default"/>
    <w:next w:val="Default"/>
    <w:uiPriority w:val="99"/>
    <w:rsid w:val="00703AFB"/>
    <w:rPr>
      <w:rFonts w:ascii="Calibri" w:hAnsi="Calibri" w:cs="Times New Roman"/>
      <w:color w:val="auto"/>
    </w:rPr>
  </w:style>
  <w:style w:type="character" w:customStyle="1" w:styleId="ListParagraphChar">
    <w:name w:val="List Paragraph Char"/>
    <w:basedOn w:val="DefaultParagraphFont"/>
    <w:link w:val="ListParagraph"/>
    <w:uiPriority w:val="34"/>
    <w:rsid w:val="00CF076E"/>
    <w:rPr>
      <w:sz w:val="24"/>
      <w:szCs w:val="24"/>
      <w:lang w:val="en-GB"/>
    </w:rPr>
  </w:style>
  <w:style w:type="paragraph" w:styleId="Revision">
    <w:name w:val="Revision"/>
    <w:hidden/>
    <w:uiPriority w:val="99"/>
    <w:semiHidden/>
    <w:rsid w:val="00AF591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923">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623921415">
      <w:bodyDiv w:val="1"/>
      <w:marLeft w:val="0"/>
      <w:marRight w:val="0"/>
      <w:marTop w:val="0"/>
      <w:marBottom w:val="0"/>
      <w:divBdr>
        <w:top w:val="none" w:sz="0" w:space="0" w:color="auto"/>
        <w:left w:val="none" w:sz="0" w:space="0" w:color="auto"/>
        <w:bottom w:val="none" w:sz="0" w:space="0" w:color="auto"/>
        <w:right w:val="none" w:sz="0" w:space="0" w:color="auto"/>
      </w:divBdr>
      <w:divsChild>
        <w:div w:id="1630284440">
          <w:marLeft w:val="720"/>
          <w:marRight w:val="0"/>
          <w:marTop w:val="0"/>
          <w:marBottom w:val="0"/>
          <w:divBdr>
            <w:top w:val="none" w:sz="0" w:space="0" w:color="auto"/>
            <w:left w:val="none" w:sz="0" w:space="0" w:color="auto"/>
            <w:bottom w:val="none" w:sz="0" w:space="0" w:color="auto"/>
            <w:right w:val="none" w:sz="0" w:space="0" w:color="auto"/>
          </w:divBdr>
        </w:div>
      </w:divsChild>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700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ADD9-B306-43F9-A302-0F37FB31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11213</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Trenitalia</Company>
  <LinksUpToDate>false</LinksUpToDate>
  <CharactersWithSpaces>13154</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Cristina Bertarelli</cp:lastModifiedBy>
  <cp:revision>3</cp:revision>
  <cp:lastPrinted>2012-05-04T00:23:00Z</cp:lastPrinted>
  <dcterms:created xsi:type="dcterms:W3CDTF">2012-05-04T12:04:00Z</dcterms:created>
  <dcterms:modified xsi:type="dcterms:W3CDTF">2012-05-07T21:27:00Z</dcterms:modified>
</cp:coreProperties>
</file>