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2A" w:rsidRPr="00A41AD9" w:rsidRDefault="00FC7D2A" w:rsidP="009531D3"/>
    <w:p w:rsidR="00A41C8D" w:rsidRPr="00A41AD9" w:rsidRDefault="00A41AD9" w:rsidP="00A41C8D">
      <w:pPr>
        <w:jc w:val="center"/>
        <w:rPr>
          <w:b/>
          <w:bCs/>
          <w:caps/>
        </w:rPr>
      </w:pPr>
      <w:r>
        <w:rPr>
          <w:rFonts w:ascii="Arial" w:hAnsi="Arial"/>
          <w:noProof/>
          <w:spacing w:val="-3"/>
        </w:rPr>
        <w:drawing>
          <wp:inline distT="0" distB="0" distL="0" distR="0">
            <wp:extent cx="1035050" cy="80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0838" t="3618" r="10838" b="16402"/>
                    <a:stretch>
                      <a:fillRect/>
                    </a:stretch>
                  </pic:blipFill>
                  <pic:spPr bwMode="auto">
                    <a:xfrm>
                      <a:off x="0" y="0"/>
                      <a:ext cx="1035050" cy="802005"/>
                    </a:xfrm>
                    <a:prstGeom prst="rect">
                      <a:avLst/>
                    </a:prstGeom>
                    <a:solidFill>
                      <a:srgbClr val="3366FF"/>
                    </a:solidFill>
                    <a:ln>
                      <a:noFill/>
                    </a:ln>
                  </pic:spPr>
                </pic:pic>
              </a:graphicData>
            </a:graphic>
          </wp:inline>
        </w:drawing>
      </w:r>
    </w:p>
    <w:p w:rsidR="00A41C8D" w:rsidRPr="00A41AD9" w:rsidRDefault="00A41C8D" w:rsidP="00A41C8D">
      <w:pPr>
        <w:jc w:val="center"/>
        <w:rPr>
          <w:b/>
          <w:bCs/>
          <w:caps/>
        </w:rPr>
      </w:pPr>
    </w:p>
    <w:p w:rsidR="00A41C8D" w:rsidRPr="00A41AD9" w:rsidRDefault="00A41C8D" w:rsidP="00A41C8D">
      <w:pPr>
        <w:jc w:val="center"/>
        <w:rPr>
          <w:b/>
          <w:bCs/>
          <w:caps/>
        </w:rPr>
      </w:pPr>
      <w:r w:rsidRPr="00A41AD9">
        <w:rPr>
          <w:b/>
          <w:bCs/>
          <w:caps/>
        </w:rPr>
        <w:t>PEACE BUILDING FUND (PBF)</w:t>
      </w:r>
    </w:p>
    <w:p w:rsidR="00A41C8D" w:rsidRPr="00A41AD9" w:rsidRDefault="00A41AD9" w:rsidP="00A41C8D">
      <w:pPr>
        <w:jc w:val="center"/>
        <w:rPr>
          <w:b/>
          <w:bCs/>
          <w:caps/>
        </w:rPr>
      </w:pPr>
      <w:r w:rsidRPr="00CA620F">
        <w:rPr>
          <w:b/>
          <w:bCs/>
          <w:caps/>
        </w:rPr>
        <w:t>SEMi ANNUAL PROGRESS</w:t>
      </w:r>
      <w:r w:rsidR="00A41C8D" w:rsidRPr="00A41AD9">
        <w:rPr>
          <w:b/>
          <w:bCs/>
          <w:caps/>
        </w:rPr>
        <w:t xml:space="preserve"> PROGRAMME</w:t>
      </w:r>
      <w:r w:rsidR="00A41C8D" w:rsidRPr="00A41AD9">
        <w:rPr>
          <w:rStyle w:val="FootnoteReference"/>
          <w:b/>
          <w:bCs/>
          <w:caps/>
        </w:rPr>
        <w:footnoteReference w:id="1"/>
      </w:r>
      <w:r w:rsidR="00A41C8D" w:rsidRPr="00A41AD9">
        <w:rPr>
          <w:b/>
          <w:bCs/>
          <w:caps/>
        </w:rPr>
        <w:t xml:space="preserve">  Narrative report</w:t>
      </w:r>
    </w:p>
    <w:p w:rsidR="00A41C8D" w:rsidRDefault="00A41C8D" w:rsidP="00A41C8D">
      <w:pPr>
        <w:jc w:val="center"/>
        <w:rPr>
          <w:b/>
          <w:bCs/>
          <w:caps/>
        </w:rPr>
      </w:pPr>
    </w:p>
    <w:p w:rsidR="004E08BD" w:rsidRPr="008006EB" w:rsidRDefault="004E08BD" w:rsidP="004E08BD">
      <w:pPr>
        <w:jc w:val="center"/>
        <w:rPr>
          <w:b/>
          <w:bCs/>
          <w:caps/>
        </w:rPr>
      </w:pPr>
      <w:r w:rsidRPr="008006EB">
        <w:rPr>
          <w:b/>
          <w:bCs/>
          <w:caps/>
        </w:rPr>
        <w:t xml:space="preserve">REPORTING PERIOD: </w:t>
      </w:r>
      <w:r>
        <w:rPr>
          <w:b/>
          <w:bCs/>
          <w:caps/>
        </w:rPr>
        <w:t>19</w:t>
      </w:r>
      <w:r w:rsidRPr="008006EB">
        <w:rPr>
          <w:b/>
          <w:bCs/>
          <w:caps/>
        </w:rPr>
        <w:t xml:space="preserve"> </w:t>
      </w:r>
      <w:r>
        <w:rPr>
          <w:b/>
          <w:bCs/>
          <w:caps/>
        </w:rPr>
        <w:t>April 2011 – 30 jUNE 2012</w:t>
      </w:r>
    </w:p>
    <w:p w:rsidR="004E08BD" w:rsidRPr="00A41AD9" w:rsidRDefault="004E08BD" w:rsidP="00A41C8D">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A41C8D" w:rsidRPr="00A41AD9">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A41C8D" w:rsidRPr="00A41AD9" w:rsidRDefault="00A41C8D" w:rsidP="008F025E">
            <w:pPr>
              <w:pStyle w:val="H1"/>
              <w:jc w:val="center"/>
              <w:rPr>
                <w:rFonts w:cs="Times New Roman"/>
                <w:szCs w:val="24"/>
              </w:rPr>
            </w:pPr>
            <w:r w:rsidRPr="00A41AD9">
              <w:rPr>
                <w:rFonts w:cs="Times New Roman"/>
                <w:szCs w:val="24"/>
              </w:rPr>
              <w:t>Programme Title &amp; Project Number</w:t>
            </w:r>
          </w:p>
        </w:tc>
        <w:tc>
          <w:tcPr>
            <w:tcW w:w="360" w:type="dxa"/>
            <w:vMerge w:val="restart"/>
            <w:tcBorders>
              <w:left w:val="single" w:sz="4" w:space="0" w:color="auto"/>
              <w:right w:val="single" w:sz="4" w:space="0" w:color="auto"/>
            </w:tcBorders>
            <w:vAlign w:val="center"/>
          </w:tcPr>
          <w:p w:rsidR="00A41C8D" w:rsidRPr="00A41AD9" w:rsidRDefault="00A41C8D" w:rsidP="008F025E">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A41C8D" w:rsidRPr="00A41AD9" w:rsidRDefault="00A41C8D" w:rsidP="008F025E">
            <w:pPr>
              <w:pStyle w:val="H1"/>
              <w:jc w:val="center"/>
              <w:rPr>
                <w:rFonts w:cs="Times New Roman"/>
                <w:szCs w:val="24"/>
              </w:rPr>
            </w:pPr>
            <w:r w:rsidRPr="00A41AD9">
              <w:rPr>
                <w:rFonts w:cs="Times New Roman"/>
                <w:szCs w:val="24"/>
              </w:rPr>
              <w:t>Country, Locality(s), Thematic Area(s)</w:t>
            </w:r>
            <w:r w:rsidRPr="00A41AD9">
              <w:rPr>
                <w:rStyle w:val="FootnoteReference"/>
                <w:rFonts w:cs="Times New Roman"/>
                <w:szCs w:val="24"/>
              </w:rPr>
              <w:footnoteReference w:id="2"/>
            </w:r>
          </w:p>
        </w:tc>
      </w:tr>
      <w:tr w:rsidR="00A41C8D" w:rsidRPr="00A41AD9">
        <w:tblPrEx>
          <w:tblCellMar>
            <w:top w:w="0" w:type="dxa"/>
            <w:bottom w:w="0" w:type="dxa"/>
          </w:tblCellMar>
        </w:tblPrEx>
        <w:trPr>
          <w:trHeight w:val="705"/>
        </w:trPr>
        <w:tc>
          <w:tcPr>
            <w:tcW w:w="5040" w:type="dxa"/>
            <w:vMerge w:val="restart"/>
            <w:tcBorders>
              <w:left w:val="single" w:sz="4" w:space="0" w:color="auto"/>
              <w:right w:val="single" w:sz="4" w:space="0" w:color="auto"/>
            </w:tcBorders>
          </w:tcPr>
          <w:p w:rsidR="00A41C8D" w:rsidRPr="00A41AD9" w:rsidRDefault="00A41C8D" w:rsidP="008F025E">
            <w:pPr>
              <w:pStyle w:val="BodyText"/>
              <w:numPr>
                <w:ilvl w:val="0"/>
                <w:numId w:val="13"/>
              </w:numPr>
              <w:ind w:left="342"/>
              <w:rPr>
                <w:rFonts w:ascii="Times New Roman" w:hAnsi="Times New Roman"/>
                <w:bCs/>
                <w:iCs/>
                <w:snapToGrid w:val="0"/>
                <w:color w:val="auto"/>
                <w:sz w:val="24"/>
              </w:rPr>
            </w:pPr>
            <w:r w:rsidRPr="00A41AD9">
              <w:rPr>
                <w:rFonts w:ascii="Times New Roman" w:hAnsi="Times New Roman"/>
                <w:bCs/>
                <w:iCs/>
                <w:snapToGrid w:val="0"/>
                <w:color w:val="auto"/>
                <w:sz w:val="24"/>
              </w:rPr>
              <w:t xml:space="preserve">Programme Title: </w:t>
            </w:r>
            <w:r w:rsidRPr="00A41AD9">
              <w:rPr>
                <w:rFonts w:ascii="Times New Roman" w:hAnsi="Times New Roman"/>
                <w:b/>
                <w:bCs/>
                <w:iCs/>
                <w:snapToGrid w:val="0"/>
                <w:color w:val="auto"/>
                <w:sz w:val="24"/>
              </w:rPr>
              <w:t>Capacity Building Shelter</w:t>
            </w:r>
            <w:r w:rsidRPr="00A41AD9">
              <w:rPr>
                <w:rFonts w:ascii="Times New Roman" w:hAnsi="Times New Roman"/>
                <w:bCs/>
                <w:iCs/>
                <w:snapToGrid w:val="0"/>
                <w:color w:val="auto"/>
                <w:sz w:val="24"/>
              </w:rPr>
              <w:t xml:space="preserve"> </w:t>
            </w:r>
          </w:p>
          <w:p w:rsidR="00A41C8D" w:rsidRPr="00A41AD9" w:rsidRDefault="00A41C8D" w:rsidP="008F025E">
            <w:pPr>
              <w:pStyle w:val="BodyText"/>
              <w:numPr>
                <w:ilvl w:val="0"/>
                <w:numId w:val="13"/>
              </w:numPr>
              <w:ind w:left="342"/>
              <w:rPr>
                <w:rFonts w:ascii="Times New Roman" w:hAnsi="Times New Roman"/>
                <w:bCs/>
                <w:iCs/>
                <w:snapToGrid w:val="0"/>
                <w:color w:val="auto"/>
                <w:sz w:val="24"/>
              </w:rPr>
            </w:pPr>
            <w:r w:rsidRPr="00A41AD9">
              <w:rPr>
                <w:rFonts w:ascii="Times New Roman" w:hAnsi="Times New Roman"/>
                <w:bCs/>
                <w:iCs/>
                <w:snapToGrid w:val="0"/>
                <w:color w:val="auto"/>
                <w:sz w:val="24"/>
              </w:rPr>
              <w:t>Programme Number (if applicable):</w:t>
            </w:r>
          </w:p>
          <w:p w:rsidR="00A41C8D" w:rsidRPr="00A41AD9" w:rsidRDefault="00A41C8D" w:rsidP="008F025E">
            <w:pPr>
              <w:pStyle w:val="BodyText"/>
              <w:numPr>
                <w:ilvl w:val="0"/>
                <w:numId w:val="13"/>
              </w:numPr>
              <w:ind w:left="342"/>
              <w:rPr>
                <w:rFonts w:ascii="Times New Roman" w:hAnsi="Times New Roman"/>
                <w:i/>
                <w:color w:val="auto"/>
                <w:sz w:val="24"/>
                <w:lang w:val="en-US"/>
              </w:rPr>
            </w:pPr>
            <w:r w:rsidRPr="00A41AD9">
              <w:rPr>
                <w:rFonts w:ascii="Times New Roman" w:hAnsi="Times New Roman"/>
                <w:bCs/>
                <w:iCs/>
                <w:snapToGrid w:val="0"/>
                <w:color w:val="auto"/>
                <w:sz w:val="24"/>
              </w:rPr>
              <w:t>MPTF Office Project Reference Number:</w:t>
            </w:r>
            <w:r w:rsidRPr="00A41AD9">
              <w:rPr>
                <w:rFonts w:ascii="Times New Roman" w:hAnsi="Times New Roman"/>
                <w:i/>
                <w:color w:val="auto"/>
                <w:sz w:val="24"/>
                <w:lang w:val="en-US"/>
              </w:rPr>
              <w:t xml:space="preserve"> </w:t>
            </w:r>
          </w:p>
        </w:tc>
        <w:tc>
          <w:tcPr>
            <w:tcW w:w="360" w:type="dxa"/>
            <w:vMerge/>
            <w:tcBorders>
              <w:left w:val="single" w:sz="4" w:space="0" w:color="auto"/>
              <w:right w:val="single" w:sz="4" w:space="0" w:color="auto"/>
            </w:tcBorders>
          </w:tcPr>
          <w:p w:rsidR="00A41C8D" w:rsidRPr="00A41AD9" w:rsidRDefault="00A41C8D" w:rsidP="008F025E">
            <w:pPr>
              <w:pStyle w:val="BodyText"/>
              <w:rPr>
                <w:rFonts w:ascii="Times New Roman" w:hAnsi="Times New Roman"/>
                <w:color w:val="auto"/>
                <w:sz w:val="24"/>
              </w:rPr>
            </w:pPr>
          </w:p>
        </w:tc>
        <w:tc>
          <w:tcPr>
            <w:tcW w:w="4860" w:type="dxa"/>
            <w:tcBorders>
              <w:left w:val="single" w:sz="4" w:space="0" w:color="auto"/>
              <w:bottom w:val="single" w:sz="4" w:space="0" w:color="auto"/>
              <w:right w:val="single" w:sz="4" w:space="0" w:color="auto"/>
            </w:tcBorders>
          </w:tcPr>
          <w:p w:rsidR="00A41C8D" w:rsidRPr="00A41AD9" w:rsidRDefault="00A41C8D" w:rsidP="008F025E">
            <w:pPr>
              <w:pStyle w:val="BodyText"/>
              <w:rPr>
                <w:rFonts w:ascii="Times New Roman" w:hAnsi="Times New Roman"/>
                <w:bCs/>
                <w:i/>
                <w:iCs/>
                <w:snapToGrid w:val="0"/>
                <w:color w:val="auto"/>
                <w:sz w:val="24"/>
              </w:rPr>
            </w:pPr>
            <w:r w:rsidRPr="00A41AD9">
              <w:rPr>
                <w:rFonts w:ascii="Times New Roman" w:hAnsi="Times New Roman"/>
                <w:bCs/>
                <w:i/>
                <w:iCs/>
                <w:snapToGrid w:val="0"/>
                <w:color w:val="auto"/>
                <w:sz w:val="24"/>
              </w:rPr>
              <w:t>(if applicable)</w:t>
            </w:r>
          </w:p>
          <w:p w:rsidR="00A41C8D" w:rsidRPr="00A41AD9" w:rsidRDefault="00A41C8D" w:rsidP="008F025E">
            <w:pPr>
              <w:pStyle w:val="BodyText"/>
              <w:rPr>
                <w:rFonts w:ascii="Times New Roman" w:hAnsi="Times New Roman"/>
                <w:b/>
                <w:bCs/>
                <w:iCs/>
                <w:snapToGrid w:val="0"/>
                <w:color w:val="auto"/>
                <w:sz w:val="24"/>
              </w:rPr>
            </w:pPr>
            <w:r w:rsidRPr="00A41AD9">
              <w:rPr>
                <w:rFonts w:ascii="Times New Roman" w:hAnsi="Times New Roman"/>
                <w:bCs/>
                <w:i/>
                <w:iCs/>
                <w:snapToGrid w:val="0"/>
                <w:color w:val="auto"/>
                <w:sz w:val="24"/>
              </w:rPr>
              <w:t xml:space="preserve">Country/Region: </w:t>
            </w:r>
            <w:r w:rsidRPr="00A41AD9">
              <w:rPr>
                <w:rFonts w:ascii="Times New Roman" w:hAnsi="Times New Roman"/>
                <w:b/>
                <w:bCs/>
                <w:iCs/>
                <w:snapToGrid w:val="0"/>
                <w:color w:val="auto"/>
                <w:sz w:val="24"/>
              </w:rPr>
              <w:t xml:space="preserve">Puntland State, Somalia </w:t>
            </w:r>
          </w:p>
          <w:p w:rsidR="00A41C8D" w:rsidRPr="00A41AD9" w:rsidRDefault="00A41C8D" w:rsidP="008F025E">
            <w:pPr>
              <w:pStyle w:val="BodyText"/>
              <w:jc w:val="left"/>
              <w:rPr>
                <w:rFonts w:ascii="Times New Roman" w:hAnsi="Times New Roman"/>
                <w:color w:val="auto"/>
                <w:sz w:val="24"/>
              </w:rPr>
            </w:pPr>
          </w:p>
        </w:tc>
      </w:tr>
      <w:tr w:rsidR="00A41C8D" w:rsidRPr="00A41AD9">
        <w:tblPrEx>
          <w:tblCellMar>
            <w:top w:w="0" w:type="dxa"/>
            <w:bottom w:w="0" w:type="dxa"/>
          </w:tblCellMar>
        </w:tblPrEx>
        <w:trPr>
          <w:trHeight w:val="408"/>
        </w:trPr>
        <w:tc>
          <w:tcPr>
            <w:tcW w:w="5040" w:type="dxa"/>
            <w:vMerge/>
            <w:tcBorders>
              <w:left w:val="single" w:sz="4" w:space="0" w:color="auto"/>
              <w:bottom w:val="single" w:sz="4" w:space="0" w:color="auto"/>
              <w:right w:val="single" w:sz="4" w:space="0" w:color="auto"/>
            </w:tcBorders>
          </w:tcPr>
          <w:p w:rsidR="00A41C8D" w:rsidRPr="00A41AD9" w:rsidRDefault="00A41C8D" w:rsidP="008F025E">
            <w:pPr>
              <w:pStyle w:val="BodyText"/>
              <w:numPr>
                <w:ilvl w:val="0"/>
                <w:numId w:val="13"/>
              </w:numPr>
              <w:ind w:left="342"/>
              <w:rPr>
                <w:rFonts w:ascii="Times New Roman" w:hAnsi="Times New Roman"/>
                <w:bCs/>
                <w:iCs/>
                <w:snapToGrid w:val="0"/>
                <w:color w:val="auto"/>
                <w:sz w:val="24"/>
              </w:rPr>
            </w:pPr>
          </w:p>
        </w:tc>
        <w:tc>
          <w:tcPr>
            <w:tcW w:w="360" w:type="dxa"/>
            <w:vMerge/>
            <w:tcBorders>
              <w:left w:val="single" w:sz="4" w:space="0" w:color="auto"/>
              <w:right w:val="single" w:sz="4" w:space="0" w:color="auto"/>
            </w:tcBorders>
          </w:tcPr>
          <w:p w:rsidR="00A41C8D" w:rsidRPr="00A41AD9" w:rsidRDefault="00A41C8D" w:rsidP="008F025E">
            <w:pPr>
              <w:pStyle w:val="BodyText"/>
              <w:rPr>
                <w:rFonts w:ascii="Times New Roman" w:hAnsi="Times New Roman"/>
                <w:color w:val="auto"/>
                <w:sz w:val="24"/>
              </w:rPr>
            </w:pPr>
          </w:p>
        </w:tc>
        <w:tc>
          <w:tcPr>
            <w:tcW w:w="4860" w:type="dxa"/>
            <w:tcBorders>
              <w:top w:val="single" w:sz="4" w:space="0" w:color="auto"/>
              <w:left w:val="single" w:sz="4" w:space="0" w:color="auto"/>
              <w:bottom w:val="single" w:sz="4" w:space="0" w:color="auto"/>
              <w:right w:val="single" w:sz="4" w:space="0" w:color="auto"/>
            </w:tcBorders>
          </w:tcPr>
          <w:p w:rsidR="00A41C8D" w:rsidRPr="00A41AD9" w:rsidRDefault="00A41C8D" w:rsidP="008F025E">
            <w:pPr>
              <w:pStyle w:val="BodyText"/>
              <w:jc w:val="left"/>
              <w:rPr>
                <w:rFonts w:ascii="Times New Roman" w:hAnsi="Times New Roman"/>
                <w:bCs/>
                <w:i/>
                <w:iCs/>
                <w:snapToGrid w:val="0"/>
                <w:color w:val="auto"/>
                <w:sz w:val="24"/>
              </w:rPr>
            </w:pPr>
            <w:r w:rsidRPr="00A41AD9">
              <w:rPr>
                <w:rFonts w:ascii="Times New Roman" w:hAnsi="Times New Roman"/>
                <w:bCs/>
                <w:i/>
                <w:iCs/>
                <w:snapToGrid w:val="0"/>
                <w:color w:val="auto"/>
                <w:sz w:val="24"/>
              </w:rPr>
              <w:t xml:space="preserve">Thematic/Priority: </w:t>
            </w:r>
            <w:r w:rsidRPr="00A41AD9">
              <w:rPr>
                <w:rFonts w:ascii="Times New Roman" w:hAnsi="Times New Roman"/>
                <w:b/>
                <w:bCs/>
                <w:iCs/>
                <w:snapToGrid w:val="0"/>
                <w:color w:val="auto"/>
                <w:sz w:val="24"/>
              </w:rPr>
              <w:t>Capacity Building</w:t>
            </w:r>
            <w:r w:rsidRPr="00A41AD9">
              <w:rPr>
                <w:rFonts w:ascii="Times New Roman" w:hAnsi="Times New Roman"/>
                <w:bCs/>
                <w:i/>
                <w:iCs/>
                <w:snapToGrid w:val="0"/>
                <w:color w:val="auto"/>
                <w:sz w:val="24"/>
              </w:rPr>
              <w:t xml:space="preserve"> </w:t>
            </w:r>
          </w:p>
        </w:tc>
      </w:tr>
    </w:tbl>
    <w:p w:rsidR="00A41C8D" w:rsidRPr="00A41AD9" w:rsidRDefault="00A41C8D" w:rsidP="00A41C8D">
      <w:pP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A41C8D" w:rsidRPr="00A41AD9">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A41C8D" w:rsidRPr="00A41AD9" w:rsidRDefault="00A41C8D" w:rsidP="008F025E">
            <w:pPr>
              <w:pStyle w:val="H1"/>
              <w:jc w:val="center"/>
              <w:rPr>
                <w:rFonts w:cs="Times New Roman"/>
                <w:szCs w:val="24"/>
              </w:rPr>
            </w:pPr>
            <w:r w:rsidRPr="00A41AD9">
              <w:rPr>
                <w:rFonts w:cs="Times New Roman"/>
                <w:szCs w:val="24"/>
              </w:rPr>
              <w:t>Participating Organization(s)</w:t>
            </w:r>
          </w:p>
        </w:tc>
        <w:tc>
          <w:tcPr>
            <w:tcW w:w="360" w:type="dxa"/>
            <w:vMerge w:val="restart"/>
            <w:tcBorders>
              <w:left w:val="single" w:sz="4" w:space="0" w:color="auto"/>
              <w:right w:val="single" w:sz="4" w:space="0" w:color="auto"/>
            </w:tcBorders>
            <w:vAlign w:val="center"/>
          </w:tcPr>
          <w:p w:rsidR="00A41C8D" w:rsidRPr="00A41AD9" w:rsidRDefault="00A41C8D" w:rsidP="008F025E">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A41C8D" w:rsidRPr="00A41AD9" w:rsidRDefault="00A41C8D" w:rsidP="008F025E">
            <w:pPr>
              <w:pStyle w:val="H1"/>
              <w:jc w:val="center"/>
              <w:rPr>
                <w:rFonts w:cs="Times New Roman"/>
                <w:szCs w:val="24"/>
              </w:rPr>
            </w:pPr>
            <w:r w:rsidRPr="00A41AD9">
              <w:rPr>
                <w:rFonts w:cs="Times New Roman"/>
                <w:szCs w:val="24"/>
              </w:rPr>
              <w:t>Implementing Partners</w:t>
            </w:r>
          </w:p>
        </w:tc>
      </w:tr>
      <w:tr w:rsidR="00A41C8D" w:rsidRPr="00A41AD9">
        <w:tblPrEx>
          <w:tblCellMar>
            <w:top w:w="0" w:type="dxa"/>
            <w:bottom w:w="0" w:type="dxa"/>
          </w:tblCellMar>
        </w:tblPrEx>
        <w:trPr>
          <w:trHeight w:val="495"/>
        </w:trPr>
        <w:tc>
          <w:tcPr>
            <w:tcW w:w="5040" w:type="dxa"/>
            <w:tcBorders>
              <w:left w:val="single" w:sz="4" w:space="0" w:color="auto"/>
              <w:bottom w:val="single" w:sz="4" w:space="0" w:color="auto"/>
              <w:right w:val="single" w:sz="4" w:space="0" w:color="auto"/>
            </w:tcBorders>
          </w:tcPr>
          <w:p w:rsidR="00A41C8D" w:rsidRPr="00A41AD9" w:rsidRDefault="00A41C8D" w:rsidP="008F025E">
            <w:pPr>
              <w:pStyle w:val="BodyText"/>
              <w:numPr>
                <w:ilvl w:val="0"/>
                <w:numId w:val="30"/>
              </w:numPr>
              <w:spacing w:before="0" w:after="0"/>
              <w:jc w:val="left"/>
              <w:rPr>
                <w:rFonts w:ascii="Times New Roman" w:hAnsi="Times New Roman"/>
                <w:color w:val="auto"/>
                <w:sz w:val="24"/>
              </w:rPr>
            </w:pPr>
            <w:r w:rsidRPr="00A41AD9">
              <w:rPr>
                <w:rFonts w:ascii="Times New Roman" w:hAnsi="Times New Roman"/>
                <w:color w:val="auto"/>
                <w:sz w:val="24"/>
              </w:rPr>
              <w:t>Organizations that have received direct funding from the MPTF Office under this programme</w:t>
            </w:r>
          </w:p>
          <w:p w:rsidR="00A41C8D" w:rsidRPr="00A41AD9" w:rsidRDefault="00A41C8D" w:rsidP="008F025E">
            <w:pPr>
              <w:pStyle w:val="BodyText"/>
              <w:spacing w:before="0" w:after="0"/>
              <w:jc w:val="left"/>
              <w:rPr>
                <w:rFonts w:ascii="Times New Roman" w:hAnsi="Times New Roman"/>
                <w:color w:val="auto"/>
                <w:sz w:val="24"/>
              </w:rPr>
            </w:pPr>
          </w:p>
          <w:p w:rsidR="00A41C8D" w:rsidRPr="00A41AD9" w:rsidRDefault="00A41C8D" w:rsidP="008F025E">
            <w:pPr>
              <w:pStyle w:val="BodyText"/>
              <w:spacing w:before="0" w:after="0"/>
              <w:jc w:val="left"/>
              <w:rPr>
                <w:rFonts w:ascii="Times New Roman" w:hAnsi="Times New Roman"/>
                <w:b/>
                <w:color w:val="auto"/>
                <w:sz w:val="24"/>
              </w:rPr>
            </w:pPr>
            <w:r w:rsidRPr="00A41AD9">
              <w:rPr>
                <w:rFonts w:ascii="Times New Roman" w:hAnsi="Times New Roman"/>
                <w:color w:val="auto"/>
                <w:sz w:val="24"/>
              </w:rPr>
              <w:t xml:space="preserve">                        </w:t>
            </w:r>
            <w:r w:rsidRPr="00A41AD9">
              <w:rPr>
                <w:rFonts w:ascii="Times New Roman" w:hAnsi="Times New Roman"/>
                <w:b/>
                <w:color w:val="auto"/>
                <w:sz w:val="24"/>
              </w:rPr>
              <w:t>UNHCR</w:t>
            </w:r>
          </w:p>
          <w:p w:rsidR="00A41C8D" w:rsidRPr="00A41AD9" w:rsidRDefault="00A41C8D" w:rsidP="008F025E">
            <w:pPr>
              <w:pStyle w:val="BodyText"/>
              <w:rPr>
                <w:rFonts w:ascii="Times New Roman" w:hAnsi="Times New Roman"/>
                <w:i/>
                <w:color w:val="auto"/>
                <w:sz w:val="24"/>
              </w:rPr>
            </w:pPr>
          </w:p>
        </w:tc>
        <w:tc>
          <w:tcPr>
            <w:tcW w:w="360" w:type="dxa"/>
            <w:vMerge/>
            <w:tcBorders>
              <w:left w:val="single" w:sz="4" w:space="0" w:color="auto"/>
              <w:right w:val="single" w:sz="4" w:space="0" w:color="auto"/>
            </w:tcBorders>
          </w:tcPr>
          <w:p w:rsidR="00A41C8D" w:rsidRPr="00A41AD9" w:rsidRDefault="00A41C8D" w:rsidP="008F025E">
            <w:pPr>
              <w:pStyle w:val="BodyText"/>
              <w:rPr>
                <w:rFonts w:ascii="Times New Roman" w:hAnsi="Times New Roman"/>
                <w:color w:val="auto"/>
                <w:sz w:val="24"/>
              </w:rPr>
            </w:pPr>
          </w:p>
        </w:tc>
        <w:tc>
          <w:tcPr>
            <w:tcW w:w="4860" w:type="dxa"/>
            <w:tcBorders>
              <w:left w:val="single" w:sz="4" w:space="0" w:color="auto"/>
              <w:bottom w:val="single" w:sz="4" w:space="0" w:color="auto"/>
              <w:right w:val="single" w:sz="4" w:space="0" w:color="auto"/>
            </w:tcBorders>
          </w:tcPr>
          <w:p w:rsidR="00A41C8D" w:rsidRPr="00A41AD9" w:rsidRDefault="00A41C8D" w:rsidP="00A41C8D">
            <w:pPr>
              <w:numPr>
                <w:ilvl w:val="0"/>
                <w:numId w:val="31"/>
              </w:numPr>
            </w:pPr>
            <w:r w:rsidRPr="00A41AD9">
              <w:t>Ministry of Security/Disarmament, Demobilization and Re-integration (</w:t>
            </w:r>
            <w:smartTag w:uri="urn:schemas-microsoft-com:office:smarttags" w:element="stockticker">
              <w:r w:rsidRPr="00A41AD9">
                <w:t>DDR</w:t>
              </w:r>
            </w:smartTag>
            <w:r w:rsidRPr="00A41AD9">
              <w:t>) - (Puntland)</w:t>
            </w:r>
          </w:p>
          <w:p w:rsidR="00A41C8D" w:rsidRPr="00A41AD9" w:rsidRDefault="00A41C8D" w:rsidP="00A41C8D">
            <w:pPr>
              <w:numPr>
                <w:ilvl w:val="0"/>
                <w:numId w:val="31"/>
              </w:numPr>
            </w:pPr>
            <w:r w:rsidRPr="00A41AD9">
              <w:t>Ministry of Interior, Local Government and Rural Development, Puntland State</w:t>
            </w:r>
          </w:p>
          <w:p w:rsidR="00A41C8D" w:rsidRPr="00A41AD9" w:rsidRDefault="00A41C8D" w:rsidP="00A41C8D">
            <w:pPr>
              <w:numPr>
                <w:ilvl w:val="0"/>
                <w:numId w:val="31"/>
              </w:numPr>
            </w:pPr>
            <w:r w:rsidRPr="00A41AD9">
              <w:t xml:space="preserve">Ministry of Planning &amp; International   Cooperation </w:t>
            </w:r>
            <w:r w:rsidR="00B76603" w:rsidRPr="00A41AD9">
              <w:t>(MOPIC)</w:t>
            </w:r>
            <w:r w:rsidRPr="00A41AD9">
              <w:t xml:space="preserve"> </w:t>
            </w:r>
          </w:p>
        </w:tc>
      </w:tr>
    </w:tbl>
    <w:p w:rsidR="00A41C8D" w:rsidRPr="00A41AD9" w:rsidRDefault="00A41C8D" w:rsidP="00A41C8D"/>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A41C8D" w:rsidRPr="00A41AD9">
        <w:tblPrEx>
          <w:tblCellMar>
            <w:top w:w="0" w:type="dxa"/>
            <w:bottom w:w="0" w:type="dxa"/>
          </w:tblCellMar>
        </w:tblPrEx>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A41C8D" w:rsidRPr="00A41AD9" w:rsidRDefault="00A41C8D" w:rsidP="008F025E">
            <w:pPr>
              <w:pStyle w:val="H1"/>
              <w:jc w:val="center"/>
              <w:rPr>
                <w:rFonts w:cs="Times New Roman"/>
                <w:szCs w:val="24"/>
              </w:rPr>
            </w:pPr>
            <w:r w:rsidRPr="00A41AD9">
              <w:rPr>
                <w:rFonts w:cs="Times New Roman"/>
                <w:szCs w:val="24"/>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A41C8D" w:rsidRPr="00A41AD9" w:rsidRDefault="00A41C8D" w:rsidP="008F025E">
            <w:pPr>
              <w:pStyle w:val="H1"/>
              <w:jc w:val="center"/>
              <w:rPr>
                <w:rFonts w:cs="Times New Roman"/>
                <w:szCs w:val="24"/>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A41C8D" w:rsidRPr="00A41AD9" w:rsidRDefault="00A41C8D" w:rsidP="008F025E">
            <w:pPr>
              <w:pStyle w:val="H1"/>
              <w:jc w:val="center"/>
              <w:rPr>
                <w:rFonts w:cs="Times New Roman"/>
                <w:szCs w:val="24"/>
              </w:rPr>
            </w:pPr>
            <w:r w:rsidRPr="00A41AD9">
              <w:rPr>
                <w:rFonts w:cs="Times New Roman"/>
                <w:szCs w:val="24"/>
              </w:rPr>
              <w:t>Programme Duration (months)</w:t>
            </w:r>
          </w:p>
        </w:tc>
      </w:tr>
      <w:tr w:rsidR="00EE5258" w:rsidRPr="00A41AD9">
        <w:tblPrEx>
          <w:tblCellMar>
            <w:top w:w="0" w:type="dxa"/>
            <w:bottom w:w="0" w:type="dxa"/>
          </w:tblCellMar>
        </w:tblPrEx>
        <w:trPr>
          <w:trHeight w:val="215"/>
        </w:trPr>
        <w:tc>
          <w:tcPr>
            <w:tcW w:w="2970" w:type="dxa"/>
            <w:tcBorders>
              <w:top w:val="nil"/>
              <w:left w:val="single" w:sz="4" w:space="0" w:color="auto"/>
              <w:bottom w:val="nil"/>
              <w:right w:val="nil"/>
            </w:tcBorders>
            <w:shd w:val="clear" w:color="auto" w:fill="auto"/>
            <w:vAlign w:val="center"/>
          </w:tcPr>
          <w:p w:rsidR="00EE5258" w:rsidRPr="00A41AD9" w:rsidRDefault="00EE5258" w:rsidP="008F025E">
            <w:pPr>
              <w:pStyle w:val="H2"/>
              <w:spacing w:before="120"/>
              <w:rPr>
                <w:rFonts w:cs="Times New Roman"/>
                <w:b w:val="0"/>
                <w:sz w:val="24"/>
                <w:szCs w:val="24"/>
              </w:rPr>
            </w:pPr>
            <w:r w:rsidRPr="00A41AD9">
              <w:rPr>
                <w:rFonts w:cs="Times New Roman"/>
                <w:b w:val="0"/>
                <w:sz w:val="24"/>
                <w:szCs w:val="24"/>
              </w:rPr>
              <w:t xml:space="preserve">MPTF/JP Fund Contribution:  </w:t>
            </w:r>
          </w:p>
          <w:p w:rsidR="00EE5258" w:rsidRPr="00A41AD9" w:rsidRDefault="00EE5258" w:rsidP="008F025E">
            <w:pPr>
              <w:pStyle w:val="H2"/>
              <w:numPr>
                <w:ilvl w:val="0"/>
                <w:numId w:val="22"/>
              </w:numPr>
              <w:spacing w:after="120"/>
              <w:ind w:left="162" w:hanging="180"/>
              <w:rPr>
                <w:rFonts w:cs="Times New Roman"/>
                <w:i/>
                <w:sz w:val="24"/>
                <w:szCs w:val="24"/>
              </w:rPr>
            </w:pPr>
            <w:r w:rsidRPr="00A41AD9">
              <w:rPr>
                <w:rFonts w:cs="Times New Roman"/>
                <w:b w:val="0"/>
                <w:i/>
                <w:sz w:val="24"/>
                <w:szCs w:val="24"/>
              </w:rPr>
              <w:t>by Agency (if applicable)</w:t>
            </w:r>
          </w:p>
        </w:tc>
        <w:tc>
          <w:tcPr>
            <w:tcW w:w="2070" w:type="dxa"/>
            <w:tcBorders>
              <w:top w:val="nil"/>
              <w:left w:val="nil"/>
              <w:bottom w:val="nil"/>
              <w:right w:val="single" w:sz="4" w:space="0" w:color="auto"/>
            </w:tcBorders>
            <w:shd w:val="clear" w:color="auto" w:fill="auto"/>
          </w:tcPr>
          <w:p w:rsidR="00EE5258" w:rsidRPr="00A41AD9" w:rsidRDefault="00EE5258" w:rsidP="008F025E">
            <w:pPr>
              <w:pStyle w:val="BodyText"/>
              <w:spacing w:before="120" w:after="120"/>
              <w:rPr>
                <w:rFonts w:ascii="Times New Roman" w:hAnsi="Times New Roman"/>
                <w:color w:val="auto"/>
                <w:sz w:val="24"/>
              </w:rPr>
            </w:pPr>
            <w:r w:rsidRPr="00A41AD9">
              <w:rPr>
                <w:rFonts w:ascii="Times New Roman" w:hAnsi="Times New Roman"/>
                <w:color w:val="auto"/>
                <w:sz w:val="24"/>
              </w:rPr>
              <w:t>$115,000</w:t>
            </w:r>
          </w:p>
        </w:tc>
        <w:tc>
          <w:tcPr>
            <w:tcW w:w="360" w:type="dxa"/>
            <w:tcBorders>
              <w:top w:val="nil"/>
              <w:left w:val="single" w:sz="4" w:space="0" w:color="auto"/>
              <w:bottom w:val="nil"/>
              <w:right w:val="single" w:sz="4" w:space="0" w:color="auto"/>
            </w:tcBorders>
            <w:shd w:val="clear" w:color="auto" w:fill="auto"/>
          </w:tcPr>
          <w:p w:rsidR="00EE5258" w:rsidRPr="00A41AD9" w:rsidRDefault="00EE5258" w:rsidP="008F025E">
            <w:pPr>
              <w:pStyle w:val="BodyText"/>
              <w:spacing w:before="120" w:after="120"/>
              <w:rPr>
                <w:rFonts w:ascii="Times New Roman" w:hAnsi="Times New Roman"/>
                <w:color w:val="auto"/>
                <w:sz w:val="24"/>
              </w:rPr>
            </w:pPr>
          </w:p>
        </w:tc>
        <w:tc>
          <w:tcPr>
            <w:tcW w:w="2071" w:type="dxa"/>
            <w:tcBorders>
              <w:top w:val="nil"/>
              <w:left w:val="single" w:sz="4" w:space="0" w:color="auto"/>
              <w:bottom w:val="nil"/>
              <w:right w:val="nil"/>
            </w:tcBorders>
            <w:shd w:val="clear" w:color="auto" w:fill="auto"/>
            <w:vAlign w:val="center"/>
          </w:tcPr>
          <w:p w:rsidR="00EE5258" w:rsidRPr="00A41AD9" w:rsidRDefault="00EE5258" w:rsidP="00BD44C1">
            <w:pPr>
              <w:pStyle w:val="BodyText"/>
              <w:jc w:val="left"/>
              <w:rPr>
                <w:rFonts w:ascii="Times New Roman" w:hAnsi="Times New Roman"/>
                <w:color w:val="auto"/>
                <w:sz w:val="24"/>
              </w:rPr>
            </w:pPr>
            <w:r w:rsidRPr="00A41AD9">
              <w:rPr>
                <w:rFonts w:ascii="Times New Roman" w:hAnsi="Times New Roman"/>
                <w:color w:val="auto"/>
                <w:sz w:val="24"/>
              </w:rPr>
              <w:t xml:space="preserve">Overall Duration </w:t>
            </w:r>
            <w:r w:rsidRPr="00A41AD9">
              <w:rPr>
                <w:rFonts w:ascii="Times New Roman" w:hAnsi="Times New Roman"/>
                <w:i/>
                <w:color w:val="auto"/>
                <w:sz w:val="24"/>
              </w:rPr>
              <w:t>(months)</w:t>
            </w:r>
          </w:p>
        </w:tc>
        <w:tc>
          <w:tcPr>
            <w:tcW w:w="2800" w:type="dxa"/>
            <w:tcBorders>
              <w:top w:val="nil"/>
              <w:left w:val="nil"/>
              <w:bottom w:val="nil"/>
              <w:right w:val="single" w:sz="4" w:space="0" w:color="auto"/>
            </w:tcBorders>
            <w:shd w:val="clear" w:color="auto" w:fill="auto"/>
          </w:tcPr>
          <w:p w:rsidR="00EE5258" w:rsidRPr="00A41AD9" w:rsidRDefault="00EE5258" w:rsidP="00BD44C1">
            <w:pPr>
              <w:pStyle w:val="BodyText"/>
              <w:widowControl w:val="0"/>
              <w:spacing w:before="120" w:after="120"/>
              <w:rPr>
                <w:rFonts w:ascii="Times New Roman" w:hAnsi="Times New Roman"/>
                <w:color w:val="auto"/>
                <w:sz w:val="24"/>
              </w:rPr>
            </w:pPr>
            <w:r w:rsidRPr="00A41AD9">
              <w:rPr>
                <w:rFonts w:ascii="Times New Roman" w:hAnsi="Times New Roman"/>
                <w:color w:val="auto"/>
                <w:sz w:val="24"/>
              </w:rPr>
              <w:t xml:space="preserve">18 Months </w:t>
            </w:r>
          </w:p>
          <w:p w:rsidR="00EE5258" w:rsidRPr="00A41AD9" w:rsidRDefault="00EE5258" w:rsidP="00BD44C1">
            <w:pPr>
              <w:pStyle w:val="BodyText"/>
              <w:widowControl w:val="0"/>
              <w:spacing w:before="120" w:after="120"/>
              <w:rPr>
                <w:rFonts w:ascii="Times New Roman" w:hAnsi="Times New Roman"/>
                <w:color w:val="auto"/>
                <w:sz w:val="24"/>
              </w:rPr>
            </w:pPr>
          </w:p>
        </w:tc>
      </w:tr>
      <w:tr w:rsidR="00EE5258" w:rsidRPr="00A41AD9">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auto"/>
            <w:vAlign w:val="center"/>
          </w:tcPr>
          <w:p w:rsidR="00EE5258" w:rsidRPr="00A41AD9" w:rsidRDefault="00EE5258" w:rsidP="008F025E">
            <w:pPr>
              <w:pStyle w:val="H2"/>
              <w:spacing w:before="120"/>
              <w:rPr>
                <w:rFonts w:cs="Times New Roman"/>
                <w:b w:val="0"/>
                <w:sz w:val="24"/>
                <w:szCs w:val="24"/>
              </w:rPr>
            </w:pPr>
            <w:r w:rsidRPr="00A41AD9">
              <w:rPr>
                <w:rFonts w:cs="Times New Roman"/>
                <w:b w:val="0"/>
                <w:sz w:val="24"/>
                <w:szCs w:val="24"/>
              </w:rPr>
              <w:t>Agency Contribution</w:t>
            </w:r>
          </w:p>
          <w:p w:rsidR="00EE5258" w:rsidRPr="00A41AD9" w:rsidRDefault="00EE5258" w:rsidP="008F025E">
            <w:pPr>
              <w:pStyle w:val="H2"/>
              <w:numPr>
                <w:ilvl w:val="0"/>
                <w:numId w:val="20"/>
              </w:numPr>
              <w:spacing w:after="120"/>
              <w:ind w:left="162" w:hanging="162"/>
              <w:rPr>
                <w:rFonts w:cs="Times New Roman"/>
                <w:sz w:val="24"/>
                <w:szCs w:val="24"/>
              </w:rPr>
            </w:pPr>
            <w:r w:rsidRPr="00A41AD9">
              <w:rPr>
                <w:rFonts w:cs="Times New Roman"/>
                <w:b w:val="0"/>
                <w:i/>
                <w:sz w:val="24"/>
                <w:szCs w:val="24"/>
              </w:rPr>
              <w:t>by Agency (if applicable)</w:t>
            </w:r>
          </w:p>
        </w:tc>
        <w:tc>
          <w:tcPr>
            <w:tcW w:w="2070" w:type="dxa"/>
            <w:tcBorders>
              <w:top w:val="nil"/>
              <w:left w:val="nil"/>
              <w:bottom w:val="nil"/>
              <w:right w:val="single" w:sz="4" w:space="0" w:color="auto"/>
            </w:tcBorders>
            <w:shd w:val="clear" w:color="auto" w:fill="auto"/>
          </w:tcPr>
          <w:p w:rsidR="00EE5258" w:rsidRPr="00A41AD9" w:rsidRDefault="00EE5258" w:rsidP="008F025E">
            <w:pPr>
              <w:pStyle w:val="BodyText"/>
              <w:spacing w:before="120" w:after="120"/>
              <w:rPr>
                <w:rFonts w:ascii="Times New Roman" w:hAnsi="Times New Roman"/>
                <w:color w:val="auto"/>
                <w:sz w:val="24"/>
              </w:rPr>
            </w:pPr>
            <w:r w:rsidRPr="00A41AD9">
              <w:rPr>
                <w:rFonts w:ascii="Times New Roman" w:hAnsi="Times New Roman"/>
                <w:color w:val="auto"/>
                <w:sz w:val="24"/>
              </w:rPr>
              <w:t>00.00</w:t>
            </w:r>
          </w:p>
        </w:tc>
        <w:tc>
          <w:tcPr>
            <w:tcW w:w="360" w:type="dxa"/>
            <w:tcBorders>
              <w:top w:val="nil"/>
              <w:left w:val="single" w:sz="4" w:space="0" w:color="auto"/>
              <w:bottom w:val="nil"/>
              <w:right w:val="single" w:sz="4" w:space="0" w:color="auto"/>
            </w:tcBorders>
            <w:shd w:val="clear" w:color="auto" w:fill="auto"/>
          </w:tcPr>
          <w:p w:rsidR="00EE5258" w:rsidRPr="00A41AD9" w:rsidRDefault="00EE5258" w:rsidP="008F025E">
            <w:pPr>
              <w:pStyle w:val="BodyText"/>
              <w:spacing w:before="120" w:after="120"/>
              <w:rPr>
                <w:rFonts w:ascii="Times New Roman" w:hAnsi="Times New Roman"/>
                <w:color w:val="auto"/>
                <w:sz w:val="24"/>
              </w:rPr>
            </w:pPr>
          </w:p>
        </w:tc>
        <w:tc>
          <w:tcPr>
            <w:tcW w:w="2071" w:type="dxa"/>
            <w:tcBorders>
              <w:top w:val="nil"/>
              <w:left w:val="single" w:sz="4" w:space="0" w:color="auto"/>
              <w:bottom w:val="nil"/>
              <w:right w:val="nil"/>
            </w:tcBorders>
            <w:shd w:val="clear" w:color="auto" w:fill="auto"/>
            <w:vAlign w:val="center"/>
          </w:tcPr>
          <w:p w:rsidR="00EE5258" w:rsidRPr="00A41AD9" w:rsidRDefault="00EE5258" w:rsidP="00BD44C1">
            <w:pPr>
              <w:pStyle w:val="BodyText"/>
              <w:jc w:val="left"/>
              <w:rPr>
                <w:rFonts w:ascii="Times New Roman" w:hAnsi="Times New Roman"/>
                <w:color w:val="auto"/>
                <w:sz w:val="24"/>
              </w:rPr>
            </w:pPr>
            <w:r w:rsidRPr="00A41AD9">
              <w:rPr>
                <w:rFonts w:ascii="Times New Roman" w:hAnsi="Times New Roman"/>
                <w:color w:val="auto"/>
                <w:sz w:val="24"/>
              </w:rPr>
              <w:t>Start Date</w:t>
            </w:r>
            <w:r w:rsidRPr="00A41AD9">
              <w:rPr>
                <w:rStyle w:val="FootnoteReference"/>
                <w:rFonts w:ascii="Times New Roman" w:hAnsi="Times New Roman"/>
                <w:color w:val="auto"/>
                <w:sz w:val="24"/>
              </w:rPr>
              <w:footnoteReference w:id="3"/>
            </w:r>
            <w:r w:rsidRPr="00A41AD9">
              <w:rPr>
                <w:rFonts w:ascii="Times New Roman" w:hAnsi="Times New Roman"/>
                <w:color w:val="auto"/>
                <w:sz w:val="24"/>
              </w:rPr>
              <w:t xml:space="preserve"> </w:t>
            </w:r>
            <w:r w:rsidRPr="00A41AD9">
              <w:rPr>
                <w:rFonts w:ascii="Times New Roman" w:hAnsi="Times New Roman"/>
                <w:i/>
                <w:color w:val="auto"/>
                <w:sz w:val="24"/>
              </w:rPr>
              <w:t>(</w:t>
            </w:r>
            <w:proofErr w:type="spellStart"/>
            <w:r w:rsidRPr="00A41AD9">
              <w:rPr>
                <w:rFonts w:ascii="Times New Roman" w:hAnsi="Times New Roman"/>
                <w:i/>
                <w:color w:val="auto"/>
                <w:sz w:val="24"/>
              </w:rPr>
              <w:t>dd.mm.yyyy</w:t>
            </w:r>
            <w:proofErr w:type="spellEnd"/>
            <w:r w:rsidRPr="00A41AD9">
              <w:rPr>
                <w:rFonts w:ascii="Times New Roman" w:hAnsi="Times New Roman"/>
                <w:i/>
                <w:color w:val="auto"/>
                <w:sz w:val="24"/>
              </w:rPr>
              <w:t>)</w:t>
            </w:r>
          </w:p>
        </w:tc>
        <w:tc>
          <w:tcPr>
            <w:tcW w:w="2800" w:type="dxa"/>
            <w:tcBorders>
              <w:top w:val="nil"/>
              <w:left w:val="nil"/>
              <w:bottom w:val="nil"/>
              <w:right w:val="single" w:sz="4" w:space="0" w:color="auto"/>
            </w:tcBorders>
            <w:shd w:val="clear" w:color="auto" w:fill="auto"/>
          </w:tcPr>
          <w:p w:rsidR="00EE5258" w:rsidRPr="00A41AD9" w:rsidRDefault="00EE5258" w:rsidP="00BD44C1">
            <w:pPr>
              <w:pStyle w:val="BodyText"/>
              <w:spacing w:before="120" w:after="120"/>
              <w:rPr>
                <w:rFonts w:ascii="Times New Roman" w:hAnsi="Times New Roman"/>
                <w:color w:val="auto"/>
                <w:sz w:val="24"/>
              </w:rPr>
            </w:pPr>
            <w:r w:rsidRPr="00A41AD9">
              <w:rPr>
                <w:rFonts w:ascii="Times New Roman" w:hAnsi="Times New Roman"/>
                <w:color w:val="auto"/>
                <w:sz w:val="24"/>
              </w:rPr>
              <w:t>19 April 2011</w:t>
            </w:r>
          </w:p>
        </w:tc>
      </w:tr>
      <w:tr w:rsidR="00EE5258" w:rsidRPr="00A41AD9">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EE5258" w:rsidRPr="00A41AD9" w:rsidRDefault="00EE5258" w:rsidP="008F025E">
            <w:pPr>
              <w:pStyle w:val="H2"/>
              <w:rPr>
                <w:rFonts w:cs="Times New Roman"/>
                <w:b w:val="0"/>
                <w:sz w:val="24"/>
                <w:szCs w:val="24"/>
              </w:rPr>
            </w:pPr>
            <w:r w:rsidRPr="00A41AD9">
              <w:rPr>
                <w:rFonts w:cs="Times New Roman"/>
                <w:b w:val="0"/>
                <w:sz w:val="24"/>
                <w:szCs w:val="24"/>
              </w:rPr>
              <w:t>Government Contribution</w:t>
            </w:r>
          </w:p>
          <w:p w:rsidR="00EE5258" w:rsidRPr="00A41AD9" w:rsidRDefault="00EE5258" w:rsidP="008F025E">
            <w:pPr>
              <w:pStyle w:val="H2"/>
              <w:rPr>
                <w:rFonts w:cs="Times New Roman"/>
                <w:sz w:val="24"/>
                <w:szCs w:val="24"/>
              </w:rPr>
            </w:pPr>
            <w:r w:rsidRPr="00A41AD9">
              <w:rPr>
                <w:rFonts w:cs="Times New Roman"/>
                <w:b w:val="0"/>
                <w:i/>
                <w:sz w:val="24"/>
                <w:szCs w:val="24"/>
              </w:rPr>
              <w:t>(if applicable)</w:t>
            </w:r>
          </w:p>
        </w:tc>
        <w:tc>
          <w:tcPr>
            <w:tcW w:w="2070" w:type="dxa"/>
            <w:tcBorders>
              <w:top w:val="nil"/>
              <w:left w:val="nil"/>
              <w:bottom w:val="nil"/>
              <w:right w:val="single" w:sz="4" w:space="0" w:color="auto"/>
            </w:tcBorders>
            <w:shd w:val="clear" w:color="auto" w:fill="D9D9D9"/>
          </w:tcPr>
          <w:p w:rsidR="00EE5258" w:rsidRPr="00A41AD9" w:rsidRDefault="00EE5258" w:rsidP="008F025E">
            <w:pPr>
              <w:pStyle w:val="BodyText"/>
              <w:rPr>
                <w:rFonts w:ascii="Times New Roman" w:hAnsi="Times New Roman"/>
                <w:color w:val="auto"/>
                <w:sz w:val="24"/>
              </w:rPr>
            </w:pPr>
            <w:r w:rsidRPr="00A41AD9">
              <w:rPr>
                <w:rFonts w:ascii="Times New Roman" w:hAnsi="Times New Roman"/>
                <w:color w:val="auto"/>
                <w:sz w:val="24"/>
              </w:rPr>
              <w:t>00.00</w:t>
            </w:r>
          </w:p>
        </w:tc>
        <w:tc>
          <w:tcPr>
            <w:tcW w:w="360" w:type="dxa"/>
            <w:tcBorders>
              <w:top w:val="nil"/>
              <w:left w:val="single" w:sz="4" w:space="0" w:color="auto"/>
              <w:bottom w:val="nil"/>
              <w:right w:val="single" w:sz="4" w:space="0" w:color="auto"/>
            </w:tcBorders>
            <w:shd w:val="clear" w:color="auto" w:fill="auto"/>
          </w:tcPr>
          <w:p w:rsidR="00EE5258" w:rsidRPr="00A41AD9" w:rsidRDefault="00EE5258" w:rsidP="008F025E">
            <w:pPr>
              <w:pStyle w:val="BodyText"/>
              <w:rPr>
                <w:rFonts w:ascii="Times New Roman" w:hAnsi="Times New Roman"/>
                <w:color w:val="auto"/>
                <w:sz w:val="24"/>
              </w:rPr>
            </w:pPr>
          </w:p>
        </w:tc>
        <w:tc>
          <w:tcPr>
            <w:tcW w:w="2071" w:type="dxa"/>
            <w:tcBorders>
              <w:top w:val="nil"/>
              <w:left w:val="single" w:sz="4" w:space="0" w:color="auto"/>
              <w:bottom w:val="nil"/>
              <w:right w:val="nil"/>
            </w:tcBorders>
            <w:shd w:val="clear" w:color="auto" w:fill="auto"/>
            <w:vAlign w:val="center"/>
          </w:tcPr>
          <w:p w:rsidR="00EE5258" w:rsidRPr="00A41AD9" w:rsidRDefault="00EE5258" w:rsidP="00BD44C1">
            <w:pPr>
              <w:pStyle w:val="BodyText"/>
              <w:jc w:val="left"/>
              <w:rPr>
                <w:rFonts w:ascii="Times New Roman" w:hAnsi="Times New Roman"/>
                <w:color w:val="auto"/>
                <w:sz w:val="24"/>
              </w:rPr>
            </w:pPr>
            <w:r w:rsidRPr="00A41AD9">
              <w:rPr>
                <w:rFonts w:ascii="Times New Roman" w:hAnsi="Times New Roman"/>
                <w:color w:val="auto"/>
                <w:sz w:val="24"/>
              </w:rPr>
              <w:t>End Date (or Revised End Date)</w:t>
            </w:r>
            <w:r w:rsidRPr="00A41AD9">
              <w:rPr>
                <w:rStyle w:val="FootnoteReference"/>
                <w:rFonts w:ascii="Times New Roman" w:hAnsi="Times New Roman"/>
                <w:bCs/>
                <w:i/>
                <w:iCs/>
                <w:snapToGrid w:val="0"/>
                <w:color w:val="auto"/>
                <w:sz w:val="24"/>
              </w:rPr>
              <w:footnoteReference w:id="4"/>
            </w:r>
          </w:p>
        </w:tc>
        <w:tc>
          <w:tcPr>
            <w:tcW w:w="2800" w:type="dxa"/>
            <w:tcBorders>
              <w:top w:val="nil"/>
              <w:left w:val="nil"/>
              <w:bottom w:val="nil"/>
              <w:right w:val="single" w:sz="4" w:space="0" w:color="auto"/>
            </w:tcBorders>
            <w:shd w:val="clear" w:color="auto" w:fill="auto"/>
          </w:tcPr>
          <w:p w:rsidR="00EE5258" w:rsidRPr="00A41AD9" w:rsidRDefault="00EE5258" w:rsidP="00BD44C1">
            <w:pPr>
              <w:pStyle w:val="BodyText"/>
              <w:rPr>
                <w:rFonts w:ascii="Times New Roman" w:hAnsi="Times New Roman"/>
                <w:color w:val="auto"/>
                <w:sz w:val="24"/>
              </w:rPr>
            </w:pPr>
            <w:r w:rsidRPr="00A41AD9">
              <w:rPr>
                <w:rFonts w:ascii="Times New Roman" w:hAnsi="Times New Roman"/>
                <w:color w:val="auto"/>
                <w:sz w:val="24"/>
              </w:rPr>
              <w:t>19 October 2012</w:t>
            </w:r>
          </w:p>
        </w:tc>
      </w:tr>
      <w:tr w:rsidR="00EE5258" w:rsidRPr="00A41AD9">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EE5258" w:rsidRPr="00A41AD9" w:rsidRDefault="00EE5258" w:rsidP="008F025E">
            <w:pPr>
              <w:pStyle w:val="H2"/>
              <w:rPr>
                <w:rFonts w:cs="Times New Roman"/>
                <w:b w:val="0"/>
                <w:sz w:val="24"/>
                <w:szCs w:val="24"/>
              </w:rPr>
            </w:pPr>
            <w:r w:rsidRPr="00A41AD9">
              <w:rPr>
                <w:rFonts w:cs="Times New Roman"/>
                <w:b w:val="0"/>
                <w:sz w:val="24"/>
                <w:szCs w:val="24"/>
              </w:rPr>
              <w:t>Other Contributions (donors)</w:t>
            </w:r>
          </w:p>
          <w:p w:rsidR="00EE5258" w:rsidRPr="00A41AD9" w:rsidRDefault="00EE5258" w:rsidP="008F025E">
            <w:pPr>
              <w:pStyle w:val="H2"/>
              <w:rPr>
                <w:rFonts w:cs="Times New Roman"/>
                <w:sz w:val="24"/>
                <w:szCs w:val="24"/>
              </w:rPr>
            </w:pPr>
            <w:r w:rsidRPr="00A41AD9">
              <w:rPr>
                <w:rFonts w:cs="Times New Roman"/>
                <w:b w:val="0"/>
                <w:i/>
                <w:sz w:val="24"/>
                <w:szCs w:val="24"/>
              </w:rPr>
              <w:t>(if applicable)</w:t>
            </w:r>
          </w:p>
        </w:tc>
        <w:tc>
          <w:tcPr>
            <w:tcW w:w="2070" w:type="dxa"/>
            <w:tcBorders>
              <w:top w:val="nil"/>
              <w:left w:val="nil"/>
              <w:bottom w:val="nil"/>
              <w:right w:val="single" w:sz="4" w:space="0" w:color="auto"/>
            </w:tcBorders>
            <w:shd w:val="clear" w:color="auto" w:fill="D9D9D9"/>
          </w:tcPr>
          <w:p w:rsidR="00EE5258" w:rsidRPr="00A41AD9" w:rsidRDefault="00EE5258" w:rsidP="008F025E">
            <w:pPr>
              <w:pStyle w:val="BodyText"/>
              <w:rPr>
                <w:rFonts w:ascii="Times New Roman" w:hAnsi="Times New Roman"/>
                <w:color w:val="auto"/>
                <w:sz w:val="24"/>
              </w:rPr>
            </w:pPr>
            <w:r w:rsidRPr="00A41AD9">
              <w:rPr>
                <w:rFonts w:ascii="Times New Roman" w:hAnsi="Times New Roman"/>
                <w:color w:val="auto"/>
                <w:sz w:val="24"/>
              </w:rPr>
              <w:t>00.00</w:t>
            </w:r>
          </w:p>
        </w:tc>
        <w:tc>
          <w:tcPr>
            <w:tcW w:w="360" w:type="dxa"/>
            <w:tcBorders>
              <w:top w:val="nil"/>
              <w:left w:val="single" w:sz="4" w:space="0" w:color="auto"/>
              <w:bottom w:val="nil"/>
              <w:right w:val="single" w:sz="4" w:space="0" w:color="auto"/>
            </w:tcBorders>
            <w:shd w:val="clear" w:color="auto" w:fill="auto"/>
          </w:tcPr>
          <w:p w:rsidR="00EE5258" w:rsidRPr="00A41AD9" w:rsidRDefault="00EE5258" w:rsidP="008F025E">
            <w:pPr>
              <w:pStyle w:val="BodyText"/>
              <w:rPr>
                <w:rFonts w:ascii="Times New Roman" w:hAnsi="Times New Roman"/>
                <w:color w:val="auto"/>
                <w:sz w:val="24"/>
              </w:rPr>
            </w:pPr>
          </w:p>
        </w:tc>
        <w:tc>
          <w:tcPr>
            <w:tcW w:w="2071" w:type="dxa"/>
            <w:tcBorders>
              <w:top w:val="nil"/>
              <w:left w:val="single" w:sz="4" w:space="0" w:color="auto"/>
              <w:bottom w:val="nil"/>
              <w:right w:val="nil"/>
            </w:tcBorders>
            <w:shd w:val="clear" w:color="auto" w:fill="auto"/>
            <w:vAlign w:val="center"/>
          </w:tcPr>
          <w:p w:rsidR="00EE5258" w:rsidRPr="00A41AD9" w:rsidRDefault="00EE5258" w:rsidP="00BD44C1">
            <w:pPr>
              <w:pStyle w:val="BodyText"/>
              <w:jc w:val="left"/>
              <w:rPr>
                <w:rFonts w:ascii="Times New Roman" w:hAnsi="Times New Roman"/>
                <w:color w:val="auto"/>
                <w:sz w:val="24"/>
              </w:rPr>
            </w:pPr>
            <w:r w:rsidRPr="00A41AD9">
              <w:rPr>
                <w:rFonts w:ascii="Times New Roman" w:hAnsi="Times New Roman"/>
                <w:color w:val="auto"/>
                <w:sz w:val="24"/>
              </w:rPr>
              <w:t>Operational Closure Date</w:t>
            </w:r>
            <w:r w:rsidRPr="00A41AD9">
              <w:rPr>
                <w:rStyle w:val="FootnoteReference"/>
                <w:rFonts w:ascii="Times New Roman" w:hAnsi="Times New Roman"/>
                <w:color w:val="auto"/>
                <w:sz w:val="24"/>
              </w:rPr>
              <w:footnoteReference w:id="5"/>
            </w:r>
          </w:p>
        </w:tc>
        <w:tc>
          <w:tcPr>
            <w:tcW w:w="2800" w:type="dxa"/>
            <w:tcBorders>
              <w:top w:val="nil"/>
              <w:left w:val="nil"/>
              <w:bottom w:val="nil"/>
              <w:right w:val="single" w:sz="4" w:space="0" w:color="auto"/>
            </w:tcBorders>
            <w:shd w:val="clear" w:color="auto" w:fill="auto"/>
          </w:tcPr>
          <w:p w:rsidR="00EE5258" w:rsidRPr="00A41AD9" w:rsidRDefault="00EE5258" w:rsidP="00BD44C1">
            <w:pPr>
              <w:pStyle w:val="BodyText"/>
              <w:rPr>
                <w:rFonts w:ascii="Times New Roman" w:hAnsi="Times New Roman"/>
                <w:color w:val="auto"/>
                <w:sz w:val="24"/>
              </w:rPr>
            </w:pPr>
            <w:r w:rsidRPr="00A41AD9">
              <w:rPr>
                <w:rFonts w:ascii="Times New Roman" w:hAnsi="Times New Roman"/>
                <w:color w:val="auto"/>
                <w:sz w:val="24"/>
              </w:rPr>
              <w:t>19 October 2012</w:t>
            </w:r>
          </w:p>
        </w:tc>
      </w:tr>
      <w:tr w:rsidR="00A41AD9" w:rsidRPr="00A41AD9">
        <w:tblPrEx>
          <w:tblCellMar>
            <w:top w:w="0" w:type="dxa"/>
            <w:bottom w:w="0" w:type="dxa"/>
          </w:tblCellMar>
        </w:tblPrEx>
        <w:trPr>
          <w:trHeight w:val="350"/>
        </w:trPr>
        <w:tc>
          <w:tcPr>
            <w:tcW w:w="2970" w:type="dxa"/>
            <w:tcBorders>
              <w:top w:val="nil"/>
              <w:left w:val="single" w:sz="4" w:space="0" w:color="auto"/>
              <w:bottom w:val="single" w:sz="4" w:space="0" w:color="auto"/>
              <w:right w:val="nil"/>
            </w:tcBorders>
            <w:shd w:val="clear" w:color="auto" w:fill="auto"/>
            <w:vAlign w:val="center"/>
          </w:tcPr>
          <w:p w:rsidR="00EE5258" w:rsidRPr="00A41AD9" w:rsidRDefault="00EE5258" w:rsidP="008F025E">
            <w:pPr>
              <w:pStyle w:val="H2"/>
              <w:rPr>
                <w:rFonts w:cs="Times New Roman"/>
                <w:sz w:val="24"/>
                <w:szCs w:val="24"/>
              </w:rPr>
            </w:pPr>
            <w:r w:rsidRPr="00A41AD9">
              <w:rPr>
                <w:rFonts w:cs="Times New Roman"/>
                <w:sz w:val="24"/>
                <w:szCs w:val="24"/>
              </w:rPr>
              <w:t>TOTAL:</w:t>
            </w:r>
          </w:p>
        </w:tc>
        <w:tc>
          <w:tcPr>
            <w:tcW w:w="2070" w:type="dxa"/>
            <w:tcBorders>
              <w:top w:val="nil"/>
              <w:left w:val="nil"/>
              <w:bottom w:val="single" w:sz="4" w:space="0" w:color="auto"/>
              <w:right w:val="single" w:sz="4" w:space="0" w:color="auto"/>
            </w:tcBorders>
            <w:shd w:val="clear" w:color="auto" w:fill="auto"/>
          </w:tcPr>
          <w:p w:rsidR="00EE5258" w:rsidRPr="00A41AD9" w:rsidRDefault="00EE5258" w:rsidP="008F025E">
            <w:pPr>
              <w:pStyle w:val="BodyText"/>
              <w:rPr>
                <w:rFonts w:ascii="Times New Roman" w:hAnsi="Times New Roman"/>
                <w:color w:val="auto"/>
                <w:sz w:val="24"/>
              </w:rPr>
            </w:pPr>
            <w:r w:rsidRPr="00A41AD9">
              <w:rPr>
                <w:rFonts w:ascii="Times New Roman" w:hAnsi="Times New Roman"/>
                <w:color w:val="auto"/>
                <w:sz w:val="24"/>
              </w:rPr>
              <w:t>$115,000</w:t>
            </w:r>
          </w:p>
        </w:tc>
        <w:tc>
          <w:tcPr>
            <w:tcW w:w="360" w:type="dxa"/>
            <w:tcBorders>
              <w:top w:val="nil"/>
              <w:left w:val="single" w:sz="4" w:space="0" w:color="auto"/>
              <w:bottom w:val="nil"/>
              <w:right w:val="single" w:sz="4" w:space="0" w:color="auto"/>
            </w:tcBorders>
            <w:shd w:val="clear" w:color="auto" w:fill="auto"/>
          </w:tcPr>
          <w:p w:rsidR="00EE5258" w:rsidRPr="00A41AD9" w:rsidRDefault="00EE5258" w:rsidP="008F025E">
            <w:pPr>
              <w:pStyle w:val="BodyText"/>
              <w:rPr>
                <w:rFonts w:ascii="Times New Roman" w:hAnsi="Times New Roman"/>
                <w:color w:val="auto"/>
                <w:sz w:val="24"/>
              </w:rPr>
            </w:pPr>
          </w:p>
        </w:tc>
        <w:tc>
          <w:tcPr>
            <w:tcW w:w="2071" w:type="dxa"/>
            <w:tcBorders>
              <w:top w:val="nil"/>
              <w:left w:val="single" w:sz="4" w:space="0" w:color="auto"/>
              <w:bottom w:val="single" w:sz="4" w:space="0" w:color="auto"/>
              <w:right w:val="nil"/>
            </w:tcBorders>
            <w:shd w:val="clear" w:color="auto" w:fill="auto"/>
            <w:vAlign w:val="center"/>
          </w:tcPr>
          <w:p w:rsidR="00EE5258" w:rsidRPr="00A41AD9" w:rsidRDefault="00EE5258" w:rsidP="00BD44C1">
            <w:pPr>
              <w:pStyle w:val="BodyText"/>
              <w:jc w:val="left"/>
              <w:rPr>
                <w:rFonts w:ascii="Times New Roman" w:hAnsi="Times New Roman"/>
                <w:color w:val="auto"/>
                <w:sz w:val="24"/>
              </w:rPr>
            </w:pPr>
            <w:r w:rsidRPr="00A41AD9">
              <w:rPr>
                <w:rFonts w:ascii="Times New Roman" w:hAnsi="Times New Roman"/>
                <w:color w:val="auto"/>
                <w:sz w:val="24"/>
              </w:rPr>
              <w:t>Expected Financial Closure Date</w:t>
            </w:r>
          </w:p>
        </w:tc>
        <w:tc>
          <w:tcPr>
            <w:tcW w:w="2800" w:type="dxa"/>
            <w:tcBorders>
              <w:top w:val="nil"/>
              <w:left w:val="nil"/>
              <w:bottom w:val="single" w:sz="4" w:space="0" w:color="auto"/>
              <w:right w:val="single" w:sz="4" w:space="0" w:color="auto"/>
            </w:tcBorders>
            <w:shd w:val="clear" w:color="auto" w:fill="auto"/>
          </w:tcPr>
          <w:p w:rsidR="00EE5258" w:rsidRPr="00A41AD9" w:rsidRDefault="00EE5258" w:rsidP="00BD44C1">
            <w:pPr>
              <w:pStyle w:val="BodyText"/>
              <w:rPr>
                <w:rFonts w:ascii="Times New Roman" w:hAnsi="Times New Roman"/>
                <w:color w:val="auto"/>
                <w:sz w:val="24"/>
              </w:rPr>
            </w:pPr>
            <w:r w:rsidRPr="00A41AD9">
              <w:rPr>
                <w:rFonts w:ascii="Times New Roman" w:hAnsi="Times New Roman"/>
                <w:color w:val="auto"/>
                <w:sz w:val="24"/>
              </w:rPr>
              <w:t>19 November 2012</w:t>
            </w:r>
          </w:p>
        </w:tc>
      </w:tr>
    </w:tbl>
    <w:p w:rsidR="00A41C8D" w:rsidRPr="00A41AD9" w:rsidRDefault="00A41C8D" w:rsidP="00A41C8D"/>
    <w:tbl>
      <w:tblPr>
        <w:tblW w:w="10260" w:type="dxa"/>
        <w:tblInd w:w="-72" w:type="dxa"/>
        <w:tblLayout w:type="fixed"/>
        <w:tblLook w:val="01E0" w:firstRow="1" w:lastRow="1" w:firstColumn="1" w:lastColumn="1" w:noHBand="0" w:noVBand="0"/>
      </w:tblPr>
      <w:tblGrid>
        <w:gridCol w:w="5040"/>
        <w:gridCol w:w="360"/>
        <w:gridCol w:w="4860"/>
      </w:tblGrid>
      <w:tr w:rsidR="00A41C8D" w:rsidRPr="00A41AD9">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tcPr>
          <w:p w:rsidR="00A41C8D" w:rsidRPr="00A41AD9" w:rsidRDefault="00A41C8D" w:rsidP="008F025E">
            <w:pPr>
              <w:pStyle w:val="H1"/>
              <w:jc w:val="center"/>
              <w:rPr>
                <w:rFonts w:cs="Times New Roman"/>
                <w:szCs w:val="24"/>
              </w:rPr>
            </w:pPr>
            <w:r w:rsidRPr="00A41AD9">
              <w:rPr>
                <w:rFonts w:cs="Times New Roman"/>
                <w:szCs w:val="24"/>
              </w:rPr>
              <w:t>Final Programme/ Project Evaluation</w:t>
            </w:r>
          </w:p>
        </w:tc>
        <w:tc>
          <w:tcPr>
            <w:tcW w:w="360" w:type="dxa"/>
            <w:vMerge w:val="restart"/>
            <w:tcBorders>
              <w:left w:val="single" w:sz="4" w:space="0" w:color="auto"/>
              <w:right w:val="single" w:sz="4" w:space="0" w:color="auto"/>
            </w:tcBorders>
          </w:tcPr>
          <w:p w:rsidR="00A41C8D" w:rsidRPr="00A41AD9" w:rsidRDefault="00A41C8D" w:rsidP="008F025E"/>
        </w:tc>
        <w:tc>
          <w:tcPr>
            <w:tcW w:w="4860" w:type="dxa"/>
            <w:tcBorders>
              <w:top w:val="single" w:sz="4" w:space="0" w:color="auto"/>
              <w:left w:val="single" w:sz="4" w:space="0" w:color="auto"/>
              <w:right w:val="single" w:sz="4" w:space="0" w:color="auto"/>
            </w:tcBorders>
            <w:shd w:val="clear" w:color="auto" w:fill="F3F3F3"/>
          </w:tcPr>
          <w:p w:rsidR="00A41C8D" w:rsidRPr="00A41AD9" w:rsidRDefault="00A41C8D" w:rsidP="008F025E">
            <w:pPr>
              <w:pStyle w:val="H1"/>
              <w:jc w:val="center"/>
              <w:rPr>
                <w:rFonts w:cs="Times New Roman"/>
                <w:szCs w:val="24"/>
              </w:rPr>
            </w:pPr>
            <w:r w:rsidRPr="00A41AD9">
              <w:rPr>
                <w:bCs w:val="0"/>
                <w:szCs w:val="24"/>
              </w:rPr>
              <w:t>Submitted By</w:t>
            </w:r>
          </w:p>
        </w:tc>
      </w:tr>
      <w:tr w:rsidR="00A41C8D" w:rsidRPr="00A41AD9">
        <w:tblPrEx>
          <w:tblCellMar>
            <w:top w:w="0" w:type="dxa"/>
            <w:bottom w:w="0" w:type="dxa"/>
          </w:tblCellMar>
        </w:tblPrEx>
        <w:trPr>
          <w:trHeight w:val="495"/>
        </w:trPr>
        <w:tc>
          <w:tcPr>
            <w:tcW w:w="5040" w:type="dxa"/>
            <w:tcBorders>
              <w:left w:val="single" w:sz="4" w:space="0" w:color="auto"/>
              <w:bottom w:val="single" w:sz="4" w:space="0" w:color="auto"/>
              <w:right w:val="single" w:sz="4" w:space="0" w:color="auto"/>
            </w:tcBorders>
          </w:tcPr>
          <w:p w:rsidR="00A41C8D" w:rsidRPr="00A41AD9" w:rsidRDefault="00A41C8D" w:rsidP="008F025E">
            <w:pPr>
              <w:pStyle w:val="BodyText"/>
              <w:rPr>
                <w:rFonts w:ascii="Times New Roman" w:hAnsi="Times New Roman"/>
                <w:color w:val="auto"/>
                <w:sz w:val="24"/>
              </w:rPr>
            </w:pPr>
            <w:r w:rsidRPr="00A41AD9">
              <w:rPr>
                <w:rFonts w:ascii="Times New Roman" w:hAnsi="Times New Roman"/>
                <w:color w:val="auto"/>
                <w:sz w:val="24"/>
              </w:rPr>
              <w:lastRenderedPageBreak/>
              <w:t xml:space="preserve">Evaluation Completed  </w:t>
            </w:r>
          </w:p>
          <w:p w:rsidR="00A41C8D" w:rsidRPr="00A41AD9" w:rsidRDefault="00A41AD9" w:rsidP="008F025E">
            <w:pPr>
              <w:pStyle w:val="BodyText"/>
              <w:rPr>
                <w:rFonts w:ascii="Times New Roman" w:hAnsi="Times New Roman"/>
                <w:color w:val="auto"/>
                <w:sz w:val="24"/>
              </w:rPr>
            </w:pPr>
            <w:r>
              <w:rPr>
                <w:rFonts w:ascii="Times New Roman" w:hAnsi="Times New Roman"/>
                <w:i/>
                <w:noProof/>
                <w:color w:val="auto"/>
                <w:sz w:val="24"/>
                <w:lang w:val="en-US"/>
              </w:rPr>
              <mc:AlternateContent>
                <mc:Choice Requires="wps">
                  <w:drawing>
                    <wp:anchor distT="0" distB="0" distL="114300" distR="114300" simplePos="0" relativeHeight="251658752" behindDoc="0" locked="0" layoutInCell="1" allowOverlap="1">
                      <wp:simplePos x="0" y="0"/>
                      <wp:positionH relativeFrom="column">
                        <wp:posOffset>610235</wp:posOffset>
                      </wp:positionH>
                      <wp:positionV relativeFrom="paragraph">
                        <wp:posOffset>17145</wp:posOffset>
                      </wp:positionV>
                      <wp:extent cx="90805" cy="90805"/>
                      <wp:effectExtent l="10160" t="7620" r="13335" b="635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8.05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Hx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"/>
                  </w:pict>
                </mc:Fallback>
              </mc:AlternateContent>
            </w:r>
            <w:r>
              <w:rPr>
                <w:rFonts w:ascii="Times New Roman" w:hAnsi="Times New Roman"/>
                <w:i/>
                <w:noProof/>
                <w:color w:val="auto"/>
                <w:sz w:val="24"/>
                <w:lang w:val="en-US"/>
              </w:rPr>
              <mc:AlternateContent>
                <mc:Choice Requires="wps">
                  <w:drawing>
                    <wp:anchor distT="0" distB="0" distL="114300" distR="114300" simplePos="0" relativeHeight="251661824"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7pt;margin-top:1.3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"/>
                  </w:pict>
                </mc:Fallback>
              </mc:AlternateContent>
            </w:r>
            <w:r w:rsidR="00A41C8D" w:rsidRPr="00A41AD9">
              <w:rPr>
                <w:rFonts w:ascii="Times New Roman" w:hAnsi="Times New Roman"/>
                <w:color w:val="auto"/>
                <w:sz w:val="24"/>
              </w:rPr>
              <w:t xml:space="preserve">     Yes          No    Date: __________________</w:t>
            </w:r>
          </w:p>
          <w:p w:rsidR="00A41C8D" w:rsidRPr="00A41AD9" w:rsidRDefault="00A41C8D" w:rsidP="008F025E">
            <w:pPr>
              <w:pStyle w:val="BodyText"/>
              <w:widowControl w:val="0"/>
              <w:spacing w:before="120" w:after="120"/>
              <w:rPr>
                <w:rFonts w:ascii="Times New Roman" w:hAnsi="Times New Roman"/>
                <w:b/>
                <w:color w:val="auto"/>
                <w:sz w:val="24"/>
              </w:rPr>
            </w:pPr>
            <w:r w:rsidRPr="00A41AD9">
              <w:rPr>
                <w:rFonts w:ascii="Times New Roman" w:hAnsi="Times New Roman"/>
                <w:color w:val="auto"/>
                <w:sz w:val="24"/>
              </w:rPr>
              <w:t>Evaluation Report - Attached</w:t>
            </w:r>
            <w:r w:rsidRPr="00A41AD9">
              <w:rPr>
                <w:rFonts w:ascii="Times New Roman" w:hAnsi="Times New Roman"/>
                <w:b/>
                <w:color w:val="auto"/>
                <w:sz w:val="24"/>
              </w:rPr>
              <w:t xml:space="preserve">           </w:t>
            </w:r>
          </w:p>
          <w:p w:rsidR="00A41C8D" w:rsidRPr="00A41AD9" w:rsidRDefault="00A41AD9" w:rsidP="008F025E">
            <w:pPr>
              <w:pStyle w:val="BodyText"/>
              <w:rPr>
                <w:rFonts w:ascii="Times New Roman" w:hAnsi="Times New Roman"/>
                <w:color w:val="auto"/>
                <w:sz w:val="24"/>
                <w:lang w:val="en-US"/>
              </w:rPr>
            </w:pPr>
            <w:r>
              <w:rPr>
                <w:rFonts w:ascii="Times New Roman" w:hAnsi="Times New Roman"/>
                <w:i/>
                <w:noProof/>
                <w:color w:val="auto"/>
                <w:sz w:val="24"/>
                <w:lang w:val="en-US"/>
              </w:rPr>
              <mc:AlternateContent>
                <mc:Choice Requires="wps">
                  <w:drawing>
                    <wp:anchor distT="0" distB="0" distL="114300" distR="114300" simplePos="0" relativeHeight="251660800" behindDoc="0" locked="0" layoutInCell="1" allowOverlap="1">
                      <wp:simplePos x="0" y="0"/>
                      <wp:positionH relativeFrom="column">
                        <wp:posOffset>610235</wp:posOffset>
                      </wp:positionH>
                      <wp:positionV relativeFrom="paragraph">
                        <wp:posOffset>20320</wp:posOffset>
                      </wp:positionV>
                      <wp:extent cx="90805" cy="90805"/>
                      <wp:effectExtent l="10160" t="10795" r="13335" b="12700"/>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8.05pt;margin-top:1.6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"/>
                  </w:pict>
                </mc:Fallback>
              </mc:AlternateContent>
            </w:r>
            <w:r>
              <w:rPr>
                <w:rFonts w:ascii="Times New Roman" w:hAnsi="Times New Roman"/>
                <w:i/>
                <w:noProof/>
                <w:color w:val="auto"/>
                <w:sz w:val="24"/>
                <w:lang w:val="en-US"/>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7pt;margin-top:1.6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nYHAIAADo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"/>
                  </w:pict>
                </mc:Fallback>
              </mc:AlternateContent>
            </w:r>
            <w:r w:rsidR="00A41C8D" w:rsidRPr="00A41AD9">
              <w:rPr>
                <w:rFonts w:ascii="Times New Roman" w:hAnsi="Times New Roman"/>
                <w:color w:val="auto"/>
                <w:sz w:val="24"/>
              </w:rPr>
              <w:t xml:space="preserve">      Yes          No</w:t>
            </w:r>
          </w:p>
        </w:tc>
        <w:tc>
          <w:tcPr>
            <w:tcW w:w="360" w:type="dxa"/>
            <w:vMerge/>
            <w:tcBorders>
              <w:left w:val="single" w:sz="4" w:space="0" w:color="auto"/>
              <w:right w:val="single" w:sz="4" w:space="0" w:color="auto"/>
            </w:tcBorders>
          </w:tcPr>
          <w:p w:rsidR="00A41C8D" w:rsidRPr="00A41AD9" w:rsidRDefault="00A41C8D" w:rsidP="008F025E">
            <w:pPr>
              <w:pStyle w:val="BodyText"/>
              <w:rPr>
                <w:rFonts w:ascii="Times New Roman" w:hAnsi="Times New Roman"/>
                <w:color w:val="auto"/>
                <w:sz w:val="24"/>
              </w:rPr>
            </w:pPr>
          </w:p>
        </w:tc>
        <w:tc>
          <w:tcPr>
            <w:tcW w:w="4860" w:type="dxa"/>
            <w:tcBorders>
              <w:left w:val="single" w:sz="4" w:space="0" w:color="auto"/>
              <w:bottom w:val="single" w:sz="4" w:space="0" w:color="auto"/>
              <w:right w:val="single" w:sz="4" w:space="0" w:color="auto"/>
            </w:tcBorders>
          </w:tcPr>
          <w:p w:rsidR="00A41C8D" w:rsidRPr="00A41AD9" w:rsidRDefault="00A41C8D" w:rsidP="008F025E">
            <w:pPr>
              <w:numPr>
                <w:ilvl w:val="0"/>
                <w:numId w:val="17"/>
              </w:numPr>
              <w:ind w:left="342"/>
              <w:rPr>
                <w:lang w:val="en-GB"/>
              </w:rPr>
            </w:pPr>
            <w:r w:rsidRPr="00A41AD9">
              <w:rPr>
                <w:lang w:val="en-GB"/>
              </w:rPr>
              <w:t xml:space="preserve">Name: Mr. Bruno </w:t>
            </w:r>
            <w:proofErr w:type="spellStart"/>
            <w:r w:rsidRPr="00A41AD9">
              <w:rPr>
                <w:lang w:val="en-GB"/>
              </w:rPr>
              <w:t>Geddo</w:t>
            </w:r>
            <w:proofErr w:type="spellEnd"/>
          </w:p>
          <w:p w:rsidR="00A41C8D" w:rsidRPr="00A41AD9" w:rsidRDefault="00A41C8D" w:rsidP="008F025E">
            <w:pPr>
              <w:numPr>
                <w:ilvl w:val="0"/>
                <w:numId w:val="17"/>
              </w:numPr>
              <w:ind w:left="342"/>
              <w:rPr>
                <w:lang w:val="en-GB"/>
              </w:rPr>
            </w:pPr>
            <w:r w:rsidRPr="00A41AD9">
              <w:rPr>
                <w:lang w:val="en-GB"/>
              </w:rPr>
              <w:t xml:space="preserve">Title: Representative </w:t>
            </w:r>
          </w:p>
          <w:p w:rsidR="00A41C8D" w:rsidRPr="00A41AD9" w:rsidRDefault="00A41C8D" w:rsidP="008F025E">
            <w:pPr>
              <w:numPr>
                <w:ilvl w:val="0"/>
                <w:numId w:val="17"/>
              </w:numPr>
              <w:ind w:left="342"/>
              <w:rPr>
                <w:lang w:val="en-GB"/>
              </w:rPr>
            </w:pPr>
            <w:r w:rsidRPr="00A41AD9">
              <w:rPr>
                <w:lang w:val="en-GB"/>
              </w:rPr>
              <w:t>Participating Organization (Lead): UNHCR</w:t>
            </w:r>
          </w:p>
          <w:p w:rsidR="00A41C8D" w:rsidRPr="00A41AD9" w:rsidRDefault="00A41C8D" w:rsidP="008F025E">
            <w:r w:rsidRPr="00A41AD9">
              <w:t xml:space="preserve">Contact information: </w:t>
            </w:r>
          </w:p>
          <w:p w:rsidR="00A41C8D" w:rsidRPr="00A41AD9" w:rsidRDefault="00A41C8D" w:rsidP="008F025E"/>
          <w:p w:rsidR="00A41C8D" w:rsidRPr="00A41AD9" w:rsidRDefault="00A41C8D" w:rsidP="008F025E">
            <w:pPr>
              <w:rPr>
                <w:bCs/>
                <w:iCs/>
              </w:rPr>
            </w:pPr>
            <w:r w:rsidRPr="00A41AD9">
              <w:rPr>
                <w:b/>
              </w:rPr>
              <w:t>Project Contact</w:t>
            </w:r>
            <w:r w:rsidRPr="00A41AD9">
              <w:rPr>
                <w:bCs/>
                <w:iCs/>
              </w:rPr>
              <w:t xml:space="preserve">: Bruno </w:t>
            </w:r>
            <w:proofErr w:type="spellStart"/>
            <w:r w:rsidRPr="00A41AD9">
              <w:rPr>
                <w:bCs/>
                <w:iCs/>
              </w:rPr>
              <w:t>Geddo</w:t>
            </w:r>
            <w:proofErr w:type="spellEnd"/>
          </w:p>
          <w:p w:rsidR="00A41C8D" w:rsidRPr="00A41AD9" w:rsidRDefault="00A41C8D" w:rsidP="008F025E">
            <w:pPr>
              <w:rPr>
                <w:sz w:val="22"/>
              </w:rPr>
            </w:pPr>
            <w:r w:rsidRPr="00A41AD9">
              <w:rPr>
                <w:sz w:val="22"/>
              </w:rPr>
              <w:t xml:space="preserve">Address: UNHCR Branch Office for Somalia, Lion Place, </w:t>
            </w:r>
            <w:proofErr w:type="spellStart"/>
            <w:r w:rsidRPr="00A41AD9">
              <w:rPr>
                <w:sz w:val="22"/>
              </w:rPr>
              <w:t>Waiyaki</w:t>
            </w:r>
            <w:proofErr w:type="spellEnd"/>
            <w:r w:rsidRPr="00A41AD9">
              <w:rPr>
                <w:sz w:val="22"/>
              </w:rPr>
              <w:t xml:space="preserve"> Way, Nairobi</w:t>
            </w:r>
          </w:p>
          <w:p w:rsidR="00A41C8D" w:rsidRPr="00A41AD9" w:rsidRDefault="00A41C8D" w:rsidP="008F025E">
            <w:pPr>
              <w:rPr>
                <w:sz w:val="22"/>
              </w:rPr>
            </w:pPr>
            <w:r w:rsidRPr="00A41AD9">
              <w:rPr>
                <w:sz w:val="22"/>
              </w:rPr>
              <w:t>Telephone: +254 20 422 000</w:t>
            </w:r>
          </w:p>
          <w:p w:rsidR="00A41C8D" w:rsidRPr="00A41AD9" w:rsidRDefault="00A41C8D" w:rsidP="008F025E">
            <w:pPr>
              <w:pStyle w:val="BodyText"/>
              <w:numPr>
                <w:ilvl w:val="0"/>
                <w:numId w:val="17"/>
              </w:numPr>
              <w:spacing w:before="0" w:after="120"/>
              <w:ind w:left="342"/>
              <w:rPr>
                <w:rFonts w:ascii="Times New Roman" w:hAnsi="Times New Roman"/>
                <w:b/>
                <w:bCs/>
                <w:snapToGrid w:val="0"/>
                <w:color w:val="auto"/>
                <w:kern w:val="32"/>
                <w:sz w:val="24"/>
              </w:rPr>
            </w:pPr>
            <w:r w:rsidRPr="00A41AD9">
              <w:rPr>
                <w:color w:val="auto"/>
              </w:rPr>
              <w:t xml:space="preserve">E-mail: </w:t>
            </w:r>
            <w:hyperlink r:id="rId9" w:history="1">
              <w:r w:rsidRPr="00A41AD9">
                <w:rPr>
                  <w:rStyle w:val="Hyperlink"/>
                  <w:color w:val="auto"/>
                </w:rPr>
                <w:t>geddo@unhcr.org</w:t>
              </w:r>
            </w:hyperlink>
          </w:p>
          <w:p w:rsidR="00A41C8D" w:rsidRPr="00A41AD9" w:rsidRDefault="00A41C8D" w:rsidP="008F025E">
            <w:pPr>
              <w:pStyle w:val="BodyText"/>
              <w:spacing w:before="0" w:after="120"/>
              <w:ind w:left="342"/>
              <w:rPr>
                <w:rFonts w:ascii="Times New Roman" w:hAnsi="Times New Roman"/>
                <w:color w:val="auto"/>
                <w:sz w:val="24"/>
              </w:rPr>
            </w:pPr>
          </w:p>
        </w:tc>
      </w:tr>
    </w:tbl>
    <w:p w:rsidR="00D010CF" w:rsidRPr="00A41AD9" w:rsidRDefault="00D010CF" w:rsidP="00FC7D2A">
      <w:pPr>
        <w:rPr>
          <w:b/>
        </w:rPr>
      </w:pPr>
    </w:p>
    <w:p w:rsidR="00D010CF" w:rsidRPr="00A41AD9" w:rsidRDefault="00D010CF"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E8714B" w:rsidRPr="00A41AD9" w:rsidRDefault="00E8714B" w:rsidP="00FC7D2A"/>
    <w:p w:rsidR="00FC7D2A" w:rsidRPr="00A41AD9" w:rsidRDefault="00FC7D2A"/>
    <w:p w:rsidR="00A27BBC" w:rsidRPr="00A41AD9" w:rsidRDefault="00A27BBC"/>
    <w:p w:rsidR="00A27BBC" w:rsidRPr="00A41AD9" w:rsidRDefault="00A27BBC"/>
    <w:p w:rsidR="00A27BBC" w:rsidRPr="00A41AD9" w:rsidRDefault="00A27BBC"/>
    <w:p w:rsidR="00A27BBC" w:rsidRPr="00A41AD9" w:rsidRDefault="00A27BBC"/>
    <w:p w:rsidR="00A27BBC" w:rsidRPr="00A41AD9" w:rsidRDefault="00A27BBC"/>
    <w:p w:rsidR="00A27BBC" w:rsidRPr="00A41AD9" w:rsidRDefault="00A27BBC">
      <w:bookmarkStart w:id="0" w:name="_GoBack"/>
      <w:bookmarkEnd w:id="0"/>
    </w:p>
    <w:p w:rsidR="00A27BBC" w:rsidRPr="00A41AD9" w:rsidRDefault="00A27BBC"/>
    <w:p w:rsidR="00A27BBC" w:rsidRPr="00A41AD9" w:rsidRDefault="00A27BBC"/>
    <w:p w:rsidR="00A27BBC" w:rsidRPr="00A41AD9" w:rsidRDefault="00A27BBC"/>
    <w:p w:rsidR="00A27BBC" w:rsidRPr="00A41AD9" w:rsidRDefault="00A27BBC"/>
    <w:p w:rsidR="00A27BBC" w:rsidRPr="00A41AD9" w:rsidRDefault="00A27BBC"/>
    <w:p w:rsidR="00A27BBC" w:rsidRPr="00A41AD9" w:rsidRDefault="00A27BBC"/>
    <w:p w:rsidR="00A27BBC" w:rsidRPr="00A41AD9" w:rsidRDefault="00A27BBC"/>
    <w:p w:rsidR="00A27BBC" w:rsidRPr="00A41AD9" w:rsidRDefault="00A27BBC"/>
    <w:p w:rsidR="00A27BBC" w:rsidRPr="00A41AD9" w:rsidRDefault="00A27BBC"/>
    <w:p w:rsidR="007A0264" w:rsidRPr="00A41AD9" w:rsidRDefault="007A0264"/>
    <w:p w:rsidR="00A27BBC" w:rsidRPr="00A41AD9" w:rsidRDefault="00A27BBC" w:rsidP="00A27BBC">
      <w:pPr>
        <w:rPr>
          <w:b/>
          <w:bCs/>
          <w:caps/>
          <w:u w:val="single"/>
        </w:rPr>
      </w:pPr>
      <w:r w:rsidRPr="00A41AD9">
        <w:rPr>
          <w:b/>
          <w:bCs/>
          <w:caps/>
          <w:u w:val="single"/>
        </w:rPr>
        <w:t xml:space="preserve">List of acronyms </w:t>
      </w:r>
    </w:p>
    <w:p w:rsidR="00A27BBC" w:rsidRPr="00A41AD9" w:rsidRDefault="00A27BBC" w:rsidP="00A27BBC">
      <w:pPr>
        <w:rPr>
          <w:b/>
          <w:bCs/>
          <w:caps/>
        </w:rPr>
      </w:pPr>
    </w:p>
    <w:tbl>
      <w:tblPr>
        <w:tblW w:w="10064" w:type="dxa"/>
        <w:tblLook w:val="04A0" w:firstRow="1" w:lastRow="0" w:firstColumn="1" w:lastColumn="0" w:noHBand="0" w:noVBand="1"/>
      </w:tblPr>
      <w:tblGrid>
        <w:gridCol w:w="1701"/>
        <w:gridCol w:w="8363"/>
      </w:tblGrid>
      <w:tr w:rsidR="00A27BBC" w:rsidRPr="00A41AD9">
        <w:trPr>
          <w:trHeight w:val="523"/>
        </w:trPr>
        <w:tc>
          <w:tcPr>
            <w:tcW w:w="1701" w:type="dxa"/>
            <w:shd w:val="clear" w:color="auto" w:fill="auto"/>
          </w:tcPr>
          <w:p w:rsidR="00A27BBC" w:rsidRPr="00A41AD9" w:rsidRDefault="00A27BBC" w:rsidP="005D27BE">
            <w:pPr>
              <w:jc w:val="both"/>
            </w:pPr>
            <w:r w:rsidRPr="00A41AD9">
              <w:t>UNCT</w:t>
            </w:r>
          </w:p>
        </w:tc>
        <w:tc>
          <w:tcPr>
            <w:tcW w:w="8363" w:type="dxa"/>
            <w:shd w:val="clear" w:color="auto" w:fill="auto"/>
          </w:tcPr>
          <w:p w:rsidR="00A27BBC" w:rsidRPr="00A41AD9" w:rsidRDefault="00A27BBC" w:rsidP="005D27BE">
            <w:pPr>
              <w:jc w:val="both"/>
            </w:pPr>
            <w:r w:rsidRPr="00A41AD9">
              <w:t xml:space="preserve">United Nations Country Team </w:t>
            </w:r>
          </w:p>
        </w:tc>
      </w:tr>
      <w:tr w:rsidR="00A27BBC" w:rsidRPr="00A41AD9">
        <w:trPr>
          <w:trHeight w:val="523"/>
        </w:trPr>
        <w:tc>
          <w:tcPr>
            <w:tcW w:w="1701" w:type="dxa"/>
            <w:shd w:val="clear" w:color="auto" w:fill="auto"/>
          </w:tcPr>
          <w:p w:rsidR="00A27BBC" w:rsidRPr="00A41AD9" w:rsidRDefault="00A27BBC" w:rsidP="005D27BE">
            <w:pPr>
              <w:jc w:val="both"/>
            </w:pPr>
            <w:r w:rsidRPr="00A41AD9">
              <w:t>PBF</w:t>
            </w:r>
          </w:p>
        </w:tc>
        <w:tc>
          <w:tcPr>
            <w:tcW w:w="8363" w:type="dxa"/>
            <w:shd w:val="clear" w:color="auto" w:fill="auto"/>
          </w:tcPr>
          <w:p w:rsidR="00A27BBC" w:rsidRPr="00A41AD9" w:rsidRDefault="00A27BBC" w:rsidP="005D27BE">
            <w:pPr>
              <w:jc w:val="both"/>
            </w:pPr>
            <w:r w:rsidRPr="00A41AD9">
              <w:t>Peace Building Fund</w:t>
            </w:r>
          </w:p>
        </w:tc>
      </w:tr>
      <w:tr w:rsidR="00A27BBC" w:rsidRPr="00A41AD9">
        <w:trPr>
          <w:trHeight w:val="523"/>
        </w:trPr>
        <w:tc>
          <w:tcPr>
            <w:tcW w:w="1701" w:type="dxa"/>
            <w:shd w:val="clear" w:color="auto" w:fill="auto"/>
          </w:tcPr>
          <w:p w:rsidR="00A27BBC" w:rsidRPr="00A41AD9" w:rsidRDefault="00A27BBC" w:rsidP="005D27BE">
            <w:pPr>
              <w:jc w:val="both"/>
            </w:pPr>
            <w:r w:rsidRPr="00A41AD9">
              <w:t>MOPIC</w:t>
            </w:r>
          </w:p>
        </w:tc>
        <w:tc>
          <w:tcPr>
            <w:tcW w:w="8363" w:type="dxa"/>
            <w:shd w:val="clear" w:color="auto" w:fill="auto"/>
          </w:tcPr>
          <w:p w:rsidR="00A27BBC" w:rsidRPr="00A41AD9" w:rsidRDefault="00A27BBC" w:rsidP="005D27BE">
            <w:pPr>
              <w:jc w:val="both"/>
            </w:pPr>
            <w:r w:rsidRPr="00A41AD9">
              <w:t xml:space="preserve">Ministry of Planning and International Cooperation </w:t>
            </w:r>
          </w:p>
        </w:tc>
      </w:tr>
      <w:tr w:rsidR="00A27BBC" w:rsidRPr="00A41AD9">
        <w:trPr>
          <w:trHeight w:val="576"/>
        </w:trPr>
        <w:tc>
          <w:tcPr>
            <w:tcW w:w="1701" w:type="dxa"/>
            <w:shd w:val="clear" w:color="auto" w:fill="auto"/>
          </w:tcPr>
          <w:p w:rsidR="00A27BBC" w:rsidRPr="00A41AD9" w:rsidRDefault="00A27BBC" w:rsidP="005D27BE">
            <w:pPr>
              <w:jc w:val="both"/>
            </w:pPr>
            <w:r w:rsidRPr="00A41AD9">
              <w:t>CBOs</w:t>
            </w:r>
          </w:p>
        </w:tc>
        <w:tc>
          <w:tcPr>
            <w:tcW w:w="8363" w:type="dxa"/>
            <w:shd w:val="clear" w:color="auto" w:fill="auto"/>
          </w:tcPr>
          <w:p w:rsidR="00A27BBC" w:rsidRPr="00A41AD9" w:rsidRDefault="00A27BBC" w:rsidP="005D27BE">
            <w:pPr>
              <w:jc w:val="both"/>
            </w:pPr>
            <w:r w:rsidRPr="00A41AD9">
              <w:t xml:space="preserve">Community Based Organizations </w:t>
            </w:r>
          </w:p>
        </w:tc>
      </w:tr>
      <w:tr w:rsidR="00A27BBC" w:rsidRPr="00A41AD9">
        <w:trPr>
          <w:trHeight w:val="522"/>
        </w:trPr>
        <w:tc>
          <w:tcPr>
            <w:tcW w:w="1701" w:type="dxa"/>
            <w:shd w:val="clear" w:color="auto" w:fill="auto"/>
          </w:tcPr>
          <w:p w:rsidR="00A27BBC" w:rsidRPr="00A41AD9" w:rsidRDefault="00A27BBC" w:rsidP="005D27BE">
            <w:pPr>
              <w:jc w:val="both"/>
            </w:pPr>
            <w:r w:rsidRPr="00A41AD9">
              <w:t>IDP</w:t>
            </w:r>
          </w:p>
        </w:tc>
        <w:tc>
          <w:tcPr>
            <w:tcW w:w="8363" w:type="dxa"/>
            <w:shd w:val="clear" w:color="auto" w:fill="auto"/>
          </w:tcPr>
          <w:p w:rsidR="00A27BBC" w:rsidRPr="00A41AD9" w:rsidRDefault="00A27BBC" w:rsidP="005D27BE">
            <w:pPr>
              <w:jc w:val="both"/>
            </w:pPr>
            <w:r w:rsidRPr="00A41AD9">
              <w:t>Internally Displaced People</w:t>
            </w:r>
          </w:p>
        </w:tc>
      </w:tr>
      <w:tr w:rsidR="00A27BBC" w:rsidRPr="00A41AD9">
        <w:trPr>
          <w:trHeight w:val="522"/>
        </w:trPr>
        <w:tc>
          <w:tcPr>
            <w:tcW w:w="1701" w:type="dxa"/>
            <w:shd w:val="clear" w:color="auto" w:fill="auto"/>
          </w:tcPr>
          <w:p w:rsidR="00A27BBC" w:rsidRPr="00A41AD9" w:rsidRDefault="00A27BBC" w:rsidP="005D27BE">
            <w:pPr>
              <w:jc w:val="both"/>
            </w:pPr>
            <w:r w:rsidRPr="00A41AD9">
              <w:t>INGO</w:t>
            </w:r>
          </w:p>
        </w:tc>
        <w:tc>
          <w:tcPr>
            <w:tcW w:w="8363" w:type="dxa"/>
            <w:shd w:val="clear" w:color="auto" w:fill="auto"/>
          </w:tcPr>
          <w:p w:rsidR="00A27BBC" w:rsidRPr="00A41AD9" w:rsidRDefault="00A27BBC" w:rsidP="005D27BE">
            <w:pPr>
              <w:jc w:val="both"/>
            </w:pPr>
            <w:r w:rsidRPr="00A41AD9">
              <w:t xml:space="preserve">International </w:t>
            </w:r>
            <w:bookmarkStart w:id="1" w:name="OLE_LINK1"/>
            <w:r w:rsidRPr="00A41AD9">
              <w:t xml:space="preserve">Non-governmental </w:t>
            </w:r>
            <w:bookmarkEnd w:id="1"/>
            <w:r w:rsidRPr="00A41AD9">
              <w:t>Organization</w:t>
            </w:r>
          </w:p>
        </w:tc>
      </w:tr>
      <w:tr w:rsidR="00A27BBC" w:rsidRPr="00A41AD9">
        <w:trPr>
          <w:trHeight w:val="522"/>
        </w:trPr>
        <w:tc>
          <w:tcPr>
            <w:tcW w:w="1701" w:type="dxa"/>
            <w:shd w:val="clear" w:color="auto" w:fill="auto"/>
          </w:tcPr>
          <w:p w:rsidR="00A27BBC" w:rsidRPr="00A41AD9" w:rsidRDefault="00A27BBC" w:rsidP="005D27BE">
            <w:pPr>
              <w:jc w:val="both"/>
            </w:pPr>
            <w:r w:rsidRPr="00A41AD9">
              <w:t>MoI</w:t>
            </w:r>
          </w:p>
        </w:tc>
        <w:tc>
          <w:tcPr>
            <w:tcW w:w="8363" w:type="dxa"/>
            <w:shd w:val="clear" w:color="auto" w:fill="auto"/>
          </w:tcPr>
          <w:p w:rsidR="00A27BBC" w:rsidRPr="00A41AD9" w:rsidRDefault="00A27BBC" w:rsidP="005D27BE">
            <w:pPr>
              <w:jc w:val="both"/>
            </w:pPr>
            <w:r w:rsidRPr="00A41AD9">
              <w:t>Ministry of Interior</w:t>
            </w:r>
          </w:p>
        </w:tc>
      </w:tr>
      <w:tr w:rsidR="00A27BBC" w:rsidRPr="00A41AD9">
        <w:trPr>
          <w:trHeight w:val="522"/>
        </w:trPr>
        <w:tc>
          <w:tcPr>
            <w:tcW w:w="1701" w:type="dxa"/>
            <w:shd w:val="clear" w:color="auto" w:fill="auto"/>
          </w:tcPr>
          <w:p w:rsidR="00A27BBC" w:rsidRPr="00A41AD9" w:rsidRDefault="00A27BBC" w:rsidP="005D27BE">
            <w:pPr>
              <w:jc w:val="both"/>
            </w:pPr>
            <w:proofErr w:type="spellStart"/>
            <w:r w:rsidRPr="00A41AD9">
              <w:t>MoS</w:t>
            </w:r>
            <w:proofErr w:type="spellEnd"/>
            <w:r w:rsidRPr="00A41AD9">
              <w:t>/</w:t>
            </w:r>
            <w:smartTag w:uri="urn:schemas-microsoft-com:office:smarttags" w:element="stockticker">
              <w:r w:rsidRPr="00A41AD9">
                <w:t>DDR</w:t>
              </w:r>
            </w:smartTag>
          </w:p>
        </w:tc>
        <w:tc>
          <w:tcPr>
            <w:tcW w:w="8363" w:type="dxa"/>
            <w:shd w:val="clear" w:color="auto" w:fill="auto"/>
          </w:tcPr>
          <w:p w:rsidR="00A27BBC" w:rsidRPr="00A41AD9" w:rsidRDefault="00A27BBC" w:rsidP="005D27BE">
            <w:pPr>
              <w:jc w:val="both"/>
            </w:pPr>
            <w:r w:rsidRPr="00A41AD9">
              <w:t xml:space="preserve">Ministry of Security/Disarmament, Demobilization and Re-integration </w:t>
            </w:r>
          </w:p>
        </w:tc>
      </w:tr>
      <w:tr w:rsidR="00A27BBC" w:rsidRPr="00A41AD9">
        <w:trPr>
          <w:trHeight w:val="522"/>
        </w:trPr>
        <w:tc>
          <w:tcPr>
            <w:tcW w:w="1701" w:type="dxa"/>
            <w:shd w:val="clear" w:color="auto" w:fill="auto"/>
          </w:tcPr>
          <w:p w:rsidR="00A27BBC" w:rsidRPr="00A41AD9" w:rsidRDefault="00A27BBC" w:rsidP="005D27BE">
            <w:pPr>
              <w:jc w:val="both"/>
            </w:pPr>
            <w:r w:rsidRPr="00A41AD9">
              <w:t>NRC</w:t>
            </w:r>
          </w:p>
        </w:tc>
        <w:tc>
          <w:tcPr>
            <w:tcW w:w="8363" w:type="dxa"/>
            <w:shd w:val="clear" w:color="auto" w:fill="auto"/>
          </w:tcPr>
          <w:p w:rsidR="00A27BBC" w:rsidRPr="00A41AD9" w:rsidRDefault="00A27BBC" w:rsidP="005D27BE">
            <w:pPr>
              <w:jc w:val="both"/>
            </w:pPr>
            <w:r w:rsidRPr="00A41AD9">
              <w:t>Norwegian Refugee Council</w:t>
            </w:r>
          </w:p>
        </w:tc>
      </w:tr>
      <w:tr w:rsidR="00A27BBC" w:rsidRPr="00A41AD9">
        <w:trPr>
          <w:trHeight w:val="522"/>
        </w:trPr>
        <w:tc>
          <w:tcPr>
            <w:tcW w:w="1701" w:type="dxa"/>
            <w:shd w:val="clear" w:color="auto" w:fill="auto"/>
          </w:tcPr>
          <w:p w:rsidR="00A27BBC" w:rsidRPr="00A41AD9" w:rsidRDefault="00A27BBC" w:rsidP="005D27BE">
            <w:pPr>
              <w:jc w:val="both"/>
            </w:pPr>
            <w:smartTag w:uri="urn:schemas-microsoft-com:office:smarttags" w:element="stockticker">
              <w:r w:rsidRPr="00A41AD9">
                <w:t>PAR</w:t>
              </w:r>
            </w:smartTag>
          </w:p>
        </w:tc>
        <w:tc>
          <w:tcPr>
            <w:tcW w:w="8363" w:type="dxa"/>
            <w:shd w:val="clear" w:color="auto" w:fill="auto"/>
          </w:tcPr>
          <w:p w:rsidR="00A27BBC" w:rsidRPr="00A41AD9" w:rsidRDefault="00A27BBC" w:rsidP="005D27BE">
            <w:pPr>
              <w:jc w:val="both"/>
            </w:pPr>
            <w:r w:rsidRPr="00A41AD9">
              <w:t>Participatory Action Research</w:t>
            </w:r>
          </w:p>
        </w:tc>
      </w:tr>
      <w:tr w:rsidR="00A27BBC" w:rsidRPr="00A41AD9">
        <w:trPr>
          <w:trHeight w:val="522"/>
        </w:trPr>
        <w:tc>
          <w:tcPr>
            <w:tcW w:w="1701" w:type="dxa"/>
            <w:shd w:val="clear" w:color="auto" w:fill="auto"/>
          </w:tcPr>
          <w:p w:rsidR="00A27BBC" w:rsidRPr="00A41AD9" w:rsidRDefault="00A27BBC" w:rsidP="005D27BE">
            <w:pPr>
              <w:jc w:val="both"/>
            </w:pPr>
            <w:r w:rsidRPr="00A41AD9">
              <w:t>UNHCR</w:t>
            </w:r>
          </w:p>
        </w:tc>
        <w:tc>
          <w:tcPr>
            <w:tcW w:w="8363" w:type="dxa"/>
            <w:shd w:val="clear" w:color="auto" w:fill="auto"/>
          </w:tcPr>
          <w:p w:rsidR="00A27BBC" w:rsidRPr="00A41AD9" w:rsidRDefault="00A27BBC" w:rsidP="005D27BE">
            <w:pPr>
              <w:jc w:val="both"/>
            </w:pPr>
            <w:r w:rsidRPr="00A41AD9">
              <w:t>United Nations High Commissioner for Refugees</w:t>
            </w:r>
          </w:p>
        </w:tc>
      </w:tr>
      <w:tr w:rsidR="00A27BBC" w:rsidRPr="00A41AD9">
        <w:trPr>
          <w:trHeight w:val="522"/>
        </w:trPr>
        <w:tc>
          <w:tcPr>
            <w:tcW w:w="1701" w:type="dxa"/>
            <w:shd w:val="clear" w:color="auto" w:fill="auto"/>
          </w:tcPr>
          <w:p w:rsidR="00A27BBC" w:rsidRPr="00A41AD9" w:rsidRDefault="00A27BBC" w:rsidP="005D27BE">
            <w:pPr>
              <w:jc w:val="both"/>
            </w:pPr>
            <w:r w:rsidRPr="00A41AD9">
              <w:t>IPFMR</w:t>
            </w:r>
          </w:p>
        </w:tc>
        <w:tc>
          <w:tcPr>
            <w:tcW w:w="8363" w:type="dxa"/>
            <w:shd w:val="clear" w:color="auto" w:fill="auto"/>
          </w:tcPr>
          <w:p w:rsidR="00A27BBC" w:rsidRPr="00A41AD9" w:rsidRDefault="00A27BBC" w:rsidP="005D27BE">
            <w:pPr>
              <w:jc w:val="both"/>
            </w:pPr>
            <w:r w:rsidRPr="00A41AD9">
              <w:t>Implementing Partner Financial Monitoring Report</w:t>
            </w:r>
          </w:p>
        </w:tc>
      </w:tr>
    </w:tbl>
    <w:p w:rsidR="001613F4" w:rsidRPr="00A41AD9" w:rsidRDefault="00A27BBC" w:rsidP="00A27BBC">
      <w:r w:rsidRPr="00A41AD9">
        <w:rPr>
          <w:b/>
          <w:bCs/>
          <w:caps/>
        </w:rPr>
        <w:br w:type="page"/>
      </w:r>
      <w:r w:rsidR="00A41AD9">
        <w:rPr>
          <w:noProof/>
        </w:rPr>
        <mc:AlternateContent>
          <mc:Choice Requires="wps">
            <w:drawing>
              <wp:anchor distT="0" distB="0" distL="114300" distR="114300" simplePos="0" relativeHeight="251653632" behindDoc="0" locked="0" layoutInCell="1" allowOverlap="1">
                <wp:simplePos x="0" y="0"/>
                <wp:positionH relativeFrom="column">
                  <wp:posOffset>104775</wp:posOffset>
                </wp:positionH>
                <wp:positionV relativeFrom="paragraph">
                  <wp:posOffset>-95250</wp:posOffset>
                </wp:positionV>
                <wp:extent cx="6238875" cy="529590"/>
                <wp:effectExtent l="9525" t="9525" r="9525" b="133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29590"/>
                        </a:xfrm>
                        <a:prstGeom prst="rect">
                          <a:avLst/>
                        </a:prstGeom>
                        <a:solidFill>
                          <a:srgbClr val="F2F2F2"/>
                        </a:solidFill>
                        <a:ln w="9525">
                          <a:solidFill>
                            <a:srgbClr val="D8D8D8"/>
                          </a:solidFill>
                          <a:miter lim="800000"/>
                          <a:headEnd/>
                          <a:tailEnd/>
                        </a:ln>
                      </wps:spPr>
                      <wps:txbx>
                        <w:txbxContent>
                          <w:p w:rsidR="0044659C" w:rsidRDefault="00A41AD9" w:rsidP="00C62C2B">
                            <w:pPr>
                              <w:pStyle w:val="Heading1"/>
                              <w:tabs>
                                <w:tab w:val="left" w:pos="360"/>
                              </w:tabs>
                              <w:jc w:val="center"/>
                            </w:pPr>
                            <w:r w:rsidRPr="00A41AD9">
                              <w:rPr>
                                <w:rFonts w:ascii="Times New Roman" w:hAnsi="Times New Roman" w:cs="Times New Roman"/>
                                <w:bCs w:val="0"/>
                                <w:caps/>
                                <w:color w:val="auto"/>
                                <w:sz w:val="24"/>
                                <w:szCs w:val="24"/>
                                <w:u w:val="single"/>
                              </w:rPr>
                              <w:t>SEMi ANNUAL</w:t>
                            </w:r>
                            <w:r w:rsidR="0044659C">
                              <w:rPr>
                                <w:rFonts w:ascii="Times New Roman" w:hAnsi="Times New Roman" w:cs="Times New Roman"/>
                                <w:color w:val="auto"/>
                                <w:sz w:val="24"/>
                                <w:szCs w:val="24"/>
                                <w:u w:val="single"/>
                                <w:lang w:val="en-US"/>
                              </w:rPr>
                              <w:t xml:space="preserve"> PROGRAMME</w:t>
                            </w:r>
                            <w:r w:rsidR="0044659C" w:rsidRPr="0065638F">
                              <w:rPr>
                                <w:rFonts w:ascii="Times New Roman" w:hAnsi="Times New Roman" w:cs="Times New Roman"/>
                                <w:color w:val="auto"/>
                                <w:sz w:val="24"/>
                                <w:szCs w:val="24"/>
                                <w:u w:val="single"/>
                                <w:lang w:val="en-US"/>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5pt;margin-top:-7.5pt;width:491.25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" fillcolor="#f2f2f2" strokecolor="#d8d8d8">
                <v:textbox>
                  <w:txbxContent>
                    <w:p w:rsidR="0044659C" w:rsidRDefault="00A41AD9" w:rsidP="00C62C2B">
                      <w:pPr>
                        <w:pStyle w:val="Heading1"/>
                        <w:tabs>
                          <w:tab w:val="left" w:pos="360"/>
                        </w:tabs>
                        <w:jc w:val="center"/>
                      </w:pPr>
                      <w:r w:rsidRPr="00A41AD9">
                        <w:rPr>
                          <w:rFonts w:ascii="Times New Roman" w:hAnsi="Times New Roman" w:cs="Times New Roman"/>
                          <w:bCs w:val="0"/>
                          <w:caps/>
                          <w:color w:val="auto"/>
                          <w:sz w:val="24"/>
                          <w:szCs w:val="24"/>
                          <w:u w:val="single"/>
                        </w:rPr>
                        <w:t>SEMi ANNUAL</w:t>
                      </w:r>
                      <w:r w:rsidR="0044659C">
                        <w:rPr>
                          <w:rFonts w:ascii="Times New Roman" w:hAnsi="Times New Roman" w:cs="Times New Roman"/>
                          <w:color w:val="auto"/>
                          <w:sz w:val="24"/>
                          <w:szCs w:val="24"/>
                          <w:u w:val="single"/>
                          <w:lang w:val="en-US"/>
                        </w:rPr>
                        <w:t xml:space="preserve"> PROGRAMME</w:t>
                      </w:r>
                      <w:r w:rsidR="0044659C" w:rsidRPr="0065638F">
                        <w:rPr>
                          <w:rFonts w:ascii="Times New Roman" w:hAnsi="Times New Roman" w:cs="Times New Roman"/>
                          <w:color w:val="auto"/>
                          <w:sz w:val="24"/>
                          <w:szCs w:val="24"/>
                          <w:u w:val="single"/>
                          <w:lang w:val="en-US"/>
                        </w:rPr>
                        <w:t xml:space="preserve"> REPORT</w:t>
                      </w:r>
                    </w:p>
                  </w:txbxContent>
                </v:textbox>
              </v:shape>
            </w:pict>
          </mc:Fallback>
        </mc:AlternateContent>
      </w:r>
    </w:p>
    <w:p w:rsidR="001613F4" w:rsidRPr="00A41AD9" w:rsidRDefault="001613F4" w:rsidP="001613F4">
      <w:pPr>
        <w:pStyle w:val="Heading1"/>
        <w:tabs>
          <w:tab w:val="left" w:pos="360"/>
        </w:tabs>
        <w:rPr>
          <w:rFonts w:ascii="Times New Roman" w:hAnsi="Times New Roman" w:cs="Times New Roman"/>
          <w:color w:val="auto"/>
          <w:sz w:val="24"/>
          <w:szCs w:val="24"/>
          <w:lang w:val="en-US"/>
        </w:rPr>
      </w:pPr>
    </w:p>
    <w:p w:rsidR="001613F4" w:rsidRPr="00A41AD9" w:rsidRDefault="00A41AD9" w:rsidP="001613F4">
      <w:r>
        <w:rPr>
          <w:noProof/>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26670</wp:posOffset>
                </wp:positionV>
                <wp:extent cx="6238875" cy="291465"/>
                <wp:effectExtent l="9525" t="7620" r="952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44659C" w:rsidRPr="001613F4" w:rsidRDefault="0044659C" w:rsidP="00C3581A">
                            <w:pPr>
                              <w:numPr>
                                <w:ilvl w:val="0"/>
                                <w:numId w:val="29"/>
                              </w:numPr>
                              <w:ind w:left="450" w:hanging="360"/>
                              <w:rPr>
                                <w:b/>
                              </w:rPr>
                            </w:pP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25pt;margin-top:2.1pt;width:491.25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pLLwIAAFc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" fillcolor="#f2f2f2" strokecolor="#d8d8d8">
                <v:textbox>
                  <w:txbxContent>
                    <w:p w:rsidR="0044659C" w:rsidRPr="001613F4" w:rsidRDefault="0044659C" w:rsidP="00C3581A">
                      <w:pPr>
                        <w:numPr>
                          <w:ilvl w:val="0"/>
                          <w:numId w:val="29"/>
                        </w:numPr>
                        <w:ind w:left="450" w:hanging="360"/>
                        <w:rPr>
                          <w:b/>
                        </w:rPr>
                      </w:pPr>
                      <w:r w:rsidRPr="001613F4">
                        <w:rPr>
                          <w:b/>
                        </w:rPr>
                        <w:t>PURPOSE</w:t>
                      </w:r>
                    </w:p>
                  </w:txbxContent>
                </v:textbox>
              </v:shape>
            </w:pict>
          </mc:Fallback>
        </mc:AlternateContent>
      </w:r>
    </w:p>
    <w:p w:rsidR="001613F4" w:rsidRPr="00A41AD9" w:rsidRDefault="001613F4" w:rsidP="00762EF0">
      <w:pPr>
        <w:pStyle w:val="Heading1"/>
        <w:tabs>
          <w:tab w:val="left" w:pos="360"/>
        </w:tabs>
        <w:spacing w:before="0" w:after="0"/>
        <w:ind w:left="360"/>
        <w:rPr>
          <w:rFonts w:ascii="Times New Roman" w:hAnsi="Times New Roman" w:cs="Times New Roman"/>
          <w:color w:val="auto"/>
          <w:sz w:val="24"/>
          <w:szCs w:val="24"/>
          <w:lang w:val="en-US"/>
        </w:rPr>
      </w:pPr>
    </w:p>
    <w:p w:rsidR="00762EF0" w:rsidRPr="00A41AD9" w:rsidRDefault="00762EF0" w:rsidP="00762EF0">
      <w:pPr>
        <w:pStyle w:val="BodyText"/>
        <w:spacing w:before="0" w:after="0"/>
        <w:ind w:left="360"/>
        <w:rPr>
          <w:rFonts w:ascii="Times New Roman" w:hAnsi="Times New Roman"/>
          <w:b/>
          <w:color w:val="auto"/>
          <w:sz w:val="24"/>
        </w:rPr>
      </w:pPr>
    </w:p>
    <w:p w:rsidR="00A27BBC" w:rsidRPr="00A41AD9" w:rsidRDefault="00A27BBC" w:rsidP="00A27BBC">
      <w:r w:rsidRPr="00A41AD9">
        <w:t xml:space="preserve">The large scale-influx of Internally Displaced Persons (IDPs) into Puntland as a result of protracted conflict, human rights violations and natural disaster in Somalia, coupled with the presence of asylum-seekers and refugees from neighboring Ethiopia, has been contributing to rising tensions between the local and displaced population in Puntland. These tensions, exacerbated by the growing clan conflicts, threaten fragile stability in Puntland and risk the situation slipping back to an open conflict. </w:t>
      </w:r>
    </w:p>
    <w:p w:rsidR="00A27BBC" w:rsidRPr="00A41AD9" w:rsidRDefault="00A27BBC" w:rsidP="00A27BBC"/>
    <w:p w:rsidR="00A27BBC" w:rsidRPr="00A41AD9" w:rsidRDefault="00A27BBC" w:rsidP="00A27BBC">
      <w:r w:rsidRPr="00A41AD9">
        <w:t xml:space="preserve">Against this background, UNHCR proposed to reduce the tensions between the two communities through four sets of projects: (1) peaceful coexistence and conflict resolution, (2) capacity-building of the police and judiciary in the areas of IDP concentration, (3) solid waste management in </w:t>
      </w:r>
      <w:proofErr w:type="spellStart"/>
      <w:r w:rsidRPr="00A41AD9">
        <w:t>Galkacyo</w:t>
      </w:r>
      <w:proofErr w:type="spellEnd"/>
      <w:r w:rsidRPr="00A41AD9">
        <w:t xml:space="preserve"> and (4) construction of permanent shelter and basic services for IDPs and local population in </w:t>
      </w:r>
      <w:proofErr w:type="spellStart"/>
      <w:r w:rsidRPr="00A41AD9">
        <w:t>Galkacyo</w:t>
      </w:r>
      <w:proofErr w:type="spellEnd"/>
      <w:r w:rsidRPr="00A41AD9">
        <w:t xml:space="preserve">. All the four pillars aim to bring the local and displaced communities together towards the overall goal of the reduction of tensions between the two. </w:t>
      </w:r>
    </w:p>
    <w:p w:rsidR="00A27BBC" w:rsidRPr="00A41AD9" w:rsidRDefault="00A27BBC" w:rsidP="00A27BBC"/>
    <w:p w:rsidR="00A27BBC" w:rsidRPr="00A41AD9" w:rsidRDefault="00A27BBC" w:rsidP="00A27BBC">
      <w:r w:rsidRPr="00A41AD9">
        <w:t>Within this context, this project contributes to the strengthening of the police and judiciary through capacity-building activities. They include the refurbishment of the key police stations in the areas of IDP/refugee concentration, provision of office equipment and training on human rights protection of displaced population. These activities aim to enhance the role of the law enforcement and judiciary as agents for peaceful coexistence.</w:t>
      </w:r>
    </w:p>
    <w:p w:rsidR="00F742C6" w:rsidRPr="00A41AD9" w:rsidRDefault="00F742C6" w:rsidP="00A27BBC"/>
    <w:p w:rsidR="00F742C6" w:rsidRPr="00A41AD9" w:rsidRDefault="00F742C6" w:rsidP="00F742C6">
      <w:pPr>
        <w:pStyle w:val="BodyText"/>
        <w:spacing w:before="0" w:after="0"/>
        <w:rPr>
          <w:rFonts w:ascii="Times New Roman" w:hAnsi="Times New Roman"/>
          <w:color w:val="auto"/>
          <w:sz w:val="24"/>
          <w:lang w:val="en-US"/>
        </w:rPr>
      </w:pPr>
      <w:r w:rsidRPr="00A41AD9">
        <w:rPr>
          <w:rFonts w:ascii="Times New Roman" w:hAnsi="Times New Roman"/>
          <w:color w:val="auto"/>
          <w:sz w:val="24"/>
          <w:lang w:val="en-US"/>
        </w:rPr>
        <w:t>The primary implementing partners and stakeholders to this project are categorized as follows;</w:t>
      </w:r>
    </w:p>
    <w:p w:rsidR="00F742C6" w:rsidRPr="00A41AD9" w:rsidRDefault="00F742C6" w:rsidP="00F742C6">
      <w:pPr>
        <w:pStyle w:val="BodyText"/>
        <w:spacing w:before="0" w:after="0"/>
        <w:rPr>
          <w:rFonts w:ascii="Times New Roman" w:hAnsi="Times New Roman"/>
          <w:b/>
          <w:color w:val="auto"/>
          <w:sz w:val="24"/>
          <w:lang w:val="en-US"/>
        </w:rPr>
      </w:pPr>
    </w:p>
    <w:p w:rsidR="00F742C6" w:rsidRPr="00A41AD9" w:rsidRDefault="00F742C6" w:rsidP="00F742C6">
      <w:pPr>
        <w:pStyle w:val="BodyText"/>
        <w:spacing w:before="0" w:after="0"/>
        <w:rPr>
          <w:rFonts w:ascii="Times New Roman" w:hAnsi="Times New Roman"/>
          <w:b/>
          <w:color w:val="auto"/>
          <w:sz w:val="24"/>
          <w:lang w:val="en-US"/>
        </w:rPr>
      </w:pPr>
      <w:r w:rsidRPr="00A41AD9">
        <w:rPr>
          <w:rFonts w:ascii="Times New Roman" w:hAnsi="Times New Roman"/>
          <w:b/>
          <w:color w:val="auto"/>
          <w:sz w:val="24"/>
          <w:lang w:val="en-US"/>
        </w:rPr>
        <w:t>Implementing Partners:</w:t>
      </w:r>
    </w:p>
    <w:p w:rsidR="00F742C6" w:rsidRPr="00A41AD9" w:rsidRDefault="00F742C6" w:rsidP="00F742C6">
      <w:pPr>
        <w:pStyle w:val="BodyText"/>
        <w:spacing w:before="0" w:after="0"/>
        <w:rPr>
          <w:rFonts w:ascii="Times New Roman" w:hAnsi="Times New Roman"/>
          <w:b/>
          <w:color w:val="auto"/>
          <w:sz w:val="24"/>
          <w:lang w:val="en-US"/>
        </w:rPr>
      </w:pPr>
    </w:p>
    <w:p w:rsidR="00F742C6" w:rsidRPr="00A41AD9" w:rsidRDefault="00F742C6" w:rsidP="00F742C6">
      <w:pPr>
        <w:numPr>
          <w:ilvl w:val="0"/>
          <w:numId w:val="31"/>
        </w:numPr>
      </w:pPr>
      <w:r w:rsidRPr="00A41AD9">
        <w:t>Ministry of Security/Disarmament, Demobilization and Re-integration (</w:t>
      </w:r>
      <w:smartTag w:uri="urn:schemas-microsoft-com:office:smarttags" w:element="stockticker">
        <w:r w:rsidRPr="00A41AD9">
          <w:t>DDR</w:t>
        </w:r>
      </w:smartTag>
      <w:r w:rsidRPr="00A41AD9">
        <w:t>) - (Puntland)</w:t>
      </w:r>
    </w:p>
    <w:p w:rsidR="00F742C6" w:rsidRPr="00A41AD9" w:rsidRDefault="00F742C6" w:rsidP="00F742C6">
      <w:pPr>
        <w:numPr>
          <w:ilvl w:val="0"/>
          <w:numId w:val="31"/>
        </w:numPr>
      </w:pPr>
      <w:r w:rsidRPr="00A41AD9">
        <w:t>Ministry of Interior, Local Government and Rural Development, Puntland State</w:t>
      </w:r>
    </w:p>
    <w:p w:rsidR="00F742C6" w:rsidRPr="00A41AD9" w:rsidRDefault="00F742C6" w:rsidP="00F742C6">
      <w:pPr>
        <w:pStyle w:val="BodyText"/>
        <w:numPr>
          <w:ilvl w:val="0"/>
          <w:numId w:val="32"/>
        </w:numPr>
        <w:spacing w:before="0" w:after="0"/>
        <w:rPr>
          <w:rFonts w:ascii="Times New Roman" w:hAnsi="Times New Roman"/>
          <w:b/>
          <w:color w:val="auto"/>
          <w:sz w:val="24"/>
          <w:lang w:val="en-US"/>
        </w:rPr>
      </w:pPr>
      <w:r w:rsidRPr="00A41AD9">
        <w:rPr>
          <w:rFonts w:ascii="Times New Roman" w:hAnsi="Times New Roman"/>
          <w:color w:val="auto"/>
          <w:sz w:val="24"/>
        </w:rPr>
        <w:t>Ministry of Planning &amp; International   Cooperation (MOPIC</w:t>
      </w:r>
      <w:r w:rsidRPr="00A41AD9">
        <w:rPr>
          <w:color w:val="auto"/>
        </w:rPr>
        <w:t>)</w:t>
      </w:r>
    </w:p>
    <w:p w:rsidR="00F742C6" w:rsidRPr="00A41AD9" w:rsidRDefault="00F742C6" w:rsidP="00F742C6">
      <w:pPr>
        <w:pStyle w:val="BodyText"/>
        <w:spacing w:before="0" w:after="0"/>
        <w:rPr>
          <w:rFonts w:ascii="Times New Roman" w:hAnsi="Times New Roman"/>
          <w:b/>
          <w:color w:val="auto"/>
          <w:sz w:val="24"/>
          <w:lang w:val="en-US"/>
        </w:rPr>
      </w:pPr>
    </w:p>
    <w:p w:rsidR="00F742C6" w:rsidRPr="00A41AD9" w:rsidRDefault="00F742C6" w:rsidP="00F742C6">
      <w:pPr>
        <w:pStyle w:val="BodyText"/>
        <w:spacing w:before="0" w:after="0"/>
        <w:rPr>
          <w:rFonts w:ascii="Times New Roman" w:hAnsi="Times New Roman"/>
          <w:b/>
          <w:color w:val="auto"/>
          <w:sz w:val="24"/>
          <w:lang w:val="en-US"/>
        </w:rPr>
      </w:pPr>
      <w:r w:rsidRPr="00A41AD9">
        <w:rPr>
          <w:rFonts w:ascii="Times New Roman" w:hAnsi="Times New Roman"/>
          <w:b/>
          <w:color w:val="auto"/>
          <w:sz w:val="24"/>
          <w:lang w:val="en-US"/>
        </w:rPr>
        <w:t>Stakeholders (including beneficiaries):</w:t>
      </w:r>
    </w:p>
    <w:p w:rsidR="00F742C6" w:rsidRPr="00A41AD9" w:rsidRDefault="00F742C6" w:rsidP="00F742C6">
      <w:pPr>
        <w:pStyle w:val="BodyText"/>
        <w:numPr>
          <w:ilvl w:val="0"/>
          <w:numId w:val="32"/>
        </w:numPr>
        <w:spacing w:before="0" w:after="0"/>
        <w:rPr>
          <w:rFonts w:ascii="Times New Roman" w:hAnsi="Times New Roman"/>
          <w:color w:val="auto"/>
          <w:sz w:val="24"/>
          <w:lang w:val="en-US"/>
        </w:rPr>
      </w:pPr>
      <w:r w:rsidRPr="00A41AD9">
        <w:rPr>
          <w:rFonts w:ascii="Times New Roman" w:hAnsi="Times New Roman"/>
          <w:color w:val="auto"/>
          <w:sz w:val="24"/>
          <w:lang w:val="en-US"/>
        </w:rPr>
        <w:t xml:space="preserve">IDPs in the settlements </w:t>
      </w:r>
    </w:p>
    <w:p w:rsidR="00F742C6" w:rsidRPr="00A41AD9" w:rsidRDefault="00F742C6" w:rsidP="00F742C6">
      <w:pPr>
        <w:pStyle w:val="BodyText"/>
        <w:numPr>
          <w:ilvl w:val="0"/>
          <w:numId w:val="32"/>
        </w:numPr>
        <w:spacing w:before="0" w:after="0"/>
        <w:rPr>
          <w:rFonts w:ascii="Times New Roman" w:hAnsi="Times New Roman"/>
          <w:color w:val="auto"/>
          <w:sz w:val="24"/>
          <w:lang w:val="en-US"/>
        </w:rPr>
      </w:pPr>
      <w:r w:rsidRPr="00A41AD9">
        <w:rPr>
          <w:rFonts w:ascii="Times New Roman" w:hAnsi="Times New Roman"/>
          <w:color w:val="auto"/>
          <w:sz w:val="24"/>
          <w:lang w:val="en-US"/>
        </w:rPr>
        <w:t>Local community in Puntland</w:t>
      </w:r>
    </w:p>
    <w:p w:rsidR="00F742C6" w:rsidRPr="00A41AD9" w:rsidRDefault="00935F7A" w:rsidP="00F742C6">
      <w:pPr>
        <w:pStyle w:val="BodyText"/>
        <w:numPr>
          <w:ilvl w:val="0"/>
          <w:numId w:val="32"/>
        </w:numPr>
        <w:spacing w:before="0" w:after="0"/>
        <w:rPr>
          <w:rFonts w:ascii="Times New Roman" w:hAnsi="Times New Roman"/>
          <w:color w:val="auto"/>
          <w:sz w:val="24"/>
          <w:lang w:val="en-US"/>
        </w:rPr>
      </w:pPr>
      <w:r w:rsidRPr="00A41AD9">
        <w:rPr>
          <w:rFonts w:ascii="Times New Roman" w:hAnsi="Times New Roman"/>
          <w:color w:val="auto"/>
          <w:sz w:val="24"/>
          <w:lang w:val="en-US"/>
        </w:rPr>
        <w:t xml:space="preserve">Government </w:t>
      </w:r>
      <w:r w:rsidR="00F742C6" w:rsidRPr="00A41AD9">
        <w:rPr>
          <w:rFonts w:ascii="Times New Roman" w:hAnsi="Times New Roman"/>
          <w:color w:val="auto"/>
          <w:sz w:val="24"/>
          <w:lang w:val="en-US"/>
        </w:rPr>
        <w:t>authorities in Ga</w:t>
      </w:r>
      <w:r w:rsidRPr="00A41AD9">
        <w:rPr>
          <w:rFonts w:ascii="Times New Roman" w:hAnsi="Times New Roman"/>
          <w:color w:val="auto"/>
          <w:sz w:val="24"/>
          <w:lang w:val="en-US"/>
        </w:rPr>
        <w:t xml:space="preserve">rowe, Bossaso and </w:t>
      </w:r>
      <w:proofErr w:type="spellStart"/>
      <w:r w:rsidRPr="00A41AD9">
        <w:rPr>
          <w:rFonts w:ascii="Times New Roman" w:hAnsi="Times New Roman"/>
          <w:color w:val="auto"/>
          <w:sz w:val="24"/>
          <w:lang w:val="en-US"/>
        </w:rPr>
        <w:t>Galkayo</w:t>
      </w:r>
      <w:proofErr w:type="spellEnd"/>
      <w:r w:rsidR="00F742C6" w:rsidRPr="00A41AD9">
        <w:rPr>
          <w:rFonts w:ascii="Times New Roman" w:hAnsi="Times New Roman"/>
          <w:color w:val="auto"/>
          <w:sz w:val="24"/>
          <w:lang w:val="en-US"/>
        </w:rPr>
        <w:t xml:space="preserve"> </w:t>
      </w:r>
    </w:p>
    <w:p w:rsidR="00F742C6" w:rsidRPr="00A41AD9" w:rsidRDefault="00F742C6" w:rsidP="00F742C6">
      <w:pPr>
        <w:pStyle w:val="BodyText"/>
        <w:numPr>
          <w:ilvl w:val="0"/>
          <w:numId w:val="33"/>
        </w:numPr>
        <w:spacing w:before="0" w:after="0"/>
        <w:rPr>
          <w:rFonts w:ascii="Times New Roman" w:hAnsi="Times New Roman"/>
          <w:color w:val="auto"/>
          <w:sz w:val="24"/>
          <w:lang w:val="en-US"/>
        </w:rPr>
      </w:pPr>
      <w:r w:rsidRPr="00A41AD9">
        <w:rPr>
          <w:rFonts w:ascii="Times New Roman" w:hAnsi="Times New Roman"/>
          <w:color w:val="auto"/>
          <w:sz w:val="24"/>
          <w:lang w:val="en-US"/>
        </w:rPr>
        <w:t xml:space="preserve">Local contractors </w:t>
      </w:r>
    </w:p>
    <w:p w:rsidR="00F742C6" w:rsidRPr="00A41AD9" w:rsidRDefault="00F742C6" w:rsidP="00F742C6">
      <w:pPr>
        <w:pStyle w:val="BodyText"/>
        <w:numPr>
          <w:ilvl w:val="0"/>
          <w:numId w:val="33"/>
        </w:numPr>
        <w:spacing w:before="0" w:after="0"/>
        <w:rPr>
          <w:rFonts w:ascii="Times New Roman" w:hAnsi="Times New Roman"/>
          <w:color w:val="auto"/>
          <w:sz w:val="24"/>
          <w:lang w:val="en-US"/>
        </w:rPr>
      </w:pPr>
      <w:r w:rsidRPr="00A41AD9">
        <w:rPr>
          <w:rFonts w:ascii="Times New Roman" w:hAnsi="Times New Roman"/>
          <w:color w:val="auto"/>
          <w:sz w:val="24"/>
          <w:lang w:val="en-US"/>
        </w:rPr>
        <w:t>Local business community</w:t>
      </w:r>
    </w:p>
    <w:p w:rsidR="00A27BBC" w:rsidRPr="00A41AD9" w:rsidRDefault="00F742C6" w:rsidP="00762EF0">
      <w:pPr>
        <w:pStyle w:val="BodyText"/>
        <w:numPr>
          <w:ilvl w:val="0"/>
          <w:numId w:val="33"/>
        </w:numPr>
        <w:spacing w:before="0" w:after="0"/>
        <w:rPr>
          <w:rFonts w:ascii="Times New Roman" w:hAnsi="Times New Roman"/>
          <w:b/>
          <w:color w:val="auto"/>
          <w:sz w:val="24"/>
          <w:lang w:val="en-US"/>
        </w:rPr>
      </w:pPr>
      <w:r w:rsidRPr="00A41AD9">
        <w:rPr>
          <w:rFonts w:ascii="Times New Roman" w:hAnsi="Times New Roman"/>
          <w:color w:val="auto"/>
          <w:sz w:val="24"/>
        </w:rPr>
        <w:t xml:space="preserve">Local labourers </w:t>
      </w:r>
    </w:p>
    <w:p w:rsidR="00935F7A" w:rsidRPr="00A41AD9" w:rsidRDefault="00935F7A" w:rsidP="00762EF0">
      <w:pPr>
        <w:pStyle w:val="BodyText"/>
        <w:numPr>
          <w:ilvl w:val="0"/>
          <w:numId w:val="33"/>
        </w:numPr>
        <w:spacing w:before="0" w:after="0"/>
        <w:rPr>
          <w:rFonts w:ascii="Times New Roman" w:hAnsi="Times New Roman"/>
          <w:b/>
          <w:color w:val="auto"/>
          <w:sz w:val="24"/>
          <w:lang w:val="en-US"/>
        </w:rPr>
      </w:pPr>
      <w:r w:rsidRPr="00A41AD9">
        <w:rPr>
          <w:rFonts w:ascii="Times New Roman" w:hAnsi="Times New Roman"/>
          <w:color w:val="auto"/>
          <w:sz w:val="24"/>
        </w:rPr>
        <w:t xml:space="preserve">UN Agencies </w:t>
      </w:r>
    </w:p>
    <w:p w:rsidR="00A27BBC" w:rsidRPr="00A41AD9" w:rsidRDefault="00A27BBC" w:rsidP="00762EF0">
      <w:pPr>
        <w:pStyle w:val="BodyText"/>
        <w:spacing w:before="0" w:after="0"/>
        <w:ind w:left="360"/>
        <w:rPr>
          <w:rFonts w:ascii="Times New Roman" w:hAnsi="Times New Roman"/>
          <w:b/>
          <w:color w:val="auto"/>
          <w:sz w:val="24"/>
        </w:rPr>
      </w:pPr>
    </w:p>
    <w:p w:rsidR="00FC7D2A" w:rsidRPr="00A41AD9" w:rsidRDefault="00A41AD9" w:rsidP="00FC7D2A">
      <w:pPr>
        <w:pStyle w:val="BodyText"/>
        <w:spacing w:before="0" w:after="0"/>
        <w:rPr>
          <w:rFonts w:ascii="Times New Roman" w:hAnsi="Times New Roman"/>
          <w:b/>
          <w:color w:val="auto"/>
          <w:sz w:val="24"/>
        </w:rPr>
      </w:pPr>
      <w:r>
        <w:rPr>
          <w:rFonts w:ascii="Times New Roman" w:hAnsi="Times New Roman"/>
          <w:b/>
          <w:noProof/>
          <w:color w:val="auto"/>
          <w:sz w:val="24"/>
          <w:lang w:val="en-US"/>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107315</wp:posOffset>
                </wp:positionV>
                <wp:extent cx="6238875" cy="291465"/>
                <wp:effectExtent l="9525" t="12065" r="9525"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44659C" w:rsidRPr="001613F4" w:rsidRDefault="0044659C" w:rsidP="00C3581A">
                            <w:pPr>
                              <w:numPr>
                                <w:ilvl w:val="0"/>
                                <w:numId w:val="28"/>
                              </w:numPr>
                              <w:ind w:left="450" w:hanging="360"/>
                              <w:rPr>
                                <w:b/>
                              </w:rPr>
                            </w:pPr>
                            <w:r>
                              <w:rPr>
                                <w:b/>
                              </w:rPr>
                              <w:t>ASSESSMENT OF PROGRAMME/ PROJECT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25pt;margin-top:8.45pt;width:491.25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" fillcolor="#f2f2f2" strokecolor="#d8d8d8">
                <v:textbox>
                  <w:txbxContent>
                    <w:p w:rsidR="0044659C" w:rsidRPr="001613F4" w:rsidRDefault="0044659C" w:rsidP="00C3581A">
                      <w:pPr>
                        <w:numPr>
                          <w:ilvl w:val="0"/>
                          <w:numId w:val="28"/>
                        </w:numPr>
                        <w:ind w:left="450" w:hanging="360"/>
                        <w:rPr>
                          <w:b/>
                        </w:rPr>
                      </w:pPr>
                      <w:r>
                        <w:rPr>
                          <w:b/>
                        </w:rPr>
                        <w:t>ASSESSMENT OF PROGRAMME/ PROJECT RESULTS</w:t>
                      </w:r>
                    </w:p>
                  </w:txbxContent>
                </v:textbox>
              </v:shape>
            </w:pict>
          </mc:Fallback>
        </mc:AlternateContent>
      </w:r>
    </w:p>
    <w:p w:rsidR="00573809" w:rsidRPr="00A41AD9" w:rsidRDefault="00573809" w:rsidP="00FC7D2A">
      <w:pPr>
        <w:pStyle w:val="BodyText"/>
        <w:spacing w:before="0" w:after="0"/>
        <w:rPr>
          <w:rFonts w:ascii="Times New Roman" w:hAnsi="Times New Roman"/>
          <w:b/>
          <w:color w:val="auto"/>
          <w:sz w:val="24"/>
        </w:rPr>
      </w:pPr>
    </w:p>
    <w:p w:rsidR="00FC7D2A" w:rsidRPr="00A41AD9" w:rsidRDefault="00FC7D2A" w:rsidP="00573809">
      <w:pPr>
        <w:pStyle w:val="BodyText"/>
        <w:spacing w:before="0" w:after="0"/>
        <w:rPr>
          <w:rFonts w:ascii="Times New Roman" w:hAnsi="Times New Roman"/>
          <w:b/>
          <w:color w:val="auto"/>
          <w:sz w:val="24"/>
        </w:rPr>
      </w:pPr>
    </w:p>
    <w:p w:rsidR="00D26EE6" w:rsidRPr="00A41AD9" w:rsidRDefault="00D26EE6" w:rsidP="00D26EE6">
      <w:pPr>
        <w:pStyle w:val="BodyText"/>
        <w:rPr>
          <w:rFonts w:ascii="Times New Roman" w:hAnsi="Times New Roman"/>
          <w:bCs/>
          <w:color w:val="auto"/>
          <w:sz w:val="24"/>
        </w:rPr>
      </w:pPr>
      <w:r w:rsidRPr="00A41AD9">
        <w:rPr>
          <w:rFonts w:ascii="Times New Roman" w:hAnsi="Times New Roman"/>
          <w:bCs/>
          <w:color w:val="auto"/>
          <w:sz w:val="24"/>
        </w:rPr>
        <w:t xml:space="preserve">UNHCR implemented this project through direct UNHCR implementation in full consultation with Ministry of Interior, Ministry of Planning and International Cooperation (MOPIC) and Ministry of Security. MOPIC plays a critical role in coordinating humanitarian interventions within the government, serving as a link with the MoI and law enforcement. The Ministry of Security also plays a part in law enforcement in providing </w:t>
      </w:r>
      <w:r w:rsidR="00AF6BFF" w:rsidRPr="00A41AD9">
        <w:rPr>
          <w:rFonts w:ascii="Times New Roman" w:hAnsi="Times New Roman"/>
          <w:bCs/>
          <w:color w:val="auto"/>
          <w:sz w:val="24"/>
        </w:rPr>
        <w:t xml:space="preserve">a </w:t>
      </w:r>
      <w:r w:rsidRPr="00A41AD9">
        <w:rPr>
          <w:rFonts w:ascii="Times New Roman" w:hAnsi="Times New Roman"/>
          <w:bCs/>
          <w:color w:val="auto"/>
          <w:sz w:val="24"/>
        </w:rPr>
        <w:t xml:space="preserve">framework </w:t>
      </w:r>
      <w:r w:rsidR="00AF6BFF" w:rsidRPr="00A41AD9">
        <w:rPr>
          <w:rFonts w:ascii="Times New Roman" w:hAnsi="Times New Roman"/>
          <w:bCs/>
          <w:color w:val="auto"/>
          <w:sz w:val="24"/>
        </w:rPr>
        <w:t xml:space="preserve">for </w:t>
      </w:r>
      <w:r w:rsidRPr="00A41AD9">
        <w:rPr>
          <w:rFonts w:ascii="Times New Roman" w:hAnsi="Times New Roman"/>
          <w:bCs/>
          <w:color w:val="auto"/>
          <w:sz w:val="24"/>
        </w:rPr>
        <w:t xml:space="preserve">security. Law enforcement has to be linked with judiciary in order to </w:t>
      </w:r>
      <w:r w:rsidR="00AF6BFF" w:rsidRPr="00A41AD9">
        <w:rPr>
          <w:rFonts w:ascii="Times New Roman" w:hAnsi="Times New Roman"/>
          <w:bCs/>
          <w:color w:val="auto"/>
          <w:sz w:val="24"/>
        </w:rPr>
        <w:t>instil</w:t>
      </w:r>
      <w:r w:rsidRPr="00A41AD9">
        <w:rPr>
          <w:rFonts w:ascii="Times New Roman" w:hAnsi="Times New Roman"/>
          <w:bCs/>
          <w:color w:val="auto"/>
          <w:sz w:val="24"/>
        </w:rPr>
        <w:t xml:space="preserve"> the confidence. With advice from UNDP, the project also extended its support to </w:t>
      </w:r>
      <w:r w:rsidRPr="00A41AD9">
        <w:rPr>
          <w:rFonts w:ascii="Times New Roman" w:hAnsi="Times New Roman"/>
          <w:color w:val="auto"/>
          <w:spacing w:val="-3"/>
          <w:sz w:val="24"/>
        </w:rPr>
        <w:t>the Ministry of Justice and Religious Affairs.</w:t>
      </w:r>
      <w:r w:rsidRPr="00A41AD9">
        <w:rPr>
          <w:color w:val="auto"/>
          <w:spacing w:val="-3"/>
        </w:rPr>
        <w:t xml:space="preserve"> </w:t>
      </w:r>
      <w:r w:rsidRPr="00A41AD9">
        <w:rPr>
          <w:rFonts w:ascii="Times New Roman" w:hAnsi="Times New Roman"/>
          <w:bCs/>
          <w:color w:val="auto"/>
          <w:sz w:val="24"/>
        </w:rPr>
        <w:t xml:space="preserve">Direct implementation by UNHCR for some aspects of the project (mainly training on protection and procurement) was necessary due to lack of capacity over financial management within the government. </w:t>
      </w:r>
    </w:p>
    <w:p w:rsidR="00D26EE6" w:rsidRPr="00A41AD9" w:rsidRDefault="00D26EE6" w:rsidP="00D26EE6">
      <w:pPr>
        <w:pStyle w:val="BodyText"/>
        <w:rPr>
          <w:rFonts w:ascii="Times New Roman" w:hAnsi="Times New Roman"/>
          <w:bCs/>
          <w:color w:val="auto"/>
          <w:sz w:val="24"/>
        </w:rPr>
      </w:pPr>
    </w:p>
    <w:p w:rsidR="00D26EE6" w:rsidRPr="00A41AD9" w:rsidRDefault="00D26EE6" w:rsidP="00D26EE6">
      <w:pPr>
        <w:pStyle w:val="BodyText"/>
        <w:rPr>
          <w:rFonts w:ascii="Times New Roman" w:hAnsi="Times New Roman"/>
          <w:color w:val="auto"/>
          <w:sz w:val="24"/>
        </w:rPr>
      </w:pPr>
      <w:r w:rsidRPr="00A41AD9">
        <w:rPr>
          <w:rFonts w:ascii="Times New Roman" w:hAnsi="Times New Roman"/>
          <w:bCs/>
          <w:color w:val="auto"/>
          <w:sz w:val="24"/>
        </w:rPr>
        <w:lastRenderedPageBreak/>
        <w:t xml:space="preserve">In terms of procurement, supplies and services were procured in accordance with </w:t>
      </w:r>
      <w:r w:rsidR="00BE3A8F" w:rsidRPr="00A41AD9">
        <w:rPr>
          <w:rFonts w:ascii="Times New Roman" w:hAnsi="Times New Roman"/>
          <w:bCs/>
          <w:color w:val="auto"/>
          <w:sz w:val="24"/>
        </w:rPr>
        <w:t>UNHCR</w:t>
      </w:r>
      <w:r w:rsidRPr="00A41AD9">
        <w:rPr>
          <w:rFonts w:ascii="Times New Roman" w:hAnsi="Times New Roman"/>
          <w:bCs/>
          <w:color w:val="auto"/>
          <w:sz w:val="24"/>
        </w:rPr>
        <w:t xml:space="preserve"> own procurement guidelines. In the meantime, </w:t>
      </w:r>
      <w:r w:rsidRPr="00A41AD9">
        <w:rPr>
          <w:rFonts w:ascii="Times New Roman" w:hAnsi="Times New Roman"/>
          <w:color w:val="auto"/>
          <w:sz w:val="24"/>
        </w:rPr>
        <w:t>UNHCR conduct</w:t>
      </w:r>
      <w:r w:rsidR="00D0025B" w:rsidRPr="00A41AD9">
        <w:rPr>
          <w:rFonts w:ascii="Times New Roman" w:hAnsi="Times New Roman"/>
          <w:color w:val="auto"/>
          <w:sz w:val="24"/>
        </w:rPr>
        <w:t>ed</w:t>
      </w:r>
      <w:r w:rsidRPr="00A41AD9">
        <w:rPr>
          <w:rFonts w:ascii="Times New Roman" w:hAnsi="Times New Roman"/>
          <w:color w:val="auto"/>
          <w:sz w:val="24"/>
        </w:rPr>
        <w:t xml:space="preserve"> the regular monitoring of activities by the MoI and provided support in addressing any impediments during implementation. UNHCR also fielded several missions from Nairobi to ensure proper and timely support to field operations. In addition to the PBF Board comprising of senior government officials in Puntland, UNHCR, Heads of other UN agencies and NGOs, held quarterly meetings to update on the progress of the project and to evaluate any challenges and lessons learnt. The lessons learnt </w:t>
      </w:r>
      <w:r w:rsidR="00D0025B" w:rsidRPr="00A41AD9">
        <w:rPr>
          <w:rFonts w:ascii="Times New Roman" w:hAnsi="Times New Roman"/>
          <w:color w:val="auto"/>
          <w:sz w:val="24"/>
        </w:rPr>
        <w:t>were</w:t>
      </w:r>
      <w:r w:rsidRPr="00A41AD9">
        <w:rPr>
          <w:rFonts w:ascii="Times New Roman" w:hAnsi="Times New Roman"/>
          <w:color w:val="auto"/>
          <w:sz w:val="24"/>
        </w:rPr>
        <w:t xml:space="preserve"> incorporated into implementation plans thus addressing any gaps</w:t>
      </w:r>
      <w:r w:rsidR="00BE3A8F" w:rsidRPr="00A41AD9">
        <w:rPr>
          <w:rFonts w:ascii="Times New Roman" w:hAnsi="Times New Roman"/>
          <w:color w:val="auto"/>
          <w:sz w:val="24"/>
        </w:rPr>
        <w:t xml:space="preserve"> noted</w:t>
      </w:r>
      <w:r w:rsidRPr="00A41AD9">
        <w:rPr>
          <w:rFonts w:ascii="Times New Roman" w:hAnsi="Times New Roman"/>
          <w:color w:val="auto"/>
          <w:sz w:val="24"/>
        </w:rPr>
        <w:t xml:space="preserve">.  </w:t>
      </w:r>
    </w:p>
    <w:p w:rsidR="00D26EE6" w:rsidRPr="00A41AD9" w:rsidRDefault="00D26EE6" w:rsidP="00D26EE6">
      <w:pPr>
        <w:numPr>
          <w:ilvl w:val="12"/>
          <w:numId w:val="0"/>
        </w:numPr>
        <w:tabs>
          <w:tab w:val="left" w:pos="-720"/>
          <w:tab w:val="left" w:pos="4500"/>
        </w:tabs>
        <w:suppressAutoHyphens/>
        <w:jc w:val="both"/>
        <w:rPr>
          <w:spacing w:val="-3"/>
        </w:rPr>
      </w:pPr>
    </w:p>
    <w:p w:rsidR="00D26EE6" w:rsidRPr="00A41AD9" w:rsidRDefault="00D16212" w:rsidP="00D26EE6">
      <w:pPr>
        <w:numPr>
          <w:ilvl w:val="12"/>
          <w:numId w:val="0"/>
        </w:numPr>
        <w:tabs>
          <w:tab w:val="left" w:pos="-720"/>
          <w:tab w:val="left" w:pos="4500"/>
        </w:tabs>
        <w:suppressAutoHyphens/>
        <w:jc w:val="both"/>
        <w:rPr>
          <w:spacing w:val="-3"/>
        </w:rPr>
      </w:pPr>
      <w:proofErr w:type="gramStart"/>
      <w:r w:rsidRPr="00A41AD9">
        <w:rPr>
          <w:spacing w:val="-3"/>
        </w:rPr>
        <w:t>Part of the capacity building involved provision of office equipment to MOPIC.</w:t>
      </w:r>
      <w:proofErr w:type="gramEnd"/>
      <w:r w:rsidRPr="00A41AD9">
        <w:rPr>
          <w:spacing w:val="-3"/>
        </w:rPr>
        <w:t xml:space="preserve"> These equipment include; computers and their accessories, furniture, power point projector, scanner and camera</w:t>
      </w:r>
      <w:r w:rsidR="00D26EE6" w:rsidRPr="00A41AD9">
        <w:rPr>
          <w:spacing w:val="-3"/>
        </w:rPr>
        <w:t>. The Ministry of Justice and Religious Affairs was supported with a vehicle. Equally, Ministries of Security, Interior and MOPIC each received a land cruiser vehicle to facilitate their mobility in the implementation of peace building activities in Puntland. This has enhanced efficiency and effectiveness of t</w:t>
      </w:r>
      <w:r w:rsidR="00C331A8" w:rsidRPr="00A41AD9">
        <w:rPr>
          <w:spacing w:val="-3"/>
        </w:rPr>
        <w:t>hese government departments in discharging their responsibilities.</w:t>
      </w:r>
      <w:r w:rsidR="00D26EE6" w:rsidRPr="00A41AD9">
        <w:rPr>
          <w:spacing w:val="-3"/>
        </w:rPr>
        <w:t xml:space="preserve">  In parallel </w:t>
      </w:r>
      <w:r w:rsidR="000B61BE" w:rsidRPr="00A41AD9">
        <w:rPr>
          <w:spacing w:val="-3"/>
        </w:rPr>
        <w:t>to</w:t>
      </w:r>
      <w:r w:rsidR="00D26EE6" w:rsidRPr="00A41AD9">
        <w:rPr>
          <w:spacing w:val="-3"/>
        </w:rPr>
        <w:t xml:space="preserve"> the “hardware” capacity support, training</w:t>
      </w:r>
      <w:r w:rsidR="000B61BE" w:rsidRPr="00A41AD9">
        <w:rPr>
          <w:spacing w:val="-3"/>
        </w:rPr>
        <w:t>s</w:t>
      </w:r>
      <w:r w:rsidR="00D26EE6" w:rsidRPr="00A41AD9">
        <w:rPr>
          <w:spacing w:val="-3"/>
        </w:rPr>
        <w:t xml:space="preserve"> for police officers and judiciary on international human rights, international IDPs protection guidelines and the responsibilities of governments towards IDPs and refugees</w:t>
      </w:r>
      <w:r w:rsidR="00F506F9" w:rsidRPr="00A41AD9">
        <w:rPr>
          <w:spacing w:val="-3"/>
        </w:rPr>
        <w:t xml:space="preserve"> w</w:t>
      </w:r>
      <w:r w:rsidR="000B61BE" w:rsidRPr="00A41AD9">
        <w:rPr>
          <w:spacing w:val="-3"/>
        </w:rPr>
        <w:t>ere</w:t>
      </w:r>
      <w:r w:rsidR="00F506F9" w:rsidRPr="00A41AD9">
        <w:rPr>
          <w:spacing w:val="-3"/>
        </w:rPr>
        <w:t xml:space="preserve"> conducted</w:t>
      </w:r>
      <w:r w:rsidR="00D26EE6" w:rsidRPr="00A41AD9">
        <w:rPr>
          <w:spacing w:val="-3"/>
        </w:rPr>
        <w:t>.</w:t>
      </w:r>
      <w:r w:rsidR="00645B5E" w:rsidRPr="00A41AD9">
        <w:rPr>
          <w:spacing w:val="-3"/>
        </w:rPr>
        <w:t xml:space="preserve"> In addition to training of police officers, parliamentarians in Puntland were also trained </w:t>
      </w:r>
      <w:r w:rsidR="000B61BE" w:rsidRPr="00A41AD9">
        <w:rPr>
          <w:spacing w:val="-3"/>
        </w:rPr>
        <w:t xml:space="preserve">on IDPs protection </w:t>
      </w:r>
      <w:r w:rsidR="00645B5E" w:rsidRPr="00A41AD9">
        <w:rPr>
          <w:spacing w:val="-3"/>
        </w:rPr>
        <w:t xml:space="preserve"> </w:t>
      </w:r>
    </w:p>
    <w:p w:rsidR="00D26EE6" w:rsidRPr="00A41AD9" w:rsidRDefault="00D26EE6" w:rsidP="00D26EE6">
      <w:pPr>
        <w:numPr>
          <w:ilvl w:val="12"/>
          <w:numId w:val="0"/>
        </w:numPr>
        <w:tabs>
          <w:tab w:val="left" w:pos="-720"/>
          <w:tab w:val="left" w:pos="4500"/>
        </w:tabs>
        <w:suppressAutoHyphens/>
        <w:jc w:val="both"/>
        <w:rPr>
          <w:spacing w:val="-3"/>
        </w:rPr>
      </w:pPr>
    </w:p>
    <w:p w:rsidR="00D26EE6" w:rsidRPr="00A41AD9" w:rsidRDefault="00D26EE6" w:rsidP="00D26EE6">
      <w:pPr>
        <w:numPr>
          <w:ilvl w:val="12"/>
          <w:numId w:val="0"/>
        </w:numPr>
        <w:tabs>
          <w:tab w:val="left" w:pos="-720"/>
          <w:tab w:val="left" w:pos="4500"/>
        </w:tabs>
        <w:suppressAutoHyphens/>
        <w:jc w:val="both"/>
      </w:pPr>
      <w:r w:rsidRPr="00A41AD9">
        <w:rPr>
          <w:spacing w:val="-3"/>
        </w:rPr>
        <w:t>This project also support</w:t>
      </w:r>
      <w:r w:rsidR="00F506F9" w:rsidRPr="00A41AD9">
        <w:rPr>
          <w:spacing w:val="-3"/>
        </w:rPr>
        <w:t>ed</w:t>
      </w:r>
      <w:r w:rsidRPr="00A41AD9">
        <w:rPr>
          <w:spacing w:val="-3"/>
        </w:rPr>
        <w:t xml:space="preserve"> the police department through refurbishment of police stations. </w:t>
      </w:r>
      <w:r w:rsidRPr="00A41AD9">
        <w:t xml:space="preserve">Initially 05 police stations were identified for refurbishment including; Bossaso Central, </w:t>
      </w:r>
      <w:proofErr w:type="spellStart"/>
      <w:r w:rsidRPr="00A41AD9">
        <w:t>Sylad</w:t>
      </w:r>
      <w:proofErr w:type="spellEnd"/>
      <w:r w:rsidRPr="00A41AD9">
        <w:t xml:space="preserve"> </w:t>
      </w:r>
      <w:proofErr w:type="spellStart"/>
      <w:r w:rsidRPr="00A41AD9">
        <w:t>Xolaha</w:t>
      </w:r>
      <w:proofErr w:type="spellEnd"/>
      <w:r w:rsidRPr="00A41AD9">
        <w:t xml:space="preserve">, Bossaso Port, </w:t>
      </w:r>
      <w:proofErr w:type="spellStart"/>
      <w:r w:rsidRPr="00A41AD9">
        <w:t>Biyo</w:t>
      </w:r>
      <w:proofErr w:type="spellEnd"/>
      <w:r w:rsidRPr="00A41AD9">
        <w:t xml:space="preserve"> </w:t>
      </w:r>
      <w:proofErr w:type="spellStart"/>
      <w:r w:rsidRPr="00A41AD9">
        <w:t>Kulule</w:t>
      </w:r>
      <w:proofErr w:type="spellEnd"/>
      <w:r w:rsidRPr="00A41AD9">
        <w:t xml:space="preserve"> and </w:t>
      </w:r>
      <w:proofErr w:type="spellStart"/>
      <w:r w:rsidRPr="00A41AD9">
        <w:t>Burtinle</w:t>
      </w:r>
      <w:proofErr w:type="spellEnd"/>
      <w:r w:rsidRPr="00A41AD9">
        <w:t xml:space="preserve">. However, two police stations </w:t>
      </w:r>
      <w:r w:rsidR="00915522" w:rsidRPr="00A41AD9">
        <w:t xml:space="preserve">comprising </w:t>
      </w:r>
      <w:r w:rsidR="00915522" w:rsidRPr="00A41AD9">
        <w:rPr>
          <w:spacing w:val="-3"/>
        </w:rPr>
        <w:t>Bossaso</w:t>
      </w:r>
      <w:r w:rsidRPr="00A41AD9">
        <w:t xml:space="preserve"> Central and </w:t>
      </w:r>
      <w:proofErr w:type="spellStart"/>
      <w:r w:rsidRPr="00A41AD9">
        <w:t>Sylad</w:t>
      </w:r>
      <w:proofErr w:type="spellEnd"/>
      <w:r w:rsidRPr="00A41AD9">
        <w:t xml:space="preserve"> </w:t>
      </w:r>
      <w:proofErr w:type="spellStart"/>
      <w:proofErr w:type="gramStart"/>
      <w:r w:rsidRPr="00A41AD9">
        <w:t>Xolaha</w:t>
      </w:r>
      <w:proofErr w:type="spellEnd"/>
      <w:r w:rsidRPr="00A41AD9">
        <w:t>,</w:t>
      </w:r>
      <w:proofErr w:type="gramEnd"/>
      <w:r w:rsidRPr="00A41AD9">
        <w:t xml:space="preserve"> were refurbished by UNDP around the same time. UNHCR therefore decided to refurbish three police stations including Bossaso Port, </w:t>
      </w:r>
      <w:proofErr w:type="spellStart"/>
      <w:r w:rsidRPr="00A41AD9">
        <w:t>Biyo</w:t>
      </w:r>
      <w:proofErr w:type="spellEnd"/>
      <w:r w:rsidRPr="00A41AD9">
        <w:t xml:space="preserve"> </w:t>
      </w:r>
      <w:proofErr w:type="spellStart"/>
      <w:r w:rsidRPr="00A41AD9">
        <w:t>Kulule</w:t>
      </w:r>
      <w:proofErr w:type="spellEnd"/>
      <w:r w:rsidRPr="00A41AD9">
        <w:t xml:space="preserve"> and </w:t>
      </w:r>
      <w:proofErr w:type="spellStart"/>
      <w:r w:rsidRPr="00A41AD9">
        <w:t>Burtinle</w:t>
      </w:r>
      <w:proofErr w:type="spellEnd"/>
      <w:r w:rsidRPr="00A41AD9">
        <w:t>.</w:t>
      </w:r>
      <w:r w:rsidRPr="00A41AD9">
        <w:rPr>
          <w:spacing w:val="-3"/>
        </w:rPr>
        <w:t xml:space="preserve"> </w:t>
      </w:r>
      <w:r w:rsidRPr="00A41AD9">
        <w:t>The saving from these two</w:t>
      </w:r>
      <w:r w:rsidR="00F506F9" w:rsidRPr="00A41AD9">
        <w:t xml:space="preserve"> was</w:t>
      </w:r>
      <w:r w:rsidRPr="00A41AD9">
        <w:t xml:space="preserve"> used to support additional works within the three stations given their dilapidated state. </w:t>
      </w:r>
    </w:p>
    <w:p w:rsidR="002156E5" w:rsidRPr="00A41AD9" w:rsidRDefault="002156E5" w:rsidP="00D26EE6">
      <w:pPr>
        <w:numPr>
          <w:ilvl w:val="12"/>
          <w:numId w:val="0"/>
        </w:numPr>
        <w:tabs>
          <w:tab w:val="left" w:pos="-720"/>
          <w:tab w:val="left" w:pos="4500"/>
        </w:tabs>
        <w:suppressAutoHyphens/>
        <w:jc w:val="both"/>
      </w:pPr>
    </w:p>
    <w:p w:rsidR="002156E5" w:rsidRPr="00A41AD9" w:rsidRDefault="002156E5" w:rsidP="00D26EE6">
      <w:pPr>
        <w:numPr>
          <w:ilvl w:val="12"/>
          <w:numId w:val="0"/>
        </w:numPr>
        <w:tabs>
          <w:tab w:val="left" w:pos="-720"/>
          <w:tab w:val="left" w:pos="4500"/>
        </w:tabs>
        <w:suppressAutoHyphens/>
        <w:jc w:val="both"/>
        <w:rPr>
          <w:spacing w:val="-3"/>
        </w:rPr>
      </w:pPr>
      <w:r w:rsidRPr="00A41AD9">
        <w:t>In summary, the following were the results delivered by the project</w:t>
      </w:r>
    </w:p>
    <w:p w:rsidR="00E97BEC" w:rsidRPr="00A41AD9" w:rsidRDefault="00E97BEC" w:rsidP="00E97BEC">
      <w:pPr>
        <w:pStyle w:val="BodyText"/>
        <w:spacing w:before="0" w:after="0"/>
        <w:ind w:left="360"/>
        <w:rPr>
          <w:rFonts w:ascii="Times New Roman" w:hAnsi="Times New Roman"/>
          <w:color w:val="auto"/>
          <w:sz w:val="24"/>
        </w:rPr>
      </w:pPr>
    </w:p>
    <w:p w:rsidR="002156E5" w:rsidRPr="00A41AD9" w:rsidRDefault="002156E5" w:rsidP="002156E5">
      <w:pPr>
        <w:pStyle w:val="BodyText"/>
        <w:numPr>
          <w:ilvl w:val="0"/>
          <w:numId w:val="34"/>
        </w:numPr>
        <w:spacing w:before="0" w:after="0"/>
        <w:rPr>
          <w:rFonts w:ascii="Times New Roman" w:hAnsi="Times New Roman"/>
          <w:color w:val="auto"/>
          <w:sz w:val="24"/>
        </w:rPr>
      </w:pPr>
      <w:r w:rsidRPr="00A41AD9">
        <w:rPr>
          <w:rFonts w:ascii="Times New Roman" w:hAnsi="Times New Roman"/>
          <w:color w:val="auto"/>
          <w:sz w:val="24"/>
        </w:rPr>
        <w:t xml:space="preserve">Office equipment including desk top and laptop computers </w:t>
      </w:r>
      <w:r w:rsidR="00420F89" w:rsidRPr="00A41AD9">
        <w:rPr>
          <w:rFonts w:ascii="Times New Roman" w:hAnsi="Times New Roman"/>
          <w:color w:val="auto"/>
          <w:sz w:val="24"/>
        </w:rPr>
        <w:t xml:space="preserve">were </w:t>
      </w:r>
      <w:r w:rsidRPr="00A41AD9">
        <w:rPr>
          <w:rFonts w:ascii="Times New Roman" w:hAnsi="Times New Roman"/>
          <w:color w:val="auto"/>
          <w:sz w:val="24"/>
        </w:rPr>
        <w:t xml:space="preserve">procured and handed over to the respective government departments. MOPIC received 03 laptop computers, 01 digital camera, 01 printer, 02 office desks, 10 office chairs, 01 video camera, 02 filing cabinets, and 01 projector. Ministry of Interior received the following; 02 desktop computers, 01 laptop computer, 01 photocopier, 01 digital camera, 01 printer, 02 office desks, 10 chairs, 01 video camera, 02 filing cabinets and 01 projector. These equipments have enhanced the efficiency and effectiveness of the ministry officials in discharging their responsibilities in terms of processing information and maintaining official records. </w:t>
      </w:r>
    </w:p>
    <w:p w:rsidR="00E97BEC" w:rsidRPr="00A41AD9" w:rsidRDefault="00E97BEC" w:rsidP="00E97BEC">
      <w:pPr>
        <w:pStyle w:val="BodyText"/>
        <w:spacing w:before="0" w:after="0"/>
        <w:rPr>
          <w:rFonts w:ascii="Times New Roman" w:hAnsi="Times New Roman"/>
          <w:color w:val="auto"/>
          <w:sz w:val="24"/>
        </w:rPr>
      </w:pPr>
    </w:p>
    <w:p w:rsidR="00E97BEC" w:rsidRPr="00A41AD9" w:rsidRDefault="00E97BEC" w:rsidP="00E97BEC">
      <w:pPr>
        <w:pStyle w:val="BodyText"/>
        <w:numPr>
          <w:ilvl w:val="0"/>
          <w:numId w:val="34"/>
        </w:numPr>
        <w:spacing w:before="0" w:after="0"/>
        <w:rPr>
          <w:rFonts w:ascii="Times New Roman" w:hAnsi="Times New Roman"/>
          <w:color w:val="auto"/>
          <w:sz w:val="24"/>
        </w:rPr>
      </w:pPr>
      <w:r w:rsidRPr="00A41AD9">
        <w:rPr>
          <w:rFonts w:ascii="Times New Roman" w:hAnsi="Times New Roman"/>
          <w:color w:val="auto"/>
          <w:sz w:val="24"/>
        </w:rPr>
        <w:t xml:space="preserve">Training of parliamentarians in the areas of </w:t>
      </w:r>
      <w:r w:rsidR="00EE11D3" w:rsidRPr="00A41AD9">
        <w:rPr>
          <w:rFonts w:ascii="Times New Roman" w:hAnsi="Times New Roman"/>
          <w:color w:val="auto"/>
          <w:sz w:val="24"/>
        </w:rPr>
        <w:t xml:space="preserve">IDPs protection </w:t>
      </w:r>
      <w:r w:rsidR="003C4FC0" w:rsidRPr="00A41AD9">
        <w:rPr>
          <w:rFonts w:ascii="Times New Roman" w:hAnsi="Times New Roman"/>
          <w:color w:val="auto"/>
          <w:sz w:val="24"/>
        </w:rPr>
        <w:t xml:space="preserve">guidelines </w:t>
      </w:r>
      <w:r w:rsidRPr="00A41AD9">
        <w:rPr>
          <w:rFonts w:ascii="Times New Roman" w:hAnsi="Times New Roman"/>
          <w:color w:val="auto"/>
          <w:sz w:val="24"/>
        </w:rPr>
        <w:t xml:space="preserve">was successfully conducted during the last quarter of this project. This training is another significant </w:t>
      </w:r>
      <w:r w:rsidR="005A78EC" w:rsidRPr="00A41AD9">
        <w:rPr>
          <w:rFonts w:ascii="Times New Roman" w:hAnsi="Times New Roman"/>
          <w:color w:val="auto"/>
          <w:sz w:val="24"/>
        </w:rPr>
        <w:t>milestone in building c</w:t>
      </w:r>
      <w:r w:rsidRPr="00A41AD9">
        <w:rPr>
          <w:rFonts w:ascii="Times New Roman" w:hAnsi="Times New Roman"/>
          <w:color w:val="auto"/>
          <w:sz w:val="24"/>
        </w:rPr>
        <w:t xml:space="preserve">apacity </w:t>
      </w:r>
      <w:r w:rsidR="005A78EC" w:rsidRPr="00A41AD9">
        <w:rPr>
          <w:rFonts w:ascii="Times New Roman" w:hAnsi="Times New Roman"/>
          <w:color w:val="auto"/>
          <w:sz w:val="24"/>
        </w:rPr>
        <w:t>of government in IDPs protection.</w:t>
      </w:r>
      <w:r w:rsidRPr="00A41AD9">
        <w:rPr>
          <w:rFonts w:ascii="Times New Roman" w:hAnsi="Times New Roman"/>
          <w:color w:val="auto"/>
          <w:sz w:val="24"/>
        </w:rPr>
        <w:t xml:space="preserve"> </w:t>
      </w:r>
      <w:r w:rsidR="005A78EC" w:rsidRPr="00A41AD9">
        <w:rPr>
          <w:rFonts w:ascii="Times New Roman" w:hAnsi="Times New Roman"/>
          <w:color w:val="auto"/>
          <w:sz w:val="24"/>
        </w:rPr>
        <w:t xml:space="preserve">Building capacity of government in areas of IDPs protection is </w:t>
      </w:r>
      <w:r w:rsidRPr="00A41AD9">
        <w:rPr>
          <w:rFonts w:ascii="Times New Roman" w:hAnsi="Times New Roman"/>
          <w:color w:val="auto"/>
          <w:sz w:val="24"/>
        </w:rPr>
        <w:t>key to peace building and sustained stability</w:t>
      </w:r>
      <w:r w:rsidR="005A78EC" w:rsidRPr="00A41AD9">
        <w:rPr>
          <w:rFonts w:ascii="Times New Roman" w:hAnsi="Times New Roman"/>
          <w:color w:val="auto"/>
          <w:sz w:val="24"/>
        </w:rPr>
        <w:t xml:space="preserve"> in the region</w:t>
      </w:r>
      <w:r w:rsidR="00B26DE5" w:rsidRPr="00A41AD9">
        <w:rPr>
          <w:rFonts w:ascii="Times New Roman" w:hAnsi="Times New Roman"/>
          <w:color w:val="auto"/>
          <w:sz w:val="24"/>
        </w:rPr>
        <w:t xml:space="preserve"> </w:t>
      </w:r>
      <w:r w:rsidRPr="00A41AD9">
        <w:rPr>
          <w:rFonts w:ascii="Times New Roman" w:hAnsi="Times New Roman"/>
          <w:color w:val="auto"/>
          <w:sz w:val="24"/>
        </w:rPr>
        <w:t xml:space="preserve"> </w:t>
      </w:r>
    </w:p>
    <w:p w:rsidR="002156E5" w:rsidRPr="00A41AD9" w:rsidRDefault="002156E5" w:rsidP="002156E5">
      <w:pPr>
        <w:pStyle w:val="BodyText"/>
        <w:rPr>
          <w:rFonts w:ascii="Times New Roman" w:hAnsi="Times New Roman"/>
          <w:color w:val="auto"/>
          <w:sz w:val="24"/>
        </w:rPr>
      </w:pPr>
    </w:p>
    <w:p w:rsidR="002156E5" w:rsidRPr="00A41AD9" w:rsidRDefault="002156E5" w:rsidP="002156E5">
      <w:pPr>
        <w:pStyle w:val="BodyText"/>
        <w:numPr>
          <w:ilvl w:val="0"/>
          <w:numId w:val="34"/>
        </w:numPr>
        <w:spacing w:before="0" w:after="0"/>
        <w:rPr>
          <w:rFonts w:ascii="Times New Roman" w:hAnsi="Times New Roman"/>
          <w:color w:val="auto"/>
          <w:sz w:val="24"/>
        </w:rPr>
      </w:pPr>
      <w:r w:rsidRPr="00A41AD9">
        <w:rPr>
          <w:rFonts w:ascii="Times New Roman" w:hAnsi="Times New Roman"/>
          <w:color w:val="auto"/>
          <w:sz w:val="24"/>
        </w:rPr>
        <w:t xml:space="preserve">4 Land Cruiser Toyota vehicles were procured and distributed to four government departments. MOPIC, ministry of Justice, Ministry of Interior and ministry of Security each received </w:t>
      </w:r>
      <w:r w:rsidR="00420F89" w:rsidRPr="00A41AD9">
        <w:rPr>
          <w:rFonts w:ascii="Times New Roman" w:hAnsi="Times New Roman"/>
          <w:color w:val="auto"/>
          <w:sz w:val="24"/>
        </w:rPr>
        <w:t xml:space="preserve">a </w:t>
      </w:r>
      <w:r w:rsidRPr="00A41AD9">
        <w:rPr>
          <w:rFonts w:ascii="Times New Roman" w:hAnsi="Times New Roman"/>
          <w:color w:val="auto"/>
          <w:sz w:val="24"/>
        </w:rPr>
        <w:t xml:space="preserve">vehicle. Again, this capacitation of government departments with mobility facilities has closed the gap of inadequate response to issues of peace building. Concerned authorities are now able to traverse all corners of Puntland with ease to mobilize the community, address hot spots of conflicts and ensure effective response, thus keeping momentum and sustaining peace building efforts. </w:t>
      </w:r>
    </w:p>
    <w:p w:rsidR="002156E5" w:rsidRPr="00A41AD9" w:rsidRDefault="002156E5" w:rsidP="002156E5">
      <w:pPr>
        <w:pStyle w:val="BodyText"/>
        <w:rPr>
          <w:rFonts w:ascii="Times New Roman" w:hAnsi="Times New Roman"/>
          <w:color w:val="auto"/>
          <w:sz w:val="24"/>
        </w:rPr>
      </w:pPr>
    </w:p>
    <w:p w:rsidR="002156E5" w:rsidRPr="00A41AD9" w:rsidRDefault="002156E5" w:rsidP="002156E5">
      <w:pPr>
        <w:pStyle w:val="BodyText"/>
        <w:numPr>
          <w:ilvl w:val="0"/>
          <w:numId w:val="34"/>
        </w:numPr>
        <w:spacing w:before="0" w:after="0"/>
        <w:rPr>
          <w:rFonts w:ascii="Times New Roman" w:hAnsi="Times New Roman"/>
          <w:color w:val="auto"/>
          <w:sz w:val="24"/>
        </w:rPr>
      </w:pPr>
      <w:r w:rsidRPr="00A41AD9">
        <w:rPr>
          <w:rFonts w:ascii="Times New Roman" w:hAnsi="Times New Roman"/>
          <w:color w:val="auto"/>
          <w:sz w:val="24"/>
        </w:rPr>
        <w:t>The training of police officers</w:t>
      </w:r>
      <w:r w:rsidR="00CD05BC" w:rsidRPr="00A41AD9">
        <w:rPr>
          <w:rFonts w:ascii="Times New Roman" w:hAnsi="Times New Roman"/>
          <w:color w:val="auto"/>
          <w:sz w:val="24"/>
        </w:rPr>
        <w:t xml:space="preserve"> in international refugee law and IDPs protection guidelines was </w:t>
      </w:r>
      <w:r w:rsidRPr="00A41AD9">
        <w:rPr>
          <w:rFonts w:ascii="Times New Roman" w:hAnsi="Times New Roman"/>
          <w:color w:val="auto"/>
          <w:sz w:val="24"/>
        </w:rPr>
        <w:t>completed</w:t>
      </w:r>
      <w:r w:rsidR="00CD05BC" w:rsidRPr="00A41AD9">
        <w:rPr>
          <w:rFonts w:ascii="Times New Roman" w:hAnsi="Times New Roman"/>
          <w:color w:val="auto"/>
          <w:sz w:val="24"/>
        </w:rPr>
        <w:t xml:space="preserve">. This has </w:t>
      </w:r>
      <w:r w:rsidRPr="00A41AD9">
        <w:rPr>
          <w:rFonts w:ascii="Times New Roman" w:hAnsi="Times New Roman"/>
          <w:color w:val="auto"/>
          <w:sz w:val="24"/>
        </w:rPr>
        <w:t>contribute</w:t>
      </w:r>
      <w:r w:rsidR="00CD05BC" w:rsidRPr="00A41AD9">
        <w:rPr>
          <w:rFonts w:ascii="Times New Roman" w:hAnsi="Times New Roman"/>
          <w:color w:val="auto"/>
          <w:sz w:val="24"/>
        </w:rPr>
        <w:t xml:space="preserve">d </w:t>
      </w:r>
      <w:r w:rsidRPr="00A41AD9">
        <w:rPr>
          <w:rFonts w:ascii="Times New Roman" w:hAnsi="Times New Roman"/>
          <w:color w:val="auto"/>
          <w:sz w:val="24"/>
        </w:rPr>
        <w:t>to</w:t>
      </w:r>
      <w:r w:rsidR="00CD05BC" w:rsidRPr="00A41AD9">
        <w:rPr>
          <w:rFonts w:ascii="Times New Roman" w:hAnsi="Times New Roman"/>
          <w:color w:val="auto"/>
          <w:sz w:val="24"/>
        </w:rPr>
        <w:t xml:space="preserve">wards </w:t>
      </w:r>
      <w:r w:rsidRPr="00A41AD9">
        <w:rPr>
          <w:rFonts w:ascii="Times New Roman" w:hAnsi="Times New Roman"/>
          <w:color w:val="auto"/>
          <w:sz w:val="24"/>
        </w:rPr>
        <w:t xml:space="preserve">improvement of protection of IDPs and refugees’ human rights. Cases of complaints of ill treatment of IDPs and refugees while in </w:t>
      </w:r>
      <w:r w:rsidR="00A10EEC" w:rsidRPr="00A41AD9">
        <w:rPr>
          <w:rFonts w:ascii="Times New Roman" w:hAnsi="Times New Roman"/>
          <w:color w:val="auto"/>
          <w:sz w:val="24"/>
        </w:rPr>
        <w:t xml:space="preserve">police </w:t>
      </w:r>
      <w:r w:rsidRPr="00A41AD9">
        <w:rPr>
          <w:rFonts w:ascii="Times New Roman" w:hAnsi="Times New Roman"/>
          <w:color w:val="auto"/>
          <w:sz w:val="24"/>
        </w:rPr>
        <w:t xml:space="preserve">detention </w:t>
      </w:r>
      <w:r w:rsidR="00CD05BC" w:rsidRPr="00A41AD9">
        <w:rPr>
          <w:rFonts w:ascii="Times New Roman" w:hAnsi="Times New Roman"/>
          <w:color w:val="auto"/>
          <w:sz w:val="24"/>
        </w:rPr>
        <w:t>have reduced (this has been the trend since the trainings were delivered)</w:t>
      </w:r>
      <w:r w:rsidR="004310D0" w:rsidRPr="00A41AD9">
        <w:rPr>
          <w:rFonts w:ascii="Times New Roman" w:hAnsi="Times New Roman"/>
          <w:color w:val="auto"/>
          <w:sz w:val="24"/>
        </w:rPr>
        <w:t>. A</w:t>
      </w:r>
      <w:r w:rsidRPr="00A41AD9">
        <w:rPr>
          <w:rFonts w:ascii="Times New Roman" w:hAnsi="Times New Roman"/>
          <w:color w:val="auto"/>
          <w:sz w:val="24"/>
        </w:rPr>
        <w:t xml:space="preserve">wareness </w:t>
      </w:r>
      <w:r w:rsidR="004310D0" w:rsidRPr="00A41AD9">
        <w:rPr>
          <w:rFonts w:ascii="Times New Roman" w:hAnsi="Times New Roman"/>
          <w:color w:val="auto"/>
          <w:sz w:val="24"/>
        </w:rPr>
        <w:lastRenderedPageBreak/>
        <w:t xml:space="preserve">among police officers and the community </w:t>
      </w:r>
      <w:r w:rsidRPr="00A41AD9">
        <w:rPr>
          <w:rFonts w:ascii="Times New Roman" w:hAnsi="Times New Roman"/>
          <w:color w:val="auto"/>
          <w:sz w:val="24"/>
        </w:rPr>
        <w:t>of human rights</w:t>
      </w:r>
      <w:r w:rsidR="004310D0" w:rsidRPr="00A41AD9">
        <w:rPr>
          <w:rFonts w:ascii="Times New Roman" w:hAnsi="Times New Roman"/>
          <w:color w:val="auto"/>
          <w:sz w:val="24"/>
        </w:rPr>
        <w:t xml:space="preserve"> has increased, which has in turn contributed </w:t>
      </w:r>
      <w:r w:rsidRPr="00A41AD9">
        <w:rPr>
          <w:rFonts w:ascii="Times New Roman" w:hAnsi="Times New Roman"/>
          <w:color w:val="auto"/>
          <w:sz w:val="24"/>
        </w:rPr>
        <w:t>to</w:t>
      </w:r>
      <w:r w:rsidR="004310D0" w:rsidRPr="00A41AD9">
        <w:rPr>
          <w:rFonts w:ascii="Times New Roman" w:hAnsi="Times New Roman"/>
          <w:color w:val="auto"/>
          <w:sz w:val="24"/>
        </w:rPr>
        <w:t xml:space="preserve">wards </w:t>
      </w:r>
      <w:r w:rsidRPr="00A41AD9">
        <w:rPr>
          <w:rFonts w:ascii="Times New Roman" w:hAnsi="Times New Roman"/>
          <w:color w:val="auto"/>
          <w:sz w:val="24"/>
        </w:rPr>
        <w:t>enhanced professionalism among police officers</w:t>
      </w:r>
      <w:r w:rsidR="0060185A" w:rsidRPr="00A41AD9">
        <w:rPr>
          <w:rFonts w:ascii="Times New Roman" w:hAnsi="Times New Roman"/>
          <w:color w:val="auto"/>
          <w:sz w:val="24"/>
        </w:rPr>
        <w:t>, another</w:t>
      </w:r>
      <w:r w:rsidR="004310D0" w:rsidRPr="00A41AD9">
        <w:rPr>
          <w:rFonts w:ascii="Times New Roman" w:hAnsi="Times New Roman"/>
          <w:color w:val="auto"/>
          <w:sz w:val="24"/>
        </w:rPr>
        <w:t xml:space="preserve"> </w:t>
      </w:r>
      <w:r w:rsidR="006C4903" w:rsidRPr="00A41AD9">
        <w:rPr>
          <w:rFonts w:ascii="Times New Roman" w:hAnsi="Times New Roman"/>
          <w:color w:val="auto"/>
          <w:sz w:val="24"/>
        </w:rPr>
        <w:t>building block of sustainable peace and stability</w:t>
      </w:r>
      <w:r w:rsidR="0060185A" w:rsidRPr="00A41AD9">
        <w:rPr>
          <w:rFonts w:ascii="Times New Roman" w:hAnsi="Times New Roman"/>
          <w:color w:val="auto"/>
          <w:sz w:val="24"/>
        </w:rPr>
        <w:t>, and lessening of tensions b</w:t>
      </w:r>
      <w:r w:rsidR="006C4903" w:rsidRPr="00A41AD9">
        <w:rPr>
          <w:rFonts w:ascii="Times New Roman" w:hAnsi="Times New Roman"/>
          <w:color w:val="auto"/>
          <w:sz w:val="24"/>
        </w:rPr>
        <w:t>etween</w:t>
      </w:r>
      <w:r w:rsidR="0060185A" w:rsidRPr="00A41AD9">
        <w:rPr>
          <w:rFonts w:ascii="Times New Roman" w:hAnsi="Times New Roman"/>
          <w:color w:val="auto"/>
          <w:sz w:val="24"/>
        </w:rPr>
        <w:t xml:space="preserve"> IDPs and t</w:t>
      </w:r>
      <w:r w:rsidR="006C4903" w:rsidRPr="00A41AD9">
        <w:rPr>
          <w:rFonts w:ascii="Times New Roman" w:hAnsi="Times New Roman"/>
          <w:color w:val="auto"/>
          <w:sz w:val="24"/>
        </w:rPr>
        <w:t xml:space="preserve">he </w:t>
      </w:r>
      <w:r w:rsidR="00A10EEC" w:rsidRPr="00A41AD9">
        <w:rPr>
          <w:rFonts w:ascii="Times New Roman" w:hAnsi="Times New Roman"/>
          <w:color w:val="auto"/>
          <w:sz w:val="24"/>
        </w:rPr>
        <w:t xml:space="preserve">local </w:t>
      </w:r>
      <w:r w:rsidR="006C4903" w:rsidRPr="00A41AD9">
        <w:rPr>
          <w:rFonts w:ascii="Times New Roman" w:hAnsi="Times New Roman"/>
          <w:color w:val="auto"/>
          <w:sz w:val="24"/>
        </w:rPr>
        <w:t>communit</w:t>
      </w:r>
      <w:r w:rsidR="0060185A" w:rsidRPr="00A41AD9">
        <w:rPr>
          <w:rFonts w:ascii="Times New Roman" w:hAnsi="Times New Roman"/>
          <w:color w:val="auto"/>
          <w:sz w:val="24"/>
        </w:rPr>
        <w:t>y</w:t>
      </w:r>
      <w:r w:rsidR="00A10EEC" w:rsidRPr="00A41AD9">
        <w:rPr>
          <w:rFonts w:ascii="Times New Roman" w:hAnsi="Times New Roman"/>
          <w:color w:val="auto"/>
          <w:sz w:val="24"/>
        </w:rPr>
        <w:t xml:space="preserve"> in Puntland</w:t>
      </w:r>
      <w:r w:rsidR="0060185A" w:rsidRPr="00A41AD9">
        <w:rPr>
          <w:rFonts w:ascii="Times New Roman" w:hAnsi="Times New Roman"/>
          <w:color w:val="auto"/>
          <w:sz w:val="24"/>
        </w:rPr>
        <w:t>.</w:t>
      </w:r>
      <w:r w:rsidRPr="00A41AD9">
        <w:rPr>
          <w:rFonts w:ascii="Times New Roman" w:hAnsi="Times New Roman"/>
          <w:color w:val="auto"/>
          <w:sz w:val="24"/>
        </w:rPr>
        <w:t xml:space="preserve"> </w:t>
      </w:r>
    </w:p>
    <w:p w:rsidR="002156E5" w:rsidRPr="00A41AD9" w:rsidRDefault="002156E5" w:rsidP="002156E5">
      <w:pPr>
        <w:pStyle w:val="BodyText"/>
        <w:rPr>
          <w:rFonts w:ascii="Times New Roman" w:hAnsi="Times New Roman"/>
          <w:color w:val="auto"/>
          <w:sz w:val="24"/>
        </w:rPr>
      </w:pPr>
    </w:p>
    <w:p w:rsidR="002156E5" w:rsidRPr="00A41AD9" w:rsidRDefault="002156E5" w:rsidP="002156E5">
      <w:pPr>
        <w:numPr>
          <w:ilvl w:val="0"/>
          <w:numId w:val="35"/>
        </w:numPr>
        <w:tabs>
          <w:tab w:val="left" w:pos="-720"/>
          <w:tab w:val="left" w:pos="4500"/>
        </w:tabs>
        <w:suppressAutoHyphens/>
        <w:spacing w:after="54"/>
        <w:rPr>
          <w:spacing w:val="-2"/>
        </w:rPr>
      </w:pPr>
      <w:r w:rsidRPr="00A41AD9">
        <w:t>The refurbishment of the police stations</w:t>
      </w:r>
      <w:r w:rsidR="00EC1AA9" w:rsidRPr="00A41AD9">
        <w:t xml:space="preserve"> which was completed during the reporting </w:t>
      </w:r>
      <w:r w:rsidR="00BB5213" w:rsidRPr="00A41AD9">
        <w:t xml:space="preserve">period </w:t>
      </w:r>
      <w:r w:rsidR="00EC1AA9" w:rsidRPr="00A41AD9">
        <w:t xml:space="preserve">has </w:t>
      </w:r>
      <w:r w:rsidRPr="00A41AD9">
        <w:t>improve</w:t>
      </w:r>
      <w:r w:rsidR="00EC1AA9" w:rsidRPr="00A41AD9">
        <w:t>d</w:t>
      </w:r>
      <w:r w:rsidRPr="00A41AD9">
        <w:t xml:space="preserve"> the working environment for the police department</w:t>
      </w:r>
      <w:r w:rsidR="008E5891" w:rsidRPr="00A41AD9">
        <w:t xml:space="preserve">. This has boosted the morale of police officers, which can be best explained by the statement of the Police Commander for </w:t>
      </w:r>
      <w:proofErr w:type="spellStart"/>
      <w:r w:rsidR="008E5891" w:rsidRPr="00A41AD9">
        <w:t>Burtinle</w:t>
      </w:r>
      <w:proofErr w:type="spellEnd"/>
      <w:r w:rsidR="008E5891" w:rsidRPr="00A41AD9">
        <w:t xml:space="preserve">. He remarked ‘this is now a proper police station, there is space and chairs for officers to do their work, as well as space and seats for complainants. Even detainees have a clean place’. This intervention has </w:t>
      </w:r>
      <w:r w:rsidRPr="00A41AD9">
        <w:t>contribute</w:t>
      </w:r>
      <w:r w:rsidR="00EC1AA9" w:rsidRPr="00A41AD9">
        <w:t>d</w:t>
      </w:r>
      <w:r w:rsidRPr="00A41AD9">
        <w:t xml:space="preserve"> towards </w:t>
      </w:r>
      <w:r w:rsidR="008E5891" w:rsidRPr="00A41AD9">
        <w:t xml:space="preserve">police </w:t>
      </w:r>
      <w:r w:rsidRPr="00A41AD9">
        <w:t xml:space="preserve">efficiency and effectiveness in policing duties. </w:t>
      </w:r>
      <w:r w:rsidR="00EC1AA9" w:rsidRPr="00A41AD9">
        <w:t>Recent indications through observation and interaction with IDPs/refugees and the host community show that there is i</w:t>
      </w:r>
      <w:r w:rsidRPr="00A41AD9">
        <w:t xml:space="preserve">ncreased trust and </w:t>
      </w:r>
      <w:r w:rsidR="00EC1AA9" w:rsidRPr="00A41AD9">
        <w:t xml:space="preserve">confidence in the police system. In many parts of Puntland, especially in Garowe, the population has </w:t>
      </w:r>
      <w:r w:rsidR="00EC1AA9" w:rsidRPr="00A41AD9">
        <w:rPr>
          <w:spacing w:val="-2"/>
        </w:rPr>
        <w:t xml:space="preserve">increased sense of physical security and is now </w:t>
      </w:r>
      <w:r w:rsidRPr="00A41AD9">
        <w:rPr>
          <w:spacing w:val="-2"/>
        </w:rPr>
        <w:t>focus</w:t>
      </w:r>
      <w:r w:rsidR="00EC1AA9" w:rsidRPr="00A41AD9">
        <w:rPr>
          <w:spacing w:val="-2"/>
        </w:rPr>
        <w:t>ed</w:t>
      </w:r>
      <w:r w:rsidRPr="00A41AD9">
        <w:rPr>
          <w:spacing w:val="-2"/>
        </w:rPr>
        <w:t xml:space="preserve"> more on initiatives which improve their livelihoods. These are the ingredients for sustained peace building in Puntland/Somalia </w:t>
      </w:r>
    </w:p>
    <w:p w:rsidR="002156E5" w:rsidRPr="00A41AD9" w:rsidRDefault="002156E5" w:rsidP="00D26EE6">
      <w:pPr>
        <w:pStyle w:val="BodyText"/>
        <w:tabs>
          <w:tab w:val="left" w:pos="720"/>
        </w:tabs>
        <w:spacing w:before="120" w:after="0"/>
        <w:ind w:left="360"/>
        <w:rPr>
          <w:rFonts w:ascii="Times New Roman" w:hAnsi="Times New Roman"/>
          <w:bCs/>
          <w:color w:val="auto"/>
          <w:sz w:val="24"/>
          <w:lang w:val="en-US"/>
        </w:rPr>
      </w:pPr>
    </w:p>
    <w:p w:rsidR="00D26EE6" w:rsidRPr="00A41AD9" w:rsidRDefault="00D26EE6" w:rsidP="00D26EE6">
      <w:pPr>
        <w:pStyle w:val="BodyText"/>
        <w:tabs>
          <w:tab w:val="left" w:pos="720"/>
        </w:tabs>
        <w:spacing w:before="120" w:after="0"/>
        <w:ind w:left="360"/>
        <w:rPr>
          <w:rFonts w:ascii="Times New Roman" w:hAnsi="Times New Roman"/>
          <w:bCs/>
          <w:color w:val="auto"/>
          <w:sz w:val="24"/>
        </w:rPr>
      </w:pPr>
    </w:p>
    <w:p w:rsidR="00390366" w:rsidRPr="00A41AD9" w:rsidRDefault="00390366" w:rsidP="00670345">
      <w:pPr>
        <w:pStyle w:val="BodyText"/>
        <w:spacing w:before="0" w:after="0"/>
        <w:ind w:left="720" w:hanging="720"/>
        <w:rPr>
          <w:rFonts w:ascii="Times New Roman" w:hAnsi="Times New Roman"/>
          <w:bCs/>
          <w:color w:val="auto"/>
          <w:sz w:val="24"/>
        </w:rPr>
      </w:pPr>
    </w:p>
    <w:p w:rsidR="00762EF0" w:rsidRPr="00A41AD9" w:rsidRDefault="00A41AD9" w:rsidP="00670345">
      <w:pPr>
        <w:pStyle w:val="BodyText"/>
        <w:spacing w:before="0" w:after="0"/>
        <w:ind w:left="720" w:hanging="720"/>
        <w:rPr>
          <w:rFonts w:ascii="Times New Roman" w:hAnsi="Times New Roman"/>
          <w:bCs/>
          <w:color w:val="auto"/>
          <w:sz w:val="24"/>
        </w:rPr>
      </w:pPr>
      <w:r>
        <w:rPr>
          <w:rFonts w:ascii="Times New Roman" w:hAnsi="Times New Roman"/>
          <w:bCs/>
          <w:noProof/>
          <w:color w:val="auto"/>
          <w:sz w:val="24"/>
          <w:lang w:val="en-US"/>
        </w:rPr>
        <mc:AlternateContent>
          <mc:Choice Requires="wps">
            <w:drawing>
              <wp:anchor distT="0" distB="0" distL="114300" distR="114300" simplePos="0" relativeHeight="251656704" behindDoc="0" locked="0" layoutInCell="1" allowOverlap="1">
                <wp:simplePos x="0" y="0"/>
                <wp:positionH relativeFrom="column">
                  <wp:posOffset>216535</wp:posOffset>
                </wp:positionH>
                <wp:positionV relativeFrom="paragraph">
                  <wp:posOffset>62865</wp:posOffset>
                </wp:positionV>
                <wp:extent cx="6172200" cy="291465"/>
                <wp:effectExtent l="6985" t="5715" r="12065" b="76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44659C" w:rsidRPr="001613F4" w:rsidRDefault="0044659C" w:rsidP="00C3581A">
                            <w:pPr>
                              <w:ind w:left="270" w:hanging="270"/>
                              <w:rPr>
                                <w:b/>
                              </w:rPr>
                            </w:pPr>
                            <w:smartTag w:uri="urn:schemas-microsoft-com:office:smarttags" w:element="stockticker">
                              <w:r>
                                <w:rPr>
                                  <w:b/>
                                </w:rPr>
                                <w:t>III</w:t>
                              </w:r>
                            </w:smartTag>
                            <w:r>
                              <w:rPr>
                                <w:b/>
                              </w:rPr>
                              <w:t>. EVALUATION &amp; LESSONS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05pt;margin-top:4.95pt;width:486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" fillcolor="#f2f2f2" strokecolor="#d8d8d8">
                <v:textbox>
                  <w:txbxContent>
                    <w:p w:rsidR="0044659C" w:rsidRPr="001613F4" w:rsidRDefault="0044659C" w:rsidP="00C3581A">
                      <w:pPr>
                        <w:ind w:left="270" w:hanging="270"/>
                        <w:rPr>
                          <w:b/>
                        </w:rPr>
                      </w:pPr>
                      <w:smartTag w:uri="urn:schemas-microsoft-com:office:smarttags" w:element="stockticker">
                        <w:r>
                          <w:rPr>
                            <w:b/>
                          </w:rPr>
                          <w:t>III</w:t>
                        </w:r>
                      </w:smartTag>
                      <w:r>
                        <w:rPr>
                          <w:b/>
                        </w:rPr>
                        <w:t>. EVALUATION &amp; LESSONS LEARNED</w:t>
                      </w:r>
                    </w:p>
                  </w:txbxContent>
                </v:textbox>
              </v:shape>
            </w:pict>
          </mc:Fallback>
        </mc:AlternateContent>
      </w:r>
    </w:p>
    <w:p w:rsidR="00762EF0" w:rsidRPr="00A41AD9" w:rsidRDefault="00762EF0" w:rsidP="00762EF0">
      <w:pPr>
        <w:pStyle w:val="BodyText"/>
        <w:spacing w:before="120" w:after="0"/>
        <w:ind w:left="360"/>
        <w:rPr>
          <w:rFonts w:ascii="Times New Roman" w:hAnsi="Times New Roman"/>
          <w:color w:val="auto"/>
          <w:sz w:val="24"/>
        </w:rPr>
      </w:pPr>
    </w:p>
    <w:p w:rsidR="00363996" w:rsidRPr="00A41AD9" w:rsidRDefault="00363996" w:rsidP="00363996">
      <w:pPr>
        <w:pStyle w:val="BodyText"/>
        <w:spacing w:before="120" w:after="0"/>
        <w:rPr>
          <w:rFonts w:ascii="Times New Roman" w:hAnsi="Times New Roman"/>
          <w:color w:val="auto"/>
          <w:sz w:val="24"/>
        </w:rPr>
      </w:pPr>
    </w:p>
    <w:p w:rsidR="00363996" w:rsidRPr="00A41AD9" w:rsidRDefault="00363996" w:rsidP="00363996">
      <w:pPr>
        <w:numPr>
          <w:ilvl w:val="12"/>
          <w:numId w:val="0"/>
        </w:numPr>
        <w:tabs>
          <w:tab w:val="left" w:pos="-720"/>
          <w:tab w:val="left" w:pos="4500"/>
        </w:tabs>
        <w:suppressAutoHyphens/>
        <w:jc w:val="both"/>
        <w:rPr>
          <w:spacing w:val="-3"/>
        </w:rPr>
      </w:pPr>
      <w:r w:rsidRPr="00A41AD9">
        <w:rPr>
          <w:spacing w:val="-3"/>
        </w:rPr>
        <w:t>The good practices adopted by UNHCR in financial management of the project included;</w:t>
      </w:r>
    </w:p>
    <w:p w:rsidR="00363996" w:rsidRPr="00A41AD9" w:rsidRDefault="00363996" w:rsidP="00363996">
      <w:pPr>
        <w:numPr>
          <w:ilvl w:val="12"/>
          <w:numId w:val="0"/>
        </w:numPr>
        <w:tabs>
          <w:tab w:val="left" w:pos="-720"/>
          <w:tab w:val="left" w:pos="4500"/>
        </w:tabs>
        <w:suppressAutoHyphens/>
        <w:jc w:val="both"/>
        <w:rPr>
          <w:spacing w:val="-3"/>
        </w:rPr>
      </w:pPr>
    </w:p>
    <w:p w:rsidR="00363996" w:rsidRPr="00A41AD9" w:rsidRDefault="00363996" w:rsidP="00363996">
      <w:pPr>
        <w:numPr>
          <w:ilvl w:val="0"/>
          <w:numId w:val="36"/>
        </w:numPr>
        <w:tabs>
          <w:tab w:val="left" w:pos="-720"/>
          <w:tab w:val="left" w:pos="4500"/>
        </w:tabs>
        <w:suppressAutoHyphens/>
        <w:jc w:val="both"/>
        <w:rPr>
          <w:spacing w:val="-3"/>
        </w:rPr>
      </w:pPr>
      <w:r w:rsidRPr="00A41AD9">
        <w:rPr>
          <w:spacing w:val="-3"/>
        </w:rPr>
        <w:t>Routine monitoring of the project activities by UNHCR Sub Office Bossaso and field office Garowe. This ensur</w:t>
      </w:r>
      <w:r w:rsidR="00E8714B" w:rsidRPr="00A41AD9">
        <w:rPr>
          <w:spacing w:val="-3"/>
        </w:rPr>
        <w:t>ed</w:t>
      </w:r>
      <w:r w:rsidRPr="00A41AD9">
        <w:rPr>
          <w:spacing w:val="-3"/>
        </w:rPr>
        <w:t xml:space="preserve"> that all agreed activities were implemented according to the agreed work plans</w:t>
      </w:r>
    </w:p>
    <w:p w:rsidR="00363996" w:rsidRPr="00A41AD9" w:rsidRDefault="00363996" w:rsidP="00363996">
      <w:pPr>
        <w:tabs>
          <w:tab w:val="left" w:pos="-720"/>
          <w:tab w:val="left" w:pos="4500"/>
        </w:tabs>
        <w:suppressAutoHyphens/>
        <w:ind w:left="360"/>
        <w:jc w:val="both"/>
        <w:rPr>
          <w:spacing w:val="-3"/>
        </w:rPr>
      </w:pPr>
    </w:p>
    <w:p w:rsidR="00363996" w:rsidRPr="00A41AD9" w:rsidRDefault="00363996" w:rsidP="00363996">
      <w:pPr>
        <w:numPr>
          <w:ilvl w:val="0"/>
          <w:numId w:val="36"/>
        </w:numPr>
        <w:tabs>
          <w:tab w:val="left" w:pos="-720"/>
          <w:tab w:val="left" w:pos="4500"/>
        </w:tabs>
        <w:suppressAutoHyphens/>
        <w:jc w:val="both"/>
        <w:rPr>
          <w:spacing w:val="-3"/>
        </w:rPr>
      </w:pPr>
      <w:r w:rsidRPr="00A41AD9">
        <w:rPr>
          <w:spacing w:val="-3"/>
        </w:rPr>
        <w:t xml:space="preserve">Regular activity planning meetings between UNHCR, Ministry of Interior and Ministry of Security, ensuring smooth and consistent follow up of agreed specific activities </w:t>
      </w:r>
    </w:p>
    <w:p w:rsidR="00363996" w:rsidRPr="00A41AD9" w:rsidRDefault="00363996" w:rsidP="00363996">
      <w:pPr>
        <w:tabs>
          <w:tab w:val="left" w:pos="-720"/>
          <w:tab w:val="left" w:pos="4500"/>
        </w:tabs>
        <w:suppressAutoHyphens/>
        <w:ind w:left="360"/>
        <w:jc w:val="both"/>
        <w:rPr>
          <w:spacing w:val="-3"/>
        </w:rPr>
      </w:pPr>
    </w:p>
    <w:p w:rsidR="00363996" w:rsidRPr="00A41AD9" w:rsidRDefault="00363996" w:rsidP="00363996">
      <w:pPr>
        <w:numPr>
          <w:ilvl w:val="0"/>
          <w:numId w:val="36"/>
        </w:numPr>
        <w:tabs>
          <w:tab w:val="left" w:pos="-720"/>
          <w:tab w:val="left" w:pos="4500"/>
        </w:tabs>
        <w:suppressAutoHyphens/>
        <w:jc w:val="both"/>
        <w:rPr>
          <w:spacing w:val="-3"/>
        </w:rPr>
      </w:pPr>
      <w:r w:rsidRPr="00A41AD9">
        <w:rPr>
          <w:spacing w:val="-3"/>
        </w:rPr>
        <w:t>Verification of implementing partner financial monitoring reports (IPFMRs) prior to disbursement of funds to implementing partners. This ensures that there is value for money for any particular procurement or service provided</w:t>
      </w:r>
    </w:p>
    <w:p w:rsidR="00363996" w:rsidRPr="00A41AD9" w:rsidRDefault="00363996" w:rsidP="00363996">
      <w:pPr>
        <w:tabs>
          <w:tab w:val="left" w:pos="-720"/>
          <w:tab w:val="left" w:pos="4500"/>
        </w:tabs>
        <w:suppressAutoHyphens/>
        <w:ind w:left="360"/>
        <w:jc w:val="both"/>
        <w:rPr>
          <w:spacing w:val="-3"/>
        </w:rPr>
      </w:pPr>
    </w:p>
    <w:p w:rsidR="00363996" w:rsidRPr="00A41AD9" w:rsidRDefault="00363996" w:rsidP="00363996">
      <w:pPr>
        <w:numPr>
          <w:ilvl w:val="0"/>
          <w:numId w:val="36"/>
        </w:numPr>
        <w:tabs>
          <w:tab w:val="left" w:pos="-720"/>
          <w:tab w:val="left" w:pos="4500"/>
        </w:tabs>
        <w:suppressAutoHyphens/>
        <w:jc w:val="both"/>
        <w:rPr>
          <w:spacing w:val="-3"/>
        </w:rPr>
      </w:pPr>
      <w:r w:rsidRPr="00A41AD9">
        <w:rPr>
          <w:spacing w:val="-3"/>
        </w:rPr>
        <w:t xml:space="preserve">UNHCR direct implementation for some activities in which the implementing partners had no comparative advantage, and also for particularly large procurement. This practice was not only cost saving but also ensured safety of operational resources </w:t>
      </w:r>
    </w:p>
    <w:p w:rsidR="00363996" w:rsidRPr="00A41AD9" w:rsidRDefault="00363996" w:rsidP="00363996">
      <w:pPr>
        <w:tabs>
          <w:tab w:val="left" w:pos="-720"/>
          <w:tab w:val="left" w:pos="4500"/>
        </w:tabs>
        <w:suppressAutoHyphens/>
        <w:jc w:val="both"/>
        <w:rPr>
          <w:spacing w:val="-3"/>
        </w:rPr>
      </w:pPr>
    </w:p>
    <w:p w:rsidR="00363996" w:rsidRPr="00A41AD9" w:rsidRDefault="00363996" w:rsidP="00363996">
      <w:pPr>
        <w:tabs>
          <w:tab w:val="left" w:pos="-720"/>
          <w:tab w:val="left" w:pos="4500"/>
        </w:tabs>
        <w:suppressAutoHyphens/>
        <w:jc w:val="both"/>
        <w:rPr>
          <w:b/>
          <w:spacing w:val="-3"/>
        </w:rPr>
      </w:pPr>
      <w:r w:rsidRPr="00A41AD9">
        <w:rPr>
          <w:b/>
          <w:spacing w:val="-3"/>
        </w:rPr>
        <w:t xml:space="preserve">Challenges </w:t>
      </w:r>
    </w:p>
    <w:p w:rsidR="00363996" w:rsidRPr="00A41AD9" w:rsidRDefault="00363996" w:rsidP="00363996">
      <w:pPr>
        <w:tabs>
          <w:tab w:val="left" w:pos="-720"/>
          <w:tab w:val="left" w:pos="4500"/>
        </w:tabs>
        <w:suppressAutoHyphens/>
        <w:jc w:val="both"/>
        <w:rPr>
          <w:spacing w:val="-3"/>
        </w:rPr>
      </w:pPr>
    </w:p>
    <w:p w:rsidR="00363996" w:rsidRPr="00A41AD9" w:rsidRDefault="00363996" w:rsidP="00363996">
      <w:pPr>
        <w:numPr>
          <w:ilvl w:val="0"/>
          <w:numId w:val="36"/>
        </w:numPr>
        <w:tabs>
          <w:tab w:val="left" w:pos="-720"/>
          <w:tab w:val="left" w:pos="4500"/>
        </w:tabs>
        <w:suppressAutoHyphens/>
        <w:jc w:val="both"/>
        <w:rPr>
          <w:spacing w:val="-3"/>
        </w:rPr>
      </w:pPr>
      <w:r w:rsidRPr="00A41AD9">
        <w:rPr>
          <w:spacing w:val="-3"/>
        </w:rPr>
        <w:t>Lack of a dedicated engineer to supervise the physical work delayed commencement of refurbishment of police stations. A consulting engineer was identified by UNHCR to ensure technical supervision over the work of the contractors.</w:t>
      </w:r>
    </w:p>
    <w:p w:rsidR="00363996" w:rsidRPr="00A41AD9" w:rsidRDefault="00363996" w:rsidP="00363996">
      <w:pPr>
        <w:tabs>
          <w:tab w:val="left" w:pos="-720"/>
          <w:tab w:val="left" w:pos="4500"/>
        </w:tabs>
        <w:suppressAutoHyphens/>
        <w:jc w:val="both"/>
        <w:rPr>
          <w:spacing w:val="-3"/>
        </w:rPr>
      </w:pPr>
    </w:p>
    <w:p w:rsidR="00363996" w:rsidRPr="00A41AD9" w:rsidRDefault="00363996" w:rsidP="00363996">
      <w:pPr>
        <w:numPr>
          <w:ilvl w:val="0"/>
          <w:numId w:val="36"/>
        </w:numPr>
        <w:tabs>
          <w:tab w:val="left" w:pos="-720"/>
          <w:tab w:val="left" w:pos="4500"/>
        </w:tabs>
        <w:suppressAutoHyphens/>
        <w:jc w:val="both"/>
        <w:rPr>
          <w:spacing w:val="-3"/>
        </w:rPr>
      </w:pPr>
      <w:r w:rsidRPr="00A41AD9">
        <w:rPr>
          <w:spacing w:val="-3"/>
        </w:rPr>
        <w:t>Lack of professionally reliable contractors for refurbishment</w:t>
      </w:r>
    </w:p>
    <w:p w:rsidR="00363996" w:rsidRPr="00A41AD9" w:rsidRDefault="00363996" w:rsidP="00363996">
      <w:pPr>
        <w:tabs>
          <w:tab w:val="left" w:pos="-720"/>
          <w:tab w:val="left" w:pos="4500"/>
        </w:tabs>
        <w:suppressAutoHyphens/>
        <w:jc w:val="both"/>
        <w:rPr>
          <w:spacing w:val="-3"/>
        </w:rPr>
      </w:pPr>
    </w:p>
    <w:p w:rsidR="00363996" w:rsidRPr="00A41AD9" w:rsidRDefault="00363996" w:rsidP="00363996">
      <w:pPr>
        <w:numPr>
          <w:ilvl w:val="0"/>
          <w:numId w:val="36"/>
        </w:numPr>
        <w:tabs>
          <w:tab w:val="left" w:pos="-720"/>
          <w:tab w:val="left" w:pos="4500"/>
        </w:tabs>
        <w:suppressAutoHyphens/>
        <w:jc w:val="both"/>
        <w:rPr>
          <w:spacing w:val="-3"/>
        </w:rPr>
      </w:pPr>
      <w:r w:rsidRPr="00A41AD9">
        <w:rPr>
          <w:spacing w:val="-3"/>
        </w:rPr>
        <w:t xml:space="preserve">Lack of internal coherence within the Puntland government with regard to resource allocation and priorities, resulting in different parties approaching UNHCR, believing that they would be included in the project. </w:t>
      </w:r>
    </w:p>
    <w:p w:rsidR="00363996" w:rsidRPr="00A41AD9" w:rsidRDefault="00363996" w:rsidP="00363996">
      <w:pPr>
        <w:pStyle w:val="BodyText"/>
        <w:spacing w:before="120" w:after="0"/>
        <w:rPr>
          <w:rFonts w:ascii="Times New Roman" w:hAnsi="Times New Roman"/>
          <w:color w:val="auto"/>
          <w:sz w:val="24"/>
          <w:lang w:val="en-US"/>
        </w:rPr>
      </w:pPr>
    </w:p>
    <w:p w:rsidR="00363996" w:rsidRPr="00A41AD9" w:rsidRDefault="00363996" w:rsidP="00363996">
      <w:pPr>
        <w:pStyle w:val="BodyText"/>
        <w:spacing w:before="120" w:after="0"/>
        <w:ind w:left="360"/>
        <w:rPr>
          <w:rFonts w:ascii="Times New Roman" w:hAnsi="Times New Roman"/>
          <w:color w:val="auto"/>
          <w:sz w:val="24"/>
        </w:rPr>
      </w:pPr>
    </w:p>
    <w:p w:rsidR="00EF7C19" w:rsidRPr="00A41AD9" w:rsidRDefault="00EF7C19" w:rsidP="00587BB4">
      <w:pPr>
        <w:pStyle w:val="BodyText"/>
        <w:spacing w:before="120" w:after="0"/>
        <w:ind w:left="720"/>
        <w:rPr>
          <w:rFonts w:ascii="Times New Roman" w:hAnsi="Times New Roman"/>
          <w:color w:val="auto"/>
          <w:sz w:val="24"/>
        </w:rPr>
        <w:sectPr w:rsidR="00EF7C19" w:rsidRPr="00A41AD9" w:rsidSect="001D1C88">
          <w:footerReference w:type="even" r:id="rId10"/>
          <w:footerReference w:type="default" r:id="rId11"/>
          <w:pgSz w:w="11907" w:h="16839" w:code="9"/>
          <w:pgMar w:top="547" w:right="1267" w:bottom="547" w:left="806" w:header="720" w:footer="187" w:gutter="0"/>
          <w:cols w:space="720"/>
          <w:docGrid w:linePitch="360"/>
        </w:sectPr>
      </w:pPr>
    </w:p>
    <w:p w:rsidR="00F3492E" w:rsidRPr="00A41AD9" w:rsidRDefault="00A41AD9" w:rsidP="00F3492E">
      <w:pPr>
        <w:rPr>
          <w:b/>
        </w:rPr>
      </w:pPr>
      <w:r>
        <w:rPr>
          <w:b/>
          <w:noProof/>
        </w:rPr>
        <w:lastRenderedPageBreak/>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165735</wp:posOffset>
                </wp:positionV>
                <wp:extent cx="6172200" cy="291465"/>
                <wp:effectExtent l="9525" t="1333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44659C" w:rsidRPr="001613F4" w:rsidRDefault="0044659C" w:rsidP="00762EF0">
                            <w:pPr>
                              <w:ind w:left="360"/>
                              <w:rPr>
                                <w:b/>
                              </w:rPr>
                            </w:pPr>
                            <w:r>
                              <w:rPr>
                                <w:b/>
                              </w:rPr>
                              <w:t>IV.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2pt;margin-top:13.05pt;width:486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" fillcolor="#f2f2f2" strokecolor="#d8d8d8">
                <v:textbox>
                  <w:txbxContent>
                    <w:p w:rsidR="0044659C" w:rsidRPr="001613F4" w:rsidRDefault="0044659C" w:rsidP="00762EF0">
                      <w:pPr>
                        <w:ind w:left="360"/>
                        <w:rPr>
                          <w:b/>
                        </w:rPr>
                      </w:pPr>
                      <w:r>
                        <w:rPr>
                          <w:b/>
                        </w:rPr>
                        <w:t>IV. INDICATOR BASED PERFORMANCE ASSESSMENT</w:t>
                      </w:r>
                    </w:p>
                  </w:txbxContent>
                </v:textbox>
              </v:shape>
            </w:pict>
          </mc:Fallback>
        </mc:AlternateContent>
      </w:r>
    </w:p>
    <w:p w:rsidR="00F3492E" w:rsidRPr="00A41AD9" w:rsidRDefault="002A0C41" w:rsidP="00F3492E">
      <w:pPr>
        <w:rPr>
          <w:b/>
        </w:rPr>
      </w:pPr>
      <w:r w:rsidRPr="00A41AD9">
        <w:rPr>
          <w:b/>
        </w:rPr>
        <w:t xml:space="preserve">              </w:t>
      </w:r>
    </w:p>
    <w:p w:rsidR="00F3492E" w:rsidRPr="00A41AD9" w:rsidRDefault="00F3492E" w:rsidP="00F3492E">
      <w:pPr>
        <w:rPr>
          <w:b/>
        </w:rPr>
      </w:pPr>
    </w:p>
    <w:tbl>
      <w:tblPr>
        <w:tblW w:w="14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2090"/>
        <w:gridCol w:w="2126"/>
        <w:gridCol w:w="1784"/>
        <w:gridCol w:w="1816"/>
        <w:gridCol w:w="1445"/>
        <w:gridCol w:w="59"/>
        <w:gridCol w:w="1694"/>
        <w:gridCol w:w="1429"/>
      </w:tblGrid>
      <w:tr w:rsidR="004219F3" w:rsidRPr="00A41AD9">
        <w:tc>
          <w:tcPr>
            <w:tcW w:w="2073" w:type="dxa"/>
          </w:tcPr>
          <w:p w:rsidR="003751F1" w:rsidRPr="00A41AD9" w:rsidRDefault="003751F1" w:rsidP="00BE26DB">
            <w:pPr>
              <w:jc w:val="center"/>
            </w:pPr>
          </w:p>
        </w:tc>
        <w:tc>
          <w:tcPr>
            <w:tcW w:w="2207" w:type="dxa"/>
          </w:tcPr>
          <w:p w:rsidR="003751F1" w:rsidRPr="00A41AD9" w:rsidRDefault="003751F1" w:rsidP="00BE26DB">
            <w:pPr>
              <w:jc w:val="center"/>
              <w:rPr>
                <w:b/>
              </w:rPr>
            </w:pPr>
            <w:r w:rsidRPr="00A41AD9">
              <w:rPr>
                <w:b/>
              </w:rPr>
              <w:t>Performance Indicators</w:t>
            </w:r>
          </w:p>
        </w:tc>
        <w:tc>
          <w:tcPr>
            <w:tcW w:w="2251" w:type="dxa"/>
          </w:tcPr>
          <w:p w:rsidR="003751F1" w:rsidRPr="00A41AD9" w:rsidRDefault="003751F1" w:rsidP="00BE26DB">
            <w:pPr>
              <w:jc w:val="center"/>
              <w:rPr>
                <w:b/>
              </w:rPr>
            </w:pPr>
            <w:r w:rsidRPr="00A41AD9">
              <w:rPr>
                <w:b/>
              </w:rPr>
              <w:t>Indicator Baselines</w:t>
            </w:r>
          </w:p>
        </w:tc>
        <w:tc>
          <w:tcPr>
            <w:tcW w:w="1555" w:type="dxa"/>
          </w:tcPr>
          <w:p w:rsidR="003751F1" w:rsidRPr="00A41AD9" w:rsidRDefault="003751F1" w:rsidP="00BE26DB">
            <w:pPr>
              <w:jc w:val="center"/>
              <w:rPr>
                <w:b/>
              </w:rPr>
            </w:pPr>
            <w:r w:rsidRPr="00A41AD9">
              <w:rPr>
                <w:b/>
              </w:rPr>
              <w:t>Planned Indicator Targets</w:t>
            </w:r>
          </w:p>
        </w:tc>
        <w:tc>
          <w:tcPr>
            <w:tcW w:w="1557" w:type="dxa"/>
          </w:tcPr>
          <w:p w:rsidR="003751F1" w:rsidRPr="00A41AD9" w:rsidRDefault="003751F1" w:rsidP="00BE26DB">
            <w:pPr>
              <w:jc w:val="center"/>
              <w:rPr>
                <w:b/>
              </w:rPr>
            </w:pPr>
            <w:r w:rsidRPr="00A41AD9">
              <w:rPr>
                <w:b/>
              </w:rPr>
              <w:t>Achieved Indicator Targets</w:t>
            </w:r>
          </w:p>
        </w:tc>
        <w:tc>
          <w:tcPr>
            <w:tcW w:w="1545" w:type="dxa"/>
          </w:tcPr>
          <w:p w:rsidR="003751F1" w:rsidRPr="00A41AD9" w:rsidRDefault="003751F1" w:rsidP="00BE26DB">
            <w:pPr>
              <w:jc w:val="center"/>
              <w:rPr>
                <w:b/>
              </w:rPr>
            </w:pPr>
            <w:r w:rsidRPr="00A41AD9">
              <w:rPr>
                <w:b/>
              </w:rPr>
              <w:t>Reasons for Variance</w:t>
            </w:r>
          </w:p>
          <w:p w:rsidR="003751F1" w:rsidRPr="00A41AD9" w:rsidRDefault="003751F1" w:rsidP="00BE26DB">
            <w:pPr>
              <w:jc w:val="center"/>
              <w:rPr>
                <w:b/>
              </w:rPr>
            </w:pPr>
            <w:r w:rsidRPr="00A41AD9">
              <w:rPr>
                <w:b/>
              </w:rPr>
              <w:t>(if any)</w:t>
            </w:r>
          </w:p>
        </w:tc>
        <w:tc>
          <w:tcPr>
            <w:tcW w:w="1783" w:type="dxa"/>
            <w:gridSpan w:val="2"/>
          </w:tcPr>
          <w:p w:rsidR="003751F1" w:rsidRPr="00A41AD9" w:rsidRDefault="003751F1" w:rsidP="00BE26DB">
            <w:pPr>
              <w:jc w:val="center"/>
              <w:rPr>
                <w:b/>
              </w:rPr>
            </w:pPr>
            <w:r w:rsidRPr="00A41AD9">
              <w:rPr>
                <w:b/>
              </w:rPr>
              <w:t>Source of Verification</w:t>
            </w:r>
          </w:p>
        </w:tc>
        <w:tc>
          <w:tcPr>
            <w:tcW w:w="1469" w:type="dxa"/>
          </w:tcPr>
          <w:p w:rsidR="003751F1" w:rsidRPr="00A41AD9" w:rsidRDefault="003751F1" w:rsidP="00BE26DB">
            <w:pPr>
              <w:jc w:val="center"/>
              <w:rPr>
                <w:b/>
              </w:rPr>
            </w:pPr>
            <w:r w:rsidRPr="00A41AD9">
              <w:rPr>
                <w:b/>
              </w:rPr>
              <w:t xml:space="preserve">Comments </w:t>
            </w:r>
          </w:p>
          <w:p w:rsidR="003751F1" w:rsidRPr="00A41AD9" w:rsidRDefault="003751F1" w:rsidP="00BE26DB">
            <w:pPr>
              <w:jc w:val="center"/>
              <w:rPr>
                <w:b/>
              </w:rPr>
            </w:pPr>
            <w:r w:rsidRPr="00A41AD9">
              <w:rPr>
                <w:b/>
              </w:rPr>
              <w:t>(if any)</w:t>
            </w:r>
          </w:p>
        </w:tc>
      </w:tr>
      <w:tr w:rsidR="003751F1" w:rsidRPr="00A41AD9">
        <w:tc>
          <w:tcPr>
            <w:tcW w:w="14440" w:type="dxa"/>
            <w:gridSpan w:val="9"/>
          </w:tcPr>
          <w:p w:rsidR="003751F1" w:rsidRPr="00A41AD9" w:rsidRDefault="003751F1" w:rsidP="00BE26DB">
            <w:pPr>
              <w:tabs>
                <w:tab w:val="left" w:pos="-720"/>
                <w:tab w:val="left" w:pos="4500"/>
              </w:tabs>
              <w:suppressAutoHyphens/>
              <w:rPr>
                <w:spacing w:val="-2"/>
              </w:rPr>
            </w:pPr>
            <w:r w:rsidRPr="00A41AD9">
              <w:rPr>
                <w:b/>
              </w:rPr>
              <w:t xml:space="preserve">Outcome 1: </w:t>
            </w:r>
            <w:r w:rsidRPr="00A41AD9">
              <w:rPr>
                <w:spacing w:val="-2"/>
              </w:rPr>
              <w:t>Exercising of fundamental human rights by general population improved to redress enduring practices of political and economic exclusion, through support to institutional human rights (HR) mechanisms, safeguard and oversight arrangements for the promotion of fundamental human rights</w:t>
            </w:r>
          </w:p>
          <w:p w:rsidR="003751F1" w:rsidRPr="00A41AD9" w:rsidRDefault="003751F1" w:rsidP="00BE26DB">
            <w:pPr>
              <w:rPr>
                <w:b/>
              </w:rPr>
            </w:pPr>
          </w:p>
          <w:p w:rsidR="003751F1" w:rsidRPr="00A41AD9" w:rsidRDefault="003751F1" w:rsidP="00BE26DB"/>
        </w:tc>
      </w:tr>
      <w:tr w:rsidR="004219F3" w:rsidRPr="00A41AD9">
        <w:trPr>
          <w:trHeight w:val="548"/>
        </w:trPr>
        <w:tc>
          <w:tcPr>
            <w:tcW w:w="2073" w:type="dxa"/>
            <w:vMerge w:val="restart"/>
          </w:tcPr>
          <w:p w:rsidR="003751F1" w:rsidRPr="00A41AD9" w:rsidRDefault="003751F1" w:rsidP="00BE26DB">
            <w:pPr>
              <w:rPr>
                <w:b/>
              </w:rPr>
            </w:pPr>
            <w:r w:rsidRPr="00A41AD9">
              <w:rPr>
                <w:b/>
              </w:rPr>
              <w:t>Output 1.1</w:t>
            </w:r>
          </w:p>
          <w:p w:rsidR="003751F1" w:rsidRPr="00A41AD9" w:rsidRDefault="003751F1" w:rsidP="00BE26DB">
            <w:pPr>
              <w:tabs>
                <w:tab w:val="left" w:pos="-720"/>
                <w:tab w:val="left" w:pos="4500"/>
              </w:tabs>
              <w:suppressAutoHyphens/>
              <w:spacing w:after="54"/>
              <w:rPr>
                <w:spacing w:val="-2"/>
              </w:rPr>
            </w:pPr>
            <w:r w:rsidRPr="00A41AD9">
              <w:rPr>
                <w:spacing w:val="-2"/>
              </w:rPr>
              <w:t xml:space="preserve">3 police stations refurbished in the areas of IDP/refugee concentration, and provided with basic office equipment (furniture and stationery) </w:t>
            </w:r>
          </w:p>
          <w:p w:rsidR="003751F1" w:rsidRPr="00A41AD9" w:rsidRDefault="003751F1" w:rsidP="00BE26DB"/>
        </w:tc>
        <w:tc>
          <w:tcPr>
            <w:tcW w:w="2207" w:type="dxa"/>
          </w:tcPr>
          <w:p w:rsidR="003751F1" w:rsidRPr="00A41AD9" w:rsidRDefault="003751F1" w:rsidP="00BE26DB">
            <w:pPr>
              <w:jc w:val="both"/>
              <w:rPr>
                <w:b/>
                <w:u w:val="single"/>
              </w:rPr>
            </w:pPr>
            <w:r w:rsidRPr="00A41AD9">
              <w:rPr>
                <w:b/>
                <w:u w:val="single"/>
              </w:rPr>
              <w:t>Indicator 1.1.1</w:t>
            </w:r>
          </w:p>
          <w:p w:rsidR="003751F1" w:rsidRPr="00A41AD9" w:rsidRDefault="003751F1" w:rsidP="00BE26DB">
            <w:pPr>
              <w:jc w:val="both"/>
            </w:pPr>
            <w:r w:rsidRPr="00A41AD9">
              <w:t xml:space="preserve">Police stations are rehabilitated and provide a conducive working environment to police officers </w:t>
            </w:r>
          </w:p>
          <w:p w:rsidR="003751F1" w:rsidRPr="00A41AD9" w:rsidRDefault="003751F1" w:rsidP="00BE26DB">
            <w:pPr>
              <w:jc w:val="both"/>
            </w:pPr>
          </w:p>
        </w:tc>
        <w:tc>
          <w:tcPr>
            <w:tcW w:w="2251" w:type="dxa"/>
          </w:tcPr>
          <w:p w:rsidR="003751F1" w:rsidRPr="00A41AD9" w:rsidRDefault="003751F1" w:rsidP="00BE26DB"/>
          <w:p w:rsidR="003751F1" w:rsidRPr="00A41AD9" w:rsidRDefault="003751F1" w:rsidP="00BE26DB">
            <w:r w:rsidRPr="00A41AD9">
              <w:t xml:space="preserve">The police stations are in a very sorry state, with collapsing structures and lacking in basic facilities </w:t>
            </w:r>
          </w:p>
        </w:tc>
        <w:tc>
          <w:tcPr>
            <w:tcW w:w="1555" w:type="dxa"/>
          </w:tcPr>
          <w:p w:rsidR="003751F1" w:rsidRPr="00A41AD9" w:rsidRDefault="003751F1" w:rsidP="00BE26DB">
            <w:pPr>
              <w:tabs>
                <w:tab w:val="left" w:pos="-720"/>
                <w:tab w:val="left" w:pos="4500"/>
              </w:tabs>
              <w:suppressAutoHyphens/>
              <w:spacing w:after="54"/>
            </w:pPr>
          </w:p>
          <w:p w:rsidR="003751F1" w:rsidRPr="00A41AD9" w:rsidRDefault="003751F1" w:rsidP="00BE26DB">
            <w:pPr>
              <w:tabs>
                <w:tab w:val="left" w:pos="-720"/>
                <w:tab w:val="left" w:pos="4500"/>
              </w:tabs>
              <w:suppressAutoHyphens/>
              <w:spacing w:after="54"/>
            </w:pPr>
            <w:r w:rsidRPr="00A41AD9">
              <w:t xml:space="preserve">Three (03) police stations are rehabilitated and provided with basic facilities </w:t>
            </w:r>
          </w:p>
        </w:tc>
        <w:tc>
          <w:tcPr>
            <w:tcW w:w="1557" w:type="dxa"/>
          </w:tcPr>
          <w:p w:rsidR="003751F1" w:rsidRPr="00A41AD9" w:rsidRDefault="003751F1" w:rsidP="00BE26DB"/>
          <w:p w:rsidR="003751F1" w:rsidRPr="00A41AD9" w:rsidRDefault="003751F1" w:rsidP="00BE26DB">
            <w:r w:rsidRPr="00A41AD9">
              <w:t xml:space="preserve">Three police stations are being rehabilitated and provided with basic facilities </w:t>
            </w:r>
          </w:p>
        </w:tc>
        <w:tc>
          <w:tcPr>
            <w:tcW w:w="1545" w:type="dxa"/>
          </w:tcPr>
          <w:p w:rsidR="003751F1" w:rsidRPr="00A41AD9" w:rsidRDefault="003751F1" w:rsidP="00BE26DB"/>
          <w:p w:rsidR="003751F1" w:rsidRPr="00A41AD9" w:rsidRDefault="003751F1" w:rsidP="00BE26DB">
            <w:r w:rsidRPr="00A41AD9">
              <w:t>Initially 05 police stations were identified but the other two were supported through other funding</w:t>
            </w:r>
          </w:p>
        </w:tc>
        <w:tc>
          <w:tcPr>
            <w:tcW w:w="1783" w:type="dxa"/>
            <w:gridSpan w:val="2"/>
          </w:tcPr>
          <w:p w:rsidR="003751F1" w:rsidRPr="00A41AD9" w:rsidRDefault="003751F1" w:rsidP="00BE26DB">
            <w:pPr>
              <w:numPr>
                <w:ilvl w:val="0"/>
                <w:numId w:val="36"/>
              </w:numPr>
            </w:pPr>
            <w:r w:rsidRPr="00A41AD9">
              <w:t>Field monitoring reports</w:t>
            </w:r>
          </w:p>
          <w:p w:rsidR="003751F1" w:rsidRPr="00A41AD9" w:rsidRDefault="003751F1" w:rsidP="00BE26DB">
            <w:pPr>
              <w:numPr>
                <w:ilvl w:val="0"/>
                <w:numId w:val="36"/>
              </w:numPr>
            </w:pPr>
            <w:r w:rsidRPr="00A41AD9">
              <w:t xml:space="preserve">Activity reports </w:t>
            </w:r>
          </w:p>
          <w:p w:rsidR="003751F1" w:rsidRPr="00A41AD9" w:rsidRDefault="003751F1" w:rsidP="00BE26DB">
            <w:pPr>
              <w:numPr>
                <w:ilvl w:val="0"/>
                <w:numId w:val="36"/>
              </w:numPr>
            </w:pPr>
            <w:r w:rsidRPr="00A41AD9">
              <w:t xml:space="preserve">Works contracts </w:t>
            </w:r>
          </w:p>
          <w:p w:rsidR="003751F1" w:rsidRPr="00A41AD9" w:rsidRDefault="003751F1" w:rsidP="00BE26DB">
            <w:pPr>
              <w:numPr>
                <w:ilvl w:val="0"/>
                <w:numId w:val="36"/>
              </w:numPr>
            </w:pPr>
            <w:r w:rsidRPr="00A41AD9">
              <w:rPr>
                <w:spacing w:val="-2"/>
              </w:rPr>
              <w:t>project progress reports and results frameworks</w:t>
            </w:r>
          </w:p>
        </w:tc>
        <w:tc>
          <w:tcPr>
            <w:tcW w:w="1469" w:type="dxa"/>
          </w:tcPr>
          <w:p w:rsidR="003751F1" w:rsidRPr="00A41AD9" w:rsidRDefault="003751F1" w:rsidP="00BE26DB">
            <w:r w:rsidRPr="00A41AD9">
              <w:t>Nil</w:t>
            </w:r>
          </w:p>
        </w:tc>
      </w:tr>
      <w:tr w:rsidR="004219F3" w:rsidRPr="00A41AD9">
        <w:trPr>
          <w:trHeight w:val="512"/>
        </w:trPr>
        <w:tc>
          <w:tcPr>
            <w:tcW w:w="2073" w:type="dxa"/>
            <w:vMerge/>
          </w:tcPr>
          <w:p w:rsidR="003751F1" w:rsidRPr="00A41AD9" w:rsidRDefault="003751F1" w:rsidP="00BE26DB"/>
        </w:tc>
        <w:tc>
          <w:tcPr>
            <w:tcW w:w="2207" w:type="dxa"/>
          </w:tcPr>
          <w:p w:rsidR="003751F1" w:rsidRPr="00A41AD9" w:rsidRDefault="003751F1" w:rsidP="00BE26DB">
            <w:pPr>
              <w:jc w:val="both"/>
              <w:rPr>
                <w:b/>
                <w:u w:val="single"/>
              </w:rPr>
            </w:pPr>
            <w:r w:rsidRPr="00A41AD9">
              <w:rPr>
                <w:b/>
                <w:u w:val="single"/>
              </w:rPr>
              <w:t>Indicator 1.1.2</w:t>
            </w:r>
          </w:p>
          <w:p w:rsidR="003751F1" w:rsidRPr="00A41AD9" w:rsidRDefault="003751F1" w:rsidP="00BE26DB">
            <w:pPr>
              <w:tabs>
                <w:tab w:val="left" w:pos="-720"/>
                <w:tab w:val="left" w:pos="4500"/>
              </w:tabs>
              <w:suppressAutoHyphens/>
              <w:spacing w:after="54"/>
              <w:rPr>
                <w:spacing w:val="-2"/>
              </w:rPr>
            </w:pPr>
            <w:r w:rsidRPr="00A41AD9">
              <w:rPr>
                <w:spacing w:val="-2"/>
              </w:rPr>
              <w:t>Sense of increased physical security amongst the population, especially IDPs, refugees and asylum-seekers</w:t>
            </w:r>
          </w:p>
          <w:p w:rsidR="003751F1" w:rsidRPr="00A41AD9" w:rsidRDefault="003751F1" w:rsidP="00BE26DB">
            <w:pPr>
              <w:tabs>
                <w:tab w:val="left" w:pos="-720"/>
                <w:tab w:val="left" w:pos="4500"/>
              </w:tabs>
              <w:suppressAutoHyphens/>
              <w:spacing w:after="54"/>
            </w:pPr>
          </w:p>
        </w:tc>
        <w:tc>
          <w:tcPr>
            <w:tcW w:w="2251" w:type="dxa"/>
          </w:tcPr>
          <w:p w:rsidR="003751F1" w:rsidRPr="00A41AD9" w:rsidRDefault="003751F1" w:rsidP="00BE26DB">
            <w:r w:rsidRPr="00A41AD9">
              <w:t xml:space="preserve">Police stations lack basic facilities to do their work, affecting their efficiency and effectiveness in providing security to the population </w:t>
            </w:r>
          </w:p>
        </w:tc>
        <w:tc>
          <w:tcPr>
            <w:tcW w:w="1555" w:type="dxa"/>
          </w:tcPr>
          <w:p w:rsidR="003751F1" w:rsidRPr="00A41AD9" w:rsidRDefault="003751F1" w:rsidP="00BE26DB">
            <w:pPr>
              <w:tabs>
                <w:tab w:val="left" w:pos="-720"/>
                <w:tab w:val="left" w:pos="4500"/>
              </w:tabs>
              <w:suppressAutoHyphens/>
              <w:spacing w:after="54"/>
            </w:pPr>
            <w:r w:rsidRPr="00A41AD9">
              <w:t xml:space="preserve">Police stations are provided with basic facilities (furniture, stationery etc) to better do their work and to assure the population of their protection </w:t>
            </w:r>
          </w:p>
        </w:tc>
        <w:tc>
          <w:tcPr>
            <w:tcW w:w="1557" w:type="dxa"/>
          </w:tcPr>
          <w:p w:rsidR="003751F1" w:rsidRPr="00A41AD9" w:rsidRDefault="003751F1" w:rsidP="00BE26DB">
            <w:r w:rsidRPr="00A41AD9">
              <w:t xml:space="preserve">Three (03) police stations are refurbished and provided with basic facilities to enhance efficiency and effectiveness of the police officers </w:t>
            </w:r>
          </w:p>
        </w:tc>
        <w:tc>
          <w:tcPr>
            <w:tcW w:w="1545" w:type="dxa"/>
          </w:tcPr>
          <w:p w:rsidR="003751F1" w:rsidRPr="00A41AD9" w:rsidRDefault="003751F1" w:rsidP="00BE26DB">
            <w:r w:rsidRPr="00A41AD9">
              <w:t xml:space="preserve">Initially 05 police stations were identified but the other two were supported through other funding </w:t>
            </w:r>
          </w:p>
        </w:tc>
        <w:tc>
          <w:tcPr>
            <w:tcW w:w="1783" w:type="dxa"/>
            <w:gridSpan w:val="2"/>
          </w:tcPr>
          <w:p w:rsidR="003751F1" w:rsidRPr="00A41AD9" w:rsidRDefault="003751F1" w:rsidP="00BE26DB">
            <w:pPr>
              <w:numPr>
                <w:ilvl w:val="0"/>
                <w:numId w:val="36"/>
              </w:numPr>
            </w:pPr>
            <w:r w:rsidRPr="00A41AD9">
              <w:t>Field monitoring reports</w:t>
            </w:r>
          </w:p>
          <w:p w:rsidR="003751F1" w:rsidRPr="00A41AD9" w:rsidRDefault="003751F1" w:rsidP="00BE26DB">
            <w:pPr>
              <w:numPr>
                <w:ilvl w:val="0"/>
                <w:numId w:val="36"/>
              </w:numPr>
            </w:pPr>
            <w:r w:rsidRPr="00A41AD9">
              <w:t xml:space="preserve">Activity reports </w:t>
            </w:r>
          </w:p>
          <w:p w:rsidR="003751F1" w:rsidRPr="00A41AD9" w:rsidRDefault="003751F1" w:rsidP="00BE26DB">
            <w:pPr>
              <w:numPr>
                <w:ilvl w:val="0"/>
                <w:numId w:val="36"/>
              </w:numPr>
            </w:pPr>
            <w:r w:rsidRPr="00A41AD9">
              <w:rPr>
                <w:spacing w:val="-2"/>
              </w:rPr>
              <w:t>project progress reports and results frameworks</w:t>
            </w:r>
          </w:p>
        </w:tc>
        <w:tc>
          <w:tcPr>
            <w:tcW w:w="1469" w:type="dxa"/>
          </w:tcPr>
          <w:p w:rsidR="003751F1" w:rsidRPr="00A41AD9" w:rsidRDefault="003751F1" w:rsidP="00BE26DB">
            <w:r w:rsidRPr="00A41AD9">
              <w:t xml:space="preserve">Nil </w:t>
            </w:r>
          </w:p>
        </w:tc>
      </w:tr>
      <w:tr w:rsidR="004219F3" w:rsidRPr="00A41AD9">
        <w:trPr>
          <w:trHeight w:val="512"/>
        </w:trPr>
        <w:tc>
          <w:tcPr>
            <w:tcW w:w="2073" w:type="dxa"/>
            <w:vMerge/>
          </w:tcPr>
          <w:p w:rsidR="003751F1" w:rsidRPr="00A41AD9" w:rsidRDefault="003751F1" w:rsidP="00BE26DB"/>
        </w:tc>
        <w:tc>
          <w:tcPr>
            <w:tcW w:w="2207" w:type="dxa"/>
          </w:tcPr>
          <w:p w:rsidR="003751F1" w:rsidRPr="00A41AD9" w:rsidRDefault="003751F1" w:rsidP="00BE26DB">
            <w:pPr>
              <w:jc w:val="both"/>
              <w:rPr>
                <w:b/>
                <w:u w:val="single"/>
              </w:rPr>
            </w:pPr>
            <w:r w:rsidRPr="00A41AD9">
              <w:rPr>
                <w:b/>
                <w:u w:val="single"/>
              </w:rPr>
              <w:t>Indicator 1.1.3</w:t>
            </w:r>
          </w:p>
          <w:p w:rsidR="003751F1" w:rsidRPr="00A41AD9" w:rsidRDefault="003751F1" w:rsidP="00BE26DB">
            <w:pPr>
              <w:jc w:val="both"/>
              <w:rPr>
                <w:b/>
              </w:rPr>
            </w:pPr>
            <w:r w:rsidRPr="00A41AD9">
              <w:rPr>
                <w:spacing w:val="-2"/>
              </w:rPr>
              <w:t>Improved efficiency in State Institutions</w:t>
            </w:r>
          </w:p>
        </w:tc>
        <w:tc>
          <w:tcPr>
            <w:tcW w:w="2251" w:type="dxa"/>
          </w:tcPr>
          <w:p w:rsidR="003751F1" w:rsidRPr="00A41AD9" w:rsidRDefault="003751F1" w:rsidP="00BE26DB">
            <w:r w:rsidRPr="00A41AD9">
              <w:t>The ministries of Interior, Planning &amp; International Cooperation (MOPIC), and Justice and Security/</w:t>
            </w:r>
            <w:smartTag w:uri="urn:schemas-microsoft-com:office:smarttags" w:element="stockticker">
              <w:r w:rsidRPr="00A41AD9">
                <w:t>DDR</w:t>
              </w:r>
            </w:smartTag>
            <w:r w:rsidRPr="00A41AD9">
              <w:t xml:space="preserve">, lack basic office equipments including data processing facilities </w:t>
            </w:r>
          </w:p>
          <w:p w:rsidR="003751F1" w:rsidRPr="00A41AD9" w:rsidRDefault="003751F1" w:rsidP="00BE26DB"/>
          <w:p w:rsidR="003751F1" w:rsidRPr="00A41AD9" w:rsidRDefault="003751F1" w:rsidP="00BE26DB">
            <w:r w:rsidRPr="00A41AD9">
              <w:t xml:space="preserve">They also lack transport facilities  </w:t>
            </w:r>
          </w:p>
        </w:tc>
        <w:tc>
          <w:tcPr>
            <w:tcW w:w="1555" w:type="dxa"/>
          </w:tcPr>
          <w:p w:rsidR="003751F1" w:rsidRPr="00A41AD9" w:rsidRDefault="003751F1" w:rsidP="00BE26DB">
            <w:pPr>
              <w:tabs>
                <w:tab w:val="left" w:pos="-720"/>
                <w:tab w:val="left" w:pos="4500"/>
              </w:tabs>
              <w:suppressAutoHyphens/>
              <w:spacing w:after="54"/>
            </w:pPr>
            <w:r w:rsidRPr="00A41AD9">
              <w:t>The ministries of Interior, Planning &amp; International Cooperation (MOPIC), and Justice and Security/</w:t>
            </w:r>
            <w:smartTag w:uri="urn:schemas-microsoft-com:office:smarttags" w:element="stockticker">
              <w:r w:rsidRPr="00A41AD9">
                <w:t>DDR</w:t>
              </w:r>
            </w:smartTag>
            <w:r w:rsidRPr="00A41AD9">
              <w:t xml:space="preserve">, are provided with computers, copiers, printers, video cameras, projectors, and vehicles to improve on record keeping and enhance efficiency in their duties </w:t>
            </w:r>
          </w:p>
        </w:tc>
        <w:tc>
          <w:tcPr>
            <w:tcW w:w="1557" w:type="dxa"/>
          </w:tcPr>
          <w:p w:rsidR="003751F1" w:rsidRPr="00A41AD9" w:rsidRDefault="003751F1" w:rsidP="00853320">
            <w:pPr>
              <w:pStyle w:val="BodyText"/>
              <w:jc w:val="left"/>
              <w:rPr>
                <w:rFonts w:ascii="Times New Roman" w:hAnsi="Times New Roman"/>
                <w:color w:val="auto"/>
                <w:sz w:val="24"/>
              </w:rPr>
            </w:pPr>
            <w:r w:rsidRPr="00A41AD9">
              <w:rPr>
                <w:rFonts w:ascii="Times New Roman" w:hAnsi="Times New Roman"/>
                <w:color w:val="auto"/>
                <w:sz w:val="24"/>
              </w:rPr>
              <w:t xml:space="preserve">Office equipment including 05 computers, 02 digital cameras, 02 printers, 04 office desks, 20 office chairs, 02 video cameras, 04 filing cabinets, and 02 projectors have been procured and handed over to the government departments. </w:t>
            </w:r>
          </w:p>
          <w:p w:rsidR="003751F1" w:rsidRPr="00A41AD9" w:rsidRDefault="003751F1" w:rsidP="00BE26DB">
            <w:pPr>
              <w:pStyle w:val="BodyText"/>
              <w:rPr>
                <w:rFonts w:ascii="Times New Roman" w:hAnsi="Times New Roman"/>
                <w:color w:val="auto"/>
                <w:sz w:val="24"/>
              </w:rPr>
            </w:pPr>
          </w:p>
          <w:p w:rsidR="003751F1" w:rsidRPr="00A41AD9" w:rsidRDefault="003751F1" w:rsidP="00853320">
            <w:pPr>
              <w:pStyle w:val="BodyText"/>
              <w:jc w:val="left"/>
              <w:rPr>
                <w:rFonts w:ascii="Times New Roman" w:hAnsi="Times New Roman"/>
                <w:color w:val="auto"/>
                <w:sz w:val="24"/>
              </w:rPr>
            </w:pPr>
            <w:r w:rsidRPr="00A41AD9">
              <w:rPr>
                <w:rFonts w:ascii="Times New Roman" w:hAnsi="Times New Roman"/>
                <w:color w:val="auto"/>
                <w:sz w:val="24"/>
              </w:rPr>
              <w:t xml:space="preserve">4 Land Cruiser Toyota vehicles were procured and distributed to four government departments. MOPIC, ministry of Justice, Ministry of Interior and ministry of Security each received the vehicles </w:t>
            </w:r>
          </w:p>
          <w:p w:rsidR="003751F1" w:rsidRPr="00A41AD9" w:rsidRDefault="003751F1" w:rsidP="00BE26DB"/>
        </w:tc>
        <w:tc>
          <w:tcPr>
            <w:tcW w:w="1545" w:type="dxa"/>
          </w:tcPr>
          <w:p w:rsidR="003751F1" w:rsidRPr="00A41AD9" w:rsidRDefault="003751F1" w:rsidP="00BE26DB">
            <w:r w:rsidRPr="00A41AD9">
              <w:t xml:space="preserve">No variances, output achieved as planned </w:t>
            </w:r>
          </w:p>
        </w:tc>
        <w:tc>
          <w:tcPr>
            <w:tcW w:w="1783" w:type="dxa"/>
            <w:gridSpan w:val="2"/>
          </w:tcPr>
          <w:p w:rsidR="003751F1" w:rsidRPr="00A41AD9" w:rsidRDefault="003751F1" w:rsidP="00BE26DB">
            <w:pPr>
              <w:numPr>
                <w:ilvl w:val="0"/>
                <w:numId w:val="36"/>
              </w:numPr>
            </w:pPr>
            <w:r w:rsidRPr="00A41AD9">
              <w:t>Monitoring reports</w:t>
            </w:r>
          </w:p>
          <w:p w:rsidR="003751F1" w:rsidRPr="00A41AD9" w:rsidRDefault="003751F1" w:rsidP="00BE26DB">
            <w:pPr>
              <w:numPr>
                <w:ilvl w:val="0"/>
                <w:numId w:val="36"/>
              </w:numPr>
            </w:pPr>
            <w:r w:rsidRPr="00A41AD9">
              <w:t>Handover reports</w:t>
            </w:r>
          </w:p>
          <w:p w:rsidR="003751F1" w:rsidRPr="00A41AD9" w:rsidRDefault="003751F1" w:rsidP="00BE26DB">
            <w:pPr>
              <w:numPr>
                <w:ilvl w:val="0"/>
                <w:numId w:val="36"/>
              </w:numPr>
            </w:pPr>
            <w:r w:rsidRPr="00A41AD9">
              <w:rPr>
                <w:spacing w:val="-2"/>
              </w:rPr>
              <w:t>project progress reports and results frameworks</w:t>
            </w:r>
          </w:p>
        </w:tc>
        <w:tc>
          <w:tcPr>
            <w:tcW w:w="1469" w:type="dxa"/>
          </w:tcPr>
          <w:p w:rsidR="003751F1" w:rsidRPr="00A41AD9" w:rsidRDefault="003751F1" w:rsidP="00BE26DB">
            <w:r w:rsidRPr="00A41AD9">
              <w:t xml:space="preserve">Nil </w:t>
            </w:r>
          </w:p>
        </w:tc>
      </w:tr>
      <w:tr w:rsidR="003751F1" w:rsidRPr="00A41AD9">
        <w:tc>
          <w:tcPr>
            <w:tcW w:w="14440" w:type="dxa"/>
            <w:gridSpan w:val="9"/>
          </w:tcPr>
          <w:p w:rsidR="003751F1" w:rsidRPr="00A41AD9" w:rsidRDefault="003751F1" w:rsidP="00BE26DB">
            <w:pPr>
              <w:tabs>
                <w:tab w:val="left" w:pos="-720"/>
                <w:tab w:val="left" w:pos="4500"/>
              </w:tabs>
              <w:suppressAutoHyphens/>
              <w:rPr>
                <w:spacing w:val="-2"/>
              </w:rPr>
            </w:pPr>
            <w:r w:rsidRPr="00A41AD9">
              <w:rPr>
                <w:b/>
              </w:rPr>
              <w:lastRenderedPageBreak/>
              <w:t xml:space="preserve">Outcome 2: </w:t>
            </w:r>
            <w:r w:rsidRPr="00A41AD9">
              <w:rPr>
                <w:spacing w:val="-2"/>
              </w:rPr>
              <w:t>Technical and human capacity of the police officers in the five targeted police stations in the areas with IDP/refugee concentration rebuilt with special attention to equipping and skill</w:t>
            </w:r>
            <w:r w:rsidR="00853320" w:rsidRPr="00A41AD9">
              <w:rPr>
                <w:spacing w:val="-2"/>
              </w:rPr>
              <w:t>s</w:t>
            </w:r>
            <w:r w:rsidRPr="00A41AD9">
              <w:rPr>
                <w:spacing w:val="-2"/>
              </w:rPr>
              <w:t xml:space="preserve"> training to promote strict adherence to human rights standards.</w:t>
            </w:r>
          </w:p>
          <w:p w:rsidR="003751F1" w:rsidRPr="00A41AD9" w:rsidRDefault="003751F1" w:rsidP="00BE26DB">
            <w:pPr>
              <w:rPr>
                <w:b/>
              </w:rPr>
            </w:pPr>
          </w:p>
          <w:p w:rsidR="003751F1" w:rsidRPr="00A41AD9" w:rsidRDefault="003751F1" w:rsidP="00BE26DB">
            <w:pPr>
              <w:rPr>
                <w:b/>
              </w:rPr>
            </w:pPr>
            <w:r w:rsidRPr="00A41AD9">
              <w:rPr>
                <w:b/>
              </w:rPr>
              <w:t xml:space="preserve">                                </w:t>
            </w:r>
          </w:p>
        </w:tc>
      </w:tr>
      <w:tr w:rsidR="004219F3" w:rsidRPr="00A41AD9">
        <w:trPr>
          <w:trHeight w:val="422"/>
        </w:trPr>
        <w:tc>
          <w:tcPr>
            <w:tcW w:w="2073" w:type="dxa"/>
          </w:tcPr>
          <w:p w:rsidR="003751F1" w:rsidRPr="00A41AD9" w:rsidRDefault="003751F1" w:rsidP="00BE26DB">
            <w:pPr>
              <w:rPr>
                <w:b/>
              </w:rPr>
            </w:pPr>
            <w:r w:rsidRPr="00A41AD9">
              <w:rPr>
                <w:b/>
              </w:rPr>
              <w:t>Output 2.1</w:t>
            </w:r>
          </w:p>
          <w:p w:rsidR="003751F1" w:rsidRPr="00A41AD9" w:rsidRDefault="003751F1" w:rsidP="00BE26DB">
            <w:pPr>
              <w:rPr>
                <w:spacing w:val="-2"/>
              </w:rPr>
            </w:pPr>
            <w:r w:rsidRPr="00A41AD9">
              <w:rPr>
                <w:spacing w:val="-2"/>
              </w:rPr>
              <w:t>Police personnel trained in human rights, refugee, minority rights and IDP law</w:t>
            </w:r>
            <w:r w:rsidR="0031598F" w:rsidRPr="00A41AD9">
              <w:rPr>
                <w:spacing w:val="-2"/>
              </w:rPr>
              <w:t xml:space="preserve">. </w:t>
            </w:r>
          </w:p>
          <w:p w:rsidR="0031598F" w:rsidRPr="00A41AD9" w:rsidRDefault="0031598F" w:rsidP="00BE26DB">
            <w:pPr>
              <w:rPr>
                <w:spacing w:val="-2"/>
              </w:rPr>
            </w:pPr>
          </w:p>
          <w:p w:rsidR="0031598F" w:rsidRPr="00A41AD9" w:rsidRDefault="0031598F" w:rsidP="00BE26DB">
            <w:pPr>
              <w:rPr>
                <w:b/>
              </w:rPr>
            </w:pPr>
            <w:r w:rsidRPr="00A41AD9">
              <w:rPr>
                <w:spacing w:val="-2"/>
              </w:rPr>
              <w:t>Parliamentarians a</w:t>
            </w:r>
            <w:r w:rsidR="004219F3" w:rsidRPr="00A41AD9">
              <w:rPr>
                <w:spacing w:val="-2"/>
              </w:rPr>
              <w:t>re trained in IDPs protection guidelines</w:t>
            </w:r>
          </w:p>
        </w:tc>
        <w:tc>
          <w:tcPr>
            <w:tcW w:w="2207" w:type="dxa"/>
          </w:tcPr>
          <w:p w:rsidR="003751F1" w:rsidRPr="00A41AD9" w:rsidRDefault="003751F1" w:rsidP="00BE26DB">
            <w:pPr>
              <w:tabs>
                <w:tab w:val="left" w:pos="-720"/>
                <w:tab w:val="left" w:pos="4500"/>
              </w:tabs>
              <w:suppressAutoHyphens/>
              <w:spacing w:after="54"/>
              <w:rPr>
                <w:b/>
                <w:spacing w:val="-2"/>
                <w:u w:val="single"/>
              </w:rPr>
            </w:pPr>
            <w:r w:rsidRPr="00A41AD9">
              <w:rPr>
                <w:b/>
                <w:u w:val="single"/>
              </w:rPr>
              <w:t>Indicator  2.1.1</w:t>
            </w:r>
            <w:r w:rsidRPr="00A41AD9">
              <w:rPr>
                <w:b/>
                <w:spacing w:val="-2"/>
                <w:u w:val="single"/>
              </w:rPr>
              <w:t xml:space="preserve"> </w:t>
            </w:r>
          </w:p>
          <w:p w:rsidR="003751F1" w:rsidRPr="00A41AD9" w:rsidRDefault="003751F1" w:rsidP="00BE26DB">
            <w:pPr>
              <w:tabs>
                <w:tab w:val="left" w:pos="-720"/>
                <w:tab w:val="left" w:pos="4500"/>
              </w:tabs>
              <w:suppressAutoHyphens/>
              <w:spacing w:after="54"/>
              <w:rPr>
                <w:spacing w:val="-2"/>
              </w:rPr>
            </w:pPr>
            <w:r w:rsidRPr="00A41AD9">
              <w:rPr>
                <w:spacing w:val="-2"/>
              </w:rPr>
              <w:t>Number of personnel trained in the targeted five police stations in human rights law, refugee and IDP law</w:t>
            </w:r>
          </w:p>
          <w:p w:rsidR="0031598F" w:rsidRPr="00A41AD9" w:rsidRDefault="0031598F" w:rsidP="00BE26DB">
            <w:pPr>
              <w:tabs>
                <w:tab w:val="left" w:pos="-720"/>
                <w:tab w:val="left" w:pos="4500"/>
              </w:tabs>
              <w:suppressAutoHyphens/>
              <w:spacing w:after="54"/>
              <w:rPr>
                <w:spacing w:val="-2"/>
              </w:rPr>
            </w:pPr>
          </w:p>
          <w:p w:rsidR="0031598F" w:rsidRPr="00A41AD9" w:rsidRDefault="0031598F" w:rsidP="00BE26DB">
            <w:pPr>
              <w:tabs>
                <w:tab w:val="left" w:pos="-720"/>
                <w:tab w:val="left" w:pos="4500"/>
              </w:tabs>
              <w:suppressAutoHyphens/>
              <w:spacing w:after="54"/>
              <w:rPr>
                <w:spacing w:val="-2"/>
              </w:rPr>
            </w:pPr>
            <w:r w:rsidRPr="00A41AD9">
              <w:rPr>
                <w:spacing w:val="-2"/>
              </w:rPr>
              <w:t xml:space="preserve">Number of  parliamentarians trained in </w:t>
            </w:r>
            <w:r w:rsidR="004219F3" w:rsidRPr="00A41AD9">
              <w:rPr>
                <w:spacing w:val="-2"/>
              </w:rPr>
              <w:t>IDPs protection guidelines</w:t>
            </w:r>
          </w:p>
          <w:p w:rsidR="003751F1" w:rsidRPr="00A41AD9" w:rsidRDefault="003751F1" w:rsidP="00BE26DB">
            <w:pPr>
              <w:jc w:val="both"/>
            </w:pPr>
          </w:p>
        </w:tc>
        <w:tc>
          <w:tcPr>
            <w:tcW w:w="2251" w:type="dxa"/>
          </w:tcPr>
          <w:p w:rsidR="003751F1" w:rsidRPr="00A41AD9" w:rsidRDefault="003751F1" w:rsidP="00BE26DB">
            <w:pPr>
              <w:tabs>
                <w:tab w:val="left" w:pos="-720"/>
                <w:tab w:val="left" w:pos="4500"/>
              </w:tabs>
              <w:suppressAutoHyphens/>
              <w:rPr>
                <w:spacing w:val="-2"/>
              </w:rPr>
            </w:pPr>
            <w:r w:rsidRPr="00A41AD9">
              <w:rPr>
                <w:spacing w:val="-2"/>
              </w:rPr>
              <w:t xml:space="preserve">Police officers in Puntland lack the capacity and knowledge in most international conventions, including international refugee laws and guidelines on the protection of IDPs. </w:t>
            </w:r>
          </w:p>
          <w:p w:rsidR="0031598F" w:rsidRPr="00A41AD9" w:rsidRDefault="0031598F" w:rsidP="00BE26DB">
            <w:pPr>
              <w:tabs>
                <w:tab w:val="left" w:pos="-720"/>
                <w:tab w:val="left" w:pos="4500"/>
              </w:tabs>
              <w:suppressAutoHyphens/>
              <w:rPr>
                <w:spacing w:val="-2"/>
              </w:rPr>
            </w:pPr>
          </w:p>
          <w:p w:rsidR="0031598F" w:rsidRPr="00A41AD9" w:rsidRDefault="0031598F" w:rsidP="00BE26DB">
            <w:pPr>
              <w:tabs>
                <w:tab w:val="left" w:pos="-720"/>
                <w:tab w:val="left" w:pos="4500"/>
              </w:tabs>
              <w:suppressAutoHyphens/>
            </w:pPr>
            <w:r w:rsidRPr="00A41AD9">
              <w:rPr>
                <w:spacing w:val="-2"/>
              </w:rPr>
              <w:t>Parliamentarians in Puntland lack</w:t>
            </w:r>
            <w:r w:rsidR="004219F3" w:rsidRPr="00A41AD9">
              <w:rPr>
                <w:spacing w:val="-2"/>
              </w:rPr>
              <w:t xml:space="preserve"> knowledge on </w:t>
            </w:r>
            <w:r w:rsidRPr="00A41AD9">
              <w:rPr>
                <w:spacing w:val="-2"/>
              </w:rPr>
              <w:t xml:space="preserve"> </w:t>
            </w:r>
            <w:r w:rsidR="004219F3" w:rsidRPr="00A41AD9">
              <w:rPr>
                <w:spacing w:val="-2"/>
              </w:rPr>
              <w:t>IDPs protection guidelines</w:t>
            </w:r>
          </w:p>
        </w:tc>
        <w:tc>
          <w:tcPr>
            <w:tcW w:w="1555" w:type="dxa"/>
          </w:tcPr>
          <w:p w:rsidR="003751F1" w:rsidRPr="00A41AD9" w:rsidRDefault="003751F1" w:rsidP="00BE26DB">
            <w:pPr>
              <w:rPr>
                <w:spacing w:val="-2"/>
              </w:rPr>
            </w:pPr>
            <w:r w:rsidRPr="00A41AD9">
              <w:t xml:space="preserve">Police officers in 3 rehabilitated police stations (over 40 participants) are trained in </w:t>
            </w:r>
            <w:r w:rsidRPr="00A41AD9">
              <w:rPr>
                <w:spacing w:val="-2"/>
              </w:rPr>
              <w:t>international refugee laws and guidelines on the protection of IDPs, and on the role of governments in protecting IDPs and refugees</w:t>
            </w:r>
          </w:p>
          <w:p w:rsidR="00C23505" w:rsidRPr="00A41AD9" w:rsidRDefault="00C23505" w:rsidP="00BE26DB">
            <w:pPr>
              <w:rPr>
                <w:spacing w:val="-2"/>
              </w:rPr>
            </w:pPr>
          </w:p>
          <w:p w:rsidR="00C23505" w:rsidRPr="00A41AD9" w:rsidRDefault="00C23505" w:rsidP="00BE26DB">
            <w:r w:rsidRPr="00A41AD9">
              <w:rPr>
                <w:spacing w:val="-2"/>
              </w:rPr>
              <w:t xml:space="preserve">One training workshop is held for all parliamentarians in Puntland </w:t>
            </w:r>
          </w:p>
        </w:tc>
        <w:tc>
          <w:tcPr>
            <w:tcW w:w="1557" w:type="dxa"/>
          </w:tcPr>
          <w:p w:rsidR="003751F1" w:rsidRPr="00A41AD9" w:rsidRDefault="003751F1" w:rsidP="00BE26DB">
            <w:r w:rsidRPr="00A41AD9">
              <w:t xml:space="preserve">Over 40 police officers from the three rehabilitated police stations are being trained in </w:t>
            </w:r>
            <w:r w:rsidRPr="00A41AD9">
              <w:rPr>
                <w:spacing w:val="-2"/>
              </w:rPr>
              <w:t>international refugee laws and guidelines on the protection of IDPs, and on the role of governments in protecting IDPs and refugees</w:t>
            </w:r>
            <w:r w:rsidRPr="00A41AD9">
              <w:t xml:space="preserve"> </w:t>
            </w:r>
          </w:p>
          <w:p w:rsidR="00C23505" w:rsidRPr="00A41AD9" w:rsidRDefault="00C23505" w:rsidP="00BE26DB"/>
          <w:p w:rsidR="00C23505" w:rsidRPr="00A41AD9" w:rsidRDefault="00C23505" w:rsidP="00BE26DB">
            <w:r w:rsidRPr="00A41AD9">
              <w:t xml:space="preserve">100% parliamentarians are </w:t>
            </w:r>
            <w:r w:rsidRPr="00A41AD9">
              <w:rPr>
                <w:spacing w:val="-2"/>
              </w:rPr>
              <w:t xml:space="preserve">trained in </w:t>
            </w:r>
            <w:r w:rsidR="004219F3" w:rsidRPr="00A41AD9">
              <w:rPr>
                <w:spacing w:val="-2"/>
              </w:rPr>
              <w:t>IDPs protection guidelines</w:t>
            </w:r>
          </w:p>
        </w:tc>
        <w:tc>
          <w:tcPr>
            <w:tcW w:w="1625" w:type="dxa"/>
            <w:gridSpan w:val="2"/>
          </w:tcPr>
          <w:p w:rsidR="003751F1" w:rsidRPr="00A41AD9" w:rsidRDefault="003751F1" w:rsidP="00BE26DB">
            <w:r w:rsidRPr="00A41AD9">
              <w:t xml:space="preserve">No variance, output achieved as planned </w:t>
            </w:r>
          </w:p>
        </w:tc>
        <w:tc>
          <w:tcPr>
            <w:tcW w:w="1703" w:type="dxa"/>
          </w:tcPr>
          <w:p w:rsidR="003751F1" w:rsidRPr="00A41AD9" w:rsidRDefault="003751F1" w:rsidP="00BE26DB">
            <w:pPr>
              <w:numPr>
                <w:ilvl w:val="0"/>
                <w:numId w:val="36"/>
              </w:numPr>
            </w:pPr>
            <w:r w:rsidRPr="00A41AD9">
              <w:t>Field monitoring reports</w:t>
            </w:r>
          </w:p>
          <w:p w:rsidR="003751F1" w:rsidRPr="00A41AD9" w:rsidRDefault="003751F1" w:rsidP="00BE26DB">
            <w:pPr>
              <w:numPr>
                <w:ilvl w:val="0"/>
                <w:numId w:val="36"/>
              </w:numPr>
            </w:pPr>
            <w:r w:rsidRPr="00A41AD9">
              <w:t xml:space="preserve">Activity reports </w:t>
            </w:r>
          </w:p>
          <w:p w:rsidR="003751F1" w:rsidRPr="00A41AD9" w:rsidRDefault="003751F1" w:rsidP="00BE26DB">
            <w:pPr>
              <w:numPr>
                <w:ilvl w:val="0"/>
                <w:numId w:val="36"/>
              </w:numPr>
            </w:pPr>
            <w:r w:rsidRPr="00A41AD9">
              <w:t>Training report</w:t>
            </w:r>
            <w:r w:rsidR="00C23505" w:rsidRPr="00A41AD9">
              <w:t>s</w:t>
            </w:r>
          </w:p>
          <w:p w:rsidR="003751F1" w:rsidRPr="00A41AD9" w:rsidRDefault="003751F1" w:rsidP="00BE26DB">
            <w:pPr>
              <w:numPr>
                <w:ilvl w:val="0"/>
                <w:numId w:val="36"/>
              </w:numPr>
            </w:pPr>
            <w:r w:rsidRPr="00A41AD9">
              <w:t xml:space="preserve">Attendance lists </w:t>
            </w:r>
          </w:p>
          <w:p w:rsidR="003751F1" w:rsidRPr="00A41AD9" w:rsidRDefault="003751F1" w:rsidP="00BE26DB">
            <w:pPr>
              <w:numPr>
                <w:ilvl w:val="0"/>
                <w:numId w:val="36"/>
              </w:numPr>
            </w:pPr>
            <w:r w:rsidRPr="00A41AD9">
              <w:rPr>
                <w:spacing w:val="-2"/>
              </w:rPr>
              <w:t>project progress reports and results frameworks</w:t>
            </w:r>
          </w:p>
        </w:tc>
        <w:tc>
          <w:tcPr>
            <w:tcW w:w="1469" w:type="dxa"/>
          </w:tcPr>
          <w:p w:rsidR="003751F1" w:rsidRPr="00A41AD9" w:rsidRDefault="003751F1" w:rsidP="00BE26DB">
            <w:r w:rsidRPr="00A41AD9">
              <w:t xml:space="preserve">Refresher trainings will be required to update the </w:t>
            </w:r>
            <w:r w:rsidR="00C23505" w:rsidRPr="00A41AD9">
              <w:t xml:space="preserve">police </w:t>
            </w:r>
            <w:r w:rsidRPr="00A41AD9">
              <w:t xml:space="preserve">officers after sometime </w:t>
            </w:r>
          </w:p>
        </w:tc>
      </w:tr>
    </w:tbl>
    <w:p w:rsidR="00FC7D2A" w:rsidRPr="00A41AD9" w:rsidRDefault="00FC7D2A" w:rsidP="00762EF0">
      <w:pPr>
        <w:pStyle w:val="BodyText"/>
        <w:tabs>
          <w:tab w:val="left" w:pos="360"/>
        </w:tabs>
        <w:spacing w:before="120" w:after="0"/>
        <w:ind w:left="1440"/>
        <w:rPr>
          <w:color w:val="auto"/>
          <w:sz w:val="24"/>
          <w:lang w:val="en-US"/>
        </w:rPr>
      </w:pPr>
    </w:p>
    <w:sectPr w:rsidR="00FC7D2A" w:rsidRPr="00A41AD9" w:rsidSect="00F3492E">
      <w:pgSz w:w="16839" w:h="11907" w:orient="landscape" w:code="9"/>
      <w:pgMar w:top="806" w:right="547" w:bottom="1267" w:left="547"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67" w:rsidRDefault="009A7467">
      <w:r>
        <w:separator/>
      </w:r>
    </w:p>
  </w:endnote>
  <w:endnote w:type="continuationSeparator" w:id="0">
    <w:p w:rsidR="009A7467" w:rsidRDefault="009A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9C" w:rsidRDefault="0044659C"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59C" w:rsidRDefault="0044659C"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9C" w:rsidRDefault="0044659C"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8BD">
      <w:rPr>
        <w:rStyle w:val="PageNumber"/>
      </w:rPr>
      <w:t>2</w:t>
    </w:r>
    <w:r>
      <w:rPr>
        <w:rStyle w:val="PageNumber"/>
      </w:rPr>
      <w:fldChar w:fldCharType="end"/>
    </w:r>
  </w:p>
  <w:p w:rsidR="0044659C" w:rsidRDefault="0044659C"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67" w:rsidRDefault="009A7467">
      <w:r>
        <w:separator/>
      </w:r>
    </w:p>
  </w:footnote>
  <w:footnote w:type="continuationSeparator" w:id="0">
    <w:p w:rsidR="009A7467" w:rsidRDefault="009A7467">
      <w:r>
        <w:continuationSeparator/>
      </w:r>
    </w:p>
  </w:footnote>
  <w:footnote w:id="1">
    <w:p w:rsidR="00A41C8D" w:rsidRDefault="00A41C8D" w:rsidP="00A41C8D">
      <w:pPr>
        <w:pStyle w:val="FootnoteText"/>
      </w:pPr>
      <w:r>
        <w:rPr>
          <w:rStyle w:val="FootnoteReference"/>
        </w:rPr>
        <w:footnoteRef/>
      </w:r>
      <w:r>
        <w:t xml:space="preserve"> </w:t>
      </w:r>
      <w:proofErr w:type="gramStart"/>
      <w:r>
        <w:t xml:space="preserve">The term “programme’ is used for </w:t>
      </w:r>
      <w:proofErr w:type="spellStart"/>
      <w:r>
        <w:t>programmes</w:t>
      </w:r>
      <w:proofErr w:type="spellEnd"/>
      <w:r>
        <w:t xml:space="preserve">, joint </w:t>
      </w:r>
      <w:proofErr w:type="spellStart"/>
      <w:r>
        <w:t>programmes</w:t>
      </w:r>
      <w:proofErr w:type="spellEnd"/>
      <w:r>
        <w:t xml:space="preserve"> and projects.</w:t>
      </w:r>
      <w:proofErr w:type="gramEnd"/>
      <w:r>
        <w:t xml:space="preserve"> </w:t>
      </w:r>
    </w:p>
  </w:footnote>
  <w:footnote w:id="2">
    <w:p w:rsidR="00A41C8D" w:rsidRDefault="00A41C8D" w:rsidP="00A41C8D">
      <w:pPr>
        <w:pStyle w:val="FootnoteText"/>
      </w:pPr>
      <w:r>
        <w:rPr>
          <w:rStyle w:val="FootnoteReference"/>
        </w:rPr>
        <w:footnoteRef/>
      </w:r>
      <w:r>
        <w:t xml:space="preserve"> </w:t>
      </w:r>
      <w:proofErr w:type="gramStart"/>
      <w:r>
        <w:t xml:space="preserve">Priority Area for the </w:t>
      </w:r>
      <w:proofErr w:type="spellStart"/>
      <w:r>
        <w:t>Peacebuilding</w:t>
      </w:r>
      <w:proofErr w:type="spellEnd"/>
      <w:r>
        <w:t xml:space="preserve"> Fund; Sector for the UNDG ITF.</w:t>
      </w:r>
      <w:proofErr w:type="gramEnd"/>
    </w:p>
  </w:footnote>
  <w:footnote w:id="3">
    <w:p w:rsidR="00EE5258" w:rsidRDefault="00EE5258" w:rsidP="00284EE8">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1" w:history="1">
        <w:r w:rsidRPr="007E719B">
          <w:rPr>
            <w:rStyle w:val="Hyperlink"/>
          </w:rPr>
          <w:t>MPTF Office GATEWAY</w:t>
        </w:r>
      </w:hyperlink>
      <w:r>
        <w:t>.</w:t>
      </w:r>
    </w:p>
  </w:footnote>
  <w:footnote w:id="4">
    <w:p w:rsidR="00EE5258" w:rsidRDefault="00EE5258" w:rsidP="00284EE8">
      <w:pPr>
        <w:pStyle w:val="FootnoteText"/>
      </w:pPr>
      <w:r>
        <w:rPr>
          <w:rStyle w:val="FootnoteReference"/>
        </w:rPr>
        <w:footnoteRef/>
      </w:r>
      <w:r>
        <w:t xml:space="preserve"> As per approval by the relevant decision-making body/Steering Committee.</w:t>
      </w:r>
    </w:p>
  </w:footnote>
  <w:footnote w:id="5">
    <w:p w:rsidR="00EE5258" w:rsidRDefault="00EE5258" w:rsidP="00284EE8">
      <w:pPr>
        <w:pStyle w:val="FootnoteText"/>
      </w:pPr>
      <w:r>
        <w:rPr>
          <w:rStyle w:val="FootnoteReference"/>
        </w:rPr>
        <w:footnoteRef/>
      </w:r>
      <w:r>
        <w:t xml:space="preserve"> All activities for which a Participating Organization is responsible under an approved MPTF programme have been completed. </w:t>
      </w:r>
      <w:proofErr w:type="gramStart"/>
      <w:r>
        <w:t>Agencies to advise the MPTF Office.</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9F"/>
    <w:multiLevelType w:val="hybridMultilevel"/>
    <w:tmpl w:val="B2808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F200D"/>
    <w:multiLevelType w:val="hybridMultilevel"/>
    <w:tmpl w:val="6FBA8A66"/>
    <w:lvl w:ilvl="0" w:tplc="A5145BE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8CF1C1E"/>
    <w:multiLevelType w:val="hybridMultilevel"/>
    <w:tmpl w:val="035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45ECF"/>
    <w:multiLevelType w:val="hybridMultilevel"/>
    <w:tmpl w:val="AA9A4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16624"/>
    <w:multiLevelType w:val="hybridMultilevel"/>
    <w:tmpl w:val="8D14B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F9C185B"/>
    <w:multiLevelType w:val="hybridMultilevel"/>
    <w:tmpl w:val="0C7E7BD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8">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567131"/>
    <w:multiLevelType w:val="hybridMultilevel"/>
    <w:tmpl w:val="7D4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27F6C"/>
    <w:multiLevelType w:val="hybridMultilevel"/>
    <w:tmpl w:val="2BC449D8"/>
    <w:lvl w:ilvl="0" w:tplc="3CB69D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1F4F8C"/>
    <w:multiLevelType w:val="hybridMultilevel"/>
    <w:tmpl w:val="07D004DE"/>
    <w:lvl w:ilvl="0" w:tplc="FE52261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8071F2"/>
    <w:multiLevelType w:val="hybridMultilevel"/>
    <w:tmpl w:val="C5E09606"/>
    <w:lvl w:ilvl="0" w:tplc="3CB69D2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6865CC"/>
    <w:multiLevelType w:val="hybridMultilevel"/>
    <w:tmpl w:val="88DE149C"/>
    <w:lvl w:ilvl="0" w:tplc="0F522D7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C96C5D"/>
    <w:multiLevelType w:val="hybridMultilevel"/>
    <w:tmpl w:val="1A70AE78"/>
    <w:lvl w:ilvl="0" w:tplc="3A9E07C8">
      <w:start w:val="1"/>
      <w:numFmt w:val="bullet"/>
      <w:lvlText w:val=""/>
      <w:lvlJc w:val="left"/>
      <w:pPr>
        <w:ind w:left="720" w:hanging="360"/>
      </w:pPr>
      <w:rPr>
        <w:rFonts w:ascii="Symbol" w:hAnsi="Symbol" w:hint="default"/>
        <w:color w:val="auto"/>
      </w:rPr>
    </w:lvl>
    <w:lvl w:ilvl="1" w:tplc="3CB69D2E">
      <w:numFmt w:val="bullet"/>
      <w:lvlText w:val="-"/>
      <w:lvlJc w:val="left"/>
      <w:pPr>
        <w:tabs>
          <w:tab w:val="num" w:pos="840"/>
        </w:tabs>
        <w:ind w:left="840" w:hanging="360"/>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5595C"/>
    <w:multiLevelType w:val="hybridMultilevel"/>
    <w:tmpl w:val="2020B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95B8B"/>
    <w:multiLevelType w:val="hybridMultilevel"/>
    <w:tmpl w:val="4F70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4">
    <w:nsid w:val="53BA3CE2"/>
    <w:multiLevelType w:val="hybridMultilevel"/>
    <w:tmpl w:val="1FF8CB00"/>
    <w:lvl w:ilvl="0" w:tplc="F08842F4">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9310138"/>
    <w:multiLevelType w:val="hybridMultilevel"/>
    <w:tmpl w:val="F32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7715AB"/>
    <w:multiLevelType w:val="hybridMultilevel"/>
    <w:tmpl w:val="03180318"/>
    <w:lvl w:ilvl="0" w:tplc="CD164136">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1BA302B"/>
    <w:multiLevelType w:val="hybridMultilevel"/>
    <w:tmpl w:val="295A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30D3B"/>
    <w:multiLevelType w:val="hybridMultilevel"/>
    <w:tmpl w:val="99B4341A"/>
    <w:lvl w:ilvl="0" w:tplc="F214ADEE">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653CA"/>
    <w:multiLevelType w:val="hybridMultilevel"/>
    <w:tmpl w:val="86B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B41949"/>
    <w:multiLevelType w:val="hybridMultilevel"/>
    <w:tmpl w:val="E942145A"/>
    <w:lvl w:ilvl="0" w:tplc="59F8F872">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C6CD1"/>
    <w:multiLevelType w:val="hybridMultilevel"/>
    <w:tmpl w:val="D49E5FBA"/>
    <w:lvl w:ilvl="0" w:tplc="0EB8EE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E392E93"/>
    <w:multiLevelType w:val="hybridMultilevel"/>
    <w:tmpl w:val="D7928952"/>
    <w:lvl w:ilvl="0" w:tplc="3CB69D2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680CB7"/>
    <w:multiLevelType w:val="hybridMultilevel"/>
    <w:tmpl w:val="D4045A02"/>
    <w:lvl w:ilvl="0" w:tplc="3CB69D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8"/>
  </w:num>
  <w:num w:numId="4">
    <w:abstractNumId w:val="7"/>
  </w:num>
  <w:num w:numId="5">
    <w:abstractNumId w:val="23"/>
  </w:num>
  <w:num w:numId="6">
    <w:abstractNumId w:val="1"/>
  </w:num>
  <w:num w:numId="7">
    <w:abstractNumId w:val="21"/>
  </w:num>
  <w:num w:numId="8">
    <w:abstractNumId w:val="5"/>
  </w:num>
  <w:num w:numId="9">
    <w:abstractNumId w:val="2"/>
  </w:num>
  <w:num w:numId="10">
    <w:abstractNumId w:val="0"/>
  </w:num>
  <w:num w:numId="11">
    <w:abstractNumId w:val="4"/>
  </w:num>
  <w:num w:numId="12">
    <w:abstractNumId w:val="12"/>
  </w:num>
  <w:num w:numId="13">
    <w:abstractNumId w:val="20"/>
  </w:num>
  <w:num w:numId="14">
    <w:abstractNumId w:val="25"/>
  </w:num>
  <w:num w:numId="15">
    <w:abstractNumId w:val="30"/>
  </w:num>
  <w:num w:numId="16">
    <w:abstractNumId w:val="27"/>
  </w:num>
  <w:num w:numId="17">
    <w:abstractNumId w:val="32"/>
  </w:num>
  <w:num w:numId="18">
    <w:abstractNumId w:val="29"/>
  </w:num>
  <w:num w:numId="19">
    <w:abstractNumId w:val="6"/>
  </w:num>
  <w:num w:numId="20">
    <w:abstractNumId w:val="13"/>
  </w:num>
  <w:num w:numId="21">
    <w:abstractNumId w:val="22"/>
  </w:num>
  <w:num w:numId="22">
    <w:abstractNumId w:val="17"/>
  </w:num>
  <w:num w:numId="23">
    <w:abstractNumId w:val="10"/>
  </w:num>
  <w:num w:numId="24">
    <w:abstractNumId w:val="33"/>
  </w:num>
  <w:num w:numId="25">
    <w:abstractNumId w:val="26"/>
  </w:num>
  <w:num w:numId="26">
    <w:abstractNumId w:val="31"/>
  </w:num>
  <w:num w:numId="27">
    <w:abstractNumId w:val="3"/>
  </w:num>
  <w:num w:numId="28">
    <w:abstractNumId w:val="24"/>
  </w:num>
  <w:num w:numId="29">
    <w:abstractNumId w:val="16"/>
  </w:num>
  <w:num w:numId="30">
    <w:abstractNumId w:val="14"/>
  </w:num>
  <w:num w:numId="31">
    <w:abstractNumId w:val="11"/>
  </w:num>
  <w:num w:numId="32">
    <w:abstractNumId w:val="15"/>
  </w:num>
  <w:num w:numId="33">
    <w:abstractNumId w:val="35"/>
  </w:num>
  <w:num w:numId="34">
    <w:abstractNumId w:val="19"/>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027EA"/>
    <w:rsid w:val="00005D06"/>
    <w:rsid w:val="0004477B"/>
    <w:rsid w:val="00053392"/>
    <w:rsid w:val="00053C5A"/>
    <w:rsid w:val="00063637"/>
    <w:rsid w:val="00080244"/>
    <w:rsid w:val="00080D44"/>
    <w:rsid w:val="00081DD3"/>
    <w:rsid w:val="00084444"/>
    <w:rsid w:val="000922D2"/>
    <w:rsid w:val="000A6616"/>
    <w:rsid w:val="000B45C1"/>
    <w:rsid w:val="000B61BE"/>
    <w:rsid w:val="000B76E4"/>
    <w:rsid w:val="000C0F65"/>
    <w:rsid w:val="000C3E75"/>
    <w:rsid w:val="000C5CBA"/>
    <w:rsid w:val="000D1909"/>
    <w:rsid w:val="000D355A"/>
    <w:rsid w:val="000D3AC7"/>
    <w:rsid w:val="000D40E2"/>
    <w:rsid w:val="000D4DE3"/>
    <w:rsid w:val="000F7CCF"/>
    <w:rsid w:val="0010305F"/>
    <w:rsid w:val="00111E62"/>
    <w:rsid w:val="00125FBC"/>
    <w:rsid w:val="00130622"/>
    <w:rsid w:val="00141A61"/>
    <w:rsid w:val="00146226"/>
    <w:rsid w:val="00150CD2"/>
    <w:rsid w:val="00153BCF"/>
    <w:rsid w:val="00160BDF"/>
    <w:rsid w:val="001613F4"/>
    <w:rsid w:val="00161C13"/>
    <w:rsid w:val="0016528E"/>
    <w:rsid w:val="00187DF3"/>
    <w:rsid w:val="001A0751"/>
    <w:rsid w:val="001A18A4"/>
    <w:rsid w:val="001A1D4E"/>
    <w:rsid w:val="001A7A23"/>
    <w:rsid w:val="001B0F63"/>
    <w:rsid w:val="001B3192"/>
    <w:rsid w:val="001D1C88"/>
    <w:rsid w:val="001D3618"/>
    <w:rsid w:val="001E78AF"/>
    <w:rsid w:val="001F0CA6"/>
    <w:rsid w:val="00202AA1"/>
    <w:rsid w:val="002156E5"/>
    <w:rsid w:val="00226961"/>
    <w:rsid w:val="0023201B"/>
    <w:rsid w:val="0023273F"/>
    <w:rsid w:val="00251F09"/>
    <w:rsid w:val="00254FF8"/>
    <w:rsid w:val="0026644C"/>
    <w:rsid w:val="00292AAF"/>
    <w:rsid w:val="002A0C41"/>
    <w:rsid w:val="002A2350"/>
    <w:rsid w:val="002A7523"/>
    <w:rsid w:val="002B3BD7"/>
    <w:rsid w:val="002C4315"/>
    <w:rsid w:val="002D23BE"/>
    <w:rsid w:val="002D2563"/>
    <w:rsid w:val="002E3D41"/>
    <w:rsid w:val="003009C8"/>
    <w:rsid w:val="003065B9"/>
    <w:rsid w:val="0031145D"/>
    <w:rsid w:val="00313C7E"/>
    <w:rsid w:val="003157EE"/>
    <w:rsid w:val="0031598F"/>
    <w:rsid w:val="00340315"/>
    <w:rsid w:val="003507AD"/>
    <w:rsid w:val="00363577"/>
    <w:rsid w:val="00363996"/>
    <w:rsid w:val="0037276B"/>
    <w:rsid w:val="003751F1"/>
    <w:rsid w:val="00380A65"/>
    <w:rsid w:val="00385833"/>
    <w:rsid w:val="00390366"/>
    <w:rsid w:val="00397F11"/>
    <w:rsid w:val="003A2ACF"/>
    <w:rsid w:val="003A7D5D"/>
    <w:rsid w:val="003B1AB8"/>
    <w:rsid w:val="003C40C7"/>
    <w:rsid w:val="003C4FC0"/>
    <w:rsid w:val="003D0A74"/>
    <w:rsid w:val="003E31AE"/>
    <w:rsid w:val="003F4977"/>
    <w:rsid w:val="00420CD1"/>
    <w:rsid w:val="00420F89"/>
    <w:rsid w:val="004213BC"/>
    <w:rsid w:val="004219F3"/>
    <w:rsid w:val="00423A4D"/>
    <w:rsid w:val="004310D0"/>
    <w:rsid w:val="0044659C"/>
    <w:rsid w:val="004547BC"/>
    <w:rsid w:val="00461199"/>
    <w:rsid w:val="004659CD"/>
    <w:rsid w:val="00493951"/>
    <w:rsid w:val="004C3E6E"/>
    <w:rsid w:val="004E08BD"/>
    <w:rsid w:val="00503520"/>
    <w:rsid w:val="00525F6D"/>
    <w:rsid w:val="005309A9"/>
    <w:rsid w:val="005319F5"/>
    <w:rsid w:val="00537D6E"/>
    <w:rsid w:val="005429AF"/>
    <w:rsid w:val="00553D89"/>
    <w:rsid w:val="005559CA"/>
    <w:rsid w:val="00573809"/>
    <w:rsid w:val="00587BB4"/>
    <w:rsid w:val="0059787C"/>
    <w:rsid w:val="005A1680"/>
    <w:rsid w:val="005A34B3"/>
    <w:rsid w:val="005A78EC"/>
    <w:rsid w:val="005B3027"/>
    <w:rsid w:val="005B6C1B"/>
    <w:rsid w:val="005C3E33"/>
    <w:rsid w:val="005C662C"/>
    <w:rsid w:val="005D0493"/>
    <w:rsid w:val="005D27BE"/>
    <w:rsid w:val="005D5B44"/>
    <w:rsid w:val="005E41AD"/>
    <w:rsid w:val="005F0756"/>
    <w:rsid w:val="0060185A"/>
    <w:rsid w:val="00605CBC"/>
    <w:rsid w:val="0061057D"/>
    <w:rsid w:val="00626193"/>
    <w:rsid w:val="00633787"/>
    <w:rsid w:val="00645B5E"/>
    <w:rsid w:val="00670345"/>
    <w:rsid w:val="00681C93"/>
    <w:rsid w:val="006A4A92"/>
    <w:rsid w:val="006C4903"/>
    <w:rsid w:val="006D47F7"/>
    <w:rsid w:val="006E2766"/>
    <w:rsid w:val="006E276A"/>
    <w:rsid w:val="006F5022"/>
    <w:rsid w:val="007032BA"/>
    <w:rsid w:val="00747012"/>
    <w:rsid w:val="00755AD1"/>
    <w:rsid w:val="00760FCE"/>
    <w:rsid w:val="00762EF0"/>
    <w:rsid w:val="00791406"/>
    <w:rsid w:val="007A0264"/>
    <w:rsid w:val="007C3EE4"/>
    <w:rsid w:val="007C7D86"/>
    <w:rsid w:val="007E719B"/>
    <w:rsid w:val="00801F40"/>
    <w:rsid w:val="00803628"/>
    <w:rsid w:val="008062C3"/>
    <w:rsid w:val="0081281E"/>
    <w:rsid w:val="00832BF8"/>
    <w:rsid w:val="00833157"/>
    <w:rsid w:val="00834226"/>
    <w:rsid w:val="00836054"/>
    <w:rsid w:val="0085111A"/>
    <w:rsid w:val="00853320"/>
    <w:rsid w:val="00876568"/>
    <w:rsid w:val="00877B67"/>
    <w:rsid w:val="00894178"/>
    <w:rsid w:val="008A11F3"/>
    <w:rsid w:val="008B3305"/>
    <w:rsid w:val="008B3808"/>
    <w:rsid w:val="008E5891"/>
    <w:rsid w:val="008F025E"/>
    <w:rsid w:val="008F0B09"/>
    <w:rsid w:val="00904536"/>
    <w:rsid w:val="009129C4"/>
    <w:rsid w:val="00915522"/>
    <w:rsid w:val="00935F7A"/>
    <w:rsid w:val="009531D3"/>
    <w:rsid w:val="00977B87"/>
    <w:rsid w:val="00983365"/>
    <w:rsid w:val="009A037B"/>
    <w:rsid w:val="009A7467"/>
    <w:rsid w:val="009A75F8"/>
    <w:rsid w:val="009B05A3"/>
    <w:rsid w:val="009C2A93"/>
    <w:rsid w:val="009F1E34"/>
    <w:rsid w:val="00A10EEC"/>
    <w:rsid w:val="00A27BBC"/>
    <w:rsid w:val="00A36638"/>
    <w:rsid w:val="00A414F6"/>
    <w:rsid w:val="00A41AD9"/>
    <w:rsid w:val="00A41C8D"/>
    <w:rsid w:val="00A426E7"/>
    <w:rsid w:val="00A53F25"/>
    <w:rsid w:val="00A6627A"/>
    <w:rsid w:val="00AA2703"/>
    <w:rsid w:val="00AA2ACE"/>
    <w:rsid w:val="00AC1141"/>
    <w:rsid w:val="00AE04A0"/>
    <w:rsid w:val="00AF6BFF"/>
    <w:rsid w:val="00B00807"/>
    <w:rsid w:val="00B0627C"/>
    <w:rsid w:val="00B26226"/>
    <w:rsid w:val="00B26DE5"/>
    <w:rsid w:val="00B42600"/>
    <w:rsid w:val="00B47550"/>
    <w:rsid w:val="00B64F5A"/>
    <w:rsid w:val="00B65E46"/>
    <w:rsid w:val="00B76603"/>
    <w:rsid w:val="00B777BA"/>
    <w:rsid w:val="00BA12FB"/>
    <w:rsid w:val="00BB5213"/>
    <w:rsid w:val="00BB74F7"/>
    <w:rsid w:val="00BC1ED6"/>
    <w:rsid w:val="00BC3082"/>
    <w:rsid w:val="00BC4FF0"/>
    <w:rsid w:val="00BC5FEC"/>
    <w:rsid w:val="00BD177A"/>
    <w:rsid w:val="00BE26DB"/>
    <w:rsid w:val="00BE3A8F"/>
    <w:rsid w:val="00BE6CDB"/>
    <w:rsid w:val="00BF4A40"/>
    <w:rsid w:val="00C227DE"/>
    <w:rsid w:val="00C23505"/>
    <w:rsid w:val="00C331A8"/>
    <w:rsid w:val="00C3581A"/>
    <w:rsid w:val="00C40AE7"/>
    <w:rsid w:val="00C4495C"/>
    <w:rsid w:val="00C56368"/>
    <w:rsid w:val="00C62C2B"/>
    <w:rsid w:val="00C65052"/>
    <w:rsid w:val="00C7738C"/>
    <w:rsid w:val="00CB0BC3"/>
    <w:rsid w:val="00CD05BC"/>
    <w:rsid w:val="00CD6FC6"/>
    <w:rsid w:val="00CE4146"/>
    <w:rsid w:val="00D0025B"/>
    <w:rsid w:val="00D010CF"/>
    <w:rsid w:val="00D033E5"/>
    <w:rsid w:val="00D16212"/>
    <w:rsid w:val="00D22BD3"/>
    <w:rsid w:val="00D26EE6"/>
    <w:rsid w:val="00D27799"/>
    <w:rsid w:val="00D27D20"/>
    <w:rsid w:val="00D3083E"/>
    <w:rsid w:val="00D30F57"/>
    <w:rsid w:val="00D32690"/>
    <w:rsid w:val="00D372B3"/>
    <w:rsid w:val="00D472B4"/>
    <w:rsid w:val="00D4739C"/>
    <w:rsid w:val="00D51C46"/>
    <w:rsid w:val="00D55929"/>
    <w:rsid w:val="00D6536A"/>
    <w:rsid w:val="00D7527F"/>
    <w:rsid w:val="00D80886"/>
    <w:rsid w:val="00D95371"/>
    <w:rsid w:val="00DA267B"/>
    <w:rsid w:val="00DA4510"/>
    <w:rsid w:val="00DB12EE"/>
    <w:rsid w:val="00DB429D"/>
    <w:rsid w:val="00DB6DF9"/>
    <w:rsid w:val="00DC285A"/>
    <w:rsid w:val="00DD50AA"/>
    <w:rsid w:val="00DE1592"/>
    <w:rsid w:val="00E02AEF"/>
    <w:rsid w:val="00E02FC2"/>
    <w:rsid w:val="00E05A67"/>
    <w:rsid w:val="00E13CE4"/>
    <w:rsid w:val="00E17557"/>
    <w:rsid w:val="00E22E7E"/>
    <w:rsid w:val="00E23091"/>
    <w:rsid w:val="00E407A4"/>
    <w:rsid w:val="00E44EFB"/>
    <w:rsid w:val="00E8714B"/>
    <w:rsid w:val="00E97BEC"/>
    <w:rsid w:val="00EA4748"/>
    <w:rsid w:val="00EB0E9C"/>
    <w:rsid w:val="00EB46AD"/>
    <w:rsid w:val="00EB7D30"/>
    <w:rsid w:val="00EC1AA9"/>
    <w:rsid w:val="00ED7545"/>
    <w:rsid w:val="00EE11D3"/>
    <w:rsid w:val="00EE1F66"/>
    <w:rsid w:val="00EE5258"/>
    <w:rsid w:val="00EF5031"/>
    <w:rsid w:val="00EF7688"/>
    <w:rsid w:val="00EF7C19"/>
    <w:rsid w:val="00F03F47"/>
    <w:rsid w:val="00F13512"/>
    <w:rsid w:val="00F3492E"/>
    <w:rsid w:val="00F506F9"/>
    <w:rsid w:val="00F553ED"/>
    <w:rsid w:val="00F742C6"/>
    <w:rsid w:val="00F768CF"/>
    <w:rsid w:val="00F771FA"/>
    <w:rsid w:val="00F964D7"/>
    <w:rsid w:val="00F96915"/>
    <w:rsid w:val="00FA52B0"/>
    <w:rsid w:val="00FC388B"/>
    <w:rsid w:val="00FC657B"/>
    <w:rsid w:val="00FC7D2A"/>
    <w:rsid w:val="00FC7EE4"/>
    <w:rsid w:val="00FD132C"/>
    <w:rsid w:val="00FE66EE"/>
    <w:rsid w:val="00FE6F4E"/>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link w:val="DefaultParagraphFont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 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
    <w:rsid w:val="00DB429D"/>
    <w:rPr>
      <w:sz w:val="20"/>
      <w:szCs w:val="20"/>
    </w:rPr>
  </w:style>
  <w:style w:type="character" w:customStyle="1" w:styleId="FootnoteTextChar">
    <w:name w:val="Footnote Text Char"/>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paragraph" w:customStyle="1" w:styleId="DefaultParagraphFont1">
    <w:name w:val="Default Paragraph Font1"/>
    <w:aliases w:val=" Car Car1 Char Char, Car Car1 Char"/>
    <w:basedOn w:val="Normal"/>
    <w:link w:val="DefaultParagraphFont"/>
    <w:rsid w:val="00A41C8D"/>
    <w:rPr>
      <w:rFonts w:eastAsia="Batang"/>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link w:val="DefaultParagraphFont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 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
    <w:rsid w:val="00DB429D"/>
    <w:rPr>
      <w:sz w:val="20"/>
      <w:szCs w:val="20"/>
    </w:rPr>
  </w:style>
  <w:style w:type="character" w:customStyle="1" w:styleId="FootnoteTextChar">
    <w:name w:val="Footnote Text Char"/>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paragraph" w:customStyle="1" w:styleId="DefaultParagraphFont1">
    <w:name w:val="Default Paragraph Font1"/>
    <w:aliases w:val=" Car Car1 Char Char, Car Car1 Char"/>
    <w:basedOn w:val="Normal"/>
    <w:link w:val="DefaultParagraphFont"/>
    <w:rsid w:val="00A41C8D"/>
    <w:rPr>
      <w:rFonts w:eastAsia="Batang"/>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ddo@unhc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17175</CharactersWithSpaces>
  <SharedDoc>false</SharedDoc>
  <HLinks>
    <vt:vector size="12" baseType="variant">
      <vt:variant>
        <vt:i4>6881370</vt:i4>
      </vt:variant>
      <vt:variant>
        <vt:i4>0</vt:i4>
      </vt:variant>
      <vt:variant>
        <vt:i4>0</vt:i4>
      </vt:variant>
      <vt:variant>
        <vt:i4>5</vt:i4>
      </vt:variant>
      <vt:variant>
        <vt:lpwstr>mailto:geddo@unhcr.org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dawn.delrio</dc:creator>
  <cp:keywords/>
  <cp:lastModifiedBy>UNHCRUser</cp:lastModifiedBy>
  <cp:revision>5</cp:revision>
  <cp:lastPrinted>2011-02-16T10:28:00Z</cp:lastPrinted>
  <dcterms:created xsi:type="dcterms:W3CDTF">2012-08-14T08:56:00Z</dcterms:created>
  <dcterms:modified xsi:type="dcterms:W3CDTF">2012-08-14T09:40:00Z</dcterms:modified>
</cp:coreProperties>
</file>