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3"/>
        <w:gridCol w:w="5105"/>
        <w:gridCol w:w="1710"/>
      </w:tblGrid>
      <w:tr w:rsidR="003E2682" w:rsidRPr="00E3532D">
        <w:trPr>
          <w:trHeight w:val="1745"/>
        </w:trPr>
        <w:tc>
          <w:tcPr>
            <w:tcW w:w="3553" w:type="dxa"/>
            <w:shd w:val="clear" w:color="auto" w:fill="auto"/>
          </w:tcPr>
          <w:p w:rsidR="003E2682" w:rsidRPr="00E3532D" w:rsidRDefault="003E2682" w:rsidP="003E2682">
            <w:pPr>
              <w:jc w:val="right"/>
              <w:rPr>
                <w:sz w:val="28"/>
                <w:szCs w:val="28"/>
                <w:lang w:val="fr-FR"/>
              </w:rPr>
            </w:pPr>
          </w:p>
          <w:p w:rsidR="003E2682" w:rsidRPr="00E3532D" w:rsidRDefault="003E2682" w:rsidP="003E2682">
            <w:pPr>
              <w:rPr>
                <w:sz w:val="28"/>
                <w:szCs w:val="28"/>
                <w:lang w:val="fr-FR"/>
              </w:rPr>
            </w:pPr>
          </w:p>
        </w:tc>
        <w:tc>
          <w:tcPr>
            <w:tcW w:w="5105" w:type="dxa"/>
            <w:shd w:val="clear" w:color="auto" w:fill="auto"/>
          </w:tcPr>
          <w:p w:rsidR="003E2682" w:rsidRPr="00E3532D" w:rsidRDefault="003E2682" w:rsidP="003E2682">
            <w:pPr>
              <w:jc w:val="right"/>
              <w:rPr>
                <w:noProof/>
                <w:lang w:val="fr-FR"/>
              </w:rPr>
            </w:pPr>
          </w:p>
          <w:p w:rsidR="003E2682" w:rsidRPr="00E3532D" w:rsidRDefault="003E2682" w:rsidP="003E2682">
            <w:pPr>
              <w:jc w:val="right"/>
              <w:rPr>
                <w:noProof/>
                <w:lang w:val="fr-FR"/>
              </w:rPr>
            </w:pPr>
          </w:p>
          <w:p w:rsidR="003E2682" w:rsidRPr="00E3532D" w:rsidRDefault="00B1033B" w:rsidP="003E2682">
            <w:pPr>
              <w:jc w:val="right"/>
              <w:rPr>
                <w:b/>
                <w:sz w:val="28"/>
                <w:szCs w:val="28"/>
                <w:u w:val="single"/>
                <w:lang w:val="fr-FR"/>
              </w:rPr>
            </w:pPr>
            <w:r>
              <w:rPr>
                <w:noProof/>
              </w:rPr>
              <w:drawing>
                <wp:inline distT="0" distB="0" distL="0" distR="0">
                  <wp:extent cx="1638935" cy="301625"/>
                  <wp:effectExtent l="19050" t="0" r="0" b="0"/>
                  <wp:docPr id="1"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8935" cy="301625"/>
                          </a:xfrm>
                          <a:prstGeom prst="rect">
                            <a:avLst/>
                          </a:prstGeom>
                          <a:noFill/>
                          <a:ln w="9525">
                            <a:noFill/>
                            <a:miter lim="800000"/>
                            <a:headEnd/>
                            <a:tailEnd/>
                          </a:ln>
                        </pic:spPr>
                      </pic:pic>
                    </a:graphicData>
                  </a:graphic>
                </wp:inline>
              </w:drawing>
            </w:r>
          </w:p>
        </w:tc>
        <w:tc>
          <w:tcPr>
            <w:tcW w:w="1710" w:type="dxa"/>
            <w:shd w:val="clear" w:color="auto" w:fill="auto"/>
          </w:tcPr>
          <w:p w:rsidR="003E2682" w:rsidRPr="00E3532D" w:rsidRDefault="00B1033B" w:rsidP="003E2682">
            <w:pPr>
              <w:jc w:val="right"/>
              <w:rPr>
                <w:b/>
                <w:sz w:val="28"/>
                <w:szCs w:val="28"/>
                <w:u w:val="single"/>
                <w:lang w:val="fr-FR"/>
              </w:rPr>
            </w:pPr>
            <w:r>
              <w:rPr>
                <w:b/>
                <w:noProof/>
                <w:color w:val="333399"/>
              </w:rPr>
              <w:drawing>
                <wp:inline distT="0" distB="0" distL="0" distR="0">
                  <wp:extent cx="560705" cy="1061085"/>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0705" cy="1061085"/>
                          </a:xfrm>
                          <a:prstGeom prst="rect">
                            <a:avLst/>
                          </a:prstGeom>
                          <a:noFill/>
                          <a:ln w="9525">
                            <a:noFill/>
                            <a:miter lim="800000"/>
                            <a:headEnd/>
                            <a:tailEnd/>
                          </a:ln>
                        </pic:spPr>
                      </pic:pic>
                    </a:graphicData>
                  </a:graphic>
                </wp:inline>
              </w:drawing>
            </w:r>
          </w:p>
        </w:tc>
      </w:tr>
    </w:tbl>
    <w:p w:rsidR="003E2682" w:rsidRPr="00E3532D" w:rsidRDefault="00792C9D" w:rsidP="00792C9D">
      <w:pPr>
        <w:jc w:val="center"/>
        <w:rPr>
          <w:b/>
          <w:lang w:val="fr-FR"/>
        </w:rPr>
      </w:pPr>
      <w:r>
        <w:rPr>
          <w:b/>
          <w:lang w:val="fr-FR"/>
        </w:rPr>
        <w:t>Fond</w:t>
      </w:r>
      <w:r w:rsidR="002E12CA">
        <w:rPr>
          <w:b/>
          <w:lang w:val="fr-FR"/>
        </w:rPr>
        <w:t>s</w:t>
      </w:r>
      <w:r>
        <w:rPr>
          <w:b/>
          <w:lang w:val="fr-FR"/>
        </w:rPr>
        <w:t xml:space="preserve"> pour la Reconstruction d’</w:t>
      </w:r>
      <w:r w:rsidR="00DC3444">
        <w:rPr>
          <w:b/>
          <w:lang w:val="fr-FR"/>
        </w:rPr>
        <w:t>Haïti</w:t>
      </w:r>
    </w:p>
    <w:p w:rsidR="003E2682" w:rsidRPr="00E3532D" w:rsidRDefault="003E2682" w:rsidP="003E2682">
      <w:pPr>
        <w:jc w:val="center"/>
        <w:rPr>
          <w:b/>
          <w:bCs/>
          <w:caps/>
          <w:lang w:val="fr-FR"/>
        </w:rPr>
      </w:pPr>
      <w:r w:rsidRPr="00E3532D">
        <w:rPr>
          <w:b/>
          <w:bCs/>
          <w:caps/>
          <w:lang w:val="fr-FR"/>
        </w:rPr>
        <w:t xml:space="preserve">RAPPORT DESCRIPTIF ANNUEL SUR </w:t>
      </w:r>
    </w:p>
    <w:p w:rsidR="003E2682" w:rsidRPr="00E3532D" w:rsidRDefault="003E2682" w:rsidP="003E2682">
      <w:pPr>
        <w:jc w:val="center"/>
        <w:rPr>
          <w:b/>
          <w:bCs/>
          <w:caps/>
          <w:lang w:val="fr-FR"/>
        </w:rPr>
      </w:pPr>
      <w:r w:rsidRPr="00E3532D">
        <w:rPr>
          <w:b/>
          <w:bCs/>
          <w:caps/>
          <w:lang w:val="fr-FR"/>
        </w:rPr>
        <w:t>L’ETAT D’AVANCEMENT DU PROGRAMME</w:t>
      </w:r>
      <w:r w:rsidRPr="00B921F3">
        <w:rPr>
          <w:rStyle w:val="FootnoteReference"/>
          <w:b/>
          <w:bCs/>
          <w:caps/>
          <w:lang w:val="fr-FR"/>
        </w:rPr>
        <w:footnoteReference w:id="1"/>
      </w:r>
      <w:r w:rsidRPr="00B921F3">
        <w:rPr>
          <w:b/>
          <w:bCs/>
          <w:caps/>
          <w:lang w:val="fr-FR"/>
        </w:rPr>
        <w:t xml:space="preserve"> </w:t>
      </w:r>
    </w:p>
    <w:p w:rsidR="003E2682" w:rsidRPr="00E3532D" w:rsidRDefault="003E2682" w:rsidP="003E2682">
      <w:pPr>
        <w:jc w:val="center"/>
        <w:rPr>
          <w:b/>
          <w:bCs/>
          <w:caps/>
          <w:lang w:val="fr-FR"/>
        </w:rPr>
      </w:pPr>
      <w:r w:rsidRPr="00E3532D">
        <w:rPr>
          <w:b/>
          <w:bCs/>
          <w:caps/>
          <w:lang w:val="fr-FR"/>
        </w:rPr>
        <w:t>pERIODe du rappo</w:t>
      </w:r>
      <w:r w:rsidR="00A57456">
        <w:rPr>
          <w:b/>
          <w:bCs/>
          <w:caps/>
          <w:lang w:val="fr-FR"/>
        </w:rPr>
        <w:t>rt: 1 janvier – 31 Decembre 2013</w:t>
      </w:r>
    </w:p>
    <w:tbl>
      <w:tblPr>
        <w:tblW w:w="10386" w:type="dxa"/>
        <w:tblInd w:w="-72" w:type="dxa"/>
        <w:tblLayout w:type="fixed"/>
        <w:tblLook w:val="01E0" w:firstRow="1" w:lastRow="1" w:firstColumn="1" w:lastColumn="1" w:noHBand="0" w:noVBand="0"/>
      </w:tblPr>
      <w:tblGrid>
        <w:gridCol w:w="2970"/>
        <w:gridCol w:w="2172"/>
        <w:gridCol w:w="258"/>
        <w:gridCol w:w="2970"/>
        <w:gridCol w:w="2016"/>
      </w:tblGrid>
      <w:tr w:rsidR="003E2682" w:rsidRPr="00DF6E05">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BB7E7C" w:rsidRDefault="003E2682" w:rsidP="003E2682">
            <w:pPr>
              <w:pStyle w:val="H1"/>
              <w:jc w:val="center"/>
              <w:rPr>
                <w:rFonts w:cs="Times New Roman"/>
                <w:lang w:val="fr-FR"/>
              </w:rPr>
            </w:pPr>
            <w:r w:rsidRPr="00BB7E7C">
              <w:rPr>
                <w:rFonts w:cs="Times New Roman"/>
                <w:lang w:val="fr-FR"/>
              </w:rPr>
              <w:t>Titre du Programme et Référence du Projet</w:t>
            </w:r>
          </w:p>
        </w:tc>
        <w:tc>
          <w:tcPr>
            <w:tcW w:w="258" w:type="dxa"/>
            <w:vMerge w:val="restart"/>
            <w:tcBorders>
              <w:left w:val="single" w:sz="4" w:space="0" w:color="auto"/>
              <w:right w:val="single" w:sz="4" w:space="0" w:color="auto"/>
            </w:tcBorders>
            <w:vAlign w:val="center"/>
          </w:tcPr>
          <w:p w:rsidR="003E2682" w:rsidRPr="00BB7E7C" w:rsidRDefault="003E2682" w:rsidP="003E2682">
            <w:pPr>
              <w:jc w:val="center"/>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BB7E7C" w:rsidRDefault="003E2682" w:rsidP="003E2682">
            <w:pPr>
              <w:pStyle w:val="H1"/>
              <w:jc w:val="center"/>
              <w:rPr>
                <w:rFonts w:cs="Times New Roman"/>
                <w:lang w:val="fr-FR"/>
              </w:rPr>
            </w:pPr>
            <w:r w:rsidRPr="00BB7E7C">
              <w:rPr>
                <w:rFonts w:cs="Times New Roman"/>
                <w:lang w:val="fr-FR"/>
              </w:rPr>
              <w:t>Pays, Localité(s), Secteur(s) Prioritaire(s) du Programme / Résultats Stratégiques</w:t>
            </w:r>
            <w:r w:rsidRPr="00BB7E7C">
              <w:rPr>
                <w:rStyle w:val="FootnoteReference"/>
                <w:rFonts w:cs="Times New Roman"/>
                <w:lang w:val="fr-FR"/>
              </w:rPr>
              <w:footnoteReference w:id="2"/>
            </w:r>
          </w:p>
        </w:tc>
      </w:tr>
      <w:tr w:rsidR="003E2682" w:rsidRPr="00DF6E05">
        <w:trPr>
          <w:trHeight w:val="300"/>
        </w:trPr>
        <w:tc>
          <w:tcPr>
            <w:tcW w:w="5142" w:type="dxa"/>
            <w:gridSpan w:val="2"/>
            <w:vMerge w:val="restart"/>
            <w:tcBorders>
              <w:left w:val="single" w:sz="4" w:space="0" w:color="auto"/>
              <w:right w:val="single" w:sz="4" w:space="0" w:color="auto"/>
            </w:tcBorders>
          </w:tcPr>
          <w:p w:rsidR="003E2682" w:rsidRPr="00BB7E7C" w:rsidRDefault="003E2682" w:rsidP="00F9266A">
            <w:pPr>
              <w:pStyle w:val="BodyText"/>
              <w:numPr>
                <w:ilvl w:val="0"/>
                <w:numId w:val="6"/>
              </w:numPr>
              <w:spacing w:before="60" w:after="60"/>
              <w:ind w:left="342"/>
              <w:jc w:val="both"/>
              <w:rPr>
                <w:rFonts w:ascii="Times New Roman" w:hAnsi="Times New Roman"/>
                <w:bCs/>
                <w:iCs/>
                <w:snapToGrid w:val="0"/>
                <w:lang w:val="fr-FR"/>
              </w:rPr>
            </w:pPr>
            <w:r w:rsidRPr="00BB7E7C">
              <w:rPr>
                <w:rFonts w:ascii="Times New Roman" w:hAnsi="Times New Roman"/>
                <w:bCs/>
                <w:iCs/>
                <w:snapToGrid w:val="0"/>
                <w:lang w:val="fr-FR"/>
              </w:rPr>
              <w:t>Titre du Programme:</w:t>
            </w:r>
            <w:r w:rsidR="00F9266A" w:rsidRPr="00BB7E7C">
              <w:rPr>
                <w:rFonts w:ascii="Times New Roman" w:hAnsi="Times New Roman"/>
                <w:bCs/>
                <w:iCs/>
                <w:snapToGrid w:val="0"/>
                <w:lang w:val="fr-FR"/>
              </w:rPr>
              <w:t xml:space="preserve"> Plan de prévention Séisme pour le Grand Nord D’Haïti</w:t>
            </w:r>
          </w:p>
          <w:p w:rsidR="003E2682" w:rsidRPr="00BB7E7C" w:rsidRDefault="003E2682" w:rsidP="00F9266A">
            <w:pPr>
              <w:pStyle w:val="BodyText"/>
              <w:numPr>
                <w:ilvl w:val="0"/>
                <w:numId w:val="6"/>
              </w:numPr>
              <w:spacing w:before="60" w:after="60"/>
              <w:ind w:left="342"/>
              <w:jc w:val="both"/>
              <w:rPr>
                <w:rFonts w:ascii="Times New Roman" w:hAnsi="Times New Roman"/>
                <w:bCs/>
                <w:i/>
                <w:iCs/>
                <w:snapToGrid w:val="0"/>
                <w:lang w:val="fr-FR"/>
              </w:rPr>
            </w:pPr>
            <w:r w:rsidRPr="00BB7E7C">
              <w:rPr>
                <w:rFonts w:ascii="Times New Roman" w:hAnsi="Times New Roman"/>
                <w:bCs/>
                <w:iCs/>
                <w:snapToGrid w:val="0"/>
                <w:lang w:val="fr-FR"/>
              </w:rPr>
              <w:t xml:space="preserve">Réf. du Programme </w:t>
            </w:r>
            <w:r w:rsidR="00F9266A" w:rsidRPr="00BB7E7C">
              <w:rPr>
                <w:rFonts w:ascii="Times New Roman" w:hAnsi="Times New Roman"/>
                <w:bCs/>
                <w:iCs/>
                <w:snapToGrid w:val="0"/>
                <w:lang w:val="fr-FR"/>
              </w:rPr>
              <w:t>Réf. du Programme : UNDG/HRF-6 / PNC000408</w:t>
            </w:r>
          </w:p>
          <w:p w:rsidR="003E2682" w:rsidRPr="00BB7E7C" w:rsidRDefault="003E2682" w:rsidP="003E2682">
            <w:pPr>
              <w:pStyle w:val="BodyText"/>
              <w:numPr>
                <w:ilvl w:val="0"/>
                <w:numId w:val="6"/>
              </w:numPr>
              <w:spacing w:before="60" w:after="60"/>
              <w:ind w:left="342"/>
              <w:jc w:val="both"/>
              <w:rPr>
                <w:rFonts w:ascii="Times New Roman" w:hAnsi="Times New Roman"/>
                <w:i/>
                <w:lang w:val="fr-FR"/>
              </w:rPr>
            </w:pPr>
            <w:r w:rsidRPr="00BB7E7C">
              <w:rPr>
                <w:rFonts w:ascii="Times New Roman" w:hAnsi="Times New Roman"/>
                <w:bCs/>
                <w:iCs/>
                <w:snapToGrid w:val="0"/>
                <w:lang w:val="fr-FR"/>
              </w:rPr>
              <w:t>Numéro de Référence du Projet/Bureau MPTF:</w:t>
            </w:r>
            <w:r w:rsidRPr="00BB7E7C">
              <w:rPr>
                <w:rStyle w:val="FootnoteReference"/>
                <w:rFonts w:ascii="Times New Roman" w:hAnsi="Times New Roman"/>
                <w:bCs/>
                <w:iCs/>
                <w:snapToGrid w:val="0"/>
                <w:lang w:val="fr-FR"/>
              </w:rPr>
              <w:footnoteReference w:id="3"/>
            </w:r>
            <w:r w:rsidRPr="00BB7E7C">
              <w:rPr>
                <w:rFonts w:ascii="Times New Roman" w:hAnsi="Times New Roman"/>
                <w:i/>
                <w:lang w:val="fr-FR"/>
              </w:rPr>
              <w:t xml:space="preserve"> </w:t>
            </w:r>
            <w:r w:rsidR="00F9266A" w:rsidRPr="00BB7E7C">
              <w:rPr>
                <w:rFonts w:ascii="Times New Roman" w:hAnsi="Times New Roman"/>
                <w:i/>
                <w:lang w:val="fr-FR"/>
              </w:rPr>
              <w:t>99112</w:t>
            </w:r>
          </w:p>
        </w:tc>
        <w:tc>
          <w:tcPr>
            <w:tcW w:w="258" w:type="dxa"/>
            <w:vMerge/>
            <w:tcBorders>
              <w:left w:val="single" w:sz="4" w:space="0" w:color="auto"/>
              <w:right w:val="single" w:sz="4" w:space="0" w:color="auto"/>
            </w:tcBorders>
          </w:tcPr>
          <w:p w:rsidR="003E2682" w:rsidRPr="00BB7E7C" w:rsidRDefault="003E2682"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A66647" w:rsidRPr="00BB7E7C" w:rsidRDefault="00A66647" w:rsidP="00A66647">
            <w:pPr>
              <w:pStyle w:val="BodyText"/>
              <w:rPr>
                <w:rFonts w:ascii="Times New Roman" w:hAnsi="Times New Roman"/>
                <w:i/>
                <w:lang w:val="fr-FR"/>
              </w:rPr>
            </w:pPr>
            <w:r w:rsidRPr="00BB7E7C">
              <w:rPr>
                <w:rFonts w:ascii="Times New Roman" w:hAnsi="Times New Roman"/>
                <w:i/>
                <w:lang w:val="fr-FR"/>
              </w:rPr>
              <w:t>Pays/Localit</w:t>
            </w:r>
            <w:r w:rsidRPr="00BB7E7C">
              <w:rPr>
                <w:rFonts w:ascii="Times New Roman" w:hAnsi="Times New Roman"/>
                <w:bCs/>
                <w:i/>
                <w:iCs/>
                <w:lang w:val="fr-FR"/>
              </w:rPr>
              <w:t xml:space="preserve">é: </w:t>
            </w:r>
            <w:r w:rsidRPr="00BB7E7C">
              <w:rPr>
                <w:rFonts w:ascii="Times New Roman" w:hAnsi="Times New Roman"/>
                <w:i/>
                <w:lang w:val="fr-FR"/>
              </w:rPr>
              <w:t>Haïti    -   Grand Nord</w:t>
            </w:r>
          </w:p>
          <w:p w:rsidR="00A66647" w:rsidRPr="00BB7E7C" w:rsidRDefault="00A66647" w:rsidP="00A66647">
            <w:pPr>
              <w:pStyle w:val="BodyText"/>
              <w:rPr>
                <w:rFonts w:ascii="Times New Roman" w:hAnsi="Times New Roman"/>
                <w:bCs/>
                <w:i/>
                <w:iCs/>
                <w:lang w:val="fr-FR"/>
              </w:rPr>
            </w:pPr>
          </w:p>
          <w:p w:rsidR="00A66647" w:rsidRPr="00BB7E7C" w:rsidRDefault="00A66647" w:rsidP="00A66647">
            <w:pPr>
              <w:pStyle w:val="BodyText"/>
              <w:rPr>
                <w:rFonts w:ascii="Times New Roman" w:hAnsi="Times New Roman"/>
                <w:bCs/>
                <w:i/>
                <w:iCs/>
                <w:lang w:val="fr-FR"/>
              </w:rPr>
            </w:pPr>
            <w:r w:rsidRPr="00BB7E7C">
              <w:rPr>
                <w:rFonts w:ascii="Times New Roman" w:hAnsi="Times New Roman"/>
                <w:bCs/>
                <w:i/>
                <w:iCs/>
                <w:lang w:val="fr-FR"/>
              </w:rPr>
              <w:t>Département Nord  - Département Nord Est et Département Nord-Ouest</w:t>
            </w:r>
          </w:p>
          <w:p w:rsidR="003E2682" w:rsidRPr="00BB7E7C" w:rsidRDefault="003E2682" w:rsidP="003E2682">
            <w:pPr>
              <w:pStyle w:val="BodyText"/>
              <w:rPr>
                <w:rFonts w:ascii="Times New Roman" w:hAnsi="Times New Roman"/>
                <w:lang w:val="fr-FR"/>
              </w:rPr>
            </w:pPr>
          </w:p>
        </w:tc>
      </w:tr>
      <w:tr w:rsidR="003E2682" w:rsidRPr="00DF6E05">
        <w:trPr>
          <w:trHeight w:val="426"/>
        </w:trPr>
        <w:tc>
          <w:tcPr>
            <w:tcW w:w="5142" w:type="dxa"/>
            <w:gridSpan w:val="2"/>
            <w:vMerge/>
            <w:tcBorders>
              <w:left w:val="single" w:sz="4" w:space="0" w:color="auto"/>
              <w:bottom w:val="single" w:sz="4" w:space="0" w:color="auto"/>
              <w:right w:val="single" w:sz="4" w:space="0" w:color="auto"/>
            </w:tcBorders>
          </w:tcPr>
          <w:p w:rsidR="003E2682" w:rsidRPr="00BB7E7C" w:rsidRDefault="003E2682" w:rsidP="003E2682">
            <w:pPr>
              <w:pStyle w:val="BodyText"/>
              <w:numPr>
                <w:ilvl w:val="0"/>
                <w:numId w:val="6"/>
              </w:numPr>
              <w:spacing w:before="60" w:after="60"/>
              <w:ind w:left="342"/>
              <w:jc w:val="both"/>
              <w:rPr>
                <w:rFonts w:ascii="Times New Roman" w:hAnsi="Times New Roman"/>
                <w:bCs/>
                <w:iCs/>
                <w:snapToGrid w:val="0"/>
                <w:lang w:val="fr-FR"/>
              </w:rPr>
            </w:pPr>
          </w:p>
        </w:tc>
        <w:tc>
          <w:tcPr>
            <w:tcW w:w="258" w:type="dxa"/>
            <w:vMerge/>
            <w:tcBorders>
              <w:left w:val="single" w:sz="4" w:space="0" w:color="auto"/>
              <w:right w:val="single" w:sz="4" w:space="0" w:color="auto"/>
            </w:tcBorders>
          </w:tcPr>
          <w:p w:rsidR="003E2682" w:rsidRPr="00BB7E7C" w:rsidRDefault="003E2682" w:rsidP="003E2682">
            <w:pPr>
              <w:pStyle w:val="BodyText"/>
              <w:rPr>
                <w:rFonts w:ascii="Times New Roman" w:hAnsi="Times New Roman"/>
                <w:lang w:val="fr-FR"/>
              </w:rPr>
            </w:pPr>
          </w:p>
        </w:tc>
        <w:tc>
          <w:tcPr>
            <w:tcW w:w="4986" w:type="dxa"/>
            <w:gridSpan w:val="2"/>
            <w:tcBorders>
              <w:top w:val="single" w:sz="4" w:space="0" w:color="auto"/>
              <w:left w:val="single" w:sz="4" w:space="0" w:color="auto"/>
              <w:bottom w:val="single" w:sz="4" w:space="0" w:color="auto"/>
              <w:right w:val="single" w:sz="4" w:space="0" w:color="auto"/>
            </w:tcBorders>
          </w:tcPr>
          <w:p w:rsidR="003E2682" w:rsidRPr="00BB7E7C" w:rsidRDefault="003E2682" w:rsidP="003E2682">
            <w:pPr>
              <w:pStyle w:val="BodyText"/>
              <w:rPr>
                <w:rFonts w:ascii="Times New Roman" w:hAnsi="Times New Roman"/>
                <w:bCs/>
                <w:i/>
                <w:iCs/>
                <w:snapToGrid w:val="0"/>
                <w:lang w:val="fr-FR"/>
              </w:rPr>
            </w:pPr>
            <w:r w:rsidRPr="00BB7E7C">
              <w:rPr>
                <w:rFonts w:ascii="Times New Roman" w:hAnsi="Times New Roman"/>
                <w:bCs/>
                <w:i/>
                <w:iCs/>
                <w:snapToGrid w:val="0"/>
                <w:lang w:val="fr-FR"/>
              </w:rPr>
              <w:t>Secteur(s) Prioritaire(s) du Programme / Résultats Stratégiques</w:t>
            </w:r>
            <w:r w:rsidR="00A66647" w:rsidRPr="00BB7E7C">
              <w:rPr>
                <w:rFonts w:ascii="Times New Roman" w:hAnsi="Times New Roman"/>
                <w:bCs/>
                <w:i/>
                <w:iCs/>
                <w:snapToGrid w:val="0"/>
                <w:lang w:val="fr-FR"/>
              </w:rPr>
              <w:t> :</w:t>
            </w:r>
            <w:r w:rsidR="00A66647" w:rsidRPr="00BB7E7C">
              <w:rPr>
                <w:rFonts w:ascii="Times New Roman" w:hAnsi="Times New Roman"/>
                <w:bCs/>
                <w:i/>
                <w:iCs/>
                <w:lang w:val="fr-FR"/>
              </w:rPr>
              <w:t xml:space="preserve"> Réduction des Risques et des Désastres</w:t>
            </w:r>
          </w:p>
        </w:tc>
      </w:tr>
      <w:tr w:rsidR="003E2682" w:rsidRPr="00DF6E05">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BB7E7C" w:rsidRDefault="003E2682" w:rsidP="003E2682">
            <w:pPr>
              <w:pStyle w:val="H1"/>
              <w:jc w:val="center"/>
              <w:rPr>
                <w:rFonts w:cs="Times New Roman"/>
                <w:sz w:val="20"/>
                <w:szCs w:val="20"/>
                <w:lang w:val="fr-FR"/>
              </w:rPr>
            </w:pPr>
            <w:r w:rsidRPr="00BB7E7C">
              <w:rPr>
                <w:rFonts w:cs="Times New Roman"/>
                <w:sz w:val="20"/>
                <w:szCs w:val="20"/>
                <w:lang w:val="fr-FR"/>
              </w:rPr>
              <w:t>Organisation(s) Participante(s)</w:t>
            </w:r>
          </w:p>
        </w:tc>
        <w:tc>
          <w:tcPr>
            <w:tcW w:w="258" w:type="dxa"/>
            <w:vMerge w:val="restart"/>
            <w:tcBorders>
              <w:left w:val="single" w:sz="4" w:space="0" w:color="auto"/>
              <w:right w:val="single" w:sz="4" w:space="0" w:color="auto"/>
            </w:tcBorders>
            <w:vAlign w:val="center"/>
          </w:tcPr>
          <w:p w:rsidR="003E2682" w:rsidRPr="00BB7E7C" w:rsidRDefault="003E2682" w:rsidP="003E2682">
            <w:pPr>
              <w:jc w:val="center"/>
              <w:rPr>
                <w:sz w:val="20"/>
                <w:szCs w:val="20"/>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BB7E7C" w:rsidRDefault="003E2682" w:rsidP="003E2682">
            <w:pPr>
              <w:pStyle w:val="H1"/>
              <w:jc w:val="center"/>
              <w:rPr>
                <w:rFonts w:cs="Times New Roman"/>
                <w:sz w:val="20"/>
                <w:szCs w:val="20"/>
                <w:lang w:val="fr-FR"/>
              </w:rPr>
            </w:pPr>
            <w:r w:rsidRPr="00BB7E7C">
              <w:rPr>
                <w:rFonts w:cs="Times New Roman"/>
                <w:sz w:val="20"/>
                <w:szCs w:val="20"/>
                <w:lang w:val="fr-FR"/>
              </w:rPr>
              <w:t>Partenaires de mise en œuvre</w:t>
            </w:r>
          </w:p>
        </w:tc>
      </w:tr>
      <w:tr w:rsidR="003E2682" w:rsidRPr="00DF6E05">
        <w:trPr>
          <w:trHeight w:val="495"/>
        </w:trPr>
        <w:tc>
          <w:tcPr>
            <w:tcW w:w="5142" w:type="dxa"/>
            <w:gridSpan w:val="2"/>
            <w:tcBorders>
              <w:left w:val="single" w:sz="4" w:space="0" w:color="auto"/>
              <w:bottom w:val="single" w:sz="4" w:space="0" w:color="auto"/>
              <w:right w:val="single" w:sz="4" w:space="0" w:color="auto"/>
            </w:tcBorders>
          </w:tcPr>
          <w:p w:rsidR="003E2682" w:rsidRPr="00BB7E7C" w:rsidRDefault="003E2682" w:rsidP="003E2682">
            <w:pPr>
              <w:pStyle w:val="BodyText"/>
              <w:ind w:left="214"/>
              <w:rPr>
                <w:rFonts w:ascii="Times New Roman" w:hAnsi="Times New Roman"/>
                <w:lang w:val="fr-FR"/>
              </w:rPr>
            </w:pPr>
            <w:r w:rsidRPr="00BB7E7C">
              <w:rPr>
                <w:rFonts w:ascii="Times New Roman" w:hAnsi="Times New Roman"/>
                <w:lang w:val="fr-FR"/>
              </w:rPr>
              <w:t>•    Organisations qui ont reçu du financement direct du Bureau MPTF dans le cadre du Programme</w:t>
            </w:r>
            <w:r w:rsidR="00F9266A" w:rsidRPr="00BB7E7C">
              <w:rPr>
                <w:rFonts w:ascii="Times New Roman" w:hAnsi="Times New Roman"/>
                <w:lang w:val="fr-FR"/>
              </w:rPr>
              <w:t> : PNUD</w:t>
            </w:r>
            <w:r w:rsidRPr="00BB7E7C">
              <w:rPr>
                <w:rFonts w:ascii="Times New Roman" w:hAnsi="Times New Roman"/>
                <w:lang w:val="fr-FR"/>
              </w:rPr>
              <w:t xml:space="preserve"> </w:t>
            </w:r>
          </w:p>
          <w:p w:rsidR="003E2682" w:rsidRPr="00BB7E7C" w:rsidRDefault="003E2682" w:rsidP="003E2682">
            <w:pPr>
              <w:pStyle w:val="BodyText"/>
              <w:rPr>
                <w:rFonts w:ascii="Times New Roman" w:hAnsi="Times New Roman"/>
                <w:i/>
                <w:lang w:val="fr-FR"/>
              </w:rPr>
            </w:pPr>
          </w:p>
        </w:tc>
        <w:tc>
          <w:tcPr>
            <w:tcW w:w="258" w:type="dxa"/>
            <w:vMerge/>
            <w:tcBorders>
              <w:left w:val="single" w:sz="4" w:space="0" w:color="auto"/>
              <w:right w:val="single" w:sz="4" w:space="0" w:color="auto"/>
            </w:tcBorders>
          </w:tcPr>
          <w:p w:rsidR="003E2682" w:rsidRPr="00BB7E7C" w:rsidRDefault="003E2682"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A66647" w:rsidRPr="00BB7E7C" w:rsidRDefault="00A66647" w:rsidP="00A66647">
            <w:pPr>
              <w:pStyle w:val="ListParagraph"/>
              <w:numPr>
                <w:ilvl w:val="0"/>
                <w:numId w:val="7"/>
              </w:numPr>
              <w:ind w:left="376"/>
              <w:rPr>
                <w:sz w:val="20"/>
                <w:szCs w:val="20"/>
                <w:lang w:val="fr-FR"/>
              </w:rPr>
            </w:pPr>
            <w:bookmarkStart w:id="0" w:name="_Toc249364478"/>
            <w:r w:rsidRPr="00BB7E7C">
              <w:rPr>
                <w:sz w:val="20"/>
                <w:szCs w:val="20"/>
                <w:lang w:val="fr-FR"/>
              </w:rPr>
              <w:t>Partenaires nationaux : Ministère de l’Intérieur et des Collectivités Territoriales (MICT); Laboratoire Nationale du  Bâtiment et des Travaux Publiques (LNBTP) ; Bureau des Mines et de l’Énergie (BME) -Haïti)</w:t>
            </w:r>
          </w:p>
          <w:p w:rsidR="00A66647" w:rsidRPr="00BB7E7C" w:rsidRDefault="00A66647" w:rsidP="00A66647">
            <w:pPr>
              <w:pStyle w:val="BodyText"/>
              <w:numPr>
                <w:ilvl w:val="0"/>
                <w:numId w:val="7"/>
              </w:numPr>
              <w:spacing w:before="60" w:after="60"/>
              <w:ind w:left="376"/>
              <w:rPr>
                <w:rFonts w:ascii="Times New Roman" w:hAnsi="Times New Roman"/>
                <w:bCs/>
                <w:iCs/>
                <w:color w:val="000000"/>
                <w:lang w:val="fr-FR"/>
              </w:rPr>
            </w:pPr>
            <w:r w:rsidRPr="00BB7E7C">
              <w:rPr>
                <w:rFonts w:ascii="Times New Roman" w:hAnsi="Times New Roman"/>
                <w:lang w:val="fr-FR"/>
              </w:rPr>
              <w:t>Délégations et Grandes Villes du Nord</w:t>
            </w:r>
            <w:bookmarkEnd w:id="0"/>
          </w:p>
          <w:p w:rsidR="00A66647" w:rsidRPr="00BB7E7C" w:rsidRDefault="00A66647" w:rsidP="00A66647">
            <w:pPr>
              <w:pStyle w:val="ListParagraph"/>
              <w:numPr>
                <w:ilvl w:val="0"/>
                <w:numId w:val="7"/>
              </w:numPr>
              <w:ind w:left="360"/>
              <w:rPr>
                <w:sz w:val="20"/>
                <w:szCs w:val="20"/>
                <w:lang w:val="fr-FR"/>
              </w:rPr>
            </w:pPr>
            <w:r w:rsidRPr="00BB7E7C">
              <w:rPr>
                <w:sz w:val="20"/>
                <w:szCs w:val="20"/>
                <w:lang w:val="fr-FR"/>
              </w:rPr>
              <w:t>Internationaux: Bureau de Recherches Géologiques et Minières(BRGM) </w:t>
            </w:r>
            <w:r w:rsidRPr="00BB7E7C" w:rsidDel="001F4E15">
              <w:rPr>
                <w:sz w:val="20"/>
                <w:szCs w:val="20"/>
                <w:lang w:val="fr-FR"/>
              </w:rPr>
              <w:t xml:space="preserve"> </w:t>
            </w:r>
            <w:r w:rsidRPr="00BB7E7C">
              <w:rPr>
                <w:sz w:val="20"/>
                <w:szCs w:val="20"/>
                <w:lang w:val="fr-FR"/>
              </w:rPr>
              <w:t>France.</w:t>
            </w:r>
          </w:p>
          <w:p w:rsidR="003E2682" w:rsidRPr="00BB7E7C" w:rsidRDefault="00A66647" w:rsidP="00A66647">
            <w:pPr>
              <w:pStyle w:val="ListParagraph"/>
              <w:numPr>
                <w:ilvl w:val="0"/>
                <w:numId w:val="7"/>
              </w:numPr>
              <w:ind w:left="360"/>
              <w:rPr>
                <w:sz w:val="20"/>
                <w:szCs w:val="20"/>
                <w:lang w:val="fr-FR"/>
              </w:rPr>
            </w:pPr>
            <w:r w:rsidRPr="00BB7E7C">
              <w:rPr>
                <w:sz w:val="20"/>
                <w:szCs w:val="20"/>
                <w:lang w:val="fr-FR"/>
              </w:rPr>
              <w:t>CNIGS: Centre National d’Information Géo Spatiale</w:t>
            </w:r>
            <w:r w:rsidR="003E2682" w:rsidRPr="00BB7E7C">
              <w:rPr>
                <w:bCs/>
                <w:iCs/>
                <w:snapToGrid w:val="0"/>
                <w:color w:val="000000"/>
                <w:sz w:val="20"/>
                <w:szCs w:val="20"/>
                <w:lang w:val="fr-FR"/>
              </w:rPr>
              <w:t>.</w:t>
            </w:r>
          </w:p>
        </w:tc>
      </w:tr>
      <w:tr w:rsidR="003E2682" w:rsidRPr="00BB7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3E2682" w:rsidRPr="00BB7E7C" w:rsidRDefault="003E2682" w:rsidP="003E2682">
            <w:pPr>
              <w:pStyle w:val="H1"/>
              <w:jc w:val="center"/>
              <w:rPr>
                <w:rFonts w:cs="Times New Roman"/>
                <w:sz w:val="20"/>
                <w:szCs w:val="20"/>
                <w:lang w:val="fr-FR"/>
              </w:rPr>
            </w:pPr>
            <w:r w:rsidRPr="00BB7E7C">
              <w:rPr>
                <w:rFonts w:cs="Times New Roman"/>
                <w:sz w:val="20"/>
                <w:szCs w:val="20"/>
                <w:lang w:val="fr-FR"/>
              </w:rPr>
              <w:t>Budget du Programme/Projet (US$</w:t>
            </w:r>
            <w:r w:rsidR="00792C9D" w:rsidRPr="00BB7E7C">
              <w:rPr>
                <w:rFonts w:cs="Times New Roman"/>
                <w:sz w:val="20"/>
                <w:szCs w:val="20"/>
                <w:lang w:val="fr-FR"/>
              </w:rPr>
              <w:t>9,960.000</w:t>
            </w:r>
            <w:r w:rsidRPr="00BB7E7C">
              <w:rPr>
                <w:rFonts w:cs="Times New Roman"/>
                <w:sz w:val="20"/>
                <w:szCs w:val="20"/>
                <w:lang w:val="fr-FR"/>
              </w:rPr>
              <w:t>)</w:t>
            </w:r>
          </w:p>
        </w:tc>
        <w:tc>
          <w:tcPr>
            <w:tcW w:w="258" w:type="dxa"/>
            <w:tcBorders>
              <w:top w:val="nil"/>
              <w:left w:val="single" w:sz="4" w:space="0" w:color="auto"/>
              <w:bottom w:val="nil"/>
              <w:right w:val="single" w:sz="4" w:space="0" w:color="auto"/>
            </w:tcBorders>
            <w:shd w:val="clear" w:color="auto" w:fill="auto"/>
            <w:vAlign w:val="center"/>
          </w:tcPr>
          <w:p w:rsidR="003E2682" w:rsidRPr="00BB7E7C" w:rsidRDefault="003E2682" w:rsidP="003E2682">
            <w:pPr>
              <w:pStyle w:val="H1"/>
              <w:jc w:val="center"/>
              <w:rPr>
                <w:rFonts w:cs="Times New Roman"/>
                <w:sz w:val="20"/>
                <w:szCs w:val="20"/>
                <w:lang w:val="fr-FR"/>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3E2682" w:rsidRPr="00BB7E7C" w:rsidRDefault="003E2682" w:rsidP="003E2682">
            <w:pPr>
              <w:pStyle w:val="H1"/>
              <w:jc w:val="center"/>
              <w:rPr>
                <w:rFonts w:cs="Times New Roman"/>
                <w:sz w:val="20"/>
                <w:szCs w:val="20"/>
                <w:lang w:val="fr-FR"/>
              </w:rPr>
            </w:pPr>
            <w:r w:rsidRPr="00BB7E7C">
              <w:rPr>
                <w:rFonts w:cs="Times New Roman"/>
                <w:sz w:val="20"/>
                <w:szCs w:val="20"/>
                <w:lang w:val="fr-FR"/>
              </w:rPr>
              <w:t>Durée du Programme (mois)</w:t>
            </w:r>
          </w:p>
        </w:tc>
      </w:tr>
      <w:tr w:rsidR="003E2682" w:rsidRPr="00BB7E7C" w:rsidTr="00A66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3E2682" w:rsidRPr="00BB7E7C" w:rsidRDefault="003E2682" w:rsidP="003E2682">
            <w:pPr>
              <w:pStyle w:val="H2"/>
              <w:rPr>
                <w:rFonts w:cs="Times New Roman"/>
                <w:b w:val="0"/>
                <w:sz w:val="20"/>
                <w:szCs w:val="20"/>
                <w:lang w:val="fr-FR"/>
              </w:rPr>
            </w:pPr>
            <w:r w:rsidRPr="00BB7E7C">
              <w:rPr>
                <w:rFonts w:cs="Times New Roman"/>
                <w:b w:val="0"/>
                <w:sz w:val="20"/>
                <w:szCs w:val="20"/>
                <w:lang w:val="fr-FR"/>
              </w:rPr>
              <w:t xml:space="preserve">Budget total approuvé tels que reflété sur le document du projet: </w:t>
            </w:r>
          </w:p>
          <w:p w:rsidR="003E2682" w:rsidRPr="00BB7E7C" w:rsidRDefault="003E2682" w:rsidP="00792C9D">
            <w:pPr>
              <w:pStyle w:val="H2"/>
              <w:rPr>
                <w:rFonts w:cs="Times New Roman"/>
                <w:b w:val="0"/>
                <w:sz w:val="20"/>
                <w:szCs w:val="20"/>
                <w:lang w:val="fr-FR"/>
              </w:rPr>
            </w:pPr>
            <w:r w:rsidRPr="00BB7E7C">
              <w:rPr>
                <w:rFonts w:cs="Times New Roman"/>
                <w:b w:val="0"/>
                <w:sz w:val="20"/>
                <w:szCs w:val="20"/>
                <w:lang w:val="fr-FR"/>
              </w:rPr>
              <w:t>Contribution du Fonds</w:t>
            </w:r>
            <w:r w:rsidRPr="00BB7E7C">
              <w:rPr>
                <w:rStyle w:val="FootnoteReference"/>
                <w:rFonts w:cs="Times New Roman"/>
                <w:b w:val="0"/>
                <w:sz w:val="20"/>
                <w:szCs w:val="20"/>
                <w:lang w:val="fr-FR"/>
              </w:rPr>
              <w:footnoteReference w:id="4"/>
            </w:r>
          </w:p>
        </w:tc>
        <w:tc>
          <w:tcPr>
            <w:tcW w:w="2172" w:type="dxa"/>
            <w:tcBorders>
              <w:top w:val="nil"/>
              <w:left w:val="nil"/>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lang w:val="fr-FR"/>
              </w:rPr>
            </w:pPr>
          </w:p>
        </w:tc>
        <w:tc>
          <w:tcPr>
            <w:tcW w:w="2970" w:type="dxa"/>
            <w:tcBorders>
              <w:top w:val="nil"/>
              <w:left w:val="single" w:sz="4" w:space="0" w:color="auto"/>
              <w:bottom w:val="nil"/>
              <w:right w:val="nil"/>
            </w:tcBorders>
            <w:shd w:val="clear" w:color="auto" w:fill="auto"/>
            <w:vAlign w:val="center"/>
          </w:tcPr>
          <w:p w:rsidR="003E2682" w:rsidRPr="00BB7E7C" w:rsidRDefault="003E2682" w:rsidP="003E2682">
            <w:pPr>
              <w:pStyle w:val="BodyText"/>
              <w:rPr>
                <w:rFonts w:ascii="Times New Roman" w:hAnsi="Times New Roman"/>
                <w:lang w:val="fr-FR"/>
              </w:rPr>
            </w:pPr>
            <w:r w:rsidRPr="00BB7E7C">
              <w:rPr>
                <w:rFonts w:ascii="Times New Roman" w:hAnsi="Times New Roman"/>
                <w:lang w:val="fr-FR"/>
              </w:rPr>
              <w:t xml:space="preserve">Durée totale </w:t>
            </w:r>
            <w:r w:rsidRPr="00BB7E7C">
              <w:rPr>
                <w:rFonts w:ascii="Times New Roman" w:hAnsi="Times New Roman"/>
                <w:i/>
                <w:lang w:val="fr-FR"/>
              </w:rPr>
              <w:t>(</w:t>
            </w:r>
            <w:r w:rsidR="00F9266A" w:rsidRPr="00BB7E7C">
              <w:rPr>
                <w:rFonts w:ascii="Times New Roman" w:hAnsi="Times New Roman"/>
                <w:i/>
                <w:lang w:val="fr-FR"/>
              </w:rPr>
              <w:t xml:space="preserve">36 </w:t>
            </w:r>
            <w:r w:rsidRPr="00BB7E7C">
              <w:rPr>
                <w:rFonts w:ascii="Times New Roman" w:hAnsi="Times New Roman"/>
                <w:i/>
                <w:lang w:val="fr-FR"/>
              </w:rPr>
              <w:t>mois)</w:t>
            </w:r>
          </w:p>
        </w:tc>
        <w:tc>
          <w:tcPr>
            <w:tcW w:w="2016" w:type="dxa"/>
            <w:tcBorders>
              <w:top w:val="nil"/>
              <w:left w:val="nil"/>
              <w:bottom w:val="nil"/>
              <w:right w:val="single" w:sz="4" w:space="0" w:color="auto"/>
            </w:tcBorders>
            <w:shd w:val="clear" w:color="auto" w:fill="auto"/>
            <w:vAlign w:val="center"/>
          </w:tcPr>
          <w:p w:rsidR="003E2682" w:rsidRPr="00BB7E7C" w:rsidRDefault="003E2682" w:rsidP="003E2682">
            <w:pPr>
              <w:pStyle w:val="BodyText"/>
              <w:widowControl w:val="0"/>
              <w:rPr>
                <w:rFonts w:ascii="Times New Roman" w:hAnsi="Times New Roman"/>
                <w:lang w:val="fr-FR"/>
              </w:rPr>
            </w:pPr>
          </w:p>
        </w:tc>
      </w:tr>
      <w:tr w:rsidR="003E2682" w:rsidRPr="00BB7E7C" w:rsidTr="00A66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3E2682" w:rsidRPr="00BB7E7C" w:rsidRDefault="003E2682" w:rsidP="00F9266A">
            <w:pPr>
              <w:pStyle w:val="H2"/>
              <w:rPr>
                <w:rFonts w:cs="Times New Roman"/>
                <w:b w:val="0"/>
                <w:sz w:val="20"/>
                <w:szCs w:val="20"/>
                <w:lang w:val="fr-FR"/>
              </w:rPr>
            </w:pPr>
          </w:p>
        </w:tc>
        <w:tc>
          <w:tcPr>
            <w:tcW w:w="2172" w:type="dxa"/>
            <w:tcBorders>
              <w:top w:val="nil"/>
              <w:left w:val="nil"/>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lang w:val="fr-FR"/>
              </w:rPr>
            </w:pPr>
          </w:p>
        </w:tc>
        <w:tc>
          <w:tcPr>
            <w:tcW w:w="2970" w:type="dxa"/>
            <w:tcBorders>
              <w:top w:val="nil"/>
              <w:left w:val="single" w:sz="4" w:space="0" w:color="auto"/>
              <w:bottom w:val="nil"/>
              <w:right w:val="nil"/>
            </w:tcBorders>
            <w:shd w:val="clear" w:color="auto" w:fill="auto"/>
            <w:vAlign w:val="center"/>
          </w:tcPr>
          <w:p w:rsidR="003E2682" w:rsidRPr="00BB7E7C" w:rsidRDefault="003E2682" w:rsidP="003E2682">
            <w:pPr>
              <w:pStyle w:val="BodyText"/>
              <w:rPr>
                <w:rFonts w:ascii="Times New Roman" w:hAnsi="Times New Roman"/>
                <w:i/>
                <w:lang w:val="fr-FR"/>
              </w:rPr>
            </w:pPr>
            <w:r w:rsidRPr="00BB7E7C">
              <w:rPr>
                <w:rFonts w:ascii="Times New Roman" w:hAnsi="Times New Roman"/>
                <w:lang w:val="fr-FR"/>
              </w:rPr>
              <w:t xml:space="preserve">Date de </w:t>
            </w:r>
            <w:proofErr w:type="gramStart"/>
            <w:r w:rsidRPr="00BB7E7C">
              <w:rPr>
                <w:rFonts w:ascii="Times New Roman" w:hAnsi="Times New Roman"/>
                <w:lang w:val="fr-FR"/>
              </w:rPr>
              <w:t>démarrage</w:t>
            </w:r>
            <w:proofErr w:type="gramEnd"/>
            <w:r w:rsidRPr="00BB7E7C">
              <w:rPr>
                <w:rStyle w:val="FootnoteReference"/>
                <w:rFonts w:ascii="Times New Roman" w:hAnsi="Times New Roman"/>
                <w:lang w:val="fr-FR"/>
              </w:rPr>
              <w:footnoteReference w:id="5"/>
            </w:r>
            <w:r w:rsidR="00A66647" w:rsidRPr="00BB7E7C">
              <w:rPr>
                <w:rFonts w:ascii="Times New Roman" w:hAnsi="Times New Roman"/>
                <w:i/>
                <w:lang w:val="fr-FR"/>
              </w:rPr>
              <w:t>(10 Juin 2011</w:t>
            </w:r>
            <w:r w:rsidRPr="00BB7E7C">
              <w:rPr>
                <w:rFonts w:ascii="Times New Roman" w:hAnsi="Times New Roman"/>
                <w:i/>
                <w:lang w:val="fr-FR"/>
              </w:rPr>
              <w:t>)</w:t>
            </w:r>
          </w:p>
          <w:p w:rsidR="00A66647" w:rsidRPr="00BB7E7C" w:rsidRDefault="00A66647" w:rsidP="003E2682">
            <w:pPr>
              <w:pStyle w:val="BodyText"/>
              <w:rPr>
                <w:rFonts w:ascii="Times New Roman" w:hAnsi="Times New Roman"/>
                <w:lang w:val="fr-FR"/>
              </w:rPr>
            </w:pPr>
          </w:p>
        </w:tc>
        <w:tc>
          <w:tcPr>
            <w:tcW w:w="2016" w:type="dxa"/>
            <w:tcBorders>
              <w:top w:val="nil"/>
              <w:left w:val="nil"/>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lang w:val="fr-FR"/>
              </w:rPr>
            </w:pPr>
          </w:p>
        </w:tc>
      </w:tr>
      <w:tr w:rsidR="003E2682" w:rsidRPr="00BB7E7C" w:rsidTr="00A66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3E2682" w:rsidRPr="00BB7E7C" w:rsidRDefault="003E2682" w:rsidP="003E2682">
            <w:pPr>
              <w:pStyle w:val="H2"/>
              <w:rPr>
                <w:rFonts w:cs="Times New Roman"/>
                <w:sz w:val="20"/>
                <w:szCs w:val="20"/>
                <w:lang w:val="fr-FR"/>
              </w:rPr>
            </w:pPr>
            <w:r w:rsidRPr="00BB7E7C">
              <w:rPr>
                <w:rFonts w:cs="Times New Roman"/>
                <w:sz w:val="20"/>
                <w:szCs w:val="20"/>
                <w:lang w:val="fr-FR"/>
              </w:rPr>
              <w:t>TOTAL:</w:t>
            </w:r>
            <w:r w:rsidR="00F9266A" w:rsidRPr="00BB7E7C">
              <w:rPr>
                <w:rFonts w:cs="Times New Roman"/>
                <w:sz w:val="20"/>
                <w:szCs w:val="20"/>
                <w:lang w:val="fr-FR"/>
              </w:rPr>
              <w:t xml:space="preserve"> US 9 960 000,00</w:t>
            </w:r>
          </w:p>
        </w:tc>
        <w:tc>
          <w:tcPr>
            <w:tcW w:w="2172" w:type="dxa"/>
            <w:tcBorders>
              <w:top w:val="nil"/>
              <w:left w:val="nil"/>
              <w:bottom w:val="single" w:sz="4" w:space="0" w:color="auto"/>
              <w:right w:val="single" w:sz="4" w:space="0" w:color="auto"/>
            </w:tcBorders>
            <w:shd w:val="clear" w:color="auto" w:fill="auto"/>
            <w:vAlign w:val="center"/>
          </w:tcPr>
          <w:p w:rsidR="003E2682" w:rsidRPr="00BB7E7C" w:rsidRDefault="003E2682" w:rsidP="003E2682">
            <w:pPr>
              <w:pStyle w:val="BodyText"/>
              <w:rPr>
                <w:rFonts w:ascii="Times New Roman" w:hAnsi="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BB7E7C" w:rsidRDefault="003E2682" w:rsidP="003E2682">
            <w:pPr>
              <w:pStyle w:val="BodyText"/>
              <w:rPr>
                <w:rFonts w:ascii="Times New Roman" w:hAnsi="Times New Roman"/>
                <w:lang w:val="fr-FR"/>
              </w:rPr>
            </w:pPr>
          </w:p>
        </w:tc>
        <w:tc>
          <w:tcPr>
            <w:tcW w:w="2970" w:type="dxa"/>
            <w:tcBorders>
              <w:top w:val="nil"/>
              <w:left w:val="single" w:sz="4" w:space="0" w:color="auto"/>
              <w:bottom w:val="single" w:sz="4" w:space="0" w:color="auto"/>
              <w:right w:val="nil"/>
            </w:tcBorders>
            <w:shd w:val="clear" w:color="auto" w:fill="auto"/>
            <w:vAlign w:val="center"/>
          </w:tcPr>
          <w:p w:rsidR="003E2682" w:rsidRPr="00BB7E7C" w:rsidRDefault="003E2682" w:rsidP="003E2682">
            <w:pPr>
              <w:pStyle w:val="BodyText"/>
              <w:rPr>
                <w:rFonts w:ascii="Times New Roman" w:hAnsi="Times New Roman"/>
                <w:color w:val="000000"/>
                <w:lang w:val="fr-FR"/>
              </w:rPr>
            </w:pPr>
          </w:p>
        </w:tc>
        <w:tc>
          <w:tcPr>
            <w:tcW w:w="2016" w:type="dxa"/>
            <w:tcBorders>
              <w:top w:val="nil"/>
              <w:left w:val="nil"/>
              <w:bottom w:val="single" w:sz="4" w:space="0" w:color="auto"/>
              <w:right w:val="single" w:sz="4" w:space="0" w:color="auto"/>
            </w:tcBorders>
            <w:shd w:val="clear" w:color="auto" w:fill="auto"/>
            <w:vAlign w:val="center"/>
          </w:tcPr>
          <w:p w:rsidR="003E2682" w:rsidRPr="00BB7E7C" w:rsidRDefault="003E2682" w:rsidP="003E2682">
            <w:pPr>
              <w:pStyle w:val="BodyText"/>
              <w:rPr>
                <w:rFonts w:ascii="Times New Roman" w:hAnsi="Times New Roman"/>
                <w:lang w:val="fr-FR"/>
              </w:rPr>
            </w:pPr>
          </w:p>
        </w:tc>
      </w:tr>
      <w:tr w:rsidR="003E2682" w:rsidRPr="00BB7E7C">
        <w:trPr>
          <w:trHeight w:val="206"/>
        </w:trPr>
        <w:tc>
          <w:tcPr>
            <w:tcW w:w="5142" w:type="dxa"/>
            <w:gridSpan w:val="2"/>
            <w:tcBorders>
              <w:top w:val="single" w:sz="4" w:space="0" w:color="auto"/>
              <w:left w:val="single" w:sz="4" w:space="0" w:color="auto"/>
              <w:right w:val="single" w:sz="4" w:space="0" w:color="auto"/>
            </w:tcBorders>
            <w:shd w:val="clear" w:color="auto" w:fill="F3F3F3"/>
          </w:tcPr>
          <w:p w:rsidR="003E2682" w:rsidRPr="00BB7E7C" w:rsidRDefault="003E2682" w:rsidP="003E2682">
            <w:pPr>
              <w:pStyle w:val="H1"/>
              <w:ind w:right="-120" w:hanging="70"/>
              <w:jc w:val="center"/>
              <w:rPr>
                <w:rFonts w:cs="Times New Roman"/>
                <w:lang w:val="fr-FR"/>
              </w:rPr>
            </w:pPr>
            <w:r w:rsidRPr="00BB7E7C">
              <w:rPr>
                <w:rFonts w:cs="Times New Roman"/>
                <w:lang w:val="fr-FR"/>
              </w:rPr>
              <w:t xml:space="preserve">Évaluation du Programme </w:t>
            </w:r>
          </w:p>
        </w:tc>
        <w:tc>
          <w:tcPr>
            <w:tcW w:w="258" w:type="dxa"/>
            <w:vMerge w:val="restart"/>
            <w:tcBorders>
              <w:left w:val="single" w:sz="4" w:space="0" w:color="auto"/>
              <w:right w:val="single" w:sz="4" w:space="0" w:color="auto"/>
            </w:tcBorders>
          </w:tcPr>
          <w:p w:rsidR="003E2682" w:rsidRPr="00BB7E7C" w:rsidRDefault="003E2682" w:rsidP="003E2682">
            <w:pPr>
              <w:rPr>
                <w:lang w:val="fr-FR"/>
              </w:rPr>
            </w:pPr>
          </w:p>
        </w:tc>
        <w:tc>
          <w:tcPr>
            <w:tcW w:w="4986" w:type="dxa"/>
            <w:gridSpan w:val="2"/>
            <w:tcBorders>
              <w:top w:val="single" w:sz="4" w:space="0" w:color="auto"/>
              <w:left w:val="single" w:sz="4" w:space="0" w:color="auto"/>
              <w:right w:val="single" w:sz="4" w:space="0" w:color="auto"/>
            </w:tcBorders>
            <w:shd w:val="clear" w:color="auto" w:fill="F3F3F3"/>
          </w:tcPr>
          <w:p w:rsidR="003E2682" w:rsidRPr="00BB7E7C" w:rsidRDefault="003E2682" w:rsidP="003E2682">
            <w:pPr>
              <w:pStyle w:val="H1"/>
              <w:jc w:val="center"/>
              <w:rPr>
                <w:rFonts w:cs="Times New Roman"/>
                <w:lang w:val="fr-FR"/>
              </w:rPr>
            </w:pPr>
            <w:r w:rsidRPr="00BB7E7C">
              <w:rPr>
                <w:rFonts w:cs="Times New Roman"/>
                <w:bCs w:val="0"/>
                <w:lang w:val="fr-FR"/>
              </w:rPr>
              <w:t>Soumis par:</w:t>
            </w:r>
          </w:p>
        </w:tc>
      </w:tr>
      <w:tr w:rsidR="003E2682" w:rsidRPr="00DF6E05">
        <w:trPr>
          <w:trHeight w:val="285"/>
        </w:trPr>
        <w:tc>
          <w:tcPr>
            <w:tcW w:w="5142" w:type="dxa"/>
            <w:gridSpan w:val="2"/>
            <w:tcBorders>
              <w:left w:val="single" w:sz="4" w:space="0" w:color="auto"/>
              <w:bottom w:val="single" w:sz="4" w:space="0" w:color="auto"/>
              <w:right w:val="single" w:sz="4" w:space="0" w:color="auto"/>
            </w:tcBorders>
          </w:tcPr>
          <w:p w:rsidR="003E2682" w:rsidRPr="00BB7E7C" w:rsidRDefault="003E2682" w:rsidP="003E2682">
            <w:pPr>
              <w:pStyle w:val="BodyText"/>
              <w:rPr>
                <w:rFonts w:ascii="Times New Roman" w:hAnsi="Times New Roman"/>
                <w:bCs/>
                <w:i/>
                <w:iCs/>
                <w:snapToGrid w:val="0"/>
                <w:sz w:val="18"/>
                <w:szCs w:val="18"/>
                <w:lang w:val="fr-FR"/>
              </w:rPr>
            </w:pPr>
            <w:r w:rsidRPr="00BB7E7C">
              <w:rPr>
                <w:rFonts w:ascii="Times New Roman" w:hAnsi="Times New Roman"/>
                <w:lang w:val="fr-FR"/>
              </w:rPr>
              <w:t>Evaluation  - à joindre le cas échéant</w:t>
            </w:r>
          </w:p>
          <w:p w:rsidR="003E2682" w:rsidRPr="00BB7E7C" w:rsidRDefault="004317AD" w:rsidP="003E2682">
            <w:pPr>
              <w:pStyle w:val="BodyText"/>
              <w:rPr>
                <w:rFonts w:ascii="Times New Roman" w:hAnsi="Times New Roman"/>
                <w:lang w:val="fr-FR"/>
              </w:rPr>
            </w:pPr>
            <w:r>
              <w:rPr>
                <w:rFonts w:ascii="Times New Roman" w:hAnsi="Times New Roman"/>
                <w:i/>
                <w:noProof/>
                <w:lang w:val="fr-FR"/>
              </w:rPr>
              <w:pict>
                <v:rect id="_x0000_s1031" style="position:absolute;margin-left:41.3pt;margin-top:1.35pt;width:7.15pt;height:7.15pt;z-index:251656704" fillcolor="black" strokecolor="#f2f2f2" strokeweight="3pt">
                  <v:shadow on="t" type="perspective" color="#7f7f7f" opacity=".5" offset="1pt" offset2="-1pt"/>
                </v:rect>
              </w:pict>
            </w:r>
            <w:r>
              <w:rPr>
                <w:rFonts w:ascii="Times New Roman" w:hAnsi="Times New Roman"/>
                <w:i/>
                <w:noProof/>
                <w:lang w:val="fr-FR"/>
              </w:rPr>
              <w:pict>
                <v:rect id="_x0000_s1034" style="position:absolute;margin-left:-.7pt;margin-top:1.35pt;width:7.15pt;height:7.15pt;z-index:251659776"/>
              </w:pict>
            </w:r>
            <w:r w:rsidR="003E2682" w:rsidRPr="00BB7E7C">
              <w:rPr>
                <w:rFonts w:ascii="Times New Roman" w:hAnsi="Times New Roman"/>
                <w:lang w:val="fr-FR"/>
              </w:rPr>
              <w:t xml:space="preserve">     Oui          Non    Date: </w:t>
            </w:r>
            <w:proofErr w:type="spellStart"/>
            <w:r w:rsidR="003E2682" w:rsidRPr="00BB7E7C">
              <w:rPr>
                <w:rFonts w:ascii="Times New Roman" w:hAnsi="Times New Roman"/>
                <w:i/>
                <w:lang w:val="fr-FR"/>
              </w:rPr>
              <w:t>dd.mm.yyyy</w:t>
            </w:r>
            <w:proofErr w:type="spellEnd"/>
          </w:p>
          <w:p w:rsidR="003E2682" w:rsidRPr="00BB7E7C" w:rsidRDefault="003E2682" w:rsidP="003E2682">
            <w:pPr>
              <w:pStyle w:val="BodyText"/>
              <w:rPr>
                <w:rFonts w:ascii="Times New Roman" w:hAnsi="Times New Roman"/>
                <w:lang w:val="fr-FR"/>
              </w:rPr>
            </w:pPr>
            <w:r w:rsidRPr="00BB7E7C">
              <w:rPr>
                <w:rFonts w:ascii="Times New Roman" w:hAnsi="Times New Roman"/>
                <w:lang w:val="fr-FR"/>
              </w:rPr>
              <w:t xml:space="preserve">Evaluation  à mi-parcours </w:t>
            </w:r>
            <w:r w:rsidRPr="00BB7E7C">
              <w:rPr>
                <w:rFonts w:ascii="Times New Roman" w:hAnsi="Times New Roman"/>
                <w:bCs/>
                <w:i/>
                <w:iCs/>
                <w:snapToGrid w:val="0"/>
                <w:sz w:val="18"/>
                <w:szCs w:val="18"/>
                <w:lang w:val="fr-FR"/>
              </w:rPr>
              <w:t xml:space="preserve">– </w:t>
            </w:r>
            <w:r w:rsidRPr="00BB7E7C">
              <w:rPr>
                <w:rFonts w:ascii="Times New Roman" w:hAnsi="Times New Roman"/>
                <w:lang w:val="fr-FR"/>
              </w:rPr>
              <w:t>à joindre le cas échéant</w:t>
            </w:r>
            <w:r w:rsidRPr="00BB7E7C">
              <w:rPr>
                <w:rFonts w:ascii="Times New Roman" w:hAnsi="Times New Roman"/>
                <w:bCs/>
                <w:i/>
                <w:iCs/>
                <w:snapToGrid w:val="0"/>
                <w:sz w:val="18"/>
                <w:szCs w:val="18"/>
                <w:lang w:val="fr-FR"/>
              </w:rPr>
              <w:t xml:space="preserve"> </w:t>
            </w:r>
            <w:r w:rsidRPr="00BB7E7C">
              <w:rPr>
                <w:rFonts w:ascii="Times New Roman" w:hAnsi="Times New Roman"/>
                <w:b/>
                <w:lang w:val="fr-FR"/>
              </w:rPr>
              <w:t xml:space="preserve">          </w:t>
            </w:r>
          </w:p>
          <w:p w:rsidR="003E2682" w:rsidRPr="00BB7E7C" w:rsidRDefault="004317AD" w:rsidP="003E2682">
            <w:pPr>
              <w:pStyle w:val="BodyText"/>
              <w:rPr>
                <w:rFonts w:ascii="Times New Roman" w:hAnsi="Times New Roman"/>
                <w:lang w:val="fr-FR"/>
              </w:rPr>
            </w:pPr>
            <w:r>
              <w:rPr>
                <w:rFonts w:ascii="Times New Roman" w:hAnsi="Times New Roman"/>
                <w:i/>
                <w:noProof/>
                <w:lang w:val="fr-FR"/>
              </w:rPr>
              <w:pict>
                <v:rect id="_x0000_s1033" style="position:absolute;margin-left:40.9pt;margin-top:1.6pt;width:7.15pt;height:7.15pt;z-index:251658752" fillcolor="black" strokecolor="#f2f2f2" strokeweight="3pt">
                  <v:shadow type="perspective" color="#7f7f7f" opacity=".5" offset="1pt" offset2="-1pt"/>
                </v:rect>
              </w:pict>
            </w:r>
            <w:r>
              <w:rPr>
                <w:rFonts w:ascii="Times New Roman" w:hAnsi="Times New Roman"/>
                <w:i/>
                <w:noProof/>
                <w:lang w:val="fr-FR"/>
              </w:rPr>
              <w:pict>
                <v:rect id="_x0000_s1032" style="position:absolute;margin-left:-.7pt;margin-top:1.65pt;width:7.15pt;height:7.15pt;z-index:251657728" strokecolor="#f2f2f2" strokeweight="3pt">
                  <v:shadow on="t" type="perspective" color="#7f7f7f" opacity=".5" offset="1pt" offset2="-1pt"/>
                </v:rect>
              </w:pict>
            </w:r>
            <w:r w:rsidR="003E2682" w:rsidRPr="00BB7E7C">
              <w:rPr>
                <w:rFonts w:ascii="Times New Roman" w:hAnsi="Times New Roman"/>
                <w:lang w:val="fr-FR"/>
              </w:rPr>
              <w:t xml:space="preserve">      Oui          Non    Date: </w:t>
            </w:r>
            <w:proofErr w:type="spellStart"/>
            <w:r w:rsidR="003E2682" w:rsidRPr="00BB7E7C">
              <w:rPr>
                <w:rFonts w:ascii="Times New Roman" w:hAnsi="Times New Roman"/>
                <w:i/>
                <w:lang w:val="fr-FR"/>
              </w:rPr>
              <w:t>dd.mm.yyyy</w:t>
            </w:r>
            <w:proofErr w:type="spellEnd"/>
          </w:p>
        </w:tc>
        <w:tc>
          <w:tcPr>
            <w:tcW w:w="258" w:type="dxa"/>
            <w:vMerge/>
            <w:tcBorders>
              <w:left w:val="single" w:sz="4" w:space="0" w:color="auto"/>
              <w:right w:val="single" w:sz="4" w:space="0" w:color="auto"/>
            </w:tcBorders>
          </w:tcPr>
          <w:p w:rsidR="003E2682" w:rsidRPr="00BB7E7C" w:rsidRDefault="003E2682" w:rsidP="003E2682">
            <w:pPr>
              <w:pStyle w:val="BodyText"/>
              <w:rPr>
                <w:rFonts w:ascii="Times New Roman" w:hAnsi="Times New Roman"/>
                <w:lang w:val="fr-FR"/>
              </w:rPr>
            </w:pPr>
          </w:p>
        </w:tc>
        <w:tc>
          <w:tcPr>
            <w:tcW w:w="4986" w:type="dxa"/>
            <w:gridSpan w:val="2"/>
            <w:tcBorders>
              <w:left w:val="single" w:sz="4" w:space="0" w:color="auto"/>
              <w:bottom w:val="single" w:sz="4" w:space="0" w:color="auto"/>
              <w:right w:val="single" w:sz="4" w:space="0" w:color="auto"/>
            </w:tcBorders>
          </w:tcPr>
          <w:p w:rsidR="003E2682" w:rsidRPr="00BB7E7C" w:rsidRDefault="003E2682" w:rsidP="003E2682">
            <w:pPr>
              <w:numPr>
                <w:ilvl w:val="0"/>
                <w:numId w:val="10"/>
              </w:numPr>
              <w:ind w:left="342"/>
              <w:rPr>
                <w:sz w:val="20"/>
                <w:szCs w:val="20"/>
                <w:lang w:val="fr-FR"/>
              </w:rPr>
            </w:pPr>
            <w:r w:rsidRPr="00BB7E7C">
              <w:rPr>
                <w:sz w:val="20"/>
                <w:szCs w:val="20"/>
                <w:lang w:val="fr-FR"/>
              </w:rPr>
              <w:t>Nom:</w:t>
            </w:r>
            <w:r w:rsidR="00A66647" w:rsidRPr="00BB7E7C">
              <w:rPr>
                <w:sz w:val="20"/>
                <w:szCs w:val="20"/>
                <w:lang w:val="fr-FR"/>
              </w:rPr>
              <w:t xml:space="preserve"> Sophie De Caen</w:t>
            </w:r>
          </w:p>
          <w:p w:rsidR="003E2682" w:rsidRPr="00BB7E7C" w:rsidRDefault="003E2682" w:rsidP="003E2682">
            <w:pPr>
              <w:numPr>
                <w:ilvl w:val="0"/>
                <w:numId w:val="10"/>
              </w:numPr>
              <w:ind w:left="342"/>
              <w:rPr>
                <w:sz w:val="20"/>
                <w:szCs w:val="20"/>
                <w:lang w:val="fr-FR"/>
              </w:rPr>
            </w:pPr>
            <w:r w:rsidRPr="00BB7E7C">
              <w:rPr>
                <w:sz w:val="20"/>
                <w:szCs w:val="20"/>
                <w:lang w:val="fr-FR"/>
              </w:rPr>
              <w:t>Titre:</w:t>
            </w:r>
            <w:r w:rsidR="00A66647" w:rsidRPr="00BB7E7C">
              <w:rPr>
                <w:sz w:val="20"/>
                <w:szCs w:val="20"/>
                <w:lang w:val="fr-FR"/>
              </w:rPr>
              <w:t xml:space="preserve"> Directrice Principale</w:t>
            </w:r>
          </w:p>
          <w:p w:rsidR="003E2682" w:rsidRPr="00BB7E7C" w:rsidRDefault="003E2682" w:rsidP="003E2682">
            <w:pPr>
              <w:numPr>
                <w:ilvl w:val="0"/>
                <w:numId w:val="10"/>
              </w:numPr>
              <w:ind w:left="342"/>
              <w:rPr>
                <w:sz w:val="20"/>
                <w:szCs w:val="20"/>
                <w:lang w:val="fr-FR"/>
              </w:rPr>
            </w:pPr>
            <w:r w:rsidRPr="00BB7E7C">
              <w:rPr>
                <w:sz w:val="20"/>
                <w:szCs w:val="20"/>
                <w:lang w:val="fr-FR"/>
              </w:rPr>
              <w:t>Organisation Participante (“Lead Agency”):</w:t>
            </w:r>
            <w:r w:rsidR="00A66647" w:rsidRPr="00BB7E7C">
              <w:rPr>
                <w:sz w:val="20"/>
                <w:szCs w:val="20"/>
                <w:lang w:val="fr-FR"/>
              </w:rPr>
              <w:t>UNDP</w:t>
            </w:r>
          </w:p>
          <w:p w:rsidR="003E2682" w:rsidRPr="00BB7E7C" w:rsidRDefault="003E2682" w:rsidP="003E2682">
            <w:pPr>
              <w:pStyle w:val="BodyText"/>
              <w:numPr>
                <w:ilvl w:val="0"/>
                <w:numId w:val="10"/>
              </w:numPr>
              <w:spacing w:after="120"/>
              <w:ind w:left="342"/>
              <w:jc w:val="both"/>
              <w:rPr>
                <w:rFonts w:ascii="Times New Roman" w:hAnsi="Times New Roman"/>
                <w:b/>
                <w:bCs/>
                <w:snapToGrid w:val="0"/>
                <w:kern w:val="32"/>
                <w:sz w:val="24"/>
                <w:szCs w:val="32"/>
                <w:lang w:val="fr-FR"/>
              </w:rPr>
            </w:pPr>
            <w:r w:rsidRPr="00BB7E7C">
              <w:rPr>
                <w:rFonts w:ascii="Times New Roman" w:hAnsi="Times New Roman"/>
                <w:lang w:val="fr-FR"/>
              </w:rPr>
              <w:t>Adresse e-mail:</w:t>
            </w:r>
            <w:r w:rsidR="00BB7E7C">
              <w:rPr>
                <w:rFonts w:ascii="Times New Roman" w:hAnsi="Times New Roman"/>
                <w:lang w:val="fr-FR"/>
              </w:rPr>
              <w:t xml:space="preserve"> </w:t>
            </w:r>
            <w:hyperlink r:id="rId11" w:history="1">
              <w:r w:rsidR="00BB7E7C" w:rsidRPr="008F1965">
                <w:rPr>
                  <w:rStyle w:val="Hyperlink"/>
                  <w:rFonts w:ascii="Times New Roman" w:hAnsi="Times New Roman"/>
                  <w:lang w:val="fr-FR"/>
                </w:rPr>
                <w:t>msophie.de.caen@undp.org</w:t>
              </w:r>
            </w:hyperlink>
          </w:p>
          <w:p w:rsidR="00BB7E7C" w:rsidRPr="00BB7E7C" w:rsidRDefault="00BB7E7C" w:rsidP="00BB7E7C">
            <w:pPr>
              <w:pStyle w:val="BodyText"/>
              <w:spacing w:after="120"/>
              <w:ind w:left="342"/>
              <w:jc w:val="both"/>
              <w:rPr>
                <w:rFonts w:ascii="Times New Roman" w:hAnsi="Times New Roman"/>
                <w:b/>
                <w:bCs/>
                <w:snapToGrid w:val="0"/>
                <w:kern w:val="32"/>
                <w:sz w:val="24"/>
                <w:szCs w:val="32"/>
                <w:lang w:val="fr-FR"/>
              </w:rPr>
            </w:pPr>
          </w:p>
        </w:tc>
      </w:tr>
    </w:tbl>
    <w:p w:rsidR="003E2682" w:rsidRPr="00BB7E7C" w:rsidRDefault="003E2682" w:rsidP="00CF7BE6">
      <w:pPr>
        <w:rPr>
          <w:u w:val="single"/>
          <w:lang w:val="fr-FR"/>
        </w:rPr>
      </w:pPr>
    </w:p>
    <w:p w:rsidR="003E2682" w:rsidRPr="00BB7E7C" w:rsidRDefault="003E2682" w:rsidP="003E2682">
      <w:pPr>
        <w:rPr>
          <w:sz w:val="16"/>
          <w:lang w:val="fr-FR"/>
        </w:rPr>
      </w:pPr>
    </w:p>
    <w:p w:rsidR="00A66647" w:rsidRPr="00901A33" w:rsidRDefault="003E2682" w:rsidP="00901A33">
      <w:pPr>
        <w:pStyle w:val="Heading1"/>
        <w:tabs>
          <w:tab w:val="left" w:pos="360"/>
        </w:tabs>
        <w:ind w:left="0"/>
        <w:jc w:val="left"/>
        <w:rPr>
          <w:rFonts w:ascii="Times New Roman" w:hAnsi="Times New Roman"/>
          <w:sz w:val="24"/>
          <w:szCs w:val="24"/>
          <w:lang w:val="fr-FR"/>
        </w:rPr>
      </w:pPr>
      <w:bookmarkStart w:id="1" w:name="_Toc249364483"/>
      <w:r w:rsidRPr="00E3532D">
        <w:rPr>
          <w:rFonts w:ascii="Times New Roman" w:hAnsi="Times New Roman"/>
          <w:sz w:val="24"/>
          <w:szCs w:val="24"/>
          <w:lang w:val="fr-FR"/>
        </w:rPr>
        <w:t>RÉSUMÉ</w:t>
      </w:r>
    </w:p>
    <w:p w:rsidR="00A66647" w:rsidRPr="00A66647" w:rsidRDefault="00A66647" w:rsidP="00A66647">
      <w:pPr>
        <w:jc w:val="both"/>
        <w:rPr>
          <w:rFonts w:ascii="Myriad Pro" w:hAnsi="Myriad Pro"/>
          <w:highlight w:val="yellow"/>
          <w:lang w:val="fr-FR"/>
        </w:rPr>
      </w:pPr>
    </w:p>
    <w:p w:rsidR="00A66647" w:rsidRPr="00CF7BE6" w:rsidRDefault="00A66647" w:rsidP="00A66647">
      <w:pPr>
        <w:jc w:val="both"/>
        <w:rPr>
          <w:lang w:val="fr-FR"/>
        </w:rPr>
      </w:pPr>
      <w:r w:rsidRPr="00CF7BE6">
        <w:rPr>
          <w:lang w:val="fr-FR"/>
        </w:rPr>
        <w:t xml:space="preserve">Le séisme du 12 janvier 2010 nous a  rappelé  de façon dramatique et brutale la vulnérabilité du bâti et des infrastructures en Haïti face aux séismes, ainsi que le faible niveau de capacités, en Haïti, pour concevoir et construire de manière appropriée face à cette menace. </w:t>
      </w:r>
    </w:p>
    <w:p w:rsidR="00A66647" w:rsidRPr="00CF7BE6" w:rsidRDefault="00A66647" w:rsidP="00A66647">
      <w:pPr>
        <w:jc w:val="both"/>
        <w:rPr>
          <w:lang w:val="fr-FR"/>
        </w:rPr>
      </w:pPr>
      <w:r w:rsidRPr="00CF7BE6">
        <w:rPr>
          <w:lang w:val="fr-FR"/>
        </w:rPr>
        <w:t>Les villes côtières du nord du pays font face à un risque sismique élevé car elles sont situées le long de la faille active dite « Septentrionale », responsable du séisme de magnitud</w:t>
      </w:r>
      <w:r w:rsidR="00901A33" w:rsidRPr="00CF7BE6">
        <w:rPr>
          <w:lang w:val="fr-FR"/>
        </w:rPr>
        <w:t xml:space="preserve">e 8 de 1842. </w:t>
      </w:r>
    </w:p>
    <w:p w:rsidR="00A66647" w:rsidRPr="00CF7BE6" w:rsidRDefault="00A66647" w:rsidP="00A66647">
      <w:pPr>
        <w:jc w:val="both"/>
        <w:rPr>
          <w:lang w:val="fr-FR"/>
        </w:rPr>
      </w:pPr>
      <w:r w:rsidRPr="00CF7BE6">
        <w:rPr>
          <w:lang w:val="fr-FR"/>
        </w:rPr>
        <w:t>Ce projet est bâti aut</w:t>
      </w:r>
      <w:r w:rsidR="00901A33" w:rsidRPr="00CF7BE6">
        <w:rPr>
          <w:lang w:val="fr-FR"/>
        </w:rPr>
        <w:t>our de 4 piliers qui permettent</w:t>
      </w:r>
      <w:r w:rsidRPr="00CF7BE6">
        <w:rPr>
          <w:lang w:val="fr-FR"/>
        </w:rPr>
        <w:t xml:space="preserve"> de définir le niveau de risque, de le prendre en compte de manière effective pour les infrastructures existantes et à venir, de former et d’informer sur le risque et les solutions pour s’y adapter et de renforcer les capacités locales.</w:t>
      </w:r>
    </w:p>
    <w:p w:rsidR="00A66647" w:rsidRPr="00CF7BE6" w:rsidRDefault="00A66647" w:rsidP="00A66647">
      <w:pPr>
        <w:jc w:val="both"/>
        <w:rPr>
          <w:lang w:val="fr-FR"/>
        </w:rPr>
      </w:pPr>
    </w:p>
    <w:p w:rsidR="00A66647" w:rsidRPr="00CF7BE6" w:rsidRDefault="00A66647" w:rsidP="00792C9D">
      <w:pPr>
        <w:numPr>
          <w:ilvl w:val="0"/>
          <w:numId w:val="20"/>
        </w:numPr>
        <w:spacing w:before="60"/>
        <w:ind w:left="720" w:hanging="360"/>
        <w:jc w:val="both"/>
        <w:rPr>
          <w:b/>
          <w:lang w:val="fr-FR"/>
        </w:rPr>
      </w:pPr>
      <w:r w:rsidRPr="00CF7BE6">
        <w:rPr>
          <w:b/>
          <w:i/>
          <w:lang w:val="fr-FR"/>
        </w:rPr>
        <w:t>Approfondir la connaissance de la menace sismique :</w:t>
      </w:r>
      <w:r w:rsidRPr="00CF7BE6">
        <w:rPr>
          <w:b/>
          <w:lang w:val="fr-FR"/>
        </w:rPr>
        <w:t xml:space="preserve"> </w:t>
      </w:r>
      <w:r w:rsidRPr="00CF7BE6">
        <w:rPr>
          <w:lang w:val="fr-FR"/>
        </w:rPr>
        <w:t>La menace sismique dans le nord du pays est identifiée en général mais elle reste à quantifier. Des études approfondies de micro zonage ont permis de quantifier la</w:t>
      </w:r>
      <w:r w:rsidRPr="00CF7BE6">
        <w:rPr>
          <w:b/>
          <w:lang w:val="fr-FR"/>
        </w:rPr>
        <w:t xml:space="preserve"> réponse des sols à la sollicitation sismique dans les villes principales et leurs alentours (micro zonage) pour pouvoir adapter planification urbaine et constructions.</w:t>
      </w:r>
    </w:p>
    <w:p w:rsidR="00A66647" w:rsidRPr="00CF7BE6" w:rsidRDefault="00A66647" w:rsidP="00901A33">
      <w:pPr>
        <w:spacing w:before="60"/>
        <w:ind w:left="720"/>
        <w:jc w:val="both"/>
        <w:rPr>
          <w:lang w:val="fr-FR"/>
        </w:rPr>
      </w:pPr>
      <w:r w:rsidRPr="00CF7BE6">
        <w:rPr>
          <w:lang w:val="fr-FR"/>
        </w:rPr>
        <w:t xml:space="preserve">Des études </w:t>
      </w:r>
      <w:proofErr w:type="gramStart"/>
      <w:r w:rsidRPr="00CF7BE6">
        <w:rPr>
          <w:lang w:val="fr-FR"/>
        </w:rPr>
        <w:t>géologiques</w:t>
      </w:r>
      <w:r w:rsidR="00901A33" w:rsidRPr="00CF7BE6">
        <w:rPr>
          <w:lang w:val="fr-FR"/>
        </w:rPr>
        <w:t> ,</w:t>
      </w:r>
      <w:proofErr w:type="gramEnd"/>
      <w:r w:rsidR="00901A33" w:rsidRPr="00CF7BE6">
        <w:rPr>
          <w:lang w:val="fr-FR"/>
        </w:rPr>
        <w:t xml:space="preserve"> géotechniques et </w:t>
      </w:r>
      <w:r w:rsidR="00C51E6C" w:rsidRPr="00CF7BE6">
        <w:rPr>
          <w:lang w:val="fr-FR"/>
        </w:rPr>
        <w:t>géophysiques</w:t>
      </w:r>
      <w:r w:rsidR="00901A33" w:rsidRPr="00CF7BE6">
        <w:rPr>
          <w:lang w:val="fr-FR"/>
        </w:rPr>
        <w:t xml:space="preserve"> </w:t>
      </w:r>
      <w:r w:rsidR="005A0E31" w:rsidRPr="00CF7BE6">
        <w:rPr>
          <w:lang w:val="fr-FR"/>
        </w:rPr>
        <w:t xml:space="preserve">ont été </w:t>
      </w:r>
      <w:r w:rsidRPr="00CF7BE6">
        <w:rPr>
          <w:lang w:val="fr-FR"/>
        </w:rPr>
        <w:t>menées pour connaitre la structure des sols et pour estimer leur réaction aux sollicitations séismiques</w:t>
      </w:r>
      <w:r w:rsidR="00C51E6C" w:rsidRPr="00CF7BE6">
        <w:rPr>
          <w:lang w:val="fr-FR"/>
        </w:rPr>
        <w:t xml:space="preserve"> et guider les </w:t>
      </w:r>
      <w:r w:rsidR="00D846BF" w:rsidRPr="00CF7BE6">
        <w:rPr>
          <w:lang w:val="fr-FR"/>
        </w:rPr>
        <w:t>autorités</w:t>
      </w:r>
      <w:r w:rsidR="00C51E6C" w:rsidRPr="00CF7BE6">
        <w:rPr>
          <w:lang w:val="fr-FR"/>
        </w:rPr>
        <w:t xml:space="preserve"> locales </w:t>
      </w:r>
      <w:r w:rsidR="00DC3444">
        <w:rPr>
          <w:lang w:val="fr-FR"/>
        </w:rPr>
        <w:t xml:space="preserve">à </w:t>
      </w:r>
      <w:r w:rsidR="00C51E6C" w:rsidRPr="00CF7BE6">
        <w:rPr>
          <w:lang w:val="fr-FR"/>
        </w:rPr>
        <w:t xml:space="preserve"> revoir leurs plans d’</w:t>
      </w:r>
      <w:r w:rsidR="00EC44A8" w:rsidRPr="00CF7BE6">
        <w:rPr>
          <w:lang w:val="fr-FR"/>
        </w:rPr>
        <w:t>urbanisation</w:t>
      </w:r>
    </w:p>
    <w:p w:rsidR="002A1A8D" w:rsidRDefault="00F35448" w:rsidP="00BB3DBD">
      <w:pPr>
        <w:spacing w:before="60"/>
        <w:jc w:val="both"/>
        <w:rPr>
          <w:lang w:val="fr-FR"/>
        </w:rPr>
      </w:pPr>
      <w:r>
        <w:rPr>
          <w:lang w:val="fr-FR"/>
        </w:rPr>
        <w:t xml:space="preserve">            </w:t>
      </w:r>
      <w:r w:rsidR="00BB3DBD">
        <w:rPr>
          <w:lang w:val="fr-FR"/>
        </w:rPr>
        <w:t xml:space="preserve">Des </w:t>
      </w:r>
      <w:r w:rsidR="005A0E31" w:rsidRPr="00CF7BE6">
        <w:rPr>
          <w:lang w:val="fr-FR"/>
        </w:rPr>
        <w:t xml:space="preserve"> </w:t>
      </w:r>
      <w:r w:rsidR="00A66647" w:rsidRPr="00CF7BE6">
        <w:rPr>
          <w:lang w:val="fr-FR"/>
        </w:rPr>
        <w:t>cartographie</w:t>
      </w:r>
      <w:r w:rsidR="00BB3DBD">
        <w:rPr>
          <w:lang w:val="fr-FR"/>
        </w:rPr>
        <w:t>s</w:t>
      </w:r>
      <w:r w:rsidR="00A66647" w:rsidRPr="00CF7BE6">
        <w:rPr>
          <w:lang w:val="fr-FR"/>
        </w:rPr>
        <w:t xml:space="preserve"> partielle</w:t>
      </w:r>
      <w:r w:rsidR="00BB3DBD">
        <w:rPr>
          <w:lang w:val="fr-FR"/>
        </w:rPr>
        <w:t>s</w:t>
      </w:r>
      <w:r w:rsidR="00A66647" w:rsidRPr="00CF7BE6">
        <w:rPr>
          <w:lang w:val="fr-FR"/>
        </w:rPr>
        <w:t xml:space="preserve"> de</w:t>
      </w:r>
      <w:r w:rsidR="00BB3DBD">
        <w:rPr>
          <w:lang w:val="fr-FR"/>
        </w:rPr>
        <w:t>s</w:t>
      </w:r>
      <w:r w:rsidR="00A66647" w:rsidRPr="00CF7BE6">
        <w:rPr>
          <w:lang w:val="fr-FR"/>
        </w:rPr>
        <w:t xml:space="preserve">  ville</w:t>
      </w:r>
      <w:r w:rsidR="00BB3DBD">
        <w:rPr>
          <w:lang w:val="fr-FR"/>
        </w:rPr>
        <w:t>s</w:t>
      </w:r>
      <w:r w:rsidR="00A66647" w:rsidRPr="00CF7BE6">
        <w:rPr>
          <w:lang w:val="fr-FR"/>
        </w:rPr>
        <w:t xml:space="preserve"> du Cap</w:t>
      </w:r>
      <w:r w:rsidR="00DC3444">
        <w:rPr>
          <w:lang w:val="fr-FR"/>
        </w:rPr>
        <w:t>-</w:t>
      </w:r>
      <w:r w:rsidR="00A66647" w:rsidRPr="00CF7BE6">
        <w:rPr>
          <w:lang w:val="fr-FR"/>
        </w:rPr>
        <w:t>Haït</w:t>
      </w:r>
      <w:r w:rsidR="00901A33" w:rsidRPr="00CF7BE6">
        <w:rPr>
          <w:lang w:val="fr-FR"/>
        </w:rPr>
        <w:t xml:space="preserve">ien, </w:t>
      </w:r>
      <w:proofErr w:type="spellStart"/>
      <w:r w:rsidR="00901A33" w:rsidRPr="00CF7BE6">
        <w:rPr>
          <w:lang w:val="fr-FR"/>
        </w:rPr>
        <w:t>Ouanaminthe</w:t>
      </w:r>
      <w:proofErr w:type="spellEnd"/>
      <w:r w:rsidR="00901A33" w:rsidRPr="00CF7BE6">
        <w:rPr>
          <w:lang w:val="fr-FR"/>
        </w:rPr>
        <w:t xml:space="preserve"> et Port</w:t>
      </w:r>
      <w:r w:rsidR="00FB53FC">
        <w:rPr>
          <w:lang w:val="fr-FR"/>
        </w:rPr>
        <w:t>-de-Paix</w:t>
      </w:r>
      <w:r w:rsidR="00A66647" w:rsidRPr="00CF7BE6">
        <w:rPr>
          <w:lang w:val="fr-FR"/>
        </w:rPr>
        <w:t xml:space="preserve"> </w:t>
      </w:r>
      <w:r w:rsidR="00BB3DBD">
        <w:rPr>
          <w:lang w:val="fr-FR"/>
        </w:rPr>
        <w:t>sont</w:t>
      </w:r>
      <w:r w:rsidR="00A66647" w:rsidRPr="00CF7BE6">
        <w:rPr>
          <w:lang w:val="fr-FR"/>
        </w:rPr>
        <w:t xml:space="preserve"> produite</w:t>
      </w:r>
      <w:r w:rsidR="00BB3DBD" w:rsidRPr="00BB3DBD">
        <w:rPr>
          <w:lang w:val="fr-FR"/>
        </w:rPr>
        <w:t>s</w:t>
      </w:r>
      <w:r w:rsidR="00A66647" w:rsidRPr="00CF7BE6">
        <w:rPr>
          <w:lang w:val="fr-FR"/>
        </w:rPr>
        <w:t xml:space="preserve">; </w:t>
      </w:r>
      <w:r w:rsidR="002A1A8D">
        <w:rPr>
          <w:lang w:val="fr-FR"/>
        </w:rPr>
        <w:tab/>
      </w:r>
      <w:r w:rsidR="00A66647" w:rsidRPr="00CF7BE6">
        <w:rPr>
          <w:lang w:val="fr-FR"/>
        </w:rPr>
        <w:t>elle</w:t>
      </w:r>
      <w:r w:rsidR="00BB3DBD">
        <w:rPr>
          <w:lang w:val="fr-FR"/>
        </w:rPr>
        <w:t>s</w:t>
      </w:r>
      <w:r w:rsidR="002A1A8D">
        <w:rPr>
          <w:lang w:val="fr-FR"/>
        </w:rPr>
        <w:t xml:space="preserve"> </w:t>
      </w:r>
      <w:r w:rsidR="00A66647" w:rsidRPr="00CF7BE6">
        <w:rPr>
          <w:lang w:val="fr-FR"/>
        </w:rPr>
        <w:t>montre</w:t>
      </w:r>
      <w:r w:rsidR="00BB3DBD">
        <w:rPr>
          <w:lang w:val="fr-FR"/>
        </w:rPr>
        <w:t>nt</w:t>
      </w:r>
      <w:r w:rsidR="00A66647" w:rsidRPr="00CF7BE6">
        <w:rPr>
          <w:lang w:val="fr-FR"/>
        </w:rPr>
        <w:t xml:space="preserve"> clairement les endroits qui ont des effets de site plus élevés (grand risque </w:t>
      </w:r>
      <w:r w:rsidR="002A1A8D">
        <w:rPr>
          <w:lang w:val="fr-FR"/>
        </w:rPr>
        <w:t xml:space="preserve">             </w:t>
      </w:r>
    </w:p>
    <w:p w:rsidR="00A66647" w:rsidRPr="00CF7BE6" w:rsidRDefault="002A1A8D" w:rsidP="00BB3DBD">
      <w:pPr>
        <w:spacing w:before="60"/>
        <w:jc w:val="both"/>
        <w:rPr>
          <w:lang w:val="fr-FR"/>
        </w:rPr>
      </w:pPr>
      <w:r>
        <w:rPr>
          <w:lang w:val="fr-FR"/>
        </w:rPr>
        <w:t xml:space="preserve">           </w:t>
      </w:r>
      <w:proofErr w:type="gramStart"/>
      <w:r w:rsidR="00A66647" w:rsidRPr="00CF7BE6">
        <w:rPr>
          <w:lang w:val="fr-FR"/>
        </w:rPr>
        <w:t>d’effondrement</w:t>
      </w:r>
      <w:proofErr w:type="gramEnd"/>
      <w:r>
        <w:rPr>
          <w:lang w:val="fr-FR"/>
        </w:rPr>
        <w:t xml:space="preserve"> </w:t>
      </w:r>
      <w:r w:rsidR="00A66647" w:rsidRPr="00CF7BE6">
        <w:rPr>
          <w:lang w:val="fr-FR"/>
        </w:rPr>
        <w:t>en cas de séisme.</w:t>
      </w:r>
    </w:p>
    <w:p w:rsidR="00A66647" w:rsidRPr="00CF7BE6" w:rsidRDefault="00901A33" w:rsidP="005A0E31">
      <w:pPr>
        <w:spacing w:before="60"/>
        <w:ind w:left="720"/>
        <w:jc w:val="both"/>
        <w:rPr>
          <w:b/>
          <w:lang w:val="fr-FR"/>
        </w:rPr>
      </w:pPr>
      <w:r w:rsidRPr="00CF7BE6">
        <w:rPr>
          <w:lang w:val="fr-FR"/>
        </w:rPr>
        <w:t xml:space="preserve">La note d’avancement </w:t>
      </w:r>
      <w:r w:rsidR="00C51E6C" w:rsidRPr="00CF7BE6">
        <w:rPr>
          <w:lang w:val="fr-FR"/>
        </w:rPr>
        <w:t>annexée</w:t>
      </w:r>
      <w:r w:rsidRPr="00CF7BE6">
        <w:rPr>
          <w:lang w:val="fr-FR"/>
        </w:rPr>
        <w:t xml:space="preserve"> au rapport va donner plus de détails</w:t>
      </w:r>
      <w:r w:rsidR="006F6541" w:rsidRPr="00CF7BE6">
        <w:rPr>
          <w:lang w:val="fr-FR"/>
        </w:rPr>
        <w:t xml:space="preserve"> techniques</w:t>
      </w:r>
    </w:p>
    <w:p w:rsidR="00A66647" w:rsidRPr="00CF7BE6" w:rsidRDefault="00A66647" w:rsidP="00A66647">
      <w:pPr>
        <w:numPr>
          <w:ilvl w:val="0"/>
          <w:numId w:val="20"/>
        </w:numPr>
        <w:spacing w:before="60"/>
        <w:ind w:left="720" w:hanging="360"/>
        <w:jc w:val="both"/>
        <w:rPr>
          <w:lang w:val="fr-FR"/>
        </w:rPr>
      </w:pPr>
      <w:r w:rsidRPr="00CF7BE6">
        <w:rPr>
          <w:b/>
          <w:i/>
          <w:lang w:val="fr-FR"/>
        </w:rPr>
        <w:t>Concerter, coopérer et communiquer sur le risque sismique et les solutions pour s’y adapter</w:t>
      </w:r>
      <w:r w:rsidRPr="00CF7BE6">
        <w:rPr>
          <w:i/>
          <w:lang w:val="fr-FR"/>
        </w:rPr>
        <w:t>:</w:t>
      </w:r>
      <w:r w:rsidR="00DC3444">
        <w:rPr>
          <w:i/>
          <w:lang w:val="fr-FR"/>
        </w:rPr>
        <w:t xml:space="preserve"> </w:t>
      </w:r>
      <w:r w:rsidR="00C51E6C" w:rsidRPr="00CF7BE6">
        <w:rPr>
          <w:i/>
          <w:lang w:val="fr-FR"/>
        </w:rPr>
        <w:t xml:space="preserve">Le </w:t>
      </w:r>
      <w:r w:rsidR="00C51E6C" w:rsidRPr="00CF7BE6">
        <w:rPr>
          <w:lang w:val="fr-FR"/>
        </w:rPr>
        <w:t>projet a permis de mettre en éveil la population en général et les écoliers en par</w:t>
      </w:r>
      <w:r w:rsidR="00792C9D" w:rsidRPr="00CF7BE6">
        <w:rPr>
          <w:lang w:val="fr-FR"/>
        </w:rPr>
        <w:t>ticulier</w:t>
      </w:r>
      <w:r w:rsidR="00C51E6C" w:rsidRPr="00CF7BE6">
        <w:rPr>
          <w:lang w:val="fr-FR"/>
        </w:rPr>
        <w:t xml:space="preserve"> </w:t>
      </w:r>
      <w:r w:rsidR="00792C9D" w:rsidRPr="00CF7BE6">
        <w:rPr>
          <w:lang w:val="fr-FR"/>
        </w:rPr>
        <w:t>s</w:t>
      </w:r>
      <w:r w:rsidR="00C51E6C" w:rsidRPr="00CF7BE6">
        <w:rPr>
          <w:lang w:val="fr-FR"/>
        </w:rPr>
        <w:t xml:space="preserve">ur le danger que </w:t>
      </w:r>
      <w:r w:rsidR="00792C9D" w:rsidRPr="00CF7BE6">
        <w:rPr>
          <w:lang w:val="fr-FR"/>
        </w:rPr>
        <w:t>représente</w:t>
      </w:r>
      <w:r w:rsidR="00C51E6C" w:rsidRPr="00CF7BE6">
        <w:rPr>
          <w:lang w:val="fr-FR"/>
        </w:rPr>
        <w:t xml:space="preserve"> la faille </w:t>
      </w:r>
      <w:r w:rsidR="00EC44A8" w:rsidRPr="00CF7BE6">
        <w:rPr>
          <w:lang w:val="fr-FR"/>
        </w:rPr>
        <w:t>septentrional</w:t>
      </w:r>
      <w:r w:rsidR="00DC3444">
        <w:rPr>
          <w:lang w:val="fr-FR"/>
        </w:rPr>
        <w:t>e</w:t>
      </w:r>
      <w:r w:rsidR="00792C9D" w:rsidRPr="00CF7BE6">
        <w:rPr>
          <w:lang w:val="fr-FR"/>
        </w:rPr>
        <w:t xml:space="preserve"> </w:t>
      </w:r>
      <w:r w:rsidR="00EC44A8" w:rsidRPr="00CF7BE6">
        <w:rPr>
          <w:lang w:val="fr-FR"/>
        </w:rPr>
        <w:t>à</w:t>
      </w:r>
      <w:r w:rsidR="00792C9D" w:rsidRPr="00CF7BE6">
        <w:rPr>
          <w:lang w:val="fr-FR"/>
        </w:rPr>
        <w:t xml:space="preserve"> travers</w:t>
      </w:r>
      <w:r w:rsidR="00C51E6C" w:rsidRPr="00CF7BE6">
        <w:rPr>
          <w:lang w:val="fr-FR"/>
        </w:rPr>
        <w:t xml:space="preserve"> les </w:t>
      </w:r>
      <w:r w:rsidR="00792C9D" w:rsidRPr="00CF7BE6">
        <w:rPr>
          <w:lang w:val="fr-FR"/>
        </w:rPr>
        <w:t>marches</w:t>
      </w:r>
      <w:r w:rsidR="00BB3DBD">
        <w:rPr>
          <w:lang w:val="fr-FR"/>
        </w:rPr>
        <w:t xml:space="preserve"> commémoratives</w:t>
      </w:r>
      <w:r w:rsidR="00FB53FC">
        <w:rPr>
          <w:lang w:val="fr-FR"/>
        </w:rPr>
        <w:t>,</w:t>
      </w:r>
      <w:r w:rsidR="00792C9D" w:rsidRPr="00CF7BE6">
        <w:rPr>
          <w:lang w:val="fr-FR"/>
        </w:rPr>
        <w:t xml:space="preserve"> les observations sur les risques  urbains et l</w:t>
      </w:r>
      <w:r w:rsidR="00DC3444">
        <w:rPr>
          <w:lang w:val="fr-FR"/>
        </w:rPr>
        <w:t>'</w:t>
      </w:r>
      <w:r w:rsidR="00792C9D" w:rsidRPr="00CF7BE6">
        <w:rPr>
          <w:lang w:val="fr-FR"/>
        </w:rPr>
        <w:t xml:space="preserve">exposition thématique sur le </w:t>
      </w:r>
      <w:r w:rsidR="004B43B3" w:rsidRPr="00CF7BE6">
        <w:rPr>
          <w:lang w:val="fr-FR"/>
        </w:rPr>
        <w:t>séisme</w:t>
      </w:r>
      <w:r w:rsidR="00792C9D" w:rsidRPr="00CF7BE6">
        <w:rPr>
          <w:lang w:val="fr-FR"/>
        </w:rPr>
        <w:t xml:space="preserve">/tsunami organisée au Cap et </w:t>
      </w:r>
      <w:r w:rsidR="00C51E6C" w:rsidRPr="00CF7BE6">
        <w:rPr>
          <w:lang w:val="fr-FR"/>
        </w:rPr>
        <w:t xml:space="preserve"> </w:t>
      </w:r>
      <w:r w:rsidR="00792C9D" w:rsidRPr="00CF7BE6">
        <w:rPr>
          <w:lang w:val="fr-FR"/>
        </w:rPr>
        <w:t>visitée par plus de 5</w:t>
      </w:r>
      <w:r w:rsidR="00C51E6C" w:rsidRPr="00CF7BE6">
        <w:rPr>
          <w:lang w:val="fr-FR"/>
        </w:rPr>
        <w:t>000 personnes</w:t>
      </w:r>
      <w:r w:rsidR="00792C9D" w:rsidRPr="00CF7BE6">
        <w:rPr>
          <w:lang w:val="fr-FR"/>
        </w:rPr>
        <w:t>.</w:t>
      </w:r>
      <w:r w:rsidR="006F6541" w:rsidRPr="00CF7BE6">
        <w:rPr>
          <w:lang w:val="fr-FR"/>
        </w:rPr>
        <w:t xml:space="preserve"> </w:t>
      </w:r>
      <w:r w:rsidRPr="00CF7BE6">
        <w:rPr>
          <w:lang w:val="fr-FR"/>
        </w:rPr>
        <w:t>Cette communication s’est adressée  en particulier aux écoles (le phénomène naturel, la conduite à tenir avant, pendant, après) grâce au</w:t>
      </w:r>
      <w:r w:rsidR="006F6541" w:rsidRPr="00CF7BE6">
        <w:rPr>
          <w:lang w:val="fr-FR"/>
        </w:rPr>
        <w:t>x différents ateliers de forma</w:t>
      </w:r>
      <w:r w:rsidR="00F04F51" w:rsidRPr="00CF7BE6">
        <w:rPr>
          <w:lang w:val="fr-FR"/>
        </w:rPr>
        <w:t>ti</w:t>
      </w:r>
      <w:r w:rsidRPr="00CF7BE6">
        <w:rPr>
          <w:lang w:val="fr-FR"/>
        </w:rPr>
        <w:t>on et d’animation organisés dans les trois départements  cibles.</w:t>
      </w:r>
      <w:r w:rsidR="004B43B3" w:rsidRPr="00CF7BE6">
        <w:rPr>
          <w:lang w:val="fr-FR"/>
        </w:rPr>
        <w:t xml:space="preserve"> </w:t>
      </w:r>
      <w:r w:rsidR="006F6541" w:rsidRPr="00CF7BE6">
        <w:rPr>
          <w:lang w:val="fr-FR"/>
        </w:rPr>
        <w:t xml:space="preserve"> </w:t>
      </w:r>
    </w:p>
    <w:p w:rsidR="00A66647" w:rsidRPr="00CF7BE6" w:rsidRDefault="004B43B3" w:rsidP="00A66647">
      <w:pPr>
        <w:numPr>
          <w:ilvl w:val="0"/>
          <w:numId w:val="20"/>
        </w:numPr>
        <w:spacing w:before="60"/>
        <w:ind w:left="720" w:hanging="360"/>
        <w:jc w:val="both"/>
        <w:rPr>
          <w:b/>
          <w:lang w:val="fr-FR"/>
        </w:rPr>
      </w:pPr>
      <w:r w:rsidRPr="00CF7BE6">
        <w:rPr>
          <w:b/>
          <w:i/>
          <w:lang w:val="fr-FR"/>
        </w:rPr>
        <w:t>Évaluer</w:t>
      </w:r>
      <w:r w:rsidR="00A66647" w:rsidRPr="00CF7BE6">
        <w:rPr>
          <w:b/>
          <w:i/>
          <w:lang w:val="fr-FR"/>
        </w:rPr>
        <w:t xml:space="preserve"> la vulnérabilité du  bâti existant et proposer des solutions et outils pour la réduction de la vulnérabilité aux séismes :</w:t>
      </w:r>
      <w:r w:rsidR="00A66647" w:rsidRPr="00CF7BE6">
        <w:rPr>
          <w:b/>
          <w:lang w:val="fr-FR"/>
        </w:rPr>
        <w:t xml:space="preserve"> </w:t>
      </w:r>
    </w:p>
    <w:p w:rsidR="00BB3DBD" w:rsidRPr="00BB3DBD" w:rsidRDefault="004B43B3" w:rsidP="00BB3DBD">
      <w:pPr>
        <w:pStyle w:val="PlainText"/>
        <w:rPr>
          <w:lang w:val="fr-FR"/>
        </w:rPr>
      </w:pPr>
      <w:r w:rsidRPr="00CF7BE6">
        <w:rPr>
          <w:lang w:val="fr-FR"/>
        </w:rPr>
        <w:t>Le P</w:t>
      </w:r>
      <w:r w:rsidR="00A66647" w:rsidRPr="00CF7BE6">
        <w:rPr>
          <w:lang w:val="fr-FR"/>
        </w:rPr>
        <w:t>rojet</w:t>
      </w:r>
      <w:r w:rsidR="00F04F51" w:rsidRPr="00CF7BE6">
        <w:rPr>
          <w:lang w:val="fr-FR"/>
        </w:rPr>
        <w:t xml:space="preserve"> a évalué 9 bâtiments</w:t>
      </w:r>
      <w:r w:rsidR="00B80CBF" w:rsidRPr="00CF7BE6">
        <w:rPr>
          <w:lang w:val="fr-FR"/>
        </w:rPr>
        <w:t xml:space="preserve"> </w:t>
      </w:r>
      <w:r w:rsidR="00DC3444">
        <w:rPr>
          <w:lang w:val="fr-FR"/>
        </w:rPr>
        <w:t xml:space="preserve">publics </w:t>
      </w:r>
      <w:r w:rsidR="00B80CBF" w:rsidRPr="00CF7BE6">
        <w:rPr>
          <w:lang w:val="fr-FR"/>
        </w:rPr>
        <w:t xml:space="preserve"> et a </w:t>
      </w:r>
      <w:r w:rsidRPr="00CF7BE6">
        <w:rPr>
          <w:lang w:val="fr-FR"/>
        </w:rPr>
        <w:t xml:space="preserve">formé </w:t>
      </w:r>
      <w:r w:rsidR="00B80CBF" w:rsidRPr="00CF7BE6">
        <w:rPr>
          <w:lang w:val="fr-FR"/>
        </w:rPr>
        <w:t xml:space="preserve"> </w:t>
      </w:r>
      <w:r w:rsidRPr="00CF7BE6">
        <w:rPr>
          <w:lang w:val="fr-FR"/>
        </w:rPr>
        <w:t xml:space="preserve"> </w:t>
      </w:r>
      <w:r w:rsidR="00B80CBF" w:rsidRPr="00CF7BE6">
        <w:rPr>
          <w:lang w:val="fr-FR"/>
        </w:rPr>
        <w:t xml:space="preserve">37 </w:t>
      </w:r>
      <w:r w:rsidRPr="00CF7BE6">
        <w:rPr>
          <w:lang w:val="fr-FR"/>
        </w:rPr>
        <w:t>ingénieurs</w:t>
      </w:r>
      <w:r w:rsidR="00B80CBF" w:rsidRPr="00CF7BE6">
        <w:rPr>
          <w:lang w:val="fr-FR"/>
        </w:rPr>
        <w:t xml:space="preserve"> en </w:t>
      </w:r>
      <w:r w:rsidRPr="00CF7BE6">
        <w:rPr>
          <w:lang w:val="fr-FR"/>
        </w:rPr>
        <w:t>évaluation</w:t>
      </w:r>
      <w:r w:rsidR="00B80CBF" w:rsidRPr="00CF7BE6">
        <w:rPr>
          <w:lang w:val="fr-FR"/>
        </w:rPr>
        <w:t xml:space="preserve"> rapide des </w:t>
      </w:r>
      <w:r w:rsidRPr="00CF7BE6">
        <w:rPr>
          <w:lang w:val="fr-FR"/>
        </w:rPr>
        <w:t>bâtiments</w:t>
      </w:r>
      <w:r w:rsidR="00B80CBF" w:rsidRPr="00CF7BE6">
        <w:rPr>
          <w:lang w:val="fr-FR"/>
        </w:rPr>
        <w:t xml:space="preserve">. Ce travail a permis aux </w:t>
      </w:r>
      <w:r w:rsidRPr="00CF7BE6">
        <w:rPr>
          <w:lang w:val="fr-FR"/>
        </w:rPr>
        <w:t>autorités</w:t>
      </w:r>
      <w:r w:rsidR="00B80CBF" w:rsidRPr="00CF7BE6">
        <w:rPr>
          <w:lang w:val="fr-FR"/>
        </w:rPr>
        <w:t xml:space="preserve"> locales de se rendre compte du danger </w:t>
      </w:r>
      <w:r w:rsidRPr="00CF7BE6">
        <w:rPr>
          <w:lang w:val="fr-FR"/>
        </w:rPr>
        <w:t>réel</w:t>
      </w:r>
      <w:r w:rsidR="00B80CBF" w:rsidRPr="00CF7BE6">
        <w:rPr>
          <w:lang w:val="fr-FR"/>
        </w:rPr>
        <w:t xml:space="preserve"> et de penser aux solutions </w:t>
      </w:r>
      <w:r w:rsidRPr="00CF7BE6">
        <w:rPr>
          <w:lang w:val="fr-FR"/>
        </w:rPr>
        <w:t>appropriées</w:t>
      </w:r>
      <w:r w:rsidR="00B80CBF" w:rsidRPr="00CF7BE6">
        <w:rPr>
          <w:lang w:val="fr-FR"/>
        </w:rPr>
        <w:t xml:space="preserve"> pour renforcer ces édifices.</w:t>
      </w:r>
      <w:r w:rsidR="0086072D" w:rsidRPr="00CF7BE6">
        <w:rPr>
          <w:lang w:val="fr-FR"/>
        </w:rPr>
        <w:t xml:space="preserve"> Un rapport technique détaillé peut  être consulté sur le</w:t>
      </w:r>
      <w:r w:rsidR="00BB3DBD">
        <w:rPr>
          <w:lang w:val="fr-FR"/>
        </w:rPr>
        <w:t>s</w:t>
      </w:r>
      <w:r w:rsidR="0086072D" w:rsidRPr="00CF7BE6">
        <w:rPr>
          <w:lang w:val="fr-FR"/>
        </w:rPr>
        <w:t xml:space="preserve"> </w:t>
      </w:r>
      <w:r w:rsidR="00BB3DBD">
        <w:rPr>
          <w:lang w:val="fr-FR"/>
        </w:rPr>
        <w:t>liens  suivant</w:t>
      </w:r>
      <w:r w:rsidR="002A1A8D">
        <w:rPr>
          <w:lang w:val="fr-FR"/>
        </w:rPr>
        <w:t xml:space="preserve"> </w:t>
      </w:r>
      <w:hyperlink r:id="rId12" w:history="1">
        <w:r w:rsidR="00BB3DBD" w:rsidRPr="00BB3DBD">
          <w:rPr>
            <w:rStyle w:val="Hyperlink"/>
            <w:lang w:val="fr-FR"/>
          </w:rPr>
          <w:t>https://drive.google.com/file/d/0B2q4zwyqvkLtUGcyUUtDMHlPa2M/edit?usp=sharing</w:t>
        </w:r>
      </w:hyperlink>
      <w:r w:rsidR="00BB3DBD" w:rsidRPr="00BB3DBD">
        <w:rPr>
          <w:lang w:val="fr-FR"/>
        </w:rPr>
        <w:t xml:space="preserve"> </w:t>
      </w:r>
      <w:proofErr w:type="gramStart"/>
      <w:r w:rsidR="00BB3DBD" w:rsidRPr="00BB3DBD">
        <w:rPr>
          <w:lang w:val="fr-FR"/>
        </w:rPr>
        <w:t>( Français</w:t>
      </w:r>
      <w:proofErr w:type="gramEnd"/>
      <w:r w:rsidR="00BB3DBD" w:rsidRPr="00BB3DBD">
        <w:rPr>
          <w:lang w:val="fr-FR"/>
        </w:rPr>
        <w:t xml:space="preserve"> ) </w:t>
      </w:r>
    </w:p>
    <w:p w:rsidR="00BB3DBD" w:rsidRPr="00FB53FC" w:rsidRDefault="004317AD" w:rsidP="00BB3DBD">
      <w:pPr>
        <w:pStyle w:val="BodyText2"/>
        <w:spacing w:after="100" w:afterAutospacing="1"/>
        <w:rPr>
          <w:rStyle w:val="hps"/>
          <w:rFonts w:ascii="Times New Roman" w:hAnsi="Times New Roman" w:cs="Times New Roman"/>
          <w:sz w:val="24"/>
          <w:szCs w:val="24"/>
          <w:lang w:val="fr-FR"/>
        </w:rPr>
      </w:pPr>
      <w:hyperlink r:id="rId13" w:history="1">
        <w:r w:rsidR="00BB3DBD" w:rsidRPr="00BB3DBD">
          <w:rPr>
            <w:rStyle w:val="Hyperlink"/>
            <w:lang w:val="fr-FR"/>
          </w:rPr>
          <w:t>https://drive.google.com/file/d/0B2q4zwyqvkLtc0k1OHpjNVBkTkE/edit?usp=sharing</w:t>
        </w:r>
      </w:hyperlink>
    </w:p>
    <w:p w:rsidR="00A66647" w:rsidRPr="00BB3DBD" w:rsidRDefault="00A66647" w:rsidP="00A66647">
      <w:pPr>
        <w:spacing w:before="60"/>
        <w:ind w:left="720"/>
        <w:jc w:val="both"/>
        <w:rPr>
          <w:lang w:val="fr-FR"/>
        </w:rPr>
      </w:pPr>
    </w:p>
    <w:p w:rsidR="00A66647" w:rsidRPr="00BB3DBD" w:rsidRDefault="00A66647" w:rsidP="00B80CBF">
      <w:pPr>
        <w:spacing w:before="60"/>
        <w:jc w:val="both"/>
        <w:rPr>
          <w:lang w:val="fr-FR"/>
        </w:rPr>
      </w:pPr>
    </w:p>
    <w:p w:rsidR="00A66647" w:rsidRPr="00CF7BE6" w:rsidRDefault="00A66647" w:rsidP="00A66647">
      <w:pPr>
        <w:numPr>
          <w:ilvl w:val="0"/>
          <w:numId w:val="20"/>
        </w:numPr>
        <w:spacing w:before="60"/>
        <w:jc w:val="both"/>
        <w:rPr>
          <w:b/>
          <w:lang w:val="fr-FR"/>
        </w:rPr>
      </w:pPr>
      <w:r w:rsidRPr="00CF7BE6">
        <w:rPr>
          <w:b/>
          <w:lang w:val="fr-FR"/>
        </w:rPr>
        <w:t>Renforcer les capacités locales</w:t>
      </w:r>
    </w:p>
    <w:p w:rsidR="00A66647" w:rsidRPr="00CF7BE6" w:rsidRDefault="00A361C3" w:rsidP="00B80CBF">
      <w:pPr>
        <w:spacing w:before="60"/>
        <w:jc w:val="both"/>
        <w:rPr>
          <w:lang w:val="fr-FR"/>
        </w:rPr>
      </w:pPr>
      <w:r w:rsidRPr="00CF7BE6">
        <w:rPr>
          <w:lang w:val="fr-FR"/>
        </w:rPr>
        <w:t xml:space="preserve">      Le projet a mis sur pied   4 comit</w:t>
      </w:r>
      <w:r w:rsidR="00DC3444">
        <w:rPr>
          <w:lang w:val="fr-FR"/>
        </w:rPr>
        <w:t>é</w:t>
      </w:r>
      <w:r w:rsidRPr="00CF7BE6">
        <w:rPr>
          <w:lang w:val="fr-FR"/>
        </w:rPr>
        <w:t xml:space="preserve">s </w:t>
      </w:r>
      <w:r w:rsidR="00D846BF" w:rsidRPr="00CF7BE6">
        <w:rPr>
          <w:lang w:val="fr-FR"/>
        </w:rPr>
        <w:t>de conseils sismiques qui jouent le rôle d’interface par rapport</w:t>
      </w:r>
      <w:r w:rsidRPr="00CF7BE6">
        <w:rPr>
          <w:lang w:val="fr-FR"/>
        </w:rPr>
        <w:t xml:space="preserve"> </w:t>
      </w:r>
      <w:r w:rsidR="00DC3444">
        <w:rPr>
          <w:lang w:val="fr-FR"/>
        </w:rPr>
        <w:t>à</w:t>
      </w:r>
      <w:r w:rsidRPr="00CF7BE6">
        <w:rPr>
          <w:lang w:val="fr-FR"/>
        </w:rPr>
        <w:t xml:space="preserve"> la mise</w:t>
      </w:r>
      <w:r w:rsidR="000372F4">
        <w:rPr>
          <w:lang w:val="fr-FR"/>
        </w:rPr>
        <w:t xml:space="preserve"> en œuvre </w:t>
      </w:r>
      <w:r w:rsidRPr="00CF7BE6">
        <w:rPr>
          <w:lang w:val="fr-FR"/>
        </w:rPr>
        <w:t xml:space="preserve">du projet. Ceci a permis de faciliter </w:t>
      </w:r>
      <w:r w:rsidR="00E0416A" w:rsidRPr="00CF7BE6">
        <w:rPr>
          <w:lang w:val="fr-FR"/>
        </w:rPr>
        <w:t>la compréhension de la menace sismique par la population</w:t>
      </w:r>
      <w:r w:rsidRPr="00CF7BE6">
        <w:rPr>
          <w:lang w:val="fr-FR"/>
        </w:rPr>
        <w:t xml:space="preserve"> </w:t>
      </w:r>
    </w:p>
    <w:p w:rsidR="00A66647" w:rsidRPr="00CF7BE6" w:rsidRDefault="00E0416A" w:rsidP="00A66647">
      <w:pPr>
        <w:spacing w:before="60"/>
        <w:ind w:left="360"/>
        <w:jc w:val="both"/>
        <w:rPr>
          <w:lang w:val="fr-FR"/>
        </w:rPr>
      </w:pPr>
      <w:r w:rsidRPr="00CF7BE6">
        <w:rPr>
          <w:lang w:val="fr-FR"/>
        </w:rPr>
        <w:t xml:space="preserve">Le projet a  formé plus de 320  jeunes en techniques </w:t>
      </w:r>
      <w:r w:rsidR="00DC3444">
        <w:rPr>
          <w:lang w:val="fr-FR"/>
        </w:rPr>
        <w:t xml:space="preserve">de </w:t>
      </w:r>
      <w:r w:rsidRPr="00CF7BE6">
        <w:rPr>
          <w:lang w:val="fr-FR"/>
        </w:rPr>
        <w:t xml:space="preserve">premier secours </w:t>
      </w:r>
      <w:r w:rsidR="00D846BF" w:rsidRPr="00CF7BE6">
        <w:rPr>
          <w:lang w:val="fr-FR"/>
        </w:rPr>
        <w:t>(sauvetage</w:t>
      </w:r>
      <w:r w:rsidRPr="00CF7BE6">
        <w:rPr>
          <w:lang w:val="fr-FR"/>
        </w:rPr>
        <w:t xml:space="preserve"> et transport de </w:t>
      </w:r>
      <w:proofErr w:type="gramStart"/>
      <w:r w:rsidRPr="00CF7BE6">
        <w:rPr>
          <w:lang w:val="fr-FR"/>
        </w:rPr>
        <w:t xml:space="preserve">blessés </w:t>
      </w:r>
      <w:r w:rsidR="000372F4">
        <w:rPr>
          <w:lang w:val="fr-FR"/>
        </w:rPr>
        <w:t>)</w:t>
      </w:r>
      <w:proofErr w:type="gramEnd"/>
    </w:p>
    <w:p w:rsidR="00A66647" w:rsidRPr="00CF7BE6" w:rsidRDefault="00A66647" w:rsidP="00E0416A">
      <w:pPr>
        <w:spacing w:before="60"/>
        <w:jc w:val="both"/>
        <w:rPr>
          <w:lang w:val="fr-FR"/>
        </w:rPr>
      </w:pPr>
    </w:p>
    <w:p w:rsidR="00A66647" w:rsidRPr="00CF7BE6" w:rsidRDefault="00A66647" w:rsidP="00A66647">
      <w:pPr>
        <w:rPr>
          <w:b/>
          <w:lang w:val="fr-FR"/>
        </w:rPr>
      </w:pPr>
    </w:p>
    <w:p w:rsidR="003E2682" w:rsidRPr="00CF7BE6" w:rsidRDefault="003E2682" w:rsidP="003E2682">
      <w:pPr>
        <w:ind w:left="720"/>
        <w:jc w:val="both"/>
        <w:rPr>
          <w:lang w:val="fr-FR"/>
        </w:rPr>
      </w:pPr>
    </w:p>
    <w:p w:rsidR="003E2682" w:rsidRPr="00CF7BE6" w:rsidRDefault="003E2682" w:rsidP="003E2682">
      <w:pPr>
        <w:rPr>
          <w:lang w:val="fr-FR"/>
        </w:rPr>
      </w:pPr>
    </w:p>
    <w:bookmarkEnd w:id="1"/>
    <w:p w:rsidR="003E2682" w:rsidRPr="00CF7BE6" w:rsidRDefault="003E2682" w:rsidP="003E2682">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CF7BE6">
        <w:rPr>
          <w:rFonts w:ascii="Times New Roman" w:hAnsi="Times New Roman"/>
          <w:sz w:val="24"/>
          <w:szCs w:val="24"/>
          <w:lang w:val="fr-FR"/>
        </w:rPr>
        <w:t>Objectifs</w:t>
      </w:r>
    </w:p>
    <w:p w:rsidR="00A66647" w:rsidRPr="00CF7BE6" w:rsidRDefault="00A66647" w:rsidP="00A66647">
      <w:pPr>
        <w:framePr w:hSpace="180" w:wrap="around" w:vAnchor="text" w:hAnchor="margin" w:xAlign="center" w:y="226"/>
        <w:jc w:val="both"/>
        <w:rPr>
          <w:lang w:val="fr-FR"/>
        </w:rPr>
      </w:pPr>
      <w:r w:rsidRPr="00CF7BE6">
        <w:rPr>
          <w:b/>
          <w:lang w:val="fr-FR"/>
        </w:rPr>
        <w:t>L’objectif général</w:t>
      </w:r>
      <w:r w:rsidRPr="00CF7BE6">
        <w:rPr>
          <w:lang w:val="fr-FR"/>
        </w:rPr>
        <w:t xml:space="preserve"> de ce projet est de réduire la vulnérabilité des départements du Nord-Est, Nord, et Nord-Ouest face à la menace sismique en renforçant la résilience des infrastructures et des populations dans le but de minimiser les pertes économiques et en vies humaines lors d’événements futurs.</w:t>
      </w:r>
    </w:p>
    <w:p w:rsidR="00A66647" w:rsidRPr="00CF7BE6" w:rsidRDefault="00A66647" w:rsidP="00A66647">
      <w:pPr>
        <w:framePr w:hSpace="180" w:wrap="around" w:vAnchor="text" w:hAnchor="margin" w:xAlign="center" w:y="226"/>
        <w:jc w:val="both"/>
        <w:rPr>
          <w:lang w:val="fr-FR"/>
        </w:rPr>
      </w:pPr>
    </w:p>
    <w:p w:rsidR="00A66647" w:rsidRPr="00CF7BE6" w:rsidRDefault="00A66647" w:rsidP="00A66647">
      <w:pPr>
        <w:framePr w:hSpace="180" w:wrap="around" w:vAnchor="text" w:hAnchor="margin" w:xAlign="center" w:y="226"/>
        <w:jc w:val="both"/>
        <w:rPr>
          <w:lang w:val="fr-FR"/>
        </w:rPr>
      </w:pPr>
      <w:r w:rsidRPr="00CF7BE6">
        <w:rPr>
          <w:b/>
          <w:lang w:val="fr-FR"/>
        </w:rPr>
        <w:t>Les objectifs spécifiques</w:t>
      </w:r>
      <w:r w:rsidRPr="00CF7BE6">
        <w:rPr>
          <w:lang w:val="fr-FR"/>
        </w:rPr>
        <w:t xml:space="preserve"> de ce programme sont de :</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Quantifier la menace sismique par le micro zonage des 4 grandes villes du Nord, Nord-Est et Nord-Ouest (Por</w:t>
      </w:r>
      <w:r w:rsidR="007948A1">
        <w:rPr>
          <w:lang w:val="fr-FR"/>
        </w:rPr>
        <w:t>t-de-Paix, Cap-Haïtien, Fort-</w:t>
      </w:r>
      <w:r w:rsidRPr="00CF7BE6">
        <w:rPr>
          <w:lang w:val="fr-FR"/>
        </w:rPr>
        <w:t>Liberté/</w:t>
      </w:r>
      <w:proofErr w:type="spellStart"/>
      <w:r w:rsidRPr="00CF7BE6">
        <w:rPr>
          <w:lang w:val="fr-FR"/>
        </w:rPr>
        <w:t>Ouanaminthe</w:t>
      </w:r>
      <w:proofErr w:type="spellEnd"/>
      <w:r w:rsidRPr="00CF7BE6">
        <w:rPr>
          <w:lang w:val="fr-FR"/>
        </w:rPr>
        <w:t>) et les villes secondaires principales;</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Evaluer la vulnérabilité du bâti et des infrastructures et les classifier en fonction de l’enjeu associé (économique, humain, stratégique);</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Identifier les infrastructures critiques à fort enjeu (hôpitaux, bâtiments publics, écoles, ponts, centrales d’énergie, etc.);</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Proposer des solutions budgétisées pour le renforcement structural des infrastructures prioritaires à fort enjeu;</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Renforcer un sous-ensemble prioritaire des infrastructures critiques à fort enjeu;</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Former les professionnels de la construction aux pratiques parasismiques, des maçons aux ingénieurs, du secteur public (ingénieurs municipaux et départementaux) et privé;</w:t>
      </w:r>
    </w:p>
    <w:p w:rsidR="00A66647" w:rsidRPr="00CF7BE6" w:rsidRDefault="00A66647" w:rsidP="00A66647">
      <w:pPr>
        <w:framePr w:hSpace="180" w:wrap="around" w:vAnchor="text" w:hAnchor="margin" w:xAlign="center" w:y="226"/>
        <w:numPr>
          <w:ilvl w:val="0"/>
          <w:numId w:val="21"/>
        </w:numPr>
        <w:ind w:left="360"/>
        <w:jc w:val="both"/>
        <w:rPr>
          <w:lang w:val="fr-FR"/>
        </w:rPr>
      </w:pPr>
      <w:r w:rsidRPr="00CF7BE6">
        <w:rPr>
          <w:lang w:val="fr-FR"/>
        </w:rPr>
        <w:t>Inclure le risque sismique dans le plan de contingence aux désastres des 3 départements du nord et former les membres des comités départementaux et communaux;</w:t>
      </w:r>
    </w:p>
    <w:p w:rsidR="00E0416A" w:rsidRPr="00CF7BE6" w:rsidRDefault="00A66647" w:rsidP="00E0416A">
      <w:pPr>
        <w:framePr w:hSpace="180" w:wrap="around" w:vAnchor="text" w:hAnchor="margin" w:xAlign="center" w:y="226"/>
        <w:rPr>
          <w:lang w:val="fr-FR"/>
        </w:rPr>
      </w:pPr>
      <w:r w:rsidRPr="00CF7BE6">
        <w:rPr>
          <w:lang w:val="fr-FR"/>
        </w:rPr>
        <w:t>Informer les citoyens, les constructeurs et les pouvoirs publics sur le risque sismique et les solutions pour s’y préparer et adapter; et</w:t>
      </w:r>
    </w:p>
    <w:p w:rsidR="00E0416A" w:rsidRPr="00CF7BE6" w:rsidRDefault="00E0416A" w:rsidP="00E0416A">
      <w:pPr>
        <w:framePr w:hSpace="180" w:wrap="around" w:vAnchor="text" w:hAnchor="margin" w:xAlign="center" w:y="226"/>
        <w:rPr>
          <w:lang w:val="fr-FR"/>
        </w:rPr>
      </w:pPr>
      <w:r w:rsidRPr="00CF7BE6">
        <w:rPr>
          <w:b/>
          <w:lang w:val="fr-FR"/>
        </w:rPr>
        <w:t xml:space="preserve"> </w:t>
      </w:r>
      <w:r w:rsidRPr="00CF7BE6">
        <w:rPr>
          <w:lang w:val="fr-FR"/>
        </w:rPr>
        <w:t>Renforcer les capacités des communes et des départements pour la gestion du risque sismique</w:t>
      </w:r>
    </w:p>
    <w:p w:rsidR="00A66647" w:rsidRPr="00CF7BE6" w:rsidRDefault="00A66647" w:rsidP="00E0416A">
      <w:pPr>
        <w:framePr w:hSpace="180" w:wrap="around" w:vAnchor="text" w:hAnchor="margin" w:xAlign="center" w:y="226"/>
        <w:jc w:val="both"/>
        <w:rPr>
          <w:lang w:val="fr-FR"/>
        </w:rPr>
      </w:pPr>
    </w:p>
    <w:p w:rsidR="003E2682" w:rsidRPr="0086072D" w:rsidRDefault="00F41DFF" w:rsidP="00E0416A">
      <w:pPr>
        <w:rPr>
          <w:b/>
          <w:lang w:val="fr-FR"/>
        </w:rPr>
      </w:pPr>
      <w:r>
        <w:rPr>
          <w:b/>
          <w:lang w:val="fr-FR"/>
        </w:rPr>
        <w:t>II</w:t>
      </w:r>
      <w:r w:rsidR="00A66647" w:rsidRPr="00CF7BE6">
        <w:rPr>
          <w:b/>
          <w:lang w:val="fr-FR"/>
        </w:rPr>
        <w:tab/>
      </w:r>
      <w:bookmarkStart w:id="2" w:name="_Toc249364486"/>
      <w:r w:rsidR="003E2682" w:rsidRPr="00CF7BE6">
        <w:rPr>
          <w:b/>
          <w:lang w:val="fr-FR"/>
        </w:rPr>
        <w:t>Résultats</w:t>
      </w:r>
      <w:bookmarkEnd w:id="2"/>
      <w:r w:rsidR="003E2682" w:rsidRPr="0086072D">
        <w:rPr>
          <w:b/>
          <w:lang w:val="fr-FR"/>
        </w:rPr>
        <w:t xml:space="preserve"> </w:t>
      </w:r>
    </w:p>
    <w:p w:rsidR="00CF2129" w:rsidRPr="00E0416A" w:rsidRDefault="00CF2129" w:rsidP="00CF2129">
      <w:pPr>
        <w:pStyle w:val="BodyText2"/>
        <w:rPr>
          <w:rStyle w:val="hps"/>
          <w:rFonts w:ascii="Times New Roman" w:hAnsi="Times New Roman" w:cs="Times New Roman"/>
          <w:sz w:val="24"/>
          <w:szCs w:val="24"/>
          <w:lang w:val="fr-FR"/>
        </w:rPr>
      </w:pPr>
      <w:r w:rsidRPr="00E0416A">
        <w:rPr>
          <w:rStyle w:val="hps"/>
          <w:rFonts w:ascii="Times New Roman" w:hAnsi="Times New Roman" w:cs="Times New Roman"/>
          <w:sz w:val="24"/>
          <w:szCs w:val="24"/>
          <w:lang w:val="fr-FR"/>
        </w:rPr>
        <w:t xml:space="preserve">I) </w:t>
      </w:r>
      <w:r w:rsidRPr="00F41DFF">
        <w:rPr>
          <w:rStyle w:val="hps"/>
          <w:rFonts w:ascii="Times New Roman" w:hAnsi="Times New Roman" w:cs="Times New Roman"/>
          <w:b/>
          <w:sz w:val="24"/>
          <w:szCs w:val="24"/>
          <w:lang w:val="fr-FR"/>
        </w:rPr>
        <w:t>Rapport descriptif/bilan 2013</w:t>
      </w:r>
    </w:p>
    <w:p w:rsidR="00CF2129" w:rsidRPr="0086072D" w:rsidRDefault="00CF2129" w:rsidP="00CF2129">
      <w:pPr>
        <w:pStyle w:val="BodyText2"/>
        <w:rPr>
          <w:rStyle w:val="hps"/>
          <w:rFonts w:ascii="Times New Roman" w:hAnsi="Times New Roman" w:cs="Times New Roman"/>
          <w:sz w:val="24"/>
          <w:szCs w:val="24"/>
          <w:lang w:val="fr-FR"/>
        </w:rPr>
      </w:pPr>
      <w:r w:rsidRPr="0086072D">
        <w:rPr>
          <w:rStyle w:val="hps"/>
          <w:rFonts w:ascii="Times New Roman" w:hAnsi="Times New Roman" w:cs="Times New Roman"/>
          <w:sz w:val="24"/>
          <w:szCs w:val="24"/>
          <w:lang w:val="fr-FR"/>
        </w:rPr>
        <w:t>Sur la période considérée, les résultats suivants ont été atteints :</w:t>
      </w:r>
      <w:r w:rsidR="000A6719">
        <w:rPr>
          <w:rStyle w:val="hps"/>
          <w:rFonts w:ascii="Times New Roman" w:hAnsi="Times New Roman" w:cs="Times New Roman"/>
          <w:sz w:val="24"/>
          <w:szCs w:val="24"/>
          <w:lang w:val="fr-FR"/>
        </w:rPr>
        <w:t xml:space="preserve"> </w:t>
      </w:r>
      <w:r w:rsidRPr="0086072D">
        <w:rPr>
          <w:rStyle w:val="hps"/>
          <w:rFonts w:ascii="Times New Roman" w:hAnsi="Times New Roman" w:cs="Times New Roman"/>
          <w:sz w:val="24"/>
          <w:szCs w:val="24"/>
          <w:lang w:val="fr-FR"/>
        </w:rPr>
        <w:t>(Janvier-Décembre 2013)</w:t>
      </w:r>
    </w:p>
    <w:p w:rsidR="00CF2129" w:rsidRPr="005A310E" w:rsidRDefault="005A310E" w:rsidP="005A310E">
      <w:pPr>
        <w:pStyle w:val="BodyText2"/>
        <w:numPr>
          <w:ilvl w:val="0"/>
          <w:numId w:val="22"/>
        </w:numPr>
        <w:spacing w:after="100" w:afterAutospacing="1"/>
        <w:rPr>
          <w:rStyle w:val="hps"/>
          <w:rFonts w:ascii="Times New Roman" w:hAnsi="Times New Roman" w:cs="Times New Roman"/>
          <w:sz w:val="24"/>
          <w:szCs w:val="24"/>
          <w:lang w:val="fr-FR"/>
        </w:rPr>
      </w:pPr>
      <w:r>
        <w:rPr>
          <w:rStyle w:val="hps"/>
          <w:rFonts w:ascii="Times New Roman" w:hAnsi="Times New Roman" w:cs="Times New Roman"/>
          <w:sz w:val="24"/>
          <w:szCs w:val="24"/>
          <w:lang w:val="fr-FR"/>
        </w:rPr>
        <w:t>C</w:t>
      </w:r>
      <w:r w:rsidR="00CF2129" w:rsidRPr="005A310E">
        <w:rPr>
          <w:rStyle w:val="hps"/>
          <w:rFonts w:ascii="Times New Roman" w:hAnsi="Times New Roman" w:cs="Times New Roman"/>
          <w:sz w:val="24"/>
          <w:szCs w:val="24"/>
          <w:lang w:val="fr-FR"/>
        </w:rPr>
        <w:t>artographie géologique</w:t>
      </w:r>
      <w:r w:rsidR="0086072D" w:rsidRPr="005A310E">
        <w:rPr>
          <w:rStyle w:val="hps"/>
          <w:rFonts w:ascii="Times New Roman" w:hAnsi="Times New Roman" w:cs="Times New Roman"/>
          <w:sz w:val="24"/>
          <w:szCs w:val="24"/>
          <w:lang w:val="fr-FR"/>
        </w:rPr>
        <w:t xml:space="preserve"> et géophysiques</w:t>
      </w:r>
      <w:r w:rsidR="00CF2129" w:rsidRPr="005A310E">
        <w:rPr>
          <w:rStyle w:val="hps"/>
          <w:rFonts w:ascii="Times New Roman" w:hAnsi="Times New Roman" w:cs="Times New Roman"/>
          <w:sz w:val="24"/>
          <w:szCs w:val="24"/>
          <w:lang w:val="fr-FR"/>
        </w:rPr>
        <w:t xml:space="preserve"> </w:t>
      </w:r>
      <w:r w:rsidR="007948A1">
        <w:rPr>
          <w:rStyle w:val="hps"/>
          <w:rFonts w:ascii="Times New Roman" w:hAnsi="Times New Roman" w:cs="Times New Roman"/>
          <w:sz w:val="24"/>
          <w:szCs w:val="24"/>
          <w:lang w:val="fr-FR"/>
        </w:rPr>
        <w:t>des Villes de Cap-Haïtien, Fort-</w:t>
      </w:r>
      <w:r w:rsidR="00CF2129" w:rsidRPr="005A310E">
        <w:rPr>
          <w:rStyle w:val="hps"/>
          <w:rFonts w:ascii="Times New Roman" w:hAnsi="Times New Roman" w:cs="Times New Roman"/>
          <w:sz w:val="24"/>
          <w:szCs w:val="24"/>
          <w:lang w:val="fr-FR"/>
        </w:rPr>
        <w:t xml:space="preserve">Liberté et </w:t>
      </w:r>
      <w:proofErr w:type="spellStart"/>
      <w:r w:rsidR="00CF2129" w:rsidRPr="005A310E">
        <w:rPr>
          <w:rStyle w:val="hps"/>
          <w:rFonts w:ascii="Times New Roman" w:hAnsi="Times New Roman" w:cs="Times New Roman"/>
          <w:sz w:val="24"/>
          <w:szCs w:val="24"/>
          <w:lang w:val="fr-FR"/>
        </w:rPr>
        <w:t>Ouanaminthe</w:t>
      </w:r>
      <w:proofErr w:type="spellEnd"/>
      <w:r w:rsidR="00CF2129" w:rsidRPr="005A310E">
        <w:rPr>
          <w:rStyle w:val="hps"/>
          <w:rFonts w:ascii="Times New Roman" w:hAnsi="Times New Roman" w:cs="Times New Roman"/>
          <w:sz w:val="24"/>
          <w:szCs w:val="24"/>
          <w:lang w:val="fr-FR"/>
        </w:rPr>
        <w:t xml:space="preserve"> </w:t>
      </w:r>
    </w:p>
    <w:p w:rsidR="00CF2129" w:rsidRPr="00E0416A" w:rsidRDefault="0086072D" w:rsidP="00CF2129">
      <w:pPr>
        <w:pStyle w:val="BodyText2"/>
        <w:numPr>
          <w:ilvl w:val="0"/>
          <w:numId w:val="22"/>
        </w:numPr>
        <w:spacing w:after="100" w:afterAutospacing="1"/>
        <w:rPr>
          <w:rStyle w:val="hps"/>
          <w:rFonts w:ascii="Times New Roman" w:hAnsi="Times New Roman" w:cs="Times New Roman"/>
          <w:sz w:val="24"/>
          <w:szCs w:val="24"/>
          <w:lang w:val="fr-FR"/>
        </w:rPr>
      </w:pPr>
      <w:r>
        <w:rPr>
          <w:rStyle w:val="hps"/>
          <w:rFonts w:ascii="Times New Roman" w:hAnsi="Times New Roman" w:cs="Times New Roman"/>
          <w:sz w:val="24"/>
          <w:szCs w:val="24"/>
          <w:lang w:val="fr-FR"/>
        </w:rPr>
        <w:t xml:space="preserve">Meilleure connaissance des mouvements des ondes dans les sols ainsi que la résistance au </w:t>
      </w:r>
      <w:r w:rsidR="00D846BF">
        <w:rPr>
          <w:rStyle w:val="hps"/>
          <w:rFonts w:ascii="Times New Roman" w:hAnsi="Times New Roman" w:cs="Times New Roman"/>
          <w:sz w:val="24"/>
          <w:szCs w:val="24"/>
          <w:lang w:val="fr-FR"/>
        </w:rPr>
        <w:t>tassement.</w:t>
      </w:r>
    </w:p>
    <w:p w:rsidR="00936AD0" w:rsidRDefault="001425EA" w:rsidP="001425EA">
      <w:pPr>
        <w:pStyle w:val="BodyText2"/>
        <w:numPr>
          <w:ilvl w:val="0"/>
          <w:numId w:val="22"/>
        </w:numPr>
        <w:spacing w:after="100" w:afterAutospacing="1"/>
        <w:rPr>
          <w:rStyle w:val="hps"/>
          <w:rFonts w:ascii="Times New Roman" w:hAnsi="Times New Roman" w:cs="Times New Roman"/>
          <w:sz w:val="24"/>
          <w:szCs w:val="24"/>
          <w:lang w:val="fr-FR"/>
        </w:rPr>
      </w:pPr>
      <w:r>
        <w:rPr>
          <w:rStyle w:val="hps"/>
          <w:rFonts w:ascii="Times New Roman" w:hAnsi="Times New Roman" w:cs="Times New Roman"/>
          <w:sz w:val="24"/>
          <w:szCs w:val="24"/>
          <w:lang w:val="fr-FR"/>
        </w:rPr>
        <w:t>Amélioration</w:t>
      </w:r>
      <w:r w:rsidR="00F41DFF">
        <w:rPr>
          <w:rStyle w:val="hps"/>
          <w:rFonts w:ascii="Times New Roman" w:hAnsi="Times New Roman" w:cs="Times New Roman"/>
          <w:sz w:val="24"/>
          <w:szCs w:val="24"/>
          <w:lang w:val="fr-FR"/>
        </w:rPr>
        <w:t xml:space="preserve"> de</w:t>
      </w:r>
      <w:r>
        <w:rPr>
          <w:rStyle w:val="hps"/>
          <w:rFonts w:ascii="Times New Roman" w:hAnsi="Times New Roman" w:cs="Times New Roman"/>
          <w:sz w:val="24"/>
          <w:szCs w:val="24"/>
          <w:lang w:val="fr-FR"/>
        </w:rPr>
        <w:t xml:space="preserve"> connaissance des communautés grâce  </w:t>
      </w:r>
      <w:r w:rsidR="00F41DFF">
        <w:rPr>
          <w:rStyle w:val="hps"/>
          <w:rFonts w:ascii="Times New Roman" w:hAnsi="Times New Roman" w:cs="Times New Roman"/>
          <w:sz w:val="24"/>
          <w:szCs w:val="24"/>
          <w:lang w:val="fr-FR"/>
        </w:rPr>
        <w:t>à</w:t>
      </w:r>
      <w:r>
        <w:rPr>
          <w:rStyle w:val="hps"/>
          <w:rFonts w:ascii="Times New Roman" w:hAnsi="Times New Roman" w:cs="Times New Roman"/>
          <w:sz w:val="24"/>
          <w:szCs w:val="24"/>
          <w:lang w:val="fr-FR"/>
        </w:rPr>
        <w:t xml:space="preserve"> d</w:t>
      </w:r>
      <w:r w:rsidR="00CF2129" w:rsidRPr="00E0416A">
        <w:rPr>
          <w:rStyle w:val="hps"/>
          <w:rFonts w:ascii="Times New Roman" w:hAnsi="Times New Roman" w:cs="Times New Roman"/>
          <w:sz w:val="24"/>
          <w:szCs w:val="24"/>
          <w:lang w:val="fr-FR"/>
        </w:rPr>
        <w:t xml:space="preserve">es  journées d'information sur les risques sismiques organisées dans le </w:t>
      </w:r>
      <w:r>
        <w:rPr>
          <w:rStyle w:val="hps"/>
          <w:rFonts w:ascii="Times New Roman" w:hAnsi="Times New Roman" w:cs="Times New Roman"/>
          <w:sz w:val="24"/>
          <w:szCs w:val="24"/>
          <w:lang w:val="fr-FR"/>
        </w:rPr>
        <w:t xml:space="preserve">Grand Nord </w:t>
      </w:r>
      <w:r w:rsidR="00CF2129" w:rsidRPr="00E0416A">
        <w:rPr>
          <w:rStyle w:val="hps"/>
          <w:rFonts w:ascii="Times New Roman" w:hAnsi="Times New Roman" w:cs="Times New Roman"/>
          <w:sz w:val="24"/>
          <w:szCs w:val="24"/>
          <w:lang w:val="fr-FR"/>
        </w:rPr>
        <w:t xml:space="preserve"> avec l'appui de la Direction de Protection Civile. Ces journées impliquaient en particulier les membres de la presse régionale afin de leur apporter les éléments techniques de base pour comprendre et informer sur le risque </w:t>
      </w:r>
      <w:r w:rsidR="00936AD0" w:rsidRPr="00E0416A">
        <w:rPr>
          <w:rStyle w:val="hps"/>
          <w:rFonts w:ascii="Times New Roman" w:hAnsi="Times New Roman" w:cs="Times New Roman"/>
          <w:sz w:val="24"/>
          <w:szCs w:val="24"/>
          <w:lang w:val="fr-FR"/>
        </w:rPr>
        <w:t>sism</w:t>
      </w:r>
      <w:r w:rsidR="00936AD0">
        <w:rPr>
          <w:rStyle w:val="hps"/>
          <w:rFonts w:ascii="Times New Roman" w:hAnsi="Times New Roman" w:cs="Times New Roman"/>
          <w:sz w:val="24"/>
          <w:szCs w:val="24"/>
          <w:lang w:val="fr-FR"/>
        </w:rPr>
        <w:t xml:space="preserve">ique </w:t>
      </w:r>
    </w:p>
    <w:p w:rsidR="00CF2129" w:rsidRPr="001425EA" w:rsidRDefault="001425EA" w:rsidP="001425EA">
      <w:pPr>
        <w:pStyle w:val="BodyText2"/>
        <w:numPr>
          <w:ilvl w:val="0"/>
          <w:numId w:val="22"/>
        </w:numPr>
        <w:spacing w:after="100" w:afterAutospacing="1"/>
        <w:rPr>
          <w:rStyle w:val="hps"/>
          <w:rFonts w:ascii="Times New Roman" w:hAnsi="Times New Roman" w:cs="Times New Roman"/>
          <w:sz w:val="24"/>
          <w:szCs w:val="24"/>
          <w:lang w:val="fr-FR"/>
        </w:rPr>
      </w:pPr>
      <w:r>
        <w:rPr>
          <w:rStyle w:val="hps"/>
          <w:rFonts w:ascii="Times New Roman" w:hAnsi="Times New Roman" w:cs="Times New Roman"/>
          <w:sz w:val="24"/>
          <w:szCs w:val="24"/>
          <w:lang w:val="fr-FR"/>
        </w:rPr>
        <w:t xml:space="preserve">Devoir de mémoire et </w:t>
      </w:r>
      <w:r w:rsidR="000A6719">
        <w:rPr>
          <w:rStyle w:val="hps"/>
          <w:rFonts w:ascii="Times New Roman" w:hAnsi="Times New Roman" w:cs="Times New Roman"/>
          <w:sz w:val="24"/>
          <w:szCs w:val="24"/>
          <w:lang w:val="fr-FR"/>
        </w:rPr>
        <w:t xml:space="preserve">de </w:t>
      </w:r>
      <w:r>
        <w:rPr>
          <w:rStyle w:val="hps"/>
          <w:rFonts w:ascii="Times New Roman" w:hAnsi="Times New Roman" w:cs="Times New Roman"/>
          <w:sz w:val="24"/>
          <w:szCs w:val="24"/>
          <w:lang w:val="fr-FR"/>
        </w:rPr>
        <w:t xml:space="preserve">sensibilisation sur les risques sismiques </w:t>
      </w:r>
      <w:r w:rsidR="005A310E">
        <w:rPr>
          <w:rStyle w:val="hps"/>
          <w:rFonts w:ascii="Times New Roman" w:hAnsi="Times New Roman" w:cs="Times New Roman"/>
          <w:sz w:val="24"/>
          <w:szCs w:val="24"/>
          <w:lang w:val="fr-FR"/>
        </w:rPr>
        <w:t>grâce</w:t>
      </w:r>
      <w:r>
        <w:rPr>
          <w:rStyle w:val="hps"/>
          <w:rFonts w:ascii="Times New Roman" w:hAnsi="Times New Roman" w:cs="Times New Roman"/>
          <w:sz w:val="24"/>
          <w:szCs w:val="24"/>
          <w:lang w:val="fr-FR"/>
        </w:rPr>
        <w:t xml:space="preserve"> </w:t>
      </w:r>
      <w:r w:rsidR="00F41DFF">
        <w:rPr>
          <w:rStyle w:val="hps"/>
          <w:rFonts w:ascii="Times New Roman" w:hAnsi="Times New Roman" w:cs="Times New Roman"/>
          <w:sz w:val="24"/>
          <w:szCs w:val="24"/>
          <w:lang w:val="fr-FR"/>
        </w:rPr>
        <w:t>à</w:t>
      </w:r>
      <w:r>
        <w:rPr>
          <w:rStyle w:val="hps"/>
          <w:rFonts w:ascii="Times New Roman" w:hAnsi="Times New Roman" w:cs="Times New Roman"/>
          <w:sz w:val="24"/>
          <w:szCs w:val="24"/>
          <w:lang w:val="fr-FR"/>
        </w:rPr>
        <w:t xml:space="preserve"> </w:t>
      </w:r>
      <w:r w:rsidR="00D846BF">
        <w:rPr>
          <w:rStyle w:val="hps"/>
          <w:rFonts w:ascii="Times New Roman" w:hAnsi="Times New Roman" w:cs="Times New Roman"/>
          <w:sz w:val="24"/>
          <w:szCs w:val="24"/>
          <w:lang w:val="fr-FR"/>
        </w:rPr>
        <w:t>l’organisation</w:t>
      </w:r>
      <w:r>
        <w:rPr>
          <w:rStyle w:val="hps"/>
          <w:rFonts w:ascii="Times New Roman" w:hAnsi="Times New Roman" w:cs="Times New Roman"/>
          <w:sz w:val="24"/>
          <w:szCs w:val="24"/>
          <w:lang w:val="fr-FR"/>
        </w:rPr>
        <w:t xml:space="preserve"> de marches </w:t>
      </w:r>
      <w:r w:rsidR="000A6719">
        <w:rPr>
          <w:rStyle w:val="hps"/>
          <w:rFonts w:ascii="Times New Roman" w:hAnsi="Times New Roman" w:cs="Times New Roman"/>
          <w:sz w:val="24"/>
          <w:szCs w:val="24"/>
          <w:lang w:val="fr-FR"/>
        </w:rPr>
        <w:t xml:space="preserve"> commémoratives </w:t>
      </w:r>
      <w:r>
        <w:rPr>
          <w:rStyle w:val="hps"/>
          <w:rFonts w:ascii="Times New Roman" w:hAnsi="Times New Roman" w:cs="Times New Roman"/>
          <w:sz w:val="24"/>
          <w:szCs w:val="24"/>
          <w:lang w:val="fr-FR"/>
        </w:rPr>
        <w:t xml:space="preserve">dans les grandes villes et l’exposition </w:t>
      </w:r>
      <w:r w:rsidR="005A310E">
        <w:rPr>
          <w:rStyle w:val="hps"/>
          <w:rFonts w:ascii="Times New Roman" w:hAnsi="Times New Roman" w:cs="Times New Roman"/>
          <w:sz w:val="24"/>
          <w:szCs w:val="24"/>
          <w:lang w:val="fr-FR"/>
        </w:rPr>
        <w:t>thématique</w:t>
      </w:r>
      <w:r>
        <w:rPr>
          <w:rStyle w:val="hps"/>
          <w:rFonts w:ascii="Times New Roman" w:hAnsi="Times New Roman" w:cs="Times New Roman"/>
          <w:sz w:val="24"/>
          <w:szCs w:val="24"/>
          <w:lang w:val="fr-FR"/>
        </w:rPr>
        <w:t xml:space="preserve"> sur le </w:t>
      </w:r>
      <w:r w:rsidR="005A310E">
        <w:rPr>
          <w:rStyle w:val="hps"/>
          <w:rFonts w:ascii="Times New Roman" w:hAnsi="Times New Roman" w:cs="Times New Roman"/>
          <w:sz w:val="24"/>
          <w:szCs w:val="24"/>
          <w:lang w:val="fr-FR"/>
        </w:rPr>
        <w:t>séisme</w:t>
      </w:r>
      <w:r>
        <w:rPr>
          <w:rStyle w:val="hps"/>
          <w:rFonts w:ascii="Times New Roman" w:hAnsi="Times New Roman" w:cs="Times New Roman"/>
          <w:sz w:val="24"/>
          <w:szCs w:val="24"/>
          <w:lang w:val="fr-FR"/>
        </w:rPr>
        <w:t xml:space="preserve"> et </w:t>
      </w:r>
      <w:r w:rsidR="000A6719">
        <w:rPr>
          <w:rStyle w:val="hps"/>
          <w:rFonts w:ascii="Times New Roman" w:hAnsi="Times New Roman" w:cs="Times New Roman"/>
          <w:sz w:val="24"/>
          <w:szCs w:val="24"/>
          <w:lang w:val="fr-FR"/>
        </w:rPr>
        <w:t xml:space="preserve">le </w:t>
      </w:r>
      <w:r>
        <w:rPr>
          <w:rStyle w:val="hps"/>
          <w:rFonts w:ascii="Times New Roman" w:hAnsi="Times New Roman" w:cs="Times New Roman"/>
          <w:sz w:val="24"/>
          <w:szCs w:val="24"/>
          <w:lang w:val="fr-FR"/>
        </w:rPr>
        <w:t xml:space="preserve">tsunami </w:t>
      </w:r>
      <w:r w:rsidR="005A310E">
        <w:rPr>
          <w:rStyle w:val="hps"/>
          <w:rFonts w:ascii="Times New Roman" w:hAnsi="Times New Roman" w:cs="Times New Roman"/>
          <w:sz w:val="24"/>
          <w:szCs w:val="24"/>
          <w:lang w:val="fr-FR"/>
        </w:rPr>
        <w:t>organisé</w:t>
      </w:r>
      <w:r>
        <w:rPr>
          <w:rStyle w:val="hps"/>
          <w:rFonts w:ascii="Times New Roman" w:hAnsi="Times New Roman" w:cs="Times New Roman"/>
          <w:sz w:val="24"/>
          <w:szCs w:val="24"/>
          <w:lang w:val="fr-FR"/>
        </w:rPr>
        <w:t xml:space="preserve"> au Gymnasium du Cap</w:t>
      </w:r>
      <w:r w:rsidR="000A6719">
        <w:rPr>
          <w:rStyle w:val="hps"/>
          <w:rFonts w:ascii="Times New Roman" w:hAnsi="Times New Roman" w:cs="Times New Roman"/>
          <w:sz w:val="24"/>
          <w:szCs w:val="24"/>
          <w:lang w:val="fr-FR"/>
        </w:rPr>
        <w:t>-H</w:t>
      </w:r>
      <w:r>
        <w:rPr>
          <w:rStyle w:val="hps"/>
          <w:rFonts w:ascii="Times New Roman" w:hAnsi="Times New Roman" w:cs="Times New Roman"/>
          <w:sz w:val="24"/>
          <w:szCs w:val="24"/>
          <w:lang w:val="fr-FR"/>
        </w:rPr>
        <w:t>aïtien et présidé par le Ministre de l’</w:t>
      </w:r>
      <w:r w:rsidR="005A310E">
        <w:rPr>
          <w:rStyle w:val="hps"/>
          <w:rFonts w:ascii="Times New Roman" w:hAnsi="Times New Roman" w:cs="Times New Roman"/>
          <w:sz w:val="24"/>
          <w:szCs w:val="24"/>
          <w:lang w:val="fr-FR"/>
        </w:rPr>
        <w:t>Intérieur</w:t>
      </w:r>
      <w:r>
        <w:rPr>
          <w:rStyle w:val="hps"/>
          <w:rFonts w:ascii="Times New Roman" w:hAnsi="Times New Roman" w:cs="Times New Roman"/>
          <w:sz w:val="24"/>
          <w:szCs w:val="24"/>
          <w:lang w:val="fr-FR"/>
        </w:rPr>
        <w:t xml:space="preserve">. </w:t>
      </w:r>
    </w:p>
    <w:p w:rsidR="005A310E" w:rsidRDefault="005A310E" w:rsidP="00CF2129">
      <w:pPr>
        <w:pStyle w:val="BodyText2"/>
        <w:numPr>
          <w:ilvl w:val="0"/>
          <w:numId w:val="22"/>
        </w:numPr>
        <w:spacing w:after="100" w:afterAutospacing="1"/>
        <w:rPr>
          <w:rStyle w:val="hps"/>
          <w:rFonts w:ascii="Times New Roman" w:hAnsi="Times New Roman" w:cs="Times New Roman"/>
          <w:sz w:val="24"/>
          <w:szCs w:val="24"/>
          <w:lang w:val="fr-FR"/>
        </w:rPr>
      </w:pPr>
      <w:r>
        <w:rPr>
          <w:rStyle w:val="hps"/>
          <w:rFonts w:ascii="Times New Roman" w:hAnsi="Times New Roman" w:cs="Times New Roman"/>
          <w:sz w:val="24"/>
          <w:szCs w:val="24"/>
          <w:lang w:val="fr-FR"/>
        </w:rPr>
        <w:t xml:space="preserve">Transmission et information des familles et grand public </w:t>
      </w:r>
      <w:r w:rsidR="000A6719">
        <w:rPr>
          <w:rStyle w:val="hps"/>
          <w:rFonts w:ascii="Times New Roman" w:hAnsi="Times New Roman" w:cs="Times New Roman"/>
          <w:sz w:val="24"/>
          <w:szCs w:val="24"/>
          <w:lang w:val="fr-FR"/>
        </w:rPr>
        <w:t>à</w:t>
      </w:r>
      <w:r>
        <w:rPr>
          <w:rStyle w:val="hps"/>
          <w:rFonts w:ascii="Times New Roman" w:hAnsi="Times New Roman" w:cs="Times New Roman"/>
          <w:sz w:val="24"/>
          <w:szCs w:val="24"/>
          <w:lang w:val="fr-FR"/>
        </w:rPr>
        <w:t xml:space="preserve"> travers le réseau écolier:</w:t>
      </w:r>
      <w:r w:rsidR="000A6719">
        <w:rPr>
          <w:rStyle w:val="hps"/>
          <w:rFonts w:ascii="Times New Roman" w:hAnsi="Times New Roman" w:cs="Times New Roman"/>
          <w:sz w:val="24"/>
          <w:szCs w:val="24"/>
          <w:lang w:val="fr-FR"/>
        </w:rPr>
        <w:t xml:space="preserve"> </w:t>
      </w:r>
      <w:r w:rsidR="00CF2129" w:rsidRPr="00E0416A">
        <w:rPr>
          <w:rStyle w:val="hps"/>
          <w:rFonts w:ascii="Times New Roman" w:hAnsi="Times New Roman" w:cs="Times New Roman"/>
          <w:sz w:val="24"/>
          <w:szCs w:val="24"/>
          <w:lang w:val="fr-FR"/>
        </w:rPr>
        <w:t xml:space="preserve">Plus de </w:t>
      </w:r>
      <w:r>
        <w:rPr>
          <w:rStyle w:val="hps"/>
          <w:rFonts w:ascii="Times New Roman" w:hAnsi="Times New Roman" w:cs="Times New Roman"/>
          <w:sz w:val="24"/>
          <w:szCs w:val="24"/>
          <w:lang w:val="fr-FR"/>
        </w:rPr>
        <w:t>5</w:t>
      </w:r>
      <w:r w:rsidR="00CF2129" w:rsidRPr="00E0416A">
        <w:rPr>
          <w:rStyle w:val="hps"/>
          <w:rFonts w:ascii="Times New Roman" w:hAnsi="Times New Roman" w:cs="Times New Roman"/>
          <w:sz w:val="24"/>
          <w:szCs w:val="24"/>
          <w:lang w:val="fr-FR"/>
        </w:rPr>
        <w:t>000 élèves ont</w:t>
      </w:r>
      <w:r>
        <w:rPr>
          <w:rStyle w:val="hps"/>
          <w:rFonts w:ascii="Times New Roman" w:hAnsi="Times New Roman" w:cs="Times New Roman"/>
          <w:sz w:val="24"/>
          <w:szCs w:val="24"/>
          <w:lang w:val="fr-FR"/>
        </w:rPr>
        <w:t xml:space="preserve"> visité l’exposition </w:t>
      </w:r>
    </w:p>
    <w:p w:rsidR="00F41DFF" w:rsidRPr="00D846BF" w:rsidRDefault="005A310E" w:rsidP="00F41DFF">
      <w:pPr>
        <w:pStyle w:val="PlainText"/>
        <w:rPr>
          <w:lang w:val="fr-FR"/>
        </w:rPr>
      </w:pPr>
      <w:r>
        <w:rPr>
          <w:rStyle w:val="hps"/>
          <w:lang w:val="fr-FR"/>
        </w:rPr>
        <w:t xml:space="preserve">Un rapport technique détaillé sur l’évaluation des bâtiments et infrastructures publiques est disponible et peut </w:t>
      </w:r>
      <w:r w:rsidR="00936AD0">
        <w:rPr>
          <w:rStyle w:val="hps"/>
          <w:lang w:val="fr-FR"/>
        </w:rPr>
        <w:t>être</w:t>
      </w:r>
      <w:r>
        <w:rPr>
          <w:rStyle w:val="hps"/>
          <w:lang w:val="fr-FR"/>
        </w:rPr>
        <w:t xml:space="preserve"> </w:t>
      </w:r>
      <w:r w:rsidR="00936AD0">
        <w:rPr>
          <w:rStyle w:val="hps"/>
          <w:lang w:val="fr-FR"/>
        </w:rPr>
        <w:t xml:space="preserve">utilisé </w:t>
      </w:r>
      <w:r>
        <w:rPr>
          <w:rStyle w:val="hps"/>
          <w:lang w:val="fr-FR"/>
        </w:rPr>
        <w:t xml:space="preserve"> comme exemple pour continuer l</w:t>
      </w:r>
      <w:r w:rsidR="000A6719">
        <w:rPr>
          <w:rStyle w:val="hps"/>
          <w:lang w:val="fr-FR"/>
        </w:rPr>
        <w:t>'</w:t>
      </w:r>
      <w:r>
        <w:rPr>
          <w:rStyle w:val="hps"/>
          <w:lang w:val="fr-FR"/>
        </w:rPr>
        <w:t xml:space="preserve">exercice </w:t>
      </w:r>
      <w:r w:rsidR="00D846BF">
        <w:rPr>
          <w:rStyle w:val="hps"/>
          <w:lang w:val="fr-FR"/>
        </w:rPr>
        <w:t xml:space="preserve">d’évaluation. </w:t>
      </w:r>
      <w:r w:rsidR="00F41DFF" w:rsidRPr="00BB3DBD">
        <w:rPr>
          <w:lang w:val="fr-FR"/>
        </w:rPr>
        <w:t xml:space="preserve">Le rapport complet </w:t>
      </w:r>
      <w:r w:rsidR="00D846BF" w:rsidRPr="00D846BF">
        <w:rPr>
          <w:lang w:val="fr-FR"/>
        </w:rPr>
        <w:t xml:space="preserve"> </w:t>
      </w:r>
      <w:r w:rsidR="00F41DFF" w:rsidRPr="00BB3DBD">
        <w:rPr>
          <w:lang w:val="fr-FR"/>
        </w:rPr>
        <w:t>peut</w:t>
      </w:r>
      <w:r w:rsidR="00D846BF" w:rsidRPr="00D846BF">
        <w:rPr>
          <w:lang w:val="fr-FR"/>
        </w:rPr>
        <w:t xml:space="preserve"> </w:t>
      </w:r>
      <w:r w:rsidR="00F41DFF" w:rsidRPr="00BB3DBD">
        <w:rPr>
          <w:lang w:val="fr-FR"/>
        </w:rPr>
        <w:t xml:space="preserve"> être lu sur les liens suivants</w:t>
      </w:r>
      <w:r w:rsidR="00D846BF" w:rsidRPr="00D846BF">
        <w:rPr>
          <w:lang w:val="fr-FR"/>
        </w:rPr>
        <w:t>:</w:t>
      </w:r>
    </w:p>
    <w:p w:rsidR="00F41DFF" w:rsidRPr="00BB3DBD" w:rsidRDefault="004317AD" w:rsidP="00F41DFF">
      <w:pPr>
        <w:pStyle w:val="PlainText"/>
        <w:rPr>
          <w:lang w:val="fr-FR"/>
        </w:rPr>
      </w:pPr>
      <w:hyperlink r:id="rId14" w:history="1">
        <w:r w:rsidR="00F41DFF" w:rsidRPr="00BB3DBD">
          <w:rPr>
            <w:rStyle w:val="Hyperlink"/>
            <w:lang w:val="fr-FR"/>
          </w:rPr>
          <w:t>https://drive.google.com/file/d/0B2q4zwyqvkLtUGcyUUtDMHlPa2M/edit?usp=sharing</w:t>
        </w:r>
      </w:hyperlink>
      <w:r w:rsidR="00F41DFF" w:rsidRPr="00BB3DBD">
        <w:rPr>
          <w:lang w:val="fr-FR"/>
        </w:rPr>
        <w:t xml:space="preserve"> </w:t>
      </w:r>
      <w:proofErr w:type="gramStart"/>
      <w:r w:rsidR="00F41DFF" w:rsidRPr="00BB3DBD">
        <w:rPr>
          <w:lang w:val="fr-FR"/>
        </w:rPr>
        <w:t>( Français</w:t>
      </w:r>
      <w:proofErr w:type="gramEnd"/>
      <w:r w:rsidR="00F41DFF" w:rsidRPr="00BB3DBD">
        <w:rPr>
          <w:lang w:val="fr-FR"/>
        </w:rPr>
        <w:t xml:space="preserve"> ) </w:t>
      </w:r>
    </w:p>
    <w:p w:rsidR="00CF2129" w:rsidRPr="00E0416A" w:rsidRDefault="004317AD" w:rsidP="00F41DFF">
      <w:pPr>
        <w:pStyle w:val="BodyText2"/>
        <w:spacing w:after="100" w:afterAutospacing="1"/>
        <w:rPr>
          <w:rStyle w:val="hps"/>
          <w:rFonts w:ascii="Times New Roman" w:hAnsi="Times New Roman" w:cs="Times New Roman"/>
          <w:sz w:val="24"/>
          <w:szCs w:val="24"/>
          <w:lang w:val="fr-FR"/>
        </w:rPr>
      </w:pPr>
      <w:hyperlink r:id="rId15" w:history="1">
        <w:r w:rsidR="00F41DFF" w:rsidRPr="00BB3DBD">
          <w:rPr>
            <w:rStyle w:val="Hyperlink"/>
            <w:lang w:val="fr-FR"/>
          </w:rPr>
          <w:t>https://drive.google.com/file/d/0B2q4zwyqvkLtc0k1OHpjNVBkTkE/edit?usp=sharing</w:t>
        </w:r>
      </w:hyperlink>
    </w:p>
    <w:p w:rsidR="00CF2129" w:rsidRPr="00E0416A" w:rsidRDefault="00CF2129" w:rsidP="005A310E">
      <w:pPr>
        <w:pStyle w:val="BodyText2"/>
        <w:spacing w:after="100" w:afterAutospacing="1"/>
        <w:ind w:left="360"/>
        <w:rPr>
          <w:rStyle w:val="hps"/>
          <w:rFonts w:ascii="Times New Roman" w:hAnsi="Times New Roman" w:cs="Times New Roman"/>
          <w:sz w:val="24"/>
          <w:szCs w:val="24"/>
          <w:lang w:val="fr-FR"/>
        </w:rPr>
      </w:pPr>
      <w:r w:rsidRPr="00E0416A">
        <w:rPr>
          <w:rStyle w:val="hps"/>
          <w:rFonts w:ascii="Times New Roman" w:hAnsi="Times New Roman" w:cs="Times New Roman"/>
          <w:sz w:val="24"/>
          <w:szCs w:val="24"/>
          <w:lang w:val="fr-FR"/>
        </w:rPr>
        <w:t>.</w:t>
      </w:r>
    </w:p>
    <w:p w:rsidR="00CF2129" w:rsidRPr="005A310E" w:rsidRDefault="00CF2129" w:rsidP="00936AD0">
      <w:pPr>
        <w:pStyle w:val="BodyText2"/>
        <w:spacing w:after="100" w:afterAutospacing="1"/>
        <w:ind w:left="360"/>
        <w:rPr>
          <w:rStyle w:val="hps"/>
          <w:rFonts w:ascii="Times New Roman" w:hAnsi="Times New Roman" w:cs="Times New Roman"/>
          <w:sz w:val="24"/>
          <w:szCs w:val="24"/>
          <w:lang w:val="fr-FR"/>
        </w:rPr>
      </w:pPr>
    </w:p>
    <w:p w:rsidR="00936AD0" w:rsidRDefault="00936AD0" w:rsidP="003E2682">
      <w:pPr>
        <w:tabs>
          <w:tab w:val="left" w:pos="9105"/>
        </w:tabs>
        <w:jc w:val="both"/>
        <w:rPr>
          <w:lang w:val="fr-FR"/>
        </w:rPr>
      </w:pPr>
    </w:p>
    <w:p w:rsidR="00936AD0" w:rsidRDefault="00936AD0" w:rsidP="003E2682">
      <w:pPr>
        <w:tabs>
          <w:tab w:val="left" w:pos="9105"/>
        </w:tabs>
        <w:jc w:val="both"/>
        <w:rPr>
          <w:lang w:val="fr-FR"/>
        </w:rPr>
      </w:pPr>
    </w:p>
    <w:p w:rsidR="00936AD0" w:rsidRDefault="00936AD0" w:rsidP="003E2682">
      <w:pPr>
        <w:tabs>
          <w:tab w:val="left" w:pos="9105"/>
        </w:tabs>
        <w:jc w:val="both"/>
        <w:rPr>
          <w:lang w:val="fr-FR"/>
        </w:rPr>
      </w:pPr>
    </w:p>
    <w:p w:rsidR="00CF7BE6" w:rsidRDefault="00CF7BE6" w:rsidP="003E2682">
      <w:pPr>
        <w:tabs>
          <w:tab w:val="left" w:pos="9105"/>
        </w:tabs>
        <w:jc w:val="both"/>
        <w:rPr>
          <w:lang w:val="fr-FR"/>
        </w:rPr>
      </w:pPr>
    </w:p>
    <w:p w:rsidR="00CF7BE6" w:rsidRDefault="00CF7BE6" w:rsidP="003E2682">
      <w:pPr>
        <w:tabs>
          <w:tab w:val="left" w:pos="9105"/>
        </w:tabs>
        <w:jc w:val="both"/>
        <w:rPr>
          <w:lang w:val="fr-FR"/>
        </w:rPr>
      </w:pPr>
    </w:p>
    <w:p w:rsidR="003E2682" w:rsidRPr="00E0416A" w:rsidRDefault="003E2682" w:rsidP="003E2682">
      <w:pPr>
        <w:tabs>
          <w:tab w:val="left" w:pos="9105"/>
        </w:tabs>
        <w:jc w:val="both"/>
        <w:rPr>
          <w:lang w:val="fr-FR"/>
        </w:rPr>
      </w:pPr>
      <w:r w:rsidRPr="00E0416A">
        <w:rPr>
          <w:lang w:val="fr-FR"/>
        </w:rPr>
        <w:tab/>
      </w:r>
    </w:p>
    <w:p w:rsidR="00CF2129" w:rsidRPr="00E0416A" w:rsidRDefault="00CF2129" w:rsidP="00CF2129">
      <w:pPr>
        <w:jc w:val="both"/>
        <w:rPr>
          <w:rStyle w:val="hps"/>
          <w:b/>
          <w:lang w:val="fr-FR"/>
        </w:rPr>
      </w:pPr>
      <w:r w:rsidRPr="00E0416A">
        <w:rPr>
          <w:rStyle w:val="hps"/>
          <w:b/>
          <w:lang w:val="fr-FR"/>
        </w:rPr>
        <w:t>Détails résultats obtenus par produit :</w:t>
      </w:r>
    </w:p>
    <w:p w:rsidR="00CF2129" w:rsidRPr="00E0416A" w:rsidRDefault="00CF2129" w:rsidP="00CF2129">
      <w:pPr>
        <w:jc w:val="both"/>
        <w:rPr>
          <w:b/>
          <w:color w:val="000000"/>
          <w:lang w:val="fr-FR"/>
        </w:rPr>
      </w:pPr>
    </w:p>
    <w:p w:rsidR="00CF2129" w:rsidRPr="00E0416A" w:rsidRDefault="00CF2129" w:rsidP="00CF2129">
      <w:pPr>
        <w:jc w:val="both"/>
        <w:rPr>
          <w:b/>
          <w:color w:val="000000"/>
          <w:lang w:val="fr-FR"/>
        </w:rPr>
      </w:pPr>
      <w:r w:rsidRPr="00E0416A">
        <w:rPr>
          <w:b/>
          <w:color w:val="000000"/>
          <w:lang w:val="fr-FR"/>
        </w:rPr>
        <w:t xml:space="preserve">Produit 1 : </w:t>
      </w:r>
      <w:r w:rsidRPr="00E0416A">
        <w:rPr>
          <w:color w:val="000000"/>
          <w:lang w:val="fr-FR"/>
        </w:rPr>
        <w:t>Une concertation et un diagnostic sont engagés avec l’ensemble des acteurs locaux.</w:t>
      </w:r>
    </w:p>
    <w:p w:rsidR="00CF2129" w:rsidRPr="00E0416A" w:rsidRDefault="00CF2129" w:rsidP="00936AD0">
      <w:pPr>
        <w:pStyle w:val="ListParagraph"/>
        <w:spacing w:after="200" w:line="276" w:lineRule="auto"/>
        <w:ind w:left="360"/>
        <w:jc w:val="both"/>
        <w:rPr>
          <w:color w:val="000000"/>
          <w:lang w:val="fr-FR"/>
        </w:rPr>
      </w:pP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Le Comité de Pilotage</w:t>
      </w:r>
      <w:r w:rsidR="00936AD0">
        <w:rPr>
          <w:color w:val="000000"/>
          <w:lang w:val="fr-FR"/>
        </w:rPr>
        <w:t xml:space="preserve"> National</w:t>
      </w:r>
      <w:r w:rsidRPr="00E0416A">
        <w:rPr>
          <w:color w:val="000000"/>
          <w:lang w:val="fr-FR"/>
        </w:rPr>
        <w:t xml:space="preserve"> (CP) du projet est créé et est opérationnel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 diagnostic de la compréhension de la menace sismique dans les communautés locales est réalisé</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 diagnostic de l'environnement socio-économique est réalisé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 diagnostic des pratiques de construction en cours, des matériaux utilisés et des règlements appliqués est réalisé ;</w:t>
      </w:r>
    </w:p>
    <w:p w:rsidR="00CF2129" w:rsidRPr="00E0416A" w:rsidRDefault="00CF2129" w:rsidP="00CF2129">
      <w:pPr>
        <w:pStyle w:val="ListParagraph"/>
        <w:numPr>
          <w:ilvl w:val="1"/>
          <w:numId w:val="23"/>
        </w:numPr>
        <w:spacing w:after="200" w:line="276" w:lineRule="auto"/>
        <w:ind w:left="360"/>
        <w:jc w:val="both"/>
        <w:rPr>
          <w:lang w:val="fr-FR"/>
        </w:rPr>
      </w:pPr>
      <w:r w:rsidRPr="00E0416A">
        <w:rPr>
          <w:color w:val="000000"/>
          <w:lang w:val="fr-FR"/>
        </w:rPr>
        <w:t>Un diagnostic de la possession du bâti est réalisé et les mécanismes de financement de l'accès au logement sont identifiés.</w:t>
      </w: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i/>
          <w:u w:val="single"/>
          <w:lang w:val="fr-FR"/>
        </w:rPr>
        <w:t>Résultats obtenus  par rapport au produit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21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530" w:type="dxa"/>
          </w:tcPr>
          <w:p w:rsidR="00CF2129" w:rsidRPr="00E0416A" w:rsidRDefault="00CF2129" w:rsidP="00F17846">
            <w:pPr>
              <w:rPr>
                <w:b/>
                <w:i/>
                <w:lang w:val="fr-FR"/>
              </w:rPr>
            </w:pPr>
            <w:r w:rsidRPr="00E0416A">
              <w:rPr>
                <w:b/>
                <w:i/>
                <w:lang w:val="fr-FR"/>
              </w:rPr>
              <w:t>Pourcentage</w:t>
            </w:r>
          </w:p>
        </w:tc>
      </w:tr>
      <w:tr w:rsidR="00CF2129" w:rsidRPr="00E0416A" w:rsidTr="00F17846">
        <w:trPr>
          <w:trHeight w:val="809"/>
        </w:trPr>
        <w:tc>
          <w:tcPr>
            <w:tcW w:w="2808" w:type="dxa"/>
          </w:tcPr>
          <w:p w:rsidR="00CF2129" w:rsidRPr="00E0416A" w:rsidRDefault="00CF2129" w:rsidP="00F17846">
            <w:pPr>
              <w:jc w:val="both"/>
              <w:rPr>
                <w:lang w:val="fr-FR"/>
              </w:rPr>
            </w:pPr>
            <w:r w:rsidRPr="00E0416A">
              <w:rPr>
                <w:lang w:val="fr-FR"/>
              </w:rPr>
              <w:t>Le Comité de Pilotage (CP) du projet est créé et est opérationnel</w:t>
            </w:r>
          </w:p>
        </w:tc>
        <w:tc>
          <w:tcPr>
            <w:tcW w:w="6210" w:type="dxa"/>
          </w:tcPr>
          <w:p w:rsidR="00CF2129" w:rsidRPr="00E0416A" w:rsidRDefault="00CF2129" w:rsidP="00F17846">
            <w:pPr>
              <w:jc w:val="both"/>
              <w:rPr>
                <w:rFonts w:eastAsia="Calibri"/>
                <w:spacing w:val="-2"/>
                <w:lang w:val="fr-FR"/>
              </w:rPr>
            </w:pPr>
          </w:p>
          <w:p w:rsidR="00CF2129" w:rsidRPr="00E0416A" w:rsidRDefault="00CF2129" w:rsidP="00F17846">
            <w:pPr>
              <w:jc w:val="both"/>
              <w:rPr>
                <w:rFonts w:eastAsia="Calibri"/>
                <w:spacing w:val="-2"/>
                <w:lang w:val="fr-FR"/>
              </w:rPr>
            </w:pPr>
            <w:r w:rsidRPr="00E0416A">
              <w:rPr>
                <w:rFonts w:eastAsia="Calibri"/>
                <w:spacing w:val="-2"/>
                <w:lang w:val="fr-FR"/>
              </w:rPr>
              <w:t xml:space="preserve">* Le Comité de Pilotage  national a été mis sur pied avec l’appui des différents services ministériels concernés, des ONG et des représentants de la société civile.  </w:t>
            </w:r>
          </w:p>
          <w:p w:rsidR="00CF2129" w:rsidRPr="00E0416A" w:rsidRDefault="00CF2129" w:rsidP="00F17846">
            <w:pPr>
              <w:jc w:val="both"/>
              <w:rPr>
                <w:lang w:val="fr-FR"/>
              </w:rPr>
            </w:pPr>
          </w:p>
        </w:tc>
        <w:tc>
          <w:tcPr>
            <w:tcW w:w="1530" w:type="dxa"/>
          </w:tcPr>
          <w:p w:rsidR="00CF2129" w:rsidRPr="00E0416A" w:rsidRDefault="00CF2129" w:rsidP="00F17846">
            <w:pPr>
              <w:jc w:val="center"/>
              <w:rPr>
                <w:lang w:val="fr-FR"/>
              </w:rPr>
            </w:pPr>
            <w:r w:rsidRPr="00E0416A">
              <w:rPr>
                <w:lang w:val="fr-FR"/>
              </w:rPr>
              <w:t>100%</w:t>
            </w:r>
          </w:p>
        </w:tc>
      </w:tr>
      <w:tr w:rsidR="00CF2129" w:rsidRPr="00E0416A" w:rsidTr="00F17846">
        <w:tc>
          <w:tcPr>
            <w:tcW w:w="2808" w:type="dxa"/>
          </w:tcPr>
          <w:p w:rsidR="00CF2129" w:rsidRPr="00E0416A" w:rsidRDefault="00CF2129" w:rsidP="00F17846">
            <w:pPr>
              <w:jc w:val="both"/>
              <w:rPr>
                <w:lang w:val="fr-FR"/>
              </w:rPr>
            </w:pPr>
            <w:r w:rsidRPr="00E0416A">
              <w:rPr>
                <w:lang w:val="fr-FR"/>
              </w:rPr>
              <w:t>Un diagnostic de la compréhension de la menace sismique dans les communautés locales est réalisé</w:t>
            </w:r>
          </w:p>
        </w:tc>
        <w:tc>
          <w:tcPr>
            <w:tcW w:w="6210" w:type="dxa"/>
          </w:tcPr>
          <w:p w:rsidR="00CF2129" w:rsidRPr="00E0416A" w:rsidRDefault="00CF2129" w:rsidP="00F17846">
            <w:pPr>
              <w:jc w:val="both"/>
              <w:rPr>
                <w:lang w:val="fr-FR"/>
              </w:rPr>
            </w:pPr>
          </w:p>
          <w:p w:rsidR="00CF2129" w:rsidRPr="00E0416A" w:rsidRDefault="00CF2129" w:rsidP="00F17846">
            <w:pPr>
              <w:jc w:val="both"/>
              <w:rPr>
                <w:lang w:val="fr-FR"/>
              </w:rPr>
            </w:pPr>
            <w:r w:rsidRPr="00E0416A">
              <w:rPr>
                <w:lang w:val="fr-FR"/>
              </w:rPr>
              <w:t xml:space="preserve">Plus de 9000 élèves ont été sensibilisés et 600 professeurs formés comme Maitres Formateurs dans les différentes écoles des  quatre villes </w:t>
            </w:r>
            <w:proofErr w:type="gramStart"/>
            <w:r w:rsidRPr="00E0416A">
              <w:rPr>
                <w:lang w:val="fr-FR"/>
              </w:rPr>
              <w:t>cibles</w:t>
            </w:r>
            <w:proofErr w:type="gramEnd"/>
            <w:r w:rsidRPr="00E0416A">
              <w:rPr>
                <w:lang w:val="fr-FR"/>
              </w:rPr>
              <w:t>.</w:t>
            </w:r>
          </w:p>
          <w:p w:rsidR="00CF2129" w:rsidRPr="00E0416A" w:rsidRDefault="00CF2129" w:rsidP="00F17846">
            <w:pPr>
              <w:jc w:val="both"/>
              <w:rPr>
                <w:lang w:val="fr-FR"/>
              </w:rPr>
            </w:pPr>
            <w:r w:rsidRPr="00E0416A">
              <w:rPr>
                <w:lang w:val="fr-FR"/>
              </w:rPr>
              <w:t xml:space="preserve">Dès le début de 2014, des propositions et analyses seront abordées pour engager les Maitres formateurs dans des activités de sensibilisation porte à porte, prévues à Fort-Liberté, </w:t>
            </w:r>
            <w:proofErr w:type="spellStart"/>
            <w:r w:rsidRPr="00E0416A">
              <w:rPr>
                <w:lang w:val="fr-FR"/>
              </w:rPr>
              <w:t>Ouanaminthe</w:t>
            </w:r>
            <w:proofErr w:type="spellEnd"/>
            <w:r w:rsidRPr="00E0416A">
              <w:rPr>
                <w:lang w:val="fr-FR"/>
              </w:rPr>
              <w:t xml:space="preserve"> et Cap-Ha</w:t>
            </w:r>
            <w:r w:rsidR="00BE3E11">
              <w:rPr>
                <w:lang w:val="fr-FR"/>
              </w:rPr>
              <w:t>ï</w:t>
            </w:r>
            <w:r w:rsidRPr="00E0416A">
              <w:rPr>
                <w:lang w:val="fr-FR"/>
              </w:rPr>
              <w:t xml:space="preserve">tien, d’ici la fin du mois d’Avril 2014.  </w:t>
            </w:r>
          </w:p>
        </w:tc>
        <w:tc>
          <w:tcPr>
            <w:tcW w:w="1530" w:type="dxa"/>
          </w:tcPr>
          <w:p w:rsidR="00CF2129" w:rsidRPr="00E0416A" w:rsidRDefault="00CF2129" w:rsidP="00F17846">
            <w:pPr>
              <w:jc w:val="center"/>
              <w:rPr>
                <w:lang w:val="fr-FR"/>
              </w:rPr>
            </w:pPr>
            <w:r w:rsidRPr="00E0416A">
              <w:rPr>
                <w:lang w:val="fr-FR"/>
              </w:rPr>
              <w:t>40%</w:t>
            </w:r>
          </w:p>
        </w:tc>
      </w:tr>
      <w:tr w:rsidR="00CF2129" w:rsidRPr="00E0416A" w:rsidTr="00F17846">
        <w:tc>
          <w:tcPr>
            <w:tcW w:w="2808" w:type="dxa"/>
          </w:tcPr>
          <w:p w:rsidR="00CF2129" w:rsidRPr="00E0416A" w:rsidRDefault="00CF2129" w:rsidP="00F17846">
            <w:pPr>
              <w:jc w:val="both"/>
              <w:rPr>
                <w:lang w:val="fr-FR"/>
              </w:rPr>
            </w:pPr>
            <w:r w:rsidRPr="00E0416A">
              <w:rPr>
                <w:lang w:val="fr-FR"/>
              </w:rPr>
              <w:t>Un diagnostic de l'environnement socio-économique est réalisé</w:t>
            </w:r>
          </w:p>
        </w:tc>
        <w:tc>
          <w:tcPr>
            <w:tcW w:w="6210" w:type="dxa"/>
          </w:tcPr>
          <w:p w:rsidR="00CF2129" w:rsidRPr="00E0416A" w:rsidRDefault="00CF2129" w:rsidP="00F17846">
            <w:pPr>
              <w:jc w:val="both"/>
              <w:rPr>
                <w:lang w:val="fr-FR"/>
              </w:rPr>
            </w:pPr>
            <w:r w:rsidRPr="00E0416A">
              <w:rPr>
                <w:lang w:val="fr-FR"/>
              </w:rPr>
              <w:t>Activité planifiée pour 201</w:t>
            </w:r>
            <w:r w:rsidR="00936AD0">
              <w:rPr>
                <w:lang w:val="fr-FR"/>
              </w:rPr>
              <w:t>4</w:t>
            </w:r>
            <w:r w:rsidRPr="00E0416A">
              <w:rPr>
                <w:lang w:val="fr-FR"/>
              </w:rPr>
              <w:t xml:space="preserve"> et qui sera conduite par les chercheurs internationaux. </w:t>
            </w:r>
          </w:p>
        </w:tc>
        <w:tc>
          <w:tcPr>
            <w:tcW w:w="1530" w:type="dxa"/>
          </w:tcPr>
          <w:p w:rsidR="00CF2129" w:rsidRPr="00E0416A" w:rsidRDefault="00CF2129" w:rsidP="00F17846">
            <w:pPr>
              <w:jc w:val="center"/>
              <w:rPr>
                <w:lang w:val="fr-FR"/>
              </w:rPr>
            </w:pPr>
            <w:r w:rsidRPr="00E0416A">
              <w:rPr>
                <w:lang w:val="fr-FR"/>
              </w:rPr>
              <w:t>0%</w:t>
            </w:r>
          </w:p>
        </w:tc>
      </w:tr>
      <w:tr w:rsidR="00CF2129" w:rsidRPr="00BB3DBD" w:rsidTr="00F17846">
        <w:tc>
          <w:tcPr>
            <w:tcW w:w="2808" w:type="dxa"/>
          </w:tcPr>
          <w:p w:rsidR="00CF2129" w:rsidRPr="00E0416A" w:rsidRDefault="00CF2129" w:rsidP="00F17846">
            <w:pPr>
              <w:jc w:val="both"/>
              <w:rPr>
                <w:lang w:val="fr-FR"/>
              </w:rPr>
            </w:pPr>
            <w:r w:rsidRPr="00E0416A">
              <w:rPr>
                <w:lang w:val="fr-FR"/>
              </w:rPr>
              <w:t>Un diagnostic des pratiques de construction en cours, des matériaux utilisés et des règlements appliqués est réalisé</w:t>
            </w:r>
          </w:p>
        </w:tc>
        <w:tc>
          <w:tcPr>
            <w:tcW w:w="6210" w:type="dxa"/>
          </w:tcPr>
          <w:p w:rsidR="00CF2129" w:rsidRPr="00E0416A" w:rsidRDefault="00CF2129" w:rsidP="00F17846">
            <w:pPr>
              <w:jc w:val="both"/>
              <w:rPr>
                <w:lang w:val="fr-FR"/>
              </w:rPr>
            </w:pPr>
            <w:r w:rsidRPr="00E0416A">
              <w:rPr>
                <w:lang w:val="fr-FR"/>
              </w:rPr>
              <w:t xml:space="preserve">Ce volet a été abordé avec le prestataire </w:t>
            </w:r>
            <w:r w:rsidR="00936AD0">
              <w:rPr>
                <w:lang w:val="fr-FR"/>
              </w:rPr>
              <w:t xml:space="preserve">et les </w:t>
            </w:r>
            <w:r w:rsidR="008D73D0">
              <w:rPr>
                <w:lang w:val="fr-FR"/>
              </w:rPr>
              <w:t>résultats</w:t>
            </w:r>
            <w:r w:rsidR="00936AD0">
              <w:rPr>
                <w:lang w:val="fr-FR"/>
              </w:rPr>
              <w:t xml:space="preserve"> seront </w:t>
            </w:r>
            <w:proofErr w:type="gramStart"/>
            <w:r w:rsidR="00936AD0">
              <w:rPr>
                <w:lang w:val="fr-FR"/>
              </w:rPr>
              <w:t>disponible</w:t>
            </w:r>
            <w:proofErr w:type="gramEnd"/>
            <w:r w:rsidR="00936AD0">
              <w:rPr>
                <w:lang w:val="fr-FR"/>
              </w:rPr>
              <w:t xml:space="preserve"> en 2014</w:t>
            </w:r>
            <w:r w:rsidR="00BB3DBD">
              <w:rPr>
                <w:lang w:val="fr-FR"/>
              </w:rPr>
              <w:t>.</w:t>
            </w:r>
            <w:r w:rsidRPr="00E0416A">
              <w:rPr>
                <w:lang w:val="fr-FR"/>
              </w:rPr>
              <w:t xml:space="preserve">  </w:t>
            </w:r>
          </w:p>
        </w:tc>
        <w:tc>
          <w:tcPr>
            <w:tcW w:w="1530" w:type="dxa"/>
          </w:tcPr>
          <w:p w:rsidR="00CF2129" w:rsidRPr="00E0416A" w:rsidRDefault="00936AD0" w:rsidP="00F17846">
            <w:pPr>
              <w:jc w:val="center"/>
              <w:rPr>
                <w:lang w:val="fr-FR"/>
              </w:rPr>
            </w:pPr>
            <w:r>
              <w:rPr>
                <w:lang w:val="fr-FR"/>
              </w:rPr>
              <w:t>25</w:t>
            </w:r>
            <w:r w:rsidR="00CF2129" w:rsidRPr="00E0416A">
              <w:rPr>
                <w:lang w:val="fr-FR"/>
              </w:rPr>
              <w:t>%</w:t>
            </w:r>
          </w:p>
        </w:tc>
      </w:tr>
      <w:tr w:rsidR="00CF2129" w:rsidRPr="00E0416A" w:rsidTr="00F17846">
        <w:tc>
          <w:tcPr>
            <w:tcW w:w="2808" w:type="dxa"/>
          </w:tcPr>
          <w:p w:rsidR="00CF2129" w:rsidRPr="00E0416A" w:rsidRDefault="00CF2129" w:rsidP="00F17846">
            <w:pPr>
              <w:jc w:val="both"/>
              <w:rPr>
                <w:lang w:val="fr-FR"/>
              </w:rPr>
            </w:pPr>
            <w:r w:rsidRPr="00E0416A">
              <w:rPr>
                <w:lang w:val="fr-FR"/>
              </w:rPr>
              <w:t>Un diagnostic de la possession du bâti est réalisé et les mécanismes de financement de l'accès au logement sont identifiés</w:t>
            </w:r>
          </w:p>
        </w:tc>
        <w:tc>
          <w:tcPr>
            <w:tcW w:w="6210" w:type="dxa"/>
          </w:tcPr>
          <w:p w:rsidR="00CF2129" w:rsidRPr="00E0416A" w:rsidRDefault="00CF2129" w:rsidP="00F17846">
            <w:pPr>
              <w:jc w:val="both"/>
              <w:rPr>
                <w:lang w:val="fr-FR"/>
              </w:rPr>
            </w:pPr>
            <w:r w:rsidRPr="00E0416A">
              <w:rPr>
                <w:lang w:val="fr-FR"/>
              </w:rPr>
              <w:t xml:space="preserve">Activité planifiée pour 2014 </w:t>
            </w:r>
          </w:p>
        </w:tc>
        <w:tc>
          <w:tcPr>
            <w:tcW w:w="1530" w:type="dxa"/>
          </w:tcPr>
          <w:p w:rsidR="00CF2129" w:rsidRPr="00E0416A" w:rsidRDefault="00CF2129" w:rsidP="00F17846">
            <w:pPr>
              <w:jc w:val="both"/>
              <w:rPr>
                <w:lang w:val="fr-FR"/>
              </w:rPr>
            </w:pPr>
            <w:r w:rsidRPr="00E0416A">
              <w:rPr>
                <w:lang w:val="fr-FR"/>
              </w:rPr>
              <w:t xml:space="preserve">            0%</w:t>
            </w:r>
          </w:p>
        </w:tc>
      </w:tr>
    </w:tbl>
    <w:p w:rsidR="00CF2129" w:rsidRDefault="00CF2129" w:rsidP="00CF2129">
      <w:pPr>
        <w:pStyle w:val="ListParagraph"/>
        <w:ind w:left="360"/>
        <w:jc w:val="both"/>
        <w:rPr>
          <w:color w:val="000000"/>
          <w:lang w:val="fr-FR"/>
        </w:rPr>
      </w:pPr>
    </w:p>
    <w:p w:rsidR="00936AD0" w:rsidRDefault="00936AD0" w:rsidP="00CF2129">
      <w:pPr>
        <w:pStyle w:val="ListParagraph"/>
        <w:ind w:left="360"/>
        <w:jc w:val="both"/>
        <w:rPr>
          <w:color w:val="000000"/>
          <w:lang w:val="fr-FR"/>
        </w:rPr>
      </w:pPr>
    </w:p>
    <w:p w:rsidR="00936AD0" w:rsidRDefault="00936AD0" w:rsidP="00CF2129">
      <w:pPr>
        <w:pStyle w:val="ListParagraph"/>
        <w:ind w:left="360"/>
        <w:jc w:val="both"/>
        <w:rPr>
          <w:color w:val="000000"/>
          <w:lang w:val="fr-FR"/>
        </w:rPr>
      </w:pPr>
    </w:p>
    <w:p w:rsidR="00936AD0" w:rsidRDefault="00936AD0" w:rsidP="00CF2129">
      <w:pPr>
        <w:pStyle w:val="ListParagraph"/>
        <w:ind w:left="360"/>
        <w:jc w:val="both"/>
        <w:rPr>
          <w:color w:val="000000"/>
          <w:lang w:val="fr-FR"/>
        </w:rPr>
      </w:pPr>
    </w:p>
    <w:p w:rsidR="00936AD0" w:rsidRDefault="00936AD0" w:rsidP="00CF2129">
      <w:pPr>
        <w:pStyle w:val="ListParagraph"/>
        <w:ind w:left="360"/>
        <w:jc w:val="both"/>
        <w:rPr>
          <w:color w:val="000000"/>
          <w:lang w:val="fr-FR"/>
        </w:rPr>
      </w:pPr>
    </w:p>
    <w:p w:rsidR="00CF7BE6" w:rsidRDefault="00CF7BE6" w:rsidP="00CF2129">
      <w:pPr>
        <w:pStyle w:val="ListParagraph"/>
        <w:ind w:left="360"/>
        <w:jc w:val="both"/>
        <w:rPr>
          <w:color w:val="000000"/>
          <w:lang w:val="fr-FR"/>
        </w:rPr>
      </w:pPr>
    </w:p>
    <w:p w:rsidR="00CF7BE6" w:rsidRDefault="00CF7BE6" w:rsidP="00CF2129">
      <w:pPr>
        <w:pStyle w:val="ListParagraph"/>
        <w:ind w:left="360"/>
        <w:jc w:val="both"/>
        <w:rPr>
          <w:color w:val="000000"/>
          <w:lang w:val="fr-FR"/>
        </w:rPr>
      </w:pPr>
    </w:p>
    <w:p w:rsidR="00CF7BE6" w:rsidRDefault="00CF7BE6" w:rsidP="00CF2129">
      <w:pPr>
        <w:pStyle w:val="ListParagraph"/>
        <w:ind w:left="360"/>
        <w:jc w:val="both"/>
        <w:rPr>
          <w:color w:val="000000"/>
          <w:lang w:val="fr-FR"/>
        </w:rPr>
      </w:pPr>
    </w:p>
    <w:p w:rsidR="00CF7BE6" w:rsidRPr="00E0416A" w:rsidRDefault="00CF7BE6" w:rsidP="00CF2129">
      <w:pPr>
        <w:pStyle w:val="ListParagraph"/>
        <w:ind w:left="360"/>
        <w:jc w:val="both"/>
        <w:rPr>
          <w:color w:val="000000"/>
          <w:lang w:val="fr-FR"/>
        </w:rPr>
      </w:pPr>
    </w:p>
    <w:p w:rsidR="00CF2129" w:rsidRPr="00E0416A" w:rsidRDefault="00CF2129" w:rsidP="00CF2129">
      <w:pPr>
        <w:jc w:val="both"/>
        <w:rPr>
          <w:b/>
          <w:bCs/>
          <w:lang w:val="fr-FR"/>
        </w:rPr>
      </w:pPr>
      <w:r w:rsidRPr="00E0416A">
        <w:rPr>
          <w:b/>
          <w:bCs/>
          <w:lang w:val="fr-FR"/>
        </w:rPr>
        <w:t xml:space="preserve">Produit 2 : </w:t>
      </w:r>
      <w:r w:rsidRPr="00E0416A">
        <w:rPr>
          <w:i/>
          <w:color w:val="000000"/>
          <w:lang w:val="fr-FR"/>
        </w:rPr>
        <w:t>Le risque sismique est quantifié par l'évaluation et la classification du bâti et des infrastructures</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Une méthodologie pour l'évaluation du bâti est développée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50% au moins du bâti des 4 grandes villes du grand nord est évalué selon cette méthodologie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L’ensemble du bâti évalué est classifié selon son niveau d’importance et d’enjeu.</w:t>
      </w:r>
    </w:p>
    <w:p w:rsidR="00CF2129" w:rsidRPr="00E0416A" w:rsidRDefault="00CF2129" w:rsidP="00CF2129">
      <w:pPr>
        <w:pStyle w:val="ListParagraph"/>
        <w:spacing w:before="240" w:after="120"/>
        <w:ind w:left="360" w:firstLine="360"/>
        <w:contextualSpacing w:val="0"/>
        <w:jc w:val="both"/>
        <w:rPr>
          <w:b/>
          <w:i/>
          <w:u w:val="single"/>
          <w:lang w:val="fr-FR"/>
        </w:rPr>
      </w:pP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i/>
          <w:u w:val="single"/>
          <w:lang w:val="fr-FR"/>
        </w:rPr>
        <w:t>Résultats obtenus par rapport au produit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21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530" w:type="dxa"/>
          </w:tcPr>
          <w:p w:rsidR="00CF2129" w:rsidRPr="00E0416A" w:rsidRDefault="00CF2129" w:rsidP="00F17846">
            <w:pPr>
              <w:rPr>
                <w:b/>
                <w:i/>
                <w:lang w:val="fr-FR"/>
              </w:rPr>
            </w:pPr>
            <w:r w:rsidRPr="00E0416A">
              <w:rPr>
                <w:b/>
                <w:i/>
                <w:lang w:val="fr-FR"/>
              </w:rPr>
              <w:t>Pourcentage</w:t>
            </w:r>
          </w:p>
        </w:tc>
      </w:tr>
      <w:tr w:rsidR="00CF2129" w:rsidRPr="00E0416A" w:rsidTr="00F17846">
        <w:tc>
          <w:tcPr>
            <w:tcW w:w="2808" w:type="dxa"/>
          </w:tcPr>
          <w:p w:rsidR="00CF2129" w:rsidRPr="00E0416A" w:rsidRDefault="00CF2129" w:rsidP="00F17846">
            <w:pPr>
              <w:jc w:val="both"/>
              <w:rPr>
                <w:lang w:val="fr-FR"/>
              </w:rPr>
            </w:pPr>
            <w:r w:rsidRPr="00E0416A">
              <w:rPr>
                <w:lang w:val="fr-FR"/>
              </w:rPr>
              <w:t>Une méthodologie (Micro zonage) pour l'évaluation du risque séismique est développée et implantée dans les quatre grandes villes</w:t>
            </w:r>
          </w:p>
          <w:p w:rsidR="00CF2129" w:rsidRPr="00E0416A" w:rsidRDefault="00CF2129" w:rsidP="00F17846">
            <w:pPr>
              <w:jc w:val="both"/>
              <w:rPr>
                <w:lang w:val="fr-FR"/>
              </w:rPr>
            </w:pPr>
            <w:r w:rsidRPr="00E0416A">
              <w:rPr>
                <w:lang w:val="fr-FR"/>
              </w:rPr>
              <w:t>Une cartographie des risques est développée et diffusée.</w:t>
            </w:r>
          </w:p>
        </w:tc>
        <w:tc>
          <w:tcPr>
            <w:tcW w:w="6210" w:type="dxa"/>
          </w:tcPr>
          <w:p w:rsidR="00CF2129" w:rsidRPr="00E0416A" w:rsidRDefault="00CF2129" w:rsidP="00F17846">
            <w:pPr>
              <w:jc w:val="both"/>
              <w:rPr>
                <w:snapToGrid w:val="0"/>
                <w:spacing w:val="-2"/>
                <w:lang w:val="fr-FR"/>
              </w:rPr>
            </w:pPr>
            <w:r w:rsidRPr="00E0416A">
              <w:rPr>
                <w:snapToGrid w:val="0"/>
                <w:spacing w:val="-2"/>
                <w:lang w:val="fr-FR"/>
              </w:rPr>
              <w:t>Poursuite des travaux  de sondage géotechniques au niveau de Cap-Ha</w:t>
            </w:r>
            <w:r w:rsidR="00BE3E11">
              <w:rPr>
                <w:snapToGrid w:val="0"/>
                <w:spacing w:val="-2"/>
                <w:lang w:val="fr-FR"/>
              </w:rPr>
              <w:t>ï</w:t>
            </w:r>
            <w:r w:rsidRPr="00E0416A">
              <w:rPr>
                <w:snapToGrid w:val="0"/>
                <w:spacing w:val="-2"/>
                <w:lang w:val="fr-FR"/>
              </w:rPr>
              <w:t xml:space="preserve">tien et </w:t>
            </w:r>
            <w:proofErr w:type="gramStart"/>
            <w:r w:rsidRPr="00E0416A">
              <w:rPr>
                <w:snapToGrid w:val="0"/>
                <w:spacing w:val="-2"/>
                <w:lang w:val="fr-FR"/>
              </w:rPr>
              <w:t>d</w:t>
            </w:r>
            <w:r w:rsidR="00BE3E11">
              <w:rPr>
                <w:snapToGrid w:val="0"/>
                <w:spacing w:val="-2"/>
                <w:lang w:val="fr-FR"/>
              </w:rPr>
              <w:t xml:space="preserve">e </w:t>
            </w:r>
            <w:proofErr w:type="spellStart"/>
            <w:r w:rsidRPr="00E0416A">
              <w:rPr>
                <w:snapToGrid w:val="0"/>
                <w:spacing w:val="-2"/>
                <w:lang w:val="fr-FR"/>
              </w:rPr>
              <w:t>Ouanaminthe</w:t>
            </w:r>
            <w:proofErr w:type="spellEnd"/>
            <w:proofErr w:type="gramEnd"/>
            <w:r w:rsidRPr="00E0416A">
              <w:rPr>
                <w:snapToGrid w:val="0"/>
                <w:spacing w:val="-2"/>
                <w:lang w:val="fr-FR"/>
              </w:rPr>
              <w:t>, notamment par des essais, des prélèvements et des mesures sur les sites retenus. (16 sites au total)</w:t>
            </w:r>
          </w:p>
          <w:p w:rsidR="00CF2129" w:rsidRPr="00E0416A" w:rsidRDefault="00CF2129" w:rsidP="00F17846">
            <w:pPr>
              <w:jc w:val="both"/>
              <w:rPr>
                <w:snapToGrid w:val="0"/>
                <w:spacing w:val="-2"/>
                <w:lang w:val="fr-FR"/>
              </w:rPr>
            </w:pPr>
            <w:r w:rsidRPr="00E0416A">
              <w:rPr>
                <w:snapToGrid w:val="0"/>
                <w:spacing w:val="-2"/>
                <w:lang w:val="fr-FR"/>
              </w:rPr>
              <w:t>Résultats partiels sur Cap-Ha</w:t>
            </w:r>
            <w:r w:rsidR="00BE3E11">
              <w:rPr>
                <w:snapToGrid w:val="0"/>
                <w:spacing w:val="-2"/>
                <w:lang w:val="fr-FR"/>
              </w:rPr>
              <w:t>ï</w:t>
            </w:r>
            <w:r w:rsidRPr="00E0416A">
              <w:rPr>
                <w:snapToGrid w:val="0"/>
                <w:spacing w:val="-2"/>
                <w:lang w:val="fr-FR"/>
              </w:rPr>
              <w:t>tien</w:t>
            </w:r>
          </w:p>
          <w:p w:rsidR="00CF2129" w:rsidRPr="00E0416A" w:rsidRDefault="00CF2129" w:rsidP="00F17846">
            <w:pPr>
              <w:jc w:val="both"/>
              <w:rPr>
                <w:snapToGrid w:val="0"/>
                <w:spacing w:val="-2"/>
                <w:lang w:val="fr-FR"/>
              </w:rPr>
            </w:pPr>
            <w:r w:rsidRPr="00E0416A">
              <w:rPr>
                <w:snapToGrid w:val="0"/>
                <w:spacing w:val="-2"/>
                <w:lang w:val="fr-FR"/>
              </w:rPr>
              <w:t>Carte Géologique et carte partielle de micro zonage disponibles</w:t>
            </w:r>
          </w:p>
          <w:p w:rsidR="00CF2129" w:rsidRPr="00E0416A" w:rsidRDefault="00CF2129" w:rsidP="00F17846">
            <w:pPr>
              <w:jc w:val="both"/>
              <w:rPr>
                <w:snapToGrid w:val="0"/>
                <w:spacing w:val="-2"/>
                <w:lang w:val="fr-FR"/>
              </w:rPr>
            </w:pPr>
          </w:p>
          <w:p w:rsidR="00CF2129" w:rsidRPr="00E0416A" w:rsidRDefault="007948A1" w:rsidP="00F17846">
            <w:pPr>
              <w:jc w:val="both"/>
              <w:rPr>
                <w:snapToGrid w:val="0"/>
                <w:spacing w:val="-2"/>
                <w:lang w:val="fr-FR"/>
              </w:rPr>
            </w:pPr>
            <w:r>
              <w:rPr>
                <w:snapToGrid w:val="0"/>
                <w:spacing w:val="-2"/>
                <w:lang w:val="fr-FR"/>
              </w:rPr>
              <w:t>Résultats partiels sur Fort-</w:t>
            </w:r>
            <w:r w:rsidR="00CF2129" w:rsidRPr="00E0416A">
              <w:rPr>
                <w:snapToGrid w:val="0"/>
                <w:spacing w:val="-2"/>
                <w:lang w:val="fr-FR"/>
              </w:rPr>
              <w:t xml:space="preserve">Liberté : </w:t>
            </w:r>
          </w:p>
          <w:p w:rsidR="00CF2129" w:rsidRPr="00E0416A" w:rsidRDefault="00CF2129" w:rsidP="00F17846">
            <w:pPr>
              <w:jc w:val="both"/>
              <w:rPr>
                <w:snapToGrid w:val="0"/>
                <w:spacing w:val="-2"/>
                <w:lang w:val="fr-FR"/>
              </w:rPr>
            </w:pPr>
            <w:r w:rsidRPr="00E0416A">
              <w:rPr>
                <w:snapToGrid w:val="0"/>
                <w:spacing w:val="-2"/>
                <w:lang w:val="fr-FR"/>
              </w:rPr>
              <w:t xml:space="preserve">Présence de plusieurs types de formations superficielles au comportement différent.  Ici la méthode H/V ne permet pas à elle seule de caractériser la présence ou non d’effets de site importants </w:t>
            </w:r>
          </w:p>
          <w:p w:rsidR="00CF2129" w:rsidRPr="00E0416A" w:rsidRDefault="00CF2129" w:rsidP="00F17846">
            <w:pPr>
              <w:jc w:val="both"/>
              <w:rPr>
                <w:snapToGrid w:val="0"/>
                <w:spacing w:val="-2"/>
                <w:lang w:val="fr-FR"/>
              </w:rPr>
            </w:pPr>
          </w:p>
          <w:p w:rsidR="00CF2129" w:rsidRPr="00E0416A" w:rsidRDefault="00CF2129" w:rsidP="00F17846">
            <w:pPr>
              <w:jc w:val="both"/>
              <w:rPr>
                <w:snapToGrid w:val="0"/>
                <w:spacing w:val="-2"/>
                <w:lang w:val="fr-FR"/>
              </w:rPr>
            </w:pPr>
            <w:r w:rsidRPr="00E0416A">
              <w:rPr>
                <w:snapToGrid w:val="0"/>
                <w:spacing w:val="-2"/>
                <w:lang w:val="fr-FR"/>
              </w:rPr>
              <w:t xml:space="preserve">Résultats partiels sur </w:t>
            </w:r>
            <w:proofErr w:type="spellStart"/>
            <w:r w:rsidRPr="00E0416A">
              <w:rPr>
                <w:snapToGrid w:val="0"/>
                <w:spacing w:val="-2"/>
                <w:lang w:val="fr-FR"/>
              </w:rPr>
              <w:t>Ouanaminthe</w:t>
            </w:r>
            <w:proofErr w:type="spellEnd"/>
            <w:r w:rsidRPr="00E0416A">
              <w:rPr>
                <w:snapToGrid w:val="0"/>
                <w:spacing w:val="-2"/>
                <w:lang w:val="fr-FR"/>
              </w:rPr>
              <w:t xml:space="preserve"> : </w:t>
            </w:r>
          </w:p>
          <w:p w:rsidR="00CF2129" w:rsidRPr="00E0416A" w:rsidRDefault="00CF2129" w:rsidP="00F17846">
            <w:pPr>
              <w:jc w:val="both"/>
              <w:rPr>
                <w:snapToGrid w:val="0"/>
                <w:spacing w:val="-2"/>
                <w:lang w:val="fr-FR"/>
              </w:rPr>
            </w:pPr>
            <w:r w:rsidRPr="00E0416A">
              <w:rPr>
                <w:snapToGrid w:val="0"/>
                <w:spacing w:val="-2"/>
                <w:lang w:val="fr-FR"/>
              </w:rPr>
              <w:t xml:space="preserve">Une géologie qui semble être très homogène (alluvions fluviatiles) et des effets de site détectables sur toute la zone (fréquence 1.8 à 2.0 Hz) </w:t>
            </w:r>
          </w:p>
          <w:p w:rsidR="00CF2129" w:rsidRPr="00E0416A" w:rsidRDefault="00CF2129" w:rsidP="00F17846">
            <w:pPr>
              <w:jc w:val="both"/>
              <w:rPr>
                <w:snapToGrid w:val="0"/>
                <w:spacing w:val="-2"/>
                <w:lang w:val="fr-FR"/>
              </w:rPr>
            </w:pPr>
          </w:p>
          <w:p w:rsidR="00CF2129" w:rsidRPr="00E0416A" w:rsidRDefault="00CF2129" w:rsidP="00F17846">
            <w:pPr>
              <w:jc w:val="both"/>
              <w:rPr>
                <w:snapToGrid w:val="0"/>
                <w:spacing w:val="-2"/>
                <w:lang w:val="fr-FR"/>
              </w:rPr>
            </w:pPr>
            <w:r w:rsidRPr="00E0416A">
              <w:rPr>
                <w:snapToGrid w:val="0"/>
                <w:spacing w:val="-2"/>
                <w:lang w:val="fr-FR"/>
              </w:rPr>
              <w:t xml:space="preserve">Des experts géologues de BRGM/BME/LNBTP   ont effectué    des missions  d’études géotechniques MASW (Multi Channel </w:t>
            </w:r>
            <w:proofErr w:type="spellStart"/>
            <w:r w:rsidRPr="00E0416A">
              <w:rPr>
                <w:snapToGrid w:val="0"/>
                <w:spacing w:val="-2"/>
                <w:lang w:val="fr-FR"/>
              </w:rPr>
              <w:t>Analysis</w:t>
            </w:r>
            <w:proofErr w:type="spellEnd"/>
            <w:r w:rsidRPr="00E0416A">
              <w:rPr>
                <w:snapToGrid w:val="0"/>
                <w:spacing w:val="-2"/>
                <w:lang w:val="fr-FR"/>
              </w:rPr>
              <w:t xml:space="preserve"> Surface </w:t>
            </w:r>
            <w:proofErr w:type="spellStart"/>
            <w:r w:rsidRPr="00E0416A">
              <w:rPr>
                <w:snapToGrid w:val="0"/>
                <w:spacing w:val="-2"/>
                <w:lang w:val="fr-FR"/>
              </w:rPr>
              <w:t>Waves</w:t>
            </w:r>
            <w:proofErr w:type="spellEnd"/>
            <w:r w:rsidRPr="00E0416A">
              <w:rPr>
                <w:snapToGrid w:val="0"/>
                <w:spacing w:val="-2"/>
                <w:lang w:val="fr-FR"/>
              </w:rPr>
              <w:t xml:space="preserve"> (Mesure de la propagation des ondes de cisaillement en fonction de la structure du sol)</w:t>
            </w:r>
            <w:r w:rsidR="00BE3E11">
              <w:rPr>
                <w:snapToGrid w:val="0"/>
                <w:spacing w:val="-2"/>
                <w:lang w:val="fr-FR"/>
              </w:rPr>
              <w:t>.</w:t>
            </w:r>
          </w:p>
          <w:p w:rsidR="00CF2129" w:rsidRPr="00E0416A" w:rsidRDefault="00CF2129" w:rsidP="00F17846">
            <w:pPr>
              <w:jc w:val="both"/>
              <w:rPr>
                <w:snapToGrid w:val="0"/>
                <w:spacing w:val="-2"/>
                <w:lang w:val="fr-FR"/>
              </w:rPr>
            </w:pPr>
            <w:r w:rsidRPr="00E0416A">
              <w:rPr>
                <w:snapToGrid w:val="0"/>
                <w:spacing w:val="-2"/>
                <w:lang w:val="fr-FR"/>
              </w:rPr>
              <w:t>Ils fournissent le profil de vitesse des ondes de taille Vs à 30 m de profondeur. Ceci permet de caractériser le type de sol en fonction de sa sismicité et l’évaluation de risques de liquéfaction dans les Départements du Nord et Nord</w:t>
            </w:r>
            <w:r w:rsidR="00BE3E11">
              <w:rPr>
                <w:snapToGrid w:val="0"/>
                <w:spacing w:val="-2"/>
                <w:lang w:val="fr-FR"/>
              </w:rPr>
              <w:t>-</w:t>
            </w:r>
            <w:r w:rsidRPr="00E0416A">
              <w:rPr>
                <w:snapToGrid w:val="0"/>
                <w:spacing w:val="-2"/>
                <w:lang w:val="fr-FR"/>
              </w:rPr>
              <w:t xml:space="preserve">Est plus précisément à </w:t>
            </w:r>
            <w:proofErr w:type="spellStart"/>
            <w:r w:rsidRPr="00E0416A">
              <w:rPr>
                <w:snapToGrid w:val="0"/>
                <w:spacing w:val="-2"/>
                <w:lang w:val="fr-FR"/>
              </w:rPr>
              <w:t>Ouanaminthe</w:t>
            </w:r>
            <w:proofErr w:type="spellEnd"/>
          </w:p>
          <w:p w:rsidR="00CF2129" w:rsidRPr="00E0416A" w:rsidRDefault="00CF2129" w:rsidP="00F17846">
            <w:pPr>
              <w:jc w:val="both"/>
              <w:rPr>
                <w:snapToGrid w:val="0"/>
                <w:spacing w:val="-2"/>
                <w:lang w:val="fr-FR"/>
              </w:rPr>
            </w:pPr>
          </w:p>
          <w:p w:rsidR="00CF2129" w:rsidRPr="00E0416A" w:rsidRDefault="00CF2129" w:rsidP="00F17846">
            <w:pPr>
              <w:jc w:val="both"/>
              <w:rPr>
                <w:snapToGrid w:val="0"/>
                <w:spacing w:val="-2"/>
                <w:lang w:val="fr-FR"/>
              </w:rPr>
            </w:pPr>
            <w:r w:rsidRPr="00E0416A">
              <w:rPr>
                <w:snapToGrid w:val="0"/>
                <w:spacing w:val="-2"/>
                <w:lang w:val="fr-FR"/>
              </w:rPr>
              <w:t xml:space="preserve">Interprétation des cartographies qui décèlent certaines  failles </w:t>
            </w:r>
          </w:p>
          <w:p w:rsidR="00CF2129" w:rsidRPr="00E0416A" w:rsidRDefault="00CF2129" w:rsidP="00F17846">
            <w:pPr>
              <w:jc w:val="both"/>
              <w:rPr>
                <w:snapToGrid w:val="0"/>
                <w:spacing w:val="-2"/>
                <w:lang w:val="fr-FR"/>
              </w:rPr>
            </w:pPr>
            <w:r w:rsidRPr="00E0416A">
              <w:rPr>
                <w:snapToGrid w:val="0"/>
                <w:spacing w:val="-2"/>
                <w:lang w:val="fr-FR"/>
              </w:rPr>
              <w:t xml:space="preserve">* 11 Sondages Carottés ont été réalisés, jusqu’ à 30.00 mètres, soit 6 à Cap-Haitien et 5 à </w:t>
            </w:r>
            <w:proofErr w:type="spellStart"/>
            <w:r w:rsidRPr="00E0416A">
              <w:rPr>
                <w:snapToGrid w:val="0"/>
                <w:spacing w:val="-2"/>
                <w:lang w:val="fr-FR"/>
              </w:rPr>
              <w:t>Ouanaminthe</w:t>
            </w:r>
            <w:proofErr w:type="spellEnd"/>
            <w:r w:rsidRPr="00E0416A">
              <w:rPr>
                <w:snapToGrid w:val="0"/>
                <w:spacing w:val="-2"/>
                <w:lang w:val="fr-FR"/>
              </w:rPr>
              <w:t xml:space="preserve">). </w:t>
            </w:r>
          </w:p>
          <w:p w:rsidR="00CF2129" w:rsidRPr="00E0416A" w:rsidRDefault="00CF2129" w:rsidP="00F17846">
            <w:pPr>
              <w:jc w:val="both"/>
              <w:rPr>
                <w:snapToGrid w:val="0"/>
                <w:spacing w:val="-2"/>
                <w:lang w:val="fr-FR"/>
              </w:rPr>
            </w:pPr>
            <w:r w:rsidRPr="00E0416A">
              <w:rPr>
                <w:snapToGrid w:val="0"/>
                <w:spacing w:val="-2"/>
                <w:lang w:val="fr-FR"/>
              </w:rPr>
              <w:t xml:space="preserve">* 5 profils sismiques à </w:t>
            </w:r>
            <w:proofErr w:type="spellStart"/>
            <w:r w:rsidRPr="00E0416A">
              <w:rPr>
                <w:snapToGrid w:val="0"/>
                <w:spacing w:val="-2"/>
                <w:lang w:val="fr-FR"/>
              </w:rPr>
              <w:t>Ouanaminthe</w:t>
            </w:r>
            <w:proofErr w:type="spellEnd"/>
            <w:r w:rsidRPr="00E0416A">
              <w:rPr>
                <w:snapToGrid w:val="0"/>
                <w:spacing w:val="-2"/>
                <w:lang w:val="fr-FR"/>
              </w:rPr>
              <w:t xml:space="preserve"> et 4 à Cap-Haitien.</w:t>
            </w:r>
          </w:p>
          <w:p w:rsidR="00CF2129" w:rsidRPr="00E0416A" w:rsidRDefault="00CF2129" w:rsidP="00F17846">
            <w:pPr>
              <w:jc w:val="both"/>
              <w:rPr>
                <w:snapToGrid w:val="0"/>
                <w:spacing w:val="-2"/>
                <w:lang w:val="fr-FR"/>
              </w:rPr>
            </w:pPr>
            <w:r w:rsidRPr="00E0416A">
              <w:rPr>
                <w:snapToGrid w:val="0"/>
                <w:spacing w:val="-2"/>
                <w:lang w:val="fr-FR"/>
              </w:rPr>
              <w:t>* Collecte de données et géo-référencement.  Lesquels travaux sont totalement effectués au niveau des 4 villes.</w:t>
            </w:r>
          </w:p>
          <w:p w:rsidR="00CF2129" w:rsidRPr="00E0416A" w:rsidRDefault="00CF2129" w:rsidP="00F17846">
            <w:pPr>
              <w:jc w:val="both"/>
              <w:rPr>
                <w:snapToGrid w:val="0"/>
                <w:spacing w:val="-2"/>
                <w:lang w:val="fr-FR"/>
              </w:rPr>
            </w:pPr>
            <w:r w:rsidRPr="00E0416A">
              <w:rPr>
                <w:snapToGrid w:val="0"/>
                <w:spacing w:val="-2"/>
                <w:lang w:val="fr-FR"/>
              </w:rPr>
              <w:t xml:space="preserve">* Cartographie géologique, lequel travail est complètement </w:t>
            </w:r>
            <w:r w:rsidRPr="00E0416A">
              <w:rPr>
                <w:snapToGrid w:val="0"/>
                <w:spacing w:val="-2"/>
                <w:lang w:val="fr-FR"/>
              </w:rPr>
              <w:lastRenderedPageBreak/>
              <w:t xml:space="preserve">effectué au niveau des 4 villes. </w:t>
            </w:r>
          </w:p>
          <w:p w:rsidR="00CF2129" w:rsidRPr="00E0416A" w:rsidRDefault="00CF2129" w:rsidP="00F17846">
            <w:pPr>
              <w:jc w:val="both"/>
              <w:rPr>
                <w:snapToGrid w:val="0"/>
                <w:spacing w:val="-2"/>
                <w:lang w:val="fr-FR"/>
              </w:rPr>
            </w:pPr>
            <w:r w:rsidRPr="00E0416A">
              <w:rPr>
                <w:snapToGrid w:val="0"/>
                <w:spacing w:val="-2"/>
                <w:lang w:val="fr-FR"/>
              </w:rPr>
              <w:t xml:space="preserve">* Estimation de la profondeur moyenne de la nappe phréatique au niveau </w:t>
            </w:r>
            <w:proofErr w:type="gramStart"/>
            <w:r w:rsidRPr="00E0416A">
              <w:rPr>
                <w:snapToGrid w:val="0"/>
                <w:spacing w:val="-2"/>
                <w:lang w:val="fr-FR"/>
              </w:rPr>
              <w:t>d</w:t>
            </w:r>
            <w:r w:rsidR="00BE3E11">
              <w:rPr>
                <w:snapToGrid w:val="0"/>
                <w:spacing w:val="-2"/>
                <w:lang w:val="fr-FR"/>
              </w:rPr>
              <w:t>e</w:t>
            </w:r>
            <w:r w:rsidR="00F35448">
              <w:rPr>
                <w:snapToGrid w:val="0"/>
                <w:spacing w:val="-2"/>
                <w:lang w:val="fr-FR"/>
              </w:rPr>
              <w:t xml:space="preserve"> </w:t>
            </w:r>
            <w:proofErr w:type="spellStart"/>
            <w:r w:rsidRPr="00E0416A">
              <w:rPr>
                <w:snapToGrid w:val="0"/>
                <w:spacing w:val="-2"/>
                <w:lang w:val="fr-FR"/>
              </w:rPr>
              <w:t>Ouanaminthe</w:t>
            </w:r>
            <w:proofErr w:type="spellEnd"/>
            <w:proofErr w:type="gramEnd"/>
            <w:r w:rsidRPr="00E0416A">
              <w:rPr>
                <w:snapToGrid w:val="0"/>
                <w:spacing w:val="-2"/>
                <w:lang w:val="fr-FR"/>
              </w:rPr>
              <w:t xml:space="preserve"> et</w:t>
            </w:r>
            <w:r w:rsidR="00BB3DBD">
              <w:rPr>
                <w:snapToGrid w:val="0"/>
                <w:spacing w:val="-2"/>
                <w:lang w:val="fr-FR"/>
              </w:rPr>
              <w:t xml:space="preserve"> </w:t>
            </w:r>
            <w:r w:rsidR="002A1A8D">
              <w:rPr>
                <w:snapToGrid w:val="0"/>
                <w:spacing w:val="-2"/>
                <w:lang w:val="fr-FR"/>
              </w:rPr>
              <w:t xml:space="preserve">de </w:t>
            </w:r>
            <w:r w:rsidR="00BB3DBD">
              <w:rPr>
                <w:snapToGrid w:val="0"/>
                <w:spacing w:val="-2"/>
                <w:lang w:val="fr-FR"/>
              </w:rPr>
              <w:t>Fort</w:t>
            </w:r>
            <w:r w:rsidR="002A1A8D">
              <w:rPr>
                <w:snapToGrid w:val="0"/>
                <w:spacing w:val="-2"/>
                <w:lang w:val="fr-FR"/>
              </w:rPr>
              <w:t>-</w:t>
            </w:r>
            <w:r w:rsidR="00BB3DBD">
              <w:rPr>
                <w:snapToGrid w:val="0"/>
                <w:spacing w:val="-2"/>
                <w:lang w:val="fr-FR"/>
              </w:rPr>
              <w:t xml:space="preserve">Liberté </w:t>
            </w:r>
            <w:r w:rsidRPr="00E0416A">
              <w:rPr>
                <w:snapToGrid w:val="0"/>
                <w:spacing w:val="-2"/>
                <w:lang w:val="fr-FR"/>
              </w:rPr>
              <w:t xml:space="preserve"> afin de compléter les données visant à déterminer le risque à la liquéfaction des sols.</w:t>
            </w:r>
          </w:p>
          <w:p w:rsidR="00CF2129" w:rsidRPr="00E0416A" w:rsidRDefault="00CF2129" w:rsidP="00F17846">
            <w:pPr>
              <w:jc w:val="both"/>
              <w:rPr>
                <w:snapToGrid w:val="0"/>
                <w:spacing w:val="-2"/>
                <w:lang w:val="fr-FR"/>
              </w:rPr>
            </w:pPr>
            <w:r w:rsidRPr="00E0416A">
              <w:rPr>
                <w:snapToGrid w:val="0"/>
                <w:spacing w:val="-2"/>
                <w:lang w:val="fr-FR"/>
              </w:rPr>
              <w:t>* Cartographie de mouvement de terrain</w:t>
            </w:r>
          </w:p>
          <w:p w:rsidR="00CF2129" w:rsidRPr="00E0416A" w:rsidRDefault="00CF2129" w:rsidP="00F17846">
            <w:pPr>
              <w:jc w:val="both"/>
              <w:rPr>
                <w:snapToGrid w:val="0"/>
                <w:spacing w:val="-2"/>
                <w:lang w:val="fr-FR"/>
              </w:rPr>
            </w:pPr>
            <w:r w:rsidRPr="00E0416A">
              <w:rPr>
                <w:snapToGrid w:val="0"/>
                <w:spacing w:val="-2"/>
                <w:lang w:val="fr-FR"/>
              </w:rPr>
              <w:t>* Zonage géotechnique (interprétation géotechnique et géophysique)</w:t>
            </w:r>
          </w:p>
          <w:p w:rsidR="00CF2129" w:rsidRPr="00E0416A" w:rsidRDefault="00CF2129" w:rsidP="00F17846">
            <w:pPr>
              <w:jc w:val="both"/>
              <w:rPr>
                <w:snapToGrid w:val="0"/>
                <w:spacing w:val="-2"/>
                <w:lang w:val="fr-FR"/>
              </w:rPr>
            </w:pPr>
            <w:r w:rsidRPr="00E0416A">
              <w:rPr>
                <w:snapToGrid w:val="0"/>
                <w:spacing w:val="-2"/>
                <w:lang w:val="fr-FR"/>
              </w:rPr>
              <w:t>* CPT (Corne de Pénétration Test) qui permet de déceler la réaction au cisaillement du sous-sol, proche des rivières</w:t>
            </w:r>
            <w:r w:rsidR="007948A1">
              <w:rPr>
                <w:snapToGrid w:val="0"/>
                <w:spacing w:val="-2"/>
                <w:lang w:val="fr-FR"/>
              </w:rPr>
              <w:t xml:space="preserve"> (4 à </w:t>
            </w:r>
            <w:proofErr w:type="spellStart"/>
            <w:r w:rsidR="007948A1">
              <w:rPr>
                <w:snapToGrid w:val="0"/>
                <w:spacing w:val="-2"/>
                <w:lang w:val="fr-FR"/>
              </w:rPr>
              <w:t>Ouanaminthe</w:t>
            </w:r>
            <w:proofErr w:type="spellEnd"/>
            <w:r w:rsidR="007948A1">
              <w:rPr>
                <w:snapToGrid w:val="0"/>
                <w:spacing w:val="-2"/>
                <w:lang w:val="fr-FR"/>
              </w:rPr>
              <w:t xml:space="preserve"> et 5 à Cap-Haï</w:t>
            </w:r>
            <w:r w:rsidRPr="00E0416A">
              <w:rPr>
                <w:snapToGrid w:val="0"/>
                <w:spacing w:val="-2"/>
                <w:lang w:val="fr-FR"/>
              </w:rPr>
              <w:t xml:space="preserve">tien) </w:t>
            </w:r>
          </w:p>
          <w:p w:rsidR="00CF2129" w:rsidRPr="00E0416A" w:rsidRDefault="00CF2129" w:rsidP="00F17846">
            <w:pPr>
              <w:jc w:val="both"/>
              <w:rPr>
                <w:lang w:val="fr-FR"/>
              </w:rPr>
            </w:pPr>
            <w:r w:rsidRPr="00E0416A">
              <w:rPr>
                <w:rFonts w:eastAsia="Calibri"/>
                <w:snapToGrid w:val="0"/>
                <w:spacing w:val="-2"/>
                <w:lang w:val="fr-FR"/>
              </w:rPr>
              <w:t xml:space="preserve">* Cet ensemble de  travail est mis en place par des experts du BRGM (Bureau de Recherches Géologiques et Minières – Français), en étroite collaboration avec les experts nationaux du Bureau des Mines et de l’Energie (BME) et du Laboratoire National du Bâtiment et des Travaux Publics (LNBTP). </w:t>
            </w:r>
          </w:p>
          <w:p w:rsidR="00CF2129" w:rsidRPr="00E0416A" w:rsidRDefault="00CF2129" w:rsidP="00F17846">
            <w:pPr>
              <w:jc w:val="both"/>
              <w:rPr>
                <w:lang w:val="fr-FR"/>
              </w:rPr>
            </w:pPr>
          </w:p>
        </w:tc>
        <w:tc>
          <w:tcPr>
            <w:tcW w:w="1530" w:type="dxa"/>
          </w:tcPr>
          <w:p w:rsidR="00CF2129" w:rsidRPr="00E0416A" w:rsidRDefault="007948A1" w:rsidP="00F17846">
            <w:pPr>
              <w:spacing w:after="200" w:line="276" w:lineRule="auto"/>
              <w:rPr>
                <w:rFonts w:eastAsia="Calibri"/>
                <w:lang w:val="fr-FR"/>
              </w:rPr>
            </w:pPr>
            <w:r>
              <w:rPr>
                <w:rFonts w:eastAsia="Calibri"/>
                <w:lang w:val="fr-FR"/>
              </w:rPr>
              <w:lastRenderedPageBreak/>
              <w:t>Cap-</w:t>
            </w:r>
            <w:r w:rsidR="00CF2129" w:rsidRPr="00E0416A">
              <w:rPr>
                <w:rFonts w:eastAsia="Calibri"/>
                <w:lang w:val="fr-FR"/>
              </w:rPr>
              <w:t>Haïtien 80 %</w:t>
            </w:r>
          </w:p>
          <w:p w:rsidR="00CF2129" w:rsidRPr="00E0416A" w:rsidRDefault="00CF2129" w:rsidP="00F17846">
            <w:pPr>
              <w:spacing w:after="200" w:line="276" w:lineRule="auto"/>
              <w:rPr>
                <w:rFonts w:eastAsia="Calibri"/>
                <w:lang w:val="fr-FR"/>
              </w:rPr>
            </w:pPr>
            <w:proofErr w:type="spellStart"/>
            <w:r w:rsidRPr="00E0416A">
              <w:rPr>
                <w:rFonts w:eastAsia="Calibri"/>
                <w:lang w:val="fr-FR"/>
              </w:rPr>
              <w:t>Ouanaminthe</w:t>
            </w:r>
            <w:proofErr w:type="spellEnd"/>
            <w:r w:rsidRPr="00E0416A">
              <w:rPr>
                <w:rFonts w:eastAsia="Calibri"/>
                <w:lang w:val="fr-FR"/>
              </w:rPr>
              <w:t xml:space="preserve"> 80 %</w:t>
            </w:r>
          </w:p>
          <w:p w:rsidR="00CF2129" w:rsidRPr="00E0416A" w:rsidRDefault="007948A1" w:rsidP="00F17846">
            <w:pPr>
              <w:spacing w:after="200" w:line="276" w:lineRule="auto"/>
              <w:rPr>
                <w:rFonts w:eastAsia="Calibri"/>
                <w:lang w:val="fr-FR"/>
              </w:rPr>
            </w:pPr>
            <w:r>
              <w:rPr>
                <w:rFonts w:eastAsia="Calibri"/>
                <w:lang w:val="fr-FR"/>
              </w:rPr>
              <w:t>Fort-</w:t>
            </w:r>
            <w:r w:rsidR="00CF2129" w:rsidRPr="00E0416A">
              <w:rPr>
                <w:rFonts w:eastAsia="Calibri"/>
                <w:lang w:val="fr-FR"/>
              </w:rPr>
              <w:t>Liberté 33 %</w:t>
            </w:r>
          </w:p>
          <w:p w:rsidR="00CF2129" w:rsidRPr="00E0416A" w:rsidRDefault="00CF2129" w:rsidP="00F17846">
            <w:pPr>
              <w:spacing w:after="200" w:line="276" w:lineRule="auto"/>
              <w:rPr>
                <w:rFonts w:eastAsia="Calibri"/>
                <w:lang w:val="fr-FR"/>
              </w:rPr>
            </w:pPr>
            <w:r w:rsidRPr="00E0416A">
              <w:rPr>
                <w:rFonts w:eastAsia="Calibri"/>
                <w:lang w:val="fr-FR"/>
              </w:rPr>
              <w:t xml:space="preserve">(ou FL + </w:t>
            </w:r>
            <w:proofErr w:type="spellStart"/>
            <w:r w:rsidRPr="00E0416A">
              <w:rPr>
                <w:rFonts w:eastAsia="Calibri"/>
                <w:lang w:val="fr-FR"/>
              </w:rPr>
              <w:t>Oua</w:t>
            </w:r>
            <w:proofErr w:type="spellEnd"/>
            <w:r w:rsidRPr="00E0416A">
              <w:rPr>
                <w:rFonts w:eastAsia="Calibri"/>
                <w:lang w:val="fr-FR"/>
              </w:rPr>
              <w:t>. = 55 %)</w:t>
            </w:r>
          </w:p>
          <w:p w:rsidR="00CF2129" w:rsidRPr="00E0416A" w:rsidRDefault="00CF2129" w:rsidP="00F17846">
            <w:pPr>
              <w:spacing w:after="200" w:line="276" w:lineRule="auto"/>
              <w:rPr>
                <w:rFonts w:eastAsia="Calibri"/>
                <w:lang w:val="fr-FR"/>
              </w:rPr>
            </w:pPr>
            <w:r w:rsidRPr="00E0416A">
              <w:rPr>
                <w:rFonts w:eastAsia="Calibri"/>
                <w:lang w:val="fr-FR"/>
              </w:rPr>
              <w:t>Port-de-Paix 33 %</w:t>
            </w:r>
          </w:p>
          <w:p w:rsidR="00CF2129" w:rsidRPr="00E0416A" w:rsidRDefault="00CF2129" w:rsidP="00F17846">
            <w:pPr>
              <w:jc w:val="center"/>
              <w:rPr>
                <w:lang w:val="fr-FR"/>
              </w:rPr>
            </w:pPr>
            <w:r w:rsidRPr="00E0416A">
              <w:rPr>
                <w:rFonts w:eastAsia="Calibri"/>
                <w:snapToGrid w:val="0"/>
                <w:spacing w:val="-2"/>
                <w:lang w:val="fr-FR"/>
              </w:rPr>
              <w:t>Moyenne 67 %</w:t>
            </w:r>
          </w:p>
        </w:tc>
      </w:tr>
      <w:tr w:rsidR="00CF2129" w:rsidRPr="00E0416A" w:rsidTr="00F17846">
        <w:tc>
          <w:tcPr>
            <w:tcW w:w="2808" w:type="dxa"/>
          </w:tcPr>
          <w:p w:rsidR="00CF2129" w:rsidRPr="00E0416A" w:rsidRDefault="00CF2129" w:rsidP="00F17846">
            <w:pPr>
              <w:jc w:val="both"/>
              <w:rPr>
                <w:lang w:val="fr-FR"/>
              </w:rPr>
            </w:pPr>
            <w:r w:rsidRPr="00E0416A">
              <w:rPr>
                <w:lang w:val="fr-FR"/>
              </w:rPr>
              <w:lastRenderedPageBreak/>
              <w:t>50% au moins du bâti des 4 grandes villes du grand nord est évalué selon cette méthodologie</w:t>
            </w:r>
          </w:p>
        </w:tc>
        <w:tc>
          <w:tcPr>
            <w:tcW w:w="6210" w:type="dxa"/>
          </w:tcPr>
          <w:p w:rsidR="00CF2129" w:rsidRPr="00E0416A" w:rsidRDefault="00BE3E11" w:rsidP="00F17846">
            <w:pPr>
              <w:jc w:val="both"/>
              <w:rPr>
                <w:lang w:val="fr-FR"/>
              </w:rPr>
            </w:pPr>
            <w:r>
              <w:rPr>
                <w:lang w:val="fr-FR"/>
              </w:rPr>
              <w:t>F</w:t>
            </w:r>
            <w:r w:rsidR="00CF2129" w:rsidRPr="00E0416A">
              <w:rPr>
                <w:lang w:val="fr-FR"/>
              </w:rPr>
              <w:t>ormation sur l’introduction à l’évaluation sismique des bâtiments pour des ingénieurs des secteurs publics et privés, à Cap-Ha</w:t>
            </w:r>
            <w:r>
              <w:rPr>
                <w:lang w:val="fr-FR"/>
              </w:rPr>
              <w:t>ï</w:t>
            </w:r>
            <w:r w:rsidR="00CF2129" w:rsidRPr="00E0416A">
              <w:rPr>
                <w:lang w:val="fr-FR"/>
              </w:rPr>
              <w:t>tien/le Nord, Port-de-Paix/le Nord-Ouest et Fort-Liberté/le Nord</w:t>
            </w:r>
            <w:r>
              <w:rPr>
                <w:lang w:val="fr-FR"/>
              </w:rPr>
              <w:t>-</w:t>
            </w:r>
            <w:r w:rsidR="00CF2129" w:rsidRPr="00E0416A">
              <w:rPr>
                <w:lang w:val="fr-FR"/>
              </w:rPr>
              <w:t>Est (Au total 17 Ingénieurs ont été formés à Fort-Liberté, 7 à Cap-Haitien et 13 à Port-de-Paix) soit un total de 37</w:t>
            </w:r>
          </w:p>
          <w:p w:rsidR="00CF2129" w:rsidRPr="00E0416A" w:rsidRDefault="00CF2129" w:rsidP="00F17846">
            <w:pPr>
              <w:jc w:val="both"/>
              <w:rPr>
                <w:lang w:val="fr-FR"/>
              </w:rPr>
            </w:pPr>
            <w:r w:rsidRPr="00E0416A">
              <w:rPr>
                <w:lang w:val="fr-FR"/>
              </w:rPr>
              <w:t xml:space="preserve"> Rapport  (version anglaise et française) sur l’évaluation de 10 bâtiments publics dans les trois départements et recommandations pour les travaux de renforcement</w:t>
            </w:r>
          </w:p>
          <w:p w:rsidR="00CF2129" w:rsidRPr="00E0416A" w:rsidRDefault="00CF2129" w:rsidP="00F17846">
            <w:pPr>
              <w:jc w:val="both"/>
              <w:rPr>
                <w:lang w:val="fr-FR"/>
              </w:rPr>
            </w:pPr>
            <w:r w:rsidRPr="00E0416A">
              <w:rPr>
                <w:lang w:val="fr-FR"/>
              </w:rPr>
              <w:t xml:space="preserve">*Identification des bâtiments publics pour le renforcement et étude sur la typologie des bâtiments publics </w:t>
            </w:r>
          </w:p>
          <w:p w:rsidR="00CF2129" w:rsidRPr="00E0416A" w:rsidRDefault="00CF2129" w:rsidP="00F17846">
            <w:pPr>
              <w:jc w:val="both"/>
              <w:rPr>
                <w:snapToGrid w:val="0"/>
                <w:lang w:val="fr-FR"/>
              </w:rPr>
            </w:pPr>
            <w:r w:rsidRPr="00E0416A">
              <w:rPr>
                <w:lang w:val="fr-FR"/>
              </w:rPr>
              <w:t xml:space="preserve">* Travaux préparatoires  pour l’évaluation de bâtiments publics dans les trois villes du nord  </w:t>
            </w:r>
          </w:p>
          <w:p w:rsidR="00CF2129" w:rsidRPr="00E0416A" w:rsidRDefault="00CF2129" w:rsidP="00F17846">
            <w:pPr>
              <w:jc w:val="both"/>
              <w:rPr>
                <w:lang w:val="fr-FR"/>
              </w:rPr>
            </w:pPr>
          </w:p>
        </w:tc>
        <w:tc>
          <w:tcPr>
            <w:tcW w:w="1530" w:type="dxa"/>
          </w:tcPr>
          <w:p w:rsidR="00CF2129" w:rsidRPr="00E0416A" w:rsidRDefault="00CF2129" w:rsidP="00F17846">
            <w:pPr>
              <w:jc w:val="center"/>
              <w:rPr>
                <w:lang w:val="fr-FR"/>
              </w:rPr>
            </w:pPr>
            <w:r w:rsidRPr="00E0416A">
              <w:rPr>
                <w:lang w:val="fr-FR"/>
              </w:rPr>
              <w:t>30%</w:t>
            </w:r>
          </w:p>
        </w:tc>
      </w:tr>
      <w:tr w:rsidR="00CF2129" w:rsidRPr="00E0416A" w:rsidTr="00F17846">
        <w:tc>
          <w:tcPr>
            <w:tcW w:w="2808" w:type="dxa"/>
          </w:tcPr>
          <w:p w:rsidR="00CF2129" w:rsidRPr="00E0416A" w:rsidRDefault="00CF2129" w:rsidP="00F17846">
            <w:pPr>
              <w:jc w:val="both"/>
              <w:rPr>
                <w:lang w:val="fr-FR"/>
              </w:rPr>
            </w:pPr>
            <w:r w:rsidRPr="00E0416A">
              <w:rPr>
                <w:lang w:val="fr-FR"/>
              </w:rPr>
              <w:t>L’ensemble du bâti évalué est classifié selon son niveau d’importance et d’enjeu</w:t>
            </w:r>
          </w:p>
        </w:tc>
        <w:tc>
          <w:tcPr>
            <w:tcW w:w="6210" w:type="dxa"/>
          </w:tcPr>
          <w:p w:rsidR="00CF2129" w:rsidRPr="00E0416A" w:rsidRDefault="00936AD0" w:rsidP="00F17846">
            <w:pPr>
              <w:jc w:val="both"/>
              <w:rPr>
                <w:lang w:val="fr-FR"/>
              </w:rPr>
            </w:pPr>
            <w:r>
              <w:rPr>
                <w:lang w:val="fr-FR"/>
              </w:rPr>
              <w:t>Typologie homogène :</w:t>
            </w:r>
            <w:r w:rsidR="008D73D0">
              <w:rPr>
                <w:lang w:val="fr-FR"/>
              </w:rPr>
              <w:t xml:space="preserve"> </w:t>
            </w:r>
            <w:r w:rsidR="00CF2129" w:rsidRPr="00E0416A">
              <w:rPr>
                <w:lang w:val="fr-FR"/>
              </w:rPr>
              <w:t>Inventaire visuel organisé dans les grandes villes surtout au niveau des écoles publiques en fonction de l’enjeu  C’est le cas par exemple du Lycée National de Fort-Liberté.</w:t>
            </w:r>
          </w:p>
        </w:tc>
        <w:tc>
          <w:tcPr>
            <w:tcW w:w="1530" w:type="dxa"/>
          </w:tcPr>
          <w:p w:rsidR="00CF2129" w:rsidRPr="00E0416A" w:rsidRDefault="00CF2129" w:rsidP="00F17846">
            <w:pPr>
              <w:jc w:val="center"/>
              <w:rPr>
                <w:lang w:val="fr-FR"/>
              </w:rPr>
            </w:pPr>
            <w:r w:rsidRPr="00E0416A">
              <w:rPr>
                <w:lang w:val="fr-FR"/>
              </w:rPr>
              <w:t>30%</w:t>
            </w:r>
          </w:p>
        </w:tc>
      </w:tr>
    </w:tbl>
    <w:p w:rsidR="00CF2129" w:rsidRPr="00E0416A" w:rsidRDefault="00CF2129" w:rsidP="00CF2129">
      <w:pPr>
        <w:pStyle w:val="ListParagraph"/>
        <w:ind w:left="360"/>
        <w:jc w:val="both"/>
        <w:rPr>
          <w:color w:val="000000"/>
          <w:lang w:val="fr-FR"/>
        </w:rPr>
      </w:pPr>
    </w:p>
    <w:p w:rsidR="00CF2129" w:rsidRPr="00E0416A" w:rsidRDefault="00CF2129" w:rsidP="00CF2129">
      <w:pPr>
        <w:shd w:val="clear" w:color="auto" w:fill="FFFFFF"/>
        <w:jc w:val="both"/>
        <w:rPr>
          <w:color w:val="000000"/>
          <w:lang w:val="fr-FR"/>
        </w:rPr>
      </w:pPr>
      <w:r w:rsidRPr="00E0416A">
        <w:rPr>
          <w:b/>
          <w:lang w:val="fr-FR"/>
        </w:rPr>
        <w:t>Produit 3 </w:t>
      </w:r>
      <w:r w:rsidRPr="00E0416A">
        <w:rPr>
          <w:b/>
          <w:i/>
          <w:lang w:val="fr-FR"/>
        </w:rPr>
        <w:t xml:space="preserve">: </w:t>
      </w:r>
      <w:r w:rsidRPr="00E0416A">
        <w:rPr>
          <w:i/>
          <w:color w:val="000000"/>
          <w:lang w:val="fr-FR"/>
        </w:rPr>
        <w:t>Le risque sismique est réduit par des actions de prévention et de mitigation, dont les « plan séisme », les partenariats avec les Communautés locales concernées par le risque sismique sont développés</w:t>
      </w:r>
      <w:r w:rsidRPr="00E0416A">
        <w:rPr>
          <w:color w:val="000000"/>
          <w:lang w:val="fr-FR"/>
        </w:rPr>
        <w:t>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 Comité de Conseil est créé et fonctionne dans chacun des chefs-lieux des trois départements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Les bâtiments qui seront renforcés dans le cadre du projet sont identifiés.</w:t>
      </w: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i/>
          <w:u w:val="single"/>
          <w:lang w:val="fr-FR"/>
        </w:rPr>
        <w:t>Résultats obtenus par rapport au produit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21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530" w:type="dxa"/>
          </w:tcPr>
          <w:p w:rsidR="00CF2129" w:rsidRPr="00E0416A" w:rsidRDefault="00CF2129" w:rsidP="00F17846">
            <w:pPr>
              <w:rPr>
                <w:b/>
                <w:i/>
                <w:lang w:val="fr-FR"/>
              </w:rPr>
            </w:pPr>
            <w:r w:rsidRPr="00E0416A">
              <w:rPr>
                <w:b/>
                <w:i/>
                <w:lang w:val="fr-FR"/>
              </w:rPr>
              <w:t>Pourcentage</w:t>
            </w:r>
          </w:p>
        </w:tc>
      </w:tr>
      <w:tr w:rsidR="00CF2129" w:rsidRPr="00E0416A" w:rsidTr="00F17846">
        <w:tc>
          <w:tcPr>
            <w:tcW w:w="2808" w:type="dxa"/>
          </w:tcPr>
          <w:p w:rsidR="00CF2129" w:rsidRPr="00E0416A" w:rsidRDefault="00CF2129" w:rsidP="00F17846">
            <w:pPr>
              <w:jc w:val="both"/>
              <w:rPr>
                <w:lang w:val="fr-FR"/>
              </w:rPr>
            </w:pPr>
            <w:r w:rsidRPr="00E0416A">
              <w:rPr>
                <w:lang w:val="fr-FR"/>
              </w:rPr>
              <w:t>Un Comité de Conseil est créé et fonctionne dans chacun des chefs-lieux des trois départements.</w:t>
            </w:r>
          </w:p>
        </w:tc>
        <w:tc>
          <w:tcPr>
            <w:tcW w:w="6210" w:type="dxa"/>
          </w:tcPr>
          <w:p w:rsidR="00CF2129" w:rsidRPr="00E0416A" w:rsidRDefault="00CF2129" w:rsidP="00F17846">
            <w:pPr>
              <w:jc w:val="both"/>
              <w:rPr>
                <w:rFonts w:eastAsia="Calibri"/>
                <w:spacing w:val="-2"/>
                <w:lang w:val="fr-FR"/>
              </w:rPr>
            </w:pPr>
            <w:r w:rsidRPr="00E0416A">
              <w:rPr>
                <w:rFonts w:eastAsia="Calibri"/>
                <w:spacing w:val="-2"/>
                <w:lang w:val="fr-FR"/>
              </w:rPr>
              <w:t>Les comités de conseil sont constitués et fonctionnels depuis le mois de mar</w:t>
            </w:r>
            <w:r w:rsidR="007948A1">
              <w:rPr>
                <w:rFonts w:eastAsia="Calibri"/>
                <w:spacing w:val="-2"/>
                <w:lang w:val="fr-FR"/>
              </w:rPr>
              <w:t>s 2013, à  Fort-Liberté, Cap-Haï</w:t>
            </w:r>
            <w:r w:rsidRPr="00E0416A">
              <w:rPr>
                <w:rFonts w:eastAsia="Calibri"/>
                <w:spacing w:val="-2"/>
                <w:lang w:val="fr-FR"/>
              </w:rPr>
              <w:t>tien et Port-de-Paix.  Le Projet s’est vu dans le besoin, en fonction de l’intérêt et de la préoccupation des Autorités Locales et Gouvernementales du Nord</w:t>
            </w:r>
            <w:r w:rsidR="007455C8">
              <w:rPr>
                <w:rFonts w:eastAsia="Calibri"/>
                <w:spacing w:val="-2"/>
                <w:lang w:val="fr-FR"/>
              </w:rPr>
              <w:t>-</w:t>
            </w:r>
            <w:r w:rsidRPr="00E0416A">
              <w:rPr>
                <w:rFonts w:eastAsia="Calibri"/>
                <w:spacing w:val="-2"/>
                <w:lang w:val="fr-FR"/>
              </w:rPr>
              <w:t>Est</w:t>
            </w:r>
            <w:r w:rsidR="007455C8">
              <w:rPr>
                <w:rFonts w:eastAsia="Calibri"/>
                <w:spacing w:val="-2"/>
                <w:lang w:val="fr-FR"/>
              </w:rPr>
              <w:t>,</w:t>
            </w:r>
            <w:r w:rsidRPr="00E0416A">
              <w:rPr>
                <w:rFonts w:eastAsia="Calibri"/>
                <w:spacing w:val="-2"/>
                <w:lang w:val="fr-FR"/>
              </w:rPr>
              <w:t xml:space="preserve"> de créer un quatrième comité de conseil régional au niveau de </w:t>
            </w:r>
            <w:proofErr w:type="spellStart"/>
            <w:r w:rsidRPr="00E0416A">
              <w:rPr>
                <w:rFonts w:eastAsia="Calibri"/>
                <w:spacing w:val="-2"/>
                <w:lang w:val="fr-FR"/>
              </w:rPr>
              <w:t>Ouanaminthe</w:t>
            </w:r>
            <w:proofErr w:type="spellEnd"/>
            <w:r w:rsidRPr="00E0416A">
              <w:rPr>
                <w:rFonts w:eastAsia="Calibri"/>
                <w:spacing w:val="-2"/>
                <w:lang w:val="fr-FR"/>
              </w:rPr>
              <w:t>.</w:t>
            </w:r>
          </w:p>
          <w:p w:rsidR="00CF2129" w:rsidRPr="00E0416A" w:rsidRDefault="00CF2129" w:rsidP="00F17846">
            <w:pPr>
              <w:jc w:val="both"/>
              <w:rPr>
                <w:rFonts w:eastAsia="Calibri"/>
                <w:spacing w:val="-2"/>
                <w:lang w:val="fr-FR"/>
              </w:rPr>
            </w:pPr>
            <w:r w:rsidRPr="00E0416A">
              <w:rPr>
                <w:rFonts w:eastAsia="Calibri"/>
                <w:spacing w:val="-2"/>
                <w:lang w:val="fr-FR"/>
              </w:rPr>
              <w:t xml:space="preserve">A noter que ces comités sont  constitués de personnalités </w:t>
            </w:r>
            <w:r w:rsidR="007455C8">
              <w:rPr>
                <w:rFonts w:eastAsia="Calibri"/>
                <w:spacing w:val="-2"/>
                <w:lang w:val="fr-FR"/>
              </w:rPr>
              <w:t xml:space="preserve">tels </w:t>
            </w:r>
            <w:r w:rsidRPr="00E0416A">
              <w:rPr>
                <w:rFonts w:eastAsia="Calibri"/>
                <w:spacing w:val="-2"/>
                <w:lang w:val="fr-FR"/>
              </w:rPr>
              <w:t xml:space="preserve">que  :  le Délégué Départemental, le CTD de la DPC, le </w:t>
            </w:r>
            <w:r w:rsidRPr="00E0416A">
              <w:rPr>
                <w:rFonts w:eastAsia="Calibri"/>
                <w:spacing w:val="-2"/>
                <w:lang w:val="fr-FR"/>
              </w:rPr>
              <w:lastRenderedPageBreak/>
              <w:t>Directeur de la Planification/MPCE, le Directeur d</w:t>
            </w:r>
            <w:r w:rsidR="007455C8">
              <w:rPr>
                <w:rFonts w:eastAsia="Calibri"/>
                <w:spacing w:val="-2"/>
                <w:lang w:val="fr-FR"/>
              </w:rPr>
              <w:t>u</w:t>
            </w:r>
            <w:r w:rsidRPr="00E0416A">
              <w:rPr>
                <w:rFonts w:eastAsia="Calibri"/>
                <w:spacing w:val="-2"/>
                <w:lang w:val="fr-FR"/>
              </w:rPr>
              <w:t xml:space="preserve"> MTPTC, le Directeur de l’Education/MENFP, la Coordonnatrice du MCFDF (Condition Féminine), le Directeur de la Santé Publique /MSPP, le Maire de la ville, le Président de la Chambre de Commerce, le représentant de la société civile, le représentant du PNUD (Chef du Projet), un représentant des ONG et un représentant des églises.</w:t>
            </w:r>
          </w:p>
          <w:p w:rsidR="00CF2129" w:rsidRPr="00E0416A" w:rsidRDefault="00CF2129" w:rsidP="00F17846">
            <w:pPr>
              <w:jc w:val="both"/>
              <w:rPr>
                <w:rFonts w:eastAsia="Calibri"/>
                <w:spacing w:val="-2"/>
                <w:lang w:val="fr-FR"/>
              </w:rPr>
            </w:pPr>
            <w:r w:rsidRPr="00E0416A">
              <w:rPr>
                <w:rFonts w:eastAsia="Calibri"/>
                <w:spacing w:val="-2"/>
                <w:lang w:val="fr-FR"/>
              </w:rPr>
              <w:t xml:space="preserve">* Le TOR a été approuvé par tous les Comités </w:t>
            </w:r>
          </w:p>
          <w:p w:rsidR="00CF2129" w:rsidRPr="00E0416A" w:rsidRDefault="00CF2129" w:rsidP="00F17846">
            <w:pPr>
              <w:jc w:val="both"/>
              <w:rPr>
                <w:rFonts w:eastAsia="Calibri"/>
                <w:spacing w:val="-2"/>
                <w:u w:val="single"/>
                <w:lang w:val="fr-FR"/>
              </w:rPr>
            </w:pPr>
            <w:r w:rsidRPr="00E0416A">
              <w:rPr>
                <w:rFonts w:eastAsia="Calibri"/>
                <w:spacing w:val="-2"/>
                <w:lang w:val="fr-FR"/>
              </w:rPr>
              <w:t>* Les membres de ces comités ont eu des premiers contacts avec les sous-traitants pour être imbus des activités en cours</w:t>
            </w:r>
            <w:r w:rsidRPr="00E0416A">
              <w:rPr>
                <w:rFonts w:eastAsia="Calibri"/>
                <w:spacing w:val="-2"/>
                <w:u w:val="single"/>
                <w:lang w:val="fr-FR"/>
              </w:rPr>
              <w:t>.</w:t>
            </w:r>
          </w:p>
          <w:p w:rsidR="00CF2129" w:rsidRPr="00E0416A" w:rsidRDefault="00CF2129" w:rsidP="00F17846">
            <w:pPr>
              <w:jc w:val="both"/>
              <w:rPr>
                <w:rFonts w:eastAsia="Calibri"/>
                <w:spacing w:val="-2"/>
                <w:u w:val="single"/>
                <w:lang w:val="fr-FR"/>
              </w:rPr>
            </w:pPr>
            <w:r w:rsidRPr="00E0416A">
              <w:rPr>
                <w:rFonts w:eastAsia="Calibri"/>
                <w:spacing w:val="-2"/>
                <w:lang w:val="fr-FR"/>
              </w:rPr>
              <w:t xml:space="preserve">Des  réunions trimestrielles  organisées dans chaque département et la dernière </w:t>
            </w:r>
            <w:proofErr w:type="gramStart"/>
            <w:r w:rsidRPr="00E0416A">
              <w:rPr>
                <w:rFonts w:eastAsia="Calibri"/>
                <w:spacing w:val="-2"/>
                <w:lang w:val="fr-FR"/>
              </w:rPr>
              <w:t>a</w:t>
            </w:r>
            <w:proofErr w:type="gramEnd"/>
            <w:r w:rsidRPr="00E0416A">
              <w:rPr>
                <w:rFonts w:eastAsia="Calibri"/>
                <w:spacing w:val="-2"/>
                <w:lang w:val="fr-FR"/>
              </w:rPr>
              <w:t xml:space="preserve"> eu pour objectif de présenter les  activités d’évaluation de bâtiments publics  dans les trois départements et le rapport sur l’évaluation des  infrastructures publiques.</w:t>
            </w:r>
          </w:p>
          <w:p w:rsidR="00CF2129" w:rsidRPr="00E0416A" w:rsidRDefault="00CF2129" w:rsidP="00F17846">
            <w:pPr>
              <w:jc w:val="both"/>
              <w:rPr>
                <w:lang w:val="fr-FR"/>
              </w:rPr>
            </w:pPr>
            <w:r w:rsidRPr="00E0416A">
              <w:rPr>
                <w:lang w:val="fr-FR"/>
              </w:rPr>
              <w:t xml:space="preserve"> </w:t>
            </w:r>
          </w:p>
        </w:tc>
        <w:tc>
          <w:tcPr>
            <w:tcW w:w="1530" w:type="dxa"/>
          </w:tcPr>
          <w:p w:rsidR="00CF2129" w:rsidRPr="00E0416A" w:rsidRDefault="00CF2129" w:rsidP="00F17846">
            <w:pPr>
              <w:jc w:val="center"/>
              <w:rPr>
                <w:lang w:val="fr-FR"/>
              </w:rPr>
            </w:pPr>
            <w:r w:rsidRPr="00E0416A">
              <w:rPr>
                <w:lang w:val="fr-FR"/>
              </w:rPr>
              <w:lastRenderedPageBreak/>
              <w:t>100 %</w:t>
            </w:r>
          </w:p>
        </w:tc>
      </w:tr>
      <w:tr w:rsidR="00CF2129" w:rsidRPr="00E0416A" w:rsidTr="00F17846">
        <w:tc>
          <w:tcPr>
            <w:tcW w:w="2808" w:type="dxa"/>
          </w:tcPr>
          <w:p w:rsidR="00CF2129" w:rsidRPr="00E0416A" w:rsidRDefault="00CF2129" w:rsidP="00F17846">
            <w:pPr>
              <w:jc w:val="both"/>
              <w:rPr>
                <w:lang w:val="fr-FR"/>
              </w:rPr>
            </w:pPr>
            <w:r w:rsidRPr="00E0416A">
              <w:rPr>
                <w:lang w:val="fr-FR"/>
              </w:rPr>
              <w:lastRenderedPageBreak/>
              <w:t>Les bâtiments qui seront renforcés dans le cadre du projet sont identifiés.</w:t>
            </w:r>
          </w:p>
        </w:tc>
        <w:tc>
          <w:tcPr>
            <w:tcW w:w="6210" w:type="dxa"/>
          </w:tcPr>
          <w:p w:rsidR="00CF2129" w:rsidRPr="00E0416A" w:rsidRDefault="00CF2129" w:rsidP="00F17846">
            <w:pPr>
              <w:jc w:val="both"/>
              <w:rPr>
                <w:spacing w:val="-2"/>
                <w:lang w:val="fr-FR"/>
              </w:rPr>
            </w:pPr>
            <w:r w:rsidRPr="00E0416A">
              <w:rPr>
                <w:lang w:val="fr-FR"/>
              </w:rPr>
              <w:t>9 Bâtiments publics ont été évalués et  8 d’entre eux demandent un renforcement (spécialement  Mairie de Cap Haïtien, Délégation du Nord, Délégation du Nord- Est</w:t>
            </w:r>
          </w:p>
        </w:tc>
        <w:tc>
          <w:tcPr>
            <w:tcW w:w="1530" w:type="dxa"/>
          </w:tcPr>
          <w:p w:rsidR="00CF2129" w:rsidRPr="00E0416A" w:rsidRDefault="001E13FF" w:rsidP="00F17846">
            <w:pPr>
              <w:jc w:val="center"/>
              <w:rPr>
                <w:lang w:val="fr-FR"/>
              </w:rPr>
            </w:pPr>
            <w:r>
              <w:rPr>
                <w:lang w:val="fr-FR"/>
              </w:rPr>
              <w:t>3</w:t>
            </w:r>
            <w:r w:rsidR="00CF2129" w:rsidRPr="00E0416A">
              <w:rPr>
                <w:lang w:val="fr-FR"/>
              </w:rPr>
              <w:t>5%</w:t>
            </w:r>
          </w:p>
        </w:tc>
      </w:tr>
    </w:tbl>
    <w:p w:rsidR="00CF2129" w:rsidRPr="00E0416A" w:rsidRDefault="00CF2129" w:rsidP="00CF2129">
      <w:pPr>
        <w:pStyle w:val="ListParagraph"/>
        <w:ind w:left="360"/>
        <w:jc w:val="both"/>
        <w:rPr>
          <w:color w:val="000000"/>
          <w:lang w:val="fr-FR"/>
        </w:rPr>
      </w:pPr>
    </w:p>
    <w:p w:rsidR="00CF2129" w:rsidRPr="00E0416A" w:rsidRDefault="00CF2129" w:rsidP="00CF2129">
      <w:pPr>
        <w:jc w:val="both"/>
        <w:rPr>
          <w:color w:val="000000"/>
          <w:lang w:val="fr-FR"/>
        </w:rPr>
      </w:pPr>
      <w:r w:rsidRPr="00E0416A">
        <w:rPr>
          <w:b/>
          <w:lang w:val="fr-FR"/>
        </w:rPr>
        <w:t xml:space="preserve">Produit 4 : </w:t>
      </w:r>
      <w:r w:rsidRPr="00E0416A">
        <w:rPr>
          <w:i/>
          <w:color w:val="000000"/>
          <w:lang w:val="fr-FR"/>
        </w:rPr>
        <w:t>La chaîne de la construction est formée aux pratiques parasismiques</w:t>
      </w:r>
      <w:r w:rsidRPr="00E0416A">
        <w:rPr>
          <w:color w:val="000000"/>
          <w:lang w:val="fr-FR"/>
        </w:rPr>
        <w:t>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Des recommandations sur les méthodes de construction parasismiques sont établies en accord avec les procédures nationales du MTPTC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Une formation continue en génie parasismique est mise en place pour les maçons et entrepreneurs de la construction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Une formation continue en génie parasismique est mise en place pour les ingénieurs et architectes de la construction.</w:t>
      </w: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i/>
          <w:u w:val="single"/>
          <w:lang w:val="fr-FR"/>
        </w:rPr>
        <w:t>Résultats obtenus  par rapport au produit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21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530" w:type="dxa"/>
          </w:tcPr>
          <w:p w:rsidR="00CF2129" w:rsidRPr="00E0416A" w:rsidRDefault="00CF2129" w:rsidP="00F17846">
            <w:pPr>
              <w:rPr>
                <w:b/>
                <w:i/>
                <w:lang w:val="fr-FR"/>
              </w:rPr>
            </w:pPr>
            <w:r w:rsidRPr="00E0416A">
              <w:rPr>
                <w:b/>
                <w:i/>
                <w:lang w:val="fr-FR"/>
              </w:rPr>
              <w:t>Pourcentage</w:t>
            </w:r>
          </w:p>
        </w:tc>
      </w:tr>
      <w:tr w:rsidR="00CF2129" w:rsidRPr="00E0416A" w:rsidTr="00F17846">
        <w:tc>
          <w:tcPr>
            <w:tcW w:w="2808" w:type="dxa"/>
          </w:tcPr>
          <w:p w:rsidR="00CF2129" w:rsidRPr="00E0416A" w:rsidRDefault="00CF2129" w:rsidP="00F17846">
            <w:pPr>
              <w:jc w:val="both"/>
              <w:rPr>
                <w:lang w:val="fr-FR"/>
              </w:rPr>
            </w:pPr>
            <w:r w:rsidRPr="00E0416A">
              <w:rPr>
                <w:lang w:val="fr-FR"/>
              </w:rPr>
              <w:t>Des recommandations sur les méthodes de construction parasismiques sont établies en accord avec les procédures nationales du MTPTC.</w:t>
            </w:r>
          </w:p>
        </w:tc>
        <w:tc>
          <w:tcPr>
            <w:tcW w:w="6210" w:type="dxa"/>
          </w:tcPr>
          <w:p w:rsidR="00CF2129" w:rsidRPr="00E0416A" w:rsidRDefault="00CF2129" w:rsidP="00F17846">
            <w:pPr>
              <w:jc w:val="both"/>
              <w:rPr>
                <w:lang w:val="fr-FR"/>
              </w:rPr>
            </w:pPr>
            <w:r w:rsidRPr="00E0416A">
              <w:rPr>
                <w:lang w:val="fr-FR"/>
              </w:rPr>
              <w:t xml:space="preserve">Les TDR pour le recrutement des experts formateurs </w:t>
            </w:r>
            <w:r w:rsidR="001E13FF">
              <w:rPr>
                <w:lang w:val="fr-FR"/>
              </w:rPr>
              <w:t>s</w:t>
            </w:r>
            <w:r w:rsidRPr="00E0416A">
              <w:rPr>
                <w:lang w:val="fr-FR"/>
              </w:rPr>
              <w:t>ont faits et la révision du curriculum</w:t>
            </w:r>
            <w:r w:rsidR="001E13FF">
              <w:rPr>
                <w:lang w:val="fr-FR"/>
              </w:rPr>
              <w:t xml:space="preserve"> est en cours</w:t>
            </w:r>
            <w:r w:rsidR="007455C8">
              <w:rPr>
                <w:lang w:val="fr-FR"/>
              </w:rPr>
              <w:t>.</w:t>
            </w:r>
            <w:r w:rsidRPr="00E0416A">
              <w:rPr>
                <w:lang w:val="fr-FR"/>
              </w:rPr>
              <w:t xml:space="preserve"> </w:t>
            </w:r>
          </w:p>
          <w:p w:rsidR="00CF2129" w:rsidRPr="00E0416A" w:rsidRDefault="00CF2129" w:rsidP="00F17846">
            <w:pPr>
              <w:jc w:val="both"/>
              <w:rPr>
                <w:lang w:val="fr-FR"/>
              </w:rPr>
            </w:pPr>
            <w:r w:rsidRPr="00E0416A">
              <w:rPr>
                <w:lang w:val="fr-FR"/>
              </w:rPr>
              <w:t>La formation de la chaine de construction est prévue pour 2014</w:t>
            </w:r>
            <w:r w:rsidR="007455C8">
              <w:rPr>
                <w:lang w:val="fr-FR"/>
              </w:rPr>
              <w:t>.</w:t>
            </w:r>
          </w:p>
        </w:tc>
        <w:tc>
          <w:tcPr>
            <w:tcW w:w="1530" w:type="dxa"/>
          </w:tcPr>
          <w:p w:rsidR="00CF2129" w:rsidRPr="00E0416A" w:rsidRDefault="00CF2129" w:rsidP="00F17846">
            <w:pPr>
              <w:rPr>
                <w:lang w:val="fr-FR"/>
              </w:rPr>
            </w:pPr>
            <w:r w:rsidRPr="00E0416A">
              <w:rPr>
                <w:lang w:val="fr-FR"/>
              </w:rPr>
              <w:t>20%</w:t>
            </w:r>
          </w:p>
        </w:tc>
      </w:tr>
      <w:tr w:rsidR="00CF2129" w:rsidRPr="00E0416A" w:rsidTr="00F17846">
        <w:tc>
          <w:tcPr>
            <w:tcW w:w="2808" w:type="dxa"/>
          </w:tcPr>
          <w:p w:rsidR="00CF2129" w:rsidRPr="00E0416A" w:rsidRDefault="00CF2129" w:rsidP="00F17846">
            <w:pPr>
              <w:jc w:val="both"/>
              <w:rPr>
                <w:lang w:val="fr-FR"/>
              </w:rPr>
            </w:pPr>
            <w:r w:rsidRPr="00E0416A">
              <w:rPr>
                <w:lang w:val="fr-FR"/>
              </w:rPr>
              <w:t>Une formation continue en génie parasismique est mise en place pour les maçons et entrepreneurs de la construction.</w:t>
            </w:r>
          </w:p>
        </w:tc>
        <w:tc>
          <w:tcPr>
            <w:tcW w:w="6210" w:type="dxa"/>
          </w:tcPr>
          <w:p w:rsidR="00CF2129" w:rsidRPr="00E0416A" w:rsidRDefault="00CF2129" w:rsidP="00F17846">
            <w:pPr>
              <w:jc w:val="both"/>
              <w:rPr>
                <w:lang w:val="fr-FR"/>
              </w:rPr>
            </w:pPr>
          </w:p>
          <w:p w:rsidR="00CF2129" w:rsidRPr="00E0416A" w:rsidRDefault="00CF2129" w:rsidP="00F17846">
            <w:pPr>
              <w:jc w:val="both"/>
              <w:rPr>
                <w:lang w:val="fr-FR"/>
              </w:rPr>
            </w:pPr>
            <w:r w:rsidRPr="00E0416A">
              <w:rPr>
                <w:lang w:val="fr-FR"/>
              </w:rPr>
              <w:t>Activités planifiées pour  2014</w:t>
            </w:r>
          </w:p>
          <w:p w:rsidR="00CF2129" w:rsidRPr="00E0416A" w:rsidRDefault="00CF2129" w:rsidP="00F17846">
            <w:pPr>
              <w:jc w:val="both"/>
              <w:rPr>
                <w:lang w:val="fr-FR"/>
              </w:rPr>
            </w:pPr>
            <w:r w:rsidRPr="00E0416A">
              <w:rPr>
                <w:lang w:val="fr-FR"/>
              </w:rPr>
              <w:t>Elaboration du programme de formation  et discussion avec les formateurs</w:t>
            </w:r>
          </w:p>
        </w:tc>
        <w:tc>
          <w:tcPr>
            <w:tcW w:w="1530" w:type="dxa"/>
          </w:tcPr>
          <w:p w:rsidR="00CF2129" w:rsidRPr="00E0416A" w:rsidRDefault="00CF2129" w:rsidP="00F17846">
            <w:pPr>
              <w:jc w:val="center"/>
              <w:rPr>
                <w:lang w:val="fr-FR"/>
              </w:rPr>
            </w:pPr>
            <w:r w:rsidRPr="00E0416A">
              <w:rPr>
                <w:lang w:val="fr-FR"/>
              </w:rPr>
              <w:t>10%</w:t>
            </w:r>
          </w:p>
        </w:tc>
      </w:tr>
      <w:tr w:rsidR="00CF2129" w:rsidRPr="00E0416A" w:rsidTr="00F17846">
        <w:tc>
          <w:tcPr>
            <w:tcW w:w="2808" w:type="dxa"/>
          </w:tcPr>
          <w:p w:rsidR="00CF2129" w:rsidRPr="00E0416A" w:rsidRDefault="00CF2129" w:rsidP="00F17846">
            <w:pPr>
              <w:jc w:val="both"/>
              <w:rPr>
                <w:lang w:val="fr-FR"/>
              </w:rPr>
            </w:pPr>
            <w:r w:rsidRPr="00E0416A">
              <w:rPr>
                <w:lang w:val="fr-FR"/>
              </w:rPr>
              <w:t>Une formation continue en génie parasismique est mise en place pour les ingénieurs et architectes de la construction.</w:t>
            </w:r>
          </w:p>
        </w:tc>
        <w:tc>
          <w:tcPr>
            <w:tcW w:w="6210" w:type="dxa"/>
          </w:tcPr>
          <w:p w:rsidR="00CF2129" w:rsidRPr="00E0416A" w:rsidRDefault="00CF2129" w:rsidP="00F17846">
            <w:pPr>
              <w:jc w:val="both"/>
              <w:rPr>
                <w:lang w:val="fr-FR"/>
              </w:rPr>
            </w:pPr>
            <w:r w:rsidRPr="00E0416A">
              <w:rPr>
                <w:lang w:val="fr-FR"/>
              </w:rPr>
              <w:t xml:space="preserve"> Formation rapide des ingénieurs en évaluation rapide  des infrastructures publiques pour 37 ingénieurs.</w:t>
            </w:r>
          </w:p>
        </w:tc>
        <w:tc>
          <w:tcPr>
            <w:tcW w:w="1530" w:type="dxa"/>
          </w:tcPr>
          <w:p w:rsidR="00CF2129" w:rsidRPr="00E0416A" w:rsidRDefault="00CF2129" w:rsidP="00F17846">
            <w:pPr>
              <w:jc w:val="center"/>
              <w:rPr>
                <w:lang w:val="fr-FR"/>
              </w:rPr>
            </w:pPr>
            <w:r w:rsidRPr="00E0416A">
              <w:rPr>
                <w:lang w:val="fr-FR"/>
              </w:rPr>
              <w:t>20%</w:t>
            </w:r>
          </w:p>
        </w:tc>
      </w:tr>
    </w:tbl>
    <w:p w:rsidR="00CF2129" w:rsidRPr="00E0416A" w:rsidRDefault="00CF2129" w:rsidP="00CF2129">
      <w:pPr>
        <w:pStyle w:val="ListParagraph"/>
        <w:ind w:left="360"/>
        <w:jc w:val="both"/>
        <w:rPr>
          <w:color w:val="000000"/>
          <w:lang w:val="fr-FR"/>
        </w:rPr>
      </w:pPr>
    </w:p>
    <w:p w:rsidR="00CF2129" w:rsidRPr="00E0416A" w:rsidRDefault="00CF2129" w:rsidP="00CF2129">
      <w:pPr>
        <w:jc w:val="both"/>
        <w:rPr>
          <w:b/>
          <w:lang w:val="fr-FR"/>
        </w:rPr>
      </w:pPr>
      <w:r w:rsidRPr="00E0416A">
        <w:rPr>
          <w:b/>
          <w:lang w:val="fr-FR"/>
        </w:rPr>
        <w:t xml:space="preserve">Produit 5 : </w:t>
      </w:r>
      <w:r w:rsidRPr="00E0416A">
        <w:rPr>
          <w:i/>
          <w:color w:val="000000"/>
          <w:lang w:val="fr-FR"/>
        </w:rPr>
        <w:t>Le grand public, le milieu scolaire et hospitalier sont informés et préparés face à la menace sismique</w:t>
      </w:r>
      <w:r w:rsidRPr="00E0416A">
        <w:rPr>
          <w:color w:val="000000"/>
          <w:lang w:val="fr-FR"/>
        </w:rPr>
        <w:t>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lastRenderedPageBreak/>
        <w:t>Une stratégie est développée pour l'information et l'éducation du public sur la menace sismique et les solutions techniques pour s’y adapter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L’information du public a commencé dans les 4 grandes villes du grand nord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Les écoles et hôpitaux « pilotes » (deux par grande ville) sont identifiés et des actions de sensibilisation y sont engagées.</w:t>
      </w: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i/>
          <w:u w:val="single"/>
          <w:lang w:val="fr-FR"/>
        </w:rPr>
        <w:t>Résultats obtenus   par rapport au produit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21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530" w:type="dxa"/>
          </w:tcPr>
          <w:p w:rsidR="00CF2129" w:rsidRPr="00E0416A" w:rsidRDefault="00CF2129" w:rsidP="00F17846">
            <w:pPr>
              <w:rPr>
                <w:b/>
                <w:i/>
                <w:lang w:val="fr-FR"/>
              </w:rPr>
            </w:pPr>
            <w:r w:rsidRPr="00E0416A">
              <w:rPr>
                <w:b/>
                <w:i/>
                <w:lang w:val="fr-FR"/>
              </w:rPr>
              <w:t>Pourcentage</w:t>
            </w:r>
          </w:p>
        </w:tc>
      </w:tr>
      <w:tr w:rsidR="00CF2129" w:rsidRPr="00E0416A" w:rsidTr="00F17846">
        <w:tc>
          <w:tcPr>
            <w:tcW w:w="2808" w:type="dxa"/>
          </w:tcPr>
          <w:p w:rsidR="00CF2129" w:rsidRPr="00E0416A" w:rsidRDefault="00CF2129" w:rsidP="00F17846">
            <w:pPr>
              <w:jc w:val="both"/>
              <w:rPr>
                <w:lang w:val="fr-FR"/>
              </w:rPr>
            </w:pPr>
            <w:r w:rsidRPr="00E0416A">
              <w:rPr>
                <w:lang w:val="fr-FR"/>
              </w:rPr>
              <w:t>Une stratégie est développée pour l'information et l'éducation du public sur la menace sismique et les solutions techniques pour s’y adapter.</w:t>
            </w:r>
          </w:p>
        </w:tc>
        <w:tc>
          <w:tcPr>
            <w:tcW w:w="6210" w:type="dxa"/>
          </w:tcPr>
          <w:p w:rsidR="00CF2129" w:rsidRPr="00E0416A" w:rsidRDefault="00CF2129" w:rsidP="00F17846">
            <w:pPr>
              <w:jc w:val="both"/>
              <w:rPr>
                <w:i/>
                <w:lang w:val="fr-FR"/>
              </w:rPr>
            </w:pPr>
            <w:r w:rsidRPr="00E0416A">
              <w:rPr>
                <w:i/>
                <w:lang w:val="fr-FR"/>
              </w:rPr>
              <w:t xml:space="preserve">Implication des autorités locales et nationales dans les programmes de sensibilisation  et d’éducation. </w:t>
            </w:r>
          </w:p>
          <w:p w:rsidR="00CF2129" w:rsidRPr="00E0416A" w:rsidRDefault="00CF2129" w:rsidP="00F17846">
            <w:pPr>
              <w:jc w:val="both"/>
              <w:rPr>
                <w:lang w:val="fr-FR"/>
              </w:rPr>
            </w:pPr>
            <w:r w:rsidRPr="00E0416A">
              <w:rPr>
                <w:lang w:val="fr-FR"/>
              </w:rPr>
              <w:t xml:space="preserve">-La marche </w:t>
            </w:r>
            <w:r w:rsidR="007455C8">
              <w:rPr>
                <w:lang w:val="fr-FR"/>
              </w:rPr>
              <w:t xml:space="preserve">commémorative </w:t>
            </w:r>
            <w:r w:rsidRPr="00E0416A">
              <w:rPr>
                <w:lang w:val="fr-FR"/>
              </w:rPr>
              <w:t xml:space="preserve"> organisée le 07 mai 2013  au  Cap</w:t>
            </w:r>
            <w:r w:rsidR="007455C8">
              <w:rPr>
                <w:lang w:val="fr-FR"/>
              </w:rPr>
              <w:t>-Haïtien</w:t>
            </w:r>
            <w:r w:rsidRPr="00E0416A">
              <w:rPr>
                <w:lang w:val="fr-FR"/>
              </w:rPr>
              <w:t xml:space="preserve"> était présidée par le Ministre de l’Intérieur et des Collectivités territoriales.  Cet évènement s’est déroulé d’ailleurs  dans les 2 autres départements.  Le parcours de cette marche a été dicté selon les risques les plus significatifs identifiés pendant l’observation urbaine. </w:t>
            </w:r>
          </w:p>
          <w:p w:rsidR="00CF2129" w:rsidRPr="00E0416A" w:rsidRDefault="00CF2129" w:rsidP="00F17846">
            <w:pPr>
              <w:jc w:val="both"/>
              <w:rPr>
                <w:i/>
                <w:lang w:val="fr-FR"/>
              </w:rPr>
            </w:pPr>
            <w:r w:rsidRPr="00E0416A">
              <w:rPr>
                <w:i/>
                <w:lang w:val="fr-FR"/>
              </w:rPr>
              <w:t xml:space="preserve">L’organisation annuelle sous forme d’échange d’expériences locales sur les recherches et techniques de prévention </w:t>
            </w:r>
          </w:p>
          <w:p w:rsidR="00CF2129" w:rsidRPr="00E0416A" w:rsidRDefault="00CF2129" w:rsidP="00F17846">
            <w:pPr>
              <w:jc w:val="both"/>
              <w:rPr>
                <w:lang w:val="fr-FR"/>
              </w:rPr>
            </w:pPr>
            <w:r w:rsidRPr="00E0416A">
              <w:rPr>
                <w:lang w:val="fr-FR"/>
              </w:rPr>
              <w:t>-Une exposition thématique des intervenants dans le domaine  sismique a été organisée du 07 au 10 mai 2013 au Gymnasium du Cap-Ha</w:t>
            </w:r>
            <w:r w:rsidR="007455C8">
              <w:rPr>
                <w:lang w:val="fr-FR"/>
              </w:rPr>
              <w:t>ï</w:t>
            </w:r>
            <w:r w:rsidRPr="00E0416A">
              <w:rPr>
                <w:lang w:val="fr-FR"/>
              </w:rPr>
              <w:t>tien avec le support de la DPC.</w:t>
            </w:r>
          </w:p>
          <w:p w:rsidR="00CF2129" w:rsidRPr="00E0416A" w:rsidRDefault="00CF2129" w:rsidP="00F17846">
            <w:pPr>
              <w:jc w:val="both"/>
              <w:rPr>
                <w:lang w:val="fr-FR"/>
              </w:rPr>
            </w:pPr>
            <w:r w:rsidRPr="00E0416A">
              <w:rPr>
                <w:lang w:val="fr-FR"/>
              </w:rPr>
              <w:t>-Plus de 10,000 écoliers, secouristes, représentants de la Croix</w:t>
            </w:r>
            <w:r w:rsidR="007455C8">
              <w:rPr>
                <w:lang w:val="fr-FR"/>
              </w:rPr>
              <w:t>-R</w:t>
            </w:r>
            <w:r w:rsidRPr="00E0416A">
              <w:rPr>
                <w:lang w:val="fr-FR"/>
              </w:rPr>
              <w:t>ouge, professionnels de la construction, autorités  de la protection civile, Experts du SEMANAH,  éducateurs avaient participé activement  à  ces événements commémoratifs.</w:t>
            </w:r>
          </w:p>
          <w:p w:rsidR="00CF2129" w:rsidRPr="00CF7BE6" w:rsidRDefault="00CF2129" w:rsidP="00F17846">
            <w:pPr>
              <w:jc w:val="both"/>
              <w:rPr>
                <w:i/>
                <w:lang w:val="fr-FR"/>
              </w:rPr>
            </w:pPr>
            <w:r w:rsidRPr="00E0416A">
              <w:rPr>
                <w:lang w:val="fr-FR"/>
              </w:rPr>
              <w:t xml:space="preserve">- Concours de texte organisé </w:t>
            </w:r>
            <w:r w:rsidR="007455C8">
              <w:rPr>
                <w:lang w:val="fr-FR"/>
              </w:rPr>
              <w:t xml:space="preserve">au </w:t>
            </w:r>
            <w:r w:rsidRPr="00E0416A">
              <w:rPr>
                <w:lang w:val="fr-FR"/>
              </w:rPr>
              <w:t xml:space="preserve"> Cap-Ha</w:t>
            </w:r>
            <w:r w:rsidR="007455C8">
              <w:rPr>
                <w:lang w:val="fr-FR"/>
              </w:rPr>
              <w:t>ï</w:t>
            </w:r>
            <w:r w:rsidRPr="00E0416A">
              <w:rPr>
                <w:lang w:val="fr-FR"/>
              </w:rPr>
              <w:t>tien et à Port</w:t>
            </w:r>
            <w:r w:rsidR="002A1A8D">
              <w:rPr>
                <w:lang w:val="fr-FR"/>
              </w:rPr>
              <w:t>-</w:t>
            </w:r>
            <w:r w:rsidRPr="00E0416A">
              <w:rPr>
                <w:lang w:val="fr-FR"/>
              </w:rPr>
              <w:t>de</w:t>
            </w:r>
            <w:r w:rsidR="002A1A8D">
              <w:rPr>
                <w:lang w:val="fr-FR"/>
              </w:rPr>
              <w:t>-</w:t>
            </w:r>
            <w:r w:rsidRPr="00E0416A">
              <w:rPr>
                <w:lang w:val="fr-FR"/>
              </w:rPr>
              <w:t xml:space="preserve">Paix autour du thème </w:t>
            </w:r>
            <w:r w:rsidRPr="00CF7BE6">
              <w:rPr>
                <w:i/>
                <w:lang w:val="fr-FR"/>
              </w:rPr>
              <w:t>&lt;&lt; Que savez-vous sur le tremblement de terre de 1842 ? &gt;&gt;</w:t>
            </w:r>
          </w:p>
          <w:p w:rsidR="00CF2129" w:rsidRPr="00E0416A" w:rsidRDefault="00CF2129" w:rsidP="00F17846">
            <w:pPr>
              <w:jc w:val="both"/>
              <w:rPr>
                <w:lang w:val="fr-FR"/>
              </w:rPr>
            </w:pPr>
            <w:r w:rsidRPr="00E0416A">
              <w:rPr>
                <w:lang w:val="fr-FR"/>
              </w:rPr>
              <w:t>-Formation des formateurs à Port</w:t>
            </w:r>
            <w:r w:rsidR="007455C8">
              <w:rPr>
                <w:lang w:val="fr-FR"/>
              </w:rPr>
              <w:t>-</w:t>
            </w:r>
            <w:r w:rsidRPr="00E0416A">
              <w:rPr>
                <w:lang w:val="fr-FR"/>
              </w:rPr>
              <w:t>de</w:t>
            </w:r>
            <w:r w:rsidR="007455C8">
              <w:rPr>
                <w:lang w:val="fr-FR"/>
              </w:rPr>
              <w:t>-P</w:t>
            </w:r>
            <w:r w:rsidRPr="00E0416A">
              <w:rPr>
                <w:lang w:val="fr-FR"/>
              </w:rPr>
              <w:t>aix</w:t>
            </w:r>
          </w:p>
          <w:p w:rsidR="00CF2129" w:rsidRPr="00E0416A" w:rsidRDefault="00CF2129" w:rsidP="00F17846">
            <w:pPr>
              <w:jc w:val="both"/>
              <w:rPr>
                <w:lang w:val="fr-FR"/>
              </w:rPr>
            </w:pPr>
            <w:r w:rsidRPr="00E0416A">
              <w:rPr>
                <w:lang w:val="fr-FR"/>
              </w:rPr>
              <w:t>- Cérémonie de remise de trophées organisée à Port</w:t>
            </w:r>
            <w:r w:rsidR="007455C8">
              <w:rPr>
                <w:lang w:val="fr-FR"/>
              </w:rPr>
              <w:t>-</w:t>
            </w:r>
            <w:r w:rsidRPr="00E0416A">
              <w:rPr>
                <w:lang w:val="fr-FR"/>
              </w:rPr>
              <w:t>de</w:t>
            </w:r>
            <w:r w:rsidR="007455C8">
              <w:rPr>
                <w:lang w:val="fr-FR"/>
              </w:rPr>
              <w:t>-</w:t>
            </w:r>
            <w:r w:rsidRPr="00E0416A">
              <w:rPr>
                <w:lang w:val="fr-FR"/>
              </w:rPr>
              <w:t xml:space="preserve">Paix et </w:t>
            </w:r>
            <w:r w:rsidR="007455C8">
              <w:rPr>
                <w:lang w:val="fr-FR"/>
              </w:rPr>
              <w:t xml:space="preserve">au </w:t>
            </w:r>
            <w:r w:rsidRPr="00E0416A">
              <w:rPr>
                <w:lang w:val="fr-FR"/>
              </w:rPr>
              <w:t>Cap-Ha</w:t>
            </w:r>
            <w:r w:rsidR="007455C8">
              <w:rPr>
                <w:lang w:val="fr-FR"/>
              </w:rPr>
              <w:t>ï</w:t>
            </w:r>
            <w:r w:rsidRPr="00E0416A">
              <w:rPr>
                <w:lang w:val="fr-FR"/>
              </w:rPr>
              <w:t>tien dans le cadre du concours de recherche organisé sur le tremblement de terre de 1842</w:t>
            </w:r>
          </w:p>
          <w:p w:rsidR="00CF2129" w:rsidRPr="00E0416A" w:rsidRDefault="00CF2129" w:rsidP="00F17846">
            <w:pPr>
              <w:jc w:val="both"/>
              <w:rPr>
                <w:lang w:val="fr-FR"/>
              </w:rPr>
            </w:pPr>
          </w:p>
        </w:tc>
        <w:tc>
          <w:tcPr>
            <w:tcW w:w="1530" w:type="dxa"/>
          </w:tcPr>
          <w:p w:rsidR="00CF2129" w:rsidRPr="00E0416A" w:rsidRDefault="00CF2129" w:rsidP="00F17846">
            <w:pPr>
              <w:jc w:val="center"/>
              <w:rPr>
                <w:lang w:val="fr-FR"/>
              </w:rPr>
            </w:pPr>
          </w:p>
          <w:p w:rsidR="00CF2129" w:rsidRPr="00E0416A" w:rsidRDefault="00CF2129" w:rsidP="00F17846">
            <w:pPr>
              <w:jc w:val="center"/>
              <w:rPr>
                <w:lang w:val="fr-FR"/>
              </w:rPr>
            </w:pPr>
          </w:p>
          <w:p w:rsidR="00CF2129" w:rsidRPr="00E0416A" w:rsidRDefault="00CF2129" w:rsidP="00F17846">
            <w:pPr>
              <w:jc w:val="center"/>
              <w:rPr>
                <w:lang w:val="fr-FR"/>
              </w:rPr>
            </w:pPr>
          </w:p>
          <w:p w:rsidR="00CF2129" w:rsidRPr="00E0416A" w:rsidRDefault="00CF2129" w:rsidP="00F17846">
            <w:pPr>
              <w:jc w:val="center"/>
              <w:rPr>
                <w:lang w:val="fr-FR"/>
              </w:rPr>
            </w:pPr>
            <w:r w:rsidRPr="00E0416A">
              <w:rPr>
                <w:lang w:val="fr-FR"/>
              </w:rPr>
              <w:t>75%</w:t>
            </w:r>
          </w:p>
        </w:tc>
      </w:tr>
      <w:tr w:rsidR="00CF2129" w:rsidRPr="00E0416A" w:rsidTr="00F17846">
        <w:tc>
          <w:tcPr>
            <w:tcW w:w="2808" w:type="dxa"/>
          </w:tcPr>
          <w:p w:rsidR="00CF2129" w:rsidRPr="00E0416A" w:rsidRDefault="00CF2129" w:rsidP="00F17846">
            <w:pPr>
              <w:jc w:val="both"/>
              <w:rPr>
                <w:lang w:val="fr-FR"/>
              </w:rPr>
            </w:pPr>
            <w:r w:rsidRPr="00E0416A">
              <w:rPr>
                <w:lang w:val="fr-FR"/>
              </w:rPr>
              <w:t>L’information du public a commencé dans les 4 grandes villes du grand nord.</w:t>
            </w:r>
          </w:p>
        </w:tc>
        <w:tc>
          <w:tcPr>
            <w:tcW w:w="6210" w:type="dxa"/>
          </w:tcPr>
          <w:p w:rsidR="00CF2129" w:rsidRPr="00E0416A" w:rsidRDefault="00CF2129" w:rsidP="00F17846">
            <w:pPr>
              <w:pStyle w:val="ListParagraph"/>
              <w:ind w:left="0"/>
              <w:jc w:val="both"/>
              <w:rPr>
                <w:lang w:val="fr-FR"/>
              </w:rPr>
            </w:pPr>
            <w:r w:rsidRPr="00E0416A">
              <w:rPr>
                <w:lang w:val="fr-FR"/>
              </w:rPr>
              <w:t>Le devoir de mémoire.</w:t>
            </w:r>
          </w:p>
          <w:p w:rsidR="00CF2129" w:rsidRPr="00E0416A" w:rsidRDefault="00CF2129" w:rsidP="00F17846">
            <w:pPr>
              <w:pStyle w:val="ListParagraph"/>
              <w:ind w:left="0"/>
              <w:jc w:val="both"/>
              <w:rPr>
                <w:lang w:val="fr-FR"/>
              </w:rPr>
            </w:pPr>
            <w:r w:rsidRPr="00E0416A">
              <w:rPr>
                <w:lang w:val="fr-FR"/>
              </w:rPr>
              <w:t xml:space="preserve"> Des activités de masse ont été organisées pour atteindre le grand public ;</w:t>
            </w:r>
          </w:p>
          <w:p w:rsidR="00CF2129" w:rsidRPr="00E0416A" w:rsidRDefault="007455C8" w:rsidP="00F17846">
            <w:pPr>
              <w:pStyle w:val="ListParagraph"/>
              <w:ind w:left="0"/>
              <w:jc w:val="both"/>
              <w:rPr>
                <w:lang w:val="fr-FR"/>
              </w:rPr>
            </w:pPr>
            <w:r>
              <w:rPr>
                <w:lang w:val="fr-FR"/>
              </w:rPr>
              <w:t>M</w:t>
            </w:r>
            <w:r w:rsidR="00CF2129" w:rsidRPr="00E0416A">
              <w:rPr>
                <w:lang w:val="fr-FR"/>
              </w:rPr>
              <w:t xml:space="preserve">arche </w:t>
            </w:r>
            <w:r>
              <w:rPr>
                <w:lang w:val="fr-FR"/>
              </w:rPr>
              <w:t xml:space="preserve"> commémorative</w:t>
            </w:r>
            <w:r w:rsidRPr="00E0416A">
              <w:rPr>
                <w:lang w:val="fr-FR"/>
              </w:rPr>
              <w:t xml:space="preserve"> </w:t>
            </w:r>
            <w:r w:rsidR="00CF2129" w:rsidRPr="00E0416A">
              <w:rPr>
                <w:lang w:val="fr-FR"/>
              </w:rPr>
              <w:t>organisée le 07 mai 2013 dans toutes les villes</w:t>
            </w:r>
            <w:r>
              <w:rPr>
                <w:lang w:val="fr-FR"/>
              </w:rPr>
              <w:t>;</w:t>
            </w:r>
          </w:p>
          <w:p w:rsidR="00CF2129" w:rsidRPr="00E0416A" w:rsidRDefault="007455C8" w:rsidP="00F17846">
            <w:pPr>
              <w:pStyle w:val="ListParagraph"/>
              <w:ind w:left="0"/>
              <w:jc w:val="both"/>
              <w:rPr>
                <w:lang w:val="fr-FR"/>
              </w:rPr>
            </w:pPr>
            <w:r>
              <w:rPr>
                <w:lang w:val="fr-FR"/>
              </w:rPr>
              <w:t>S</w:t>
            </w:r>
            <w:r w:rsidR="00CF2129" w:rsidRPr="00E0416A">
              <w:rPr>
                <w:lang w:val="fr-FR"/>
              </w:rPr>
              <w:t xml:space="preserve">ensibilisation porte à porte organisée  </w:t>
            </w:r>
            <w:r>
              <w:rPr>
                <w:lang w:val="fr-FR"/>
              </w:rPr>
              <w:t xml:space="preserve">au </w:t>
            </w:r>
            <w:r w:rsidR="00CF2129" w:rsidRPr="00E0416A">
              <w:rPr>
                <w:lang w:val="fr-FR"/>
              </w:rPr>
              <w:t>Cap-Haïtien avec l’appui de la commission diocésaine pour la protection de la vie (CDPV)</w:t>
            </w:r>
          </w:p>
        </w:tc>
        <w:tc>
          <w:tcPr>
            <w:tcW w:w="1530" w:type="dxa"/>
          </w:tcPr>
          <w:p w:rsidR="00CF2129" w:rsidRPr="00E0416A" w:rsidRDefault="00CF2129" w:rsidP="00F17846">
            <w:pPr>
              <w:jc w:val="center"/>
              <w:rPr>
                <w:lang w:val="fr-FR"/>
              </w:rPr>
            </w:pPr>
            <w:r w:rsidRPr="00E0416A">
              <w:rPr>
                <w:lang w:val="fr-FR"/>
              </w:rPr>
              <w:t>60%</w:t>
            </w:r>
          </w:p>
        </w:tc>
      </w:tr>
      <w:tr w:rsidR="00CF2129" w:rsidRPr="00E0416A" w:rsidTr="00F17846">
        <w:tc>
          <w:tcPr>
            <w:tcW w:w="2808" w:type="dxa"/>
          </w:tcPr>
          <w:p w:rsidR="00CF2129" w:rsidRPr="00E0416A" w:rsidRDefault="00CF2129" w:rsidP="00F17846">
            <w:pPr>
              <w:jc w:val="both"/>
              <w:rPr>
                <w:lang w:val="fr-FR"/>
              </w:rPr>
            </w:pPr>
            <w:r w:rsidRPr="00E0416A">
              <w:rPr>
                <w:lang w:val="fr-FR"/>
              </w:rPr>
              <w:t>Les écoles et hôpitaux « pilotes » (deux par grande ville) sont identifiés et des actions de sensibilisation y sont engagées.</w:t>
            </w:r>
          </w:p>
        </w:tc>
        <w:tc>
          <w:tcPr>
            <w:tcW w:w="6210" w:type="dxa"/>
          </w:tcPr>
          <w:p w:rsidR="00CF2129" w:rsidRPr="00E0416A" w:rsidRDefault="00CF2129" w:rsidP="00F17846">
            <w:pPr>
              <w:jc w:val="both"/>
              <w:rPr>
                <w:lang w:val="fr-FR"/>
              </w:rPr>
            </w:pPr>
            <w:r w:rsidRPr="00E0416A">
              <w:rPr>
                <w:lang w:val="fr-FR"/>
              </w:rPr>
              <w:t xml:space="preserve">Des activités de sensibilisation ont été menées au niveau de plusieurs écoles ; et plus de 10000 élèves ont participé aux ateliers de sensibilisation ; marches </w:t>
            </w:r>
            <w:r w:rsidR="007455C8">
              <w:rPr>
                <w:lang w:val="fr-FR"/>
              </w:rPr>
              <w:t xml:space="preserve">commémoratives </w:t>
            </w:r>
            <w:r w:rsidRPr="00E0416A">
              <w:rPr>
                <w:lang w:val="fr-FR"/>
              </w:rPr>
              <w:t xml:space="preserve"> et observation urbaine</w:t>
            </w:r>
          </w:p>
          <w:p w:rsidR="00CF2129" w:rsidRPr="00E0416A" w:rsidRDefault="00CF2129" w:rsidP="00F17846">
            <w:pPr>
              <w:jc w:val="both"/>
              <w:rPr>
                <w:lang w:val="fr-FR"/>
              </w:rPr>
            </w:pPr>
            <w:r w:rsidRPr="00E0416A">
              <w:rPr>
                <w:lang w:val="fr-FR"/>
              </w:rPr>
              <w:t>Six   élèves lauréates ont remporté le concours sur l’historicité du tremblement de terre de 1842.</w:t>
            </w:r>
          </w:p>
          <w:p w:rsidR="00CF2129" w:rsidRPr="00E0416A" w:rsidRDefault="00CF2129" w:rsidP="00F17846">
            <w:pPr>
              <w:jc w:val="both"/>
              <w:rPr>
                <w:lang w:val="fr-FR"/>
              </w:rPr>
            </w:pPr>
            <w:r w:rsidRPr="00E0416A">
              <w:rPr>
                <w:lang w:val="fr-FR"/>
              </w:rPr>
              <w:t>Formation sur les techniques de sensibilisation porte  à  porte  pour 391 jeunes a été organisée au  Cap en collaboration avec le comité diocésain de la protection de la vie (CDPV)</w:t>
            </w:r>
          </w:p>
          <w:p w:rsidR="00CF2129" w:rsidRPr="00E0416A" w:rsidRDefault="00CF2129" w:rsidP="00F17846">
            <w:pPr>
              <w:jc w:val="both"/>
              <w:rPr>
                <w:lang w:val="fr-FR"/>
              </w:rPr>
            </w:pPr>
            <w:r w:rsidRPr="00E0416A">
              <w:rPr>
                <w:lang w:val="fr-FR"/>
              </w:rPr>
              <w:lastRenderedPageBreak/>
              <w:t>Des séances de formation sur le sujet ‘’Risque Sismique’’ ont été organisées à Fort-Liberté, notamment à l’Ecole de Droit et à la Paroisse Délivrance de l’Eglise Catholique, sous l’invitation et la demande du Groupe JILAP (Justice et Paix).</w:t>
            </w:r>
          </w:p>
          <w:p w:rsidR="00CF2129" w:rsidRPr="00E0416A" w:rsidRDefault="00CF2129" w:rsidP="00F17846">
            <w:pPr>
              <w:jc w:val="both"/>
              <w:rPr>
                <w:lang w:val="fr-FR"/>
              </w:rPr>
            </w:pPr>
          </w:p>
          <w:p w:rsidR="00CF2129" w:rsidRPr="00E0416A" w:rsidRDefault="00CF2129" w:rsidP="00F17846">
            <w:pPr>
              <w:jc w:val="both"/>
              <w:rPr>
                <w:lang w:val="fr-FR"/>
              </w:rPr>
            </w:pPr>
          </w:p>
        </w:tc>
        <w:tc>
          <w:tcPr>
            <w:tcW w:w="1530" w:type="dxa"/>
          </w:tcPr>
          <w:p w:rsidR="00CF2129" w:rsidRPr="00E0416A" w:rsidRDefault="00CF2129" w:rsidP="00F17846">
            <w:pPr>
              <w:jc w:val="center"/>
              <w:rPr>
                <w:lang w:val="fr-FR"/>
              </w:rPr>
            </w:pPr>
            <w:r w:rsidRPr="00E0416A">
              <w:rPr>
                <w:lang w:val="fr-FR"/>
              </w:rPr>
              <w:lastRenderedPageBreak/>
              <w:t>65%</w:t>
            </w:r>
          </w:p>
        </w:tc>
      </w:tr>
    </w:tbl>
    <w:p w:rsidR="00CF2129" w:rsidRPr="00E0416A" w:rsidRDefault="00CF2129" w:rsidP="00CF2129">
      <w:pPr>
        <w:jc w:val="both"/>
        <w:rPr>
          <w:b/>
          <w:lang w:val="fr-FR"/>
        </w:rPr>
      </w:pPr>
    </w:p>
    <w:p w:rsidR="00CF2129" w:rsidRPr="00E0416A" w:rsidRDefault="00CF2129" w:rsidP="00CF2129">
      <w:pPr>
        <w:jc w:val="both"/>
        <w:rPr>
          <w:b/>
          <w:lang w:val="fr-FR"/>
        </w:rPr>
      </w:pPr>
      <w:r w:rsidRPr="00E0416A">
        <w:rPr>
          <w:b/>
          <w:lang w:val="fr-FR"/>
        </w:rPr>
        <w:t>Produit 6 </w:t>
      </w:r>
      <w:r w:rsidRPr="00E0416A">
        <w:rPr>
          <w:b/>
          <w:i/>
          <w:lang w:val="fr-FR"/>
        </w:rPr>
        <w:t xml:space="preserve">: </w:t>
      </w:r>
      <w:r w:rsidRPr="00E0416A">
        <w:rPr>
          <w:i/>
          <w:color w:val="000000"/>
          <w:lang w:val="fr-FR"/>
        </w:rPr>
        <w:t>les capacités des organismes de réponse aux désastres sont augmentées</w:t>
      </w:r>
      <w:r w:rsidRPr="00E0416A">
        <w:rPr>
          <w:color w:val="000000"/>
          <w:lang w:val="fr-FR"/>
        </w:rPr>
        <w:t>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Des scénarios sismiques sont définis pour les trois chefs-lieux des départements du grand nord ;</w:t>
      </w:r>
    </w:p>
    <w:p w:rsidR="00CF2129" w:rsidRPr="00E0416A" w:rsidRDefault="00CF2129" w:rsidP="00CF2129">
      <w:pPr>
        <w:pStyle w:val="ListParagraph"/>
        <w:numPr>
          <w:ilvl w:val="1"/>
          <w:numId w:val="23"/>
        </w:numPr>
        <w:spacing w:after="200" w:line="276" w:lineRule="auto"/>
        <w:ind w:left="360"/>
        <w:jc w:val="both"/>
        <w:rPr>
          <w:color w:val="000000"/>
          <w:lang w:val="fr-FR"/>
        </w:rPr>
      </w:pPr>
      <w:r w:rsidRPr="00E0416A">
        <w:rPr>
          <w:color w:val="000000"/>
          <w:lang w:val="fr-FR"/>
        </w:rPr>
        <w:t>Une stratégie d’inclusion des séismes dans les plans de contingence est élaborée.</w:t>
      </w:r>
    </w:p>
    <w:p w:rsidR="00CF2129" w:rsidRPr="00E0416A" w:rsidRDefault="00CF2129" w:rsidP="00CF2129">
      <w:pPr>
        <w:pStyle w:val="ListParagraph"/>
        <w:spacing w:before="240" w:after="120"/>
        <w:ind w:left="360" w:firstLine="360"/>
        <w:contextualSpacing w:val="0"/>
        <w:jc w:val="both"/>
        <w:rPr>
          <w:b/>
          <w:i/>
          <w:u w:val="single"/>
          <w:lang w:val="fr-FR"/>
        </w:rPr>
      </w:pPr>
      <w:r w:rsidRPr="00E0416A">
        <w:rPr>
          <w:b/>
          <w:color w:val="000000"/>
          <w:lang w:val="fr-FR"/>
        </w:rPr>
        <w:t xml:space="preserve"> </w:t>
      </w:r>
      <w:r w:rsidRPr="00E0416A">
        <w:rPr>
          <w:b/>
          <w:i/>
          <w:u w:val="single"/>
          <w:lang w:val="fr-FR"/>
        </w:rPr>
        <w:t>Résultats obtenus dans le Nord par rapport au produit #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120"/>
        <w:gridCol w:w="1620"/>
      </w:tblGrid>
      <w:tr w:rsidR="00CF2129" w:rsidRPr="00E0416A" w:rsidTr="00F17846">
        <w:tc>
          <w:tcPr>
            <w:tcW w:w="2808" w:type="dxa"/>
          </w:tcPr>
          <w:p w:rsidR="00CF2129" w:rsidRPr="00E0416A" w:rsidRDefault="00CF2129" w:rsidP="00F17846">
            <w:pPr>
              <w:pStyle w:val="ListParagraph"/>
              <w:ind w:left="360"/>
              <w:jc w:val="center"/>
              <w:rPr>
                <w:b/>
                <w:i/>
                <w:lang w:val="fr-FR"/>
              </w:rPr>
            </w:pPr>
            <w:r w:rsidRPr="00E0416A">
              <w:rPr>
                <w:b/>
                <w:i/>
                <w:lang w:val="fr-FR"/>
              </w:rPr>
              <w:t>Items</w:t>
            </w:r>
          </w:p>
        </w:tc>
        <w:tc>
          <w:tcPr>
            <w:tcW w:w="6120" w:type="dxa"/>
          </w:tcPr>
          <w:p w:rsidR="00CF2129" w:rsidRPr="00E0416A" w:rsidRDefault="00CF2129" w:rsidP="00F17846">
            <w:pPr>
              <w:pStyle w:val="ListParagraph"/>
              <w:ind w:left="360"/>
              <w:jc w:val="center"/>
              <w:rPr>
                <w:b/>
                <w:i/>
                <w:lang w:val="fr-FR"/>
              </w:rPr>
            </w:pPr>
            <w:r w:rsidRPr="00E0416A">
              <w:rPr>
                <w:b/>
                <w:i/>
                <w:lang w:val="fr-FR"/>
              </w:rPr>
              <w:t>Etat d’avancement</w:t>
            </w:r>
          </w:p>
        </w:tc>
        <w:tc>
          <w:tcPr>
            <w:tcW w:w="1620" w:type="dxa"/>
          </w:tcPr>
          <w:p w:rsidR="00CF2129" w:rsidRPr="00E0416A" w:rsidRDefault="00CF2129" w:rsidP="00F17846">
            <w:pPr>
              <w:rPr>
                <w:b/>
                <w:i/>
                <w:lang w:val="fr-FR"/>
              </w:rPr>
            </w:pPr>
            <w:r w:rsidRPr="00E0416A">
              <w:rPr>
                <w:b/>
                <w:i/>
                <w:lang w:val="fr-FR"/>
              </w:rPr>
              <w:t>Pourcentage</w:t>
            </w:r>
          </w:p>
        </w:tc>
      </w:tr>
      <w:tr w:rsidR="00CF2129" w:rsidRPr="00E0416A" w:rsidTr="00F17846">
        <w:tc>
          <w:tcPr>
            <w:tcW w:w="2808" w:type="dxa"/>
          </w:tcPr>
          <w:p w:rsidR="00CF2129" w:rsidRPr="00E0416A" w:rsidRDefault="00CF2129" w:rsidP="00F17846">
            <w:pPr>
              <w:jc w:val="both"/>
              <w:rPr>
                <w:lang w:val="fr-FR"/>
              </w:rPr>
            </w:pPr>
            <w:r w:rsidRPr="00E0416A">
              <w:rPr>
                <w:lang w:val="fr-FR"/>
              </w:rPr>
              <w:t>Des scénarios sismiques sont définis pour les trois chefs-lieux des départements du grand nord.</w:t>
            </w:r>
          </w:p>
        </w:tc>
        <w:tc>
          <w:tcPr>
            <w:tcW w:w="6120" w:type="dxa"/>
          </w:tcPr>
          <w:p w:rsidR="00CF2129" w:rsidRPr="00E0416A" w:rsidRDefault="00CF2129" w:rsidP="00F17846">
            <w:pPr>
              <w:pStyle w:val="ListParagraph"/>
              <w:ind w:left="0"/>
              <w:jc w:val="both"/>
              <w:rPr>
                <w:lang w:val="fr-FR"/>
              </w:rPr>
            </w:pPr>
            <w:r w:rsidRPr="00E0416A">
              <w:rPr>
                <w:lang w:val="fr-FR"/>
              </w:rPr>
              <w:t xml:space="preserve">Il n’y a </w:t>
            </w:r>
            <w:r w:rsidR="007455C8">
              <w:rPr>
                <w:lang w:val="fr-FR"/>
              </w:rPr>
              <w:t xml:space="preserve">pas </w:t>
            </w:r>
            <w:r w:rsidRPr="00E0416A">
              <w:rPr>
                <w:lang w:val="fr-FR"/>
              </w:rPr>
              <w:t>eu de scénarios sismiques définis pour le département du Nord puisqu’il n’y a pas encore de plan de contingence sismique.</w:t>
            </w:r>
          </w:p>
          <w:p w:rsidR="00CF2129" w:rsidRPr="00E0416A" w:rsidRDefault="00CF2129" w:rsidP="00F17846">
            <w:pPr>
              <w:pStyle w:val="ListParagraph"/>
              <w:ind w:left="0"/>
              <w:jc w:val="both"/>
              <w:rPr>
                <w:lang w:val="fr-FR"/>
              </w:rPr>
            </w:pPr>
            <w:r w:rsidRPr="00E0416A">
              <w:rPr>
                <w:lang w:val="fr-FR"/>
              </w:rPr>
              <w:t>La recherche bibliographi</w:t>
            </w:r>
            <w:r w:rsidR="004C3A52">
              <w:rPr>
                <w:lang w:val="fr-FR"/>
              </w:rPr>
              <w:t>que</w:t>
            </w:r>
            <w:r w:rsidRPr="00E0416A">
              <w:rPr>
                <w:lang w:val="fr-FR"/>
              </w:rPr>
              <w:t xml:space="preserve"> sur le retour de</w:t>
            </w:r>
            <w:r w:rsidR="00BB3DBD">
              <w:rPr>
                <w:lang w:val="fr-FR"/>
              </w:rPr>
              <w:t>s expériences tirées du séisme   de</w:t>
            </w:r>
            <w:r w:rsidRPr="00E0416A">
              <w:rPr>
                <w:lang w:val="fr-FR"/>
              </w:rPr>
              <w:t xml:space="preserve"> 2010.</w:t>
            </w:r>
          </w:p>
        </w:tc>
        <w:tc>
          <w:tcPr>
            <w:tcW w:w="1620" w:type="dxa"/>
          </w:tcPr>
          <w:p w:rsidR="00CF2129" w:rsidRPr="00E0416A" w:rsidRDefault="00CF2129" w:rsidP="00F17846">
            <w:pPr>
              <w:jc w:val="center"/>
              <w:rPr>
                <w:lang w:val="fr-FR"/>
              </w:rPr>
            </w:pPr>
            <w:r w:rsidRPr="00E0416A">
              <w:rPr>
                <w:lang w:val="fr-FR"/>
              </w:rPr>
              <w:t>20%</w:t>
            </w:r>
          </w:p>
        </w:tc>
      </w:tr>
      <w:tr w:rsidR="00CF2129" w:rsidRPr="00E0416A" w:rsidTr="00F17846">
        <w:tc>
          <w:tcPr>
            <w:tcW w:w="2808" w:type="dxa"/>
          </w:tcPr>
          <w:p w:rsidR="00CF2129" w:rsidRPr="00E0416A" w:rsidRDefault="00CF2129" w:rsidP="00F17846">
            <w:pPr>
              <w:jc w:val="both"/>
              <w:rPr>
                <w:lang w:val="fr-FR"/>
              </w:rPr>
            </w:pPr>
            <w:r w:rsidRPr="00E0416A">
              <w:rPr>
                <w:lang w:val="fr-FR"/>
              </w:rPr>
              <w:t>Une stratégie d’inclusion des séismes dans les plans de contingence est élaborée.</w:t>
            </w:r>
          </w:p>
        </w:tc>
        <w:tc>
          <w:tcPr>
            <w:tcW w:w="6120" w:type="dxa"/>
          </w:tcPr>
          <w:p w:rsidR="00CF2129" w:rsidRPr="00E0416A" w:rsidRDefault="00CF2129" w:rsidP="00F17846">
            <w:pPr>
              <w:jc w:val="both"/>
              <w:rPr>
                <w:spacing w:val="-2"/>
                <w:lang w:val="fr-FR"/>
              </w:rPr>
            </w:pPr>
            <w:r w:rsidRPr="00E0416A">
              <w:rPr>
                <w:spacing w:val="-2"/>
                <w:lang w:val="fr-FR"/>
              </w:rPr>
              <w:t xml:space="preserve">Les travaux de développement de trois plans de contingences ont débuté et la recherche bibliographique a été faite par la consultante </w:t>
            </w:r>
          </w:p>
          <w:p w:rsidR="00CF2129" w:rsidRPr="00E0416A" w:rsidRDefault="00CF2129" w:rsidP="00F17846">
            <w:pPr>
              <w:jc w:val="both"/>
              <w:rPr>
                <w:lang w:val="fr-FR"/>
              </w:rPr>
            </w:pPr>
            <w:r w:rsidRPr="00E0416A">
              <w:rPr>
                <w:spacing w:val="-2"/>
                <w:lang w:val="fr-FR"/>
              </w:rPr>
              <w:t xml:space="preserve">Trois plans de contingence séismique  pour le Grand Nord et un </w:t>
            </w:r>
            <w:proofErr w:type="spellStart"/>
            <w:r w:rsidRPr="00E0416A">
              <w:rPr>
                <w:spacing w:val="-2"/>
                <w:lang w:val="fr-FR"/>
              </w:rPr>
              <w:t>Simex</w:t>
            </w:r>
            <w:proofErr w:type="spellEnd"/>
            <w:r w:rsidRPr="00E0416A">
              <w:rPr>
                <w:spacing w:val="-2"/>
                <w:lang w:val="fr-FR"/>
              </w:rPr>
              <w:t xml:space="preserve">  national vont être développés  en 2014</w:t>
            </w:r>
          </w:p>
        </w:tc>
        <w:tc>
          <w:tcPr>
            <w:tcW w:w="1620" w:type="dxa"/>
          </w:tcPr>
          <w:p w:rsidR="00CF2129" w:rsidRPr="00E0416A" w:rsidRDefault="00CF2129" w:rsidP="00F17846">
            <w:pPr>
              <w:jc w:val="center"/>
              <w:rPr>
                <w:lang w:val="fr-FR"/>
              </w:rPr>
            </w:pPr>
            <w:r w:rsidRPr="00E0416A">
              <w:rPr>
                <w:lang w:val="fr-FR"/>
              </w:rPr>
              <w:t>25%</w:t>
            </w:r>
          </w:p>
        </w:tc>
      </w:tr>
    </w:tbl>
    <w:p w:rsidR="003E2682" w:rsidRPr="00E0416A" w:rsidRDefault="003E2682" w:rsidP="003E2682">
      <w:pPr>
        <w:pStyle w:val="BodyText"/>
        <w:jc w:val="both"/>
        <w:rPr>
          <w:rFonts w:ascii="Times New Roman" w:hAnsi="Times New Roman"/>
          <w:sz w:val="24"/>
          <w:lang w:val="fr-FR"/>
        </w:rPr>
      </w:pPr>
    </w:p>
    <w:p w:rsidR="00F41DFF" w:rsidRPr="00F41DFF" w:rsidRDefault="00F41DFF" w:rsidP="000C1C7A">
      <w:pPr>
        <w:pStyle w:val="BodyText"/>
        <w:numPr>
          <w:ilvl w:val="0"/>
          <w:numId w:val="4"/>
        </w:numPr>
        <w:jc w:val="both"/>
        <w:rPr>
          <w:rFonts w:ascii="Times New Roman" w:hAnsi="Times New Roman"/>
          <w:sz w:val="24"/>
          <w:szCs w:val="24"/>
          <w:lang w:val="fr-FR"/>
        </w:rPr>
      </w:pPr>
      <w:r w:rsidRPr="00F41DFF">
        <w:rPr>
          <w:rFonts w:ascii="Times New Roman" w:hAnsi="Times New Roman"/>
          <w:b/>
          <w:sz w:val="24"/>
          <w:lang w:val="fr-FR"/>
        </w:rPr>
        <w:t>Défis</w:t>
      </w:r>
      <w:r w:rsidR="000C1C7A" w:rsidRPr="00F41DFF">
        <w:rPr>
          <w:rFonts w:ascii="Times New Roman" w:hAnsi="Times New Roman"/>
          <w:b/>
          <w:sz w:val="24"/>
          <w:lang w:val="fr-FR"/>
        </w:rPr>
        <w:t>/ leçons apprises</w:t>
      </w:r>
      <w:r w:rsidR="003E2682" w:rsidRPr="00E0416A">
        <w:rPr>
          <w:rFonts w:ascii="Times New Roman" w:hAnsi="Times New Roman"/>
          <w:sz w:val="24"/>
          <w:lang w:val="fr-FR"/>
        </w:rPr>
        <w:t>.</w:t>
      </w:r>
    </w:p>
    <w:p w:rsidR="00BB3DBD" w:rsidRPr="004C3A52" w:rsidRDefault="00777D00">
      <w:pPr>
        <w:pStyle w:val="BodyText"/>
        <w:numPr>
          <w:ilvl w:val="0"/>
          <w:numId w:val="4"/>
        </w:numPr>
        <w:jc w:val="both"/>
        <w:rPr>
          <w:rFonts w:ascii="Times New Roman" w:hAnsi="Times New Roman"/>
          <w:sz w:val="24"/>
          <w:szCs w:val="24"/>
          <w:lang w:val="fr-FR"/>
        </w:rPr>
      </w:pPr>
      <w:r w:rsidRPr="004C3A52">
        <w:rPr>
          <w:rFonts w:ascii="Times New Roman" w:hAnsi="Times New Roman"/>
          <w:sz w:val="24"/>
          <w:szCs w:val="24"/>
          <w:lang w:val="fr-FR"/>
        </w:rPr>
        <w:t>Les r</w:t>
      </w:r>
      <w:r w:rsidR="009F5384" w:rsidRPr="004C3A52">
        <w:rPr>
          <w:rFonts w:ascii="Times New Roman" w:hAnsi="Times New Roman"/>
          <w:sz w:val="24"/>
          <w:szCs w:val="24"/>
          <w:lang w:val="fr-FR"/>
        </w:rPr>
        <w:t>e</w:t>
      </w:r>
      <w:r w:rsidRPr="004C3A52">
        <w:rPr>
          <w:rFonts w:ascii="Times New Roman" w:hAnsi="Times New Roman"/>
          <w:sz w:val="24"/>
          <w:szCs w:val="24"/>
          <w:lang w:val="fr-FR"/>
        </w:rPr>
        <w:t xml:space="preserve">ssources humaines pour tout ce qui a rapport à la problématique sismique  sont </w:t>
      </w:r>
      <w:r w:rsidR="00CF7BE6" w:rsidRPr="004C3A52">
        <w:rPr>
          <w:rFonts w:ascii="Times New Roman" w:hAnsi="Times New Roman"/>
          <w:sz w:val="24"/>
          <w:szCs w:val="24"/>
          <w:lang w:val="fr-FR"/>
        </w:rPr>
        <w:t>rares</w:t>
      </w:r>
      <w:r w:rsidRPr="004C3A52">
        <w:rPr>
          <w:rFonts w:ascii="Times New Roman" w:hAnsi="Times New Roman"/>
          <w:sz w:val="24"/>
          <w:szCs w:val="24"/>
          <w:lang w:val="fr-FR"/>
        </w:rPr>
        <w:t xml:space="preserve">  dans le pays. Pour </w:t>
      </w:r>
      <w:r w:rsidR="003D1AAF" w:rsidRPr="004C3A52">
        <w:rPr>
          <w:rFonts w:ascii="Times New Roman" w:hAnsi="Times New Roman"/>
          <w:sz w:val="24"/>
          <w:szCs w:val="24"/>
          <w:lang w:val="fr-FR"/>
        </w:rPr>
        <w:t xml:space="preserve">ce, à chaque fois, on doit lancer </w:t>
      </w:r>
      <w:r w:rsidRPr="004C3A52">
        <w:rPr>
          <w:rFonts w:ascii="Times New Roman" w:hAnsi="Times New Roman"/>
          <w:sz w:val="24"/>
          <w:szCs w:val="24"/>
          <w:lang w:val="fr-FR"/>
        </w:rPr>
        <w:t xml:space="preserve"> un appel d’offre </w:t>
      </w:r>
      <w:r w:rsidR="00CF7BE6" w:rsidRPr="004C3A52">
        <w:rPr>
          <w:rFonts w:ascii="Times New Roman" w:hAnsi="Times New Roman"/>
          <w:sz w:val="24"/>
          <w:szCs w:val="24"/>
          <w:lang w:val="fr-FR"/>
        </w:rPr>
        <w:t xml:space="preserve"> national et </w:t>
      </w:r>
      <w:r w:rsidRPr="004C3A52">
        <w:rPr>
          <w:rFonts w:ascii="Times New Roman" w:hAnsi="Times New Roman"/>
          <w:sz w:val="24"/>
          <w:szCs w:val="24"/>
          <w:lang w:val="fr-FR"/>
        </w:rPr>
        <w:t>international de manière à trouver les compétences requise</w:t>
      </w:r>
      <w:r w:rsidR="00D86E24" w:rsidRPr="004C3A52">
        <w:rPr>
          <w:rFonts w:ascii="Times New Roman" w:hAnsi="Times New Roman"/>
          <w:sz w:val="24"/>
          <w:szCs w:val="24"/>
          <w:lang w:val="fr-FR"/>
        </w:rPr>
        <w:t>s</w:t>
      </w:r>
      <w:r w:rsidRPr="004C3A52">
        <w:rPr>
          <w:rFonts w:ascii="Times New Roman" w:hAnsi="Times New Roman"/>
          <w:sz w:val="24"/>
          <w:szCs w:val="24"/>
          <w:lang w:val="fr-FR"/>
        </w:rPr>
        <w:t>. Cette démarche demande</w:t>
      </w:r>
      <w:r w:rsidR="00DA69DC" w:rsidRPr="004C3A52">
        <w:rPr>
          <w:rFonts w:ascii="Times New Roman" w:hAnsi="Times New Roman"/>
          <w:sz w:val="24"/>
          <w:szCs w:val="24"/>
          <w:lang w:val="fr-FR"/>
        </w:rPr>
        <w:t xml:space="preserve"> des préparations et du temps. A tout cela, </w:t>
      </w:r>
      <w:r w:rsidRPr="004C3A52">
        <w:rPr>
          <w:rFonts w:ascii="Times New Roman" w:hAnsi="Times New Roman"/>
          <w:sz w:val="24"/>
          <w:szCs w:val="24"/>
          <w:lang w:val="fr-FR"/>
        </w:rPr>
        <w:t xml:space="preserve"> il y a une échéance</w:t>
      </w:r>
      <w:r w:rsidR="00DA69DC" w:rsidRPr="004C3A52">
        <w:rPr>
          <w:rFonts w:ascii="Times New Roman" w:hAnsi="Times New Roman"/>
          <w:sz w:val="24"/>
          <w:szCs w:val="24"/>
          <w:lang w:val="fr-FR"/>
        </w:rPr>
        <w:t xml:space="preserve"> qu’on doit respecter si l’on veut rester dans les règles de l’art</w:t>
      </w:r>
      <w:r w:rsidR="00A74902" w:rsidRPr="004C3A52">
        <w:rPr>
          <w:rFonts w:ascii="Times New Roman" w:hAnsi="Times New Roman"/>
          <w:sz w:val="24"/>
          <w:szCs w:val="24"/>
          <w:lang w:val="fr-FR"/>
        </w:rPr>
        <w:t>.</w:t>
      </w:r>
      <w:r w:rsidRPr="004C3A52">
        <w:rPr>
          <w:rFonts w:ascii="Times New Roman" w:hAnsi="Times New Roman"/>
          <w:sz w:val="24"/>
          <w:szCs w:val="24"/>
          <w:lang w:val="fr-FR"/>
        </w:rPr>
        <w:t xml:space="preserve"> Ce</w:t>
      </w:r>
      <w:r w:rsidR="000C1C7A" w:rsidRPr="004C3A52">
        <w:rPr>
          <w:rFonts w:ascii="Times New Roman" w:hAnsi="Times New Roman"/>
          <w:sz w:val="24"/>
          <w:szCs w:val="24"/>
          <w:lang w:val="fr-FR"/>
        </w:rPr>
        <w:t xml:space="preserve"> déphasage </w:t>
      </w:r>
      <w:r w:rsidRPr="004C3A52">
        <w:rPr>
          <w:rFonts w:ascii="Times New Roman" w:hAnsi="Times New Roman"/>
          <w:sz w:val="24"/>
          <w:szCs w:val="24"/>
          <w:lang w:val="fr-FR"/>
        </w:rPr>
        <w:t xml:space="preserve"> </w:t>
      </w:r>
      <w:r w:rsidR="000C1C7A" w:rsidRPr="004C3A52">
        <w:rPr>
          <w:rFonts w:ascii="Times New Roman" w:hAnsi="Times New Roman"/>
          <w:sz w:val="24"/>
          <w:szCs w:val="24"/>
          <w:lang w:val="fr-FR"/>
        </w:rPr>
        <w:t xml:space="preserve">a </w:t>
      </w:r>
      <w:r w:rsidRPr="004C3A52">
        <w:rPr>
          <w:rFonts w:ascii="Times New Roman" w:hAnsi="Times New Roman"/>
          <w:sz w:val="24"/>
          <w:szCs w:val="24"/>
          <w:lang w:val="fr-FR"/>
        </w:rPr>
        <w:t xml:space="preserve"> </w:t>
      </w:r>
      <w:r w:rsidR="000C1C7A" w:rsidRPr="004C3A52">
        <w:rPr>
          <w:rFonts w:ascii="Times New Roman" w:hAnsi="Times New Roman"/>
          <w:sz w:val="24"/>
          <w:szCs w:val="24"/>
          <w:lang w:val="fr-FR"/>
        </w:rPr>
        <w:t xml:space="preserve">engendré </w:t>
      </w:r>
      <w:r w:rsidRPr="004C3A52">
        <w:rPr>
          <w:rFonts w:ascii="Times New Roman" w:hAnsi="Times New Roman"/>
          <w:sz w:val="24"/>
          <w:szCs w:val="24"/>
          <w:lang w:val="fr-FR"/>
        </w:rPr>
        <w:t xml:space="preserve"> </w:t>
      </w:r>
      <w:r w:rsidR="000C1C7A" w:rsidRPr="004C3A52">
        <w:rPr>
          <w:rFonts w:ascii="Times New Roman" w:hAnsi="Times New Roman"/>
          <w:sz w:val="24"/>
          <w:szCs w:val="24"/>
          <w:lang w:val="fr-FR"/>
        </w:rPr>
        <w:t xml:space="preserve">le </w:t>
      </w:r>
      <w:r w:rsidRPr="004C3A52">
        <w:rPr>
          <w:rFonts w:ascii="Times New Roman" w:hAnsi="Times New Roman"/>
          <w:sz w:val="24"/>
          <w:szCs w:val="24"/>
          <w:lang w:val="fr-FR"/>
        </w:rPr>
        <w:t xml:space="preserve"> retard constaté au niveau des activités, l’évaluation des </w:t>
      </w:r>
      <w:r w:rsidR="003D1AAF" w:rsidRPr="004C3A52">
        <w:rPr>
          <w:rFonts w:ascii="Times New Roman" w:hAnsi="Times New Roman"/>
          <w:sz w:val="24"/>
          <w:szCs w:val="24"/>
          <w:lang w:val="fr-FR"/>
        </w:rPr>
        <w:t>bâtis</w:t>
      </w:r>
      <w:r w:rsidRPr="004C3A52">
        <w:rPr>
          <w:rFonts w:ascii="Times New Roman" w:hAnsi="Times New Roman"/>
          <w:sz w:val="24"/>
          <w:szCs w:val="24"/>
          <w:lang w:val="fr-FR"/>
        </w:rPr>
        <w:t xml:space="preserve"> et la formation des professionnels de la construction.</w:t>
      </w:r>
      <w:r w:rsidR="009F39B7" w:rsidRPr="004C3A52">
        <w:rPr>
          <w:rFonts w:ascii="Times New Roman" w:hAnsi="Times New Roman"/>
          <w:sz w:val="24"/>
          <w:szCs w:val="24"/>
          <w:lang w:val="fr-FR"/>
        </w:rPr>
        <w:t xml:space="preserve"> Ce retard est dû à plusieurs paramètres tels que le lancement des appels d’offres, la sélection des intéressés suivant les critères et surtout les procédures qui sont propres au PNUD. Une partie du retard enregistrée est due en réalité à la rareté des ressources dans le domaine sismique dans le monde. Le processus de sélection a été assez long et lorsqu’on a fini par accepter une ONG,  cette ONG a été déployée sur  le terrain pour exécuter les volets formation de la chaîne de construction et évaluation du bâti. Six mois après elle a  </w:t>
      </w:r>
      <w:r w:rsidR="00A74902" w:rsidRPr="004C3A52">
        <w:rPr>
          <w:rFonts w:ascii="Times New Roman" w:hAnsi="Times New Roman"/>
          <w:sz w:val="24"/>
          <w:szCs w:val="24"/>
          <w:lang w:val="fr-FR"/>
        </w:rPr>
        <w:t xml:space="preserve">confronté </w:t>
      </w:r>
      <w:r w:rsidR="009F39B7" w:rsidRPr="004C3A52">
        <w:rPr>
          <w:rFonts w:ascii="Times New Roman" w:hAnsi="Times New Roman"/>
          <w:sz w:val="24"/>
          <w:szCs w:val="24"/>
          <w:lang w:val="fr-FR"/>
        </w:rPr>
        <w:t>certains problèmes  qui n</w:t>
      </w:r>
      <w:r w:rsidR="002A1A8D">
        <w:rPr>
          <w:rFonts w:ascii="Times New Roman" w:hAnsi="Times New Roman"/>
          <w:sz w:val="24"/>
          <w:szCs w:val="24"/>
          <w:lang w:val="fr-FR"/>
        </w:rPr>
        <w:t>'</w:t>
      </w:r>
      <w:r w:rsidR="009F39B7" w:rsidRPr="004C3A52">
        <w:rPr>
          <w:rFonts w:ascii="Times New Roman" w:hAnsi="Times New Roman"/>
          <w:sz w:val="24"/>
          <w:szCs w:val="24"/>
          <w:lang w:val="fr-FR"/>
        </w:rPr>
        <w:t>ont pas permis au projet d’atteindre  tous les résultats programmés  et attendus.</w:t>
      </w:r>
    </w:p>
    <w:p w:rsidR="000C1C7A" w:rsidRPr="004C3A52" w:rsidRDefault="000C1C7A" w:rsidP="000C1C7A">
      <w:pPr>
        <w:numPr>
          <w:ilvl w:val="0"/>
          <w:numId w:val="4"/>
        </w:numPr>
        <w:contextualSpacing/>
        <w:rPr>
          <w:lang w:val="fr-FR"/>
        </w:rPr>
      </w:pPr>
      <w:r w:rsidRPr="004C3A52">
        <w:rPr>
          <w:lang w:val="fr-FR"/>
        </w:rPr>
        <w:t xml:space="preserve"> De plus il y a des contraintes qui sont liées au terrain</w:t>
      </w:r>
      <w:r w:rsidR="00A74902" w:rsidRPr="004C3A52">
        <w:rPr>
          <w:lang w:val="fr-FR"/>
        </w:rPr>
        <w:t>,</w:t>
      </w:r>
      <w:r w:rsidRPr="004C3A52">
        <w:rPr>
          <w:lang w:val="fr-FR"/>
        </w:rPr>
        <w:t xml:space="preserve"> par exemple les changements opérés au niveau des structures de l’Etat  qui nous amène</w:t>
      </w:r>
      <w:r w:rsidR="00A74902" w:rsidRPr="004C3A52">
        <w:rPr>
          <w:lang w:val="fr-FR"/>
        </w:rPr>
        <w:t>nt</w:t>
      </w:r>
      <w:r w:rsidRPr="004C3A52">
        <w:rPr>
          <w:lang w:val="fr-FR"/>
        </w:rPr>
        <w:t xml:space="preserve">  à recommencer avec </w:t>
      </w:r>
      <w:r w:rsidR="00A74902" w:rsidRPr="004C3A52">
        <w:rPr>
          <w:lang w:val="fr-FR"/>
        </w:rPr>
        <w:t xml:space="preserve">de </w:t>
      </w:r>
      <w:r w:rsidRPr="004C3A52">
        <w:rPr>
          <w:lang w:val="fr-FR"/>
        </w:rPr>
        <w:t xml:space="preserve"> </w:t>
      </w:r>
      <w:r w:rsidR="004B257E" w:rsidRPr="004C3A52">
        <w:rPr>
          <w:lang w:val="fr-FR"/>
        </w:rPr>
        <w:t xml:space="preserve">nouveaux </w:t>
      </w:r>
      <w:r w:rsidR="00D846BF" w:rsidRPr="004C3A52">
        <w:rPr>
          <w:lang w:val="fr-FR"/>
        </w:rPr>
        <w:t xml:space="preserve">interlocuteurs. </w:t>
      </w:r>
      <w:r w:rsidRPr="004C3A52">
        <w:rPr>
          <w:lang w:val="fr-FR"/>
        </w:rPr>
        <w:t>C</w:t>
      </w:r>
      <w:r w:rsidR="004B257E" w:rsidRPr="004C3A52">
        <w:rPr>
          <w:lang w:val="fr-FR"/>
        </w:rPr>
        <w:t xml:space="preserve">omme le projet est exécuté </w:t>
      </w:r>
      <w:r w:rsidRPr="004C3A52">
        <w:rPr>
          <w:lang w:val="fr-FR"/>
        </w:rPr>
        <w:t xml:space="preserve"> avec le concours des responsables de bureaux déconcentrés de l’</w:t>
      </w:r>
      <w:r w:rsidR="004B257E" w:rsidRPr="004C3A52">
        <w:rPr>
          <w:lang w:val="fr-FR"/>
        </w:rPr>
        <w:t>État</w:t>
      </w:r>
      <w:r w:rsidRPr="004C3A52">
        <w:rPr>
          <w:lang w:val="fr-FR"/>
        </w:rPr>
        <w:t>, de ce fait on ne saurait ignorer l’arrivée d’un nouveau staff au niveau départemental</w:t>
      </w:r>
      <w:r w:rsidR="004B257E" w:rsidRPr="004C3A52">
        <w:rPr>
          <w:lang w:val="fr-FR"/>
        </w:rPr>
        <w:t xml:space="preserve"> </w:t>
      </w:r>
    </w:p>
    <w:p w:rsidR="000C1C7A" w:rsidRPr="004C3A52" w:rsidRDefault="000C1C7A" w:rsidP="000C1C7A">
      <w:pPr>
        <w:numPr>
          <w:ilvl w:val="0"/>
          <w:numId w:val="4"/>
        </w:numPr>
        <w:contextualSpacing/>
        <w:rPr>
          <w:bCs/>
          <w:lang w:val="fr-FR"/>
        </w:rPr>
      </w:pPr>
      <w:r w:rsidRPr="004C3A52">
        <w:rPr>
          <w:lang w:val="fr-FR"/>
        </w:rPr>
        <w:t>Par rapport à l’implémentation du projet, nous avons appris beaucoup de leçons. Que ce soit en lien avec le recrutement des</w:t>
      </w:r>
      <w:r w:rsidR="004C3A52" w:rsidRPr="004C3A52">
        <w:rPr>
          <w:lang w:val="fr-FR"/>
        </w:rPr>
        <w:t xml:space="preserve"> experts</w:t>
      </w:r>
      <w:r w:rsidRPr="004C3A52">
        <w:rPr>
          <w:lang w:val="fr-FR"/>
        </w:rPr>
        <w:t xml:space="preserve"> nationa</w:t>
      </w:r>
      <w:r w:rsidR="004C3A52" w:rsidRPr="004C3A52">
        <w:rPr>
          <w:lang w:val="fr-FR"/>
        </w:rPr>
        <w:t>ux</w:t>
      </w:r>
      <w:r w:rsidRPr="004C3A52">
        <w:rPr>
          <w:lang w:val="fr-FR"/>
        </w:rPr>
        <w:t xml:space="preserve"> et internationa</w:t>
      </w:r>
      <w:r w:rsidR="004C3A52" w:rsidRPr="004C3A52">
        <w:rPr>
          <w:lang w:val="fr-FR"/>
        </w:rPr>
        <w:t>ux</w:t>
      </w:r>
      <w:r w:rsidRPr="004C3A52">
        <w:rPr>
          <w:lang w:val="fr-FR"/>
        </w:rPr>
        <w:t xml:space="preserve"> ou en rapport avec l’exécution même du projet. </w:t>
      </w:r>
      <w:r w:rsidR="004B257E" w:rsidRPr="004C3A52">
        <w:rPr>
          <w:lang w:val="fr-FR"/>
        </w:rPr>
        <w:t xml:space="preserve">C’est un processus dynamique qui demande des </w:t>
      </w:r>
      <w:r w:rsidR="00D846BF" w:rsidRPr="004C3A52">
        <w:rPr>
          <w:lang w:val="fr-FR"/>
        </w:rPr>
        <w:t>adaptations</w:t>
      </w:r>
      <w:r w:rsidR="004C3A52" w:rsidRPr="004C3A52">
        <w:rPr>
          <w:lang w:val="fr-FR"/>
        </w:rPr>
        <w:t xml:space="preserve"> continues compte tenu des  acteurs impliqués  dans l’exécution</w:t>
      </w:r>
      <w:r w:rsidR="00D846BF" w:rsidRPr="004C3A52">
        <w:rPr>
          <w:lang w:val="fr-FR"/>
        </w:rPr>
        <w:t xml:space="preserve">. </w:t>
      </w:r>
    </w:p>
    <w:p w:rsidR="000C1C7A" w:rsidRPr="004C3A52" w:rsidRDefault="000C1C7A" w:rsidP="000C1C7A">
      <w:pPr>
        <w:numPr>
          <w:ilvl w:val="0"/>
          <w:numId w:val="4"/>
        </w:numPr>
        <w:contextualSpacing/>
        <w:rPr>
          <w:bCs/>
          <w:lang w:val="fr-FR"/>
        </w:rPr>
      </w:pPr>
      <w:r w:rsidRPr="004C3A52">
        <w:rPr>
          <w:lang w:val="fr-FR"/>
        </w:rPr>
        <w:t>Ainsi toute l’équipe du projet est consciente du retard enregistré et voudrait à tout prix le rattraper. Pour ce faire, après l’expérience</w:t>
      </w:r>
      <w:r w:rsidR="004C3A52">
        <w:rPr>
          <w:lang w:val="fr-FR"/>
        </w:rPr>
        <w:t xml:space="preserve">  avec</w:t>
      </w:r>
      <w:r w:rsidRPr="004C3A52">
        <w:rPr>
          <w:lang w:val="fr-FR"/>
        </w:rPr>
        <w:t xml:space="preserve">  l’ONG</w:t>
      </w:r>
      <w:r w:rsidR="004C3A52">
        <w:rPr>
          <w:lang w:val="fr-FR"/>
        </w:rPr>
        <w:t xml:space="preserve"> internationale qui était recrutée pour exécuter les </w:t>
      </w:r>
      <w:proofErr w:type="gramStart"/>
      <w:r w:rsidR="004C3A52">
        <w:rPr>
          <w:lang w:val="fr-FR"/>
        </w:rPr>
        <w:t>piliers(</w:t>
      </w:r>
      <w:proofErr w:type="gramEnd"/>
      <w:r w:rsidR="004C3A52">
        <w:rPr>
          <w:lang w:val="fr-FR"/>
        </w:rPr>
        <w:t xml:space="preserve"> </w:t>
      </w:r>
      <w:proofErr w:type="spellStart"/>
      <w:r w:rsidR="004C3A52">
        <w:rPr>
          <w:lang w:val="fr-FR"/>
        </w:rPr>
        <w:t>deux,trois</w:t>
      </w:r>
      <w:proofErr w:type="spellEnd"/>
      <w:r w:rsidR="004C3A52">
        <w:rPr>
          <w:lang w:val="fr-FR"/>
        </w:rPr>
        <w:t xml:space="preserve"> et quatre  )</w:t>
      </w:r>
      <w:r w:rsidRPr="004C3A52">
        <w:rPr>
          <w:lang w:val="fr-FR"/>
        </w:rPr>
        <w:t xml:space="preserve"> </w:t>
      </w:r>
      <w:r w:rsidR="00A51B44" w:rsidRPr="004C3A52">
        <w:rPr>
          <w:lang w:val="fr-FR"/>
        </w:rPr>
        <w:t xml:space="preserve"> et un taux de livrables </w:t>
      </w:r>
      <w:r w:rsidR="004C3A52">
        <w:rPr>
          <w:lang w:val="fr-FR"/>
        </w:rPr>
        <w:t>très faible</w:t>
      </w:r>
      <w:r w:rsidR="00A51B44" w:rsidRPr="004C3A52">
        <w:rPr>
          <w:lang w:val="fr-FR"/>
        </w:rPr>
        <w:t xml:space="preserve"> </w:t>
      </w:r>
      <w:proofErr w:type="spellStart"/>
      <w:r w:rsidR="00A51B44" w:rsidRPr="004C3A52">
        <w:rPr>
          <w:lang w:val="fr-FR"/>
        </w:rPr>
        <w:t>faible</w:t>
      </w:r>
      <w:proofErr w:type="spellEnd"/>
      <w:r w:rsidRPr="004C3A52">
        <w:rPr>
          <w:lang w:val="fr-FR"/>
        </w:rPr>
        <w:t xml:space="preserve">, nous </w:t>
      </w:r>
      <w:r w:rsidR="00A51B44" w:rsidRPr="004C3A52">
        <w:rPr>
          <w:lang w:val="fr-FR"/>
        </w:rPr>
        <w:t>r</w:t>
      </w:r>
      <w:r w:rsidRPr="004C3A52">
        <w:rPr>
          <w:lang w:val="fr-FR"/>
        </w:rPr>
        <w:t>amenant ainsi à recommencer le processus de recrutement de firmes ou consultant</w:t>
      </w:r>
      <w:r w:rsidR="00A74902" w:rsidRPr="004C3A52">
        <w:rPr>
          <w:lang w:val="fr-FR"/>
        </w:rPr>
        <w:t>s</w:t>
      </w:r>
      <w:r w:rsidRPr="004C3A52">
        <w:rPr>
          <w:lang w:val="fr-FR"/>
        </w:rPr>
        <w:t xml:space="preserve"> spécialisés dans le risque sismique, on est amené à</w:t>
      </w:r>
      <w:r w:rsidR="00A51B44" w:rsidRPr="004C3A52">
        <w:rPr>
          <w:lang w:val="fr-FR"/>
        </w:rPr>
        <w:t xml:space="preserve"> revoir la stratégie et</w:t>
      </w:r>
      <w:r w:rsidRPr="004C3A52">
        <w:rPr>
          <w:lang w:val="fr-FR"/>
        </w:rPr>
        <w:t xml:space="preserve"> subdivis</w:t>
      </w:r>
      <w:r w:rsidR="00A51B44" w:rsidRPr="004C3A52">
        <w:rPr>
          <w:lang w:val="fr-FR"/>
        </w:rPr>
        <w:t>er</w:t>
      </w:r>
      <w:r w:rsidRPr="004C3A52">
        <w:rPr>
          <w:lang w:val="fr-FR"/>
        </w:rPr>
        <w:t xml:space="preserve"> ce volets en quatre parties</w:t>
      </w:r>
      <w:r w:rsidR="00A51B44" w:rsidRPr="004C3A52">
        <w:rPr>
          <w:lang w:val="fr-FR"/>
        </w:rPr>
        <w:t xml:space="preserve"> pour faciliter </w:t>
      </w:r>
      <w:r w:rsidR="00A51B44" w:rsidRPr="004C3A52">
        <w:rPr>
          <w:lang w:val="fr-FR"/>
        </w:rPr>
        <w:lastRenderedPageBreak/>
        <w:t>l’exécution</w:t>
      </w:r>
      <w:r w:rsidRPr="004C3A52">
        <w:rPr>
          <w:lang w:val="fr-FR"/>
        </w:rPr>
        <w:t xml:space="preserve">. Cette stratégie nous permettra non seulement de mener des actions en parallèles dans les différentes villes ciblées par le projet mais aussi de gagner du temps, en vue </w:t>
      </w:r>
      <w:r w:rsidR="00A74902" w:rsidRPr="004C3A52">
        <w:rPr>
          <w:lang w:val="fr-FR"/>
        </w:rPr>
        <w:t xml:space="preserve">de </w:t>
      </w:r>
      <w:r w:rsidRPr="004C3A52">
        <w:rPr>
          <w:lang w:val="fr-FR"/>
        </w:rPr>
        <w:t xml:space="preserve"> rattrapage </w:t>
      </w:r>
      <w:r w:rsidR="00A74902" w:rsidRPr="004C3A52">
        <w:rPr>
          <w:lang w:val="fr-FR"/>
        </w:rPr>
        <w:t xml:space="preserve">du </w:t>
      </w:r>
      <w:r w:rsidRPr="004C3A52">
        <w:rPr>
          <w:lang w:val="fr-FR"/>
        </w:rPr>
        <w:t>temps perdu.</w:t>
      </w:r>
    </w:p>
    <w:p w:rsidR="00A51B44" w:rsidRPr="004C3A52" w:rsidRDefault="00A51B44" w:rsidP="000C1C7A">
      <w:pPr>
        <w:numPr>
          <w:ilvl w:val="0"/>
          <w:numId w:val="4"/>
        </w:numPr>
        <w:contextualSpacing/>
        <w:rPr>
          <w:bCs/>
          <w:lang w:val="fr-FR"/>
        </w:rPr>
      </w:pPr>
      <w:r w:rsidRPr="004C3A52">
        <w:rPr>
          <w:lang w:val="fr-FR"/>
        </w:rPr>
        <w:t>Comme leçon apprise</w:t>
      </w:r>
      <w:r w:rsidR="00A74902" w:rsidRPr="004C3A52">
        <w:rPr>
          <w:lang w:val="fr-FR"/>
        </w:rPr>
        <w:t>,</w:t>
      </w:r>
      <w:r w:rsidRPr="004C3A52">
        <w:rPr>
          <w:lang w:val="fr-FR"/>
        </w:rPr>
        <w:t xml:space="preserve"> nous pouvons dire </w:t>
      </w:r>
      <w:proofErr w:type="gramStart"/>
      <w:r w:rsidRPr="004C3A52">
        <w:rPr>
          <w:lang w:val="fr-FR"/>
        </w:rPr>
        <w:t>qu’ un</w:t>
      </w:r>
      <w:proofErr w:type="gramEnd"/>
      <w:r w:rsidRPr="004C3A52">
        <w:rPr>
          <w:lang w:val="fr-FR"/>
        </w:rPr>
        <w:t xml:space="preserve"> succès obtenu par des experts dans un pays donné est conditionné par les conditions internes d’un autre pays et que les facteurs transversaux jouent un rôle important.  </w:t>
      </w:r>
    </w:p>
    <w:p w:rsidR="000C1C7A" w:rsidRPr="004C3A52" w:rsidRDefault="000C1C7A" w:rsidP="000C1C7A">
      <w:pPr>
        <w:ind w:left="360"/>
        <w:rPr>
          <w:lang w:val="fr-FR"/>
        </w:rPr>
      </w:pPr>
    </w:p>
    <w:p w:rsidR="00A51B44" w:rsidRPr="004C3A52" w:rsidRDefault="00A51B44" w:rsidP="000C1C7A">
      <w:pPr>
        <w:ind w:left="360"/>
        <w:rPr>
          <w:lang w:val="fr-FR"/>
        </w:rPr>
      </w:pPr>
    </w:p>
    <w:p w:rsidR="00A51B44" w:rsidRPr="004C3A52" w:rsidRDefault="00A51B44" w:rsidP="000C1C7A">
      <w:pPr>
        <w:ind w:left="360"/>
        <w:rPr>
          <w:lang w:val="fr-FR"/>
        </w:rPr>
      </w:pPr>
    </w:p>
    <w:p w:rsidR="00A51B44" w:rsidRDefault="00A51B44" w:rsidP="000C1C7A">
      <w:pPr>
        <w:ind w:left="360"/>
        <w:rPr>
          <w:lang w:val="fr-FR"/>
        </w:rPr>
      </w:pPr>
    </w:p>
    <w:p w:rsidR="00A51B44" w:rsidRDefault="00A51B44" w:rsidP="000C1C7A">
      <w:pPr>
        <w:ind w:left="360"/>
        <w:rPr>
          <w:lang w:val="fr-FR"/>
        </w:rPr>
      </w:pPr>
    </w:p>
    <w:p w:rsidR="00A51B44" w:rsidRDefault="00A51B44" w:rsidP="000C1C7A">
      <w:pPr>
        <w:ind w:left="360"/>
        <w:rPr>
          <w:lang w:val="fr-FR"/>
        </w:rPr>
      </w:pPr>
    </w:p>
    <w:p w:rsidR="00A51B44" w:rsidRPr="000C1C7A" w:rsidRDefault="00A51B44" w:rsidP="000C1C7A">
      <w:pPr>
        <w:ind w:left="360"/>
        <w:rPr>
          <w:lang w:val="fr-FR"/>
        </w:rPr>
      </w:pPr>
    </w:p>
    <w:p w:rsidR="003E2682" w:rsidRPr="000C1C7A" w:rsidRDefault="003E2682" w:rsidP="00F26A8A">
      <w:pPr>
        <w:pStyle w:val="BodyText"/>
        <w:jc w:val="both"/>
        <w:rPr>
          <w:rFonts w:ascii="Times New Roman" w:hAnsi="Times New Roman"/>
          <w:bCs/>
          <w:sz w:val="24"/>
          <w:szCs w:val="24"/>
          <w:lang w:val="fr-FR"/>
        </w:rPr>
      </w:pPr>
    </w:p>
    <w:p w:rsidR="003E2682" w:rsidRPr="000C1C7A" w:rsidRDefault="003E2682" w:rsidP="00A51B44">
      <w:pPr>
        <w:pStyle w:val="BodyText"/>
        <w:jc w:val="both"/>
        <w:rPr>
          <w:rFonts w:ascii="Times New Roman" w:hAnsi="Times New Roman"/>
          <w:bCs/>
          <w:sz w:val="24"/>
          <w:szCs w:val="24"/>
          <w:lang w:val="fr-FR"/>
        </w:rPr>
      </w:pPr>
      <w:r w:rsidRPr="000C1C7A">
        <w:rPr>
          <w:rFonts w:ascii="Times New Roman" w:hAnsi="Times New Roman"/>
          <w:b/>
          <w:bCs/>
          <w:sz w:val="24"/>
          <w:szCs w:val="24"/>
          <w:lang w:val="fr-FR"/>
        </w:rPr>
        <w:t>Évaluation qualitative</w:t>
      </w:r>
      <w:r w:rsidRPr="000C1C7A">
        <w:rPr>
          <w:rFonts w:ascii="Times New Roman" w:hAnsi="Times New Roman"/>
          <w:bCs/>
          <w:sz w:val="24"/>
          <w:szCs w:val="24"/>
          <w:lang w:val="fr-FR"/>
        </w:rPr>
        <w:t xml:space="preserve">: </w:t>
      </w:r>
    </w:p>
    <w:p w:rsidR="003E2682" w:rsidRPr="000C1C7A" w:rsidRDefault="003E2682" w:rsidP="003E2682">
      <w:pPr>
        <w:pStyle w:val="BodyText"/>
        <w:jc w:val="both"/>
        <w:rPr>
          <w:rFonts w:ascii="Times New Roman" w:hAnsi="Times New Roman"/>
          <w:bCs/>
          <w:sz w:val="24"/>
          <w:szCs w:val="24"/>
          <w:lang w:val="fr-FR"/>
        </w:rPr>
      </w:pPr>
      <w:bookmarkStart w:id="3" w:name="_Toc249364487"/>
    </w:p>
    <w:bookmarkEnd w:id="3"/>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 xml:space="preserve">Les cartes de micro zonage produites vont permettre aux autorités locales d’orienter leur politique d’urbanisme et d’être plus attentifs car les phénomènes de  glissement de terrain, chute de blocs de liquéfaction de sols et les effets de site topographiques  ont été observés sur plusieurs points dans les grandes  villes. Ces informations partielles dont les détails sont contenu dans la Note d’avancement de BRGM nous démontrent que le danger est réel dans les grandes villes du Nord et les autorités devraient prendre des mesures drastiques  Les comportements de la population et surtout des élevés et professeurs ont changé grâce aux ateliers et séminaires de formation que le projet </w:t>
      </w:r>
      <w:r w:rsidR="00A74902">
        <w:rPr>
          <w:rFonts w:ascii="Times New Roman" w:hAnsi="Times New Roman" w:cs="Times New Roman"/>
          <w:sz w:val="24"/>
          <w:szCs w:val="24"/>
          <w:lang w:val="fr-FR"/>
        </w:rPr>
        <w:t xml:space="preserve">a </w:t>
      </w:r>
      <w:r w:rsidRPr="00A51B44">
        <w:rPr>
          <w:rFonts w:ascii="Times New Roman" w:hAnsi="Times New Roman" w:cs="Times New Roman"/>
          <w:sz w:val="24"/>
          <w:szCs w:val="24"/>
          <w:lang w:val="fr-FR"/>
        </w:rPr>
        <w:t xml:space="preserve"> organis</w:t>
      </w:r>
      <w:r w:rsidR="00A74902">
        <w:rPr>
          <w:rFonts w:ascii="Times New Roman" w:hAnsi="Times New Roman" w:cs="Times New Roman"/>
          <w:sz w:val="24"/>
          <w:szCs w:val="24"/>
          <w:lang w:val="fr-FR"/>
        </w:rPr>
        <w:t>é</w:t>
      </w:r>
      <w:r w:rsidRPr="00A51B44">
        <w:rPr>
          <w:rFonts w:ascii="Times New Roman" w:hAnsi="Times New Roman" w:cs="Times New Roman"/>
          <w:sz w:val="24"/>
          <w:szCs w:val="24"/>
          <w:lang w:val="fr-FR"/>
        </w:rPr>
        <w:t>s dans les trois départements</w:t>
      </w:r>
    </w:p>
    <w:p w:rsidR="00CF2129" w:rsidRPr="00A74902" w:rsidRDefault="00CF2129" w:rsidP="00A74902">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Connaissance de degré de vulnérabilité sismique  de la délégation du Nord et de la mairie du Cap</w:t>
      </w:r>
      <w:r w:rsidR="00A74902">
        <w:rPr>
          <w:rFonts w:ascii="Times New Roman" w:hAnsi="Times New Roman" w:cs="Times New Roman"/>
          <w:sz w:val="24"/>
          <w:szCs w:val="24"/>
          <w:lang w:val="fr-FR"/>
        </w:rPr>
        <w:t>-Haïtien</w:t>
      </w:r>
      <w:r w:rsidRPr="00A51B44">
        <w:rPr>
          <w:rFonts w:ascii="Times New Roman" w:hAnsi="Times New Roman" w:cs="Times New Roman"/>
          <w:sz w:val="24"/>
          <w:szCs w:val="24"/>
          <w:lang w:val="fr-FR"/>
        </w:rPr>
        <w:t>, quatre des 7 bâtiments qui composent l’Hôpital Général de Port</w:t>
      </w:r>
      <w:r w:rsidR="00A74902">
        <w:rPr>
          <w:rFonts w:ascii="Times New Roman" w:hAnsi="Times New Roman" w:cs="Times New Roman"/>
          <w:sz w:val="24"/>
          <w:szCs w:val="24"/>
          <w:lang w:val="fr-FR"/>
        </w:rPr>
        <w:t>-</w:t>
      </w:r>
      <w:r w:rsidRPr="00A51B44">
        <w:rPr>
          <w:rFonts w:ascii="Times New Roman" w:hAnsi="Times New Roman" w:cs="Times New Roman"/>
          <w:sz w:val="24"/>
          <w:szCs w:val="24"/>
          <w:lang w:val="fr-FR"/>
        </w:rPr>
        <w:t>de</w:t>
      </w:r>
      <w:r w:rsidR="00A74902">
        <w:rPr>
          <w:rFonts w:ascii="Times New Roman" w:hAnsi="Times New Roman" w:cs="Times New Roman"/>
          <w:sz w:val="24"/>
          <w:szCs w:val="24"/>
          <w:lang w:val="fr-FR"/>
        </w:rPr>
        <w:t>-</w:t>
      </w:r>
      <w:r w:rsidRPr="00A51B44">
        <w:rPr>
          <w:rFonts w:ascii="Times New Roman" w:hAnsi="Times New Roman" w:cs="Times New Roman"/>
          <w:sz w:val="24"/>
          <w:szCs w:val="24"/>
          <w:lang w:val="fr-FR"/>
        </w:rPr>
        <w:t>Paix, Fort-Liberté (Commissariat, Délégation, nouveau bâtiment de la direction départementale de la santé ; une école nationale; et  propositions pour le renforcement</w:t>
      </w:r>
      <w:r w:rsidRPr="00A74902">
        <w:rPr>
          <w:rFonts w:ascii="Times New Roman" w:hAnsi="Times New Roman" w:cs="Times New Roman"/>
          <w:sz w:val="24"/>
          <w:szCs w:val="24"/>
          <w:lang w:val="fr-FR"/>
        </w:rPr>
        <w:t xml:space="preserve">) et Port de Paix (trois bâtiments de l’Hôpital </w:t>
      </w:r>
      <w:r w:rsidR="00A74902">
        <w:rPr>
          <w:rFonts w:ascii="Times New Roman" w:hAnsi="Times New Roman" w:cs="Times New Roman"/>
          <w:sz w:val="24"/>
          <w:szCs w:val="24"/>
          <w:lang w:val="fr-FR"/>
        </w:rPr>
        <w:t>I</w:t>
      </w:r>
      <w:r w:rsidRPr="00A74902">
        <w:rPr>
          <w:rFonts w:ascii="Times New Roman" w:hAnsi="Times New Roman" w:cs="Times New Roman"/>
          <w:sz w:val="24"/>
          <w:szCs w:val="24"/>
          <w:lang w:val="fr-FR"/>
        </w:rPr>
        <w:t>mmaculée).</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Devoir de mémoire  pour le grand public suite aux activités du 07 mai 2013</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eastAsia="Batang" w:hAnsi="Times New Roman" w:cs="Times New Roman"/>
          <w:sz w:val="24"/>
          <w:szCs w:val="24"/>
          <w:lang w:val="fr-FR"/>
        </w:rPr>
        <w:t>Par la réalisation des activités de Vendredis de la Protection Civile pour les jeunes et les grandes journées de formation dans les écoles, on croit qu'on continue à doter les écoliers et la population en général  d'un maximum de connaissance sur la faille sismique qui représente un danger pour tout le grand Nord et les rendre pour ainsi dire plus résilient</w:t>
      </w:r>
      <w:r w:rsidR="00270B3A">
        <w:rPr>
          <w:rFonts w:ascii="Times New Roman" w:eastAsia="Batang" w:hAnsi="Times New Roman" w:cs="Times New Roman"/>
          <w:sz w:val="24"/>
          <w:szCs w:val="24"/>
          <w:lang w:val="fr-FR"/>
        </w:rPr>
        <w:t>s</w:t>
      </w:r>
      <w:r w:rsidRPr="00A51B44">
        <w:rPr>
          <w:rFonts w:ascii="Times New Roman" w:eastAsia="Batang" w:hAnsi="Times New Roman" w:cs="Times New Roman"/>
          <w:sz w:val="24"/>
          <w:szCs w:val="24"/>
          <w:lang w:val="fr-FR"/>
        </w:rPr>
        <w:t xml:space="preserve"> face à la menace</w:t>
      </w:r>
    </w:p>
    <w:p w:rsidR="00CF2129" w:rsidRPr="00A51B44" w:rsidRDefault="00CF2129" w:rsidP="00CF2129">
      <w:pPr>
        <w:pStyle w:val="BodyText2"/>
        <w:ind w:left="360"/>
        <w:rPr>
          <w:rFonts w:ascii="Times New Roman" w:hAnsi="Times New Roman" w:cs="Times New Roman"/>
          <w:sz w:val="24"/>
          <w:szCs w:val="24"/>
          <w:lang w:val="fr-FR"/>
        </w:rPr>
      </w:pPr>
      <w:r w:rsidRPr="00A51B44">
        <w:rPr>
          <w:rFonts w:ascii="Times New Roman" w:hAnsi="Times New Roman" w:cs="Times New Roman"/>
          <w:sz w:val="24"/>
          <w:szCs w:val="24"/>
          <w:lang w:val="fr-FR"/>
        </w:rPr>
        <w:t xml:space="preserve"> </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Un travail de plaidoyer continu a été réalisé, à la fois au niveau national (Ministre de l’Intérieur,) mais aussi au niveau départemental.  Le résultat est une reconnaissance/appropriation importante par les autorités locales et nationales des objectifs du  projet et le rappel quotidien sur les risques naturels  qui  existent  pour le grand nord</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Une prise de conscience par rapport à l’importance du Projet  Plan de Prévention de séismes est observée au niveau de l’administration publique et spécifiquement dans la motivation des élus locaux.</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Les 37 ingénieurs nationaux qui ont été formées en évaluation rapide contribuent aux travaux d’évaluation des infrastructures dans leurs départements respectifs.</w:t>
      </w:r>
    </w:p>
    <w:p w:rsidR="00CF2129" w:rsidRPr="00A51B44" w:rsidRDefault="00CF2129" w:rsidP="00CF2129">
      <w:pPr>
        <w:pStyle w:val="BodyText2"/>
        <w:numPr>
          <w:ilvl w:val="0"/>
          <w:numId w:val="22"/>
        </w:numPr>
        <w:rPr>
          <w:rFonts w:ascii="Times New Roman" w:hAnsi="Times New Roman" w:cs="Times New Roman"/>
          <w:sz w:val="24"/>
          <w:szCs w:val="24"/>
          <w:lang w:val="fr-FR"/>
        </w:rPr>
      </w:pPr>
      <w:r w:rsidRPr="00A51B44">
        <w:rPr>
          <w:rFonts w:ascii="Times New Roman" w:hAnsi="Times New Roman" w:cs="Times New Roman"/>
          <w:sz w:val="24"/>
          <w:szCs w:val="24"/>
          <w:lang w:val="fr-FR"/>
        </w:rPr>
        <w:t>Les essais géotechniques (notamment les CPT, les sondages carottés, les profils sismiques) permettent en quelque sorte de peaufiner les résultats qu’on a déjà eus dans le cadre du micro zonage sismique des villes ciblées par le projet.</w:t>
      </w:r>
    </w:p>
    <w:p w:rsidR="003E2682" w:rsidRPr="00E0416A" w:rsidRDefault="003E2682" w:rsidP="003E2682">
      <w:pPr>
        <w:pStyle w:val="BodyText"/>
        <w:tabs>
          <w:tab w:val="left" w:pos="360"/>
        </w:tabs>
        <w:ind w:left="720"/>
        <w:jc w:val="both"/>
        <w:rPr>
          <w:rFonts w:ascii="Times New Roman" w:hAnsi="Times New Roman"/>
          <w:bCs/>
          <w:sz w:val="24"/>
          <w:lang w:val="fr-FR"/>
        </w:rPr>
        <w:sectPr w:rsidR="003E2682" w:rsidRPr="00E0416A" w:rsidSect="003E2682">
          <w:footerReference w:type="default" r:id="rId16"/>
          <w:footerReference w:type="first" r:id="rId17"/>
          <w:pgSz w:w="12240" w:h="15840" w:code="1"/>
          <w:pgMar w:top="540" w:right="990" w:bottom="851" w:left="806" w:header="720" w:footer="418" w:gutter="0"/>
          <w:cols w:space="720"/>
          <w:docGrid w:linePitch="360"/>
        </w:sectPr>
      </w:pPr>
    </w:p>
    <w:p w:rsidR="003E2682" w:rsidRPr="00E0416A" w:rsidRDefault="004317AD" w:rsidP="003E2682">
      <w:pPr>
        <w:pStyle w:val="BodyText"/>
        <w:tabs>
          <w:tab w:val="left" w:pos="360"/>
        </w:tabs>
        <w:ind w:left="720"/>
        <w:jc w:val="both"/>
        <w:rPr>
          <w:rFonts w:ascii="Times New Roman" w:hAnsi="Times New Roman"/>
          <w:bCs/>
          <w:sz w:val="24"/>
          <w:lang w:val="fr-FR"/>
        </w:rPr>
      </w:pPr>
      <w:r>
        <w:rPr>
          <w:rFonts w:ascii="Times New Roman" w:hAnsi="Times New Roman"/>
          <w:noProof/>
          <w:sz w:val="24"/>
          <w:lang w:val="fr-FR"/>
        </w:rPr>
        <w:lastRenderedPageBreak/>
        <w:pict>
          <v:shapetype id="_x0000_t202" coordsize="21600,21600" o:spt="202" path="m,l,21600r21600,l21600,xe">
            <v:stroke joinstyle="miter"/>
            <v:path gradientshapeok="t" o:connecttype="rect"/>
          </v:shapetype>
          <v:shape id="_x0000_s1030" type="#_x0000_t202" style="position:absolute;left:0;text-align:left;margin-left:-42pt;margin-top:-18pt;width:743.8pt;height:22.95pt;z-index:251655680" fillcolor="#f2f2f2" strokecolor="#d8d8d8">
            <v:textbox style="mso-next-textbox:#_x0000_s1030">
              <w:txbxContent>
                <w:p w:rsidR="00BB3DBD" w:rsidRPr="00E3532D" w:rsidRDefault="00BB3DBD"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w:r>
    </w:p>
    <w:p w:rsidR="003E2682" w:rsidRPr="00E0416A" w:rsidRDefault="003E2682" w:rsidP="003E2682">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205"/>
        <w:gridCol w:w="4140"/>
        <w:gridCol w:w="3510"/>
      </w:tblGrid>
      <w:tr w:rsidR="003E2682" w:rsidRPr="00E0416A" w:rsidTr="006C77AC">
        <w:tc>
          <w:tcPr>
            <w:tcW w:w="4265" w:type="dxa"/>
            <w:tcBorders>
              <w:bottom w:val="single" w:sz="4" w:space="0" w:color="000000"/>
            </w:tcBorders>
            <w:shd w:val="clear" w:color="auto" w:fill="auto"/>
          </w:tcPr>
          <w:p w:rsidR="003E2682" w:rsidRPr="00E0416A" w:rsidRDefault="003E2682" w:rsidP="003E2682">
            <w:pPr>
              <w:pStyle w:val="BodyText"/>
              <w:jc w:val="both"/>
              <w:rPr>
                <w:rFonts w:ascii="Times New Roman" w:hAnsi="Times New Roman"/>
                <w:bCs/>
                <w:sz w:val="24"/>
                <w:lang w:val="fr-FR"/>
              </w:rPr>
            </w:pPr>
          </w:p>
        </w:tc>
        <w:tc>
          <w:tcPr>
            <w:tcW w:w="3205" w:type="dxa"/>
            <w:tcBorders>
              <w:bottom w:val="single" w:sz="4" w:space="0" w:color="000000"/>
            </w:tcBorders>
            <w:shd w:val="clear" w:color="auto" w:fill="auto"/>
          </w:tcPr>
          <w:p w:rsidR="003E2682" w:rsidRPr="00E0416A" w:rsidRDefault="003E2682" w:rsidP="003E2682">
            <w:pPr>
              <w:jc w:val="center"/>
              <w:rPr>
                <w:b/>
                <w:lang w:val="fr-FR"/>
              </w:rPr>
            </w:pPr>
            <w:r w:rsidRPr="00E0416A">
              <w:rPr>
                <w:b/>
                <w:lang w:val="fr-FR"/>
              </w:rPr>
              <w:t>Indicateurs</w:t>
            </w:r>
            <w:r w:rsidRPr="00E0416A">
              <w:rPr>
                <w:b/>
                <w:u w:val="single"/>
                <w:lang w:val="fr-FR"/>
              </w:rPr>
              <w:t xml:space="preserve"> atteints</w:t>
            </w:r>
            <w:r w:rsidRPr="00E0416A">
              <w:rPr>
                <w:b/>
                <w:lang w:val="fr-FR"/>
              </w:rPr>
              <w:t xml:space="preserve"> </w:t>
            </w:r>
          </w:p>
        </w:tc>
        <w:tc>
          <w:tcPr>
            <w:tcW w:w="4140" w:type="dxa"/>
            <w:tcBorders>
              <w:bottom w:val="single" w:sz="4" w:space="0" w:color="000000"/>
            </w:tcBorders>
            <w:shd w:val="clear" w:color="auto" w:fill="auto"/>
          </w:tcPr>
          <w:p w:rsidR="003E2682" w:rsidRPr="00E0416A" w:rsidRDefault="003E2682" w:rsidP="003E2682">
            <w:pPr>
              <w:jc w:val="center"/>
              <w:rPr>
                <w:b/>
                <w:lang w:val="fr-FR"/>
              </w:rPr>
            </w:pPr>
            <w:r w:rsidRPr="00E0416A">
              <w:rPr>
                <w:b/>
                <w:lang w:val="fr-FR"/>
              </w:rPr>
              <w:t>Raisons d’éventuel(s) écart(s)</w:t>
            </w:r>
          </w:p>
        </w:tc>
        <w:tc>
          <w:tcPr>
            <w:tcW w:w="3510" w:type="dxa"/>
            <w:tcBorders>
              <w:bottom w:val="single" w:sz="4" w:space="0" w:color="000000"/>
            </w:tcBorders>
            <w:shd w:val="clear" w:color="auto" w:fill="auto"/>
          </w:tcPr>
          <w:p w:rsidR="003E2682" w:rsidRPr="00E0416A" w:rsidRDefault="003E2682" w:rsidP="003E2682">
            <w:pPr>
              <w:jc w:val="center"/>
              <w:rPr>
                <w:b/>
                <w:lang w:val="fr-FR"/>
              </w:rPr>
            </w:pPr>
            <w:r w:rsidRPr="00E0416A">
              <w:rPr>
                <w:b/>
                <w:lang w:val="fr-FR"/>
              </w:rPr>
              <w:t>Source de vérification</w:t>
            </w:r>
          </w:p>
        </w:tc>
      </w:tr>
      <w:tr w:rsidR="003E2682" w:rsidRPr="00E0416A" w:rsidTr="006C77AC">
        <w:tc>
          <w:tcPr>
            <w:tcW w:w="4265" w:type="dxa"/>
            <w:shd w:val="pct15" w:color="auto" w:fill="auto"/>
          </w:tcPr>
          <w:p w:rsidR="00F554AD" w:rsidRPr="00E0416A" w:rsidRDefault="003E2682" w:rsidP="00F554AD">
            <w:pPr>
              <w:rPr>
                <w:b/>
                <w:lang w:val="fr-FR"/>
              </w:rPr>
            </w:pPr>
            <w:r w:rsidRPr="00E0416A">
              <w:rPr>
                <w:b/>
                <w:lang w:val="fr-FR"/>
              </w:rPr>
              <w:t>Résultat 1</w:t>
            </w:r>
            <w:r w:rsidRPr="00E0416A">
              <w:rPr>
                <w:rStyle w:val="FootnoteReference"/>
                <w:b/>
                <w:lang w:val="fr-FR"/>
              </w:rPr>
              <w:footnoteReference w:id="6"/>
            </w:r>
            <w:r w:rsidR="00F554AD" w:rsidRPr="00E0416A">
              <w:rPr>
                <w:b/>
                <w:lang w:val="fr-FR"/>
              </w:rPr>
              <w:t xml:space="preserve"> R</w:t>
            </w:r>
            <w:r w:rsidR="00F554AD" w:rsidRPr="00E0416A">
              <w:rPr>
                <w:rStyle w:val="hps"/>
                <w:lang w:val="fr-FR"/>
              </w:rPr>
              <w:t>é</w:t>
            </w:r>
            <w:r w:rsidR="00F554AD" w:rsidRPr="00E0416A">
              <w:rPr>
                <w:b/>
                <w:lang w:val="fr-FR"/>
              </w:rPr>
              <w:t>sultat 1</w:t>
            </w:r>
          </w:p>
          <w:p w:rsidR="003E2682" w:rsidRPr="00E0416A" w:rsidRDefault="003E2682" w:rsidP="003E2682">
            <w:pPr>
              <w:rPr>
                <w:b/>
                <w:sz w:val="20"/>
                <w:szCs w:val="20"/>
                <w:lang w:val="fr-FR"/>
              </w:rPr>
            </w:pPr>
            <w:r w:rsidRPr="00E0416A">
              <w:rPr>
                <w:b/>
                <w:sz w:val="20"/>
                <w:szCs w:val="20"/>
                <w:lang w:val="fr-FR"/>
              </w:rPr>
              <w:t>Indicateur:</w:t>
            </w:r>
          </w:p>
          <w:p w:rsidR="003E2682" w:rsidRPr="00E0416A" w:rsidRDefault="003E2682" w:rsidP="003E2682">
            <w:pPr>
              <w:rPr>
                <w:b/>
                <w:sz w:val="20"/>
                <w:szCs w:val="20"/>
                <w:lang w:val="fr-FR"/>
              </w:rPr>
            </w:pPr>
            <w:r w:rsidRPr="00E0416A">
              <w:rPr>
                <w:b/>
                <w:sz w:val="20"/>
                <w:szCs w:val="20"/>
                <w:lang w:val="fr-FR"/>
              </w:rPr>
              <w:t>Indicateur de référence:</w:t>
            </w:r>
          </w:p>
          <w:p w:rsidR="003E2682" w:rsidRPr="00E0416A" w:rsidRDefault="003E2682" w:rsidP="003E2682">
            <w:pPr>
              <w:rPr>
                <w:b/>
                <w:sz w:val="20"/>
                <w:szCs w:val="20"/>
                <w:lang w:val="fr-FR"/>
              </w:rPr>
            </w:pPr>
            <w:r w:rsidRPr="00E0416A">
              <w:rPr>
                <w:b/>
                <w:sz w:val="20"/>
                <w:szCs w:val="20"/>
                <w:lang w:val="fr-FR"/>
              </w:rPr>
              <w:t>Indicateur cible:</w:t>
            </w:r>
          </w:p>
          <w:p w:rsidR="003E2682" w:rsidRPr="00E0416A" w:rsidRDefault="003E2682" w:rsidP="003E2682">
            <w:pPr>
              <w:pStyle w:val="BodyText"/>
              <w:jc w:val="both"/>
              <w:rPr>
                <w:rFonts w:ascii="Times New Roman" w:hAnsi="Times New Roman"/>
                <w:bCs/>
                <w:sz w:val="24"/>
                <w:lang w:val="fr-FR"/>
              </w:rPr>
            </w:pPr>
          </w:p>
        </w:tc>
        <w:tc>
          <w:tcPr>
            <w:tcW w:w="3205" w:type="dxa"/>
            <w:shd w:val="pct15" w:color="auto" w:fill="auto"/>
          </w:tcPr>
          <w:p w:rsidR="003E2682" w:rsidRPr="00E0416A" w:rsidRDefault="003E2682" w:rsidP="003E2682">
            <w:pPr>
              <w:pStyle w:val="BodyText"/>
              <w:jc w:val="both"/>
              <w:rPr>
                <w:rFonts w:ascii="Times New Roman" w:hAnsi="Times New Roman"/>
                <w:bCs/>
                <w:sz w:val="24"/>
                <w:lang w:val="fr-FR"/>
              </w:rPr>
            </w:pPr>
          </w:p>
        </w:tc>
        <w:tc>
          <w:tcPr>
            <w:tcW w:w="4140" w:type="dxa"/>
            <w:shd w:val="pct15" w:color="auto" w:fill="auto"/>
          </w:tcPr>
          <w:p w:rsidR="003E2682" w:rsidRPr="00E0416A" w:rsidRDefault="003E2682" w:rsidP="003E2682">
            <w:pPr>
              <w:pStyle w:val="BodyText"/>
              <w:jc w:val="both"/>
              <w:rPr>
                <w:rFonts w:ascii="Times New Roman" w:hAnsi="Times New Roman"/>
                <w:bCs/>
                <w:sz w:val="24"/>
                <w:lang w:val="fr-FR"/>
              </w:rPr>
            </w:pPr>
          </w:p>
        </w:tc>
        <w:tc>
          <w:tcPr>
            <w:tcW w:w="3510" w:type="dxa"/>
            <w:shd w:val="pct15" w:color="auto" w:fill="auto"/>
          </w:tcPr>
          <w:p w:rsidR="003E2682" w:rsidRPr="00E0416A" w:rsidRDefault="003E2682" w:rsidP="003E2682">
            <w:pPr>
              <w:pStyle w:val="BodyText"/>
              <w:jc w:val="both"/>
              <w:rPr>
                <w:rFonts w:ascii="Times New Roman" w:hAnsi="Times New Roman"/>
                <w:bCs/>
                <w:sz w:val="24"/>
                <w:lang w:val="fr-FR"/>
              </w:rPr>
            </w:pPr>
          </w:p>
        </w:tc>
      </w:tr>
      <w:tr w:rsidR="003E2682" w:rsidRPr="00E0416A" w:rsidTr="006C77AC">
        <w:trPr>
          <w:trHeight w:val="1470"/>
        </w:trPr>
        <w:tc>
          <w:tcPr>
            <w:tcW w:w="4265" w:type="dxa"/>
            <w:vMerge w:val="restart"/>
            <w:shd w:val="clear" w:color="auto" w:fill="auto"/>
          </w:tcPr>
          <w:p w:rsidR="00F554AD" w:rsidRPr="00E0416A" w:rsidRDefault="003E2682" w:rsidP="00F554AD">
            <w:pPr>
              <w:rPr>
                <w:color w:val="000000"/>
                <w:lang w:val="fr-FR"/>
              </w:rPr>
            </w:pPr>
            <w:r w:rsidRPr="00E0416A">
              <w:rPr>
                <w:b/>
                <w:lang w:val="fr-FR"/>
              </w:rPr>
              <w:t>Produit 1.1</w:t>
            </w:r>
            <w:r w:rsidR="00F554AD" w:rsidRPr="00E0416A">
              <w:rPr>
                <w:b/>
                <w:lang w:val="fr-FR"/>
              </w:rPr>
              <w:t xml:space="preserve"> </w:t>
            </w:r>
            <w:r w:rsidR="00F554AD" w:rsidRPr="00E0416A">
              <w:rPr>
                <w:color w:val="000000"/>
                <w:lang w:val="fr-FR"/>
              </w:rPr>
              <w:t>Une concertation et un diagnostic sont engagés avec l’ensemble des acteurs locaux.</w:t>
            </w:r>
          </w:p>
          <w:p w:rsidR="00F554AD" w:rsidRPr="00E0416A" w:rsidRDefault="00F554AD" w:rsidP="00F554AD">
            <w:pPr>
              <w:rPr>
                <w:b/>
                <w:lang w:val="fr-FR"/>
              </w:rPr>
            </w:pPr>
          </w:p>
          <w:p w:rsidR="003E2682" w:rsidRPr="00E0416A" w:rsidRDefault="003E2682" w:rsidP="003E2682">
            <w:pPr>
              <w:rPr>
                <w:b/>
                <w:lang w:val="fr-FR"/>
              </w:rPr>
            </w:pPr>
          </w:p>
          <w:p w:rsidR="003E2682" w:rsidRPr="00E0416A" w:rsidRDefault="003E2682" w:rsidP="003E2682">
            <w:pPr>
              <w:rPr>
                <w:b/>
                <w:sz w:val="20"/>
                <w:szCs w:val="20"/>
                <w:lang w:val="fr-FR"/>
              </w:rPr>
            </w:pPr>
            <w:r w:rsidRPr="00E0416A">
              <w:rPr>
                <w:b/>
                <w:sz w:val="20"/>
                <w:szCs w:val="20"/>
                <w:lang w:val="fr-FR"/>
              </w:rPr>
              <w:t>Indicateur  1.1.1</w:t>
            </w:r>
          </w:p>
          <w:p w:rsidR="00F554AD" w:rsidRPr="00E0416A" w:rsidRDefault="003E2682" w:rsidP="00F554AD">
            <w:pPr>
              <w:rPr>
                <w:b/>
                <w:lang w:val="fr-FR"/>
              </w:rPr>
            </w:pPr>
            <w:r w:rsidRPr="00E0416A">
              <w:rPr>
                <w:b/>
                <w:sz w:val="20"/>
                <w:szCs w:val="20"/>
                <w:lang w:val="fr-FR"/>
              </w:rPr>
              <w:t>Indicateur de référence:</w:t>
            </w:r>
            <w:r w:rsidR="00F554AD" w:rsidRPr="00E0416A">
              <w:rPr>
                <w:color w:val="000000"/>
                <w:lang w:val="fr-FR"/>
              </w:rPr>
              <w:t xml:space="preserve"> 4 comités de conseil</w:t>
            </w:r>
            <w:r w:rsidR="00270B3A">
              <w:rPr>
                <w:color w:val="000000"/>
                <w:lang w:val="fr-FR"/>
              </w:rPr>
              <w:t>s</w:t>
            </w:r>
            <w:r w:rsidR="00F554AD" w:rsidRPr="00E0416A">
              <w:rPr>
                <w:color w:val="000000"/>
                <w:lang w:val="fr-FR"/>
              </w:rPr>
              <w:t xml:space="preserve"> au niveau local et un au niveau central</w:t>
            </w:r>
          </w:p>
          <w:p w:rsidR="003E2682" w:rsidRPr="00E0416A" w:rsidRDefault="003E2682" w:rsidP="003E2682">
            <w:pPr>
              <w:rPr>
                <w:b/>
                <w:sz w:val="20"/>
                <w:szCs w:val="20"/>
                <w:lang w:val="fr-FR"/>
              </w:rPr>
            </w:pPr>
          </w:p>
          <w:p w:rsidR="003E2682" w:rsidRPr="00E0416A" w:rsidRDefault="003E2682" w:rsidP="003E2682">
            <w:pPr>
              <w:rPr>
                <w:b/>
                <w:sz w:val="20"/>
                <w:szCs w:val="20"/>
                <w:lang w:val="fr-FR"/>
              </w:rPr>
            </w:pPr>
            <w:r w:rsidRPr="00E0416A">
              <w:rPr>
                <w:b/>
                <w:sz w:val="20"/>
                <w:szCs w:val="20"/>
                <w:lang w:val="fr-FR"/>
              </w:rPr>
              <w:t>Indicateur cible:</w:t>
            </w:r>
            <w:r w:rsidR="00F554AD" w:rsidRPr="00E0416A">
              <w:rPr>
                <w:b/>
                <w:sz w:val="20"/>
                <w:szCs w:val="20"/>
                <w:lang w:val="fr-FR"/>
              </w:rPr>
              <w:t xml:space="preserve"> les 4 comités de pilotage locaux et comité national opérationnel</w:t>
            </w:r>
          </w:p>
          <w:p w:rsidR="003E2682" w:rsidRPr="00E0416A" w:rsidRDefault="003E2682" w:rsidP="00F554AD">
            <w:pPr>
              <w:pStyle w:val="BodyText"/>
              <w:jc w:val="both"/>
              <w:rPr>
                <w:rFonts w:ascii="Times New Roman" w:hAnsi="Times New Roman"/>
                <w:bCs/>
                <w:sz w:val="24"/>
                <w:lang w:val="fr-FR"/>
              </w:rPr>
            </w:pPr>
          </w:p>
        </w:tc>
        <w:tc>
          <w:tcPr>
            <w:tcW w:w="3205" w:type="dxa"/>
            <w:shd w:val="clear" w:color="auto" w:fill="auto"/>
          </w:tcPr>
          <w:p w:rsidR="003E2682" w:rsidRPr="00E0416A" w:rsidRDefault="00F554AD" w:rsidP="003E2682">
            <w:pPr>
              <w:pStyle w:val="BodyText"/>
              <w:jc w:val="both"/>
              <w:rPr>
                <w:rFonts w:ascii="Times New Roman" w:hAnsi="Times New Roman"/>
                <w:bCs/>
                <w:sz w:val="24"/>
                <w:lang w:val="fr-FR"/>
              </w:rPr>
            </w:pPr>
            <w:r w:rsidRPr="00E0416A">
              <w:rPr>
                <w:rFonts w:ascii="Times New Roman" w:hAnsi="Times New Roman"/>
                <w:bCs/>
                <w:sz w:val="24"/>
                <w:lang w:val="fr-FR"/>
              </w:rPr>
              <w:t>Tous</w:t>
            </w:r>
          </w:p>
        </w:tc>
        <w:tc>
          <w:tcPr>
            <w:tcW w:w="4140" w:type="dxa"/>
            <w:shd w:val="clear" w:color="auto" w:fill="auto"/>
          </w:tcPr>
          <w:p w:rsidR="003E2682" w:rsidRPr="00E0416A" w:rsidRDefault="003E2682" w:rsidP="003E2682">
            <w:pPr>
              <w:pStyle w:val="BodyText"/>
              <w:jc w:val="both"/>
              <w:rPr>
                <w:rFonts w:ascii="Times New Roman" w:hAnsi="Times New Roman"/>
                <w:bCs/>
                <w:sz w:val="24"/>
                <w:lang w:val="fr-FR"/>
              </w:rPr>
            </w:pPr>
          </w:p>
        </w:tc>
        <w:tc>
          <w:tcPr>
            <w:tcW w:w="3510" w:type="dxa"/>
            <w:shd w:val="clear" w:color="auto" w:fill="auto"/>
          </w:tcPr>
          <w:p w:rsidR="003E2682" w:rsidRPr="00E0416A" w:rsidRDefault="00F554AD" w:rsidP="003E2682">
            <w:pPr>
              <w:pStyle w:val="BodyText"/>
              <w:jc w:val="both"/>
              <w:rPr>
                <w:rFonts w:ascii="Times New Roman" w:hAnsi="Times New Roman"/>
                <w:bCs/>
                <w:sz w:val="24"/>
                <w:lang w:val="fr-FR"/>
              </w:rPr>
            </w:pPr>
            <w:r w:rsidRPr="00E0416A">
              <w:rPr>
                <w:rFonts w:ascii="Times New Roman" w:hAnsi="Times New Roman"/>
                <w:bCs/>
                <w:sz w:val="24"/>
                <w:lang w:val="fr-FR"/>
              </w:rPr>
              <w:t>Rapports de comités</w:t>
            </w:r>
          </w:p>
        </w:tc>
      </w:tr>
      <w:tr w:rsidR="003E2682" w:rsidRPr="00E0416A" w:rsidTr="006C77AC">
        <w:tc>
          <w:tcPr>
            <w:tcW w:w="4265" w:type="dxa"/>
            <w:vMerge/>
            <w:shd w:val="clear" w:color="auto" w:fill="auto"/>
          </w:tcPr>
          <w:p w:rsidR="003E2682" w:rsidRPr="00E0416A" w:rsidRDefault="003E2682" w:rsidP="003E2682">
            <w:pPr>
              <w:pStyle w:val="BodyText"/>
              <w:jc w:val="both"/>
              <w:rPr>
                <w:rFonts w:ascii="Times New Roman" w:hAnsi="Times New Roman"/>
                <w:bCs/>
                <w:sz w:val="24"/>
                <w:lang w:val="fr-FR"/>
              </w:rPr>
            </w:pPr>
          </w:p>
        </w:tc>
        <w:tc>
          <w:tcPr>
            <w:tcW w:w="3205" w:type="dxa"/>
            <w:shd w:val="clear" w:color="auto" w:fill="auto"/>
          </w:tcPr>
          <w:p w:rsidR="003E2682" w:rsidRPr="00E0416A" w:rsidRDefault="003E2682" w:rsidP="003E2682">
            <w:pPr>
              <w:pStyle w:val="BodyText"/>
              <w:jc w:val="both"/>
              <w:rPr>
                <w:rFonts w:ascii="Times New Roman" w:hAnsi="Times New Roman"/>
                <w:bCs/>
                <w:sz w:val="24"/>
                <w:lang w:val="fr-FR"/>
              </w:rPr>
            </w:pPr>
          </w:p>
        </w:tc>
        <w:tc>
          <w:tcPr>
            <w:tcW w:w="4140" w:type="dxa"/>
            <w:shd w:val="clear" w:color="auto" w:fill="auto"/>
          </w:tcPr>
          <w:p w:rsidR="003E2682" w:rsidRPr="00E0416A" w:rsidRDefault="003E2682" w:rsidP="003E2682">
            <w:pPr>
              <w:pStyle w:val="BodyText"/>
              <w:jc w:val="both"/>
              <w:rPr>
                <w:rFonts w:ascii="Times New Roman" w:hAnsi="Times New Roman"/>
                <w:bCs/>
                <w:sz w:val="24"/>
                <w:lang w:val="fr-FR"/>
              </w:rPr>
            </w:pPr>
          </w:p>
        </w:tc>
        <w:tc>
          <w:tcPr>
            <w:tcW w:w="3510" w:type="dxa"/>
            <w:shd w:val="clear" w:color="auto" w:fill="auto"/>
          </w:tcPr>
          <w:p w:rsidR="003E2682" w:rsidRPr="00E0416A" w:rsidRDefault="003E2682" w:rsidP="003E2682">
            <w:pPr>
              <w:pStyle w:val="BodyText"/>
              <w:jc w:val="both"/>
              <w:rPr>
                <w:rFonts w:ascii="Times New Roman" w:hAnsi="Times New Roman"/>
                <w:bCs/>
                <w:sz w:val="24"/>
                <w:lang w:val="fr-FR"/>
              </w:rPr>
            </w:pPr>
          </w:p>
        </w:tc>
      </w:tr>
      <w:tr w:rsidR="003E2682" w:rsidRPr="00DF6E05" w:rsidTr="006C77AC">
        <w:trPr>
          <w:trHeight w:val="2028"/>
        </w:trPr>
        <w:tc>
          <w:tcPr>
            <w:tcW w:w="4265" w:type="dxa"/>
            <w:vMerge w:val="restart"/>
            <w:shd w:val="clear" w:color="auto" w:fill="auto"/>
          </w:tcPr>
          <w:p w:rsidR="003E2682" w:rsidRPr="00E0416A" w:rsidRDefault="003E2682" w:rsidP="003E2682">
            <w:pPr>
              <w:rPr>
                <w:lang w:val="fr-FR"/>
              </w:rPr>
            </w:pPr>
            <w:r w:rsidRPr="00E0416A">
              <w:rPr>
                <w:b/>
                <w:lang w:val="fr-FR"/>
              </w:rPr>
              <w:t>Produit 1.2</w:t>
            </w:r>
            <w:r w:rsidRPr="00E0416A">
              <w:rPr>
                <w:lang w:val="fr-FR"/>
              </w:rPr>
              <w:t xml:space="preserve"> </w:t>
            </w:r>
            <w:r w:rsidR="00F554AD" w:rsidRPr="00E0416A">
              <w:rPr>
                <w:lang w:val="fr-FR"/>
              </w:rPr>
              <w:t>Le risque sismique est quantifié par l’évaluation des sols et la classification du bâti des infrastructures</w:t>
            </w:r>
          </w:p>
          <w:p w:rsidR="003E2682" w:rsidRPr="00E0416A" w:rsidRDefault="003E2682" w:rsidP="003E2682">
            <w:pPr>
              <w:rPr>
                <w:b/>
                <w:sz w:val="20"/>
                <w:szCs w:val="20"/>
                <w:lang w:val="fr-FR"/>
              </w:rPr>
            </w:pPr>
            <w:r w:rsidRPr="00E0416A">
              <w:rPr>
                <w:b/>
                <w:sz w:val="20"/>
                <w:szCs w:val="20"/>
                <w:lang w:val="fr-FR"/>
              </w:rPr>
              <w:t>Indicateur  1.2.1</w:t>
            </w:r>
          </w:p>
          <w:p w:rsidR="003E2682" w:rsidRPr="00E0416A" w:rsidRDefault="003E2682" w:rsidP="003E2682">
            <w:pPr>
              <w:rPr>
                <w:b/>
                <w:sz w:val="20"/>
                <w:szCs w:val="20"/>
                <w:lang w:val="fr-FR"/>
              </w:rPr>
            </w:pPr>
            <w:r w:rsidRPr="00E0416A">
              <w:rPr>
                <w:b/>
                <w:sz w:val="20"/>
                <w:szCs w:val="20"/>
                <w:lang w:val="fr-FR"/>
              </w:rPr>
              <w:t>Indicateur de référence:</w:t>
            </w:r>
            <w:r w:rsidR="00F554AD" w:rsidRPr="00E0416A">
              <w:rPr>
                <w:b/>
                <w:sz w:val="20"/>
                <w:szCs w:val="20"/>
                <w:lang w:val="fr-FR"/>
              </w:rPr>
              <w:t xml:space="preserve"> Cartographie sismique</w:t>
            </w:r>
          </w:p>
          <w:p w:rsidR="003E2682" w:rsidRPr="00E0416A" w:rsidRDefault="003E2682" w:rsidP="003E2682">
            <w:pPr>
              <w:rPr>
                <w:b/>
                <w:sz w:val="20"/>
                <w:szCs w:val="20"/>
                <w:lang w:val="fr-FR"/>
              </w:rPr>
            </w:pPr>
            <w:r w:rsidRPr="00E0416A">
              <w:rPr>
                <w:b/>
                <w:sz w:val="20"/>
                <w:szCs w:val="20"/>
                <w:lang w:val="fr-FR"/>
              </w:rPr>
              <w:t>Indicateur cible:</w:t>
            </w:r>
            <w:r w:rsidR="00F554AD" w:rsidRPr="00E0416A">
              <w:rPr>
                <w:b/>
                <w:sz w:val="20"/>
                <w:szCs w:val="20"/>
                <w:lang w:val="fr-FR"/>
              </w:rPr>
              <w:t xml:space="preserve"> Cartes des facies lithologiques et des failles, cartes des zones de réponses sismiques</w:t>
            </w:r>
          </w:p>
          <w:p w:rsidR="00F554AD" w:rsidRPr="00E0416A" w:rsidRDefault="00F554AD" w:rsidP="003E2682">
            <w:pPr>
              <w:rPr>
                <w:b/>
                <w:sz w:val="20"/>
                <w:szCs w:val="20"/>
                <w:lang w:val="fr-FR"/>
              </w:rPr>
            </w:pPr>
          </w:p>
          <w:p w:rsidR="003E2682" w:rsidRPr="00E0416A" w:rsidRDefault="003E2682" w:rsidP="003E2682">
            <w:pPr>
              <w:rPr>
                <w:b/>
                <w:sz w:val="20"/>
                <w:szCs w:val="20"/>
                <w:lang w:val="fr-FR"/>
              </w:rPr>
            </w:pPr>
            <w:r w:rsidRPr="00E0416A">
              <w:rPr>
                <w:b/>
                <w:sz w:val="20"/>
                <w:szCs w:val="20"/>
                <w:lang w:val="fr-FR"/>
              </w:rPr>
              <w:t>Indicateur 1.2.2</w:t>
            </w:r>
          </w:p>
          <w:p w:rsidR="003E2682" w:rsidRPr="00E0416A" w:rsidRDefault="003E2682" w:rsidP="003E2682">
            <w:pPr>
              <w:rPr>
                <w:b/>
                <w:sz w:val="20"/>
                <w:szCs w:val="20"/>
                <w:lang w:val="fr-FR"/>
              </w:rPr>
            </w:pPr>
            <w:r w:rsidRPr="00E0416A">
              <w:rPr>
                <w:b/>
                <w:sz w:val="20"/>
                <w:szCs w:val="20"/>
                <w:lang w:val="fr-FR"/>
              </w:rPr>
              <w:t>Indicateur de référence:</w:t>
            </w:r>
            <w:r w:rsidR="00F554AD" w:rsidRPr="00E0416A">
              <w:rPr>
                <w:b/>
                <w:sz w:val="20"/>
                <w:szCs w:val="20"/>
                <w:lang w:val="fr-FR"/>
              </w:rPr>
              <w:t xml:space="preserve"> Les mesures g</w:t>
            </w:r>
            <w:r w:rsidR="00270B3A">
              <w:rPr>
                <w:b/>
                <w:sz w:val="20"/>
                <w:szCs w:val="20"/>
                <w:lang w:val="fr-FR"/>
              </w:rPr>
              <w:t>é</w:t>
            </w:r>
            <w:r w:rsidR="00F554AD" w:rsidRPr="00E0416A">
              <w:rPr>
                <w:b/>
                <w:sz w:val="20"/>
                <w:szCs w:val="20"/>
                <w:lang w:val="fr-FR"/>
              </w:rPr>
              <w:t xml:space="preserve">ophysiques et géotechniques pour le </w:t>
            </w:r>
            <w:r w:rsidR="00270B3A">
              <w:rPr>
                <w:b/>
                <w:sz w:val="20"/>
                <w:szCs w:val="20"/>
                <w:lang w:val="fr-FR"/>
              </w:rPr>
              <w:t>C</w:t>
            </w:r>
            <w:r w:rsidR="00F554AD" w:rsidRPr="00E0416A">
              <w:rPr>
                <w:b/>
                <w:sz w:val="20"/>
                <w:szCs w:val="20"/>
                <w:lang w:val="fr-FR"/>
              </w:rPr>
              <w:t xml:space="preserve">ap </w:t>
            </w:r>
            <w:r w:rsidR="00270B3A">
              <w:rPr>
                <w:b/>
                <w:sz w:val="20"/>
                <w:szCs w:val="20"/>
                <w:lang w:val="fr-FR"/>
              </w:rPr>
              <w:t>-</w:t>
            </w:r>
            <w:r w:rsidR="00F554AD" w:rsidRPr="00E0416A">
              <w:rPr>
                <w:b/>
                <w:sz w:val="20"/>
                <w:szCs w:val="20"/>
                <w:lang w:val="fr-FR"/>
              </w:rPr>
              <w:t xml:space="preserve">Haïtien, </w:t>
            </w:r>
            <w:proofErr w:type="spellStart"/>
            <w:r w:rsidR="00F554AD" w:rsidRPr="00E0416A">
              <w:rPr>
                <w:b/>
                <w:sz w:val="20"/>
                <w:szCs w:val="20"/>
                <w:lang w:val="fr-FR"/>
              </w:rPr>
              <w:t>Ouanaminthe</w:t>
            </w:r>
            <w:proofErr w:type="spellEnd"/>
            <w:r w:rsidR="00F554AD" w:rsidRPr="00E0416A">
              <w:rPr>
                <w:b/>
                <w:sz w:val="20"/>
                <w:szCs w:val="20"/>
                <w:lang w:val="fr-FR"/>
              </w:rPr>
              <w:t xml:space="preserve"> et Fort</w:t>
            </w:r>
            <w:r w:rsidR="00270B3A">
              <w:rPr>
                <w:b/>
                <w:sz w:val="20"/>
                <w:szCs w:val="20"/>
                <w:lang w:val="fr-FR"/>
              </w:rPr>
              <w:t>-</w:t>
            </w:r>
            <w:r w:rsidR="00F554AD" w:rsidRPr="00E0416A">
              <w:rPr>
                <w:b/>
                <w:sz w:val="20"/>
                <w:szCs w:val="20"/>
                <w:lang w:val="fr-FR"/>
              </w:rPr>
              <w:t>Liberté</w:t>
            </w:r>
          </w:p>
          <w:p w:rsidR="003E2682" w:rsidRPr="00E0416A" w:rsidRDefault="003E2682" w:rsidP="003E2682">
            <w:pPr>
              <w:rPr>
                <w:b/>
                <w:sz w:val="20"/>
                <w:szCs w:val="20"/>
                <w:lang w:val="fr-FR"/>
              </w:rPr>
            </w:pPr>
            <w:r w:rsidRPr="00E0416A">
              <w:rPr>
                <w:b/>
                <w:sz w:val="20"/>
                <w:szCs w:val="20"/>
                <w:lang w:val="fr-FR"/>
              </w:rPr>
              <w:t>Indicateur cible:</w:t>
            </w:r>
            <w:r w:rsidR="00F554AD" w:rsidRPr="00E0416A">
              <w:rPr>
                <w:b/>
                <w:sz w:val="20"/>
                <w:szCs w:val="20"/>
                <w:lang w:val="fr-FR"/>
              </w:rPr>
              <w:t xml:space="preserve"> sondages carottés, les mesures MASW et le CPT</w:t>
            </w:r>
          </w:p>
          <w:p w:rsidR="003E2682" w:rsidRPr="00E0416A" w:rsidRDefault="00F42521" w:rsidP="003E2682">
            <w:pPr>
              <w:pStyle w:val="BodyText"/>
              <w:jc w:val="both"/>
              <w:rPr>
                <w:rFonts w:ascii="Times New Roman" w:hAnsi="Times New Roman"/>
                <w:b/>
                <w:bCs/>
                <w:sz w:val="24"/>
                <w:lang w:val="fr-FR"/>
              </w:rPr>
            </w:pPr>
            <w:r w:rsidRPr="00E0416A">
              <w:rPr>
                <w:rFonts w:ascii="Times New Roman" w:hAnsi="Times New Roman"/>
                <w:b/>
                <w:bCs/>
                <w:sz w:val="24"/>
                <w:lang w:val="fr-FR"/>
              </w:rPr>
              <w:t xml:space="preserve">Indicateur 1.2.3 </w:t>
            </w:r>
          </w:p>
          <w:p w:rsidR="00F42521" w:rsidRPr="00E0416A" w:rsidRDefault="00F42521" w:rsidP="003E2682">
            <w:pPr>
              <w:pStyle w:val="BodyText"/>
              <w:jc w:val="both"/>
              <w:rPr>
                <w:rFonts w:ascii="Times New Roman" w:hAnsi="Times New Roman"/>
                <w:bCs/>
                <w:sz w:val="24"/>
                <w:lang w:val="fr-FR"/>
              </w:rPr>
            </w:pPr>
            <w:r w:rsidRPr="00E0416A">
              <w:rPr>
                <w:rFonts w:ascii="Times New Roman" w:hAnsi="Times New Roman"/>
                <w:b/>
                <w:bCs/>
                <w:sz w:val="24"/>
                <w:lang w:val="fr-FR"/>
              </w:rPr>
              <w:lastRenderedPageBreak/>
              <w:t xml:space="preserve">Indicateur de référence : </w:t>
            </w:r>
            <w:r w:rsidRPr="00E0416A">
              <w:rPr>
                <w:rFonts w:ascii="Times New Roman" w:hAnsi="Times New Roman"/>
                <w:bCs/>
                <w:sz w:val="24"/>
                <w:lang w:val="fr-FR"/>
              </w:rPr>
              <w:t>50% du bâti des 4 grandes villes est évalué</w:t>
            </w:r>
          </w:p>
          <w:p w:rsidR="00F42521" w:rsidRPr="00E0416A" w:rsidRDefault="00F42521" w:rsidP="003E2682">
            <w:pPr>
              <w:pStyle w:val="BodyText"/>
              <w:jc w:val="both"/>
              <w:rPr>
                <w:rFonts w:ascii="Times New Roman" w:hAnsi="Times New Roman"/>
                <w:bCs/>
                <w:sz w:val="24"/>
                <w:lang w:val="fr-FR"/>
              </w:rPr>
            </w:pPr>
            <w:r w:rsidRPr="00E0416A">
              <w:rPr>
                <w:rFonts w:ascii="Times New Roman" w:hAnsi="Times New Roman"/>
                <w:b/>
                <w:bCs/>
                <w:sz w:val="24"/>
                <w:lang w:val="fr-FR"/>
              </w:rPr>
              <w:t xml:space="preserve">Indicateur Cible : </w:t>
            </w:r>
            <w:r w:rsidRPr="00E0416A">
              <w:rPr>
                <w:rFonts w:ascii="Times New Roman" w:hAnsi="Times New Roman"/>
                <w:bCs/>
                <w:sz w:val="24"/>
                <w:lang w:val="fr-FR"/>
              </w:rPr>
              <w:t xml:space="preserve">Les </w:t>
            </w:r>
            <w:proofErr w:type="spellStart"/>
            <w:r w:rsidRPr="00E0416A">
              <w:rPr>
                <w:rFonts w:ascii="Times New Roman" w:hAnsi="Times New Roman"/>
                <w:bCs/>
                <w:sz w:val="24"/>
                <w:lang w:val="fr-FR"/>
              </w:rPr>
              <w:t>batiments</w:t>
            </w:r>
            <w:proofErr w:type="spellEnd"/>
            <w:r w:rsidRPr="00E0416A">
              <w:rPr>
                <w:rFonts w:ascii="Times New Roman" w:hAnsi="Times New Roman"/>
                <w:bCs/>
                <w:sz w:val="24"/>
                <w:lang w:val="fr-FR"/>
              </w:rPr>
              <w:t xml:space="preserve"> et infrastructures évalués</w:t>
            </w:r>
          </w:p>
          <w:p w:rsidR="003E2682" w:rsidRPr="00E0416A" w:rsidRDefault="003E2682" w:rsidP="003E2682">
            <w:pPr>
              <w:pStyle w:val="BodyText"/>
              <w:jc w:val="both"/>
              <w:rPr>
                <w:rFonts w:ascii="Times New Roman" w:hAnsi="Times New Roman"/>
                <w:bCs/>
                <w:sz w:val="24"/>
                <w:lang w:val="fr-FR"/>
              </w:rPr>
            </w:pPr>
          </w:p>
          <w:p w:rsidR="003E2682" w:rsidRPr="00E0416A" w:rsidRDefault="003E2682" w:rsidP="003E2682">
            <w:pPr>
              <w:pStyle w:val="BodyText"/>
              <w:jc w:val="both"/>
              <w:rPr>
                <w:rFonts w:ascii="Times New Roman" w:hAnsi="Times New Roman"/>
                <w:bCs/>
                <w:sz w:val="24"/>
                <w:lang w:val="fr-FR"/>
              </w:rPr>
            </w:pPr>
          </w:p>
        </w:tc>
        <w:tc>
          <w:tcPr>
            <w:tcW w:w="3205" w:type="dxa"/>
            <w:shd w:val="clear" w:color="auto" w:fill="auto"/>
          </w:tcPr>
          <w:p w:rsidR="003E2682" w:rsidRPr="00E0416A" w:rsidRDefault="00F554AD" w:rsidP="003E2682">
            <w:pPr>
              <w:pStyle w:val="BodyText"/>
              <w:jc w:val="both"/>
              <w:rPr>
                <w:rFonts w:ascii="Times New Roman" w:hAnsi="Times New Roman"/>
                <w:bCs/>
                <w:sz w:val="24"/>
                <w:lang w:val="fr-FR"/>
              </w:rPr>
            </w:pPr>
            <w:r w:rsidRPr="00E0416A">
              <w:rPr>
                <w:rFonts w:ascii="Times New Roman" w:hAnsi="Times New Roman"/>
                <w:bCs/>
                <w:sz w:val="24"/>
                <w:lang w:val="fr-FR"/>
              </w:rPr>
              <w:lastRenderedPageBreak/>
              <w:t>Cartographie partielle des facies lithologiques et cartes de zonage des effets de sites topographiques pour le Cap</w:t>
            </w:r>
            <w:r w:rsidR="00270B3A">
              <w:rPr>
                <w:rFonts w:ascii="Times New Roman" w:hAnsi="Times New Roman"/>
                <w:bCs/>
                <w:sz w:val="24"/>
                <w:lang w:val="fr-FR"/>
              </w:rPr>
              <w:t>-</w:t>
            </w:r>
            <w:r w:rsidRPr="00E0416A">
              <w:rPr>
                <w:rFonts w:ascii="Times New Roman" w:hAnsi="Times New Roman"/>
                <w:bCs/>
                <w:sz w:val="24"/>
                <w:lang w:val="fr-FR"/>
              </w:rPr>
              <w:t>Haïtien</w:t>
            </w:r>
          </w:p>
        </w:tc>
        <w:tc>
          <w:tcPr>
            <w:tcW w:w="4140" w:type="dxa"/>
            <w:shd w:val="clear" w:color="auto" w:fill="auto"/>
          </w:tcPr>
          <w:p w:rsidR="003E2682" w:rsidRPr="00E0416A" w:rsidRDefault="00F554AD" w:rsidP="003E2682">
            <w:pPr>
              <w:pStyle w:val="BodyText"/>
              <w:jc w:val="both"/>
              <w:rPr>
                <w:rFonts w:ascii="Times New Roman" w:hAnsi="Times New Roman"/>
                <w:bCs/>
                <w:sz w:val="24"/>
                <w:lang w:val="fr-FR"/>
              </w:rPr>
            </w:pPr>
            <w:r w:rsidRPr="00E0416A">
              <w:rPr>
                <w:rFonts w:ascii="Times New Roman" w:hAnsi="Times New Roman"/>
                <w:bCs/>
                <w:sz w:val="24"/>
                <w:lang w:val="fr-FR"/>
              </w:rPr>
              <w:t xml:space="preserve"> Les études sont en cours et vont être complétées en Avril 2014</w:t>
            </w:r>
          </w:p>
        </w:tc>
        <w:tc>
          <w:tcPr>
            <w:tcW w:w="3510" w:type="dxa"/>
            <w:shd w:val="clear" w:color="auto" w:fill="auto"/>
          </w:tcPr>
          <w:p w:rsidR="003E2682" w:rsidRPr="00E0416A" w:rsidRDefault="003E2682" w:rsidP="003E2682">
            <w:pPr>
              <w:pStyle w:val="BodyText"/>
              <w:jc w:val="both"/>
              <w:rPr>
                <w:rFonts w:ascii="Times New Roman" w:hAnsi="Times New Roman"/>
                <w:bCs/>
                <w:sz w:val="24"/>
                <w:lang w:val="fr-FR"/>
              </w:rPr>
            </w:pPr>
          </w:p>
          <w:p w:rsidR="00F554AD" w:rsidRPr="00E0416A" w:rsidRDefault="00F554AD" w:rsidP="003E2682">
            <w:pPr>
              <w:pStyle w:val="BodyText"/>
              <w:jc w:val="both"/>
              <w:rPr>
                <w:rFonts w:ascii="Times New Roman" w:hAnsi="Times New Roman"/>
                <w:bCs/>
                <w:sz w:val="24"/>
                <w:lang w:val="fr-FR"/>
              </w:rPr>
            </w:pPr>
            <w:r w:rsidRPr="00E0416A">
              <w:rPr>
                <w:rFonts w:ascii="Times New Roman" w:hAnsi="Times New Roman"/>
                <w:bCs/>
                <w:sz w:val="24"/>
                <w:lang w:val="fr-FR"/>
              </w:rPr>
              <w:t>Rapport d’avancement en annexe du 14/03/14 et le rapport de la réunion de pilotage</w:t>
            </w:r>
          </w:p>
        </w:tc>
      </w:tr>
      <w:tr w:rsidR="003E2682" w:rsidRPr="00E0416A" w:rsidTr="006C77AC">
        <w:tc>
          <w:tcPr>
            <w:tcW w:w="4265" w:type="dxa"/>
            <w:vMerge/>
            <w:shd w:val="clear" w:color="auto" w:fill="auto"/>
          </w:tcPr>
          <w:p w:rsidR="003E2682" w:rsidRPr="00E0416A" w:rsidRDefault="003E2682" w:rsidP="003E2682">
            <w:pPr>
              <w:pStyle w:val="BodyText"/>
              <w:jc w:val="both"/>
              <w:rPr>
                <w:rFonts w:ascii="Times New Roman" w:hAnsi="Times New Roman"/>
                <w:bCs/>
                <w:sz w:val="24"/>
                <w:lang w:val="fr-FR"/>
              </w:rPr>
            </w:pPr>
          </w:p>
        </w:tc>
        <w:tc>
          <w:tcPr>
            <w:tcW w:w="3205" w:type="dxa"/>
            <w:shd w:val="clear" w:color="auto" w:fill="auto"/>
          </w:tcPr>
          <w:p w:rsidR="003E2682" w:rsidRPr="00E0416A" w:rsidRDefault="002D556E" w:rsidP="003E2682">
            <w:pPr>
              <w:pStyle w:val="BodyText"/>
              <w:jc w:val="both"/>
              <w:rPr>
                <w:rFonts w:ascii="Times New Roman" w:hAnsi="Times New Roman"/>
                <w:bCs/>
                <w:sz w:val="24"/>
                <w:lang w:val="fr-FR"/>
              </w:rPr>
            </w:pPr>
            <w:r w:rsidRPr="00E0416A">
              <w:rPr>
                <w:rFonts w:ascii="Times New Roman" w:hAnsi="Times New Roman"/>
                <w:bCs/>
                <w:sz w:val="24"/>
                <w:lang w:val="fr-FR"/>
              </w:rPr>
              <w:t>Plusieurs mesures ont été effectuées et analysées (voir des détails dans les notes d’avancement)</w:t>
            </w: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r w:rsidRPr="00E0416A">
              <w:rPr>
                <w:rFonts w:ascii="Times New Roman" w:hAnsi="Times New Roman"/>
                <w:bCs/>
                <w:sz w:val="24"/>
                <w:lang w:val="fr-FR"/>
              </w:rPr>
              <w:t>9 bâtiments publics évalu</w:t>
            </w:r>
            <w:r w:rsidR="00270B3A">
              <w:rPr>
                <w:rFonts w:ascii="Times New Roman" w:hAnsi="Times New Roman"/>
                <w:bCs/>
                <w:sz w:val="24"/>
                <w:lang w:val="fr-FR"/>
              </w:rPr>
              <w:t>é</w:t>
            </w:r>
            <w:r w:rsidRPr="00E0416A">
              <w:rPr>
                <w:rFonts w:ascii="Times New Roman" w:hAnsi="Times New Roman"/>
                <w:bCs/>
                <w:sz w:val="24"/>
                <w:lang w:val="fr-FR"/>
              </w:rPr>
              <w:t xml:space="preserve">s soit 3 à </w:t>
            </w:r>
            <w:r w:rsidR="00270B3A">
              <w:rPr>
                <w:rFonts w:ascii="Times New Roman" w:hAnsi="Times New Roman"/>
                <w:bCs/>
                <w:sz w:val="24"/>
                <w:lang w:val="fr-FR"/>
              </w:rPr>
              <w:t>P</w:t>
            </w:r>
            <w:r w:rsidRPr="00E0416A">
              <w:rPr>
                <w:rFonts w:ascii="Times New Roman" w:hAnsi="Times New Roman"/>
                <w:bCs/>
                <w:sz w:val="24"/>
                <w:lang w:val="fr-FR"/>
              </w:rPr>
              <w:t>ort</w:t>
            </w:r>
            <w:r w:rsidR="00270B3A">
              <w:rPr>
                <w:rFonts w:ascii="Times New Roman" w:hAnsi="Times New Roman"/>
                <w:bCs/>
                <w:sz w:val="24"/>
                <w:lang w:val="fr-FR"/>
              </w:rPr>
              <w:t>-</w:t>
            </w:r>
            <w:r w:rsidRPr="00E0416A">
              <w:rPr>
                <w:rFonts w:ascii="Times New Roman" w:hAnsi="Times New Roman"/>
                <w:bCs/>
                <w:sz w:val="24"/>
                <w:lang w:val="fr-FR"/>
              </w:rPr>
              <w:t>de</w:t>
            </w:r>
            <w:r w:rsidR="00270B3A">
              <w:rPr>
                <w:rFonts w:ascii="Times New Roman" w:hAnsi="Times New Roman"/>
                <w:bCs/>
                <w:sz w:val="24"/>
                <w:lang w:val="fr-FR"/>
              </w:rPr>
              <w:t>-P</w:t>
            </w:r>
            <w:r w:rsidRPr="00E0416A">
              <w:rPr>
                <w:rFonts w:ascii="Times New Roman" w:hAnsi="Times New Roman"/>
                <w:bCs/>
                <w:sz w:val="24"/>
                <w:lang w:val="fr-FR"/>
              </w:rPr>
              <w:t>aix, 2 au Cap</w:t>
            </w:r>
            <w:r w:rsidR="00270B3A">
              <w:rPr>
                <w:rFonts w:ascii="Times New Roman" w:hAnsi="Times New Roman"/>
                <w:bCs/>
                <w:sz w:val="24"/>
                <w:lang w:val="fr-FR"/>
              </w:rPr>
              <w:t>-</w:t>
            </w:r>
            <w:r w:rsidRPr="00E0416A">
              <w:rPr>
                <w:rFonts w:ascii="Times New Roman" w:hAnsi="Times New Roman"/>
                <w:bCs/>
                <w:sz w:val="24"/>
                <w:lang w:val="fr-FR"/>
              </w:rPr>
              <w:t>Haïtien et 4 à Fort</w:t>
            </w:r>
            <w:r w:rsidR="00270B3A">
              <w:rPr>
                <w:rFonts w:ascii="Times New Roman" w:hAnsi="Times New Roman"/>
                <w:bCs/>
                <w:sz w:val="24"/>
                <w:lang w:val="fr-FR"/>
              </w:rPr>
              <w:t>-</w:t>
            </w:r>
            <w:r w:rsidRPr="00E0416A">
              <w:rPr>
                <w:rFonts w:ascii="Times New Roman" w:hAnsi="Times New Roman"/>
                <w:bCs/>
                <w:sz w:val="24"/>
                <w:lang w:val="fr-FR"/>
              </w:rPr>
              <w:t>Liberté</w:t>
            </w:r>
          </w:p>
        </w:tc>
        <w:tc>
          <w:tcPr>
            <w:tcW w:w="4140" w:type="dxa"/>
            <w:shd w:val="clear" w:color="auto" w:fill="auto"/>
          </w:tcPr>
          <w:p w:rsidR="003E2682" w:rsidRPr="00E0416A" w:rsidRDefault="003E2682"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p>
          <w:p w:rsidR="00F42521" w:rsidRPr="00E0416A" w:rsidRDefault="00F42521" w:rsidP="003E2682">
            <w:pPr>
              <w:pStyle w:val="BodyText"/>
              <w:jc w:val="both"/>
              <w:rPr>
                <w:rFonts w:ascii="Times New Roman" w:hAnsi="Times New Roman"/>
                <w:bCs/>
                <w:sz w:val="24"/>
                <w:lang w:val="fr-FR"/>
              </w:rPr>
            </w:pPr>
            <w:r w:rsidRPr="00E0416A">
              <w:rPr>
                <w:rFonts w:ascii="Times New Roman" w:hAnsi="Times New Roman"/>
                <w:bCs/>
                <w:sz w:val="24"/>
                <w:lang w:val="fr-FR"/>
              </w:rPr>
              <w:lastRenderedPageBreak/>
              <w:t>Problème logistique et arriv</w:t>
            </w:r>
            <w:r w:rsidR="00270B3A">
              <w:rPr>
                <w:rFonts w:ascii="Times New Roman" w:hAnsi="Times New Roman"/>
                <w:bCs/>
                <w:sz w:val="24"/>
                <w:lang w:val="fr-FR"/>
              </w:rPr>
              <w:t>é</w:t>
            </w:r>
            <w:r w:rsidRPr="00E0416A">
              <w:rPr>
                <w:rFonts w:ascii="Times New Roman" w:hAnsi="Times New Roman"/>
                <w:bCs/>
                <w:sz w:val="24"/>
                <w:lang w:val="fr-FR"/>
              </w:rPr>
              <w:t xml:space="preserve">e tardif du prestataire. Les prestataires trouvent le nombre exagéré. Les 11 autres bâtiments vont être </w:t>
            </w:r>
            <w:r w:rsidR="006C77AC" w:rsidRPr="00E0416A">
              <w:rPr>
                <w:rFonts w:ascii="Times New Roman" w:hAnsi="Times New Roman"/>
                <w:bCs/>
                <w:sz w:val="24"/>
                <w:lang w:val="fr-FR"/>
              </w:rPr>
              <w:t>évalués</w:t>
            </w:r>
            <w:r w:rsidRPr="00E0416A">
              <w:rPr>
                <w:rFonts w:ascii="Times New Roman" w:hAnsi="Times New Roman"/>
                <w:bCs/>
                <w:sz w:val="24"/>
                <w:lang w:val="fr-FR"/>
              </w:rPr>
              <w:t xml:space="preserve"> en 2014</w:t>
            </w:r>
          </w:p>
        </w:tc>
        <w:tc>
          <w:tcPr>
            <w:tcW w:w="3510" w:type="dxa"/>
            <w:shd w:val="clear" w:color="auto" w:fill="auto"/>
          </w:tcPr>
          <w:p w:rsidR="003E2682" w:rsidRPr="00E0416A" w:rsidRDefault="003E2682"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p>
          <w:p w:rsidR="006C77AC" w:rsidRPr="00E0416A" w:rsidRDefault="006C77AC" w:rsidP="003E2682">
            <w:pPr>
              <w:pStyle w:val="BodyText"/>
              <w:jc w:val="both"/>
              <w:rPr>
                <w:rFonts w:ascii="Times New Roman" w:hAnsi="Times New Roman"/>
                <w:bCs/>
                <w:sz w:val="24"/>
                <w:lang w:val="fr-FR"/>
              </w:rPr>
            </w:pPr>
            <w:r w:rsidRPr="00E0416A">
              <w:rPr>
                <w:rFonts w:ascii="Times New Roman" w:hAnsi="Times New Roman"/>
                <w:bCs/>
                <w:sz w:val="24"/>
                <w:lang w:val="fr-FR"/>
              </w:rPr>
              <w:t>Rapport des prestataires</w:t>
            </w:r>
          </w:p>
        </w:tc>
      </w:tr>
      <w:tr w:rsidR="002D556E" w:rsidRPr="00E0416A" w:rsidTr="006C77AC">
        <w:trPr>
          <w:trHeight w:val="1470"/>
        </w:trPr>
        <w:tc>
          <w:tcPr>
            <w:tcW w:w="4265" w:type="dxa"/>
            <w:vMerge w:val="restart"/>
            <w:shd w:val="clear" w:color="auto" w:fill="auto"/>
          </w:tcPr>
          <w:p w:rsidR="002D556E" w:rsidRPr="00E0416A" w:rsidRDefault="002D556E" w:rsidP="00F17846">
            <w:pPr>
              <w:rPr>
                <w:color w:val="000000"/>
                <w:lang w:val="fr-FR"/>
              </w:rPr>
            </w:pPr>
            <w:r w:rsidRPr="00E0416A">
              <w:rPr>
                <w:b/>
                <w:lang w:val="fr-FR"/>
              </w:rPr>
              <w:lastRenderedPageBreak/>
              <w:t>Produit 1.</w:t>
            </w:r>
            <w:r w:rsidRPr="00E0416A">
              <w:rPr>
                <w:color w:val="000000"/>
                <w:lang w:val="fr-FR"/>
              </w:rPr>
              <w:t>3.</w:t>
            </w:r>
          </w:p>
          <w:p w:rsidR="002D556E" w:rsidRPr="00E0416A" w:rsidRDefault="00320FA1" w:rsidP="00320FA1">
            <w:pPr>
              <w:shd w:val="clear" w:color="auto" w:fill="FFFFFF"/>
              <w:rPr>
                <w:bCs/>
                <w:lang w:val="fr-FR"/>
              </w:rPr>
            </w:pPr>
            <w:r w:rsidRPr="00E0416A">
              <w:rPr>
                <w:color w:val="000000"/>
                <w:lang w:val="fr-FR"/>
              </w:rPr>
              <w:t>Le risque sismique est réduit par des actions de prévention et de mitigation</w:t>
            </w:r>
            <w:r w:rsidRPr="00E0416A">
              <w:rPr>
                <w:bCs/>
                <w:lang w:val="fr-FR"/>
              </w:rPr>
              <w:t>, les partenariats avec les communautés locales concernées par les risques sismiques sont développés</w:t>
            </w:r>
          </w:p>
          <w:p w:rsidR="00320FA1" w:rsidRPr="00E0416A" w:rsidRDefault="00025B06" w:rsidP="00F17846">
            <w:pPr>
              <w:rPr>
                <w:b/>
                <w:sz w:val="20"/>
                <w:szCs w:val="20"/>
                <w:lang w:val="fr-FR"/>
              </w:rPr>
            </w:pPr>
            <w:r w:rsidRPr="00E0416A">
              <w:rPr>
                <w:b/>
                <w:sz w:val="20"/>
                <w:szCs w:val="20"/>
                <w:lang w:val="fr-FR"/>
              </w:rPr>
              <w:t>Indicateur  1.3</w:t>
            </w:r>
            <w:r w:rsidR="002D556E" w:rsidRPr="00E0416A">
              <w:rPr>
                <w:b/>
                <w:sz w:val="20"/>
                <w:szCs w:val="20"/>
                <w:lang w:val="fr-FR"/>
              </w:rPr>
              <w:t>.1</w:t>
            </w:r>
          </w:p>
          <w:p w:rsidR="002D556E" w:rsidRPr="00E0416A" w:rsidRDefault="002D556E" w:rsidP="00737189">
            <w:pPr>
              <w:jc w:val="both"/>
              <w:rPr>
                <w:bCs/>
                <w:lang w:val="fr-FR"/>
              </w:rPr>
            </w:pPr>
            <w:r w:rsidRPr="00E0416A">
              <w:rPr>
                <w:b/>
                <w:sz w:val="20"/>
                <w:szCs w:val="20"/>
                <w:lang w:val="fr-FR"/>
              </w:rPr>
              <w:t>Indicateur de référence:</w:t>
            </w:r>
            <w:r w:rsidRPr="00E0416A">
              <w:rPr>
                <w:color w:val="000000"/>
                <w:lang w:val="fr-FR"/>
              </w:rPr>
              <w:t xml:space="preserve"> </w:t>
            </w:r>
            <w:r w:rsidR="00737189" w:rsidRPr="00E0416A">
              <w:rPr>
                <w:color w:val="000000"/>
                <w:lang w:val="fr-FR"/>
              </w:rPr>
              <w:t>Nombre de réunions organisé</w:t>
            </w:r>
            <w:r w:rsidR="00270B3A">
              <w:rPr>
                <w:color w:val="000000"/>
                <w:lang w:val="fr-FR"/>
              </w:rPr>
              <w:t>e</w:t>
            </w:r>
            <w:r w:rsidR="00737189" w:rsidRPr="00E0416A">
              <w:rPr>
                <w:color w:val="000000"/>
                <w:lang w:val="fr-FR"/>
              </w:rPr>
              <w:t xml:space="preserve">s par des comités conseils. </w:t>
            </w:r>
            <w:r w:rsidRPr="00E0416A">
              <w:rPr>
                <w:b/>
                <w:sz w:val="20"/>
                <w:szCs w:val="20"/>
                <w:lang w:val="fr-FR"/>
              </w:rPr>
              <w:t xml:space="preserve">Indicateur cible: </w:t>
            </w:r>
            <w:r w:rsidR="00737189" w:rsidRPr="00E0416A">
              <w:rPr>
                <w:color w:val="000000"/>
                <w:lang w:val="fr-FR"/>
              </w:rPr>
              <w:t>4 comités de conseils sont créés et fonctionnels</w:t>
            </w:r>
          </w:p>
        </w:tc>
        <w:tc>
          <w:tcPr>
            <w:tcW w:w="3205" w:type="dxa"/>
            <w:shd w:val="clear" w:color="auto" w:fill="auto"/>
          </w:tcPr>
          <w:p w:rsidR="002D556E" w:rsidRPr="00E0416A" w:rsidRDefault="002D556E" w:rsidP="00F17846">
            <w:pPr>
              <w:pStyle w:val="BodyText"/>
              <w:jc w:val="both"/>
              <w:rPr>
                <w:rFonts w:ascii="Times New Roman" w:hAnsi="Times New Roman"/>
                <w:bCs/>
                <w:sz w:val="24"/>
                <w:lang w:val="fr-FR"/>
              </w:rPr>
            </w:pPr>
          </w:p>
        </w:tc>
        <w:tc>
          <w:tcPr>
            <w:tcW w:w="4140" w:type="dxa"/>
            <w:shd w:val="clear" w:color="auto" w:fill="auto"/>
          </w:tcPr>
          <w:p w:rsidR="002D556E" w:rsidRPr="00E0416A" w:rsidRDefault="002D556E" w:rsidP="00F17846">
            <w:pPr>
              <w:pStyle w:val="BodyText"/>
              <w:jc w:val="both"/>
              <w:rPr>
                <w:rFonts w:ascii="Times New Roman" w:hAnsi="Times New Roman"/>
                <w:bCs/>
                <w:sz w:val="24"/>
                <w:lang w:val="fr-FR"/>
              </w:rPr>
            </w:pPr>
          </w:p>
        </w:tc>
        <w:tc>
          <w:tcPr>
            <w:tcW w:w="3510" w:type="dxa"/>
            <w:shd w:val="clear" w:color="auto" w:fill="auto"/>
          </w:tcPr>
          <w:p w:rsidR="002D556E" w:rsidRPr="00E0416A" w:rsidRDefault="002D556E" w:rsidP="00F17846">
            <w:pPr>
              <w:pStyle w:val="BodyText"/>
              <w:jc w:val="both"/>
              <w:rPr>
                <w:rFonts w:ascii="Times New Roman" w:hAnsi="Times New Roman"/>
                <w:bCs/>
                <w:sz w:val="24"/>
                <w:lang w:val="fr-FR"/>
              </w:rPr>
            </w:pPr>
            <w:r w:rsidRPr="00E0416A">
              <w:rPr>
                <w:rFonts w:ascii="Times New Roman" w:hAnsi="Times New Roman"/>
                <w:bCs/>
                <w:sz w:val="24"/>
                <w:lang w:val="fr-FR"/>
              </w:rPr>
              <w:t>Rapports de comités</w:t>
            </w:r>
          </w:p>
        </w:tc>
      </w:tr>
      <w:tr w:rsidR="002D556E" w:rsidRPr="00DF6E05" w:rsidTr="006C77AC">
        <w:tc>
          <w:tcPr>
            <w:tcW w:w="4265" w:type="dxa"/>
            <w:vMerge/>
            <w:shd w:val="clear" w:color="auto" w:fill="auto"/>
          </w:tcPr>
          <w:p w:rsidR="002D556E" w:rsidRPr="00E0416A" w:rsidRDefault="002D556E" w:rsidP="00F17846">
            <w:pPr>
              <w:pStyle w:val="BodyText"/>
              <w:jc w:val="both"/>
              <w:rPr>
                <w:rFonts w:ascii="Times New Roman" w:hAnsi="Times New Roman"/>
                <w:bCs/>
                <w:sz w:val="24"/>
                <w:lang w:val="fr-FR"/>
              </w:rPr>
            </w:pPr>
          </w:p>
        </w:tc>
        <w:tc>
          <w:tcPr>
            <w:tcW w:w="3205" w:type="dxa"/>
            <w:shd w:val="clear" w:color="auto" w:fill="auto"/>
          </w:tcPr>
          <w:p w:rsidR="00737189" w:rsidRPr="00E0416A" w:rsidRDefault="00737189" w:rsidP="00737189">
            <w:pPr>
              <w:jc w:val="both"/>
              <w:rPr>
                <w:color w:val="000000"/>
                <w:lang w:val="fr-FR"/>
              </w:rPr>
            </w:pPr>
            <w:r w:rsidRPr="00E0416A">
              <w:rPr>
                <w:color w:val="000000"/>
                <w:lang w:val="fr-FR"/>
              </w:rPr>
              <w:t>En moyenne 3 réunions par département ont été organisées dont celui  du comité de pilotage national</w:t>
            </w:r>
          </w:p>
          <w:p w:rsidR="002D556E" w:rsidRPr="00E0416A" w:rsidRDefault="002D556E" w:rsidP="00F17846">
            <w:pPr>
              <w:pStyle w:val="BodyText"/>
              <w:jc w:val="both"/>
              <w:rPr>
                <w:rFonts w:ascii="Times New Roman" w:hAnsi="Times New Roman"/>
                <w:bCs/>
                <w:sz w:val="24"/>
                <w:lang w:val="fr-FR"/>
              </w:rPr>
            </w:pPr>
          </w:p>
        </w:tc>
        <w:tc>
          <w:tcPr>
            <w:tcW w:w="4140" w:type="dxa"/>
            <w:shd w:val="clear" w:color="auto" w:fill="auto"/>
          </w:tcPr>
          <w:p w:rsidR="002D556E" w:rsidRPr="00E0416A" w:rsidRDefault="002D556E" w:rsidP="00F17846">
            <w:pPr>
              <w:pStyle w:val="BodyText"/>
              <w:jc w:val="both"/>
              <w:rPr>
                <w:rFonts w:ascii="Times New Roman" w:hAnsi="Times New Roman"/>
                <w:bCs/>
                <w:sz w:val="24"/>
                <w:lang w:val="fr-FR"/>
              </w:rPr>
            </w:pPr>
          </w:p>
        </w:tc>
        <w:tc>
          <w:tcPr>
            <w:tcW w:w="3510" w:type="dxa"/>
            <w:shd w:val="clear" w:color="auto" w:fill="auto"/>
          </w:tcPr>
          <w:p w:rsidR="002D556E" w:rsidRPr="00E0416A" w:rsidRDefault="002D556E" w:rsidP="00F17846">
            <w:pPr>
              <w:pStyle w:val="BodyText"/>
              <w:jc w:val="both"/>
              <w:rPr>
                <w:rFonts w:ascii="Times New Roman" w:hAnsi="Times New Roman"/>
                <w:bCs/>
                <w:sz w:val="24"/>
                <w:lang w:val="fr-FR"/>
              </w:rPr>
            </w:pPr>
          </w:p>
        </w:tc>
      </w:tr>
      <w:tr w:rsidR="00445535" w:rsidRPr="00E0416A" w:rsidTr="00F17846">
        <w:trPr>
          <w:trHeight w:val="2028"/>
        </w:trPr>
        <w:tc>
          <w:tcPr>
            <w:tcW w:w="4265" w:type="dxa"/>
            <w:shd w:val="clear" w:color="auto" w:fill="auto"/>
          </w:tcPr>
          <w:p w:rsidR="00445535" w:rsidRPr="00E0416A" w:rsidRDefault="00445535" w:rsidP="00F17846">
            <w:pPr>
              <w:rPr>
                <w:b/>
                <w:lang w:val="fr-FR"/>
              </w:rPr>
            </w:pPr>
            <w:r w:rsidRPr="00E0416A">
              <w:rPr>
                <w:b/>
                <w:lang w:val="fr-FR"/>
              </w:rPr>
              <w:t>Produit 1.4</w:t>
            </w:r>
          </w:p>
          <w:p w:rsidR="00445535" w:rsidRPr="00E0416A" w:rsidRDefault="00445535" w:rsidP="00F17846">
            <w:pPr>
              <w:rPr>
                <w:color w:val="000000"/>
                <w:lang w:val="fr-FR"/>
              </w:rPr>
            </w:pPr>
            <w:r w:rsidRPr="00E0416A">
              <w:rPr>
                <w:color w:val="000000"/>
                <w:lang w:val="fr-FR"/>
              </w:rPr>
              <w:t>La chaîne de la construction est formée aux pratiques parasismiques</w:t>
            </w:r>
          </w:p>
          <w:p w:rsidR="00445535" w:rsidRPr="00E0416A" w:rsidRDefault="00445535" w:rsidP="00F17846">
            <w:pPr>
              <w:rPr>
                <w:b/>
                <w:sz w:val="20"/>
                <w:szCs w:val="20"/>
                <w:lang w:val="fr-FR"/>
              </w:rPr>
            </w:pPr>
            <w:r w:rsidRPr="00E0416A">
              <w:rPr>
                <w:b/>
                <w:sz w:val="20"/>
                <w:szCs w:val="20"/>
                <w:lang w:val="fr-FR"/>
              </w:rPr>
              <w:t>Indicateur  1.4.1</w:t>
            </w:r>
          </w:p>
          <w:p w:rsidR="00445535" w:rsidRPr="00E0416A" w:rsidRDefault="00445535" w:rsidP="00F17846">
            <w:pPr>
              <w:rPr>
                <w:sz w:val="20"/>
                <w:szCs w:val="20"/>
                <w:lang w:val="fr-FR"/>
              </w:rPr>
            </w:pPr>
            <w:r w:rsidRPr="00E0416A">
              <w:rPr>
                <w:b/>
                <w:sz w:val="20"/>
                <w:szCs w:val="20"/>
                <w:lang w:val="fr-FR"/>
              </w:rPr>
              <w:t xml:space="preserve">Indicateur de référence: </w:t>
            </w:r>
            <w:r w:rsidRPr="00E0416A">
              <w:rPr>
                <w:sz w:val="20"/>
                <w:szCs w:val="20"/>
                <w:lang w:val="fr-FR"/>
              </w:rPr>
              <w:t>Au moins 30 ingénieurs formés pour l’année 2013</w:t>
            </w:r>
          </w:p>
          <w:p w:rsidR="00445535" w:rsidRPr="00E0416A" w:rsidRDefault="00445535" w:rsidP="00445535">
            <w:pPr>
              <w:rPr>
                <w:b/>
                <w:sz w:val="20"/>
                <w:szCs w:val="20"/>
                <w:lang w:val="fr-FR"/>
              </w:rPr>
            </w:pPr>
            <w:r w:rsidRPr="00E0416A">
              <w:rPr>
                <w:b/>
                <w:sz w:val="20"/>
                <w:szCs w:val="20"/>
                <w:lang w:val="fr-FR"/>
              </w:rPr>
              <w:t xml:space="preserve"> Indicateur cible: </w:t>
            </w:r>
            <w:r w:rsidRPr="00E0416A">
              <w:rPr>
                <w:sz w:val="20"/>
                <w:szCs w:val="20"/>
                <w:lang w:val="fr-FR"/>
              </w:rPr>
              <w:t>100 maçons et 60 ingénieurs doivent être formés en construction parasismique</w:t>
            </w:r>
          </w:p>
        </w:tc>
        <w:tc>
          <w:tcPr>
            <w:tcW w:w="3205" w:type="dxa"/>
            <w:shd w:val="clear" w:color="auto" w:fill="auto"/>
          </w:tcPr>
          <w:p w:rsidR="00445535" w:rsidRPr="00E0416A" w:rsidRDefault="00445535" w:rsidP="00025B06">
            <w:pPr>
              <w:pStyle w:val="BodyText"/>
              <w:jc w:val="both"/>
              <w:rPr>
                <w:rFonts w:ascii="Times New Roman" w:hAnsi="Times New Roman"/>
                <w:bCs/>
                <w:sz w:val="24"/>
                <w:lang w:val="fr-FR"/>
              </w:rPr>
            </w:pPr>
            <w:r w:rsidRPr="00E0416A">
              <w:rPr>
                <w:rFonts w:ascii="Times New Roman" w:hAnsi="Times New Roman"/>
                <w:bCs/>
                <w:sz w:val="24"/>
                <w:lang w:val="fr-FR"/>
              </w:rPr>
              <w:t xml:space="preserve"> 37 ingénieurs formés en évaluation rapide des infrastructures publiques</w:t>
            </w:r>
          </w:p>
        </w:tc>
        <w:tc>
          <w:tcPr>
            <w:tcW w:w="4140" w:type="dxa"/>
            <w:shd w:val="clear" w:color="auto" w:fill="auto"/>
          </w:tcPr>
          <w:p w:rsidR="00445535" w:rsidRPr="00E0416A" w:rsidRDefault="00445535" w:rsidP="00F17846">
            <w:pPr>
              <w:pStyle w:val="BodyText"/>
              <w:jc w:val="both"/>
              <w:rPr>
                <w:rFonts w:ascii="Times New Roman" w:hAnsi="Times New Roman"/>
                <w:bCs/>
                <w:sz w:val="24"/>
                <w:lang w:val="fr-FR"/>
              </w:rPr>
            </w:pPr>
          </w:p>
          <w:p w:rsidR="00445535" w:rsidRPr="00E0416A" w:rsidRDefault="00445535" w:rsidP="00F17846">
            <w:pPr>
              <w:pStyle w:val="BodyText"/>
              <w:jc w:val="both"/>
              <w:rPr>
                <w:rFonts w:ascii="Times New Roman" w:hAnsi="Times New Roman"/>
                <w:bCs/>
                <w:sz w:val="24"/>
                <w:lang w:val="fr-FR"/>
              </w:rPr>
            </w:pPr>
            <w:r w:rsidRPr="00E0416A">
              <w:rPr>
                <w:rFonts w:ascii="Times New Roman" w:hAnsi="Times New Roman"/>
                <w:bCs/>
                <w:sz w:val="24"/>
                <w:lang w:val="fr-FR"/>
              </w:rPr>
              <w:t>Les autres vont recevoir leur formation en 2014</w:t>
            </w:r>
          </w:p>
        </w:tc>
        <w:tc>
          <w:tcPr>
            <w:tcW w:w="3510" w:type="dxa"/>
          </w:tcPr>
          <w:p w:rsidR="00445535" w:rsidRPr="00E0416A" w:rsidRDefault="00445535" w:rsidP="00F17846">
            <w:pPr>
              <w:pStyle w:val="BodyText"/>
              <w:jc w:val="both"/>
              <w:rPr>
                <w:rFonts w:ascii="Times New Roman" w:hAnsi="Times New Roman"/>
                <w:bCs/>
                <w:sz w:val="24"/>
                <w:lang w:val="fr-FR"/>
              </w:rPr>
            </w:pPr>
          </w:p>
          <w:p w:rsidR="00445535" w:rsidRPr="00E0416A" w:rsidRDefault="00445535" w:rsidP="00F17846">
            <w:pPr>
              <w:pStyle w:val="BodyText"/>
              <w:jc w:val="both"/>
              <w:rPr>
                <w:rFonts w:ascii="Times New Roman" w:hAnsi="Times New Roman"/>
                <w:bCs/>
                <w:sz w:val="24"/>
                <w:lang w:val="fr-FR"/>
              </w:rPr>
            </w:pPr>
          </w:p>
          <w:p w:rsidR="00445535" w:rsidRPr="00E0416A" w:rsidRDefault="00445535" w:rsidP="00F17846">
            <w:pPr>
              <w:pStyle w:val="BodyText"/>
              <w:jc w:val="both"/>
              <w:rPr>
                <w:rFonts w:ascii="Times New Roman" w:hAnsi="Times New Roman"/>
                <w:bCs/>
                <w:sz w:val="24"/>
                <w:lang w:val="fr-FR"/>
              </w:rPr>
            </w:pPr>
            <w:r w:rsidRPr="00E0416A">
              <w:rPr>
                <w:rFonts w:ascii="Times New Roman" w:hAnsi="Times New Roman"/>
                <w:bCs/>
                <w:sz w:val="24"/>
                <w:lang w:val="fr-FR"/>
              </w:rPr>
              <w:t>Rapport des prestataires</w:t>
            </w:r>
          </w:p>
        </w:tc>
      </w:tr>
      <w:tr w:rsidR="00445535" w:rsidRPr="00E0416A" w:rsidTr="002B6761">
        <w:trPr>
          <w:trHeight w:val="1704"/>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45535" w:rsidRPr="00E0416A" w:rsidRDefault="00445535" w:rsidP="00F17846">
            <w:pPr>
              <w:rPr>
                <w:b/>
                <w:lang w:val="fr-FR"/>
              </w:rPr>
            </w:pPr>
            <w:r w:rsidRPr="00E0416A">
              <w:rPr>
                <w:b/>
                <w:lang w:val="fr-FR"/>
              </w:rPr>
              <w:t>Produit 1.</w:t>
            </w:r>
            <w:r w:rsidR="00511424" w:rsidRPr="00E0416A">
              <w:rPr>
                <w:b/>
                <w:lang w:val="fr-FR"/>
              </w:rPr>
              <w:t>5</w:t>
            </w:r>
          </w:p>
          <w:p w:rsidR="00511424" w:rsidRPr="00E0416A" w:rsidRDefault="00511424" w:rsidP="00F17846">
            <w:pPr>
              <w:rPr>
                <w:bCs/>
                <w:lang w:val="fr-FR"/>
              </w:rPr>
            </w:pPr>
            <w:r w:rsidRPr="00E0416A">
              <w:rPr>
                <w:color w:val="000000"/>
                <w:lang w:val="fr-FR"/>
              </w:rPr>
              <w:t>Le grand public, le milieu scolaire et hospitalier sont informés et préparés face à la menace sismique</w:t>
            </w:r>
          </w:p>
          <w:p w:rsidR="00445535" w:rsidRPr="00E0416A" w:rsidRDefault="00445535" w:rsidP="00F17846">
            <w:pPr>
              <w:rPr>
                <w:b/>
                <w:lang w:val="fr-FR"/>
              </w:rPr>
            </w:pPr>
            <w:r w:rsidRPr="00E0416A">
              <w:rPr>
                <w:b/>
                <w:lang w:val="fr-FR"/>
              </w:rPr>
              <w:t>Indicateur  1.</w:t>
            </w:r>
            <w:r w:rsidR="00511424" w:rsidRPr="00E0416A">
              <w:rPr>
                <w:b/>
                <w:lang w:val="fr-FR"/>
              </w:rPr>
              <w:t>5</w:t>
            </w:r>
            <w:r w:rsidRPr="00E0416A">
              <w:rPr>
                <w:b/>
                <w:lang w:val="fr-FR"/>
              </w:rPr>
              <w:t>.1</w:t>
            </w:r>
          </w:p>
          <w:p w:rsidR="00445535" w:rsidRPr="00E0416A" w:rsidRDefault="00445535" w:rsidP="00F17846">
            <w:pPr>
              <w:rPr>
                <w:b/>
                <w:lang w:val="fr-FR"/>
              </w:rPr>
            </w:pPr>
            <w:r w:rsidRPr="00E0416A">
              <w:rPr>
                <w:b/>
                <w:lang w:val="fr-FR"/>
              </w:rPr>
              <w:t>Indicateur de référence</w:t>
            </w:r>
            <w:r w:rsidRPr="00E0416A">
              <w:rPr>
                <w:lang w:val="fr-FR"/>
              </w:rPr>
              <w:t xml:space="preserve">: </w:t>
            </w:r>
            <w:r w:rsidR="00511424" w:rsidRPr="00E0416A">
              <w:rPr>
                <w:lang w:val="fr-FR"/>
              </w:rPr>
              <w:t xml:space="preserve">6 </w:t>
            </w:r>
            <w:r w:rsidR="005851F7" w:rsidRPr="00E0416A">
              <w:rPr>
                <w:lang w:val="fr-FR"/>
              </w:rPr>
              <w:t>évènements liés à l’information et à l’éducation du public,</w:t>
            </w:r>
          </w:p>
          <w:p w:rsidR="00445535" w:rsidRPr="00E0416A" w:rsidRDefault="00445535" w:rsidP="00511424">
            <w:pPr>
              <w:rPr>
                <w:lang w:val="fr-FR"/>
              </w:rPr>
            </w:pPr>
            <w:r w:rsidRPr="00E0416A">
              <w:rPr>
                <w:b/>
                <w:lang w:val="fr-FR"/>
              </w:rPr>
              <w:t xml:space="preserve"> Indicateur cible: </w:t>
            </w:r>
            <w:r w:rsidR="00511424" w:rsidRPr="00E0416A">
              <w:rPr>
                <w:lang w:val="fr-FR"/>
              </w:rPr>
              <w:t>10 évènements dont les formations de sensibilisation</w:t>
            </w:r>
          </w:p>
          <w:p w:rsidR="002B6761" w:rsidRPr="00E0416A" w:rsidRDefault="002B6761" w:rsidP="00511424">
            <w:pPr>
              <w:rPr>
                <w:lang w:val="fr-FR"/>
              </w:rPr>
            </w:pPr>
          </w:p>
          <w:p w:rsidR="002B6761" w:rsidRPr="00E0416A" w:rsidRDefault="002B6761" w:rsidP="00511424">
            <w:pPr>
              <w:rPr>
                <w:lang w:val="fr-FR"/>
              </w:rPr>
            </w:pPr>
          </w:p>
          <w:p w:rsidR="002B6761" w:rsidRPr="00E0416A" w:rsidRDefault="002B6761" w:rsidP="00511424">
            <w:pPr>
              <w:rPr>
                <w:lang w:val="fr-FR"/>
              </w:rPr>
            </w:pPr>
          </w:p>
          <w:p w:rsidR="002B6761" w:rsidRPr="00E0416A" w:rsidRDefault="002B6761" w:rsidP="00511424">
            <w:pPr>
              <w:rPr>
                <w:lang w:val="fr-FR"/>
              </w:rPr>
            </w:pPr>
          </w:p>
          <w:p w:rsidR="002B6761" w:rsidRPr="00E0416A" w:rsidRDefault="002B6761" w:rsidP="00511424">
            <w:pPr>
              <w:rPr>
                <w:lang w:val="fr-FR"/>
              </w:rPr>
            </w:pPr>
          </w:p>
          <w:p w:rsidR="002B6761" w:rsidRPr="00E0416A" w:rsidRDefault="002B6761" w:rsidP="00511424">
            <w:pPr>
              <w:rPr>
                <w:lang w:val="fr-FR"/>
              </w:rPr>
            </w:pPr>
          </w:p>
          <w:p w:rsidR="00784D10" w:rsidRPr="00E0416A" w:rsidRDefault="00784D10" w:rsidP="00511424">
            <w:pPr>
              <w:rPr>
                <w:b/>
                <w:lang w:val="fr-FR"/>
              </w:rPr>
            </w:pPr>
          </w:p>
          <w:p w:rsidR="002B6761" w:rsidRPr="00E0416A" w:rsidRDefault="002B6761" w:rsidP="00511424">
            <w:pPr>
              <w:rPr>
                <w:b/>
                <w:lang w:val="fr-FR"/>
              </w:rPr>
            </w:pPr>
            <w:r w:rsidRPr="00E0416A">
              <w:rPr>
                <w:b/>
                <w:lang w:val="fr-FR"/>
              </w:rPr>
              <w:t>Indicateur 1.5.2</w:t>
            </w:r>
          </w:p>
          <w:p w:rsidR="002B6761" w:rsidRPr="00E0416A" w:rsidRDefault="002B6761" w:rsidP="00511424">
            <w:pPr>
              <w:rPr>
                <w:lang w:val="fr-FR"/>
              </w:rPr>
            </w:pPr>
            <w:r w:rsidRPr="00E0416A">
              <w:rPr>
                <w:b/>
                <w:lang w:val="fr-FR"/>
              </w:rPr>
              <w:t>Indicateur de référence :</w:t>
            </w:r>
            <w:r w:rsidR="00784D10" w:rsidRPr="00E0416A">
              <w:rPr>
                <w:b/>
                <w:lang w:val="fr-FR"/>
              </w:rPr>
              <w:t xml:space="preserve"> </w:t>
            </w:r>
            <w:r w:rsidR="00784D10" w:rsidRPr="00E0416A">
              <w:rPr>
                <w:lang w:val="fr-FR"/>
              </w:rPr>
              <w:t>16000 dépliants développés et distribués au grand public</w:t>
            </w:r>
          </w:p>
          <w:p w:rsidR="002B6761" w:rsidRPr="00E0416A" w:rsidRDefault="002B6761" w:rsidP="00F709DA">
            <w:pPr>
              <w:rPr>
                <w:lang w:val="fr-FR"/>
              </w:rPr>
            </w:pPr>
            <w:r w:rsidRPr="00E0416A">
              <w:rPr>
                <w:b/>
                <w:lang w:val="fr-FR"/>
              </w:rPr>
              <w:t>Indicateur cible :</w:t>
            </w:r>
            <w:r w:rsidR="00784D10" w:rsidRPr="00E0416A">
              <w:rPr>
                <w:lang w:val="fr-FR"/>
              </w:rPr>
              <w:t xml:space="preserve"> 20000 dépliants développés et distribués au grand public</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5851F7" w:rsidRPr="00E0416A" w:rsidRDefault="005851F7" w:rsidP="005851F7">
            <w:pPr>
              <w:jc w:val="both"/>
              <w:rPr>
                <w:lang w:val="fr-FR"/>
              </w:rPr>
            </w:pPr>
            <w:r w:rsidRPr="00E0416A">
              <w:rPr>
                <w:lang w:val="fr-FR"/>
              </w:rPr>
              <w:lastRenderedPageBreak/>
              <w:t xml:space="preserve">Marche </w:t>
            </w:r>
            <w:r w:rsidR="00270B3A">
              <w:rPr>
                <w:lang w:val="fr-FR"/>
              </w:rPr>
              <w:t xml:space="preserve">commémorative </w:t>
            </w:r>
            <w:r w:rsidRPr="00E0416A">
              <w:rPr>
                <w:lang w:val="fr-FR"/>
              </w:rPr>
              <w:t>organisée le 07 mai 2013  dans le 3 départements</w:t>
            </w:r>
            <w:r w:rsidR="002B6761" w:rsidRPr="00E0416A">
              <w:rPr>
                <w:lang w:val="fr-FR"/>
              </w:rPr>
              <w:t>.</w:t>
            </w:r>
          </w:p>
          <w:p w:rsidR="005851F7" w:rsidRPr="00E0416A" w:rsidRDefault="005851F7" w:rsidP="005851F7">
            <w:pPr>
              <w:jc w:val="both"/>
              <w:rPr>
                <w:lang w:val="fr-FR"/>
              </w:rPr>
            </w:pPr>
            <w:r w:rsidRPr="00E0416A">
              <w:rPr>
                <w:lang w:val="fr-FR"/>
              </w:rPr>
              <w:t>-Une exposition thématique des intervenants dans le domaine  sismique a été organisée du 07 au 10 mai 2013 au Gymnasium du Cap-Haitien avec le support de la DPC.</w:t>
            </w:r>
          </w:p>
          <w:p w:rsidR="002B6761" w:rsidRPr="00E0416A" w:rsidRDefault="005851F7" w:rsidP="005851F7">
            <w:pPr>
              <w:jc w:val="both"/>
              <w:rPr>
                <w:lang w:val="fr-FR"/>
              </w:rPr>
            </w:pPr>
            <w:r w:rsidRPr="00E0416A">
              <w:rPr>
                <w:lang w:val="fr-FR"/>
              </w:rPr>
              <w:t xml:space="preserve">Concours de texte organisé </w:t>
            </w:r>
            <w:r w:rsidR="00270B3A">
              <w:rPr>
                <w:lang w:val="fr-FR"/>
              </w:rPr>
              <w:t xml:space="preserve">au </w:t>
            </w:r>
            <w:r w:rsidRPr="00E0416A">
              <w:rPr>
                <w:lang w:val="fr-FR"/>
              </w:rPr>
              <w:t xml:space="preserve"> Cap-Ha</w:t>
            </w:r>
            <w:r w:rsidR="00270B3A">
              <w:rPr>
                <w:lang w:val="fr-FR"/>
              </w:rPr>
              <w:t>ï</w:t>
            </w:r>
            <w:r w:rsidRPr="00E0416A">
              <w:rPr>
                <w:lang w:val="fr-FR"/>
              </w:rPr>
              <w:t xml:space="preserve">tien et à Port de Paix autour du thème &lt;&lt; Que savez-vous sur le tremblement </w:t>
            </w:r>
            <w:r w:rsidRPr="00E0416A">
              <w:rPr>
                <w:lang w:val="fr-FR"/>
              </w:rPr>
              <w:lastRenderedPageBreak/>
              <w:t>de terre de 1842 ? &gt;&gt;</w:t>
            </w:r>
          </w:p>
          <w:p w:rsidR="002B6761" w:rsidRPr="00E0416A" w:rsidRDefault="002B6761" w:rsidP="005851F7">
            <w:pPr>
              <w:jc w:val="both"/>
              <w:rPr>
                <w:lang w:val="fr-FR"/>
              </w:rPr>
            </w:pPr>
          </w:p>
          <w:p w:rsidR="00784D10" w:rsidRPr="00E0416A" w:rsidRDefault="00784D10" w:rsidP="005851F7">
            <w:pPr>
              <w:jc w:val="both"/>
              <w:rPr>
                <w:lang w:val="fr-FR"/>
              </w:rPr>
            </w:pPr>
          </w:p>
          <w:p w:rsidR="00784D10" w:rsidRPr="00E0416A" w:rsidRDefault="00784D10" w:rsidP="005851F7">
            <w:pPr>
              <w:jc w:val="both"/>
              <w:rPr>
                <w:lang w:val="fr-FR"/>
              </w:rPr>
            </w:pPr>
            <w:r w:rsidRPr="00E0416A">
              <w:rPr>
                <w:lang w:val="fr-FR"/>
              </w:rPr>
              <w:t>Au moins 10000 dépliants</w:t>
            </w:r>
            <w:r w:rsidR="00F35448">
              <w:rPr>
                <w:lang w:val="fr-FR"/>
              </w:rPr>
              <w:t xml:space="preserve"> développés et distribués.  </w:t>
            </w:r>
          </w:p>
          <w:p w:rsidR="00F478DA" w:rsidRPr="00E0416A" w:rsidRDefault="00F478DA" w:rsidP="005851F7">
            <w:pPr>
              <w:jc w:val="both"/>
              <w:rPr>
                <w:lang w:val="fr-FR"/>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445535" w:rsidRPr="00E0416A" w:rsidRDefault="00445535" w:rsidP="00F17846">
            <w:pPr>
              <w:pStyle w:val="BodyText"/>
              <w:jc w:val="both"/>
              <w:rPr>
                <w:rFonts w:ascii="Times New Roman" w:hAnsi="Times New Roman"/>
                <w:bCs/>
                <w:sz w:val="24"/>
                <w:lang w:val="fr-FR"/>
              </w:rPr>
            </w:pPr>
          </w:p>
          <w:p w:rsidR="00445535" w:rsidRPr="00E0416A" w:rsidRDefault="00445535"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p>
          <w:p w:rsidR="00784D10" w:rsidRPr="00E0416A" w:rsidRDefault="00784D10" w:rsidP="00F17846">
            <w:pPr>
              <w:pStyle w:val="BodyText"/>
              <w:jc w:val="both"/>
              <w:rPr>
                <w:rFonts w:ascii="Times New Roman" w:hAnsi="Times New Roman"/>
                <w:bCs/>
                <w:sz w:val="24"/>
                <w:lang w:val="fr-FR"/>
              </w:rPr>
            </w:pPr>
            <w:r w:rsidRPr="00E0416A">
              <w:rPr>
                <w:rFonts w:ascii="Times New Roman" w:hAnsi="Times New Roman"/>
                <w:bCs/>
                <w:sz w:val="24"/>
                <w:lang w:val="fr-FR"/>
              </w:rPr>
              <w:t>Les formations porte à porte prévues pour le Cap</w:t>
            </w:r>
            <w:r w:rsidR="00270B3A">
              <w:rPr>
                <w:rFonts w:ascii="Times New Roman" w:hAnsi="Times New Roman"/>
                <w:bCs/>
                <w:sz w:val="24"/>
                <w:lang w:val="fr-FR"/>
              </w:rPr>
              <w:t>-</w:t>
            </w:r>
            <w:r w:rsidRPr="00E0416A">
              <w:rPr>
                <w:rFonts w:ascii="Times New Roman" w:hAnsi="Times New Roman"/>
                <w:bCs/>
                <w:sz w:val="24"/>
                <w:lang w:val="fr-FR"/>
              </w:rPr>
              <w:t xml:space="preserve">Haïtien </w:t>
            </w:r>
            <w:r w:rsidR="00270B3A">
              <w:rPr>
                <w:rFonts w:ascii="Times New Roman" w:hAnsi="Times New Roman"/>
                <w:bCs/>
                <w:sz w:val="24"/>
                <w:lang w:val="fr-FR"/>
              </w:rPr>
              <w:t xml:space="preserve">ont </w:t>
            </w:r>
            <w:r w:rsidRPr="00E0416A">
              <w:rPr>
                <w:rFonts w:ascii="Times New Roman" w:hAnsi="Times New Roman"/>
                <w:bCs/>
                <w:sz w:val="24"/>
                <w:lang w:val="fr-FR"/>
              </w:rPr>
              <w:t xml:space="preserve"> été reportées pour 2014</w:t>
            </w:r>
          </w:p>
        </w:tc>
        <w:tc>
          <w:tcPr>
            <w:tcW w:w="3510" w:type="dxa"/>
            <w:tcBorders>
              <w:top w:val="single" w:sz="4" w:space="0" w:color="000000"/>
              <w:left w:val="single" w:sz="4" w:space="0" w:color="000000"/>
              <w:bottom w:val="single" w:sz="4" w:space="0" w:color="000000"/>
              <w:right w:val="single" w:sz="4" w:space="0" w:color="000000"/>
            </w:tcBorders>
          </w:tcPr>
          <w:p w:rsidR="00445535" w:rsidRPr="00E0416A" w:rsidRDefault="00445535" w:rsidP="00F17846">
            <w:pPr>
              <w:pStyle w:val="BodyText"/>
              <w:jc w:val="both"/>
              <w:rPr>
                <w:rFonts w:ascii="Times New Roman" w:hAnsi="Times New Roman"/>
                <w:bCs/>
                <w:sz w:val="24"/>
                <w:lang w:val="fr-FR"/>
              </w:rPr>
            </w:pPr>
          </w:p>
          <w:p w:rsidR="00445535" w:rsidRPr="00E0416A" w:rsidRDefault="00445535" w:rsidP="00F17846">
            <w:pPr>
              <w:pStyle w:val="BodyText"/>
              <w:jc w:val="both"/>
              <w:rPr>
                <w:rFonts w:ascii="Times New Roman" w:hAnsi="Times New Roman"/>
                <w:bCs/>
                <w:sz w:val="24"/>
                <w:lang w:val="fr-FR"/>
              </w:rPr>
            </w:pPr>
          </w:p>
          <w:p w:rsidR="00445535" w:rsidRPr="00E0416A" w:rsidRDefault="005851F7" w:rsidP="00F17846">
            <w:pPr>
              <w:pStyle w:val="BodyText"/>
              <w:jc w:val="both"/>
              <w:rPr>
                <w:rFonts w:ascii="Times New Roman" w:hAnsi="Times New Roman"/>
                <w:bCs/>
                <w:sz w:val="24"/>
                <w:lang w:val="fr-FR"/>
              </w:rPr>
            </w:pPr>
            <w:r w:rsidRPr="00E0416A">
              <w:rPr>
                <w:rFonts w:ascii="Times New Roman" w:hAnsi="Times New Roman"/>
                <w:bCs/>
                <w:sz w:val="24"/>
                <w:lang w:val="fr-FR"/>
              </w:rPr>
              <w:t>Rapports sur la marche mémorial et sur l’exposition thématique</w:t>
            </w: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r w:rsidRPr="00E0416A">
              <w:rPr>
                <w:rFonts w:ascii="Times New Roman" w:hAnsi="Times New Roman"/>
                <w:bCs/>
                <w:sz w:val="24"/>
                <w:lang w:val="fr-FR"/>
              </w:rPr>
              <w:t>Rapport</w:t>
            </w: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p w:rsidR="00F478DA" w:rsidRPr="00E0416A" w:rsidRDefault="00F478DA" w:rsidP="00F17846">
            <w:pPr>
              <w:pStyle w:val="BodyText"/>
              <w:jc w:val="both"/>
              <w:rPr>
                <w:rFonts w:ascii="Times New Roman" w:hAnsi="Times New Roman"/>
                <w:bCs/>
                <w:sz w:val="24"/>
                <w:lang w:val="fr-FR"/>
              </w:rPr>
            </w:pPr>
          </w:p>
        </w:tc>
      </w:tr>
      <w:tr w:rsidR="002B6761" w:rsidRPr="00E0416A" w:rsidTr="002B6761">
        <w:trPr>
          <w:trHeight w:val="1704"/>
        </w:trPr>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2B6761" w:rsidRPr="00E0416A" w:rsidRDefault="002B6761" w:rsidP="00F17846">
            <w:pPr>
              <w:rPr>
                <w:b/>
                <w:lang w:val="fr-FR"/>
              </w:rPr>
            </w:pPr>
            <w:r w:rsidRPr="00E0416A">
              <w:rPr>
                <w:b/>
                <w:lang w:val="fr-FR"/>
              </w:rPr>
              <w:lastRenderedPageBreak/>
              <w:t>Produit 1.6</w:t>
            </w:r>
          </w:p>
          <w:p w:rsidR="00F709DA" w:rsidRPr="00E0416A" w:rsidRDefault="00F709DA" w:rsidP="00F17846">
            <w:pPr>
              <w:rPr>
                <w:b/>
                <w:lang w:val="fr-FR"/>
              </w:rPr>
            </w:pPr>
            <w:r w:rsidRPr="00E0416A">
              <w:rPr>
                <w:color w:val="000000"/>
                <w:lang w:val="fr-FR"/>
              </w:rPr>
              <w:t>les capacités des organismes de réponse aux désastres sont augmentées :</w:t>
            </w:r>
          </w:p>
          <w:p w:rsidR="002B6761" w:rsidRPr="00E0416A" w:rsidRDefault="002B6761" w:rsidP="00F17846">
            <w:pPr>
              <w:rPr>
                <w:b/>
                <w:lang w:val="fr-FR"/>
              </w:rPr>
            </w:pPr>
            <w:r w:rsidRPr="00E0416A">
              <w:rPr>
                <w:b/>
                <w:lang w:val="fr-FR"/>
              </w:rPr>
              <w:t>Indicateur  1.6.1</w:t>
            </w:r>
          </w:p>
          <w:p w:rsidR="002B6761" w:rsidRPr="00E0416A" w:rsidRDefault="002B6761" w:rsidP="002B6761">
            <w:pPr>
              <w:rPr>
                <w:b/>
                <w:lang w:val="fr-FR"/>
              </w:rPr>
            </w:pPr>
            <w:r w:rsidRPr="00E0416A">
              <w:rPr>
                <w:b/>
                <w:lang w:val="fr-FR"/>
              </w:rPr>
              <w:t xml:space="preserve">Indicateur de référence: </w:t>
            </w:r>
            <w:r w:rsidR="00584F75" w:rsidRPr="00E0416A">
              <w:rPr>
                <w:lang w:val="fr-FR"/>
              </w:rPr>
              <w:t>scénario sismique réalisé dans les 3 villes</w:t>
            </w:r>
            <w:r w:rsidR="00584F75" w:rsidRPr="00E0416A">
              <w:rPr>
                <w:b/>
                <w:lang w:val="fr-FR"/>
              </w:rPr>
              <w:t xml:space="preserve"> </w:t>
            </w:r>
          </w:p>
          <w:p w:rsidR="002B6761" w:rsidRPr="00E0416A" w:rsidRDefault="002B6761" w:rsidP="002B6761">
            <w:pPr>
              <w:rPr>
                <w:b/>
                <w:lang w:val="fr-FR"/>
              </w:rPr>
            </w:pPr>
            <w:r w:rsidRPr="00E0416A">
              <w:rPr>
                <w:b/>
                <w:lang w:val="fr-FR"/>
              </w:rPr>
              <w:t xml:space="preserve">Indicateur cible: </w:t>
            </w:r>
            <w:r w:rsidR="00F709DA" w:rsidRPr="00E0416A">
              <w:rPr>
                <w:lang w:val="fr-FR"/>
              </w:rPr>
              <w:t>3 plans de contingence sismique sont élaborés</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2B6761" w:rsidRPr="00E0416A" w:rsidRDefault="002B6761" w:rsidP="00F17846">
            <w:pPr>
              <w:jc w:val="both"/>
              <w:rPr>
                <w:lang w:val="fr-FR"/>
              </w:rPr>
            </w:pPr>
          </w:p>
          <w:p w:rsidR="002B6761" w:rsidRPr="00E0416A" w:rsidRDefault="00270B3A" w:rsidP="00F17846">
            <w:pPr>
              <w:jc w:val="both"/>
              <w:rPr>
                <w:lang w:val="fr-FR"/>
              </w:rPr>
            </w:pPr>
            <w:r>
              <w:rPr>
                <w:lang w:val="fr-FR"/>
              </w:rPr>
              <w:t xml:space="preserve">Un </w:t>
            </w:r>
            <w:r w:rsidR="00584F75" w:rsidRPr="00E0416A">
              <w:rPr>
                <w:lang w:val="fr-FR"/>
              </w:rPr>
              <w:t xml:space="preserve">Consultant  expert </w:t>
            </w:r>
            <w:r>
              <w:rPr>
                <w:lang w:val="fr-FR"/>
              </w:rPr>
              <w:t xml:space="preserve">en risque </w:t>
            </w:r>
            <w:r w:rsidR="00584F75" w:rsidRPr="00E0416A">
              <w:rPr>
                <w:lang w:val="fr-FR"/>
              </w:rPr>
              <w:t>sismique est recruté et les travaux de la bibliographie de la première phase de ce plan ont été produits</w:t>
            </w:r>
          </w:p>
          <w:p w:rsidR="002B6761" w:rsidRPr="00E0416A" w:rsidRDefault="002B6761" w:rsidP="00F17846">
            <w:pPr>
              <w:jc w:val="both"/>
              <w:rPr>
                <w:lang w:val="fr-FR"/>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B6761" w:rsidRPr="00E0416A" w:rsidRDefault="002B6761" w:rsidP="00F17846">
            <w:pPr>
              <w:pStyle w:val="BodyText"/>
              <w:jc w:val="both"/>
              <w:rPr>
                <w:rFonts w:ascii="Times New Roman" w:hAnsi="Times New Roman"/>
                <w:bCs/>
                <w:sz w:val="24"/>
                <w:lang w:val="fr-FR"/>
              </w:rPr>
            </w:pPr>
          </w:p>
          <w:p w:rsidR="002B6761" w:rsidRPr="00E0416A" w:rsidRDefault="00F44331" w:rsidP="00F17846">
            <w:pPr>
              <w:pStyle w:val="BodyText"/>
              <w:jc w:val="both"/>
              <w:rPr>
                <w:rFonts w:ascii="Times New Roman" w:hAnsi="Times New Roman"/>
                <w:bCs/>
                <w:sz w:val="24"/>
                <w:lang w:val="fr-FR"/>
              </w:rPr>
            </w:pPr>
            <w:r w:rsidRPr="00E0416A">
              <w:rPr>
                <w:rFonts w:ascii="Times New Roman" w:hAnsi="Times New Roman"/>
                <w:bCs/>
                <w:sz w:val="24"/>
                <w:lang w:val="fr-FR"/>
              </w:rPr>
              <w:t>L’expert va exécuter les autres  travaux  en 2014. Les scenarios sismiques sont prévus pour l’année 2014</w:t>
            </w:r>
          </w:p>
        </w:tc>
        <w:tc>
          <w:tcPr>
            <w:tcW w:w="3510" w:type="dxa"/>
            <w:tcBorders>
              <w:top w:val="single" w:sz="4" w:space="0" w:color="000000"/>
              <w:left w:val="single" w:sz="4" w:space="0" w:color="000000"/>
              <w:bottom w:val="single" w:sz="4" w:space="0" w:color="000000"/>
              <w:right w:val="single" w:sz="4" w:space="0" w:color="000000"/>
            </w:tcBorders>
          </w:tcPr>
          <w:p w:rsidR="002B6761" w:rsidRPr="00E0416A" w:rsidRDefault="002B6761" w:rsidP="00F17846">
            <w:pPr>
              <w:pStyle w:val="BodyText"/>
              <w:jc w:val="both"/>
              <w:rPr>
                <w:rFonts w:ascii="Times New Roman" w:hAnsi="Times New Roman"/>
                <w:bCs/>
                <w:sz w:val="24"/>
                <w:lang w:val="fr-FR"/>
              </w:rPr>
            </w:pPr>
          </w:p>
          <w:p w:rsidR="002B6761" w:rsidRPr="00E0416A" w:rsidRDefault="002B6761" w:rsidP="00F17846">
            <w:pPr>
              <w:pStyle w:val="BodyText"/>
              <w:jc w:val="both"/>
              <w:rPr>
                <w:rFonts w:ascii="Times New Roman" w:hAnsi="Times New Roman"/>
                <w:bCs/>
                <w:sz w:val="24"/>
                <w:lang w:val="fr-FR"/>
              </w:rPr>
            </w:pPr>
          </w:p>
          <w:p w:rsidR="002B6761" w:rsidRPr="00E0416A" w:rsidRDefault="002B6761" w:rsidP="00F17846">
            <w:pPr>
              <w:pStyle w:val="BodyText"/>
              <w:jc w:val="both"/>
              <w:rPr>
                <w:rFonts w:ascii="Times New Roman" w:hAnsi="Times New Roman"/>
                <w:bCs/>
                <w:sz w:val="24"/>
                <w:lang w:val="fr-FR"/>
              </w:rPr>
            </w:pPr>
            <w:r w:rsidRPr="00E0416A">
              <w:rPr>
                <w:rFonts w:ascii="Times New Roman" w:hAnsi="Times New Roman"/>
                <w:bCs/>
                <w:sz w:val="24"/>
                <w:lang w:val="fr-FR"/>
              </w:rPr>
              <w:t>Rappor</w:t>
            </w:r>
            <w:r w:rsidR="00F44331" w:rsidRPr="00E0416A">
              <w:rPr>
                <w:rFonts w:ascii="Times New Roman" w:hAnsi="Times New Roman"/>
                <w:bCs/>
                <w:sz w:val="24"/>
                <w:lang w:val="fr-FR"/>
              </w:rPr>
              <w:t>t</w:t>
            </w:r>
          </w:p>
        </w:tc>
      </w:tr>
    </w:tbl>
    <w:p w:rsidR="003E2682" w:rsidRPr="00E0416A" w:rsidRDefault="003E2682" w:rsidP="003E2682">
      <w:pPr>
        <w:pStyle w:val="BodyText"/>
        <w:jc w:val="both"/>
        <w:rPr>
          <w:rFonts w:ascii="Times New Roman" w:hAnsi="Times New Roman"/>
          <w:sz w:val="24"/>
          <w:lang w:val="fr-FR"/>
        </w:rPr>
        <w:sectPr w:rsidR="003E2682" w:rsidRPr="00E0416A" w:rsidSect="003E2682">
          <w:pgSz w:w="15840" w:h="12240" w:orient="landscape" w:code="1"/>
          <w:pgMar w:top="806" w:right="810" w:bottom="810" w:left="1354" w:header="720" w:footer="418" w:gutter="0"/>
          <w:cols w:space="720"/>
          <w:docGrid w:linePitch="360"/>
        </w:sectPr>
      </w:pPr>
    </w:p>
    <w:p w:rsidR="003E2682" w:rsidRPr="00E0416A" w:rsidRDefault="003E2682" w:rsidP="003E2682">
      <w:pPr>
        <w:pStyle w:val="BodyText"/>
        <w:ind w:left="360"/>
        <w:jc w:val="both"/>
        <w:rPr>
          <w:rFonts w:ascii="Times New Roman" w:hAnsi="Times New Roman"/>
          <w:b/>
          <w:sz w:val="24"/>
          <w:lang w:val="fr-FR"/>
        </w:rPr>
      </w:pPr>
      <w:r w:rsidRPr="00E0416A">
        <w:rPr>
          <w:rFonts w:ascii="Times New Roman" w:hAnsi="Times New Roman"/>
          <w:b/>
          <w:sz w:val="24"/>
          <w:lang w:val="fr-FR"/>
        </w:rPr>
        <w:lastRenderedPageBreak/>
        <w:t>iii) Une illustration narrative spécifique (</w:t>
      </w:r>
      <w:r w:rsidR="00C20BA5">
        <w:rPr>
          <w:rFonts w:ascii="Times New Roman" w:hAnsi="Times New Roman"/>
          <w:b/>
          <w:sz w:val="24"/>
          <w:lang w:val="fr-FR"/>
        </w:rPr>
        <w:t xml:space="preserve">Bureau Projet </w:t>
      </w:r>
      <w:proofErr w:type="spellStart"/>
      <w:r w:rsidR="00C20BA5">
        <w:rPr>
          <w:rFonts w:ascii="Times New Roman" w:hAnsi="Times New Roman"/>
          <w:b/>
          <w:sz w:val="24"/>
          <w:lang w:val="fr-FR"/>
        </w:rPr>
        <w:t>Nord Ouest</w:t>
      </w:r>
      <w:proofErr w:type="spellEnd"/>
      <w:r w:rsidR="00270B3A">
        <w:rPr>
          <w:rFonts w:ascii="Times New Roman" w:hAnsi="Times New Roman"/>
          <w:b/>
          <w:sz w:val="24"/>
          <w:lang w:val="fr-FR"/>
        </w:rPr>
        <w:t>)</w:t>
      </w:r>
      <w:r w:rsidR="00C20BA5">
        <w:rPr>
          <w:rFonts w:ascii="Times New Roman" w:hAnsi="Times New Roman"/>
          <w:b/>
          <w:sz w:val="24"/>
          <w:lang w:val="fr-FR"/>
        </w:rPr>
        <w:t>.</w:t>
      </w:r>
    </w:p>
    <w:p w:rsidR="003E2682" w:rsidRPr="00E0416A" w:rsidRDefault="003E2682" w:rsidP="003E2682">
      <w:pPr>
        <w:pStyle w:val="BodyText"/>
        <w:jc w:val="both"/>
        <w:rPr>
          <w:rFonts w:ascii="Times New Roman" w:hAnsi="Times New Roman"/>
          <w:b/>
          <w:sz w:val="24"/>
          <w:lang w:val="fr-FR"/>
        </w:rPr>
      </w:pPr>
    </w:p>
    <w:p w:rsidR="00C2019C" w:rsidRDefault="003E2682" w:rsidP="00C20BA5">
      <w:pPr>
        <w:pStyle w:val="BodyText"/>
        <w:ind w:left="720"/>
        <w:jc w:val="both"/>
        <w:rPr>
          <w:rFonts w:ascii="Times New Roman" w:hAnsi="Times New Roman"/>
          <w:sz w:val="24"/>
          <w:lang w:val="fr-FR"/>
        </w:rPr>
      </w:pPr>
      <w:bookmarkStart w:id="4" w:name="_GoBack"/>
      <w:bookmarkEnd w:id="4"/>
      <w:r w:rsidRPr="00E0416A">
        <w:rPr>
          <w:rFonts w:ascii="Times New Roman" w:hAnsi="Times New Roman"/>
          <w:sz w:val="24"/>
          <w:lang w:val="fr-FR"/>
        </w:rPr>
        <w:t xml:space="preserve">. </w:t>
      </w:r>
    </w:p>
    <w:p w:rsidR="003E2682" w:rsidRDefault="00EC7940" w:rsidP="0070213B">
      <w:pPr>
        <w:pStyle w:val="BodyText"/>
        <w:shd w:val="clear" w:color="auto" w:fill="FFFFFF"/>
        <w:jc w:val="both"/>
        <w:rPr>
          <w:rFonts w:ascii="Times New Roman" w:hAnsi="Times New Roman"/>
          <w:sz w:val="24"/>
          <w:lang w:val="fr-FR"/>
        </w:rPr>
      </w:pPr>
      <w:r w:rsidRPr="0070213B">
        <w:rPr>
          <w:rFonts w:ascii="Times New Roman" w:hAnsi="Times New Roman"/>
          <w:sz w:val="24"/>
          <w:lang w:val="fr-FR"/>
        </w:rPr>
        <w:t xml:space="preserve">On a tellement parlé de séisme  que la moindre vibration met les gens en état d’alerte </w:t>
      </w:r>
      <w:r w:rsidR="00C2019C" w:rsidRPr="0070213B">
        <w:rPr>
          <w:rFonts w:ascii="Times New Roman" w:hAnsi="Times New Roman"/>
          <w:sz w:val="24"/>
          <w:lang w:val="fr-FR"/>
        </w:rPr>
        <w:t xml:space="preserve">maximum </w:t>
      </w:r>
      <w:r w:rsidRPr="0070213B">
        <w:rPr>
          <w:rFonts w:ascii="Times New Roman" w:hAnsi="Times New Roman"/>
          <w:sz w:val="24"/>
          <w:lang w:val="fr-FR"/>
        </w:rPr>
        <w:t xml:space="preserve">et ceci même au niveau des foyers. Tout ceci c’est pour expliquer l’histoire de ce qui se produisait à la </w:t>
      </w:r>
      <w:r w:rsidR="00270B3A">
        <w:rPr>
          <w:rFonts w:ascii="Times New Roman" w:hAnsi="Times New Roman"/>
          <w:sz w:val="24"/>
          <w:lang w:val="fr-FR"/>
        </w:rPr>
        <w:t>B</w:t>
      </w:r>
      <w:r w:rsidRPr="0070213B">
        <w:rPr>
          <w:rFonts w:ascii="Times New Roman" w:hAnsi="Times New Roman"/>
          <w:sz w:val="24"/>
          <w:lang w:val="fr-FR"/>
        </w:rPr>
        <w:t xml:space="preserve">anque </w:t>
      </w:r>
      <w:r w:rsidR="00270B3A">
        <w:rPr>
          <w:rFonts w:ascii="Times New Roman" w:hAnsi="Times New Roman"/>
          <w:sz w:val="24"/>
          <w:lang w:val="fr-FR"/>
        </w:rPr>
        <w:t>N</w:t>
      </w:r>
      <w:r w:rsidRPr="0070213B">
        <w:rPr>
          <w:rFonts w:ascii="Times New Roman" w:hAnsi="Times New Roman"/>
          <w:sz w:val="24"/>
          <w:lang w:val="fr-FR"/>
        </w:rPr>
        <w:t xml:space="preserve">ationale de </w:t>
      </w:r>
      <w:r w:rsidR="00270B3A">
        <w:rPr>
          <w:rFonts w:ascii="Times New Roman" w:hAnsi="Times New Roman"/>
          <w:sz w:val="24"/>
          <w:lang w:val="fr-FR"/>
        </w:rPr>
        <w:t>C</w:t>
      </w:r>
      <w:r w:rsidRPr="0070213B">
        <w:rPr>
          <w:rFonts w:ascii="Times New Roman" w:hAnsi="Times New Roman"/>
          <w:sz w:val="24"/>
          <w:lang w:val="fr-FR"/>
        </w:rPr>
        <w:t>rédit (BNC</w:t>
      </w:r>
      <w:r w:rsidR="0070213B">
        <w:rPr>
          <w:rFonts w:ascii="Times New Roman" w:hAnsi="Times New Roman"/>
          <w:sz w:val="24"/>
          <w:lang w:val="fr-FR"/>
        </w:rPr>
        <w:t xml:space="preserve"> </w:t>
      </w:r>
      <w:r w:rsidR="00270B3A">
        <w:rPr>
          <w:rFonts w:ascii="Times New Roman" w:hAnsi="Times New Roman"/>
          <w:sz w:val="24"/>
          <w:lang w:val="fr-FR"/>
        </w:rPr>
        <w:t xml:space="preserve">de </w:t>
      </w:r>
      <w:r w:rsidR="0070213B">
        <w:rPr>
          <w:rFonts w:ascii="Times New Roman" w:hAnsi="Times New Roman"/>
          <w:sz w:val="24"/>
          <w:lang w:val="fr-FR"/>
        </w:rPr>
        <w:t>Port</w:t>
      </w:r>
      <w:r w:rsidR="00270B3A">
        <w:rPr>
          <w:rFonts w:ascii="Times New Roman" w:hAnsi="Times New Roman"/>
          <w:sz w:val="24"/>
          <w:lang w:val="fr-FR"/>
        </w:rPr>
        <w:t>-</w:t>
      </w:r>
      <w:r w:rsidR="0070213B">
        <w:rPr>
          <w:rFonts w:ascii="Times New Roman" w:hAnsi="Times New Roman"/>
          <w:sz w:val="24"/>
          <w:lang w:val="fr-FR"/>
        </w:rPr>
        <w:t>de</w:t>
      </w:r>
      <w:r w:rsidR="00270B3A">
        <w:rPr>
          <w:rFonts w:ascii="Times New Roman" w:hAnsi="Times New Roman"/>
          <w:sz w:val="24"/>
          <w:lang w:val="fr-FR"/>
        </w:rPr>
        <w:t>-</w:t>
      </w:r>
      <w:r w:rsidR="0070213B">
        <w:rPr>
          <w:rFonts w:ascii="Times New Roman" w:hAnsi="Times New Roman"/>
          <w:sz w:val="24"/>
          <w:lang w:val="fr-FR"/>
        </w:rPr>
        <w:t xml:space="preserve">Paix </w:t>
      </w:r>
      <w:r w:rsidR="00D846BF">
        <w:rPr>
          <w:rFonts w:ascii="Times New Roman" w:hAnsi="Times New Roman"/>
          <w:sz w:val="24"/>
          <w:lang w:val="fr-FR"/>
        </w:rPr>
        <w:t>après</w:t>
      </w:r>
      <w:r w:rsidR="0070213B">
        <w:rPr>
          <w:rFonts w:ascii="Times New Roman" w:hAnsi="Times New Roman"/>
          <w:sz w:val="24"/>
          <w:lang w:val="fr-FR"/>
        </w:rPr>
        <w:t xml:space="preserve"> les secousses de Mars 2013</w:t>
      </w:r>
      <w:r w:rsidRPr="0070213B">
        <w:rPr>
          <w:rFonts w:ascii="Times New Roman" w:hAnsi="Times New Roman"/>
          <w:sz w:val="24"/>
          <w:lang w:val="fr-FR"/>
        </w:rPr>
        <w:t xml:space="preserve">) où une </w:t>
      </w:r>
      <w:r w:rsidR="0070213B">
        <w:rPr>
          <w:rFonts w:ascii="Times New Roman" w:hAnsi="Times New Roman"/>
          <w:sz w:val="24"/>
          <w:lang w:val="fr-FR"/>
        </w:rPr>
        <w:t>vibration</w:t>
      </w:r>
      <w:r w:rsidRPr="0070213B">
        <w:rPr>
          <w:rFonts w:ascii="Times New Roman" w:hAnsi="Times New Roman"/>
          <w:sz w:val="24"/>
          <w:lang w:val="fr-FR"/>
        </w:rPr>
        <w:t xml:space="preserve"> émanant du  passage d’une excavatrice dans les rues a fait fuir tout  le monde. Le personnel était sur pied de guerre en voulant tour abandonner pour se mettre à l’abri. Témoin</w:t>
      </w:r>
      <w:r w:rsidR="00B1033B">
        <w:rPr>
          <w:rFonts w:ascii="Times New Roman" w:hAnsi="Times New Roman"/>
          <w:sz w:val="24"/>
          <w:lang w:val="fr-FR"/>
        </w:rPr>
        <w:t>s</w:t>
      </w:r>
      <w:r w:rsidRPr="0070213B">
        <w:rPr>
          <w:rFonts w:ascii="Times New Roman" w:hAnsi="Times New Roman"/>
          <w:sz w:val="24"/>
          <w:lang w:val="fr-FR"/>
        </w:rPr>
        <w:t xml:space="preserve"> oculaire</w:t>
      </w:r>
      <w:r w:rsidR="00B1033B">
        <w:rPr>
          <w:rFonts w:ascii="Times New Roman" w:hAnsi="Times New Roman"/>
          <w:sz w:val="24"/>
          <w:lang w:val="fr-FR"/>
        </w:rPr>
        <w:t>s</w:t>
      </w:r>
      <w:r w:rsidRPr="0070213B">
        <w:rPr>
          <w:rFonts w:ascii="Times New Roman" w:hAnsi="Times New Roman"/>
          <w:sz w:val="24"/>
          <w:lang w:val="fr-FR"/>
        </w:rPr>
        <w:t xml:space="preserve"> de cette scène et pour éviter une répétition de panique pour rien, nous avons pensé à une multiplication de nos </w:t>
      </w:r>
      <w:r w:rsidR="00C20BA5">
        <w:rPr>
          <w:rFonts w:ascii="Times New Roman" w:hAnsi="Times New Roman"/>
          <w:sz w:val="24"/>
          <w:lang w:val="fr-FR"/>
        </w:rPr>
        <w:t xml:space="preserve">dépliants </w:t>
      </w:r>
      <w:r w:rsidRPr="0070213B">
        <w:rPr>
          <w:rFonts w:ascii="Times New Roman" w:hAnsi="Times New Roman"/>
          <w:sz w:val="24"/>
          <w:lang w:val="fr-FR"/>
        </w:rPr>
        <w:t>qui parlent de tout ce qu’on doit faire avant, pendant et après un tremblement de terre. Depuis, lors de nos interventions à la radio et des séances de formation, une place de choix est accordée à cette rubrique  qui parle de la panique. La population doit avoir un réflexe la permettant de bien réagir dans ces genres de situation. La phrase retenue de tout cela c’est : « </w:t>
      </w:r>
      <w:r w:rsidRPr="00C20BA5">
        <w:rPr>
          <w:rFonts w:ascii="Times New Roman" w:hAnsi="Times New Roman"/>
          <w:i/>
          <w:sz w:val="24"/>
          <w:lang w:val="fr-FR"/>
        </w:rPr>
        <w:t>la panique tue »</w:t>
      </w:r>
      <w:r w:rsidRPr="0070213B">
        <w:rPr>
          <w:rFonts w:ascii="Times New Roman" w:hAnsi="Times New Roman"/>
          <w:sz w:val="24"/>
          <w:lang w:val="fr-FR"/>
        </w:rPr>
        <w:t xml:space="preserve">. Puisque la panique tue, les gens doivent changer de comportement en adoptant une attitude autre.   </w:t>
      </w:r>
    </w:p>
    <w:p w:rsidR="00EC7940" w:rsidRDefault="00EC7940" w:rsidP="003E2682">
      <w:pPr>
        <w:pStyle w:val="BodyText"/>
        <w:jc w:val="both"/>
        <w:rPr>
          <w:rFonts w:ascii="Times New Roman" w:hAnsi="Times New Roman"/>
          <w:sz w:val="24"/>
          <w:lang w:val="fr-FR"/>
        </w:rPr>
      </w:pPr>
    </w:p>
    <w:p w:rsidR="00EC7940" w:rsidRPr="00DF6E05" w:rsidRDefault="00EC7940" w:rsidP="00EC7940">
      <w:pPr>
        <w:pStyle w:val="BodyText"/>
        <w:jc w:val="center"/>
        <w:rPr>
          <w:noProof/>
          <w:lang w:val="fr-FR"/>
        </w:rPr>
      </w:pPr>
    </w:p>
    <w:p w:rsidR="003E2682" w:rsidRPr="00E0416A" w:rsidRDefault="003E2682" w:rsidP="003E2682">
      <w:pPr>
        <w:pStyle w:val="BodyText"/>
        <w:rPr>
          <w:rFonts w:ascii="Times New Roman" w:hAnsi="Times New Roman"/>
          <w:b/>
          <w:sz w:val="24"/>
          <w:lang w:val="fr-FR"/>
        </w:rPr>
      </w:pPr>
      <w:r w:rsidRPr="00E0416A">
        <w:rPr>
          <w:rFonts w:ascii="Times New Roman" w:hAnsi="Times New Roman"/>
          <w:b/>
          <w:sz w:val="24"/>
          <w:lang w:val="fr-FR"/>
        </w:rPr>
        <w:t>III.</w:t>
      </w:r>
      <w:r w:rsidRPr="00E0416A">
        <w:rPr>
          <w:rFonts w:ascii="Times New Roman" w:hAnsi="Times New Roman"/>
          <w:b/>
          <w:sz w:val="24"/>
          <w:lang w:val="fr-FR"/>
        </w:rPr>
        <w:tab/>
        <w:t>Autres bilans ou évaluations (le cas échéant)</w:t>
      </w:r>
    </w:p>
    <w:p w:rsidR="003E2682" w:rsidRPr="00E0416A" w:rsidRDefault="003E2682" w:rsidP="003E2682">
      <w:pPr>
        <w:pStyle w:val="BodyText"/>
        <w:ind w:firstLine="360"/>
        <w:rPr>
          <w:rFonts w:ascii="Times New Roman" w:hAnsi="Times New Roman"/>
          <w:sz w:val="24"/>
          <w:lang w:val="fr-FR"/>
        </w:rPr>
      </w:pPr>
      <w:r w:rsidRPr="00E0416A">
        <w:rPr>
          <w:rFonts w:ascii="Times New Roman" w:hAnsi="Times New Roman"/>
          <w:sz w:val="24"/>
          <w:lang w:val="fr-FR"/>
        </w:rPr>
        <w:t>• Veuillez indiquer tout rapport d’évaluation ou étude réalisée.</w:t>
      </w:r>
    </w:p>
    <w:p w:rsidR="00847C6F" w:rsidRPr="00E0416A" w:rsidRDefault="00847C6F" w:rsidP="003E2682">
      <w:pPr>
        <w:pStyle w:val="BodyText"/>
        <w:ind w:firstLine="360"/>
        <w:rPr>
          <w:rFonts w:ascii="Times New Roman" w:hAnsi="Times New Roman"/>
          <w:sz w:val="24"/>
          <w:lang w:val="fr-FR"/>
        </w:rPr>
      </w:pPr>
      <w:r w:rsidRPr="00525E50">
        <w:rPr>
          <w:rFonts w:ascii="Times New Roman" w:hAnsi="Times New Roman"/>
          <w:sz w:val="24"/>
          <w:lang w:val="fr-FR"/>
        </w:rPr>
        <w:t xml:space="preserve">Voir en </w:t>
      </w:r>
      <w:r w:rsidR="00B1033B">
        <w:rPr>
          <w:rFonts w:ascii="Times New Roman" w:hAnsi="Times New Roman"/>
          <w:sz w:val="24"/>
          <w:lang w:val="fr-FR"/>
        </w:rPr>
        <w:t xml:space="preserve">annexe </w:t>
      </w:r>
      <w:r w:rsidRPr="00525E50">
        <w:rPr>
          <w:rFonts w:ascii="Times New Roman" w:hAnsi="Times New Roman"/>
          <w:sz w:val="24"/>
          <w:lang w:val="fr-FR"/>
        </w:rPr>
        <w:t xml:space="preserve"> la note d’avancement du micro zonage</w:t>
      </w:r>
      <w:r w:rsidRPr="00E0416A">
        <w:rPr>
          <w:rFonts w:ascii="Times New Roman" w:hAnsi="Times New Roman"/>
          <w:sz w:val="24"/>
          <w:lang w:val="fr-FR"/>
        </w:rPr>
        <w:t>.</w:t>
      </w:r>
      <w:r w:rsidR="00525E50">
        <w:rPr>
          <w:rFonts w:ascii="Times New Roman" w:hAnsi="Times New Roman"/>
          <w:sz w:val="24"/>
          <w:lang w:val="fr-FR"/>
        </w:rPr>
        <w:t xml:space="preserve"> (Annexe</w:t>
      </w:r>
      <w:r w:rsidR="00C20BA5">
        <w:rPr>
          <w:rFonts w:ascii="Times New Roman" w:hAnsi="Times New Roman"/>
          <w:sz w:val="24"/>
          <w:lang w:val="fr-FR"/>
        </w:rPr>
        <w:t xml:space="preserve"> 1)</w:t>
      </w:r>
    </w:p>
    <w:p w:rsidR="003E2682" w:rsidRPr="00E0416A" w:rsidRDefault="003E2682" w:rsidP="003E2682">
      <w:pPr>
        <w:pStyle w:val="BodyText"/>
        <w:jc w:val="both"/>
        <w:rPr>
          <w:rFonts w:ascii="Times New Roman" w:hAnsi="Times New Roman"/>
          <w:sz w:val="24"/>
          <w:lang w:val="fr-FR"/>
        </w:rPr>
      </w:pPr>
    </w:p>
    <w:p w:rsidR="003E2682" w:rsidRPr="00E0416A" w:rsidRDefault="003E2682" w:rsidP="003E2682">
      <w:pPr>
        <w:pStyle w:val="BodyText"/>
        <w:jc w:val="both"/>
        <w:rPr>
          <w:rFonts w:ascii="Times New Roman" w:hAnsi="Times New Roman"/>
          <w:b/>
          <w:sz w:val="24"/>
          <w:lang w:val="fr-FR"/>
        </w:rPr>
      </w:pPr>
      <w:r w:rsidRPr="00E0416A">
        <w:rPr>
          <w:rFonts w:ascii="Times New Roman" w:hAnsi="Times New Roman"/>
          <w:b/>
          <w:sz w:val="24"/>
          <w:lang w:val="fr-FR"/>
        </w:rPr>
        <w:t>IV.</w:t>
      </w:r>
      <w:r w:rsidRPr="00E0416A">
        <w:rPr>
          <w:rFonts w:ascii="Times New Roman" w:hAnsi="Times New Roman"/>
          <w:b/>
          <w:sz w:val="24"/>
          <w:lang w:val="fr-FR"/>
        </w:rPr>
        <w:tab/>
        <w:t>Révisions programmatiques (le cas échéant)</w:t>
      </w:r>
    </w:p>
    <w:p w:rsidR="003E2682" w:rsidRPr="00E0416A" w:rsidRDefault="003E2682" w:rsidP="003E2682">
      <w:pPr>
        <w:pStyle w:val="BodyText"/>
        <w:ind w:firstLine="360"/>
        <w:rPr>
          <w:rFonts w:ascii="Times New Roman" w:hAnsi="Times New Roman"/>
          <w:sz w:val="24"/>
          <w:lang w:val="fr-FR"/>
        </w:rPr>
      </w:pPr>
      <w:r w:rsidRPr="00E0416A">
        <w:rPr>
          <w:rFonts w:ascii="Times New Roman" w:hAnsi="Times New Roman"/>
          <w:sz w:val="24"/>
          <w:lang w:val="fr-FR"/>
        </w:rPr>
        <w:t>• Indiquer toute modification importante dans les stratégies, les objectifs ou les résultats clés qui ont eu lieu.</w:t>
      </w:r>
    </w:p>
    <w:p w:rsidR="003E2682" w:rsidRPr="00E0416A" w:rsidRDefault="00847C6F" w:rsidP="003E2682">
      <w:pPr>
        <w:pStyle w:val="BodyText"/>
        <w:jc w:val="both"/>
        <w:rPr>
          <w:rFonts w:ascii="Times New Roman" w:hAnsi="Times New Roman"/>
          <w:sz w:val="24"/>
          <w:lang w:val="fr-FR"/>
        </w:rPr>
      </w:pPr>
      <w:r w:rsidRPr="00525E50">
        <w:rPr>
          <w:rFonts w:ascii="Times New Roman" w:hAnsi="Times New Roman"/>
          <w:sz w:val="24"/>
          <w:lang w:val="fr-FR"/>
        </w:rPr>
        <w:t>N/A  C’est vraiment non applicable</w:t>
      </w:r>
    </w:p>
    <w:p w:rsidR="00847C6F" w:rsidRPr="00E0416A" w:rsidRDefault="00847C6F" w:rsidP="003E2682">
      <w:pPr>
        <w:pStyle w:val="BodyText"/>
        <w:jc w:val="both"/>
        <w:rPr>
          <w:rFonts w:ascii="Times New Roman" w:hAnsi="Times New Roman"/>
          <w:sz w:val="24"/>
          <w:lang w:val="fr-FR"/>
        </w:rPr>
      </w:pPr>
    </w:p>
    <w:p w:rsidR="003E2682" w:rsidRPr="00E0416A" w:rsidRDefault="003E2682" w:rsidP="003E2682">
      <w:pPr>
        <w:pStyle w:val="BodyText"/>
        <w:rPr>
          <w:rFonts w:ascii="Times New Roman" w:hAnsi="Times New Roman"/>
          <w:b/>
          <w:sz w:val="24"/>
          <w:lang w:val="fr-FR"/>
        </w:rPr>
      </w:pPr>
    </w:p>
    <w:p w:rsidR="00847C6F" w:rsidRPr="00E0416A" w:rsidRDefault="00847C6F" w:rsidP="00847C6F">
      <w:pPr>
        <w:pStyle w:val="BodyText2"/>
        <w:rPr>
          <w:rStyle w:val="hps"/>
          <w:rFonts w:ascii="Times New Roman" w:hAnsi="Times New Roman" w:cs="Times New Roman"/>
          <w:sz w:val="24"/>
          <w:szCs w:val="24"/>
          <w:lang w:val="fr-FR"/>
        </w:rPr>
      </w:pPr>
    </w:p>
    <w:p w:rsidR="00847C6F" w:rsidRPr="00E0416A" w:rsidRDefault="00847C6F" w:rsidP="00847C6F">
      <w:pPr>
        <w:pStyle w:val="BodyText"/>
        <w:tabs>
          <w:tab w:val="left" w:pos="360"/>
        </w:tabs>
        <w:ind w:left="720"/>
        <w:rPr>
          <w:rFonts w:ascii="Times New Roman" w:hAnsi="Times New Roman"/>
          <w:bCs/>
          <w:sz w:val="24"/>
          <w:szCs w:val="24"/>
          <w:lang w:val="fr-FR"/>
        </w:rPr>
      </w:pPr>
    </w:p>
    <w:p w:rsidR="003E2682" w:rsidRPr="00E0416A" w:rsidRDefault="003E2682" w:rsidP="00F41DFF">
      <w:pPr>
        <w:pStyle w:val="BodyText"/>
        <w:rPr>
          <w:rFonts w:ascii="Times New Roman" w:hAnsi="Times New Roman"/>
          <w:sz w:val="24"/>
          <w:lang w:val="fr-FR"/>
        </w:rPr>
      </w:pPr>
    </w:p>
    <w:sectPr w:rsidR="003E2682" w:rsidRPr="00E0416A" w:rsidSect="003E2682">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AD" w:rsidRDefault="004317AD">
      <w:r>
        <w:separator/>
      </w:r>
    </w:p>
  </w:endnote>
  <w:endnote w:type="continuationSeparator" w:id="0">
    <w:p w:rsidR="004317AD" w:rsidRDefault="0043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BD" w:rsidRDefault="00BB3DB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AD5AE6">
      <w:rPr>
        <w:rFonts w:ascii="Arial" w:hAnsi="Arial" w:cs="Arial"/>
        <w:sz w:val="18"/>
        <w:szCs w:val="18"/>
      </w:rPr>
      <w:fldChar w:fldCharType="begin"/>
    </w:r>
    <w:r>
      <w:rPr>
        <w:rFonts w:ascii="Arial" w:hAnsi="Arial" w:cs="Arial"/>
        <w:sz w:val="18"/>
        <w:szCs w:val="18"/>
      </w:rPr>
      <w:instrText xml:space="preserve"> PAGE   \* MERGEFORMAT </w:instrText>
    </w:r>
    <w:r w:rsidR="00AD5AE6">
      <w:rPr>
        <w:rFonts w:ascii="Arial" w:hAnsi="Arial" w:cs="Arial"/>
        <w:sz w:val="18"/>
        <w:szCs w:val="18"/>
      </w:rPr>
      <w:fldChar w:fldCharType="separate"/>
    </w:r>
    <w:r w:rsidR="00DF6E05">
      <w:rPr>
        <w:rFonts w:ascii="Arial" w:hAnsi="Arial" w:cs="Arial"/>
        <w:noProof/>
        <w:sz w:val="18"/>
        <w:szCs w:val="18"/>
      </w:rPr>
      <w:t>13</w:t>
    </w:r>
    <w:r w:rsidR="00AD5AE6">
      <w:rPr>
        <w:rFonts w:ascii="Arial" w:hAnsi="Arial" w:cs="Arial"/>
        <w:sz w:val="18"/>
        <w:szCs w:val="18"/>
      </w:rPr>
      <w:fldChar w:fldCharType="end"/>
    </w:r>
    <w:r>
      <w:rPr>
        <w:rFonts w:ascii="Arial" w:hAnsi="Arial" w:cs="Arial"/>
        <w:sz w:val="18"/>
        <w:szCs w:val="18"/>
      </w:rPr>
      <w:t xml:space="preserve"> of </w:t>
    </w:r>
    <w:fldSimple w:instr=" NUMPAGES   \* MERGEFORMAT ">
      <w:r w:rsidR="00DF6E05" w:rsidRPr="00DF6E05">
        <w:rPr>
          <w:rFonts w:ascii="Arial" w:hAnsi="Arial" w:cs="Arial"/>
          <w:noProof/>
          <w:sz w:val="18"/>
          <w:szCs w:val="18"/>
        </w:rPr>
        <w:t>14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DBD" w:rsidRDefault="00BB3DB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AD5AE6">
      <w:rPr>
        <w:rFonts w:ascii="Arial" w:hAnsi="Arial" w:cs="Arial"/>
        <w:sz w:val="18"/>
        <w:szCs w:val="18"/>
      </w:rPr>
      <w:fldChar w:fldCharType="begin"/>
    </w:r>
    <w:r>
      <w:rPr>
        <w:rFonts w:ascii="Arial" w:hAnsi="Arial" w:cs="Arial"/>
        <w:sz w:val="18"/>
        <w:szCs w:val="18"/>
      </w:rPr>
      <w:instrText xml:space="preserve"> PAGE   \* MERGEFORMAT </w:instrText>
    </w:r>
    <w:r w:rsidR="00AD5AE6">
      <w:rPr>
        <w:rFonts w:ascii="Arial" w:hAnsi="Arial" w:cs="Arial"/>
        <w:sz w:val="18"/>
        <w:szCs w:val="18"/>
      </w:rPr>
      <w:fldChar w:fldCharType="separate"/>
    </w:r>
    <w:r>
      <w:rPr>
        <w:rFonts w:ascii="Arial" w:hAnsi="Arial" w:cs="Arial"/>
        <w:noProof/>
        <w:sz w:val="18"/>
        <w:szCs w:val="18"/>
      </w:rPr>
      <w:t>5</w:t>
    </w:r>
    <w:r w:rsidR="00AD5AE6">
      <w:rPr>
        <w:rFonts w:ascii="Arial" w:hAnsi="Arial" w:cs="Arial"/>
        <w:sz w:val="18"/>
        <w:szCs w:val="18"/>
      </w:rPr>
      <w:fldChar w:fldCharType="end"/>
    </w:r>
    <w:r>
      <w:rPr>
        <w:rFonts w:ascii="Arial" w:hAnsi="Arial" w:cs="Arial"/>
        <w:sz w:val="18"/>
        <w:szCs w:val="18"/>
      </w:rPr>
      <w:t xml:space="preserve"> of </w:t>
    </w:r>
    <w:fldSimple w:instr=" NUMPAGES   \* MERGEFORMAT ">
      <w:r w:rsidRPr="00E3532D">
        <w:rPr>
          <w:rFonts w:ascii="Arial" w:hAnsi="Arial" w:cs="Arial"/>
          <w:noProof/>
          <w:sz w:val="18"/>
          <w:szCs w:val="18"/>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AD" w:rsidRDefault="004317AD">
      <w:r>
        <w:separator/>
      </w:r>
    </w:p>
  </w:footnote>
  <w:footnote w:type="continuationSeparator" w:id="0">
    <w:p w:rsidR="004317AD" w:rsidRDefault="004317AD">
      <w:r>
        <w:continuationSeparator/>
      </w:r>
    </w:p>
  </w:footnote>
  <w:footnote w:id="1">
    <w:p w:rsidR="00BB3DBD" w:rsidRPr="00E3532D" w:rsidRDefault="00BB3DBD">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BB3DBD" w:rsidRPr="00E3532D" w:rsidRDefault="00BB3DBD" w:rsidP="003E2682">
      <w:pPr>
        <w:pStyle w:val="FootnoteText"/>
        <w:rPr>
          <w:lang w:val="fr-FR"/>
        </w:rPr>
      </w:pPr>
      <w:r w:rsidRPr="00E3532D">
        <w:rPr>
          <w:rStyle w:val="FootnoteReference"/>
          <w:lang w:val="fr-FR"/>
        </w:rPr>
        <w:footnoteRef/>
      </w:r>
      <w:r w:rsidRPr="00E3532D">
        <w:rPr>
          <w:lang w:val="fr-FR"/>
        </w:rPr>
        <w:t xml:space="preserve"> </w:t>
      </w:r>
      <w:r w:rsidRPr="00E3532D">
        <w:rPr>
          <w:bCs/>
          <w:i/>
          <w:iCs/>
          <w:snapToGrid w:val="0"/>
          <w:lang w:val="fr-FR"/>
        </w:rPr>
        <w:t>Résultats Stratégiques</w:t>
      </w:r>
      <w:r w:rsidRPr="00E3532D">
        <w:rPr>
          <w:lang w:val="fr-FR"/>
        </w:rPr>
        <w:t>, tels que formulés dans le Cadre de planification stratégique (de l’ONU) (</w:t>
      </w:r>
      <w:r>
        <w:rPr>
          <w:lang w:val="fr-FR"/>
        </w:rPr>
        <w:t>p. ex.</w:t>
      </w:r>
      <w:r w:rsidRPr="00E3532D">
        <w:rPr>
          <w:lang w:val="fr-FR"/>
        </w:rPr>
        <w:t xml:space="preserve"> UNDAF) ou document du projet; </w:t>
      </w:r>
    </w:p>
  </w:footnote>
  <w:footnote w:id="3">
    <w:p w:rsidR="00BB3DBD" w:rsidRPr="00E3532D" w:rsidRDefault="00BB3DBD" w:rsidP="003E2682">
      <w:pPr>
        <w:pStyle w:val="FootnoteText"/>
        <w:rPr>
          <w:lang w:val="fr-FR"/>
        </w:rPr>
      </w:pPr>
      <w:r w:rsidRPr="00E3532D">
        <w:rPr>
          <w:rStyle w:val="FootnoteReference"/>
          <w:lang w:val="fr-FR"/>
        </w:rPr>
        <w:footnoteRef/>
      </w:r>
      <w:r w:rsidRPr="00E3532D">
        <w:rPr>
          <w:lang w:val="fr-FR"/>
        </w:rPr>
        <w:t xml:space="preserve"> Le numéro de référence du projet est le même que celui </w:t>
      </w:r>
      <w:r>
        <w:rPr>
          <w:lang w:val="fr-FR"/>
        </w:rPr>
        <w:t xml:space="preserve">indiqué </w:t>
      </w:r>
      <w:r w:rsidRPr="00E3532D">
        <w:rPr>
          <w:lang w:val="fr-FR"/>
        </w:rPr>
        <w:t>sur le message de notification, aussi appelé “Project ID” sur</w:t>
      </w:r>
      <w:r>
        <w:rPr>
          <w:lang w:val="fr-FR"/>
        </w:rPr>
        <w:t xml:space="preserve"> la fiche technique du projet sur le</w:t>
      </w:r>
      <w:r w:rsidRPr="00E3532D">
        <w:rPr>
          <w:lang w:val="fr-FR"/>
        </w:rPr>
        <w:t xml:space="preserve"> portail du </w:t>
      </w:r>
      <w:r>
        <w:rPr>
          <w:lang w:val="fr-FR"/>
        </w:rPr>
        <w:t xml:space="preserve">Bureau </w:t>
      </w:r>
      <w:r w:rsidRPr="00E3532D">
        <w:rPr>
          <w:lang w:val="fr-FR"/>
        </w:rPr>
        <w:t>MPTF</w:t>
      </w:r>
      <w:r>
        <w:rPr>
          <w:lang w:val="fr-FR"/>
        </w:rPr>
        <w:t xml:space="preserve"> </w:t>
      </w:r>
      <w:r w:rsidRPr="00E3532D">
        <w:rPr>
          <w:lang w:val="fr-FR"/>
        </w:rPr>
        <w:t>(</w:t>
      </w:r>
      <w:r w:rsidR="004317AD">
        <w:fldChar w:fldCharType="begin"/>
      </w:r>
      <w:r w:rsidR="004317AD" w:rsidRPr="00DF6E05">
        <w:rPr>
          <w:lang w:val="fr-FR"/>
        </w:rPr>
        <w:instrText xml:space="preserve"> HYPERLINK "http://mdtf.undp.org" </w:instrText>
      </w:r>
      <w:r w:rsidR="004317AD">
        <w:fldChar w:fldCharType="separate"/>
      </w:r>
      <w:r w:rsidRPr="00E3532D">
        <w:rPr>
          <w:rStyle w:val="Hyperlink"/>
          <w:lang w:val="fr-FR"/>
        </w:rPr>
        <w:t>MPTF Office GATEWAY</w:t>
      </w:r>
      <w:r w:rsidR="004317AD">
        <w:rPr>
          <w:rStyle w:val="Hyperlink"/>
          <w:lang w:val="fr-FR"/>
        </w:rPr>
        <w:fldChar w:fldCharType="end"/>
      </w:r>
      <w:r w:rsidRPr="00E3532D">
        <w:rPr>
          <w:lang w:val="fr-FR"/>
        </w:rPr>
        <w:t>)</w:t>
      </w:r>
      <w:r>
        <w:rPr>
          <w:lang w:val="fr-FR"/>
        </w:rPr>
        <w:t>.</w:t>
      </w:r>
      <w:r w:rsidRPr="00E3532D">
        <w:rPr>
          <w:lang w:val="fr-FR"/>
        </w:rPr>
        <w:t xml:space="preserve"> </w:t>
      </w:r>
    </w:p>
  </w:footnote>
  <w:footnote w:id="4">
    <w:p w:rsidR="00BB3DBD" w:rsidRPr="00E3532D" w:rsidRDefault="00BB3DBD" w:rsidP="003E2682">
      <w:pPr>
        <w:pStyle w:val="FootnoteText"/>
        <w:rPr>
          <w:lang w:val="fr-FR"/>
        </w:rPr>
      </w:pPr>
      <w:r w:rsidRPr="00E3532D">
        <w:rPr>
          <w:rStyle w:val="FootnoteReference"/>
          <w:lang w:val="fr-FR"/>
        </w:rPr>
        <w:footnoteRef/>
      </w:r>
      <w:r w:rsidRPr="00E3532D">
        <w:rPr>
          <w:lang w:val="fr-FR"/>
        </w:rPr>
        <w:t xml:space="preserve"> La contribution du Fonds (MPTF ou Programme Conjoint) correspon</w:t>
      </w:r>
      <w:r>
        <w:rPr>
          <w:lang w:val="fr-FR"/>
        </w:rPr>
        <w:t>d à la quantité transférée aux Organisations P</w:t>
      </w:r>
      <w:r w:rsidRPr="00E3532D">
        <w:rPr>
          <w:lang w:val="fr-FR"/>
        </w:rPr>
        <w:t xml:space="preserve">articipantes des Nations Unies, qui est disponible sur le portail du </w:t>
      </w:r>
      <w:r>
        <w:rPr>
          <w:lang w:val="fr-FR"/>
        </w:rPr>
        <w:t xml:space="preserve">Bureau </w:t>
      </w:r>
      <w:r w:rsidRPr="00E3532D">
        <w:rPr>
          <w:lang w:val="fr-FR"/>
        </w:rPr>
        <w:t>MPTF (</w:t>
      </w:r>
      <w:r w:rsidR="004317AD">
        <w:fldChar w:fldCharType="begin"/>
      </w:r>
      <w:r w:rsidR="004317AD" w:rsidRPr="00DF6E05">
        <w:rPr>
          <w:lang w:val="fr-FR"/>
        </w:rPr>
        <w:instrText xml:space="preserve"> HYPERLINK "http://mdtf.undp.org" </w:instrText>
      </w:r>
      <w:r w:rsidR="004317AD">
        <w:fldChar w:fldCharType="separate"/>
      </w:r>
      <w:r w:rsidRPr="00E3532D">
        <w:rPr>
          <w:rStyle w:val="Hyperlink"/>
          <w:lang w:val="fr-FR"/>
        </w:rPr>
        <w:t>MPTF Office GATEWAY</w:t>
      </w:r>
      <w:r w:rsidR="004317AD">
        <w:rPr>
          <w:rStyle w:val="Hyperlink"/>
          <w:lang w:val="fr-FR"/>
        </w:rPr>
        <w:fldChar w:fldCharType="end"/>
      </w:r>
      <w:r w:rsidRPr="00E3532D">
        <w:rPr>
          <w:lang w:val="fr-FR"/>
        </w:rPr>
        <w:t xml:space="preserve">) </w:t>
      </w:r>
    </w:p>
  </w:footnote>
  <w:footnote w:id="5">
    <w:p w:rsidR="00BB3DBD" w:rsidRPr="00E3532D" w:rsidRDefault="00BB3DBD" w:rsidP="003E2682">
      <w:pPr>
        <w:pStyle w:val="FootnoteText"/>
        <w:rPr>
          <w:lang w:val="fr-FR"/>
        </w:rPr>
      </w:pPr>
      <w:r w:rsidRPr="00E3532D">
        <w:rPr>
          <w:rStyle w:val="FootnoteReference"/>
          <w:lang w:val="fr-FR"/>
        </w:rPr>
        <w:footnoteRef/>
      </w:r>
      <w:r w:rsidRPr="00E3532D">
        <w:rPr>
          <w:lang w:val="fr-FR"/>
        </w:rPr>
        <w:t xml:space="preserve"> La date de démarrage est la date du premier transfert de fonds du </w:t>
      </w:r>
      <w:r>
        <w:rPr>
          <w:lang w:val="fr-FR"/>
        </w:rPr>
        <w:t xml:space="preserve">Bureau </w:t>
      </w:r>
      <w:r w:rsidRPr="00E3532D">
        <w:rPr>
          <w:lang w:val="fr-FR"/>
        </w:rPr>
        <w:t xml:space="preserve">MPTF en tant qu’Agent Administratif. Cette date est disponible sur le portail du </w:t>
      </w:r>
      <w:r>
        <w:rPr>
          <w:lang w:val="fr-FR"/>
        </w:rPr>
        <w:t xml:space="preserve">Bureau </w:t>
      </w:r>
      <w:r w:rsidRPr="00E3532D">
        <w:rPr>
          <w:lang w:val="fr-FR"/>
        </w:rPr>
        <w:t>MPTF (</w:t>
      </w:r>
      <w:r w:rsidR="004317AD">
        <w:fldChar w:fldCharType="begin"/>
      </w:r>
      <w:r w:rsidR="004317AD" w:rsidRPr="00DF6E05">
        <w:rPr>
          <w:lang w:val="fr-FR"/>
        </w:rPr>
        <w:instrText xml:space="preserve"> HYPERLINK "http://mdtf.undp.org/" </w:instrText>
      </w:r>
      <w:r w:rsidR="004317AD">
        <w:fldChar w:fldCharType="separate"/>
      </w:r>
      <w:r w:rsidRPr="00E3532D">
        <w:rPr>
          <w:rStyle w:val="Hyperlink"/>
          <w:lang w:val="fr-FR"/>
        </w:rPr>
        <w:t>MPTF Office GATEWAY</w:t>
      </w:r>
      <w:r w:rsidR="004317AD">
        <w:rPr>
          <w:rStyle w:val="Hyperlink"/>
          <w:lang w:val="fr-FR"/>
        </w:rPr>
        <w:fldChar w:fldCharType="end"/>
      </w:r>
      <w:r w:rsidRPr="00E3532D">
        <w:rPr>
          <w:lang w:val="fr-FR"/>
        </w:rPr>
        <w:t>)</w:t>
      </w:r>
    </w:p>
  </w:footnote>
  <w:footnote w:id="6">
    <w:p w:rsidR="00BB3DBD" w:rsidRPr="00F94A85" w:rsidRDefault="00BB3DBD" w:rsidP="003E2682">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BB3DBD" w:rsidRPr="00E3532D" w:rsidRDefault="00BB3DBD">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pt;height:4.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3C93"/>
    <w:multiLevelType w:val="hybridMultilevel"/>
    <w:tmpl w:val="114281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D505FF"/>
    <w:multiLevelType w:val="hybridMultilevel"/>
    <w:tmpl w:val="7FCC5530"/>
    <w:lvl w:ilvl="0" w:tplc="388A6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3195478"/>
    <w:multiLevelType w:val="hybridMultilevel"/>
    <w:tmpl w:val="6DF01F68"/>
    <w:lvl w:ilvl="0" w:tplc="0409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A413C"/>
    <w:multiLevelType w:val="hybridMultilevel"/>
    <w:tmpl w:val="94842BF6"/>
    <w:lvl w:ilvl="0" w:tplc="418889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60374"/>
    <w:multiLevelType w:val="hybridMultilevel"/>
    <w:tmpl w:val="85C8AC0E"/>
    <w:lvl w:ilvl="0" w:tplc="AB463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C1A1E"/>
    <w:multiLevelType w:val="hybridMultilevel"/>
    <w:tmpl w:val="B7FE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35521D"/>
    <w:multiLevelType w:val="hybridMultilevel"/>
    <w:tmpl w:val="371CBB12"/>
    <w:lvl w:ilvl="0" w:tplc="92C2A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520D5"/>
    <w:multiLevelType w:val="hybridMultilevel"/>
    <w:tmpl w:val="97FC3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4"/>
  </w:num>
  <w:num w:numId="5">
    <w:abstractNumId w:val="17"/>
  </w:num>
  <w:num w:numId="6">
    <w:abstractNumId w:val="15"/>
  </w:num>
  <w:num w:numId="7">
    <w:abstractNumId w:val="20"/>
  </w:num>
  <w:num w:numId="8">
    <w:abstractNumId w:val="8"/>
  </w:num>
  <w:num w:numId="9">
    <w:abstractNumId w:val="11"/>
  </w:num>
  <w:num w:numId="10">
    <w:abstractNumId w:val="22"/>
  </w:num>
  <w:num w:numId="11">
    <w:abstractNumId w:val="10"/>
  </w:num>
  <w:num w:numId="12">
    <w:abstractNumId w:val="16"/>
  </w:num>
  <w:num w:numId="13">
    <w:abstractNumId w:val="6"/>
  </w:num>
  <w:num w:numId="14">
    <w:abstractNumId w:val="21"/>
  </w:num>
  <w:num w:numId="15">
    <w:abstractNumId w:val="19"/>
  </w:num>
  <w:num w:numId="16">
    <w:abstractNumId w:val="9"/>
  </w:num>
  <w:num w:numId="17">
    <w:abstractNumId w:val="7"/>
  </w:num>
  <w:num w:numId="18">
    <w:abstractNumId w:val="3"/>
  </w:num>
  <w:num w:numId="19">
    <w:abstractNumId w:val="12"/>
  </w:num>
  <w:num w:numId="20">
    <w:abstractNumId w:val="18"/>
  </w:num>
  <w:num w:numId="21">
    <w:abstractNumId w:val="5"/>
  </w:num>
  <w:num w:numId="22">
    <w:abstractNumId w:val="2"/>
  </w:num>
  <w:num w:numId="23">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AC2"/>
    <w:rsid w:val="00025B06"/>
    <w:rsid w:val="0003458D"/>
    <w:rsid w:val="000372F4"/>
    <w:rsid w:val="00091452"/>
    <w:rsid w:val="000A6719"/>
    <w:rsid w:val="000C1C7A"/>
    <w:rsid w:val="000E181F"/>
    <w:rsid w:val="0013046F"/>
    <w:rsid w:val="001360B6"/>
    <w:rsid w:val="001425EA"/>
    <w:rsid w:val="0017024C"/>
    <w:rsid w:val="001715E8"/>
    <w:rsid w:val="001E13FF"/>
    <w:rsid w:val="002629D2"/>
    <w:rsid w:val="00270B3A"/>
    <w:rsid w:val="002945A3"/>
    <w:rsid w:val="002A1A8D"/>
    <w:rsid w:val="002B6761"/>
    <w:rsid w:val="002D556E"/>
    <w:rsid w:val="002E12CA"/>
    <w:rsid w:val="00310FB1"/>
    <w:rsid w:val="00320FA1"/>
    <w:rsid w:val="00333024"/>
    <w:rsid w:val="003A118E"/>
    <w:rsid w:val="003A5947"/>
    <w:rsid w:val="003D1AAF"/>
    <w:rsid w:val="003D5FD1"/>
    <w:rsid w:val="003E2682"/>
    <w:rsid w:val="00405851"/>
    <w:rsid w:val="004317AD"/>
    <w:rsid w:val="00444249"/>
    <w:rsid w:val="00445535"/>
    <w:rsid w:val="0046640E"/>
    <w:rsid w:val="004A4D37"/>
    <w:rsid w:val="004B257E"/>
    <w:rsid w:val="004B43B3"/>
    <w:rsid w:val="004C3A52"/>
    <w:rsid w:val="004C5F80"/>
    <w:rsid w:val="00511424"/>
    <w:rsid w:val="00525E50"/>
    <w:rsid w:val="00526992"/>
    <w:rsid w:val="005840B4"/>
    <w:rsid w:val="00584F75"/>
    <w:rsid w:val="005851F7"/>
    <w:rsid w:val="005A0E31"/>
    <w:rsid w:val="005A310E"/>
    <w:rsid w:val="006C77AC"/>
    <w:rsid w:val="006D1FC0"/>
    <w:rsid w:val="006E2953"/>
    <w:rsid w:val="006F0692"/>
    <w:rsid w:val="006F6541"/>
    <w:rsid w:val="0070213B"/>
    <w:rsid w:val="00727213"/>
    <w:rsid w:val="00737189"/>
    <w:rsid w:val="007455C8"/>
    <w:rsid w:val="00777D00"/>
    <w:rsid w:val="00784D10"/>
    <w:rsid w:val="00792C9D"/>
    <w:rsid w:val="00793AA6"/>
    <w:rsid w:val="007948A1"/>
    <w:rsid w:val="007952DA"/>
    <w:rsid w:val="00847C6F"/>
    <w:rsid w:val="0086072D"/>
    <w:rsid w:val="008D73D0"/>
    <w:rsid w:val="008F2AC2"/>
    <w:rsid w:val="00901A33"/>
    <w:rsid w:val="00936AD0"/>
    <w:rsid w:val="00951733"/>
    <w:rsid w:val="009F39B7"/>
    <w:rsid w:val="009F5384"/>
    <w:rsid w:val="00A361C3"/>
    <w:rsid w:val="00A51B44"/>
    <w:rsid w:val="00A57456"/>
    <w:rsid w:val="00A66647"/>
    <w:rsid w:val="00A74902"/>
    <w:rsid w:val="00A95C7D"/>
    <w:rsid w:val="00AD5AE6"/>
    <w:rsid w:val="00AE67AD"/>
    <w:rsid w:val="00B1033B"/>
    <w:rsid w:val="00B23C4F"/>
    <w:rsid w:val="00B75F13"/>
    <w:rsid w:val="00B80CBF"/>
    <w:rsid w:val="00BB3DBD"/>
    <w:rsid w:val="00BB7E7C"/>
    <w:rsid w:val="00BE3E11"/>
    <w:rsid w:val="00C2019C"/>
    <w:rsid w:val="00C20BA5"/>
    <w:rsid w:val="00C51E6C"/>
    <w:rsid w:val="00CB4BE7"/>
    <w:rsid w:val="00CC1EFC"/>
    <w:rsid w:val="00CE0D2C"/>
    <w:rsid w:val="00CF2129"/>
    <w:rsid w:val="00CF7BE6"/>
    <w:rsid w:val="00D846BF"/>
    <w:rsid w:val="00D86E24"/>
    <w:rsid w:val="00DA69DC"/>
    <w:rsid w:val="00DB35B6"/>
    <w:rsid w:val="00DC3444"/>
    <w:rsid w:val="00DF6E05"/>
    <w:rsid w:val="00E0416A"/>
    <w:rsid w:val="00E506DB"/>
    <w:rsid w:val="00E72D18"/>
    <w:rsid w:val="00E90C63"/>
    <w:rsid w:val="00EC44A8"/>
    <w:rsid w:val="00EC7940"/>
    <w:rsid w:val="00F04F51"/>
    <w:rsid w:val="00F17846"/>
    <w:rsid w:val="00F25955"/>
    <w:rsid w:val="00F26A8A"/>
    <w:rsid w:val="00F3293C"/>
    <w:rsid w:val="00F35448"/>
    <w:rsid w:val="00F41DFF"/>
    <w:rsid w:val="00F42521"/>
    <w:rsid w:val="00F44331"/>
    <w:rsid w:val="00F478DA"/>
    <w:rsid w:val="00F554AD"/>
    <w:rsid w:val="00F600E3"/>
    <w:rsid w:val="00F709DA"/>
    <w:rsid w:val="00F86313"/>
    <w:rsid w:val="00F9266A"/>
    <w:rsid w:val="00FB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ps">
    <w:name w:val="hps"/>
    <w:rsid w:val="00F554AD"/>
  </w:style>
  <w:style w:type="paragraph" w:customStyle="1" w:styleId="Default">
    <w:name w:val="Default"/>
    <w:rsid w:val="00847C6F"/>
    <w:pPr>
      <w:autoSpaceDE w:val="0"/>
      <w:autoSpaceDN w:val="0"/>
      <w:adjustRightInd w:val="0"/>
    </w:pPr>
    <w:rPr>
      <w:rFonts w:ascii="Arial" w:eastAsia="Calibri" w:hAnsi="Arial" w:cs="Arial"/>
      <w:color w:val="000000"/>
      <w:sz w:val="24"/>
      <w:szCs w:val="24"/>
      <w:lang w:eastAsia="fr-FR"/>
    </w:rPr>
  </w:style>
  <w:style w:type="character" w:customStyle="1" w:styleId="BodyTextChar">
    <w:name w:val="Body Text Char"/>
    <w:link w:val="BodyText"/>
    <w:rsid w:val="00847C6F"/>
    <w:rPr>
      <w:rFonts w:ascii="Arial" w:hAnsi="Arial" w:cs="Arial"/>
    </w:rPr>
  </w:style>
  <w:style w:type="paragraph" w:styleId="ListParagraph">
    <w:name w:val="List Paragraph"/>
    <w:basedOn w:val="Normal"/>
    <w:uiPriority w:val="34"/>
    <w:qFormat/>
    <w:rsid w:val="00847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27663350">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0B2q4zwyqvkLtc0k1OHpjNVBkTkE/edit?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0B2q4zwyqvkLtUGcyUUtDMHlPa2M/edit?usp=shar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ophie.de.caen@undp.org" TargetMode="External"/><Relationship Id="rId5" Type="http://schemas.openxmlformats.org/officeDocument/2006/relationships/settings" Target="settings.xml"/><Relationship Id="rId15" Type="http://schemas.openxmlformats.org/officeDocument/2006/relationships/hyperlink" Target="https://drive.google.com/file/d/0B2q4zwyqvkLtc0k1OHpjNVBkTkE/edit?usp=sharing"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drive.google.com/file/d/0B2q4zwyqvkLtUGcyUUtDMHlPa2M/edit?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C40E-BD9E-4307-AF29-2833E305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33763</CharactersWithSpaces>
  <SharedDoc>false</SharedDoc>
  <HLinks>
    <vt:vector size="30" baseType="variant">
      <vt:variant>
        <vt:i4>5963857</vt:i4>
      </vt:variant>
      <vt:variant>
        <vt:i4>3</vt:i4>
      </vt:variant>
      <vt:variant>
        <vt:i4>0</vt:i4>
      </vt:variant>
      <vt:variant>
        <vt:i4>5</vt:i4>
      </vt:variant>
      <vt:variant>
        <vt:lpwstr>https://drive.google.com/file/d/0B2q4zwyqvkLtc0k1OHpjNVBkTkE/edit?usp=sharing</vt:lpwstr>
      </vt:variant>
      <vt:variant>
        <vt:lpwstr/>
      </vt:variant>
      <vt:variant>
        <vt:i4>4915201</vt:i4>
      </vt:variant>
      <vt:variant>
        <vt:i4>0</vt:i4>
      </vt:variant>
      <vt:variant>
        <vt:i4>0</vt:i4>
      </vt:variant>
      <vt:variant>
        <vt:i4>5</vt:i4>
      </vt:variant>
      <vt:variant>
        <vt:lpwstr>https://drive.google.com/file/d/0B2q4zwyqvkLtUGcyUUtDMHlPa2M/edit?usp=sharing</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4</cp:revision>
  <cp:lastPrinted>2012-12-12T14:09:00Z</cp:lastPrinted>
  <dcterms:created xsi:type="dcterms:W3CDTF">2014-03-24T19:49:00Z</dcterms:created>
  <dcterms:modified xsi:type="dcterms:W3CDTF">2014-03-31T15:07:00Z</dcterms:modified>
</cp:coreProperties>
</file>