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004"/>
        <w:gridCol w:w="4140"/>
        <w:gridCol w:w="1452"/>
      </w:tblGrid>
      <w:tr w:rsidR="003E2682" w:rsidRPr="00E3532D" w:rsidTr="00D128DD">
        <w:trPr>
          <w:trHeight w:val="1156"/>
        </w:trPr>
        <w:tc>
          <w:tcPr>
            <w:tcW w:w="5004" w:type="dxa"/>
            <w:shd w:val="clear" w:color="auto" w:fill="auto"/>
          </w:tcPr>
          <w:p w:rsidR="003E2682" w:rsidRPr="00E3532D" w:rsidRDefault="003E2682" w:rsidP="003E2682">
            <w:pPr>
              <w:jc w:val="right"/>
              <w:rPr>
                <w:sz w:val="28"/>
                <w:szCs w:val="28"/>
                <w:lang w:val="fr-FR"/>
              </w:rPr>
            </w:pPr>
          </w:p>
          <w:tbl>
            <w:tblPr>
              <w:tblW w:w="4756" w:type="dxa"/>
              <w:tblLook w:val="04A0" w:firstRow="1" w:lastRow="0" w:firstColumn="1" w:lastColumn="0" w:noHBand="0" w:noVBand="1"/>
            </w:tblPr>
            <w:tblGrid>
              <w:gridCol w:w="1101"/>
              <w:gridCol w:w="3681"/>
            </w:tblGrid>
            <w:tr w:rsidR="00165847" w:rsidRPr="00B538BD" w:rsidTr="00B538BD">
              <w:trPr>
                <w:trHeight w:val="72"/>
              </w:trPr>
              <w:tc>
                <w:tcPr>
                  <w:tcW w:w="1095" w:type="dxa"/>
                  <w:vMerge w:val="restart"/>
                  <w:shd w:val="clear" w:color="auto" w:fill="auto"/>
                </w:tcPr>
                <w:p w:rsidR="00165847" w:rsidRPr="00B538BD" w:rsidRDefault="00EA24FA" w:rsidP="003E2682">
                  <w:pPr>
                    <w:rPr>
                      <w:lang w:val="fr-FR"/>
                    </w:rPr>
                  </w:pPr>
                  <w:r>
                    <w:rPr>
                      <w:b/>
                      <w:noProof/>
                      <w:color w:val="333399"/>
                    </w:rPr>
                    <w:drawing>
                      <wp:inline distT="0" distB="0" distL="0" distR="0">
                        <wp:extent cx="561975" cy="1057275"/>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1057275"/>
                                </a:xfrm>
                                <a:prstGeom prst="rect">
                                  <a:avLst/>
                                </a:prstGeom>
                                <a:noFill/>
                                <a:ln>
                                  <a:noFill/>
                                </a:ln>
                              </pic:spPr>
                            </pic:pic>
                          </a:graphicData>
                        </a:graphic>
                      </wp:inline>
                    </w:drawing>
                  </w:r>
                </w:p>
              </w:tc>
              <w:tc>
                <w:tcPr>
                  <w:tcW w:w="3661" w:type="dxa"/>
                  <w:shd w:val="clear" w:color="auto" w:fill="auto"/>
                </w:tcPr>
                <w:p w:rsidR="00165847" w:rsidRPr="00B538BD" w:rsidRDefault="00EA24FA" w:rsidP="003E2682">
                  <w:pPr>
                    <w:rPr>
                      <w:lang w:val="fr-FR"/>
                    </w:rPr>
                  </w:pPr>
                  <w:r>
                    <w:rPr>
                      <w:noProof/>
                    </w:rPr>
                    <w:drawing>
                      <wp:inline distT="0" distB="0" distL="0" distR="0">
                        <wp:extent cx="2200275" cy="752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0275" cy="752475"/>
                                </a:xfrm>
                                <a:prstGeom prst="rect">
                                  <a:avLst/>
                                </a:prstGeom>
                                <a:noFill/>
                                <a:ln>
                                  <a:noFill/>
                                </a:ln>
                              </pic:spPr>
                            </pic:pic>
                          </a:graphicData>
                        </a:graphic>
                      </wp:inline>
                    </w:drawing>
                  </w:r>
                </w:p>
              </w:tc>
            </w:tr>
            <w:tr w:rsidR="00165847" w:rsidRPr="00B538BD" w:rsidTr="00B538BD">
              <w:trPr>
                <w:trHeight w:val="72"/>
              </w:trPr>
              <w:tc>
                <w:tcPr>
                  <w:tcW w:w="1095" w:type="dxa"/>
                  <w:vMerge/>
                  <w:shd w:val="clear" w:color="auto" w:fill="auto"/>
                </w:tcPr>
                <w:p w:rsidR="00165847" w:rsidRPr="00B538BD" w:rsidRDefault="00165847" w:rsidP="003E2682">
                  <w:pPr>
                    <w:rPr>
                      <w:lang w:val="fr-FR"/>
                    </w:rPr>
                  </w:pPr>
                </w:p>
              </w:tc>
              <w:tc>
                <w:tcPr>
                  <w:tcW w:w="3661" w:type="dxa"/>
                  <w:shd w:val="clear" w:color="auto" w:fill="auto"/>
                </w:tcPr>
                <w:p w:rsidR="00165847" w:rsidRPr="00B538BD" w:rsidRDefault="00EA24FA" w:rsidP="003E2682">
                  <w:pPr>
                    <w:rPr>
                      <w:lang w:val="fr-FR"/>
                    </w:rPr>
                  </w:pPr>
                  <w:r>
                    <w:rPr>
                      <w:noProof/>
                    </w:rPr>
                    <w:drawing>
                      <wp:inline distT="0" distB="0" distL="0" distR="0">
                        <wp:extent cx="2143125" cy="504825"/>
                        <wp:effectExtent l="0" t="0" r="0" b="0"/>
                        <wp:docPr id="3" name="Picture 3" descr="UN-Habitat_English_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Habitat_English_bl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504825"/>
                                </a:xfrm>
                                <a:prstGeom prst="rect">
                                  <a:avLst/>
                                </a:prstGeom>
                                <a:noFill/>
                                <a:ln>
                                  <a:noFill/>
                                </a:ln>
                              </pic:spPr>
                            </pic:pic>
                          </a:graphicData>
                        </a:graphic>
                      </wp:inline>
                    </w:drawing>
                  </w:r>
                </w:p>
              </w:tc>
            </w:tr>
          </w:tbl>
          <w:p w:rsidR="00950A6F" w:rsidRDefault="00950A6F" w:rsidP="003E2682">
            <w:pPr>
              <w:rPr>
                <w:lang w:val="fr-FR"/>
              </w:rPr>
            </w:pPr>
          </w:p>
          <w:p w:rsidR="00165847" w:rsidRDefault="00165847" w:rsidP="003E2682">
            <w:pPr>
              <w:rPr>
                <w:lang w:val="fr-FR"/>
              </w:rPr>
            </w:pPr>
          </w:p>
          <w:p w:rsidR="003E2682" w:rsidRPr="00E3532D" w:rsidRDefault="003E2682" w:rsidP="003E2682">
            <w:pPr>
              <w:rPr>
                <w:sz w:val="28"/>
                <w:szCs w:val="28"/>
                <w:lang w:val="fr-FR"/>
              </w:rPr>
            </w:pPr>
          </w:p>
        </w:tc>
        <w:tc>
          <w:tcPr>
            <w:tcW w:w="4140" w:type="dxa"/>
            <w:shd w:val="clear" w:color="auto" w:fill="auto"/>
          </w:tcPr>
          <w:p w:rsidR="003E2682" w:rsidRPr="00E3532D" w:rsidRDefault="003E2682" w:rsidP="003E2682">
            <w:pPr>
              <w:jc w:val="right"/>
              <w:rPr>
                <w:noProof/>
                <w:lang w:val="fr-FR"/>
              </w:rPr>
            </w:pPr>
          </w:p>
          <w:p w:rsidR="003E2682" w:rsidRPr="00E3532D" w:rsidRDefault="003E2682" w:rsidP="003E2682">
            <w:pPr>
              <w:jc w:val="right"/>
              <w:rPr>
                <w:noProof/>
                <w:lang w:val="fr-FR"/>
              </w:rPr>
            </w:pPr>
          </w:p>
          <w:p w:rsidR="003E2682" w:rsidRPr="00E3532D" w:rsidRDefault="00EA24FA" w:rsidP="003E2682">
            <w:pPr>
              <w:jc w:val="right"/>
              <w:rPr>
                <w:b/>
                <w:sz w:val="28"/>
                <w:szCs w:val="28"/>
                <w:u w:val="single"/>
                <w:lang w:val="fr-FR"/>
              </w:rPr>
            </w:pPr>
            <w:r>
              <w:rPr>
                <w:noProof/>
              </w:rPr>
              <w:drawing>
                <wp:inline distT="0" distB="0" distL="0" distR="0">
                  <wp:extent cx="1638300" cy="304800"/>
                  <wp:effectExtent l="0" t="0" r="0" b="0"/>
                  <wp:docPr id="4" name="Picture 3" descr="C:\Documents and Settings\amar.bokhari\Local Settings\Temporary Internet Files\Content.Word\UNDG logo s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mar.bokhari\Local Settings\Temporary Internet Files\Content.Word\UNDG logo sol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8300" cy="304800"/>
                          </a:xfrm>
                          <a:prstGeom prst="rect">
                            <a:avLst/>
                          </a:prstGeom>
                          <a:noFill/>
                          <a:ln>
                            <a:noFill/>
                          </a:ln>
                        </pic:spPr>
                      </pic:pic>
                    </a:graphicData>
                  </a:graphic>
                </wp:inline>
              </w:drawing>
            </w:r>
          </w:p>
        </w:tc>
        <w:tc>
          <w:tcPr>
            <w:tcW w:w="1452" w:type="dxa"/>
            <w:shd w:val="clear" w:color="auto" w:fill="auto"/>
          </w:tcPr>
          <w:p w:rsidR="003E2682" w:rsidRPr="00E3532D" w:rsidRDefault="00EA24FA" w:rsidP="003E2682">
            <w:pPr>
              <w:jc w:val="right"/>
              <w:rPr>
                <w:b/>
                <w:sz w:val="28"/>
                <w:szCs w:val="28"/>
                <w:u w:val="single"/>
                <w:lang w:val="fr-FR"/>
              </w:rPr>
            </w:pPr>
            <w:r>
              <w:rPr>
                <w:b/>
                <w:noProof/>
                <w:color w:val="333399"/>
              </w:rPr>
              <w:drawing>
                <wp:inline distT="0" distB="0" distL="0" distR="0">
                  <wp:extent cx="561975" cy="1057275"/>
                  <wp:effectExtent l="0" t="0" r="0" b="0"/>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1057275"/>
                          </a:xfrm>
                          <a:prstGeom prst="rect">
                            <a:avLst/>
                          </a:prstGeom>
                          <a:noFill/>
                          <a:ln>
                            <a:noFill/>
                          </a:ln>
                        </pic:spPr>
                      </pic:pic>
                    </a:graphicData>
                  </a:graphic>
                </wp:inline>
              </w:drawing>
            </w:r>
          </w:p>
        </w:tc>
      </w:tr>
    </w:tbl>
    <w:p w:rsidR="00D128DD" w:rsidRDefault="00D128DD" w:rsidP="00D128DD">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lang w:val="fr-FR"/>
        </w:rPr>
      </w:pPr>
      <w:r>
        <w:rPr>
          <w:b/>
          <w:lang w:val="fr-FR"/>
        </w:rPr>
        <w:t>FONDS DE RECONSTRUCTION D’HAITI</w:t>
      </w:r>
    </w:p>
    <w:p w:rsidR="00D128DD" w:rsidRPr="00AE3632" w:rsidRDefault="00D128DD" w:rsidP="00D128DD">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lang w:val="fr-FR"/>
        </w:rPr>
      </w:pPr>
      <w:r w:rsidRPr="00AE3632">
        <w:rPr>
          <w:b/>
          <w:lang w:val="fr-FR"/>
        </w:rPr>
        <w:t>PROGRAMME D’APPUI A LA RECONSTRUCTION DU LOGEMENT ET DES QUARTIERS </w:t>
      </w:r>
    </w:p>
    <w:p w:rsidR="003E2682" w:rsidRPr="00E3532D" w:rsidRDefault="003E2682" w:rsidP="003E2682">
      <w:pPr>
        <w:jc w:val="center"/>
        <w:rPr>
          <w:b/>
          <w:bCs/>
          <w:caps/>
          <w:lang w:val="fr-FR"/>
        </w:rPr>
      </w:pPr>
      <w:r w:rsidRPr="00E3532D">
        <w:rPr>
          <w:b/>
          <w:bCs/>
          <w:caps/>
          <w:lang w:val="fr-FR"/>
        </w:rPr>
        <w:t xml:space="preserve">RAPPORT DESCRIPTIF ANNUEL SUR </w:t>
      </w:r>
    </w:p>
    <w:p w:rsidR="003E2682" w:rsidRPr="00E3532D" w:rsidRDefault="003E2682" w:rsidP="003E2682">
      <w:pPr>
        <w:jc w:val="center"/>
        <w:rPr>
          <w:b/>
          <w:bCs/>
          <w:caps/>
          <w:lang w:val="fr-FR"/>
        </w:rPr>
      </w:pPr>
      <w:r w:rsidRPr="00E3532D">
        <w:rPr>
          <w:b/>
          <w:bCs/>
          <w:caps/>
          <w:lang w:val="fr-FR"/>
        </w:rPr>
        <w:t>L’ETAT D’AVANCEMENT DU PROGRAMME</w:t>
      </w:r>
      <w:r w:rsidRPr="00B921F3">
        <w:rPr>
          <w:rStyle w:val="FootnoteReference"/>
          <w:b/>
          <w:bCs/>
          <w:caps/>
          <w:lang w:val="fr-FR"/>
        </w:rPr>
        <w:footnoteReference w:id="1"/>
      </w:r>
      <w:r w:rsidRPr="00B921F3">
        <w:rPr>
          <w:b/>
          <w:bCs/>
          <w:caps/>
          <w:lang w:val="fr-FR"/>
        </w:rPr>
        <w:t xml:space="preserve"> </w:t>
      </w:r>
    </w:p>
    <w:p w:rsidR="003E2682" w:rsidRDefault="003E2682" w:rsidP="003E2682">
      <w:pPr>
        <w:jc w:val="center"/>
        <w:rPr>
          <w:b/>
          <w:bCs/>
          <w:caps/>
          <w:lang w:val="fr-FR"/>
        </w:rPr>
      </w:pPr>
      <w:r w:rsidRPr="00E3532D">
        <w:rPr>
          <w:b/>
          <w:bCs/>
          <w:caps/>
          <w:lang w:val="fr-FR"/>
        </w:rPr>
        <w:t>pERIODe du rappo</w:t>
      </w:r>
      <w:r w:rsidR="00A50B53">
        <w:rPr>
          <w:b/>
          <w:bCs/>
          <w:caps/>
          <w:lang w:val="fr-FR"/>
        </w:rPr>
        <w:t>rt: 1 janvier – 31 Decembre 2013</w:t>
      </w:r>
    </w:p>
    <w:p w:rsidR="00FD05DA" w:rsidRPr="00E3532D" w:rsidRDefault="00FD05DA" w:rsidP="003E2682">
      <w:pPr>
        <w:jc w:val="center"/>
        <w:rPr>
          <w:b/>
          <w:bCs/>
          <w:caps/>
          <w:lang w:val="fr-FR"/>
        </w:rPr>
      </w:pPr>
    </w:p>
    <w:tbl>
      <w:tblPr>
        <w:tblW w:w="10440" w:type="dxa"/>
        <w:tblInd w:w="-72" w:type="dxa"/>
        <w:tblLayout w:type="fixed"/>
        <w:tblLook w:val="01E0" w:firstRow="1" w:lastRow="1" w:firstColumn="1" w:lastColumn="1" w:noHBand="0" w:noVBand="0"/>
      </w:tblPr>
      <w:tblGrid>
        <w:gridCol w:w="5040"/>
        <w:gridCol w:w="360"/>
        <w:gridCol w:w="5040"/>
      </w:tblGrid>
      <w:tr w:rsidR="00FD05DA" w:rsidRPr="00C122A6" w:rsidTr="00165525">
        <w:trPr>
          <w:trHeight w:val="206"/>
        </w:trPr>
        <w:tc>
          <w:tcPr>
            <w:tcW w:w="5040" w:type="dxa"/>
            <w:tcBorders>
              <w:top w:val="single" w:sz="4" w:space="0" w:color="auto"/>
              <w:left w:val="single" w:sz="4" w:space="0" w:color="auto"/>
              <w:right w:val="single" w:sz="4" w:space="0" w:color="auto"/>
            </w:tcBorders>
            <w:shd w:val="clear" w:color="auto" w:fill="F3F3F3"/>
            <w:vAlign w:val="center"/>
          </w:tcPr>
          <w:p w:rsidR="00FD05DA" w:rsidRPr="0077492E" w:rsidRDefault="00FD05DA" w:rsidP="00165525">
            <w:pPr>
              <w:pStyle w:val="Heading2"/>
              <w:jc w:val="center"/>
              <w:rPr>
                <w:sz w:val="22"/>
                <w:szCs w:val="22"/>
                <w:lang w:val="fr-FR"/>
              </w:rPr>
            </w:pPr>
            <w:r>
              <w:rPr>
                <w:bCs w:val="0"/>
                <w:sz w:val="22"/>
                <w:szCs w:val="22"/>
                <w:lang w:val="fr-FR"/>
              </w:rPr>
              <w:t>Titre</w:t>
            </w:r>
            <w:r w:rsidRPr="00144727">
              <w:rPr>
                <w:bCs w:val="0"/>
                <w:sz w:val="22"/>
                <w:szCs w:val="22"/>
                <w:lang w:val="fr-FR"/>
              </w:rPr>
              <w:t xml:space="preserve"> du Programme &amp; </w:t>
            </w:r>
            <w:r>
              <w:rPr>
                <w:bCs w:val="0"/>
                <w:sz w:val="22"/>
                <w:szCs w:val="22"/>
                <w:lang w:val="fr-FR"/>
              </w:rPr>
              <w:t>R</w:t>
            </w:r>
            <w:r w:rsidRPr="00144727">
              <w:rPr>
                <w:bCs w:val="0"/>
                <w:sz w:val="22"/>
                <w:szCs w:val="22"/>
                <w:lang w:val="fr-FR"/>
              </w:rPr>
              <w:t>éférence</w:t>
            </w:r>
            <w:r>
              <w:rPr>
                <w:bCs w:val="0"/>
                <w:sz w:val="22"/>
                <w:szCs w:val="22"/>
                <w:lang w:val="fr-FR"/>
              </w:rPr>
              <w:t xml:space="preserve"> du projet</w:t>
            </w:r>
          </w:p>
        </w:tc>
        <w:tc>
          <w:tcPr>
            <w:tcW w:w="360" w:type="dxa"/>
            <w:vMerge w:val="restart"/>
            <w:tcBorders>
              <w:left w:val="single" w:sz="4" w:space="0" w:color="auto"/>
              <w:right w:val="single" w:sz="4" w:space="0" w:color="auto"/>
            </w:tcBorders>
            <w:vAlign w:val="center"/>
          </w:tcPr>
          <w:p w:rsidR="00FD05DA" w:rsidRPr="0077492E" w:rsidRDefault="00FD05DA" w:rsidP="00165525">
            <w:pPr>
              <w:jc w:val="center"/>
              <w:rPr>
                <w:lang w:val="fr-FR"/>
              </w:rPr>
            </w:pPr>
          </w:p>
        </w:tc>
        <w:tc>
          <w:tcPr>
            <w:tcW w:w="5040" w:type="dxa"/>
            <w:tcBorders>
              <w:top w:val="single" w:sz="4" w:space="0" w:color="auto"/>
              <w:left w:val="single" w:sz="4" w:space="0" w:color="auto"/>
              <w:right w:val="single" w:sz="4" w:space="0" w:color="auto"/>
            </w:tcBorders>
            <w:shd w:val="clear" w:color="auto" w:fill="F3F3F3"/>
            <w:vAlign w:val="center"/>
          </w:tcPr>
          <w:p w:rsidR="00FD05DA" w:rsidRPr="00F36D77" w:rsidRDefault="00FD05DA" w:rsidP="00165525">
            <w:pPr>
              <w:pStyle w:val="Heading2"/>
              <w:jc w:val="center"/>
              <w:rPr>
                <w:sz w:val="22"/>
                <w:szCs w:val="22"/>
                <w:lang w:val="fr-FR"/>
              </w:rPr>
            </w:pPr>
            <w:r w:rsidRPr="00144727">
              <w:rPr>
                <w:bCs w:val="0"/>
                <w:sz w:val="22"/>
                <w:szCs w:val="22"/>
                <w:lang w:val="fr-FR"/>
              </w:rPr>
              <w:t xml:space="preserve">Pays, Localité, </w:t>
            </w:r>
            <w:r>
              <w:rPr>
                <w:bCs w:val="0"/>
                <w:sz w:val="22"/>
                <w:szCs w:val="22"/>
                <w:lang w:val="fr-FR"/>
              </w:rPr>
              <w:t>Secteur/Thème(s) du P</w:t>
            </w:r>
            <w:r w:rsidRPr="00144727">
              <w:rPr>
                <w:bCs w:val="0"/>
                <w:sz w:val="22"/>
                <w:szCs w:val="22"/>
                <w:lang w:val="fr-FR"/>
              </w:rPr>
              <w:t>rogramme</w:t>
            </w:r>
          </w:p>
        </w:tc>
      </w:tr>
      <w:tr w:rsidR="00FD05DA" w:rsidRPr="00C122A6" w:rsidTr="00165525">
        <w:trPr>
          <w:trHeight w:val="1080"/>
        </w:trPr>
        <w:tc>
          <w:tcPr>
            <w:tcW w:w="5040" w:type="dxa"/>
            <w:vMerge w:val="restart"/>
            <w:tcBorders>
              <w:left w:val="single" w:sz="4" w:space="0" w:color="auto"/>
              <w:right w:val="single" w:sz="4" w:space="0" w:color="auto"/>
            </w:tcBorders>
          </w:tcPr>
          <w:p w:rsidR="00FD05DA" w:rsidRPr="00FD05DA" w:rsidRDefault="00FD05DA" w:rsidP="00FD05DA">
            <w:pPr>
              <w:numPr>
                <w:ilvl w:val="0"/>
                <w:numId w:val="15"/>
              </w:numPr>
              <w:rPr>
                <w:sz w:val="22"/>
                <w:szCs w:val="22"/>
                <w:lang w:val="fr-FR"/>
              </w:rPr>
            </w:pPr>
            <w:r w:rsidRPr="00FD05DA">
              <w:rPr>
                <w:sz w:val="22"/>
                <w:szCs w:val="22"/>
                <w:lang w:val="fr-FR"/>
              </w:rPr>
              <w:t>Programme d’appui à la reconstruction du logement et des quartiers </w:t>
            </w:r>
          </w:p>
          <w:p w:rsidR="00FD05DA" w:rsidRPr="00FD05DA" w:rsidRDefault="00FD05DA" w:rsidP="00FD05DA">
            <w:pPr>
              <w:numPr>
                <w:ilvl w:val="0"/>
                <w:numId w:val="15"/>
              </w:numPr>
              <w:rPr>
                <w:sz w:val="22"/>
                <w:szCs w:val="22"/>
                <w:lang w:val="fr-FR"/>
              </w:rPr>
            </w:pPr>
            <w:r w:rsidRPr="00FD05DA">
              <w:rPr>
                <w:sz w:val="22"/>
                <w:szCs w:val="22"/>
                <w:lang w:val="fr-FR"/>
              </w:rPr>
              <w:t xml:space="preserve">Réf. du Programme: </w:t>
            </w:r>
          </w:p>
          <w:p w:rsidR="00FD05DA" w:rsidRPr="00FD05DA" w:rsidRDefault="00FD05DA" w:rsidP="00FD05DA">
            <w:pPr>
              <w:numPr>
                <w:ilvl w:val="0"/>
                <w:numId w:val="15"/>
              </w:numPr>
              <w:rPr>
                <w:i/>
                <w:sz w:val="22"/>
                <w:szCs w:val="22"/>
                <w:lang w:val="fr-FR"/>
              </w:rPr>
            </w:pPr>
            <w:r w:rsidRPr="00FD05DA">
              <w:rPr>
                <w:sz w:val="22"/>
                <w:szCs w:val="22"/>
                <w:lang w:val="fr-FR"/>
              </w:rPr>
              <w:t>Numéro de référence du Projet/MPTF Office:</w:t>
            </w:r>
          </w:p>
          <w:p w:rsidR="00FD05DA" w:rsidRPr="00FD05DA" w:rsidRDefault="00FD05DA" w:rsidP="00165525">
            <w:pPr>
              <w:ind w:left="720"/>
              <w:rPr>
                <w:sz w:val="22"/>
                <w:szCs w:val="22"/>
                <w:lang w:val="fr-FR"/>
              </w:rPr>
            </w:pPr>
            <w:r w:rsidRPr="00FD05DA">
              <w:rPr>
                <w:iCs/>
                <w:sz w:val="22"/>
                <w:szCs w:val="22"/>
                <w:lang w:val="es-ES_tradnl"/>
              </w:rPr>
              <w:t>00079654</w:t>
            </w:r>
          </w:p>
        </w:tc>
        <w:tc>
          <w:tcPr>
            <w:tcW w:w="360" w:type="dxa"/>
            <w:vMerge/>
            <w:tcBorders>
              <w:left w:val="single" w:sz="4" w:space="0" w:color="auto"/>
              <w:right w:val="single" w:sz="4" w:space="0" w:color="auto"/>
            </w:tcBorders>
          </w:tcPr>
          <w:p w:rsidR="00FD05DA" w:rsidRPr="00FD05DA" w:rsidRDefault="00FD05DA" w:rsidP="00165525">
            <w:pPr>
              <w:pStyle w:val="BodyText"/>
              <w:rPr>
                <w:rFonts w:ascii="Times New Roman" w:hAnsi="Times New Roman" w:cs="Times New Roman"/>
                <w:sz w:val="22"/>
                <w:szCs w:val="22"/>
                <w:lang w:val="fr-FR"/>
              </w:rPr>
            </w:pPr>
          </w:p>
        </w:tc>
        <w:tc>
          <w:tcPr>
            <w:tcW w:w="5040" w:type="dxa"/>
            <w:tcBorders>
              <w:left w:val="single" w:sz="4" w:space="0" w:color="auto"/>
              <w:bottom w:val="single" w:sz="4" w:space="0" w:color="auto"/>
              <w:right w:val="single" w:sz="4" w:space="0" w:color="auto"/>
            </w:tcBorders>
          </w:tcPr>
          <w:p w:rsidR="00FD05DA" w:rsidRPr="00FD05DA" w:rsidRDefault="00FD05DA" w:rsidP="00165525">
            <w:pPr>
              <w:pStyle w:val="BodyText"/>
              <w:rPr>
                <w:rFonts w:ascii="Times New Roman" w:hAnsi="Times New Roman" w:cs="Times New Roman"/>
                <w:i/>
                <w:sz w:val="22"/>
                <w:szCs w:val="22"/>
                <w:lang w:val="fr-FR"/>
              </w:rPr>
            </w:pPr>
            <w:r w:rsidRPr="00FD05DA">
              <w:rPr>
                <w:rFonts w:ascii="Times New Roman" w:hAnsi="Times New Roman" w:cs="Times New Roman"/>
                <w:i/>
                <w:sz w:val="22"/>
                <w:szCs w:val="22"/>
                <w:lang w:val="fr-FR"/>
              </w:rPr>
              <w:t>(le cas échéant)</w:t>
            </w:r>
          </w:p>
          <w:p w:rsidR="00FD05DA" w:rsidRPr="00206EFC" w:rsidRDefault="00206EFC" w:rsidP="00311774">
            <w:pPr>
              <w:pStyle w:val="BodyText"/>
              <w:rPr>
                <w:rFonts w:ascii="Times New Roman" w:hAnsi="Times New Roman" w:cs="Times New Roman"/>
                <w:bCs/>
                <w:i/>
                <w:iCs/>
                <w:sz w:val="22"/>
                <w:szCs w:val="22"/>
                <w:lang w:val="fr-FR"/>
              </w:rPr>
            </w:pPr>
            <w:r w:rsidRPr="00206EFC">
              <w:rPr>
                <w:rFonts w:ascii="Times New Roman" w:hAnsi="Times New Roman" w:cs="Times New Roman"/>
                <w:i/>
                <w:sz w:val="22"/>
                <w:szCs w:val="22"/>
                <w:lang w:val="fr-FR"/>
              </w:rPr>
              <w:t>Pays/Localit</w:t>
            </w:r>
            <w:r w:rsidRPr="00206EFC">
              <w:rPr>
                <w:rFonts w:ascii="Times New Roman" w:hAnsi="Times New Roman" w:cs="Times New Roman"/>
                <w:bCs/>
                <w:i/>
                <w:iCs/>
                <w:sz w:val="22"/>
                <w:szCs w:val="22"/>
                <w:lang w:val="fr-FR"/>
              </w:rPr>
              <w:t xml:space="preserve">é : Haïti, </w:t>
            </w:r>
            <w:r w:rsidRPr="00206EFC">
              <w:rPr>
                <w:rFonts w:ascii="Times New Roman" w:hAnsi="Times New Roman" w:cs="Times New Roman"/>
                <w:i/>
                <w:sz w:val="22"/>
                <w:szCs w:val="22"/>
                <w:lang w:val="fr-FR"/>
              </w:rPr>
              <w:t>Artibonite (Saint-Marc), Nord (Cap-Haïtien), Ouest (Port-au-Prince), Sud (Les Cayes), Sud-Est (Jacmel)</w:t>
            </w:r>
          </w:p>
        </w:tc>
      </w:tr>
      <w:tr w:rsidR="00FD05DA" w:rsidRPr="00FD05DA" w:rsidTr="00165525">
        <w:trPr>
          <w:trHeight w:val="332"/>
        </w:trPr>
        <w:tc>
          <w:tcPr>
            <w:tcW w:w="5040" w:type="dxa"/>
            <w:vMerge/>
            <w:tcBorders>
              <w:left w:val="single" w:sz="4" w:space="0" w:color="auto"/>
              <w:bottom w:val="single" w:sz="4" w:space="0" w:color="auto"/>
              <w:right w:val="single" w:sz="4" w:space="0" w:color="auto"/>
            </w:tcBorders>
          </w:tcPr>
          <w:p w:rsidR="00FD05DA" w:rsidRPr="00FD05DA" w:rsidRDefault="00FD05DA" w:rsidP="00FD05DA">
            <w:pPr>
              <w:numPr>
                <w:ilvl w:val="0"/>
                <w:numId w:val="15"/>
              </w:numPr>
              <w:rPr>
                <w:sz w:val="22"/>
                <w:szCs w:val="22"/>
                <w:lang w:val="fr-FR"/>
              </w:rPr>
            </w:pPr>
          </w:p>
        </w:tc>
        <w:tc>
          <w:tcPr>
            <w:tcW w:w="360" w:type="dxa"/>
            <w:vMerge/>
            <w:tcBorders>
              <w:left w:val="single" w:sz="4" w:space="0" w:color="auto"/>
              <w:right w:val="single" w:sz="4" w:space="0" w:color="auto"/>
            </w:tcBorders>
          </w:tcPr>
          <w:p w:rsidR="00FD05DA" w:rsidRPr="00FD05DA" w:rsidRDefault="00FD05DA" w:rsidP="00165525">
            <w:pPr>
              <w:pStyle w:val="BodyText"/>
              <w:rPr>
                <w:rFonts w:ascii="Times New Roman" w:hAnsi="Times New Roman" w:cs="Times New Roman"/>
                <w:sz w:val="22"/>
                <w:szCs w:val="22"/>
                <w:lang w:val="fr-FR"/>
              </w:rPr>
            </w:pPr>
          </w:p>
        </w:tc>
        <w:tc>
          <w:tcPr>
            <w:tcW w:w="5040" w:type="dxa"/>
            <w:tcBorders>
              <w:top w:val="single" w:sz="4" w:space="0" w:color="auto"/>
              <w:left w:val="single" w:sz="4" w:space="0" w:color="auto"/>
              <w:bottom w:val="single" w:sz="4" w:space="0" w:color="auto"/>
              <w:right w:val="single" w:sz="4" w:space="0" w:color="auto"/>
            </w:tcBorders>
          </w:tcPr>
          <w:p w:rsidR="00FD05DA" w:rsidRPr="00FD05DA" w:rsidRDefault="00FD05DA" w:rsidP="00165525">
            <w:pPr>
              <w:pStyle w:val="BodyText"/>
              <w:rPr>
                <w:rFonts w:ascii="Times New Roman" w:hAnsi="Times New Roman" w:cs="Times New Roman"/>
                <w:i/>
                <w:sz w:val="22"/>
                <w:szCs w:val="22"/>
                <w:lang w:val="fr-FR"/>
              </w:rPr>
            </w:pPr>
            <w:r w:rsidRPr="00FD05DA">
              <w:rPr>
                <w:rFonts w:ascii="Times New Roman" w:hAnsi="Times New Roman" w:cs="Times New Roman"/>
                <w:bCs/>
                <w:i/>
                <w:iCs/>
                <w:sz w:val="22"/>
                <w:szCs w:val="22"/>
                <w:lang w:val="fr-FR"/>
              </w:rPr>
              <w:t xml:space="preserve">Secteur/Thème(s) : Logement </w:t>
            </w:r>
          </w:p>
        </w:tc>
      </w:tr>
    </w:tbl>
    <w:p w:rsidR="00FD05DA" w:rsidRPr="00FD05DA" w:rsidRDefault="00FD05DA" w:rsidP="003E2682">
      <w:pPr>
        <w:rPr>
          <w:b/>
          <w:bCs/>
          <w:caps/>
          <w:sz w:val="22"/>
          <w:szCs w:val="22"/>
          <w:lang w:val="fr-FR"/>
        </w:rPr>
      </w:pPr>
    </w:p>
    <w:tbl>
      <w:tblPr>
        <w:tblW w:w="10440" w:type="dxa"/>
        <w:tblInd w:w="-72" w:type="dxa"/>
        <w:tblLayout w:type="fixed"/>
        <w:tblLook w:val="01E0" w:firstRow="1" w:lastRow="1" w:firstColumn="1" w:lastColumn="1" w:noHBand="0" w:noVBand="0"/>
      </w:tblPr>
      <w:tblGrid>
        <w:gridCol w:w="5040"/>
        <w:gridCol w:w="360"/>
        <w:gridCol w:w="5040"/>
      </w:tblGrid>
      <w:tr w:rsidR="00FD05DA" w:rsidRPr="00C122A6" w:rsidTr="00165525">
        <w:trPr>
          <w:trHeight w:val="206"/>
        </w:trPr>
        <w:tc>
          <w:tcPr>
            <w:tcW w:w="5040" w:type="dxa"/>
            <w:tcBorders>
              <w:top w:val="single" w:sz="4" w:space="0" w:color="auto"/>
              <w:left w:val="single" w:sz="4" w:space="0" w:color="auto"/>
              <w:right w:val="single" w:sz="4" w:space="0" w:color="auto"/>
            </w:tcBorders>
            <w:shd w:val="clear" w:color="auto" w:fill="F3F3F3"/>
            <w:vAlign w:val="center"/>
          </w:tcPr>
          <w:p w:rsidR="00FD05DA" w:rsidRPr="00FD05DA" w:rsidRDefault="00FD05DA" w:rsidP="00165525">
            <w:pPr>
              <w:pStyle w:val="H1"/>
              <w:jc w:val="center"/>
              <w:rPr>
                <w:rFonts w:cs="Times New Roman"/>
                <w:sz w:val="22"/>
                <w:szCs w:val="22"/>
              </w:rPr>
            </w:pPr>
            <w:r w:rsidRPr="00FD05DA">
              <w:rPr>
                <w:rFonts w:cs="Times New Roman"/>
                <w:sz w:val="22"/>
                <w:szCs w:val="22"/>
              </w:rPr>
              <w:t xml:space="preserve">Organisations </w:t>
            </w:r>
            <w:proofErr w:type="spellStart"/>
            <w:r w:rsidRPr="00FD05DA">
              <w:rPr>
                <w:rFonts w:cs="Times New Roman"/>
                <w:sz w:val="22"/>
                <w:szCs w:val="22"/>
              </w:rPr>
              <w:t>participantes</w:t>
            </w:r>
            <w:proofErr w:type="spellEnd"/>
          </w:p>
        </w:tc>
        <w:tc>
          <w:tcPr>
            <w:tcW w:w="360" w:type="dxa"/>
            <w:vMerge w:val="restart"/>
            <w:tcBorders>
              <w:left w:val="single" w:sz="4" w:space="0" w:color="auto"/>
              <w:right w:val="single" w:sz="4" w:space="0" w:color="auto"/>
            </w:tcBorders>
            <w:vAlign w:val="center"/>
          </w:tcPr>
          <w:p w:rsidR="00FD05DA" w:rsidRPr="00FD05DA" w:rsidRDefault="00FD05DA" w:rsidP="00165525">
            <w:pPr>
              <w:jc w:val="center"/>
              <w:rPr>
                <w:sz w:val="22"/>
                <w:szCs w:val="22"/>
              </w:rPr>
            </w:pPr>
          </w:p>
        </w:tc>
        <w:tc>
          <w:tcPr>
            <w:tcW w:w="5040" w:type="dxa"/>
            <w:tcBorders>
              <w:top w:val="single" w:sz="4" w:space="0" w:color="auto"/>
              <w:left w:val="single" w:sz="4" w:space="0" w:color="auto"/>
              <w:right w:val="single" w:sz="4" w:space="0" w:color="auto"/>
            </w:tcBorders>
            <w:shd w:val="clear" w:color="auto" w:fill="F3F3F3"/>
            <w:vAlign w:val="center"/>
          </w:tcPr>
          <w:p w:rsidR="00FD05DA" w:rsidRPr="00FD05DA" w:rsidRDefault="00FD05DA" w:rsidP="00165525">
            <w:pPr>
              <w:pStyle w:val="Heading2"/>
              <w:jc w:val="center"/>
              <w:rPr>
                <w:sz w:val="22"/>
                <w:szCs w:val="22"/>
                <w:lang w:val="fr-FR"/>
              </w:rPr>
            </w:pPr>
            <w:r w:rsidRPr="00FD05DA">
              <w:rPr>
                <w:bCs w:val="0"/>
                <w:sz w:val="22"/>
                <w:szCs w:val="22"/>
                <w:lang w:val="fr-FR"/>
              </w:rPr>
              <w:t>Partenaires de mise en œuvre</w:t>
            </w:r>
          </w:p>
        </w:tc>
      </w:tr>
      <w:tr w:rsidR="00FD05DA" w:rsidRPr="00FD05DA" w:rsidTr="00165525">
        <w:trPr>
          <w:trHeight w:val="495"/>
        </w:trPr>
        <w:tc>
          <w:tcPr>
            <w:tcW w:w="5040" w:type="dxa"/>
            <w:tcBorders>
              <w:left w:val="single" w:sz="4" w:space="0" w:color="auto"/>
              <w:bottom w:val="single" w:sz="4" w:space="0" w:color="auto"/>
              <w:right w:val="single" w:sz="4" w:space="0" w:color="auto"/>
            </w:tcBorders>
          </w:tcPr>
          <w:p w:rsidR="00FD05DA" w:rsidRPr="00FD05DA" w:rsidRDefault="00FD05DA" w:rsidP="00FD05DA">
            <w:pPr>
              <w:numPr>
                <w:ilvl w:val="0"/>
                <w:numId w:val="15"/>
              </w:numPr>
              <w:rPr>
                <w:i/>
                <w:sz w:val="22"/>
                <w:szCs w:val="22"/>
                <w:lang w:val="fr-FR"/>
              </w:rPr>
            </w:pPr>
            <w:r w:rsidRPr="00FD05DA">
              <w:rPr>
                <w:sz w:val="22"/>
                <w:szCs w:val="22"/>
                <w:lang w:val="fr-FR"/>
              </w:rPr>
              <w:t>OIM, ONU-Habitat, PNUD, UNFPA</w:t>
            </w:r>
          </w:p>
        </w:tc>
        <w:tc>
          <w:tcPr>
            <w:tcW w:w="360" w:type="dxa"/>
            <w:vMerge/>
            <w:tcBorders>
              <w:left w:val="single" w:sz="4" w:space="0" w:color="auto"/>
              <w:right w:val="single" w:sz="4" w:space="0" w:color="auto"/>
            </w:tcBorders>
          </w:tcPr>
          <w:p w:rsidR="00FD05DA" w:rsidRPr="00FD05DA" w:rsidRDefault="00FD05DA" w:rsidP="00165525">
            <w:pPr>
              <w:pStyle w:val="BodyText"/>
              <w:rPr>
                <w:rFonts w:ascii="Times New Roman" w:hAnsi="Times New Roman" w:cs="Times New Roman"/>
                <w:sz w:val="22"/>
                <w:szCs w:val="22"/>
                <w:lang w:val="fr-FR"/>
              </w:rPr>
            </w:pPr>
          </w:p>
        </w:tc>
        <w:tc>
          <w:tcPr>
            <w:tcW w:w="5040" w:type="dxa"/>
            <w:tcBorders>
              <w:left w:val="single" w:sz="4" w:space="0" w:color="auto"/>
              <w:bottom w:val="single" w:sz="4" w:space="0" w:color="auto"/>
              <w:right w:val="single" w:sz="4" w:space="0" w:color="auto"/>
            </w:tcBorders>
          </w:tcPr>
          <w:p w:rsidR="00FD05DA" w:rsidRPr="00FD05DA" w:rsidRDefault="00FD05DA" w:rsidP="00FD05DA">
            <w:pPr>
              <w:pStyle w:val="BodyText"/>
              <w:numPr>
                <w:ilvl w:val="0"/>
                <w:numId w:val="7"/>
              </w:numPr>
              <w:spacing w:before="60" w:after="60"/>
              <w:ind w:left="376"/>
              <w:rPr>
                <w:rFonts w:ascii="Times New Roman" w:hAnsi="Times New Roman" w:cs="Times New Roman"/>
                <w:bCs/>
                <w:iCs/>
                <w:color w:val="000000"/>
                <w:sz w:val="22"/>
                <w:szCs w:val="22"/>
              </w:rPr>
            </w:pPr>
            <w:r w:rsidRPr="00FD05DA">
              <w:rPr>
                <w:rFonts w:ascii="Times New Roman" w:hAnsi="Times New Roman" w:cs="Times New Roman"/>
                <w:sz w:val="22"/>
                <w:szCs w:val="22"/>
              </w:rPr>
              <w:t>MPCE, MICT, MTPTC, CNIGS, IHSI</w:t>
            </w:r>
          </w:p>
        </w:tc>
      </w:tr>
    </w:tbl>
    <w:p w:rsidR="00FD05DA" w:rsidRPr="00FD05DA" w:rsidRDefault="00FD05DA" w:rsidP="003E2682">
      <w:pPr>
        <w:rPr>
          <w:b/>
          <w:bCs/>
          <w:caps/>
          <w:sz w:val="22"/>
          <w:szCs w:val="22"/>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360"/>
        <w:gridCol w:w="5040"/>
      </w:tblGrid>
      <w:tr w:rsidR="00FD05DA" w:rsidRPr="00FD05DA" w:rsidTr="00165525">
        <w:trPr>
          <w:trHeight w:val="440"/>
        </w:trPr>
        <w:tc>
          <w:tcPr>
            <w:tcW w:w="5040" w:type="dxa"/>
            <w:tcBorders>
              <w:bottom w:val="nil"/>
            </w:tcBorders>
            <w:shd w:val="clear" w:color="auto" w:fill="F2F2F2"/>
            <w:vAlign w:val="center"/>
          </w:tcPr>
          <w:p w:rsidR="00FD05DA" w:rsidRPr="00FD05DA" w:rsidRDefault="00FD05DA" w:rsidP="00165525">
            <w:pPr>
              <w:pStyle w:val="Heading2"/>
              <w:ind w:right="839"/>
              <w:jc w:val="center"/>
              <w:rPr>
                <w:sz w:val="22"/>
                <w:szCs w:val="22"/>
                <w:lang w:val="fr-FR"/>
              </w:rPr>
            </w:pPr>
            <w:r w:rsidRPr="00FD05DA">
              <w:rPr>
                <w:bCs w:val="0"/>
                <w:sz w:val="22"/>
                <w:szCs w:val="22"/>
                <w:lang w:val="fr-FR"/>
              </w:rPr>
              <w:t>Budget du Programme (US$)</w:t>
            </w:r>
          </w:p>
        </w:tc>
        <w:tc>
          <w:tcPr>
            <w:tcW w:w="360" w:type="dxa"/>
            <w:tcBorders>
              <w:top w:val="nil"/>
              <w:bottom w:val="nil"/>
            </w:tcBorders>
            <w:vAlign w:val="center"/>
          </w:tcPr>
          <w:p w:rsidR="00FD05DA" w:rsidRPr="00FD05DA" w:rsidRDefault="00FD05DA" w:rsidP="00165525">
            <w:pPr>
              <w:pStyle w:val="H1"/>
              <w:jc w:val="center"/>
              <w:rPr>
                <w:rFonts w:cs="Times New Roman"/>
                <w:sz w:val="22"/>
                <w:szCs w:val="22"/>
                <w:lang w:val="fr-FR"/>
              </w:rPr>
            </w:pPr>
          </w:p>
        </w:tc>
        <w:tc>
          <w:tcPr>
            <w:tcW w:w="5040" w:type="dxa"/>
            <w:tcBorders>
              <w:bottom w:val="nil"/>
            </w:tcBorders>
            <w:shd w:val="clear" w:color="auto" w:fill="F2F2F2"/>
            <w:vAlign w:val="center"/>
          </w:tcPr>
          <w:p w:rsidR="00FD05DA" w:rsidRPr="00FD05DA" w:rsidRDefault="00FD05DA" w:rsidP="00165525">
            <w:pPr>
              <w:pStyle w:val="Heading2"/>
              <w:ind w:right="839"/>
              <w:jc w:val="right"/>
              <w:rPr>
                <w:sz w:val="22"/>
                <w:szCs w:val="22"/>
              </w:rPr>
            </w:pPr>
            <w:r w:rsidRPr="00FD05DA">
              <w:rPr>
                <w:bCs w:val="0"/>
                <w:sz w:val="22"/>
                <w:szCs w:val="22"/>
                <w:lang w:val="fr-FR"/>
              </w:rPr>
              <w:t>Durée du Programme (mois)</w:t>
            </w:r>
          </w:p>
        </w:tc>
      </w:tr>
      <w:tr w:rsidR="00FD05DA" w:rsidRPr="00C122A6" w:rsidTr="00165525">
        <w:trPr>
          <w:trHeight w:val="972"/>
        </w:trPr>
        <w:tc>
          <w:tcPr>
            <w:tcW w:w="5040" w:type="dxa"/>
            <w:vMerge w:val="restart"/>
            <w:tcBorders>
              <w:top w:val="nil"/>
            </w:tcBorders>
            <w:vAlign w:val="center"/>
          </w:tcPr>
          <w:p w:rsidR="00FD05DA" w:rsidRPr="00FD05DA" w:rsidRDefault="00FD05DA" w:rsidP="00165525">
            <w:pPr>
              <w:rPr>
                <w:b/>
                <w:sz w:val="22"/>
                <w:szCs w:val="22"/>
                <w:lang w:val="fr-FR"/>
              </w:rPr>
            </w:pPr>
            <w:r w:rsidRPr="00FD05DA">
              <w:rPr>
                <w:b/>
                <w:sz w:val="22"/>
                <w:szCs w:val="22"/>
                <w:lang w:val="fr-FR"/>
              </w:rPr>
              <w:t xml:space="preserve">Contribution du Fonds: </w:t>
            </w:r>
            <w:r w:rsidRPr="00FD05DA">
              <w:rPr>
                <w:bCs/>
                <w:iCs/>
                <w:sz w:val="22"/>
                <w:szCs w:val="22"/>
                <w:lang w:val="fr-FR"/>
              </w:rPr>
              <w:t xml:space="preserve">US$ </w:t>
            </w:r>
            <w:r w:rsidRPr="00FD05DA">
              <w:rPr>
                <w:color w:val="000000"/>
                <w:sz w:val="22"/>
                <w:szCs w:val="22"/>
                <w:lang w:val="fr-FR"/>
              </w:rPr>
              <w:t>24,67M</w:t>
            </w:r>
          </w:p>
          <w:p w:rsidR="00FD05DA" w:rsidRPr="00FD05DA" w:rsidRDefault="00FD05DA" w:rsidP="00FD05DA">
            <w:pPr>
              <w:pStyle w:val="ListParagraph"/>
              <w:numPr>
                <w:ilvl w:val="0"/>
                <w:numId w:val="16"/>
              </w:numPr>
              <w:rPr>
                <w:sz w:val="22"/>
                <w:szCs w:val="22"/>
                <w:lang w:val="en-GB"/>
              </w:rPr>
            </w:pPr>
            <w:r w:rsidRPr="00FD05DA">
              <w:rPr>
                <w:sz w:val="22"/>
                <w:szCs w:val="22"/>
              </w:rPr>
              <w:t>OIM : US</w:t>
            </w:r>
            <w:r w:rsidRPr="00FD05DA">
              <w:rPr>
                <w:sz w:val="22"/>
                <w:szCs w:val="22"/>
                <w:lang w:val="en-GB"/>
              </w:rPr>
              <w:t>$ 12,585,330</w:t>
            </w:r>
          </w:p>
          <w:p w:rsidR="00FD05DA" w:rsidRPr="00FD05DA" w:rsidRDefault="00FD05DA" w:rsidP="00FD05DA">
            <w:pPr>
              <w:pStyle w:val="ListParagraph"/>
              <w:numPr>
                <w:ilvl w:val="0"/>
                <w:numId w:val="16"/>
              </w:numPr>
              <w:rPr>
                <w:sz w:val="22"/>
                <w:szCs w:val="22"/>
                <w:lang w:val="en-GB"/>
              </w:rPr>
            </w:pPr>
            <w:r w:rsidRPr="00FD05DA">
              <w:rPr>
                <w:sz w:val="22"/>
                <w:szCs w:val="22"/>
              </w:rPr>
              <w:t>ONU-Habitat : US$ 10, 266,140</w:t>
            </w:r>
          </w:p>
          <w:p w:rsidR="00FD05DA" w:rsidRPr="00FD05DA" w:rsidRDefault="00FD05DA" w:rsidP="00FD05DA">
            <w:pPr>
              <w:pStyle w:val="ListParagraph"/>
              <w:numPr>
                <w:ilvl w:val="0"/>
                <w:numId w:val="16"/>
              </w:numPr>
              <w:rPr>
                <w:sz w:val="22"/>
                <w:szCs w:val="22"/>
              </w:rPr>
            </w:pPr>
            <w:r w:rsidRPr="00FD05DA">
              <w:rPr>
                <w:sz w:val="22"/>
                <w:szCs w:val="22"/>
              </w:rPr>
              <w:t>PNUD : US$ 1,486,230</w:t>
            </w:r>
          </w:p>
          <w:p w:rsidR="00FD05DA" w:rsidRPr="00FD05DA" w:rsidRDefault="00FD05DA" w:rsidP="00FD05DA">
            <w:pPr>
              <w:pStyle w:val="ListParagraph"/>
              <w:numPr>
                <w:ilvl w:val="0"/>
                <w:numId w:val="16"/>
              </w:numPr>
              <w:rPr>
                <w:sz w:val="22"/>
                <w:szCs w:val="22"/>
              </w:rPr>
            </w:pPr>
            <w:r w:rsidRPr="00FD05DA">
              <w:rPr>
                <w:sz w:val="22"/>
                <w:szCs w:val="22"/>
              </w:rPr>
              <w:t>UNFPA : US$ 85,600</w:t>
            </w:r>
          </w:p>
          <w:p w:rsidR="00FD05DA" w:rsidRPr="00FD05DA" w:rsidRDefault="00FD05DA" w:rsidP="00165525">
            <w:pPr>
              <w:pStyle w:val="H2"/>
              <w:spacing w:before="120"/>
              <w:rPr>
                <w:rFonts w:cs="Times New Roman"/>
                <w:b w:val="0"/>
                <w:szCs w:val="22"/>
              </w:rPr>
            </w:pPr>
            <w:r w:rsidRPr="00FD05DA">
              <w:rPr>
                <w:rFonts w:cs="Times New Roman"/>
                <w:szCs w:val="22"/>
                <w:lang w:val="fr-FR"/>
              </w:rPr>
              <w:t>Contribution de(s) agence(s):</w:t>
            </w:r>
          </w:p>
          <w:p w:rsidR="00FD05DA" w:rsidRPr="00FD05DA" w:rsidRDefault="00FD05DA" w:rsidP="00FD05DA">
            <w:pPr>
              <w:pStyle w:val="ListParagraph"/>
              <w:numPr>
                <w:ilvl w:val="0"/>
                <w:numId w:val="16"/>
              </w:numPr>
              <w:rPr>
                <w:sz w:val="22"/>
                <w:szCs w:val="22"/>
              </w:rPr>
            </w:pPr>
            <w:r w:rsidRPr="00FD05DA">
              <w:rPr>
                <w:sz w:val="22"/>
                <w:szCs w:val="22"/>
              </w:rPr>
              <w:t>PNUD : US$ 400,000</w:t>
            </w:r>
          </w:p>
          <w:p w:rsidR="00FD05DA" w:rsidRPr="00FD05DA" w:rsidRDefault="00FD05DA" w:rsidP="00165525">
            <w:pPr>
              <w:pStyle w:val="H2"/>
              <w:tabs>
                <w:tab w:val="left" w:pos="2934"/>
              </w:tabs>
              <w:spacing w:before="120"/>
              <w:rPr>
                <w:rFonts w:cs="Times New Roman"/>
                <w:szCs w:val="22"/>
                <w:lang w:val="fr-FR"/>
              </w:rPr>
            </w:pPr>
            <w:r w:rsidRPr="00FD05DA">
              <w:rPr>
                <w:rFonts w:cs="Times New Roman"/>
                <w:szCs w:val="22"/>
                <w:lang w:val="fr-FR"/>
              </w:rPr>
              <w:t xml:space="preserve">Contribution du Gouvernement: </w:t>
            </w:r>
          </w:p>
          <w:p w:rsidR="00FD05DA" w:rsidRPr="00FD05DA" w:rsidRDefault="00FD05DA" w:rsidP="00FD05DA">
            <w:pPr>
              <w:pStyle w:val="H2"/>
              <w:numPr>
                <w:ilvl w:val="0"/>
                <w:numId w:val="8"/>
              </w:numPr>
              <w:spacing w:after="120"/>
              <w:ind w:left="162" w:hanging="162"/>
              <w:rPr>
                <w:rFonts w:cs="Times New Roman"/>
                <w:b w:val="0"/>
                <w:szCs w:val="22"/>
                <w:lang w:val="fr-FR"/>
              </w:rPr>
            </w:pPr>
            <w:r w:rsidRPr="00FD05DA">
              <w:rPr>
                <w:rFonts w:cs="Times New Roman"/>
                <w:b w:val="0"/>
                <w:szCs w:val="22"/>
                <w:lang w:val="fr-FR"/>
              </w:rPr>
              <w:t xml:space="preserve">   MPCE : US</w:t>
            </w:r>
            <w:r w:rsidRPr="00FD05DA">
              <w:rPr>
                <w:rFonts w:cs="Times New Roman"/>
                <w:b w:val="0"/>
                <w:color w:val="000000"/>
                <w:szCs w:val="22"/>
              </w:rPr>
              <w:t xml:space="preserve">$ </w:t>
            </w:r>
            <w:r w:rsidRPr="00FD05DA">
              <w:rPr>
                <w:rFonts w:cs="Times New Roman"/>
                <w:b w:val="0"/>
                <w:bCs w:val="0"/>
                <w:color w:val="000000"/>
                <w:szCs w:val="22"/>
                <w:lang w:val="fr-CA"/>
              </w:rPr>
              <w:t>5, 871,000</w:t>
            </w:r>
          </w:p>
          <w:p w:rsidR="00FD05DA" w:rsidRPr="00FD05DA" w:rsidRDefault="00FD05DA" w:rsidP="00165525">
            <w:pPr>
              <w:pStyle w:val="BodyText"/>
              <w:rPr>
                <w:rFonts w:ascii="Times New Roman" w:hAnsi="Times New Roman" w:cs="Times New Roman"/>
                <w:b/>
                <w:bCs/>
                <w:iCs/>
                <w:sz w:val="22"/>
                <w:szCs w:val="22"/>
                <w:lang w:val="fr-FR"/>
              </w:rPr>
            </w:pPr>
            <w:r w:rsidRPr="00FD05DA">
              <w:rPr>
                <w:rFonts w:ascii="Times New Roman" w:hAnsi="Times New Roman" w:cs="Times New Roman"/>
                <w:b/>
                <w:bCs/>
                <w:iCs/>
                <w:sz w:val="22"/>
                <w:szCs w:val="22"/>
                <w:lang w:val="fr-FR"/>
              </w:rPr>
              <w:t>Autres Contributions [donateur(s)]:</w:t>
            </w:r>
          </w:p>
          <w:p w:rsidR="00FD05DA" w:rsidRPr="00FD05DA" w:rsidRDefault="00FD05DA" w:rsidP="00FD05DA">
            <w:pPr>
              <w:pStyle w:val="H2"/>
              <w:numPr>
                <w:ilvl w:val="0"/>
                <w:numId w:val="8"/>
              </w:numPr>
              <w:spacing w:after="120"/>
              <w:ind w:left="162" w:hanging="162"/>
              <w:rPr>
                <w:rFonts w:cs="Times New Roman"/>
                <w:b w:val="0"/>
                <w:i/>
                <w:szCs w:val="22"/>
                <w:lang w:val="fr-FR"/>
              </w:rPr>
            </w:pPr>
            <w:r w:rsidRPr="00FD05DA">
              <w:rPr>
                <w:rFonts w:cs="Times New Roman"/>
                <w:b w:val="0"/>
                <w:i/>
                <w:szCs w:val="22"/>
                <w:lang w:val="fr-FR"/>
              </w:rPr>
              <w:t>(le cas échéant)</w:t>
            </w:r>
          </w:p>
          <w:p w:rsidR="00FD05DA" w:rsidRPr="00FD05DA" w:rsidRDefault="00FD05DA" w:rsidP="00165525">
            <w:pPr>
              <w:pStyle w:val="H2"/>
              <w:rPr>
                <w:rFonts w:cs="Times New Roman"/>
                <w:color w:val="000000"/>
                <w:szCs w:val="22"/>
                <w:lang w:val="fr-FR"/>
              </w:rPr>
            </w:pPr>
            <w:r w:rsidRPr="00FD05DA">
              <w:rPr>
                <w:rFonts w:cs="Times New Roman"/>
                <w:szCs w:val="22"/>
              </w:rPr>
              <w:t xml:space="preserve">TOTAL: </w:t>
            </w:r>
            <w:r w:rsidRPr="00FD05DA">
              <w:rPr>
                <w:rFonts w:cs="Times New Roman"/>
                <w:bCs w:val="0"/>
                <w:iCs w:val="0"/>
                <w:szCs w:val="22"/>
                <w:lang w:val="fr-FR"/>
              </w:rPr>
              <w:t xml:space="preserve">US$ </w:t>
            </w:r>
            <w:r w:rsidRPr="00FD05DA">
              <w:rPr>
                <w:rFonts w:cs="Times New Roman"/>
                <w:szCs w:val="22"/>
                <w:lang w:val="fr-FR"/>
              </w:rPr>
              <w:t>30,941,000</w:t>
            </w:r>
          </w:p>
        </w:tc>
        <w:tc>
          <w:tcPr>
            <w:tcW w:w="360" w:type="dxa"/>
            <w:tcBorders>
              <w:top w:val="nil"/>
              <w:bottom w:val="nil"/>
            </w:tcBorders>
          </w:tcPr>
          <w:p w:rsidR="00FD05DA" w:rsidRPr="00733AD0" w:rsidRDefault="00FD05DA" w:rsidP="00165525">
            <w:pPr>
              <w:pStyle w:val="BodyText"/>
              <w:spacing w:before="120" w:after="120"/>
              <w:rPr>
                <w:rFonts w:ascii="Times New Roman" w:hAnsi="Times New Roman" w:cs="Times New Roman"/>
                <w:sz w:val="22"/>
                <w:szCs w:val="22"/>
                <w:lang w:val="fr-FR"/>
              </w:rPr>
            </w:pPr>
          </w:p>
        </w:tc>
        <w:tc>
          <w:tcPr>
            <w:tcW w:w="5040" w:type="dxa"/>
            <w:vMerge w:val="restart"/>
            <w:tcBorders>
              <w:top w:val="nil"/>
            </w:tcBorders>
            <w:vAlign w:val="center"/>
          </w:tcPr>
          <w:p w:rsidR="00FD05DA" w:rsidRPr="00733AD0" w:rsidRDefault="00FD05DA" w:rsidP="00165525">
            <w:pPr>
              <w:rPr>
                <w:sz w:val="22"/>
                <w:szCs w:val="22"/>
                <w:lang w:val="fr-FR"/>
              </w:rPr>
            </w:pPr>
            <w:r w:rsidRPr="00733AD0">
              <w:rPr>
                <w:sz w:val="22"/>
                <w:szCs w:val="22"/>
                <w:lang w:val="fr-FR"/>
              </w:rPr>
              <w:t xml:space="preserve">Durée totale (mois): 36 mois </w:t>
            </w:r>
            <w:bookmarkStart w:id="0" w:name="_GoBack"/>
            <w:bookmarkEnd w:id="0"/>
          </w:p>
          <w:p w:rsidR="00FD05DA" w:rsidRPr="00733AD0" w:rsidRDefault="00FD05DA" w:rsidP="00165525">
            <w:pPr>
              <w:pStyle w:val="BodyText"/>
              <w:rPr>
                <w:rFonts w:ascii="Times New Roman" w:hAnsi="Times New Roman" w:cs="Times New Roman"/>
                <w:sz w:val="22"/>
                <w:szCs w:val="22"/>
                <w:lang w:val="fr-FR"/>
              </w:rPr>
            </w:pPr>
          </w:p>
          <w:p w:rsidR="00FD05DA" w:rsidRPr="00733AD0" w:rsidRDefault="00FD05DA" w:rsidP="00165525">
            <w:pPr>
              <w:pStyle w:val="BodyText"/>
              <w:rPr>
                <w:rFonts w:ascii="Times New Roman" w:hAnsi="Times New Roman" w:cs="Times New Roman"/>
                <w:sz w:val="22"/>
                <w:szCs w:val="22"/>
                <w:lang w:val="fr-FR"/>
              </w:rPr>
            </w:pPr>
            <w:r w:rsidRPr="00733AD0">
              <w:rPr>
                <w:rFonts w:ascii="Times New Roman" w:hAnsi="Times New Roman" w:cs="Times New Roman"/>
                <w:sz w:val="22"/>
                <w:szCs w:val="22"/>
                <w:lang w:val="fr-FR"/>
              </w:rPr>
              <w:t>Date de dé</w:t>
            </w:r>
            <w:r w:rsidR="001D2F1A" w:rsidRPr="00733AD0">
              <w:rPr>
                <w:rFonts w:ascii="Times New Roman" w:hAnsi="Times New Roman" w:cs="Times New Roman"/>
                <w:sz w:val="22"/>
                <w:szCs w:val="22"/>
                <w:lang w:val="fr-FR"/>
              </w:rPr>
              <w:t xml:space="preserve">marrage </w:t>
            </w:r>
            <w:r w:rsidRPr="00733AD0">
              <w:rPr>
                <w:rFonts w:ascii="Times New Roman" w:hAnsi="Times New Roman" w:cs="Times New Roman"/>
                <w:sz w:val="22"/>
                <w:szCs w:val="22"/>
                <w:lang w:val="fr-FR"/>
              </w:rPr>
              <w:t>: 01.08.2011</w:t>
            </w:r>
          </w:p>
          <w:p w:rsidR="00FD05DA" w:rsidRPr="00733AD0" w:rsidRDefault="00FD05DA" w:rsidP="00165525">
            <w:pPr>
              <w:rPr>
                <w:sz w:val="22"/>
                <w:szCs w:val="22"/>
                <w:lang w:val="fr-FR"/>
              </w:rPr>
            </w:pPr>
          </w:p>
          <w:p w:rsidR="00FD05DA" w:rsidRPr="00733AD0" w:rsidRDefault="00FD05DA" w:rsidP="00165525">
            <w:pPr>
              <w:rPr>
                <w:sz w:val="22"/>
                <w:szCs w:val="22"/>
                <w:lang w:val="fr-FR"/>
              </w:rPr>
            </w:pPr>
            <w:r w:rsidRPr="00733AD0">
              <w:rPr>
                <w:sz w:val="22"/>
                <w:szCs w:val="22"/>
                <w:lang w:val="fr-FR"/>
              </w:rPr>
              <w:t>Date de clôture: 02.08.2014</w:t>
            </w:r>
          </w:p>
          <w:p w:rsidR="00FD05DA" w:rsidRPr="00733AD0" w:rsidRDefault="00FD05DA" w:rsidP="00165525">
            <w:pPr>
              <w:pStyle w:val="H2"/>
              <w:spacing w:after="120"/>
              <w:rPr>
                <w:rFonts w:cs="Times New Roman"/>
                <w:b w:val="0"/>
                <w:i/>
                <w:szCs w:val="22"/>
                <w:lang w:val="fr-FR"/>
              </w:rPr>
            </w:pPr>
            <w:r w:rsidRPr="00733AD0">
              <w:rPr>
                <w:rFonts w:cs="Times New Roman"/>
                <w:b w:val="0"/>
                <w:i/>
                <w:szCs w:val="22"/>
                <w:lang w:val="fr-FR"/>
              </w:rPr>
              <w:t>(ou date révisée, le cas échéant):</w:t>
            </w:r>
          </w:p>
          <w:p w:rsidR="00FD05DA" w:rsidRPr="00733AD0" w:rsidRDefault="00FD05DA" w:rsidP="00165525">
            <w:pPr>
              <w:rPr>
                <w:sz w:val="22"/>
                <w:szCs w:val="22"/>
                <w:lang w:val="fr-FR"/>
              </w:rPr>
            </w:pPr>
            <w:r w:rsidRPr="00733AD0">
              <w:rPr>
                <w:sz w:val="22"/>
                <w:szCs w:val="22"/>
                <w:lang w:val="fr-FR"/>
              </w:rPr>
              <w:t>Date de clôture opérationnelle:</w:t>
            </w:r>
          </w:p>
          <w:p w:rsidR="00FD05DA" w:rsidRPr="00733AD0" w:rsidRDefault="00FD05DA" w:rsidP="00165525">
            <w:pPr>
              <w:rPr>
                <w:sz w:val="22"/>
                <w:szCs w:val="22"/>
                <w:lang w:val="fr-FR"/>
              </w:rPr>
            </w:pPr>
          </w:p>
          <w:p w:rsidR="00FD05DA" w:rsidRPr="00733AD0" w:rsidRDefault="00FD05DA" w:rsidP="00165525">
            <w:pPr>
              <w:rPr>
                <w:sz w:val="22"/>
                <w:szCs w:val="22"/>
                <w:lang w:val="fr-FR"/>
              </w:rPr>
            </w:pPr>
            <w:r w:rsidRPr="00733AD0">
              <w:rPr>
                <w:sz w:val="22"/>
                <w:szCs w:val="22"/>
                <w:lang w:val="fr-FR"/>
              </w:rPr>
              <w:t>Date prévisionnelle de clôture financière : 31.12.2014</w:t>
            </w:r>
          </w:p>
        </w:tc>
      </w:tr>
      <w:tr w:rsidR="00FD05DA" w:rsidRPr="00C122A6" w:rsidTr="00165525">
        <w:trPr>
          <w:trHeight w:val="350"/>
        </w:trPr>
        <w:tc>
          <w:tcPr>
            <w:tcW w:w="5040" w:type="dxa"/>
            <w:vMerge/>
            <w:shd w:val="clear" w:color="auto" w:fill="FFFFFF"/>
            <w:vAlign w:val="center"/>
          </w:tcPr>
          <w:p w:rsidR="00FD05DA" w:rsidRPr="00FD05DA" w:rsidRDefault="00FD05DA" w:rsidP="00165525">
            <w:pPr>
              <w:pStyle w:val="BodyText"/>
              <w:rPr>
                <w:rFonts w:ascii="Times New Roman" w:hAnsi="Times New Roman" w:cs="Times New Roman"/>
                <w:color w:val="000000"/>
                <w:sz w:val="22"/>
                <w:szCs w:val="22"/>
                <w:lang w:val="fr-FR"/>
              </w:rPr>
            </w:pPr>
          </w:p>
        </w:tc>
        <w:tc>
          <w:tcPr>
            <w:tcW w:w="360" w:type="dxa"/>
            <w:tcBorders>
              <w:top w:val="nil"/>
              <w:bottom w:val="nil"/>
            </w:tcBorders>
          </w:tcPr>
          <w:p w:rsidR="00FD05DA" w:rsidRPr="00FD05DA" w:rsidRDefault="00FD05DA" w:rsidP="00165525">
            <w:pPr>
              <w:pStyle w:val="BodyText"/>
              <w:spacing w:before="120" w:after="120"/>
              <w:rPr>
                <w:rFonts w:ascii="Times New Roman" w:hAnsi="Times New Roman" w:cs="Times New Roman"/>
                <w:sz w:val="22"/>
                <w:szCs w:val="22"/>
                <w:lang w:val="fr-FR"/>
              </w:rPr>
            </w:pPr>
          </w:p>
        </w:tc>
        <w:tc>
          <w:tcPr>
            <w:tcW w:w="5040" w:type="dxa"/>
            <w:vMerge/>
            <w:vAlign w:val="center"/>
          </w:tcPr>
          <w:p w:rsidR="00FD05DA" w:rsidRPr="00FD05DA" w:rsidRDefault="00FD05DA" w:rsidP="00165525">
            <w:pPr>
              <w:pStyle w:val="BodyText"/>
              <w:rPr>
                <w:rFonts w:ascii="Times New Roman" w:hAnsi="Times New Roman" w:cs="Times New Roman"/>
                <w:sz w:val="22"/>
                <w:szCs w:val="22"/>
                <w:lang w:val="fr-FR"/>
              </w:rPr>
            </w:pPr>
          </w:p>
        </w:tc>
      </w:tr>
      <w:tr w:rsidR="00FD05DA" w:rsidRPr="00C122A6" w:rsidTr="00165525">
        <w:trPr>
          <w:trHeight w:val="350"/>
        </w:trPr>
        <w:tc>
          <w:tcPr>
            <w:tcW w:w="5040" w:type="dxa"/>
            <w:vMerge/>
            <w:shd w:val="clear" w:color="auto" w:fill="FFFFFF"/>
            <w:vAlign w:val="center"/>
          </w:tcPr>
          <w:p w:rsidR="00FD05DA" w:rsidRPr="00FD05DA" w:rsidRDefault="00FD05DA" w:rsidP="00165525">
            <w:pPr>
              <w:pStyle w:val="BodyText"/>
              <w:rPr>
                <w:rFonts w:ascii="Times New Roman" w:hAnsi="Times New Roman" w:cs="Times New Roman"/>
                <w:color w:val="000000"/>
                <w:sz w:val="22"/>
                <w:szCs w:val="22"/>
                <w:lang w:val="fr-FR"/>
              </w:rPr>
            </w:pPr>
          </w:p>
        </w:tc>
        <w:tc>
          <w:tcPr>
            <w:tcW w:w="360" w:type="dxa"/>
            <w:tcBorders>
              <w:top w:val="nil"/>
              <w:bottom w:val="nil"/>
            </w:tcBorders>
          </w:tcPr>
          <w:p w:rsidR="00FD05DA" w:rsidRPr="00FD05DA" w:rsidRDefault="00FD05DA" w:rsidP="00165525">
            <w:pPr>
              <w:pStyle w:val="BodyText"/>
              <w:rPr>
                <w:rFonts w:ascii="Times New Roman" w:hAnsi="Times New Roman" w:cs="Times New Roman"/>
                <w:sz w:val="22"/>
                <w:szCs w:val="22"/>
                <w:lang w:val="fr-FR"/>
              </w:rPr>
            </w:pPr>
          </w:p>
        </w:tc>
        <w:tc>
          <w:tcPr>
            <w:tcW w:w="5040" w:type="dxa"/>
            <w:vMerge/>
            <w:vAlign w:val="center"/>
          </w:tcPr>
          <w:p w:rsidR="00FD05DA" w:rsidRPr="00FD05DA" w:rsidRDefault="00FD05DA" w:rsidP="00165525">
            <w:pPr>
              <w:pStyle w:val="BodyText"/>
              <w:rPr>
                <w:rFonts w:ascii="Times New Roman" w:hAnsi="Times New Roman" w:cs="Times New Roman"/>
                <w:sz w:val="22"/>
                <w:szCs w:val="22"/>
                <w:lang w:val="fr-FR"/>
              </w:rPr>
            </w:pPr>
          </w:p>
        </w:tc>
      </w:tr>
      <w:tr w:rsidR="00FD05DA" w:rsidRPr="00C122A6" w:rsidTr="00165525">
        <w:trPr>
          <w:trHeight w:val="350"/>
        </w:trPr>
        <w:tc>
          <w:tcPr>
            <w:tcW w:w="5040" w:type="dxa"/>
            <w:vMerge/>
            <w:shd w:val="clear" w:color="auto" w:fill="FFFFFF"/>
            <w:vAlign w:val="center"/>
          </w:tcPr>
          <w:p w:rsidR="00FD05DA" w:rsidRPr="00FD05DA" w:rsidRDefault="00FD05DA" w:rsidP="00165525">
            <w:pPr>
              <w:pStyle w:val="BodyText"/>
              <w:rPr>
                <w:rFonts w:ascii="Times New Roman" w:hAnsi="Times New Roman" w:cs="Times New Roman"/>
                <w:color w:val="000000"/>
                <w:sz w:val="22"/>
                <w:szCs w:val="22"/>
                <w:lang w:val="fr-FR"/>
              </w:rPr>
            </w:pPr>
          </w:p>
        </w:tc>
        <w:tc>
          <w:tcPr>
            <w:tcW w:w="360" w:type="dxa"/>
            <w:tcBorders>
              <w:top w:val="nil"/>
              <w:bottom w:val="nil"/>
            </w:tcBorders>
          </w:tcPr>
          <w:p w:rsidR="00FD05DA" w:rsidRPr="00FD05DA" w:rsidRDefault="00FD05DA" w:rsidP="00165525">
            <w:pPr>
              <w:pStyle w:val="BodyText"/>
              <w:rPr>
                <w:rFonts w:ascii="Times New Roman" w:hAnsi="Times New Roman" w:cs="Times New Roman"/>
                <w:sz w:val="22"/>
                <w:szCs w:val="22"/>
                <w:lang w:val="fr-FR"/>
              </w:rPr>
            </w:pPr>
          </w:p>
        </w:tc>
        <w:tc>
          <w:tcPr>
            <w:tcW w:w="5040" w:type="dxa"/>
            <w:vMerge/>
            <w:vAlign w:val="center"/>
          </w:tcPr>
          <w:p w:rsidR="00FD05DA" w:rsidRPr="00FD05DA" w:rsidRDefault="00FD05DA" w:rsidP="00165525">
            <w:pPr>
              <w:pStyle w:val="BodyText"/>
              <w:rPr>
                <w:rFonts w:ascii="Times New Roman" w:hAnsi="Times New Roman" w:cs="Times New Roman"/>
                <w:sz w:val="22"/>
                <w:szCs w:val="22"/>
                <w:lang w:val="fr-FR"/>
              </w:rPr>
            </w:pPr>
          </w:p>
        </w:tc>
      </w:tr>
      <w:tr w:rsidR="00FD05DA" w:rsidRPr="00C122A6" w:rsidTr="00165525">
        <w:trPr>
          <w:trHeight w:val="350"/>
        </w:trPr>
        <w:tc>
          <w:tcPr>
            <w:tcW w:w="5040" w:type="dxa"/>
            <w:vMerge/>
            <w:vAlign w:val="center"/>
          </w:tcPr>
          <w:p w:rsidR="00FD05DA" w:rsidRPr="00FD05DA" w:rsidRDefault="00FD05DA" w:rsidP="00165525">
            <w:pPr>
              <w:pStyle w:val="BodyText"/>
              <w:rPr>
                <w:rFonts w:ascii="Times New Roman" w:hAnsi="Times New Roman" w:cs="Times New Roman"/>
                <w:color w:val="000000"/>
                <w:sz w:val="22"/>
                <w:szCs w:val="22"/>
                <w:lang w:val="fr-FR"/>
              </w:rPr>
            </w:pPr>
          </w:p>
        </w:tc>
        <w:tc>
          <w:tcPr>
            <w:tcW w:w="360" w:type="dxa"/>
            <w:tcBorders>
              <w:top w:val="nil"/>
              <w:bottom w:val="nil"/>
            </w:tcBorders>
          </w:tcPr>
          <w:p w:rsidR="00FD05DA" w:rsidRPr="00FD05DA" w:rsidRDefault="00FD05DA" w:rsidP="00165525">
            <w:pPr>
              <w:pStyle w:val="BodyText"/>
              <w:rPr>
                <w:rFonts w:ascii="Times New Roman" w:hAnsi="Times New Roman" w:cs="Times New Roman"/>
                <w:sz w:val="22"/>
                <w:szCs w:val="22"/>
                <w:lang w:val="fr-FR"/>
              </w:rPr>
            </w:pPr>
          </w:p>
        </w:tc>
        <w:tc>
          <w:tcPr>
            <w:tcW w:w="5040" w:type="dxa"/>
            <w:vMerge/>
            <w:vAlign w:val="center"/>
          </w:tcPr>
          <w:p w:rsidR="00FD05DA" w:rsidRPr="00FD05DA" w:rsidRDefault="00FD05DA" w:rsidP="00165525">
            <w:pPr>
              <w:pStyle w:val="BodyText"/>
              <w:rPr>
                <w:rFonts w:ascii="Times New Roman" w:hAnsi="Times New Roman" w:cs="Times New Roman"/>
                <w:sz w:val="22"/>
                <w:szCs w:val="22"/>
                <w:lang w:val="fr-FR"/>
              </w:rPr>
            </w:pPr>
          </w:p>
        </w:tc>
      </w:tr>
    </w:tbl>
    <w:p w:rsidR="00FD05DA" w:rsidRPr="00FD05DA" w:rsidRDefault="00FD05DA" w:rsidP="003E2682">
      <w:pPr>
        <w:rPr>
          <w:b/>
          <w:bCs/>
          <w:caps/>
          <w:sz w:val="22"/>
          <w:szCs w:val="22"/>
          <w:lang w:val="fr-FR"/>
        </w:rPr>
      </w:pPr>
    </w:p>
    <w:tbl>
      <w:tblPr>
        <w:tblW w:w="10440" w:type="dxa"/>
        <w:tblInd w:w="-72" w:type="dxa"/>
        <w:tblLayout w:type="fixed"/>
        <w:tblLook w:val="01E0" w:firstRow="1" w:lastRow="1" w:firstColumn="1" w:lastColumn="1" w:noHBand="0" w:noVBand="0"/>
      </w:tblPr>
      <w:tblGrid>
        <w:gridCol w:w="5040"/>
        <w:gridCol w:w="360"/>
        <w:gridCol w:w="5040"/>
      </w:tblGrid>
      <w:tr w:rsidR="00FD05DA" w:rsidRPr="00FD05DA" w:rsidTr="00165525">
        <w:trPr>
          <w:trHeight w:val="377"/>
        </w:trPr>
        <w:tc>
          <w:tcPr>
            <w:tcW w:w="5040" w:type="dxa"/>
            <w:tcBorders>
              <w:top w:val="single" w:sz="4" w:space="0" w:color="auto"/>
              <w:left w:val="single" w:sz="4" w:space="0" w:color="auto"/>
              <w:right w:val="single" w:sz="4" w:space="0" w:color="auto"/>
            </w:tcBorders>
            <w:shd w:val="clear" w:color="auto" w:fill="F3F3F3"/>
          </w:tcPr>
          <w:p w:rsidR="00FD05DA" w:rsidRPr="00FD05DA" w:rsidRDefault="00FD05DA" w:rsidP="00165525">
            <w:pPr>
              <w:pStyle w:val="H1"/>
              <w:ind w:right="-288"/>
              <w:jc w:val="center"/>
              <w:rPr>
                <w:rFonts w:cs="Times New Roman"/>
                <w:sz w:val="22"/>
                <w:szCs w:val="22"/>
                <w:lang w:val="fr-FR"/>
              </w:rPr>
            </w:pPr>
            <w:r w:rsidRPr="00FD05DA">
              <w:rPr>
                <w:rFonts w:cs="Times New Roman"/>
                <w:bCs w:val="0"/>
                <w:iCs/>
                <w:sz w:val="22"/>
                <w:szCs w:val="22"/>
                <w:lang w:val="fr-FR"/>
              </w:rPr>
              <w:t>Evaluation du Programme</w:t>
            </w:r>
          </w:p>
        </w:tc>
        <w:tc>
          <w:tcPr>
            <w:tcW w:w="360" w:type="dxa"/>
            <w:vMerge w:val="restart"/>
            <w:tcBorders>
              <w:left w:val="single" w:sz="4" w:space="0" w:color="auto"/>
              <w:right w:val="single" w:sz="4" w:space="0" w:color="auto"/>
            </w:tcBorders>
          </w:tcPr>
          <w:p w:rsidR="00FD05DA" w:rsidRPr="00FD05DA" w:rsidRDefault="00FD05DA" w:rsidP="00165525">
            <w:pPr>
              <w:rPr>
                <w:sz w:val="22"/>
                <w:szCs w:val="22"/>
                <w:lang w:val="fr-FR"/>
              </w:rPr>
            </w:pPr>
          </w:p>
        </w:tc>
        <w:tc>
          <w:tcPr>
            <w:tcW w:w="5040" w:type="dxa"/>
            <w:tcBorders>
              <w:top w:val="single" w:sz="4" w:space="0" w:color="auto"/>
              <w:left w:val="single" w:sz="4" w:space="0" w:color="auto"/>
              <w:right w:val="single" w:sz="4" w:space="0" w:color="auto"/>
            </w:tcBorders>
            <w:shd w:val="clear" w:color="auto" w:fill="F3F3F3"/>
          </w:tcPr>
          <w:p w:rsidR="00FD05DA" w:rsidRPr="00FD05DA" w:rsidRDefault="00FD05DA" w:rsidP="00165525">
            <w:pPr>
              <w:pStyle w:val="H1"/>
              <w:jc w:val="center"/>
              <w:rPr>
                <w:rFonts w:cs="Times New Roman"/>
                <w:sz w:val="22"/>
                <w:szCs w:val="22"/>
              </w:rPr>
            </w:pPr>
            <w:proofErr w:type="spellStart"/>
            <w:r w:rsidRPr="00FD05DA">
              <w:rPr>
                <w:rFonts w:cs="Times New Roman"/>
                <w:bCs w:val="0"/>
                <w:sz w:val="22"/>
                <w:szCs w:val="22"/>
              </w:rPr>
              <w:t>Soumis</w:t>
            </w:r>
            <w:proofErr w:type="spellEnd"/>
            <w:r w:rsidRPr="00FD05DA">
              <w:rPr>
                <w:rFonts w:cs="Times New Roman"/>
                <w:bCs w:val="0"/>
                <w:sz w:val="22"/>
                <w:szCs w:val="22"/>
              </w:rPr>
              <w:t xml:space="preserve"> par:</w:t>
            </w:r>
          </w:p>
        </w:tc>
      </w:tr>
      <w:tr w:rsidR="00FD05DA" w:rsidRPr="00C122A6" w:rsidTr="00165525">
        <w:trPr>
          <w:trHeight w:val="495"/>
        </w:trPr>
        <w:tc>
          <w:tcPr>
            <w:tcW w:w="5040" w:type="dxa"/>
            <w:tcBorders>
              <w:left w:val="single" w:sz="4" w:space="0" w:color="auto"/>
              <w:bottom w:val="single" w:sz="4" w:space="0" w:color="auto"/>
              <w:right w:val="single" w:sz="4" w:space="0" w:color="auto"/>
            </w:tcBorders>
          </w:tcPr>
          <w:p w:rsidR="00FD05DA" w:rsidRPr="00FD05DA" w:rsidRDefault="00FD05DA" w:rsidP="00165525">
            <w:pPr>
              <w:pStyle w:val="BodyText"/>
              <w:rPr>
                <w:rFonts w:ascii="Times New Roman" w:hAnsi="Times New Roman" w:cs="Times New Roman"/>
                <w:sz w:val="22"/>
                <w:szCs w:val="22"/>
                <w:lang w:val="fr-FR"/>
              </w:rPr>
            </w:pPr>
            <w:r w:rsidRPr="00FD05DA">
              <w:rPr>
                <w:rFonts w:ascii="Times New Roman" w:hAnsi="Times New Roman" w:cs="Times New Roman"/>
                <w:sz w:val="22"/>
                <w:szCs w:val="22"/>
                <w:lang w:val="fr-FR"/>
              </w:rPr>
              <w:t xml:space="preserve">Evaluation  – </w:t>
            </w:r>
            <w:r w:rsidRPr="00FD05DA">
              <w:rPr>
                <w:rFonts w:ascii="Times New Roman" w:hAnsi="Times New Roman" w:cs="Times New Roman"/>
                <w:bCs/>
                <w:i/>
                <w:iCs/>
                <w:sz w:val="22"/>
                <w:szCs w:val="22"/>
                <w:lang w:val="fr-FR"/>
              </w:rPr>
              <w:t xml:space="preserve">(à joindre le cas échéant) </w:t>
            </w:r>
          </w:p>
          <w:p w:rsidR="00FD05DA" w:rsidRPr="00FD05DA" w:rsidRDefault="00EA24FA" w:rsidP="00165525">
            <w:pPr>
              <w:pStyle w:val="BodyText"/>
              <w:rPr>
                <w:rFonts w:ascii="Times New Roman" w:hAnsi="Times New Roman" w:cs="Times New Roman"/>
                <w:sz w:val="22"/>
                <w:szCs w:val="22"/>
                <w:lang w:val="fr-FR"/>
              </w:rPr>
            </w:pPr>
            <w:r>
              <w:rPr>
                <w:rFonts w:ascii="Times New Roman" w:hAnsi="Times New Roman" w:cs="Times New Roman"/>
                <w:noProof/>
                <w:sz w:val="22"/>
                <w:szCs w:val="22"/>
              </w:rPr>
              <mc:AlternateContent>
                <mc:Choice Requires="wps">
                  <w:drawing>
                    <wp:anchor distT="0" distB="0" distL="114300" distR="114300" simplePos="0" relativeHeight="251657728" behindDoc="0" locked="0" layoutInCell="1" allowOverlap="1">
                      <wp:simplePos x="0" y="0"/>
                      <wp:positionH relativeFrom="column">
                        <wp:posOffset>-8890</wp:posOffset>
                      </wp:positionH>
                      <wp:positionV relativeFrom="paragraph">
                        <wp:posOffset>17145</wp:posOffset>
                      </wp:positionV>
                      <wp:extent cx="90805" cy="90805"/>
                      <wp:effectExtent l="0" t="0" r="4445" b="444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7pt;margin-top:1.35pt;width:7.1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"/>
                  </w:pict>
                </mc:Fallback>
              </mc:AlternateContent>
            </w:r>
            <w:r w:rsidR="00FD05DA" w:rsidRPr="00FD05DA">
              <w:rPr>
                <w:rFonts w:ascii="Times New Roman" w:hAnsi="Times New Roman" w:cs="Times New Roman"/>
                <w:sz w:val="22"/>
                <w:szCs w:val="22"/>
                <w:lang w:val="fr-FR"/>
              </w:rPr>
              <w:t xml:space="preserve">     Oui    X    Non    Date : </w:t>
            </w:r>
            <w:proofErr w:type="spellStart"/>
            <w:r w:rsidR="00FD05DA" w:rsidRPr="00FD05DA">
              <w:rPr>
                <w:rFonts w:ascii="Times New Roman" w:hAnsi="Times New Roman" w:cs="Times New Roman"/>
                <w:sz w:val="22"/>
                <w:szCs w:val="22"/>
                <w:lang w:val="fr-FR"/>
              </w:rPr>
              <w:t>dd.mm.yyyy</w:t>
            </w:r>
            <w:proofErr w:type="spellEnd"/>
            <w:r w:rsidR="00FD05DA" w:rsidRPr="00FD05DA">
              <w:rPr>
                <w:rFonts w:ascii="Times New Roman" w:hAnsi="Times New Roman" w:cs="Times New Roman"/>
                <w:sz w:val="22"/>
                <w:szCs w:val="22"/>
                <w:lang w:val="fr-FR"/>
              </w:rPr>
              <w:t>)</w:t>
            </w:r>
          </w:p>
          <w:p w:rsidR="00FD05DA" w:rsidRPr="00FD05DA" w:rsidRDefault="00FD05DA" w:rsidP="00165525">
            <w:pPr>
              <w:pStyle w:val="BodyText"/>
              <w:rPr>
                <w:rFonts w:ascii="Times New Roman" w:hAnsi="Times New Roman" w:cs="Times New Roman"/>
                <w:bCs/>
                <w:i/>
                <w:iCs/>
                <w:sz w:val="22"/>
                <w:szCs w:val="22"/>
                <w:lang w:val="fr-FR"/>
              </w:rPr>
            </w:pPr>
            <w:r w:rsidRPr="00FD05DA">
              <w:rPr>
                <w:rFonts w:ascii="Times New Roman" w:hAnsi="Times New Roman" w:cs="Times New Roman"/>
                <w:sz w:val="22"/>
                <w:szCs w:val="22"/>
                <w:lang w:val="fr-FR"/>
              </w:rPr>
              <w:t xml:space="preserve">Evaluation à mi-parcours </w:t>
            </w:r>
            <w:r w:rsidRPr="00FD05DA">
              <w:rPr>
                <w:rFonts w:ascii="Times New Roman" w:hAnsi="Times New Roman" w:cs="Times New Roman"/>
                <w:bCs/>
                <w:i/>
                <w:iCs/>
                <w:sz w:val="22"/>
                <w:szCs w:val="22"/>
                <w:lang w:val="fr-FR"/>
              </w:rPr>
              <w:t>– (à joindre le cas échéant)</w:t>
            </w:r>
          </w:p>
          <w:p w:rsidR="00FD05DA" w:rsidRPr="00FD05DA" w:rsidRDefault="00EA24FA" w:rsidP="00165525">
            <w:pPr>
              <w:pStyle w:val="BodyText"/>
              <w:rPr>
                <w:rFonts w:ascii="Times New Roman" w:hAnsi="Times New Roman" w:cs="Times New Roman"/>
                <w:sz w:val="22"/>
                <w:szCs w:val="22"/>
                <w:lang w:val="fr-FR"/>
              </w:rPr>
            </w:pPr>
            <w:r>
              <w:rPr>
                <w:rFonts w:ascii="Times New Roman" w:hAnsi="Times New Roman" w:cs="Times New Roman"/>
                <w:noProof/>
                <w:sz w:val="22"/>
                <w:szCs w:val="22"/>
              </w:rPr>
              <mc:AlternateContent>
                <mc:Choice Requires="wps">
                  <w:drawing>
                    <wp:anchor distT="0" distB="0" distL="114300" distR="114300" simplePos="0" relativeHeight="251658752" behindDoc="0" locked="0" layoutInCell="1" allowOverlap="1">
                      <wp:simplePos x="0" y="0"/>
                      <wp:positionH relativeFrom="column">
                        <wp:posOffset>-8890</wp:posOffset>
                      </wp:positionH>
                      <wp:positionV relativeFrom="paragraph">
                        <wp:posOffset>17145</wp:posOffset>
                      </wp:positionV>
                      <wp:extent cx="90805" cy="90805"/>
                      <wp:effectExtent l="0" t="0" r="4445" b="4445"/>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7pt;margin-top:1.35pt;width:7.15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"/>
                  </w:pict>
                </mc:Fallback>
              </mc:AlternateContent>
            </w:r>
            <w:r w:rsidR="00FD05DA" w:rsidRPr="00FD05DA">
              <w:rPr>
                <w:rFonts w:ascii="Times New Roman" w:hAnsi="Times New Roman" w:cs="Times New Roman"/>
                <w:sz w:val="22"/>
                <w:szCs w:val="22"/>
                <w:lang w:val="fr-FR"/>
              </w:rPr>
              <w:t xml:space="preserve">     Oui     X   Non    Date: _ </w:t>
            </w:r>
            <w:proofErr w:type="spellStart"/>
            <w:r w:rsidR="00FD05DA" w:rsidRPr="00FD05DA">
              <w:rPr>
                <w:rFonts w:ascii="Times New Roman" w:hAnsi="Times New Roman" w:cs="Times New Roman"/>
                <w:sz w:val="22"/>
                <w:szCs w:val="22"/>
                <w:lang w:val="fr-FR"/>
              </w:rPr>
              <w:t>dd.mm.yyyy</w:t>
            </w:r>
            <w:proofErr w:type="spellEnd"/>
            <w:r w:rsidR="00FD05DA" w:rsidRPr="00FD05DA">
              <w:rPr>
                <w:rFonts w:ascii="Times New Roman" w:hAnsi="Times New Roman" w:cs="Times New Roman"/>
                <w:sz w:val="22"/>
                <w:szCs w:val="22"/>
                <w:lang w:val="fr-FR"/>
              </w:rPr>
              <w:t>):</w:t>
            </w:r>
          </w:p>
        </w:tc>
        <w:tc>
          <w:tcPr>
            <w:tcW w:w="360" w:type="dxa"/>
            <w:vMerge/>
            <w:tcBorders>
              <w:left w:val="single" w:sz="4" w:space="0" w:color="auto"/>
              <w:right w:val="single" w:sz="4" w:space="0" w:color="auto"/>
            </w:tcBorders>
          </w:tcPr>
          <w:p w:rsidR="00FD05DA" w:rsidRPr="00FD05DA" w:rsidRDefault="00FD05DA" w:rsidP="00165525">
            <w:pPr>
              <w:pStyle w:val="BodyText"/>
              <w:rPr>
                <w:rFonts w:ascii="Times New Roman" w:hAnsi="Times New Roman" w:cs="Times New Roman"/>
                <w:sz w:val="22"/>
                <w:szCs w:val="22"/>
                <w:lang w:val="fr-FR"/>
              </w:rPr>
            </w:pPr>
          </w:p>
        </w:tc>
        <w:tc>
          <w:tcPr>
            <w:tcW w:w="5040" w:type="dxa"/>
            <w:tcBorders>
              <w:left w:val="single" w:sz="4" w:space="0" w:color="auto"/>
              <w:bottom w:val="single" w:sz="4" w:space="0" w:color="auto"/>
              <w:right w:val="single" w:sz="4" w:space="0" w:color="auto"/>
            </w:tcBorders>
          </w:tcPr>
          <w:p w:rsidR="00FD05DA" w:rsidRPr="00FD05DA" w:rsidRDefault="00FD05DA" w:rsidP="00FD05DA">
            <w:pPr>
              <w:numPr>
                <w:ilvl w:val="0"/>
                <w:numId w:val="10"/>
              </w:numPr>
              <w:ind w:left="342"/>
              <w:rPr>
                <w:sz w:val="22"/>
                <w:szCs w:val="22"/>
                <w:lang w:val="fr-FR"/>
              </w:rPr>
            </w:pPr>
            <w:r w:rsidRPr="00FD05DA">
              <w:rPr>
                <w:sz w:val="22"/>
                <w:szCs w:val="22"/>
                <w:lang w:val="fr-FR"/>
              </w:rPr>
              <w:t xml:space="preserve">Nom: </w:t>
            </w:r>
            <w:r w:rsidR="00B95832">
              <w:rPr>
                <w:sz w:val="22"/>
                <w:szCs w:val="22"/>
                <w:lang w:val="fr-FR"/>
              </w:rPr>
              <w:t>Sergio Blanco</w:t>
            </w:r>
          </w:p>
          <w:p w:rsidR="00FD05DA" w:rsidRPr="00FD05DA" w:rsidRDefault="00FD05DA" w:rsidP="00FD05DA">
            <w:pPr>
              <w:numPr>
                <w:ilvl w:val="0"/>
                <w:numId w:val="10"/>
              </w:numPr>
              <w:ind w:left="342"/>
              <w:rPr>
                <w:sz w:val="22"/>
                <w:szCs w:val="22"/>
                <w:lang w:val="fr-FR"/>
              </w:rPr>
            </w:pPr>
            <w:r w:rsidRPr="00FD05DA">
              <w:rPr>
                <w:sz w:val="22"/>
                <w:szCs w:val="22"/>
                <w:lang w:val="fr-FR"/>
              </w:rPr>
              <w:t xml:space="preserve">Titre: </w:t>
            </w:r>
            <w:r w:rsidR="00B95832">
              <w:rPr>
                <w:sz w:val="22"/>
                <w:szCs w:val="22"/>
                <w:lang w:val="fr-FR"/>
              </w:rPr>
              <w:t>Coordonnateur du</w:t>
            </w:r>
            <w:r w:rsidR="00A50B53">
              <w:rPr>
                <w:sz w:val="22"/>
                <w:szCs w:val="22"/>
                <w:lang w:val="fr-FR"/>
              </w:rPr>
              <w:t xml:space="preserve"> Programme</w:t>
            </w:r>
          </w:p>
          <w:p w:rsidR="00FD05DA" w:rsidRPr="00FD05DA" w:rsidRDefault="00A50B53" w:rsidP="00FD05DA">
            <w:pPr>
              <w:numPr>
                <w:ilvl w:val="0"/>
                <w:numId w:val="10"/>
              </w:numPr>
              <w:ind w:left="342"/>
              <w:rPr>
                <w:sz w:val="22"/>
                <w:szCs w:val="22"/>
                <w:lang w:val="fr-FR"/>
              </w:rPr>
            </w:pPr>
            <w:proofErr w:type="spellStart"/>
            <w:r>
              <w:rPr>
                <w:sz w:val="22"/>
                <w:szCs w:val="22"/>
                <w:lang w:val="fr-FR"/>
              </w:rPr>
              <w:t>Org</w:t>
            </w:r>
            <w:proofErr w:type="spellEnd"/>
            <w:r>
              <w:rPr>
                <w:sz w:val="22"/>
                <w:szCs w:val="22"/>
                <w:lang w:val="fr-FR"/>
              </w:rPr>
              <w:t>.</w:t>
            </w:r>
            <w:r w:rsidR="00FD05DA" w:rsidRPr="00FD05DA">
              <w:rPr>
                <w:sz w:val="22"/>
                <w:szCs w:val="22"/>
                <w:lang w:val="fr-FR"/>
              </w:rPr>
              <w:t xml:space="preserve"> participante (“Lead Agency”): </w:t>
            </w:r>
            <w:r>
              <w:rPr>
                <w:sz w:val="22"/>
                <w:szCs w:val="22"/>
                <w:lang w:val="fr-FR"/>
              </w:rPr>
              <w:t>ONU-Habitat</w:t>
            </w:r>
          </w:p>
          <w:p w:rsidR="00FD05DA" w:rsidRPr="00B95832" w:rsidRDefault="00FD05DA" w:rsidP="00B95832">
            <w:pPr>
              <w:pStyle w:val="BodyText"/>
              <w:numPr>
                <w:ilvl w:val="0"/>
                <w:numId w:val="10"/>
              </w:numPr>
              <w:spacing w:after="120"/>
              <w:ind w:left="342"/>
              <w:jc w:val="both"/>
              <w:rPr>
                <w:rFonts w:ascii="Times New Roman" w:hAnsi="Times New Roman" w:cs="Times New Roman"/>
                <w:sz w:val="22"/>
                <w:szCs w:val="22"/>
                <w:lang w:val="pt-BR"/>
              </w:rPr>
            </w:pPr>
            <w:r w:rsidRPr="00B95832">
              <w:rPr>
                <w:rFonts w:ascii="Times New Roman" w:hAnsi="Times New Roman" w:cs="Times New Roman"/>
                <w:sz w:val="22"/>
                <w:szCs w:val="22"/>
                <w:lang w:val="pt-BR"/>
              </w:rPr>
              <w:t>Adre</w:t>
            </w:r>
            <w:r w:rsidR="00A50B53" w:rsidRPr="00B95832">
              <w:rPr>
                <w:rFonts w:ascii="Times New Roman" w:hAnsi="Times New Roman" w:cs="Times New Roman"/>
                <w:sz w:val="22"/>
                <w:szCs w:val="22"/>
                <w:lang w:val="pt-BR"/>
              </w:rPr>
              <w:t xml:space="preserve">sse e-mail: </w:t>
            </w:r>
            <w:r w:rsidR="00B95832" w:rsidRPr="00B95832">
              <w:rPr>
                <w:rFonts w:ascii="Times New Roman" w:hAnsi="Times New Roman" w:cs="Times New Roman"/>
                <w:sz w:val="22"/>
                <w:szCs w:val="22"/>
                <w:lang w:val="pt-BR"/>
              </w:rPr>
              <w:t>sergio.blanco</w:t>
            </w:r>
            <w:r w:rsidR="00A50B53" w:rsidRPr="00B95832">
              <w:rPr>
                <w:rFonts w:ascii="Times New Roman" w:hAnsi="Times New Roman" w:cs="Times New Roman"/>
                <w:sz w:val="22"/>
                <w:szCs w:val="22"/>
                <w:lang w:val="pt-BR"/>
              </w:rPr>
              <w:t>@onuhabitat.org</w:t>
            </w:r>
          </w:p>
        </w:tc>
      </w:tr>
    </w:tbl>
    <w:p w:rsidR="00311774" w:rsidRPr="00040C93" w:rsidRDefault="003E2682" w:rsidP="00EA455F">
      <w:pPr>
        <w:rPr>
          <w:u w:val="single"/>
          <w:lang w:val="fr-FR"/>
        </w:rPr>
      </w:pPr>
      <w:r w:rsidRPr="00B95832">
        <w:rPr>
          <w:b/>
          <w:bCs/>
          <w:caps/>
          <w:lang w:val="pt-BR"/>
        </w:rPr>
        <w:br w:type="page"/>
      </w:r>
      <w:bookmarkStart w:id="1" w:name="_Toc249364482"/>
      <w:r w:rsidR="00311774" w:rsidRPr="00040C93">
        <w:rPr>
          <w:u w:val="single"/>
          <w:lang w:val="fr-FR"/>
        </w:rPr>
        <w:lastRenderedPageBreak/>
        <w:t>RAPPORT NARRATIF</w:t>
      </w:r>
    </w:p>
    <w:p w:rsidR="00311774" w:rsidRPr="00040C93" w:rsidRDefault="00311774" w:rsidP="00311774">
      <w:pPr>
        <w:rPr>
          <w:sz w:val="16"/>
          <w:lang w:val="fr-FR"/>
        </w:rPr>
      </w:pPr>
    </w:p>
    <w:p w:rsidR="00560307" w:rsidRPr="008B65E2" w:rsidRDefault="004C14C0" w:rsidP="00560307">
      <w:pPr>
        <w:pStyle w:val="Heading1"/>
        <w:tabs>
          <w:tab w:val="left" w:pos="360"/>
        </w:tabs>
        <w:ind w:left="0"/>
        <w:jc w:val="left"/>
        <w:rPr>
          <w:rFonts w:ascii="Times New Roman" w:hAnsi="Times New Roman"/>
          <w:sz w:val="24"/>
          <w:szCs w:val="24"/>
          <w:lang w:val="fr-FR"/>
        </w:rPr>
      </w:pPr>
      <w:r w:rsidRPr="008B65E2">
        <w:rPr>
          <w:rFonts w:ascii="Times New Roman" w:hAnsi="Times New Roman"/>
          <w:sz w:val="24"/>
          <w:szCs w:val="24"/>
          <w:lang w:val="fr-FR"/>
        </w:rPr>
        <w:t>Résumé</w:t>
      </w:r>
    </w:p>
    <w:p w:rsidR="004C14C0" w:rsidRPr="004C14C0" w:rsidRDefault="004C14C0" w:rsidP="004C14C0">
      <w:pPr>
        <w:rPr>
          <w:lang w:val="fr-FR" w:eastAsia="x-none"/>
        </w:rPr>
      </w:pPr>
    </w:p>
    <w:p w:rsidR="001B2FDA" w:rsidRDefault="00B95832" w:rsidP="00560307">
      <w:pPr>
        <w:jc w:val="both"/>
        <w:rPr>
          <w:lang w:val="fr-FR" w:eastAsia="x-none"/>
        </w:rPr>
      </w:pPr>
      <w:r>
        <w:rPr>
          <w:lang w:val="fr-FR" w:eastAsia="x-none"/>
        </w:rPr>
        <w:t>P</w:t>
      </w:r>
      <w:r w:rsidR="001B2FDA">
        <w:rPr>
          <w:lang w:val="fr-FR" w:eastAsia="x-none"/>
        </w:rPr>
        <w:t>endant l’année 2013 les</w:t>
      </w:r>
      <w:r w:rsidR="0056447A">
        <w:rPr>
          <w:lang w:val="fr-FR" w:eastAsia="x-none"/>
        </w:rPr>
        <w:t xml:space="preserve"> quatre composantes du P</w:t>
      </w:r>
      <w:r>
        <w:rPr>
          <w:lang w:val="fr-FR" w:eastAsia="x-none"/>
        </w:rPr>
        <w:t xml:space="preserve">rogramme ont parvenu, malgré certains retards accumulés depuis le démarrage, </w:t>
      </w:r>
      <w:r w:rsidR="001B2FDA">
        <w:rPr>
          <w:lang w:val="fr-FR" w:eastAsia="x-none"/>
        </w:rPr>
        <w:t xml:space="preserve">a pratiquement mettre en place la totalité des produits attendus. En effet, </w:t>
      </w:r>
      <w:r w:rsidR="001812C1">
        <w:rPr>
          <w:lang w:val="fr-FR" w:eastAsia="x-none"/>
        </w:rPr>
        <w:t xml:space="preserve">d’une part, </w:t>
      </w:r>
      <w:r w:rsidR="001B2FDA">
        <w:rPr>
          <w:lang w:val="fr-FR" w:eastAsia="x-none"/>
        </w:rPr>
        <w:t xml:space="preserve">les </w:t>
      </w:r>
      <w:r w:rsidR="001812C1">
        <w:rPr>
          <w:lang w:val="fr-FR" w:eastAsia="x-none"/>
        </w:rPr>
        <w:t>informations</w:t>
      </w:r>
      <w:r w:rsidR="001B2FDA">
        <w:rPr>
          <w:lang w:val="fr-FR" w:eastAsia="x-none"/>
        </w:rPr>
        <w:t xml:space="preserve"> cartographiques sur le bâti et les ménages des zones les plus affecté</w:t>
      </w:r>
      <w:r w:rsidR="001812C1">
        <w:rPr>
          <w:lang w:val="fr-FR" w:eastAsia="x-none"/>
        </w:rPr>
        <w:t>e</w:t>
      </w:r>
      <w:r w:rsidR="001B2FDA">
        <w:rPr>
          <w:lang w:val="fr-FR" w:eastAsia="x-none"/>
        </w:rPr>
        <w:t xml:space="preserve">s par le </w:t>
      </w:r>
      <w:r w:rsidR="001812C1">
        <w:rPr>
          <w:lang w:val="fr-FR" w:eastAsia="x-none"/>
        </w:rPr>
        <w:t>séisme</w:t>
      </w:r>
      <w:r w:rsidR="001B2FDA">
        <w:rPr>
          <w:lang w:val="fr-FR" w:eastAsia="x-none"/>
        </w:rPr>
        <w:t xml:space="preserve"> ont été</w:t>
      </w:r>
      <w:r w:rsidR="001812C1">
        <w:rPr>
          <w:lang w:val="fr-FR" w:eastAsia="x-none"/>
        </w:rPr>
        <w:t xml:space="preserve"> recueillies et les bases de données complétées et transmises pour leur intégration au Système d’Information du Logement et des Quartiers. Ce dernier a été développé, mis en ligne et est prêt </w:t>
      </w:r>
      <w:r w:rsidR="0056447A">
        <w:rPr>
          <w:lang w:val="fr-FR" w:eastAsia="x-none"/>
        </w:rPr>
        <w:t>à</w:t>
      </w:r>
      <w:r w:rsidR="001812C1">
        <w:rPr>
          <w:lang w:val="fr-FR" w:eastAsia="x-none"/>
        </w:rPr>
        <w:t xml:space="preserve"> être exploité. </w:t>
      </w:r>
      <w:r>
        <w:rPr>
          <w:lang w:val="fr-FR" w:eastAsia="x-none"/>
        </w:rPr>
        <w:t>Egalement, l</w:t>
      </w:r>
      <w:r w:rsidR="001812C1">
        <w:rPr>
          <w:lang w:val="fr-FR" w:eastAsia="x-none"/>
        </w:rPr>
        <w:t xml:space="preserve">es dix Agences Techniques Locales et </w:t>
      </w:r>
      <w:r>
        <w:rPr>
          <w:lang w:val="fr-FR" w:eastAsia="x-none"/>
        </w:rPr>
        <w:t xml:space="preserve">dix </w:t>
      </w:r>
      <w:r w:rsidR="001812C1">
        <w:rPr>
          <w:lang w:val="fr-FR" w:eastAsia="x-none"/>
        </w:rPr>
        <w:t>Centres de Ressources Communautaires</w:t>
      </w:r>
      <w:r>
        <w:rPr>
          <w:lang w:val="fr-FR" w:eastAsia="x-none"/>
        </w:rPr>
        <w:t xml:space="preserve">, des douze prévus, </w:t>
      </w:r>
      <w:r w:rsidR="001812C1">
        <w:rPr>
          <w:lang w:val="fr-FR" w:eastAsia="x-none"/>
        </w:rPr>
        <w:t xml:space="preserve"> ont été mis en place et sont opérationnels au sein des communes </w:t>
      </w:r>
      <w:r>
        <w:rPr>
          <w:lang w:val="fr-FR" w:eastAsia="x-none"/>
        </w:rPr>
        <w:t>concernées</w:t>
      </w:r>
      <w:r w:rsidR="001812C1">
        <w:rPr>
          <w:lang w:val="fr-FR" w:eastAsia="x-none"/>
        </w:rPr>
        <w:t xml:space="preserve">. Finalement, les outils de planification du territoire ont été </w:t>
      </w:r>
      <w:r w:rsidR="00624DE7">
        <w:rPr>
          <w:lang w:val="fr-FR" w:eastAsia="x-none"/>
        </w:rPr>
        <w:t>élaborés avec la contribution des populations et ils attendent juste leur validation officielle.</w:t>
      </w:r>
    </w:p>
    <w:p w:rsidR="00624DE7" w:rsidRDefault="00624DE7" w:rsidP="00560307">
      <w:pPr>
        <w:jc w:val="both"/>
        <w:rPr>
          <w:lang w:val="fr-FR" w:eastAsia="x-none"/>
        </w:rPr>
      </w:pPr>
    </w:p>
    <w:p w:rsidR="00624DE7" w:rsidRDefault="00624DE7" w:rsidP="00560307">
      <w:pPr>
        <w:jc w:val="both"/>
        <w:rPr>
          <w:lang w:val="fr-FR" w:eastAsia="x-none"/>
        </w:rPr>
      </w:pPr>
      <w:r>
        <w:rPr>
          <w:lang w:val="fr-FR" w:eastAsia="x-none"/>
        </w:rPr>
        <w:t>Au même temps</w:t>
      </w:r>
      <w:r w:rsidR="00B95832">
        <w:rPr>
          <w:lang w:val="fr-FR" w:eastAsia="x-none"/>
        </w:rPr>
        <w:t>,</w:t>
      </w:r>
      <w:r>
        <w:rPr>
          <w:lang w:val="fr-FR" w:eastAsia="x-none"/>
        </w:rPr>
        <w:t xml:space="preserve"> et à travers la réalisation de ces outils d’aide à la décision, le </w:t>
      </w:r>
      <w:r w:rsidR="007D2DAA">
        <w:rPr>
          <w:lang w:val="fr-FR" w:eastAsia="x-none"/>
        </w:rPr>
        <w:t>Programme</w:t>
      </w:r>
      <w:r>
        <w:rPr>
          <w:lang w:val="fr-FR" w:eastAsia="x-none"/>
        </w:rPr>
        <w:t xml:space="preserve"> a permis de renforcer les capacités des institutions partenaires. Ainsi l’</w:t>
      </w:r>
      <w:r w:rsidR="00F07CFE">
        <w:rPr>
          <w:lang w:val="fr-FR" w:eastAsia="x-none"/>
        </w:rPr>
        <w:t>Institut</w:t>
      </w:r>
      <w:r>
        <w:rPr>
          <w:lang w:val="fr-FR" w:eastAsia="x-none"/>
        </w:rPr>
        <w:t xml:space="preserve"> </w:t>
      </w:r>
      <w:r w:rsidR="009C1A6A">
        <w:rPr>
          <w:lang w:val="fr-FR" w:eastAsia="x-none"/>
        </w:rPr>
        <w:t>Haïtien</w:t>
      </w:r>
      <w:r>
        <w:rPr>
          <w:lang w:val="fr-FR" w:eastAsia="x-none"/>
        </w:rPr>
        <w:t xml:space="preserve"> de Statistiques et l’Informatique (IHSI) a vu ses installations rénovées et rééquipées, son staff formé et ses méthodologies mises a jour en préparation du recensement national prévu pour 2014. Pour sa part</w:t>
      </w:r>
      <w:r w:rsidR="00F07CFE">
        <w:rPr>
          <w:lang w:val="fr-FR" w:eastAsia="x-none"/>
        </w:rPr>
        <w:t>,</w:t>
      </w:r>
      <w:r>
        <w:rPr>
          <w:lang w:val="fr-FR" w:eastAsia="x-none"/>
        </w:rPr>
        <w:t xml:space="preserve"> les capacités du Centre National d’Information </w:t>
      </w:r>
      <w:proofErr w:type="spellStart"/>
      <w:r>
        <w:rPr>
          <w:lang w:val="fr-FR" w:eastAsia="x-none"/>
        </w:rPr>
        <w:t>Géospatial</w:t>
      </w:r>
      <w:proofErr w:type="spellEnd"/>
      <w:r>
        <w:rPr>
          <w:lang w:val="fr-FR" w:eastAsia="x-none"/>
        </w:rPr>
        <w:t xml:space="preserve"> (CNIGS) </w:t>
      </w:r>
      <w:r w:rsidR="00F07CFE">
        <w:rPr>
          <w:lang w:val="fr-FR" w:eastAsia="x-none"/>
        </w:rPr>
        <w:t xml:space="preserve">ont été renforcées à travers </w:t>
      </w:r>
      <w:r w:rsidR="00B95832">
        <w:rPr>
          <w:lang w:val="fr-FR" w:eastAsia="x-none"/>
        </w:rPr>
        <w:t xml:space="preserve">la fourniture </w:t>
      </w:r>
      <w:r w:rsidR="00F07CFE">
        <w:rPr>
          <w:lang w:val="fr-FR" w:eastAsia="x-none"/>
        </w:rPr>
        <w:t xml:space="preserve">des nouveaux espaces et équipements de travail ainsi que la formation de son personnel technique. De la même façon, le Ministère de l’Intérieur et des Collectivités Territoriales </w:t>
      </w:r>
      <w:r w:rsidR="008B65E2">
        <w:rPr>
          <w:lang w:val="fr-FR" w:eastAsia="x-none"/>
        </w:rPr>
        <w:t xml:space="preserve">(MICT) </w:t>
      </w:r>
      <w:r w:rsidR="00F07CFE">
        <w:rPr>
          <w:lang w:val="fr-FR" w:eastAsia="x-none"/>
        </w:rPr>
        <w:t xml:space="preserve">et les communes participantes au </w:t>
      </w:r>
      <w:r w:rsidR="007D2DAA">
        <w:rPr>
          <w:lang w:val="fr-FR" w:eastAsia="x-none"/>
        </w:rPr>
        <w:t>Programme</w:t>
      </w:r>
      <w:r w:rsidR="00F07CFE">
        <w:rPr>
          <w:lang w:val="fr-FR" w:eastAsia="x-none"/>
        </w:rPr>
        <w:t xml:space="preserve"> ont reçu un appui matériel en locaux et équipements ainsi que technique afin de renforce</w:t>
      </w:r>
      <w:r w:rsidR="0056447A">
        <w:rPr>
          <w:lang w:val="fr-FR" w:eastAsia="x-none"/>
        </w:rPr>
        <w:t>r</w:t>
      </w:r>
      <w:r w:rsidR="00B95832">
        <w:rPr>
          <w:lang w:val="fr-FR" w:eastAsia="x-none"/>
        </w:rPr>
        <w:t xml:space="preserve"> les</w:t>
      </w:r>
      <w:r w:rsidR="00F07CFE">
        <w:rPr>
          <w:lang w:val="fr-FR" w:eastAsia="x-none"/>
        </w:rPr>
        <w:t xml:space="preserve"> capacités </w:t>
      </w:r>
      <w:r w:rsidR="00B95832">
        <w:rPr>
          <w:lang w:val="fr-FR" w:eastAsia="x-none"/>
        </w:rPr>
        <w:t>dans la gestion locale</w:t>
      </w:r>
      <w:r w:rsidR="00F07CFE">
        <w:rPr>
          <w:lang w:val="fr-FR" w:eastAsia="x-none"/>
        </w:rPr>
        <w:t>. Le Ministère de la Planification et la Coopération</w:t>
      </w:r>
      <w:r w:rsidR="008B65E2">
        <w:rPr>
          <w:lang w:val="fr-FR" w:eastAsia="x-none"/>
        </w:rPr>
        <w:t xml:space="preserve"> Externe (MPCE) </w:t>
      </w:r>
      <w:r w:rsidR="00F07CFE">
        <w:rPr>
          <w:lang w:val="fr-FR" w:eastAsia="x-none"/>
        </w:rPr>
        <w:t xml:space="preserve">a  </w:t>
      </w:r>
      <w:r w:rsidR="008B65E2">
        <w:rPr>
          <w:lang w:val="fr-FR" w:eastAsia="x-none"/>
        </w:rPr>
        <w:t>pour sa part vu renforcées ses capacités de planification du développement du territoire.</w:t>
      </w:r>
    </w:p>
    <w:p w:rsidR="008B65E2" w:rsidRDefault="008B65E2" w:rsidP="00560307">
      <w:pPr>
        <w:jc w:val="both"/>
        <w:rPr>
          <w:lang w:val="fr-FR" w:eastAsia="x-none"/>
        </w:rPr>
      </w:pPr>
    </w:p>
    <w:p w:rsidR="001B2FDA" w:rsidRDefault="00B871E7" w:rsidP="00560307">
      <w:pPr>
        <w:jc w:val="both"/>
        <w:rPr>
          <w:lang w:val="fr-FR" w:eastAsia="x-none"/>
        </w:rPr>
      </w:pPr>
      <w:r>
        <w:rPr>
          <w:lang w:val="fr-FR" w:eastAsia="x-none"/>
        </w:rPr>
        <w:t xml:space="preserve">Si bien le Programme, </w:t>
      </w:r>
      <w:r w:rsidR="008B65E2">
        <w:rPr>
          <w:lang w:val="fr-FR" w:eastAsia="x-none"/>
        </w:rPr>
        <w:t>dans sa conception initiale</w:t>
      </w:r>
      <w:r>
        <w:rPr>
          <w:lang w:val="fr-FR" w:eastAsia="x-none"/>
        </w:rPr>
        <w:t>,</w:t>
      </w:r>
      <w:r w:rsidR="008B65E2">
        <w:rPr>
          <w:lang w:val="fr-FR" w:eastAsia="x-none"/>
        </w:rPr>
        <w:t xml:space="preserve"> se </w:t>
      </w:r>
      <w:r>
        <w:rPr>
          <w:lang w:val="fr-FR" w:eastAsia="x-none"/>
        </w:rPr>
        <w:t>centrait</w:t>
      </w:r>
      <w:r w:rsidR="008B65E2">
        <w:rPr>
          <w:lang w:val="fr-FR" w:eastAsia="x-none"/>
        </w:rPr>
        <w:t xml:space="preserve"> sur l’appui aux instances gouvernementales afin de répondre convenablement aux défis de la reconstruction, étant donné que ses propositions venaient combler des déficits </w:t>
      </w:r>
      <w:r>
        <w:rPr>
          <w:lang w:val="fr-FR" w:eastAsia="x-none"/>
        </w:rPr>
        <w:t xml:space="preserve">structurels de l’administration pour gérer adéquatement le développement des villes et des territoires, il s’est bien adapté </w:t>
      </w:r>
      <w:r w:rsidR="0056447A">
        <w:rPr>
          <w:lang w:val="fr-FR" w:eastAsia="x-none"/>
        </w:rPr>
        <w:t>à</w:t>
      </w:r>
      <w:r>
        <w:rPr>
          <w:lang w:val="fr-FR" w:eastAsia="x-none"/>
        </w:rPr>
        <w:t xml:space="preserve"> l’évolution du contexte </w:t>
      </w:r>
      <w:r w:rsidR="00B95832">
        <w:rPr>
          <w:lang w:val="fr-FR" w:eastAsia="x-none"/>
        </w:rPr>
        <w:t xml:space="preserve">vers </w:t>
      </w:r>
      <w:r>
        <w:rPr>
          <w:lang w:val="fr-FR" w:eastAsia="x-none"/>
        </w:rPr>
        <w:t xml:space="preserve">une phase de transition </w:t>
      </w:r>
      <w:r w:rsidR="00677230">
        <w:rPr>
          <w:lang w:val="fr-FR" w:eastAsia="x-none"/>
        </w:rPr>
        <w:t xml:space="preserve">de plus en </w:t>
      </w:r>
      <w:r w:rsidR="00B95832">
        <w:rPr>
          <w:lang w:val="fr-FR" w:eastAsia="x-none"/>
        </w:rPr>
        <w:t xml:space="preserve">plus orientée </w:t>
      </w:r>
      <w:r>
        <w:rPr>
          <w:lang w:val="fr-FR" w:eastAsia="x-none"/>
        </w:rPr>
        <w:t>vers le développement.</w:t>
      </w:r>
      <w:r w:rsidR="00677230">
        <w:rPr>
          <w:lang w:val="fr-FR" w:eastAsia="x-none"/>
        </w:rPr>
        <w:t xml:space="preserve"> Ses objectifs et résultats restent toujours </w:t>
      </w:r>
      <w:r w:rsidR="00C122A6">
        <w:rPr>
          <w:lang w:val="fr-FR" w:eastAsia="x-none"/>
        </w:rPr>
        <w:t>pertinents</w:t>
      </w:r>
      <w:r w:rsidR="00677230">
        <w:rPr>
          <w:lang w:val="fr-FR" w:eastAsia="x-none"/>
        </w:rPr>
        <w:t xml:space="preserve">. </w:t>
      </w:r>
    </w:p>
    <w:p w:rsidR="001812C1" w:rsidRDefault="001812C1" w:rsidP="00560307">
      <w:pPr>
        <w:jc w:val="both"/>
        <w:rPr>
          <w:lang w:val="fr-FR" w:eastAsia="x-none"/>
        </w:rPr>
      </w:pPr>
    </w:p>
    <w:p w:rsidR="00560307" w:rsidRDefault="00560307" w:rsidP="00560307">
      <w:pPr>
        <w:jc w:val="both"/>
        <w:rPr>
          <w:lang w:val="fr-FR" w:eastAsia="x-none"/>
        </w:rPr>
      </w:pPr>
    </w:p>
    <w:p w:rsidR="00311774" w:rsidRPr="00040C93" w:rsidRDefault="00311774" w:rsidP="00311774">
      <w:pPr>
        <w:pStyle w:val="Heading1"/>
        <w:numPr>
          <w:ilvl w:val="0"/>
          <w:numId w:val="1"/>
        </w:numPr>
        <w:tabs>
          <w:tab w:val="clear" w:pos="1080"/>
          <w:tab w:val="left" w:pos="360"/>
        </w:tabs>
        <w:ind w:left="360" w:hanging="360"/>
        <w:jc w:val="left"/>
        <w:rPr>
          <w:rFonts w:ascii="Times New Roman" w:hAnsi="Times New Roman"/>
          <w:sz w:val="24"/>
          <w:szCs w:val="24"/>
          <w:lang w:val="fr-FR"/>
        </w:rPr>
      </w:pPr>
      <w:r w:rsidRPr="00040C93">
        <w:rPr>
          <w:rFonts w:ascii="Times New Roman" w:hAnsi="Times New Roman"/>
          <w:sz w:val="24"/>
          <w:szCs w:val="24"/>
          <w:lang w:val="fr-FR"/>
        </w:rPr>
        <w:t>Objectifs</w:t>
      </w:r>
    </w:p>
    <w:p w:rsidR="00311774" w:rsidRPr="00040C93" w:rsidRDefault="00311774" w:rsidP="00311774">
      <w:pPr>
        <w:pStyle w:val="BodyText"/>
        <w:ind w:left="360"/>
        <w:jc w:val="both"/>
        <w:rPr>
          <w:rFonts w:ascii="Times New Roman" w:hAnsi="Times New Roman"/>
          <w:sz w:val="24"/>
          <w:lang w:val="fr-FR"/>
        </w:rPr>
      </w:pPr>
    </w:p>
    <w:p w:rsidR="00A50B53" w:rsidRPr="00A50B53" w:rsidRDefault="00A50B53" w:rsidP="00A50B53">
      <w:pPr>
        <w:pStyle w:val="BodyText2"/>
        <w:rPr>
          <w:rFonts w:ascii="Times New Roman" w:hAnsi="Times New Roman" w:cs="Times New Roman"/>
          <w:sz w:val="24"/>
          <w:szCs w:val="24"/>
          <w:lang w:val="fr-FR"/>
        </w:rPr>
      </w:pPr>
      <w:r w:rsidRPr="00A50B53">
        <w:rPr>
          <w:rFonts w:ascii="Times New Roman" w:hAnsi="Times New Roman" w:cs="Times New Roman"/>
          <w:sz w:val="24"/>
          <w:szCs w:val="24"/>
          <w:lang w:val="fr-FR"/>
        </w:rPr>
        <w:t>Le Programme d’appui a pour objectif de fournir au gouvernement, à l’entité gouvernementale en charge de la reconstruction et aux partenaires d’appui techniques et financiers les outils de base d’aide à la décision et de coordination pour la reconstruction du logement et des quartiers, et notamment :</w:t>
      </w:r>
    </w:p>
    <w:p w:rsidR="00A50B53" w:rsidRPr="00BF3B6D" w:rsidRDefault="00A50B53" w:rsidP="00A50B53">
      <w:pPr>
        <w:pStyle w:val="FootnoteText"/>
        <w:numPr>
          <w:ilvl w:val="0"/>
          <w:numId w:val="8"/>
        </w:numPr>
        <w:jc w:val="both"/>
        <w:rPr>
          <w:rFonts w:cs="Calibri"/>
          <w:sz w:val="24"/>
          <w:szCs w:val="24"/>
          <w:lang w:val="fr-FR"/>
        </w:rPr>
      </w:pPr>
      <w:r w:rsidRPr="00BF3B6D">
        <w:rPr>
          <w:rFonts w:cs="Calibri"/>
          <w:sz w:val="24"/>
          <w:szCs w:val="24"/>
          <w:lang w:val="fr-FR"/>
        </w:rPr>
        <w:t xml:space="preserve">Fournir des données de base sur les quartiers, les bâtiments, les ménages, le statut d’occupation des logements, ainsi que sur les services sociaux de base et </w:t>
      </w:r>
      <w:r>
        <w:rPr>
          <w:rFonts w:cs="Calibri"/>
          <w:sz w:val="24"/>
          <w:szCs w:val="24"/>
          <w:lang w:val="fr-FR"/>
        </w:rPr>
        <w:t>les</w:t>
      </w:r>
      <w:r w:rsidRPr="00BF3B6D">
        <w:rPr>
          <w:rFonts w:cs="Calibri"/>
          <w:sz w:val="24"/>
          <w:szCs w:val="24"/>
          <w:lang w:val="fr-FR"/>
        </w:rPr>
        <w:t xml:space="preserve"> infrastructures communautaires. </w:t>
      </w:r>
      <w:r w:rsidRPr="005500C5">
        <w:rPr>
          <w:rFonts w:cs="Calibri"/>
          <w:b/>
          <w:i/>
          <w:sz w:val="24"/>
          <w:szCs w:val="24"/>
          <w:lang w:val="fr-FR"/>
        </w:rPr>
        <w:t>(composante 1)</w:t>
      </w:r>
    </w:p>
    <w:p w:rsidR="00A50B53" w:rsidRPr="00BF3B6D" w:rsidRDefault="00A50B53" w:rsidP="00A50B53">
      <w:pPr>
        <w:pStyle w:val="FootnoteText"/>
        <w:numPr>
          <w:ilvl w:val="0"/>
          <w:numId w:val="8"/>
        </w:numPr>
        <w:jc w:val="both"/>
        <w:rPr>
          <w:rFonts w:cs="Calibri"/>
          <w:sz w:val="24"/>
          <w:szCs w:val="24"/>
          <w:lang w:val="fr-FR"/>
        </w:rPr>
      </w:pPr>
      <w:r w:rsidRPr="00BF3B6D">
        <w:rPr>
          <w:rFonts w:cs="Calibri"/>
          <w:sz w:val="24"/>
          <w:szCs w:val="24"/>
          <w:lang w:val="fr-FR"/>
        </w:rPr>
        <w:t>Développer un système d'information géographique sur le logement et les quartiers, comme outil d’information et d’aide à la décision pour le programme de reconstruction et permettant la définition, la mise en œuvre et le suivi des programmes de développement urbains.</w:t>
      </w:r>
      <w:r>
        <w:rPr>
          <w:rFonts w:cs="Calibri"/>
          <w:sz w:val="24"/>
          <w:szCs w:val="24"/>
          <w:lang w:val="fr-FR"/>
        </w:rPr>
        <w:t xml:space="preserve"> </w:t>
      </w:r>
      <w:r w:rsidRPr="005500C5">
        <w:rPr>
          <w:rFonts w:cs="Calibri"/>
          <w:b/>
          <w:i/>
          <w:sz w:val="24"/>
          <w:szCs w:val="24"/>
          <w:lang w:val="fr-FR"/>
        </w:rPr>
        <w:t xml:space="preserve">(composante </w:t>
      </w:r>
      <w:r>
        <w:rPr>
          <w:rFonts w:cs="Calibri"/>
          <w:b/>
          <w:i/>
          <w:sz w:val="24"/>
          <w:szCs w:val="24"/>
          <w:lang w:val="fr-FR"/>
        </w:rPr>
        <w:t>2</w:t>
      </w:r>
      <w:r w:rsidRPr="005500C5">
        <w:rPr>
          <w:rFonts w:cs="Calibri"/>
          <w:b/>
          <w:i/>
          <w:sz w:val="24"/>
          <w:szCs w:val="24"/>
          <w:lang w:val="fr-FR"/>
        </w:rPr>
        <w:t>)</w:t>
      </w:r>
    </w:p>
    <w:p w:rsidR="00A50B53" w:rsidRPr="00434823" w:rsidRDefault="00A50B53" w:rsidP="00A50B53">
      <w:pPr>
        <w:pStyle w:val="ListParagraph"/>
        <w:widowControl w:val="0"/>
        <w:numPr>
          <w:ilvl w:val="0"/>
          <w:numId w:val="8"/>
        </w:numPr>
        <w:autoSpaceDE w:val="0"/>
        <w:autoSpaceDN w:val="0"/>
        <w:adjustRightInd w:val="0"/>
        <w:jc w:val="both"/>
        <w:rPr>
          <w:rFonts w:cs="Calibri"/>
          <w:lang w:val="fr-FR"/>
        </w:rPr>
      </w:pPr>
      <w:r w:rsidRPr="00434823">
        <w:rPr>
          <w:rFonts w:cs="Calibri"/>
          <w:lang w:val="fr-FR"/>
        </w:rPr>
        <w:t>Doter le Ministère de l’Intérieur</w:t>
      </w:r>
      <w:r>
        <w:rPr>
          <w:rFonts w:cs="Calibri"/>
          <w:lang w:val="fr-FR"/>
        </w:rPr>
        <w:t xml:space="preserve"> et </w:t>
      </w:r>
      <w:r w:rsidRPr="00434823">
        <w:rPr>
          <w:rFonts w:cs="Calibri"/>
          <w:lang w:val="fr-FR"/>
        </w:rPr>
        <w:t xml:space="preserve">des Collectivités Territoriales </w:t>
      </w:r>
      <w:r>
        <w:rPr>
          <w:rFonts w:cs="Calibri"/>
          <w:lang w:val="fr-FR"/>
        </w:rPr>
        <w:t>(MICT</w:t>
      </w:r>
      <w:r w:rsidRPr="00434823">
        <w:rPr>
          <w:rFonts w:cs="Calibri"/>
          <w:lang w:val="fr-FR"/>
        </w:rPr>
        <w:t xml:space="preserve">) de moyens humains, techniques et financiers pour assurer un appui aux communes. Renforcer les capacités des communes pour  coordonner, superviser, communiquer, et assurer le contrôle de qualité et le suivi des programmes de reconstruction dans leurs territoires respectifs. Créer au sein des communautés des lieux de formation et d’information et appuyer les communautés dans les projets de retour, reconstruction et relogement. </w:t>
      </w:r>
      <w:r w:rsidRPr="00434823">
        <w:rPr>
          <w:rFonts w:cs="Calibri"/>
          <w:b/>
          <w:i/>
          <w:lang w:val="fr-FR"/>
        </w:rPr>
        <w:t>(composante 3)</w:t>
      </w:r>
    </w:p>
    <w:p w:rsidR="00A50B53" w:rsidRPr="00434823" w:rsidRDefault="00A50B53" w:rsidP="00A50B53">
      <w:pPr>
        <w:pStyle w:val="ListParagraph"/>
        <w:numPr>
          <w:ilvl w:val="0"/>
          <w:numId w:val="8"/>
        </w:numPr>
        <w:tabs>
          <w:tab w:val="left" w:pos="-2520"/>
          <w:tab w:val="left" w:pos="-2190"/>
        </w:tabs>
        <w:autoSpaceDE w:val="0"/>
        <w:autoSpaceDN w:val="0"/>
        <w:adjustRightInd w:val="0"/>
        <w:jc w:val="both"/>
        <w:rPr>
          <w:rFonts w:cs="Calibri"/>
          <w:lang w:val="fr-FR"/>
        </w:rPr>
      </w:pPr>
      <w:r w:rsidRPr="00434823">
        <w:rPr>
          <w:rFonts w:cs="Calibri"/>
          <w:lang w:val="fr-FR"/>
        </w:rPr>
        <w:t xml:space="preserve">Renforcer les capacités du Ministère de la Planification et de la Coopération  Externe (MPCE) pour orienter, diriger et coordonner la préparation des plans stratégiques de développement régional et urbain et les stratégies de reconstruction y relatives ; et mobiliser et coordonner les acteurs locaux </w:t>
      </w:r>
      <w:r w:rsidRPr="00434823">
        <w:rPr>
          <w:rFonts w:cs="Calibri"/>
          <w:lang w:val="fr-FR"/>
        </w:rPr>
        <w:lastRenderedPageBreak/>
        <w:t>pour l'exécution de projets urbains stratégiques et mieux assurer la gestion du cadre bâti urbain.</w:t>
      </w:r>
      <w:r w:rsidRPr="00434823">
        <w:rPr>
          <w:rFonts w:cs="Calibri"/>
          <w:b/>
          <w:i/>
          <w:lang w:val="fr-FR"/>
        </w:rPr>
        <w:t xml:space="preserve"> (composante 4)</w:t>
      </w:r>
    </w:p>
    <w:p w:rsidR="00A50B53" w:rsidRDefault="00A50B53" w:rsidP="00A50B53">
      <w:pPr>
        <w:pStyle w:val="BodyText"/>
        <w:jc w:val="both"/>
        <w:rPr>
          <w:rFonts w:ascii="Times New Roman" w:hAnsi="Times New Roman"/>
          <w:sz w:val="24"/>
          <w:lang w:val="fr-FR"/>
        </w:rPr>
      </w:pPr>
    </w:p>
    <w:p w:rsidR="005D52A5" w:rsidRDefault="005D52A5" w:rsidP="00311774">
      <w:pPr>
        <w:pStyle w:val="BodyText"/>
        <w:jc w:val="both"/>
        <w:rPr>
          <w:rFonts w:ascii="Times New Roman" w:hAnsi="Times New Roman"/>
          <w:b/>
          <w:sz w:val="24"/>
          <w:lang w:val="fr-FR"/>
        </w:rPr>
      </w:pPr>
      <w:r w:rsidRPr="00040C93">
        <w:rPr>
          <w:rFonts w:ascii="Times New Roman" w:hAnsi="Times New Roman"/>
          <w:b/>
          <w:sz w:val="24"/>
          <w:lang w:val="fr-FR"/>
        </w:rPr>
        <w:t>Principaux résultats attendus :</w:t>
      </w:r>
    </w:p>
    <w:p w:rsidR="00433BE3" w:rsidRPr="00162CE5" w:rsidRDefault="00433BE3" w:rsidP="00EA24FA">
      <w:pPr>
        <w:pStyle w:val="BodyText2"/>
        <w:rPr>
          <w:b/>
          <w:sz w:val="16"/>
          <w:lang w:val="fr-FR"/>
        </w:rPr>
      </w:pPr>
    </w:p>
    <w:p w:rsidR="00433BE3" w:rsidRPr="00433BE3" w:rsidRDefault="00433BE3" w:rsidP="00433BE3">
      <w:pPr>
        <w:pStyle w:val="ListParagraph"/>
        <w:numPr>
          <w:ilvl w:val="0"/>
          <w:numId w:val="17"/>
        </w:numPr>
        <w:tabs>
          <w:tab w:val="left" w:pos="-720"/>
          <w:tab w:val="left" w:pos="720"/>
        </w:tabs>
        <w:suppressAutoHyphens/>
        <w:jc w:val="both"/>
        <w:rPr>
          <w:lang w:val="fr-FR"/>
        </w:rPr>
      </w:pPr>
      <w:r w:rsidRPr="00433BE3">
        <w:rPr>
          <w:spacing w:val="-2"/>
          <w:lang w:val="fr-FR"/>
        </w:rPr>
        <w:t xml:space="preserve">Le dénombrement </w:t>
      </w:r>
      <w:r w:rsidR="00EA24FA">
        <w:rPr>
          <w:spacing w:val="-2"/>
          <w:lang w:val="fr-FR"/>
        </w:rPr>
        <w:t>sera</w:t>
      </w:r>
      <w:r w:rsidRPr="00433BE3">
        <w:rPr>
          <w:spacing w:val="-2"/>
          <w:lang w:val="fr-FR"/>
        </w:rPr>
        <w:t xml:space="preserve"> réalisé et publié sur la base d’une cartographie des zones affectées actualisée. Les d</w:t>
      </w:r>
      <w:r w:rsidRPr="00433BE3">
        <w:rPr>
          <w:lang w:val="fr-FR"/>
        </w:rPr>
        <w:t xml:space="preserve">onnées sur l’emplacement de services de bases et d’infrastructure communautaire sont mises à disposition des partenaires.  L’IHSI bénéficiera de l’amélioration du recensement cartographique par une mise à jour de près de 3,300 des 12,000 Sections d’Enumération (SDE). Un centre de traitement et de capitalisation y sera mis en place ainsi que des mécanismes d’alimentation du système d’information de la reconstruction des logements et des quartiers. </w:t>
      </w:r>
      <w:r w:rsidRPr="00433BE3">
        <w:rPr>
          <w:b/>
          <w:i/>
          <w:lang w:val="fr-FR"/>
        </w:rPr>
        <w:t>(composante 1)</w:t>
      </w:r>
    </w:p>
    <w:p w:rsidR="00433BE3" w:rsidRPr="00433BE3" w:rsidRDefault="00433BE3" w:rsidP="00433BE3">
      <w:pPr>
        <w:pStyle w:val="ListParagraph"/>
        <w:numPr>
          <w:ilvl w:val="0"/>
          <w:numId w:val="17"/>
        </w:numPr>
        <w:tabs>
          <w:tab w:val="left" w:pos="-720"/>
          <w:tab w:val="left" w:pos="720"/>
          <w:tab w:val="left" w:pos="4500"/>
        </w:tabs>
        <w:suppressAutoHyphens/>
        <w:jc w:val="both"/>
        <w:rPr>
          <w:spacing w:val="-2"/>
          <w:lang w:val="fr-FR"/>
        </w:rPr>
      </w:pPr>
      <w:r w:rsidRPr="00433BE3">
        <w:rPr>
          <w:lang w:val="fr-FR"/>
        </w:rPr>
        <w:t>Un système d'information géographique sur le logement et les quartiers en Haïti sera développé à travers l’établissement d’un</w:t>
      </w:r>
      <w:r w:rsidRPr="00433BE3">
        <w:rPr>
          <w:spacing w:val="-2"/>
          <w:lang w:val="fr-FR"/>
        </w:rPr>
        <w:t xml:space="preserve"> réseau d’utilisateurs et de producteurs de données géographiques, le renforcement des capacités des usagers et la mise en place d’une plateforme accessible à tous.</w:t>
      </w:r>
      <w:r w:rsidRPr="00433BE3">
        <w:rPr>
          <w:b/>
          <w:i/>
          <w:lang w:val="fr-FR"/>
        </w:rPr>
        <w:t xml:space="preserve"> (composante 2)</w:t>
      </w:r>
    </w:p>
    <w:p w:rsidR="00433BE3" w:rsidRPr="00433BE3" w:rsidRDefault="00433BE3" w:rsidP="00433BE3">
      <w:pPr>
        <w:pStyle w:val="ListParagraph"/>
        <w:numPr>
          <w:ilvl w:val="0"/>
          <w:numId w:val="17"/>
        </w:numPr>
        <w:tabs>
          <w:tab w:val="left" w:pos="-720"/>
          <w:tab w:val="left" w:pos="720"/>
        </w:tabs>
        <w:suppressAutoHyphens/>
        <w:jc w:val="both"/>
        <w:rPr>
          <w:lang w:val="fr-FR"/>
        </w:rPr>
      </w:pPr>
      <w:r w:rsidRPr="00433BE3">
        <w:rPr>
          <w:lang w:val="fr-CA"/>
        </w:rPr>
        <w:t xml:space="preserve">Le MICT disposera des capacités renforcées de suivi, évaluation et communication sur ses activités d’appui aux collectivités territoriales sur la reconstruction et la planification du développement local. </w:t>
      </w:r>
      <w:r w:rsidRPr="00433BE3">
        <w:rPr>
          <w:lang w:val="fr-FR"/>
        </w:rPr>
        <w:t xml:space="preserve">Les territoires disposeront d’agences techniques locales à l’échelle intercommunale ou communale et de centres de ressources communautaires  au niveau des quartiers pour faciliter la planification, la coordination et l’information sur la reconstruction, le retour et le développement local. Les collectivités, à travers les agences techniques locales (ATL), disposeront d’un personnel formé pour appuyer techniquement la coordination de la reconstruction et faciliter les démarches de montage de projets  techniques. </w:t>
      </w:r>
      <w:r w:rsidRPr="00433BE3">
        <w:rPr>
          <w:b/>
          <w:i/>
          <w:lang w:val="fr-FR"/>
        </w:rPr>
        <w:t>(composante 3)</w:t>
      </w:r>
    </w:p>
    <w:p w:rsidR="00433BE3" w:rsidRPr="00433BE3" w:rsidRDefault="00433BE3" w:rsidP="00433BE3">
      <w:pPr>
        <w:pStyle w:val="BodyText2"/>
        <w:numPr>
          <w:ilvl w:val="0"/>
          <w:numId w:val="17"/>
        </w:numPr>
        <w:rPr>
          <w:rFonts w:ascii="Times New Roman" w:hAnsi="Times New Roman" w:cs="Times New Roman"/>
          <w:b/>
          <w:sz w:val="24"/>
          <w:szCs w:val="24"/>
          <w:lang w:val="fr-FR"/>
        </w:rPr>
      </w:pPr>
      <w:r w:rsidRPr="00433BE3">
        <w:rPr>
          <w:rFonts w:ascii="Times New Roman" w:hAnsi="Times New Roman" w:cs="Times New Roman"/>
          <w:sz w:val="24"/>
          <w:szCs w:val="24"/>
          <w:lang w:val="fr-FR"/>
        </w:rPr>
        <w:t xml:space="preserve">Les territoires sinistrés par le séisme et les pôles de développement secondaires disposeront de plans stratégiques et de plans d’aménagement et d’urbanisme, cohérents avec le développement durable incluant la gestion des risques sismiques, et formulés avec la participation des acteurs concernés. </w:t>
      </w:r>
      <w:r w:rsidRPr="00433BE3">
        <w:rPr>
          <w:rFonts w:ascii="Times New Roman" w:hAnsi="Times New Roman" w:cs="Times New Roman"/>
          <w:spacing w:val="-2"/>
          <w:sz w:val="24"/>
          <w:szCs w:val="24"/>
          <w:lang w:val="fr-FR"/>
        </w:rPr>
        <w:t xml:space="preserve">Le MPCE disposera de capacités renforcées de conception / élaboration, coordination et de suivi de la planification et de la mise en œuvre des plans et projets en privilégiant une démarche de planification stratégique (communication / participation). </w:t>
      </w:r>
      <w:r w:rsidRPr="00433BE3">
        <w:rPr>
          <w:rFonts w:ascii="Times New Roman" w:hAnsi="Times New Roman" w:cs="Times New Roman"/>
          <w:sz w:val="24"/>
          <w:szCs w:val="24"/>
          <w:lang w:val="fr-FR"/>
        </w:rPr>
        <w:t xml:space="preserve">Les communes sinistrées et des pôles de développement disposeront de capacités pour participer à la planification régionale, préparer les plans communaux, coordonner les projets d’aménagement sur leur territoire et coordonner les plans communautaires de quartier ainsi que pour la mise en œuvre de plans et projets, la mise en application de la réglementation sur l’urbanisme et l’utilisation d’outils de gestion du développement urbain. Le MTPTC disposera de capacités renforcées en matière d’urbanisme opérationnel. </w:t>
      </w:r>
      <w:r w:rsidRPr="00433BE3">
        <w:rPr>
          <w:rFonts w:ascii="Times New Roman" w:hAnsi="Times New Roman" w:cs="Times New Roman"/>
          <w:b/>
          <w:i/>
          <w:sz w:val="24"/>
          <w:szCs w:val="24"/>
          <w:lang w:val="fr-FR"/>
        </w:rPr>
        <w:t>(composante 4)</w:t>
      </w:r>
    </w:p>
    <w:p w:rsidR="00433BE3" w:rsidRPr="008904D6" w:rsidRDefault="00433BE3" w:rsidP="00433BE3">
      <w:pPr>
        <w:pStyle w:val="BodyText2"/>
        <w:ind w:left="360"/>
        <w:rPr>
          <w:sz w:val="16"/>
          <w:szCs w:val="22"/>
          <w:lang w:val="fr-FR"/>
        </w:rPr>
      </w:pPr>
    </w:p>
    <w:p w:rsidR="00433BE3" w:rsidRDefault="00433BE3" w:rsidP="00EA24FA">
      <w:pPr>
        <w:pStyle w:val="ListParagraph"/>
        <w:ind w:left="360" w:hanging="360"/>
        <w:jc w:val="both"/>
        <w:rPr>
          <w:b/>
          <w:lang w:val="fr-FR"/>
        </w:rPr>
      </w:pPr>
      <w:r w:rsidRPr="00F82E7E">
        <w:rPr>
          <w:b/>
          <w:lang w:val="fr-FR"/>
        </w:rPr>
        <w:t xml:space="preserve">Lien entre le </w:t>
      </w:r>
      <w:r w:rsidR="007D2DAA">
        <w:rPr>
          <w:b/>
          <w:lang w:val="fr-FR"/>
        </w:rPr>
        <w:t>Programme</w:t>
      </w:r>
      <w:r w:rsidRPr="00F82E7E">
        <w:rPr>
          <w:b/>
          <w:lang w:val="fr-FR"/>
        </w:rPr>
        <w:t xml:space="preserve"> et le Cadre de planification stratégique de l’ONU</w:t>
      </w:r>
    </w:p>
    <w:p w:rsidR="00433BE3" w:rsidRPr="00D711E0" w:rsidRDefault="00433BE3" w:rsidP="00433BE3">
      <w:pPr>
        <w:pStyle w:val="ListParagraph"/>
        <w:ind w:left="360"/>
        <w:jc w:val="both"/>
        <w:rPr>
          <w:rFonts w:cs="Calibri"/>
          <w:b/>
          <w:sz w:val="16"/>
          <w:lang w:val="fr-FR"/>
        </w:rPr>
      </w:pPr>
      <w:r w:rsidRPr="00F82E7E">
        <w:rPr>
          <w:b/>
          <w:lang w:val="fr-FR"/>
        </w:rPr>
        <w:t> </w:t>
      </w:r>
    </w:p>
    <w:p w:rsidR="00433BE3" w:rsidRPr="00AE0746" w:rsidRDefault="00433BE3" w:rsidP="00EA24FA">
      <w:pPr>
        <w:jc w:val="both"/>
        <w:rPr>
          <w:rFonts w:cs="Calibri"/>
          <w:lang w:val="fr-FR"/>
        </w:rPr>
      </w:pPr>
      <w:r w:rsidRPr="00AE0746">
        <w:rPr>
          <w:rFonts w:cs="Calibri"/>
          <w:lang w:val="fr-FR"/>
        </w:rPr>
        <w:t xml:space="preserve">L’ensemble des composantes contribuent au Cadre Stratégique Intégré des Nations Unies pour les années 2010-2012 qui tend à favoriser le renforcement des capacités des autorités centrales et locales pour la définition, la mise en œuvre et le suivi-évaluation de la stratégie de retour et de relogement. Le </w:t>
      </w:r>
      <w:r w:rsidR="007D2DAA">
        <w:rPr>
          <w:rFonts w:cs="Calibri"/>
          <w:lang w:val="fr-FR"/>
        </w:rPr>
        <w:t>Programme</w:t>
      </w:r>
      <w:r w:rsidRPr="00AE0746">
        <w:rPr>
          <w:rFonts w:cs="Calibri"/>
          <w:lang w:val="fr-FR"/>
        </w:rPr>
        <w:t xml:space="preserve"> contribue notamment aux résultats attendus dans le cadre de la refondation territoriale et de la refondation institutionnelle.  </w:t>
      </w:r>
    </w:p>
    <w:p w:rsidR="00433BE3" w:rsidRPr="009C1A6A" w:rsidRDefault="00433BE3" w:rsidP="00311774">
      <w:pPr>
        <w:pStyle w:val="BodyText"/>
        <w:jc w:val="both"/>
        <w:rPr>
          <w:rFonts w:ascii="Times New Roman" w:hAnsi="Times New Roman"/>
          <w:b/>
          <w:i/>
          <w:sz w:val="24"/>
          <w:szCs w:val="24"/>
          <w:lang w:val="fr-FR"/>
        </w:rPr>
      </w:pPr>
    </w:p>
    <w:p w:rsidR="00311774" w:rsidRPr="009C1A6A" w:rsidRDefault="00311774" w:rsidP="00311774">
      <w:pPr>
        <w:pStyle w:val="BodyText"/>
        <w:ind w:left="720"/>
        <w:jc w:val="both"/>
        <w:rPr>
          <w:rFonts w:ascii="Times New Roman" w:hAnsi="Times New Roman"/>
          <w:color w:val="17365D"/>
          <w:sz w:val="24"/>
          <w:szCs w:val="24"/>
          <w:lang w:val="fr-FR"/>
        </w:rPr>
      </w:pPr>
    </w:p>
    <w:p w:rsidR="00311774" w:rsidRDefault="00311774" w:rsidP="00311774">
      <w:pPr>
        <w:pStyle w:val="Heading1"/>
        <w:numPr>
          <w:ilvl w:val="0"/>
          <w:numId w:val="1"/>
        </w:numPr>
        <w:tabs>
          <w:tab w:val="clear" w:pos="1080"/>
          <w:tab w:val="left" w:pos="360"/>
        </w:tabs>
        <w:ind w:left="360" w:hanging="360"/>
        <w:jc w:val="left"/>
        <w:rPr>
          <w:rFonts w:ascii="Times New Roman" w:hAnsi="Times New Roman"/>
          <w:sz w:val="24"/>
          <w:szCs w:val="24"/>
          <w:lang w:val="fr-FR"/>
        </w:rPr>
      </w:pPr>
      <w:bookmarkStart w:id="2" w:name="_Toc249364484"/>
      <w:r w:rsidRPr="00040C93">
        <w:rPr>
          <w:rFonts w:ascii="Times New Roman" w:hAnsi="Times New Roman"/>
          <w:sz w:val="24"/>
          <w:szCs w:val="24"/>
          <w:lang w:val="fr-FR"/>
        </w:rPr>
        <w:t>R</w:t>
      </w:r>
      <w:bookmarkEnd w:id="2"/>
      <w:r w:rsidR="006C37CB" w:rsidRPr="00040C93">
        <w:rPr>
          <w:rFonts w:ascii="Times New Roman" w:hAnsi="Times New Roman"/>
          <w:sz w:val="24"/>
          <w:szCs w:val="24"/>
          <w:lang w:val="fr-FR"/>
        </w:rPr>
        <w:t>ésultats</w:t>
      </w:r>
      <w:r w:rsidRPr="00040C93">
        <w:rPr>
          <w:rFonts w:ascii="Times New Roman" w:hAnsi="Times New Roman"/>
          <w:sz w:val="24"/>
          <w:szCs w:val="24"/>
          <w:lang w:val="fr-FR"/>
        </w:rPr>
        <w:t xml:space="preserve"> </w:t>
      </w:r>
    </w:p>
    <w:p w:rsidR="009C1A6A" w:rsidRDefault="009C1A6A" w:rsidP="00CB6078">
      <w:pPr>
        <w:rPr>
          <w:lang w:val="fr-FR" w:eastAsia="x-none"/>
        </w:rPr>
      </w:pPr>
    </w:p>
    <w:p w:rsidR="009C1A6A" w:rsidRPr="00E3532D" w:rsidRDefault="009C1A6A" w:rsidP="009C1A6A">
      <w:pPr>
        <w:numPr>
          <w:ilvl w:val="0"/>
          <w:numId w:val="12"/>
        </w:numPr>
        <w:rPr>
          <w:b/>
          <w:lang w:val="fr-FR" w:eastAsia="x-none"/>
        </w:rPr>
      </w:pPr>
      <w:r w:rsidRPr="00E3532D">
        <w:rPr>
          <w:b/>
          <w:lang w:val="fr-FR" w:eastAsia="x-none"/>
        </w:rPr>
        <w:t>Rapport descriptif des résultats</w:t>
      </w:r>
      <w:r w:rsidRPr="00E3532D">
        <w:rPr>
          <w:lang w:val="fr-FR" w:eastAsia="x-none"/>
        </w:rPr>
        <w:t>:</w:t>
      </w:r>
    </w:p>
    <w:p w:rsidR="009C1A6A" w:rsidRPr="00CB6078" w:rsidRDefault="009C1A6A" w:rsidP="00CB6078">
      <w:pPr>
        <w:rPr>
          <w:lang w:val="fr-FR" w:eastAsia="x-none"/>
        </w:rPr>
      </w:pPr>
    </w:p>
    <w:p w:rsidR="007C0CE2" w:rsidRPr="007C0CE2" w:rsidRDefault="007C0CE2" w:rsidP="007C0CE2">
      <w:pPr>
        <w:pStyle w:val="BodyText"/>
        <w:jc w:val="both"/>
        <w:rPr>
          <w:rStyle w:val="hps"/>
          <w:rFonts w:ascii="Times New Roman" w:hAnsi="Times New Roman"/>
          <w:b/>
          <w:sz w:val="24"/>
          <w:szCs w:val="24"/>
          <w:u w:val="single"/>
          <w:lang w:val="fr-FR"/>
        </w:rPr>
      </w:pPr>
      <w:r w:rsidRPr="007C0CE2">
        <w:rPr>
          <w:rStyle w:val="hps"/>
          <w:rFonts w:ascii="Times New Roman" w:hAnsi="Times New Roman"/>
          <w:b/>
          <w:sz w:val="24"/>
          <w:szCs w:val="24"/>
          <w:u w:val="single"/>
          <w:lang w:val="fr-FR"/>
        </w:rPr>
        <w:t>Composante 1</w:t>
      </w:r>
    </w:p>
    <w:p w:rsidR="007C0CE2" w:rsidRPr="00ED2B6C" w:rsidRDefault="007C0CE2" w:rsidP="007C0CE2">
      <w:pPr>
        <w:pStyle w:val="BodyText"/>
        <w:jc w:val="both"/>
        <w:rPr>
          <w:rFonts w:ascii="Times New Roman" w:hAnsi="Times New Roman" w:cs="Times New Roman"/>
          <w:bCs/>
          <w:sz w:val="24"/>
          <w:szCs w:val="24"/>
          <w:lang w:val="fr-FR"/>
        </w:rPr>
      </w:pPr>
    </w:p>
    <w:p w:rsidR="007B4692" w:rsidRPr="00635359" w:rsidRDefault="007B4692" w:rsidP="007B4692">
      <w:pPr>
        <w:jc w:val="both"/>
        <w:rPr>
          <w:b/>
          <w:lang w:val="fr-FR" w:eastAsia="x-none"/>
        </w:rPr>
      </w:pPr>
      <w:r w:rsidRPr="00635359">
        <w:rPr>
          <w:b/>
          <w:lang w:val="fr-FR" w:eastAsia="x-none"/>
        </w:rPr>
        <w:t>Résultats</w:t>
      </w:r>
    </w:p>
    <w:p w:rsidR="007B4692" w:rsidRDefault="007B4692" w:rsidP="007B4692">
      <w:pPr>
        <w:jc w:val="both"/>
        <w:rPr>
          <w:lang w:val="fr-FR" w:eastAsia="x-none"/>
        </w:rPr>
      </w:pPr>
    </w:p>
    <w:p w:rsidR="00D45762" w:rsidRDefault="00D45762" w:rsidP="007B4692">
      <w:pPr>
        <w:jc w:val="both"/>
        <w:rPr>
          <w:bCs/>
          <w:lang w:val="fr-FR" w:eastAsia="x-none"/>
        </w:rPr>
      </w:pPr>
      <w:r w:rsidRPr="00D45762">
        <w:rPr>
          <w:b/>
          <w:bCs/>
          <w:lang w:val="fr-FR" w:eastAsia="x-none"/>
        </w:rPr>
        <w:lastRenderedPageBreak/>
        <w:t xml:space="preserve">Données de </w:t>
      </w:r>
      <w:r w:rsidR="00EA24FA">
        <w:rPr>
          <w:b/>
          <w:bCs/>
          <w:lang w:val="fr-FR" w:eastAsia="x-none"/>
        </w:rPr>
        <w:t>c</w:t>
      </w:r>
      <w:r w:rsidRPr="00D45762">
        <w:rPr>
          <w:b/>
          <w:bCs/>
          <w:lang w:val="fr-FR" w:eastAsia="x-none"/>
        </w:rPr>
        <w:t>artographie et d’</w:t>
      </w:r>
      <w:r w:rsidR="00EA24FA">
        <w:rPr>
          <w:b/>
          <w:bCs/>
          <w:lang w:val="fr-FR" w:eastAsia="x-none"/>
        </w:rPr>
        <w:t>i</w:t>
      </w:r>
      <w:r w:rsidRPr="00D45762">
        <w:rPr>
          <w:b/>
          <w:bCs/>
          <w:lang w:val="fr-FR" w:eastAsia="x-none"/>
        </w:rPr>
        <w:t xml:space="preserve">nventaire de bâtiments : </w:t>
      </w:r>
      <w:r w:rsidRPr="00D45762">
        <w:rPr>
          <w:bCs/>
          <w:lang w:val="fr-FR" w:eastAsia="x-none"/>
        </w:rPr>
        <w:t xml:space="preserve">La collecte de données </w:t>
      </w:r>
      <w:r w:rsidR="00AF2036">
        <w:rPr>
          <w:bCs/>
          <w:lang w:val="fr-FR" w:eastAsia="x-none"/>
        </w:rPr>
        <w:t>ayant</w:t>
      </w:r>
      <w:r w:rsidRPr="00D45762">
        <w:rPr>
          <w:bCs/>
          <w:lang w:val="fr-FR" w:eastAsia="x-none"/>
        </w:rPr>
        <w:t xml:space="preserve"> débuté e</w:t>
      </w:r>
      <w:r w:rsidR="000E1B6F">
        <w:rPr>
          <w:bCs/>
          <w:lang w:val="fr-FR" w:eastAsia="x-none"/>
        </w:rPr>
        <w:t>n o</w:t>
      </w:r>
      <w:r w:rsidR="00677230">
        <w:rPr>
          <w:bCs/>
          <w:lang w:val="fr-FR" w:eastAsia="x-none"/>
        </w:rPr>
        <w:t>ctobre 2011,</w:t>
      </w:r>
      <w:r w:rsidRPr="00D45762">
        <w:rPr>
          <w:bCs/>
          <w:lang w:val="fr-FR" w:eastAsia="x-none"/>
        </w:rPr>
        <w:t xml:space="preserve"> la méthodologie </w:t>
      </w:r>
      <w:r w:rsidR="00677230">
        <w:rPr>
          <w:bCs/>
          <w:lang w:val="fr-FR" w:eastAsia="x-none"/>
        </w:rPr>
        <w:t xml:space="preserve">a été </w:t>
      </w:r>
      <w:r w:rsidR="00677230" w:rsidRPr="00D45762">
        <w:rPr>
          <w:bCs/>
          <w:lang w:val="fr-FR" w:eastAsia="x-none"/>
        </w:rPr>
        <w:t>mise à jour continue</w:t>
      </w:r>
      <w:r w:rsidR="00677230">
        <w:rPr>
          <w:bCs/>
          <w:lang w:val="fr-FR" w:eastAsia="x-none"/>
        </w:rPr>
        <w:t>llement</w:t>
      </w:r>
      <w:r w:rsidR="00677230" w:rsidRPr="00D45762">
        <w:rPr>
          <w:bCs/>
          <w:lang w:val="fr-FR" w:eastAsia="x-none"/>
        </w:rPr>
        <w:t xml:space="preserve"> </w:t>
      </w:r>
      <w:r w:rsidRPr="00D45762">
        <w:rPr>
          <w:bCs/>
          <w:lang w:val="fr-FR" w:eastAsia="x-none"/>
        </w:rPr>
        <w:t xml:space="preserve">de façon à assurer un maximum d’efficacité et de précision. </w:t>
      </w:r>
      <w:r w:rsidR="00EA24FA">
        <w:rPr>
          <w:bCs/>
          <w:lang w:val="fr-FR" w:eastAsia="x-none"/>
        </w:rPr>
        <w:t>D</w:t>
      </w:r>
      <w:r w:rsidRPr="00D45762">
        <w:rPr>
          <w:bCs/>
          <w:lang w:val="fr-FR" w:eastAsia="x-none"/>
        </w:rPr>
        <w:t>es révisions additionnelles de la méthodologie de la cartographie ont été appliquées</w:t>
      </w:r>
      <w:r>
        <w:rPr>
          <w:bCs/>
          <w:lang w:val="fr-FR" w:eastAsia="x-none"/>
        </w:rPr>
        <w:t xml:space="preserve"> tout au long du projet et de nouvelles technologies ont ét</w:t>
      </w:r>
      <w:r w:rsidR="00BE3831">
        <w:rPr>
          <w:bCs/>
          <w:lang w:val="fr-FR" w:eastAsia="x-none"/>
        </w:rPr>
        <w:t>é introduites par l’IHSI et l</w:t>
      </w:r>
      <w:r w:rsidRPr="00D45762">
        <w:rPr>
          <w:bCs/>
          <w:lang w:val="fr-FR" w:eastAsia="x-none"/>
        </w:rPr>
        <w:t>’OIM en</w:t>
      </w:r>
      <w:r w:rsidR="00BE3831">
        <w:rPr>
          <w:bCs/>
          <w:lang w:val="fr-FR" w:eastAsia="x-none"/>
        </w:rPr>
        <w:t xml:space="preserve"> vue de rendre efficace la collecte de données.</w:t>
      </w:r>
      <w:r w:rsidRPr="00D45762">
        <w:rPr>
          <w:bCs/>
          <w:lang w:val="fr-FR" w:eastAsia="x-none"/>
        </w:rPr>
        <w:t xml:space="preserve"> </w:t>
      </w:r>
      <w:r w:rsidR="00EA24FA">
        <w:rPr>
          <w:bCs/>
          <w:lang w:val="fr-FR" w:eastAsia="x-none"/>
        </w:rPr>
        <w:t>Jusqu’au</w:t>
      </w:r>
      <w:r w:rsidR="000E1B6F">
        <w:rPr>
          <w:bCs/>
          <w:lang w:val="fr-FR" w:eastAsia="x-none"/>
        </w:rPr>
        <w:t xml:space="preserve"> mois de d</w:t>
      </w:r>
      <w:r w:rsidR="00BE3831">
        <w:rPr>
          <w:bCs/>
          <w:lang w:val="fr-FR" w:eastAsia="x-none"/>
        </w:rPr>
        <w:t>écembre 2013</w:t>
      </w:r>
      <w:r w:rsidRPr="00D45762">
        <w:rPr>
          <w:bCs/>
          <w:lang w:val="fr-FR" w:eastAsia="x-none"/>
        </w:rPr>
        <w:t>,</w:t>
      </w:r>
      <w:r w:rsidR="0037735F">
        <w:rPr>
          <w:bCs/>
          <w:lang w:val="fr-FR" w:eastAsia="x-none"/>
        </w:rPr>
        <w:t xml:space="preserve"> 2,505</w:t>
      </w:r>
      <w:r w:rsidRPr="00D45762">
        <w:rPr>
          <w:bCs/>
          <w:lang w:val="fr-FR" w:eastAsia="x-none"/>
        </w:rPr>
        <w:t xml:space="preserve"> </w:t>
      </w:r>
      <w:r w:rsidR="00677230" w:rsidRPr="00677230">
        <w:rPr>
          <w:bCs/>
          <w:lang w:val="fr-FR" w:eastAsia="x-none"/>
        </w:rPr>
        <w:t>Section</w:t>
      </w:r>
      <w:r w:rsidR="00677230">
        <w:rPr>
          <w:bCs/>
          <w:lang w:val="fr-FR" w:eastAsia="x-none"/>
        </w:rPr>
        <w:t>s</w:t>
      </w:r>
      <w:r w:rsidR="00677230" w:rsidRPr="00677230">
        <w:rPr>
          <w:bCs/>
          <w:lang w:val="fr-FR" w:eastAsia="x-none"/>
        </w:rPr>
        <w:t xml:space="preserve"> d’Énumération (SDE) </w:t>
      </w:r>
      <w:r w:rsidRPr="00D45762">
        <w:rPr>
          <w:bCs/>
          <w:lang w:val="fr-FR" w:eastAsia="x-none"/>
        </w:rPr>
        <w:t xml:space="preserve">ont été complétés sur les 3,300 SDE </w:t>
      </w:r>
      <w:r w:rsidR="00677230">
        <w:rPr>
          <w:bCs/>
          <w:lang w:val="fr-FR" w:eastAsia="x-none"/>
        </w:rPr>
        <w:t>prévus</w:t>
      </w:r>
      <w:r w:rsidRPr="00D45762">
        <w:rPr>
          <w:bCs/>
          <w:lang w:val="fr-FR" w:eastAsia="x-none"/>
        </w:rPr>
        <w:t>.</w:t>
      </w:r>
    </w:p>
    <w:p w:rsidR="0037735F" w:rsidRPr="00D45762" w:rsidRDefault="0037735F" w:rsidP="007B4692">
      <w:pPr>
        <w:jc w:val="both"/>
        <w:rPr>
          <w:bCs/>
          <w:lang w:val="fr-FR" w:eastAsia="x-none"/>
        </w:rPr>
      </w:pPr>
    </w:p>
    <w:p w:rsidR="00D45762" w:rsidRDefault="0037735F" w:rsidP="007B4692">
      <w:pPr>
        <w:jc w:val="both"/>
        <w:rPr>
          <w:lang w:val="fr-FR" w:eastAsia="x-none"/>
        </w:rPr>
      </w:pPr>
      <w:r w:rsidRPr="00ED2B6C">
        <w:rPr>
          <w:b/>
          <w:bCs/>
          <w:lang w:val="fr-FR"/>
        </w:rPr>
        <w:t xml:space="preserve">Population (Données du recensement): </w:t>
      </w:r>
      <w:r>
        <w:rPr>
          <w:bCs/>
          <w:lang w:val="fr-FR"/>
        </w:rPr>
        <w:t xml:space="preserve">Pour répondre aux </w:t>
      </w:r>
      <w:r w:rsidR="000E1B6F">
        <w:rPr>
          <w:bCs/>
          <w:lang w:val="fr-FR"/>
        </w:rPr>
        <w:t xml:space="preserve">contraintes rencontrées </w:t>
      </w:r>
      <w:r>
        <w:rPr>
          <w:bCs/>
          <w:lang w:val="fr-FR"/>
        </w:rPr>
        <w:t xml:space="preserve">et </w:t>
      </w:r>
      <w:r w:rsidR="000E1B6F">
        <w:rPr>
          <w:bCs/>
          <w:lang w:val="fr-FR"/>
        </w:rPr>
        <w:t>retards</w:t>
      </w:r>
      <w:r>
        <w:rPr>
          <w:bCs/>
          <w:lang w:val="fr-FR"/>
        </w:rPr>
        <w:t xml:space="preserve">, une réduction du nombre de </w:t>
      </w:r>
      <w:proofErr w:type="spellStart"/>
      <w:r>
        <w:rPr>
          <w:bCs/>
          <w:lang w:val="fr-FR"/>
        </w:rPr>
        <w:t>SDEs</w:t>
      </w:r>
      <w:proofErr w:type="spellEnd"/>
      <w:r>
        <w:rPr>
          <w:bCs/>
          <w:lang w:val="fr-FR"/>
        </w:rPr>
        <w:t xml:space="preserve"> visées pour le recensement des ménages de 1,800</w:t>
      </w:r>
      <w:r w:rsidR="00BA0D23">
        <w:rPr>
          <w:rStyle w:val="FootnoteReference"/>
          <w:bCs/>
          <w:lang w:val="fr-FR"/>
        </w:rPr>
        <w:footnoteReference w:id="2"/>
      </w:r>
      <w:r>
        <w:rPr>
          <w:bCs/>
          <w:lang w:val="fr-FR"/>
        </w:rPr>
        <w:t xml:space="preserve"> </w:t>
      </w:r>
      <w:proofErr w:type="spellStart"/>
      <w:r>
        <w:rPr>
          <w:bCs/>
          <w:lang w:val="fr-FR"/>
        </w:rPr>
        <w:t>SDEs</w:t>
      </w:r>
      <w:proofErr w:type="spellEnd"/>
      <w:r>
        <w:rPr>
          <w:bCs/>
          <w:lang w:val="fr-FR"/>
        </w:rPr>
        <w:t xml:space="preserve"> initialement retenues à 1,000 </w:t>
      </w:r>
      <w:proofErr w:type="spellStart"/>
      <w:r>
        <w:rPr>
          <w:bCs/>
          <w:lang w:val="fr-FR"/>
        </w:rPr>
        <w:t>SDEs</w:t>
      </w:r>
      <w:proofErr w:type="spellEnd"/>
      <w:r>
        <w:rPr>
          <w:bCs/>
          <w:lang w:val="fr-FR"/>
        </w:rPr>
        <w:t xml:space="preserve"> a été proposée, soumise et approuvée lors de la dernière réunion du Comité National de Pilotage en novembre 2013.</w:t>
      </w:r>
      <w:r w:rsidRPr="00ED2B6C">
        <w:rPr>
          <w:bCs/>
          <w:lang w:val="fr-FR"/>
        </w:rPr>
        <w:t xml:space="preserve"> La collecte des données sur les ménages a été effectuée au niveau des communes, en parallèle avec la cartographi</w:t>
      </w:r>
      <w:r>
        <w:rPr>
          <w:bCs/>
          <w:lang w:val="fr-FR"/>
        </w:rPr>
        <w:t xml:space="preserve">e et l’inventaire </w:t>
      </w:r>
      <w:r w:rsidR="000E1B6F">
        <w:rPr>
          <w:bCs/>
          <w:lang w:val="fr-FR"/>
        </w:rPr>
        <w:t>des bâtiments et a pris fin en j</w:t>
      </w:r>
      <w:r>
        <w:rPr>
          <w:bCs/>
          <w:lang w:val="fr-FR"/>
        </w:rPr>
        <w:t>uin 2013</w:t>
      </w:r>
      <w:r w:rsidR="00BA0D23">
        <w:rPr>
          <w:bCs/>
          <w:lang w:val="fr-FR"/>
        </w:rPr>
        <w:t>. Un</w:t>
      </w:r>
      <w:r w:rsidR="00BA0D23" w:rsidRPr="00BA0D23">
        <w:rPr>
          <w:bCs/>
          <w:lang w:val="fr-FR"/>
        </w:rPr>
        <w:t xml:space="preserve"> plan de tabulation a été élaboré et un jeu de 120 tableaux a été produit.</w:t>
      </w:r>
      <w:r w:rsidR="00BA0D23">
        <w:rPr>
          <w:bCs/>
          <w:lang w:val="fr-FR"/>
        </w:rPr>
        <w:t xml:space="preserve"> </w:t>
      </w:r>
      <w:r w:rsidRPr="00ED2B6C">
        <w:rPr>
          <w:bCs/>
          <w:lang w:val="fr-FR"/>
        </w:rPr>
        <w:t>A partir de cette période, le recensement des mén</w:t>
      </w:r>
      <w:r>
        <w:rPr>
          <w:bCs/>
          <w:lang w:val="fr-FR"/>
        </w:rPr>
        <w:t>ages a été complété dans</w:t>
      </w:r>
      <w:r w:rsidR="00BA0D23">
        <w:rPr>
          <w:bCs/>
          <w:lang w:val="fr-FR"/>
        </w:rPr>
        <w:t xml:space="preserve"> 587 </w:t>
      </w:r>
      <w:proofErr w:type="spellStart"/>
      <w:r w:rsidR="00BA0D23">
        <w:rPr>
          <w:bCs/>
          <w:lang w:val="fr-FR"/>
        </w:rPr>
        <w:t>SDEs</w:t>
      </w:r>
      <w:proofErr w:type="spellEnd"/>
      <w:r w:rsidR="00BA0D23">
        <w:rPr>
          <w:bCs/>
          <w:lang w:val="fr-FR"/>
        </w:rPr>
        <w:t>.</w:t>
      </w:r>
    </w:p>
    <w:p w:rsidR="00D45762" w:rsidRDefault="00D45762" w:rsidP="007B4692">
      <w:pPr>
        <w:jc w:val="both"/>
        <w:rPr>
          <w:lang w:val="fr-FR" w:eastAsia="x-none"/>
        </w:rPr>
      </w:pPr>
    </w:p>
    <w:p w:rsidR="00BA0D23" w:rsidRDefault="00AF2036" w:rsidP="007B4692">
      <w:pPr>
        <w:jc w:val="both"/>
        <w:rPr>
          <w:bCs/>
          <w:lang w:val="fr-FR" w:eastAsia="x-none"/>
        </w:rPr>
      </w:pPr>
      <w:r>
        <w:rPr>
          <w:b/>
          <w:bCs/>
          <w:lang w:val="fr-FR" w:eastAsia="x-none"/>
        </w:rPr>
        <w:t>Développement de la b</w:t>
      </w:r>
      <w:r w:rsidR="00BA0D23" w:rsidRPr="00BA0D23">
        <w:rPr>
          <w:b/>
          <w:bCs/>
          <w:lang w:val="fr-FR" w:eastAsia="x-none"/>
        </w:rPr>
        <w:t xml:space="preserve">ase de </w:t>
      </w:r>
      <w:r>
        <w:rPr>
          <w:b/>
          <w:bCs/>
          <w:lang w:val="fr-FR" w:eastAsia="x-none"/>
        </w:rPr>
        <w:t>d</w:t>
      </w:r>
      <w:r w:rsidR="00BA0D23" w:rsidRPr="00BA0D23">
        <w:rPr>
          <w:b/>
          <w:bCs/>
          <w:lang w:val="fr-FR" w:eastAsia="x-none"/>
        </w:rPr>
        <w:t xml:space="preserve">onnées : </w:t>
      </w:r>
      <w:r w:rsidR="00BA0D23" w:rsidRPr="00BA0D23">
        <w:rPr>
          <w:bCs/>
          <w:lang w:val="fr-FR" w:eastAsia="x-none"/>
        </w:rPr>
        <w:t xml:space="preserve">La base de données pour l’inventaire des bâtiments et les informations géo-spatiales pour les unités de SDE a été développée. Les données recueillies </w:t>
      </w:r>
      <w:r w:rsidR="00BA0D23">
        <w:rPr>
          <w:bCs/>
          <w:lang w:val="fr-FR" w:eastAsia="x-none"/>
        </w:rPr>
        <w:t>et traitées par l’équipe d’OIM o</w:t>
      </w:r>
      <w:r w:rsidR="00BA0D23" w:rsidRPr="00BA0D23">
        <w:rPr>
          <w:bCs/>
          <w:lang w:val="fr-FR" w:eastAsia="x-none"/>
        </w:rPr>
        <w:t xml:space="preserve">nt </w:t>
      </w:r>
      <w:r w:rsidR="00BA0D23">
        <w:rPr>
          <w:bCs/>
          <w:lang w:val="fr-FR" w:eastAsia="x-none"/>
        </w:rPr>
        <w:t>été transférées définitivement</w:t>
      </w:r>
      <w:r w:rsidR="00BA0D23" w:rsidRPr="00BA0D23">
        <w:rPr>
          <w:bCs/>
          <w:lang w:val="fr-FR" w:eastAsia="x-none"/>
        </w:rPr>
        <w:t xml:space="preserve"> à </w:t>
      </w:r>
      <w:r w:rsidR="00BA0D23">
        <w:rPr>
          <w:bCs/>
          <w:lang w:val="fr-FR" w:eastAsia="x-none"/>
        </w:rPr>
        <w:t xml:space="preserve">la base de données de l’IHSI. </w:t>
      </w:r>
    </w:p>
    <w:p w:rsidR="002C2201" w:rsidRPr="00BA0D23" w:rsidRDefault="002C2201" w:rsidP="007B4692">
      <w:pPr>
        <w:jc w:val="both"/>
        <w:rPr>
          <w:b/>
          <w:bCs/>
          <w:lang w:val="fr-FR" w:eastAsia="x-none"/>
        </w:rPr>
      </w:pPr>
    </w:p>
    <w:p w:rsidR="002C2201" w:rsidRDefault="00BA0D23" w:rsidP="007B4692">
      <w:pPr>
        <w:jc w:val="both"/>
        <w:rPr>
          <w:bCs/>
          <w:lang w:val="fr-FR" w:eastAsia="x-none"/>
        </w:rPr>
      </w:pPr>
      <w:r w:rsidRPr="00BA0D23">
        <w:rPr>
          <w:b/>
          <w:bCs/>
          <w:lang w:val="fr-FR" w:eastAsia="x-none"/>
        </w:rPr>
        <w:t>Réparation et mise à niveau de l’établissement de l’IHSI :</w:t>
      </w:r>
      <w:r w:rsidRPr="00BA0D23">
        <w:rPr>
          <w:bCs/>
          <w:lang w:val="fr-FR" w:eastAsia="x-none"/>
        </w:rPr>
        <w:t xml:space="preserve"> Une évaluation des réparations puis une mise à niveau du bâtiment de l’IHSI ont été effectuées. Le remplacement  du câblage électrique a été fait, des connections de réseaux ont été installées et les systèmes de climatisation ont été remplacés. </w:t>
      </w:r>
      <w:r w:rsidR="00E14B67">
        <w:rPr>
          <w:bCs/>
          <w:lang w:val="fr-FR" w:eastAsia="x-none"/>
        </w:rPr>
        <w:t>Tous les équipements</w:t>
      </w:r>
      <w:r w:rsidR="002C2201">
        <w:rPr>
          <w:bCs/>
          <w:lang w:val="fr-FR" w:eastAsia="x-none"/>
        </w:rPr>
        <w:t xml:space="preserve"> restants (préalablement en utilisation par l’OIM pour la réalisation des activités du projet sous sa responsabilité)</w:t>
      </w:r>
      <w:r w:rsidR="00E14B67">
        <w:rPr>
          <w:bCs/>
          <w:lang w:val="fr-FR" w:eastAsia="x-none"/>
        </w:rPr>
        <w:t xml:space="preserve"> prévus par le projet ont été livrés à l’IHSI</w:t>
      </w:r>
      <w:r w:rsidR="000E1B6F">
        <w:rPr>
          <w:bCs/>
          <w:lang w:val="fr-FR" w:eastAsia="x-none"/>
        </w:rPr>
        <w:t xml:space="preserve"> en o</w:t>
      </w:r>
      <w:r w:rsidR="002C2201">
        <w:rPr>
          <w:bCs/>
          <w:lang w:val="fr-FR" w:eastAsia="x-none"/>
        </w:rPr>
        <w:t>ctobre 2013.</w:t>
      </w:r>
    </w:p>
    <w:p w:rsidR="002C2201" w:rsidRDefault="002C2201" w:rsidP="007B4692">
      <w:pPr>
        <w:jc w:val="both"/>
        <w:rPr>
          <w:bCs/>
          <w:lang w:val="fr-FR" w:eastAsia="x-none"/>
        </w:rPr>
      </w:pPr>
    </w:p>
    <w:p w:rsidR="00D45762" w:rsidRDefault="002C2201" w:rsidP="007B4692">
      <w:pPr>
        <w:jc w:val="both"/>
        <w:rPr>
          <w:bCs/>
          <w:lang w:val="fr-FR" w:eastAsia="x-none"/>
        </w:rPr>
      </w:pPr>
      <w:r w:rsidRPr="002C2201">
        <w:rPr>
          <w:b/>
          <w:bCs/>
          <w:lang w:val="fr-FR" w:eastAsia="x-none"/>
        </w:rPr>
        <w:t xml:space="preserve">Appui au partage des données à travers la base de données SILQ: </w:t>
      </w:r>
      <w:r w:rsidRPr="002C2201">
        <w:rPr>
          <w:bCs/>
          <w:lang w:val="fr-FR" w:eastAsia="x-none"/>
        </w:rPr>
        <w:t>Les deux bases de données (cartographiques et dénombrement des ménages) ont été transférées au C</w:t>
      </w:r>
      <w:r w:rsidR="007B4692">
        <w:rPr>
          <w:bCs/>
          <w:lang w:val="fr-FR" w:eastAsia="x-none"/>
        </w:rPr>
        <w:t>NIGS pour être insérées sur la plate-f</w:t>
      </w:r>
      <w:r w:rsidRPr="002C2201">
        <w:rPr>
          <w:bCs/>
          <w:lang w:val="fr-FR" w:eastAsia="x-none"/>
        </w:rPr>
        <w:t>orme du système intégré des données devant être utilisé par les différents partenaires du projet</w:t>
      </w:r>
      <w:r>
        <w:rPr>
          <w:bCs/>
          <w:lang w:val="fr-FR" w:eastAsia="x-none"/>
        </w:rPr>
        <w:t>.</w:t>
      </w:r>
    </w:p>
    <w:p w:rsidR="002C2201" w:rsidRDefault="002C2201" w:rsidP="00CB6078">
      <w:pPr>
        <w:pStyle w:val="BodyText"/>
        <w:tabs>
          <w:tab w:val="left" w:pos="360"/>
        </w:tabs>
        <w:jc w:val="both"/>
        <w:rPr>
          <w:rFonts w:ascii="Times New Roman" w:hAnsi="Times New Roman" w:cs="Times New Roman"/>
          <w:bCs/>
          <w:sz w:val="24"/>
          <w:szCs w:val="24"/>
          <w:lang w:val="fr-FR"/>
        </w:rPr>
      </w:pPr>
    </w:p>
    <w:p w:rsidR="002C2201" w:rsidRPr="007B4692" w:rsidRDefault="002C2201" w:rsidP="007B4692">
      <w:pPr>
        <w:pStyle w:val="BodyText"/>
        <w:tabs>
          <w:tab w:val="left" w:pos="0"/>
        </w:tabs>
        <w:jc w:val="both"/>
        <w:rPr>
          <w:rFonts w:ascii="Times New Roman" w:hAnsi="Times New Roman" w:cs="Times New Roman"/>
          <w:b/>
          <w:bCs/>
          <w:sz w:val="24"/>
          <w:szCs w:val="24"/>
          <w:lang w:val="fr-FR"/>
        </w:rPr>
      </w:pPr>
      <w:r w:rsidRPr="007B4692">
        <w:rPr>
          <w:rFonts w:ascii="Times New Roman" w:hAnsi="Times New Roman" w:cs="Times New Roman"/>
          <w:b/>
          <w:bCs/>
          <w:sz w:val="24"/>
          <w:szCs w:val="24"/>
          <w:lang w:val="fr-FR"/>
        </w:rPr>
        <w:t>Produits</w:t>
      </w:r>
    </w:p>
    <w:p w:rsidR="002C2201" w:rsidRDefault="002C2201" w:rsidP="007B4692">
      <w:pPr>
        <w:pStyle w:val="BodyText"/>
        <w:tabs>
          <w:tab w:val="left" w:pos="0"/>
        </w:tabs>
        <w:jc w:val="both"/>
        <w:rPr>
          <w:rFonts w:ascii="Times New Roman" w:hAnsi="Times New Roman" w:cs="Times New Roman"/>
          <w:b/>
          <w:bCs/>
          <w:i/>
          <w:sz w:val="24"/>
          <w:szCs w:val="24"/>
          <w:lang w:val="fr-FR"/>
        </w:rPr>
      </w:pPr>
    </w:p>
    <w:p w:rsidR="002C2201" w:rsidRPr="00B72963" w:rsidRDefault="00E6044E" w:rsidP="007B4692">
      <w:pPr>
        <w:pStyle w:val="BodyText"/>
        <w:numPr>
          <w:ilvl w:val="0"/>
          <w:numId w:val="24"/>
        </w:numPr>
        <w:tabs>
          <w:tab w:val="left" w:pos="720"/>
        </w:tabs>
        <w:jc w:val="both"/>
        <w:rPr>
          <w:rFonts w:ascii="Times New Roman" w:hAnsi="Times New Roman" w:cs="Times New Roman"/>
          <w:bCs/>
          <w:sz w:val="24"/>
          <w:szCs w:val="24"/>
          <w:lang w:val="fr-FR"/>
        </w:rPr>
      </w:pPr>
      <w:r>
        <w:rPr>
          <w:rFonts w:ascii="Times New Roman" w:hAnsi="Times New Roman" w:cs="Times New Roman"/>
          <w:bCs/>
          <w:sz w:val="24"/>
          <w:szCs w:val="24"/>
          <w:lang w:val="fr-FR"/>
        </w:rPr>
        <w:t xml:space="preserve">Renforcement </w:t>
      </w:r>
      <w:r w:rsidR="002F6C15">
        <w:rPr>
          <w:rFonts w:ascii="Times New Roman" w:hAnsi="Times New Roman" w:cs="Times New Roman"/>
          <w:bCs/>
          <w:sz w:val="24"/>
          <w:szCs w:val="24"/>
          <w:lang w:val="fr-FR"/>
        </w:rPr>
        <w:t>institutionnel</w:t>
      </w:r>
      <w:r>
        <w:rPr>
          <w:rFonts w:ascii="Times New Roman" w:hAnsi="Times New Roman" w:cs="Times New Roman"/>
          <w:bCs/>
          <w:sz w:val="24"/>
          <w:szCs w:val="24"/>
          <w:lang w:val="fr-FR"/>
        </w:rPr>
        <w:t xml:space="preserve"> de l’IHSI assuré: personnel, </w:t>
      </w:r>
      <w:r w:rsidR="002C2201" w:rsidRPr="00B72963">
        <w:rPr>
          <w:rFonts w:ascii="Times New Roman" w:hAnsi="Times New Roman" w:cs="Times New Roman"/>
          <w:bCs/>
          <w:sz w:val="24"/>
          <w:szCs w:val="24"/>
          <w:lang w:val="fr-FR"/>
        </w:rPr>
        <w:t xml:space="preserve">équipements, </w:t>
      </w:r>
      <w:r>
        <w:rPr>
          <w:rFonts w:ascii="Times New Roman" w:hAnsi="Times New Roman" w:cs="Times New Roman"/>
          <w:bCs/>
          <w:sz w:val="24"/>
          <w:szCs w:val="24"/>
          <w:lang w:val="fr-FR"/>
        </w:rPr>
        <w:t>technique et méthodologique</w:t>
      </w:r>
      <w:r w:rsidR="002C2201" w:rsidRPr="00B72963">
        <w:rPr>
          <w:rFonts w:ascii="Times New Roman" w:hAnsi="Times New Roman" w:cs="Times New Roman"/>
          <w:bCs/>
          <w:sz w:val="24"/>
          <w:szCs w:val="24"/>
          <w:lang w:val="fr-FR"/>
        </w:rPr>
        <w:t xml:space="preserve"> (collecte de données, SIG, etc.) ; un bâtiment rénové et des conditions de travail satisfaisantes retrouvées ;</w:t>
      </w:r>
    </w:p>
    <w:p w:rsidR="002C2201" w:rsidRPr="00B72963" w:rsidRDefault="002C2201" w:rsidP="007B4692">
      <w:pPr>
        <w:pStyle w:val="BodyText"/>
        <w:numPr>
          <w:ilvl w:val="0"/>
          <w:numId w:val="24"/>
        </w:numPr>
        <w:tabs>
          <w:tab w:val="left" w:pos="720"/>
        </w:tabs>
        <w:jc w:val="both"/>
        <w:rPr>
          <w:rFonts w:ascii="Times New Roman" w:hAnsi="Times New Roman" w:cs="Times New Roman"/>
          <w:bCs/>
          <w:sz w:val="24"/>
          <w:szCs w:val="24"/>
          <w:lang w:val="fr-FR"/>
        </w:rPr>
      </w:pPr>
      <w:r w:rsidRPr="00B72963">
        <w:rPr>
          <w:rFonts w:ascii="Times New Roman" w:hAnsi="Times New Roman" w:cs="Times New Roman"/>
          <w:sz w:val="24"/>
          <w:szCs w:val="24"/>
          <w:lang w:val="fr-FR"/>
        </w:rPr>
        <w:t>Méthodologie basique du recensement développée (outils, méthodes de collecte, cartographie) ; cette dernière viendra en appui de l’exercice de re</w:t>
      </w:r>
      <w:r w:rsidR="00E6044E">
        <w:rPr>
          <w:rFonts w:ascii="Times New Roman" w:hAnsi="Times New Roman" w:cs="Times New Roman"/>
          <w:sz w:val="24"/>
          <w:szCs w:val="24"/>
          <w:lang w:val="fr-FR"/>
        </w:rPr>
        <w:t>censement national prévu pour 2014</w:t>
      </w:r>
      <w:r w:rsidRPr="00B72963">
        <w:rPr>
          <w:rFonts w:ascii="Times New Roman" w:hAnsi="Times New Roman" w:cs="Times New Roman"/>
          <w:sz w:val="24"/>
          <w:szCs w:val="24"/>
          <w:lang w:val="fr-FR"/>
        </w:rPr>
        <w:t> ;</w:t>
      </w:r>
    </w:p>
    <w:p w:rsidR="002C2201" w:rsidRPr="00B72963" w:rsidRDefault="002C2201" w:rsidP="007B4692">
      <w:pPr>
        <w:pStyle w:val="BodyText"/>
        <w:numPr>
          <w:ilvl w:val="0"/>
          <w:numId w:val="24"/>
        </w:numPr>
        <w:tabs>
          <w:tab w:val="left" w:pos="720"/>
        </w:tabs>
        <w:jc w:val="both"/>
        <w:rPr>
          <w:rFonts w:ascii="Times New Roman" w:hAnsi="Times New Roman" w:cs="Times New Roman"/>
          <w:sz w:val="24"/>
          <w:szCs w:val="24"/>
          <w:lang w:val="fr-FR"/>
        </w:rPr>
      </w:pPr>
      <w:r w:rsidRPr="00B72963">
        <w:rPr>
          <w:rFonts w:ascii="Times New Roman" w:hAnsi="Times New Roman" w:cs="Times New Roman"/>
          <w:sz w:val="24"/>
          <w:szCs w:val="24"/>
          <w:lang w:val="fr-FR"/>
        </w:rPr>
        <w:t>Inventaire</w:t>
      </w:r>
      <w:r w:rsidR="00E6044E">
        <w:rPr>
          <w:rFonts w:ascii="Times New Roman" w:hAnsi="Times New Roman" w:cs="Times New Roman"/>
          <w:sz w:val="24"/>
          <w:szCs w:val="24"/>
          <w:lang w:val="fr-FR"/>
        </w:rPr>
        <w:t xml:space="preserve"> du bâtiment complété dans 2,505 SDE</w:t>
      </w:r>
    </w:p>
    <w:p w:rsidR="002C2201" w:rsidRDefault="002C2201" w:rsidP="007B4692">
      <w:pPr>
        <w:pStyle w:val="BodyText"/>
        <w:numPr>
          <w:ilvl w:val="0"/>
          <w:numId w:val="24"/>
        </w:numPr>
        <w:tabs>
          <w:tab w:val="left" w:pos="720"/>
        </w:tabs>
        <w:jc w:val="both"/>
        <w:rPr>
          <w:rFonts w:ascii="Times New Roman" w:hAnsi="Times New Roman" w:cs="Times New Roman"/>
          <w:sz w:val="24"/>
          <w:szCs w:val="24"/>
          <w:lang w:val="fr-FR"/>
        </w:rPr>
      </w:pPr>
      <w:r w:rsidRPr="00B72963">
        <w:rPr>
          <w:rFonts w:ascii="Times New Roman" w:hAnsi="Times New Roman" w:cs="Times New Roman"/>
          <w:sz w:val="24"/>
          <w:szCs w:val="24"/>
          <w:lang w:val="fr-FR"/>
        </w:rPr>
        <w:t xml:space="preserve">Dénombrement complété dans </w:t>
      </w:r>
      <w:r w:rsidR="00E6044E">
        <w:rPr>
          <w:rFonts w:ascii="Times New Roman" w:hAnsi="Times New Roman" w:cs="Times New Roman"/>
          <w:sz w:val="24"/>
          <w:szCs w:val="24"/>
          <w:lang w:val="fr-FR"/>
        </w:rPr>
        <w:t xml:space="preserve">587 </w:t>
      </w:r>
      <w:proofErr w:type="spellStart"/>
      <w:r w:rsidR="00E6044E">
        <w:rPr>
          <w:rFonts w:ascii="Times New Roman" w:hAnsi="Times New Roman" w:cs="Times New Roman"/>
          <w:sz w:val="24"/>
          <w:szCs w:val="24"/>
          <w:lang w:val="fr-FR"/>
        </w:rPr>
        <w:t>SDEs</w:t>
      </w:r>
      <w:proofErr w:type="spellEnd"/>
      <w:r w:rsidR="00E6044E">
        <w:rPr>
          <w:rFonts w:ascii="Times New Roman" w:hAnsi="Times New Roman" w:cs="Times New Roman"/>
          <w:sz w:val="24"/>
          <w:szCs w:val="24"/>
          <w:lang w:val="fr-FR"/>
        </w:rPr>
        <w:t>.</w:t>
      </w:r>
    </w:p>
    <w:p w:rsidR="002F6C15" w:rsidRDefault="002F6C15" w:rsidP="007B4692">
      <w:pPr>
        <w:pStyle w:val="BodyText"/>
        <w:numPr>
          <w:ilvl w:val="0"/>
          <w:numId w:val="24"/>
        </w:numPr>
        <w:tabs>
          <w:tab w:val="left" w:pos="720"/>
        </w:tabs>
        <w:jc w:val="both"/>
        <w:rPr>
          <w:rFonts w:ascii="Times New Roman" w:hAnsi="Times New Roman" w:cs="Times New Roman"/>
          <w:sz w:val="24"/>
          <w:szCs w:val="24"/>
          <w:lang w:val="fr-FR"/>
        </w:rPr>
      </w:pPr>
      <w:r>
        <w:rPr>
          <w:rFonts w:ascii="Times New Roman" w:hAnsi="Times New Roman" w:cs="Times New Roman"/>
          <w:sz w:val="24"/>
          <w:szCs w:val="24"/>
          <w:lang w:val="fr-FR"/>
        </w:rPr>
        <w:t>Installation définitive au sein de l’IHIS d’une direction de Système d’Information Géographique (SIG).</w:t>
      </w:r>
    </w:p>
    <w:p w:rsidR="007B4692" w:rsidRDefault="007B4692" w:rsidP="007B4692">
      <w:pPr>
        <w:pStyle w:val="BodyText"/>
        <w:tabs>
          <w:tab w:val="left" w:pos="720"/>
        </w:tabs>
        <w:jc w:val="both"/>
        <w:rPr>
          <w:rFonts w:ascii="Times New Roman" w:hAnsi="Times New Roman" w:cs="Times New Roman"/>
          <w:sz w:val="24"/>
          <w:szCs w:val="24"/>
          <w:lang w:val="fr-FR"/>
        </w:rPr>
      </w:pPr>
    </w:p>
    <w:p w:rsidR="002C2201" w:rsidRDefault="002C2201" w:rsidP="007B4692">
      <w:pPr>
        <w:pStyle w:val="BodyText"/>
        <w:tabs>
          <w:tab w:val="left" w:pos="0"/>
        </w:tabs>
        <w:jc w:val="both"/>
        <w:rPr>
          <w:rFonts w:ascii="Times New Roman" w:hAnsi="Times New Roman" w:cs="Times New Roman"/>
          <w:sz w:val="24"/>
          <w:szCs w:val="24"/>
          <w:lang w:val="fr-FR"/>
        </w:rPr>
      </w:pPr>
      <w:r>
        <w:rPr>
          <w:rFonts w:ascii="Times New Roman" w:hAnsi="Times New Roman" w:cs="Times New Roman"/>
          <w:sz w:val="24"/>
          <w:szCs w:val="24"/>
          <w:lang w:val="fr-FR"/>
        </w:rPr>
        <w:t>A date, le principal bénéficiaire est l’IHSI. Une fois, le dénombrement finalisé et partagé, les bénéficiaires compteront les instituions haïtiennes et les acteurs de la reconst</w:t>
      </w:r>
      <w:r w:rsidR="007B4692">
        <w:rPr>
          <w:rFonts w:ascii="Times New Roman" w:hAnsi="Times New Roman" w:cs="Times New Roman"/>
          <w:sz w:val="24"/>
          <w:szCs w:val="24"/>
          <w:lang w:val="fr-FR"/>
        </w:rPr>
        <w:t>ruction.</w:t>
      </w:r>
    </w:p>
    <w:p w:rsidR="007B4692" w:rsidRDefault="007B4692" w:rsidP="007B4692">
      <w:pPr>
        <w:pStyle w:val="BodyText"/>
        <w:tabs>
          <w:tab w:val="left" w:pos="0"/>
        </w:tabs>
        <w:jc w:val="both"/>
        <w:rPr>
          <w:rFonts w:ascii="Times New Roman" w:hAnsi="Times New Roman" w:cs="Times New Roman"/>
          <w:sz w:val="24"/>
          <w:szCs w:val="24"/>
          <w:lang w:val="fr-FR"/>
        </w:rPr>
      </w:pPr>
    </w:p>
    <w:p w:rsidR="00040C93" w:rsidRDefault="00040C93" w:rsidP="007B4692">
      <w:pPr>
        <w:pStyle w:val="BodyText"/>
        <w:tabs>
          <w:tab w:val="left" w:pos="0"/>
        </w:tabs>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Sur le plan institutionnel, la composante a permis de mettre en place une collaboration entre l’IHSI et le CNIGS, à travers notamment la mise à disposition d’un consultant du CNIGS auprès de la cellule SIG </w:t>
      </w:r>
      <w:r w:rsidR="000E1B6F">
        <w:rPr>
          <w:rFonts w:ascii="Times New Roman" w:hAnsi="Times New Roman" w:cs="Times New Roman"/>
          <w:sz w:val="24"/>
          <w:szCs w:val="24"/>
          <w:lang w:val="fr-FR"/>
        </w:rPr>
        <w:t xml:space="preserve">de </w:t>
      </w:r>
      <w:r>
        <w:rPr>
          <w:rFonts w:ascii="Times New Roman" w:hAnsi="Times New Roman" w:cs="Times New Roman"/>
          <w:sz w:val="24"/>
          <w:szCs w:val="24"/>
          <w:lang w:val="fr-FR"/>
        </w:rPr>
        <w:t>l’IHSI pour donner un appui sur l</w:t>
      </w:r>
      <w:r w:rsidRPr="000B332C">
        <w:rPr>
          <w:rFonts w:ascii="Times New Roman" w:hAnsi="Times New Roman" w:cs="Times New Roman"/>
          <w:sz w:val="24"/>
          <w:szCs w:val="24"/>
          <w:lang w:val="fr-FR"/>
        </w:rPr>
        <w:t xml:space="preserve">a base de données pour l’inventaire des bâtiments et </w:t>
      </w:r>
      <w:r>
        <w:rPr>
          <w:rFonts w:ascii="Times New Roman" w:hAnsi="Times New Roman" w:cs="Times New Roman"/>
          <w:sz w:val="24"/>
          <w:szCs w:val="24"/>
          <w:lang w:val="fr-FR"/>
        </w:rPr>
        <w:t>son g</w:t>
      </w:r>
      <w:r w:rsidRPr="003F424C">
        <w:rPr>
          <w:rFonts w:ascii="Times New Roman" w:hAnsi="Times New Roman" w:cs="Times New Roman"/>
          <w:sz w:val="24"/>
          <w:szCs w:val="24"/>
          <w:lang w:val="fr-FR"/>
        </w:rPr>
        <w:t>é</w:t>
      </w:r>
      <w:r>
        <w:rPr>
          <w:rFonts w:ascii="Times New Roman" w:hAnsi="Times New Roman" w:cs="Times New Roman"/>
          <w:sz w:val="24"/>
          <w:szCs w:val="24"/>
          <w:lang w:val="fr-FR"/>
        </w:rPr>
        <w:t>o-r</w:t>
      </w:r>
      <w:r w:rsidRPr="003F424C">
        <w:rPr>
          <w:rFonts w:ascii="Times New Roman" w:hAnsi="Times New Roman" w:cs="Times New Roman"/>
          <w:sz w:val="24"/>
          <w:szCs w:val="24"/>
          <w:lang w:val="fr-FR"/>
        </w:rPr>
        <w:t>é</w:t>
      </w:r>
      <w:r>
        <w:rPr>
          <w:rFonts w:ascii="Times New Roman" w:hAnsi="Times New Roman" w:cs="Times New Roman"/>
          <w:sz w:val="24"/>
          <w:szCs w:val="24"/>
          <w:lang w:val="fr-FR"/>
        </w:rPr>
        <w:t>f</w:t>
      </w:r>
      <w:r w:rsidRPr="003F424C">
        <w:rPr>
          <w:rFonts w:ascii="Times New Roman" w:hAnsi="Times New Roman" w:cs="Times New Roman"/>
          <w:sz w:val="24"/>
          <w:szCs w:val="24"/>
          <w:lang w:val="fr-FR"/>
        </w:rPr>
        <w:t>é</w:t>
      </w:r>
      <w:r>
        <w:rPr>
          <w:rFonts w:ascii="Times New Roman" w:hAnsi="Times New Roman" w:cs="Times New Roman"/>
          <w:sz w:val="24"/>
          <w:szCs w:val="24"/>
          <w:lang w:val="fr-FR"/>
        </w:rPr>
        <w:t xml:space="preserve">rencement. Cette collaboration a contribué au transfert rapide des données recueillies par la composante 1 à la composante 2. </w:t>
      </w:r>
    </w:p>
    <w:p w:rsidR="00136466" w:rsidRDefault="00136466" w:rsidP="002C2201">
      <w:pPr>
        <w:pStyle w:val="BodyText"/>
        <w:tabs>
          <w:tab w:val="left" w:pos="360"/>
        </w:tabs>
        <w:ind w:left="360"/>
        <w:jc w:val="both"/>
        <w:rPr>
          <w:rFonts w:ascii="Times New Roman" w:hAnsi="Times New Roman" w:cs="Times New Roman"/>
          <w:sz w:val="24"/>
          <w:szCs w:val="24"/>
          <w:lang w:val="fr-FR"/>
        </w:rPr>
      </w:pPr>
    </w:p>
    <w:p w:rsidR="00136466" w:rsidRPr="000E1B6F" w:rsidRDefault="00CB6078" w:rsidP="007B4692">
      <w:pPr>
        <w:pStyle w:val="BodyText"/>
        <w:tabs>
          <w:tab w:val="left" w:pos="0"/>
        </w:tabs>
        <w:jc w:val="both"/>
        <w:rPr>
          <w:rFonts w:ascii="Times New Roman" w:hAnsi="Times New Roman" w:cs="Times New Roman"/>
          <w:b/>
          <w:bCs/>
          <w:sz w:val="24"/>
          <w:szCs w:val="24"/>
          <w:lang w:val="fr-FR"/>
        </w:rPr>
      </w:pPr>
      <w:r w:rsidRPr="000E1B6F">
        <w:rPr>
          <w:rFonts w:ascii="Times New Roman" w:hAnsi="Times New Roman" w:cs="Times New Roman"/>
          <w:b/>
          <w:bCs/>
          <w:sz w:val="24"/>
          <w:szCs w:val="24"/>
          <w:lang w:val="fr-FR"/>
        </w:rPr>
        <w:t xml:space="preserve">Retards, </w:t>
      </w:r>
      <w:r w:rsidR="00136466" w:rsidRPr="000E1B6F">
        <w:rPr>
          <w:rFonts w:ascii="Times New Roman" w:hAnsi="Times New Roman" w:cs="Times New Roman"/>
          <w:b/>
          <w:bCs/>
          <w:sz w:val="24"/>
          <w:szCs w:val="24"/>
          <w:lang w:val="fr-FR"/>
        </w:rPr>
        <w:t>défis</w:t>
      </w:r>
      <w:r w:rsidRPr="000E1B6F">
        <w:rPr>
          <w:rFonts w:ascii="Times New Roman" w:hAnsi="Times New Roman" w:cs="Times New Roman"/>
          <w:b/>
          <w:bCs/>
          <w:sz w:val="24"/>
          <w:szCs w:val="24"/>
          <w:lang w:val="fr-FR"/>
        </w:rPr>
        <w:t>, leçons apprises et meilleures pratiques</w:t>
      </w:r>
    </w:p>
    <w:p w:rsidR="007B4692" w:rsidRPr="007B4692" w:rsidRDefault="007B4692" w:rsidP="007B4692">
      <w:pPr>
        <w:pStyle w:val="BodyText"/>
        <w:tabs>
          <w:tab w:val="left" w:pos="0"/>
        </w:tabs>
        <w:jc w:val="both"/>
        <w:rPr>
          <w:rFonts w:ascii="Times New Roman" w:hAnsi="Times New Roman" w:cs="Times New Roman"/>
          <w:b/>
          <w:bCs/>
          <w:sz w:val="24"/>
          <w:szCs w:val="24"/>
          <w:lang w:val="fr-FR"/>
        </w:rPr>
      </w:pPr>
    </w:p>
    <w:p w:rsidR="00040C93" w:rsidRDefault="00136466" w:rsidP="007B4692">
      <w:pPr>
        <w:pStyle w:val="BodyText"/>
        <w:tabs>
          <w:tab w:val="left" w:pos="0"/>
        </w:tabs>
        <w:jc w:val="both"/>
        <w:rPr>
          <w:rFonts w:ascii="Times New Roman" w:hAnsi="Times New Roman" w:cs="Times New Roman"/>
          <w:bCs/>
          <w:sz w:val="24"/>
          <w:szCs w:val="24"/>
          <w:lang w:val="fr-FR"/>
        </w:rPr>
      </w:pPr>
      <w:r w:rsidRPr="00ED2B6C">
        <w:rPr>
          <w:rFonts w:ascii="Times New Roman" w:hAnsi="Times New Roman" w:cs="Times New Roman"/>
          <w:bCs/>
          <w:sz w:val="24"/>
          <w:szCs w:val="24"/>
          <w:lang w:val="fr-FR"/>
        </w:rPr>
        <w:t xml:space="preserve">Les principaux retards rencontrés dans le projet </w:t>
      </w:r>
      <w:r>
        <w:rPr>
          <w:rFonts w:ascii="Times New Roman" w:hAnsi="Times New Roman" w:cs="Times New Roman"/>
          <w:bCs/>
          <w:sz w:val="24"/>
          <w:szCs w:val="24"/>
          <w:lang w:val="fr-FR"/>
        </w:rPr>
        <w:t>demeurent</w:t>
      </w:r>
      <w:r w:rsidRPr="00ED2B6C">
        <w:rPr>
          <w:rFonts w:ascii="Times New Roman" w:hAnsi="Times New Roman" w:cs="Times New Roman"/>
          <w:bCs/>
          <w:sz w:val="24"/>
          <w:szCs w:val="24"/>
          <w:lang w:val="fr-FR"/>
        </w:rPr>
        <w:t xml:space="preserve"> les retards d’exécution des opérations causés par des contraintes d’ordre administratif. Le taux élevé de rotation du personnel qui travaille sur le projet au sein de l’IHSI a occasionné des retards tels qu’il a fallu repousser des activités opérationnelles pour se concentrer sur des activités d</w:t>
      </w:r>
      <w:r w:rsidR="007B4692">
        <w:rPr>
          <w:rFonts w:ascii="Times New Roman" w:hAnsi="Times New Roman" w:cs="Times New Roman"/>
          <w:bCs/>
          <w:sz w:val="24"/>
          <w:szCs w:val="24"/>
          <w:lang w:val="fr-FR"/>
        </w:rPr>
        <w:t>e formations et d’orientation.</w:t>
      </w:r>
    </w:p>
    <w:p w:rsidR="007B4692" w:rsidRDefault="007B4692" w:rsidP="007B4692">
      <w:pPr>
        <w:pStyle w:val="BodyText"/>
        <w:tabs>
          <w:tab w:val="left" w:pos="0"/>
        </w:tabs>
        <w:jc w:val="both"/>
        <w:rPr>
          <w:rFonts w:ascii="Times New Roman" w:hAnsi="Times New Roman" w:cs="Times New Roman"/>
          <w:bCs/>
          <w:sz w:val="24"/>
          <w:szCs w:val="24"/>
          <w:lang w:val="fr-FR"/>
        </w:rPr>
      </w:pPr>
    </w:p>
    <w:p w:rsidR="00040C93" w:rsidRDefault="00CB4D2B" w:rsidP="007B4692">
      <w:pPr>
        <w:pStyle w:val="BodyText"/>
        <w:tabs>
          <w:tab w:val="left" w:pos="0"/>
        </w:tabs>
        <w:jc w:val="both"/>
        <w:rPr>
          <w:rFonts w:ascii="Times New Roman" w:hAnsi="Times New Roman" w:cs="Times New Roman"/>
          <w:bCs/>
          <w:sz w:val="24"/>
          <w:szCs w:val="24"/>
          <w:lang w:val="fr-FR"/>
        </w:rPr>
      </w:pPr>
      <w:r>
        <w:rPr>
          <w:rFonts w:ascii="Times New Roman" w:hAnsi="Times New Roman" w:cs="Times New Roman"/>
          <w:bCs/>
          <w:sz w:val="24"/>
          <w:szCs w:val="24"/>
          <w:lang w:val="fr-FR"/>
        </w:rPr>
        <w:t xml:space="preserve">Bien qu’ayant reçu des formations continus, l’apprentissage et maitrise des nouvelles technologies par le staff technique de l’IHSI s’est avéré difficile. </w:t>
      </w:r>
      <w:r w:rsidR="002F6C15">
        <w:rPr>
          <w:rFonts w:ascii="Times New Roman" w:hAnsi="Times New Roman" w:cs="Times New Roman"/>
          <w:bCs/>
          <w:sz w:val="24"/>
          <w:szCs w:val="24"/>
          <w:lang w:val="fr-FR"/>
        </w:rPr>
        <w:t>Pour pallier aux différents retards rencontrés durant cette période, deux extensions sans couts additionnels ont été demandées ; une jusqu’à septembre 2013 pour assurer l’accomplissement des activités de terrain et une dernière jusqu’à décembre 2013 pour assurer une clôture adéquate du proje</w:t>
      </w:r>
      <w:r w:rsidR="007B4692">
        <w:rPr>
          <w:rFonts w:ascii="Times New Roman" w:hAnsi="Times New Roman" w:cs="Times New Roman"/>
          <w:bCs/>
          <w:sz w:val="24"/>
          <w:szCs w:val="24"/>
          <w:lang w:val="fr-FR"/>
        </w:rPr>
        <w:t>t.</w:t>
      </w:r>
    </w:p>
    <w:p w:rsidR="007B4692" w:rsidRDefault="007B4692" w:rsidP="007B4692">
      <w:pPr>
        <w:pStyle w:val="BodyText"/>
        <w:tabs>
          <w:tab w:val="left" w:pos="0"/>
        </w:tabs>
        <w:jc w:val="both"/>
        <w:rPr>
          <w:rFonts w:ascii="Times New Roman" w:hAnsi="Times New Roman" w:cs="Times New Roman"/>
          <w:bCs/>
          <w:sz w:val="24"/>
          <w:szCs w:val="24"/>
          <w:lang w:val="fr-FR"/>
        </w:rPr>
      </w:pPr>
    </w:p>
    <w:p w:rsidR="00040C93" w:rsidRDefault="00040C93" w:rsidP="007B4692">
      <w:pPr>
        <w:pStyle w:val="BodyText"/>
        <w:tabs>
          <w:tab w:val="left" w:pos="0"/>
        </w:tabs>
        <w:jc w:val="both"/>
        <w:rPr>
          <w:rFonts w:ascii="Times New Roman" w:hAnsi="Times New Roman" w:cs="Times New Roman"/>
          <w:bCs/>
          <w:sz w:val="24"/>
          <w:szCs w:val="24"/>
          <w:lang w:val="fr-FR"/>
        </w:rPr>
      </w:pPr>
      <w:r w:rsidRPr="00040C93">
        <w:rPr>
          <w:rFonts w:ascii="Times New Roman" w:hAnsi="Times New Roman" w:cs="Times New Roman"/>
          <w:bCs/>
          <w:sz w:val="24"/>
          <w:szCs w:val="24"/>
          <w:lang w:val="fr-FR"/>
        </w:rPr>
        <w:t>L’analyse finale des données</w:t>
      </w:r>
      <w:r>
        <w:rPr>
          <w:rFonts w:ascii="Times New Roman" w:hAnsi="Times New Roman" w:cs="Times New Roman"/>
          <w:bCs/>
          <w:sz w:val="24"/>
          <w:szCs w:val="24"/>
          <w:lang w:val="fr-FR"/>
        </w:rPr>
        <w:t xml:space="preserve"> de recensement</w:t>
      </w:r>
      <w:r w:rsidRPr="00040C93">
        <w:rPr>
          <w:rFonts w:ascii="Times New Roman" w:hAnsi="Times New Roman" w:cs="Times New Roman"/>
          <w:bCs/>
          <w:sz w:val="24"/>
          <w:szCs w:val="24"/>
          <w:lang w:val="fr-FR"/>
        </w:rPr>
        <w:t xml:space="preserve"> demeure non réalisée, en attente du réengagement du consultant du FNUAP pour finalisation du rapport d’analyse final.</w:t>
      </w:r>
    </w:p>
    <w:p w:rsidR="007B4692" w:rsidRDefault="007B4692" w:rsidP="007B4692">
      <w:pPr>
        <w:pStyle w:val="BodyText"/>
        <w:tabs>
          <w:tab w:val="left" w:pos="0"/>
        </w:tabs>
        <w:jc w:val="both"/>
        <w:rPr>
          <w:rFonts w:ascii="Times New Roman" w:hAnsi="Times New Roman" w:cs="Times New Roman"/>
          <w:bCs/>
          <w:sz w:val="24"/>
          <w:szCs w:val="24"/>
          <w:lang w:val="fr-FR"/>
        </w:rPr>
      </w:pPr>
    </w:p>
    <w:p w:rsidR="00136466" w:rsidRDefault="00136466" w:rsidP="007B4692">
      <w:pPr>
        <w:pStyle w:val="BodyText"/>
        <w:tabs>
          <w:tab w:val="left" w:pos="0"/>
        </w:tabs>
        <w:jc w:val="both"/>
        <w:rPr>
          <w:rFonts w:ascii="Times New Roman" w:hAnsi="Times New Roman" w:cs="Times New Roman"/>
          <w:bCs/>
          <w:sz w:val="24"/>
          <w:szCs w:val="24"/>
          <w:lang w:val="fr-FR"/>
        </w:rPr>
      </w:pPr>
      <w:r w:rsidRPr="00ED2B6C">
        <w:rPr>
          <w:rFonts w:ascii="Times New Roman" w:hAnsi="Times New Roman" w:cs="Times New Roman"/>
          <w:bCs/>
          <w:sz w:val="24"/>
          <w:szCs w:val="24"/>
          <w:lang w:val="fr-FR"/>
        </w:rPr>
        <w:t xml:space="preserve">L’équipe </w:t>
      </w:r>
      <w:r w:rsidR="002F6C15">
        <w:rPr>
          <w:rFonts w:ascii="Times New Roman" w:hAnsi="Times New Roman" w:cs="Times New Roman"/>
          <w:bCs/>
          <w:sz w:val="24"/>
          <w:szCs w:val="24"/>
          <w:lang w:val="fr-FR"/>
        </w:rPr>
        <w:t>a travaillé continuellement</w:t>
      </w:r>
      <w:r w:rsidRPr="00ED2B6C">
        <w:rPr>
          <w:rFonts w:ascii="Times New Roman" w:hAnsi="Times New Roman" w:cs="Times New Roman"/>
          <w:bCs/>
          <w:sz w:val="24"/>
          <w:szCs w:val="24"/>
          <w:lang w:val="fr-FR"/>
        </w:rPr>
        <w:t xml:space="preserve"> avec les homologues nationaux de façon à réduire </w:t>
      </w:r>
      <w:r w:rsidR="002F6C15">
        <w:rPr>
          <w:rFonts w:ascii="Times New Roman" w:hAnsi="Times New Roman" w:cs="Times New Roman"/>
          <w:bCs/>
          <w:sz w:val="24"/>
          <w:szCs w:val="24"/>
          <w:lang w:val="fr-FR"/>
        </w:rPr>
        <w:t>les</w:t>
      </w:r>
      <w:r w:rsidRPr="00ED2B6C">
        <w:rPr>
          <w:rFonts w:ascii="Times New Roman" w:hAnsi="Times New Roman" w:cs="Times New Roman"/>
          <w:bCs/>
          <w:sz w:val="24"/>
          <w:szCs w:val="24"/>
          <w:lang w:val="fr-FR"/>
        </w:rPr>
        <w:t xml:space="preserve"> retards</w:t>
      </w:r>
      <w:r w:rsidR="002F6C15">
        <w:rPr>
          <w:rFonts w:ascii="Times New Roman" w:hAnsi="Times New Roman" w:cs="Times New Roman"/>
          <w:bCs/>
          <w:sz w:val="24"/>
          <w:szCs w:val="24"/>
          <w:lang w:val="fr-FR"/>
        </w:rPr>
        <w:t xml:space="preserve"> cis-mentionnés</w:t>
      </w:r>
      <w:r w:rsidRPr="00ED2B6C">
        <w:rPr>
          <w:rFonts w:ascii="Times New Roman" w:hAnsi="Times New Roman" w:cs="Times New Roman"/>
          <w:bCs/>
          <w:sz w:val="24"/>
          <w:szCs w:val="24"/>
          <w:lang w:val="fr-FR"/>
        </w:rPr>
        <w:t>, bien qu’il soit important de souligner que ces problèmes ne sont pas directement sous le contrôle de l’équipe de projet.</w:t>
      </w:r>
      <w:r w:rsidR="00CB4D2B">
        <w:rPr>
          <w:rFonts w:ascii="Times New Roman" w:hAnsi="Times New Roman" w:cs="Times New Roman"/>
          <w:bCs/>
          <w:sz w:val="24"/>
          <w:szCs w:val="24"/>
          <w:lang w:val="fr-FR"/>
        </w:rPr>
        <w:t xml:space="preserve"> </w:t>
      </w:r>
      <w:r w:rsidR="002F6C15">
        <w:rPr>
          <w:rFonts w:ascii="Times New Roman" w:hAnsi="Times New Roman" w:cs="Times New Roman"/>
          <w:bCs/>
          <w:sz w:val="24"/>
          <w:szCs w:val="24"/>
          <w:lang w:val="fr-FR"/>
        </w:rPr>
        <w:t>L</w:t>
      </w:r>
      <w:r w:rsidR="00CB4D2B" w:rsidRPr="00CB4D2B">
        <w:rPr>
          <w:rFonts w:ascii="Times New Roman" w:hAnsi="Times New Roman" w:cs="Times New Roman"/>
          <w:bCs/>
          <w:sz w:val="24"/>
          <w:szCs w:val="24"/>
          <w:lang w:val="fr-FR"/>
        </w:rPr>
        <w:t xml:space="preserve">’équipe de projet OIM a rencontré des retards lors de la soumission des documents financiers finaux de l’IHSI et du FNUAP, fait qui a grandement affecté le processus de clôture financière du </w:t>
      </w:r>
      <w:r w:rsidR="002F6C15" w:rsidRPr="00CB4D2B">
        <w:rPr>
          <w:rFonts w:ascii="Times New Roman" w:hAnsi="Times New Roman" w:cs="Times New Roman"/>
          <w:bCs/>
          <w:sz w:val="24"/>
          <w:szCs w:val="24"/>
          <w:lang w:val="fr-FR"/>
        </w:rPr>
        <w:t>côté</w:t>
      </w:r>
      <w:r w:rsidR="00CB4D2B" w:rsidRPr="00CB4D2B">
        <w:rPr>
          <w:rFonts w:ascii="Times New Roman" w:hAnsi="Times New Roman" w:cs="Times New Roman"/>
          <w:bCs/>
          <w:sz w:val="24"/>
          <w:szCs w:val="24"/>
          <w:lang w:val="fr-FR"/>
        </w:rPr>
        <w:t xml:space="preserve"> de l’OIM. En effet, certains documents tels le rapport financier final et retour de la balance restante du FNUAP est toujours en attente. Les équipes de projet continue de travailler assidûment ensemble pour assurer la soumission, dans les temps, des documents manquants</w:t>
      </w:r>
      <w:r w:rsidR="00AF2036">
        <w:rPr>
          <w:rFonts w:ascii="Times New Roman" w:hAnsi="Times New Roman" w:cs="Times New Roman"/>
          <w:bCs/>
          <w:sz w:val="24"/>
          <w:szCs w:val="24"/>
          <w:lang w:val="fr-FR"/>
        </w:rPr>
        <w:t xml:space="preserve"> nécessaires pour la clôture de la composante</w:t>
      </w:r>
      <w:r w:rsidR="00CB4D2B" w:rsidRPr="00CB4D2B">
        <w:rPr>
          <w:rFonts w:ascii="Times New Roman" w:hAnsi="Times New Roman" w:cs="Times New Roman"/>
          <w:bCs/>
          <w:sz w:val="24"/>
          <w:szCs w:val="24"/>
          <w:lang w:val="fr-FR"/>
        </w:rPr>
        <w:t>.</w:t>
      </w:r>
    </w:p>
    <w:p w:rsidR="00481613" w:rsidRDefault="00481613" w:rsidP="00481613">
      <w:pPr>
        <w:pStyle w:val="BodyText"/>
        <w:tabs>
          <w:tab w:val="left" w:pos="360"/>
        </w:tabs>
        <w:jc w:val="both"/>
        <w:rPr>
          <w:rFonts w:ascii="Times New Roman" w:hAnsi="Times New Roman" w:cs="Times New Roman"/>
          <w:bCs/>
          <w:sz w:val="24"/>
          <w:szCs w:val="24"/>
          <w:lang w:val="fr-FR"/>
        </w:rPr>
      </w:pPr>
    </w:p>
    <w:bookmarkEnd w:id="1"/>
    <w:p w:rsidR="007C0CE2" w:rsidRPr="007B4692" w:rsidRDefault="007C0CE2" w:rsidP="007B4692">
      <w:pPr>
        <w:pStyle w:val="BodyText"/>
        <w:jc w:val="both"/>
        <w:rPr>
          <w:rStyle w:val="hps"/>
          <w:rFonts w:ascii="Times New Roman" w:hAnsi="Times New Roman"/>
          <w:b/>
          <w:sz w:val="24"/>
          <w:szCs w:val="24"/>
          <w:u w:val="single"/>
          <w:lang w:val="fr-FR"/>
        </w:rPr>
      </w:pPr>
      <w:r w:rsidRPr="007B4692">
        <w:rPr>
          <w:rStyle w:val="hps"/>
          <w:rFonts w:ascii="Times New Roman" w:hAnsi="Times New Roman"/>
          <w:b/>
          <w:sz w:val="24"/>
          <w:szCs w:val="24"/>
          <w:u w:val="single"/>
          <w:lang w:val="fr-FR"/>
        </w:rPr>
        <w:t>Composante 2</w:t>
      </w:r>
    </w:p>
    <w:p w:rsidR="007C0CE2" w:rsidRDefault="007C0CE2" w:rsidP="00635359">
      <w:pPr>
        <w:pStyle w:val="BodyText"/>
        <w:jc w:val="both"/>
        <w:rPr>
          <w:rStyle w:val="hps"/>
          <w:rFonts w:ascii="Times New Roman" w:hAnsi="Times New Roman"/>
          <w:b/>
          <w:sz w:val="24"/>
          <w:szCs w:val="24"/>
          <w:lang w:val="fr-FR"/>
        </w:rPr>
      </w:pPr>
    </w:p>
    <w:p w:rsidR="00635359" w:rsidRDefault="00635359" w:rsidP="00635359">
      <w:pPr>
        <w:pStyle w:val="BodyText"/>
        <w:tabs>
          <w:tab w:val="left" w:pos="0"/>
        </w:tabs>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Résultats</w:t>
      </w:r>
    </w:p>
    <w:p w:rsidR="00635359" w:rsidRDefault="00635359" w:rsidP="00095A16">
      <w:pPr>
        <w:pStyle w:val="BodyText"/>
        <w:tabs>
          <w:tab w:val="left" w:pos="0"/>
        </w:tabs>
        <w:jc w:val="both"/>
        <w:rPr>
          <w:rFonts w:ascii="Times New Roman" w:hAnsi="Times New Roman" w:cs="Times New Roman"/>
          <w:b/>
          <w:bCs/>
          <w:sz w:val="24"/>
          <w:szCs w:val="24"/>
          <w:lang w:val="fr-FR"/>
        </w:rPr>
      </w:pPr>
    </w:p>
    <w:p w:rsidR="00635359" w:rsidRDefault="00635359" w:rsidP="00095A16">
      <w:pPr>
        <w:tabs>
          <w:tab w:val="left" w:pos="0"/>
        </w:tabs>
        <w:jc w:val="both"/>
        <w:rPr>
          <w:lang w:val="fr-FR"/>
        </w:rPr>
      </w:pPr>
      <w:r w:rsidRPr="002B351A">
        <w:rPr>
          <w:b/>
          <w:lang w:val="fr-FR" w:eastAsia="fr-FR"/>
        </w:rPr>
        <w:t>Plateforme</w:t>
      </w:r>
      <w:r w:rsidR="00760D2B">
        <w:rPr>
          <w:b/>
          <w:lang w:val="fr-FR" w:eastAsia="fr-FR"/>
        </w:rPr>
        <w:t xml:space="preserve"> SILQ conçue et opérationnelle:</w:t>
      </w:r>
      <w:r>
        <w:rPr>
          <w:b/>
          <w:lang w:val="fr-FR" w:eastAsia="fr-FR"/>
        </w:rPr>
        <w:t xml:space="preserve"> </w:t>
      </w:r>
      <w:r w:rsidRPr="00635359">
        <w:rPr>
          <w:lang w:val="fr-FR"/>
        </w:rPr>
        <w:t>La plateforme SILQ a été conçue et mise en ligne.</w:t>
      </w:r>
      <w:r w:rsidR="00AF14C0">
        <w:rPr>
          <w:lang w:val="fr-FR"/>
        </w:rPr>
        <w:t xml:space="preserve"> </w:t>
      </w:r>
      <w:r w:rsidRPr="00635359">
        <w:rPr>
          <w:lang w:val="fr-FR"/>
        </w:rPr>
        <w:t xml:space="preserve">La plateforme comprend une base de données géographiques structurée de manière à recevoir les données provenant du réseau d’utilisateurs et de producteurs de données et un outil de visualisation web-cartographique de ces </w:t>
      </w:r>
      <w:r w:rsidR="00095A16" w:rsidRPr="00635359">
        <w:rPr>
          <w:lang w:val="fr-FR"/>
        </w:rPr>
        <w:t>données</w:t>
      </w:r>
      <w:r w:rsidRPr="00635359">
        <w:rPr>
          <w:lang w:val="fr-FR"/>
        </w:rPr>
        <w:t xml:space="preserve"> permettant d’interroger la plateforme et de produire des rapports et des statistiques.</w:t>
      </w:r>
      <w:r w:rsidR="00095A16">
        <w:rPr>
          <w:lang w:val="fr-FR"/>
        </w:rPr>
        <w:t xml:space="preserve"> </w:t>
      </w:r>
      <w:r w:rsidRPr="00635359">
        <w:rPr>
          <w:lang w:val="fr-FR"/>
        </w:rPr>
        <w:t xml:space="preserve">L’information globale </w:t>
      </w:r>
      <w:r w:rsidR="00095A16" w:rsidRPr="00635359">
        <w:rPr>
          <w:lang w:val="fr-FR"/>
        </w:rPr>
        <w:t>à</w:t>
      </w:r>
      <w:r w:rsidRPr="00635359">
        <w:rPr>
          <w:lang w:val="fr-FR"/>
        </w:rPr>
        <w:t xml:space="preserve"> laquelle ont </w:t>
      </w:r>
      <w:r w:rsidR="00095A16" w:rsidRPr="00635359">
        <w:rPr>
          <w:lang w:val="fr-FR"/>
        </w:rPr>
        <w:t>accès</w:t>
      </w:r>
      <w:r w:rsidRPr="00635359">
        <w:rPr>
          <w:lang w:val="fr-FR"/>
        </w:rPr>
        <w:t xml:space="preserve"> les utilisateurs est </w:t>
      </w:r>
      <w:r w:rsidR="00095A16" w:rsidRPr="00635359">
        <w:rPr>
          <w:lang w:val="fr-FR"/>
        </w:rPr>
        <w:t>subdivisée</w:t>
      </w:r>
      <w:r w:rsidRPr="00635359">
        <w:rPr>
          <w:lang w:val="fr-FR"/>
        </w:rPr>
        <w:t xml:space="preserve"> en 5 grandes </w:t>
      </w:r>
      <w:r w:rsidR="00095A16" w:rsidRPr="00635359">
        <w:rPr>
          <w:lang w:val="fr-FR"/>
        </w:rPr>
        <w:t>thématiques</w:t>
      </w:r>
      <w:r w:rsidRPr="00635359">
        <w:rPr>
          <w:lang w:val="fr-FR"/>
        </w:rPr>
        <w:t> :</w:t>
      </w:r>
    </w:p>
    <w:p w:rsidR="00635359" w:rsidRPr="00635359" w:rsidRDefault="00635359" w:rsidP="00635359">
      <w:pPr>
        <w:ind w:left="360"/>
        <w:jc w:val="both"/>
        <w:rPr>
          <w:lang w:val="fr-FR"/>
        </w:rPr>
      </w:pPr>
    </w:p>
    <w:p w:rsidR="00635359" w:rsidRPr="00095A16" w:rsidRDefault="00635359" w:rsidP="00095A16">
      <w:pPr>
        <w:pStyle w:val="BodyText"/>
        <w:numPr>
          <w:ilvl w:val="0"/>
          <w:numId w:val="8"/>
        </w:numPr>
        <w:jc w:val="both"/>
        <w:rPr>
          <w:rFonts w:ascii="Times New Roman" w:hAnsi="Times New Roman" w:cs="Times New Roman"/>
          <w:sz w:val="24"/>
          <w:szCs w:val="24"/>
          <w:lang w:val="fr-FR"/>
        </w:rPr>
      </w:pPr>
      <w:r w:rsidRPr="00095A16">
        <w:rPr>
          <w:rFonts w:ascii="Times New Roman" w:hAnsi="Times New Roman" w:cs="Times New Roman"/>
          <w:sz w:val="24"/>
          <w:szCs w:val="24"/>
          <w:lang w:val="fr-FR"/>
        </w:rPr>
        <w:t xml:space="preserve">Les </w:t>
      </w:r>
      <w:r w:rsidR="00A777C3">
        <w:rPr>
          <w:rFonts w:ascii="Times New Roman" w:hAnsi="Times New Roman" w:cs="Times New Roman"/>
          <w:sz w:val="24"/>
          <w:szCs w:val="24"/>
          <w:lang w:val="fr-FR"/>
        </w:rPr>
        <w:t>i</w:t>
      </w:r>
      <w:r w:rsidRPr="00095A16">
        <w:rPr>
          <w:rFonts w:ascii="Times New Roman" w:hAnsi="Times New Roman" w:cs="Times New Roman"/>
          <w:sz w:val="24"/>
          <w:szCs w:val="24"/>
          <w:lang w:val="fr-FR"/>
        </w:rPr>
        <w:t>nfrastructures communautaires et les services de base</w:t>
      </w:r>
      <w:r w:rsidR="00095A16" w:rsidRPr="00095A16">
        <w:rPr>
          <w:rFonts w:ascii="Times New Roman" w:hAnsi="Times New Roman" w:cs="Times New Roman"/>
          <w:sz w:val="24"/>
          <w:szCs w:val="24"/>
          <w:lang w:val="fr-FR"/>
        </w:rPr>
        <w:t xml:space="preserve">. </w:t>
      </w:r>
    </w:p>
    <w:p w:rsidR="00635359" w:rsidRPr="00095A16" w:rsidRDefault="00635359" w:rsidP="00095A16">
      <w:pPr>
        <w:pStyle w:val="BodyText"/>
        <w:numPr>
          <w:ilvl w:val="0"/>
          <w:numId w:val="8"/>
        </w:numPr>
        <w:jc w:val="both"/>
        <w:rPr>
          <w:rFonts w:ascii="Times New Roman" w:hAnsi="Times New Roman" w:cs="Times New Roman"/>
          <w:sz w:val="24"/>
          <w:szCs w:val="24"/>
          <w:lang w:val="fr-FR"/>
        </w:rPr>
      </w:pPr>
      <w:r w:rsidRPr="00095A16">
        <w:rPr>
          <w:rFonts w:ascii="Times New Roman" w:hAnsi="Times New Roman" w:cs="Times New Roman"/>
          <w:sz w:val="24"/>
          <w:szCs w:val="24"/>
          <w:lang w:val="fr-FR"/>
        </w:rPr>
        <w:t>L’environnement</w:t>
      </w:r>
      <w:r w:rsidR="00095A16" w:rsidRPr="00095A16">
        <w:rPr>
          <w:rFonts w:ascii="Times New Roman" w:hAnsi="Times New Roman" w:cs="Times New Roman"/>
          <w:sz w:val="24"/>
          <w:szCs w:val="24"/>
          <w:lang w:val="fr-FR"/>
        </w:rPr>
        <w:t>.</w:t>
      </w:r>
    </w:p>
    <w:p w:rsidR="00635359" w:rsidRPr="00095A16" w:rsidRDefault="00A777C3" w:rsidP="00095A16">
      <w:pPr>
        <w:pStyle w:val="BodyText"/>
        <w:numPr>
          <w:ilvl w:val="0"/>
          <w:numId w:val="8"/>
        </w:numPr>
        <w:jc w:val="both"/>
        <w:rPr>
          <w:rFonts w:ascii="Times New Roman" w:hAnsi="Times New Roman" w:cs="Times New Roman"/>
          <w:sz w:val="24"/>
          <w:szCs w:val="24"/>
          <w:lang w:val="fr-FR"/>
        </w:rPr>
      </w:pPr>
      <w:r>
        <w:rPr>
          <w:rFonts w:ascii="Times New Roman" w:hAnsi="Times New Roman" w:cs="Times New Roman"/>
          <w:sz w:val="24"/>
          <w:szCs w:val="24"/>
          <w:lang w:val="fr-FR"/>
        </w:rPr>
        <w:t>La structure sociale des q</w:t>
      </w:r>
      <w:r w:rsidR="00635359" w:rsidRPr="00095A16">
        <w:rPr>
          <w:rFonts w:ascii="Times New Roman" w:hAnsi="Times New Roman" w:cs="Times New Roman"/>
          <w:sz w:val="24"/>
          <w:szCs w:val="24"/>
          <w:lang w:val="fr-FR"/>
        </w:rPr>
        <w:t>uartiers</w:t>
      </w:r>
      <w:r w:rsidR="00095A16" w:rsidRPr="00095A16">
        <w:rPr>
          <w:rFonts w:ascii="Times New Roman" w:hAnsi="Times New Roman" w:cs="Times New Roman"/>
          <w:sz w:val="24"/>
          <w:szCs w:val="24"/>
          <w:lang w:val="fr-FR"/>
        </w:rPr>
        <w:t xml:space="preserve">. </w:t>
      </w:r>
    </w:p>
    <w:p w:rsidR="00A777C3" w:rsidRDefault="00635359" w:rsidP="00095A16">
      <w:pPr>
        <w:pStyle w:val="BodyText"/>
        <w:numPr>
          <w:ilvl w:val="0"/>
          <w:numId w:val="8"/>
        </w:numPr>
        <w:jc w:val="both"/>
        <w:rPr>
          <w:rFonts w:ascii="Times New Roman" w:hAnsi="Times New Roman" w:cs="Times New Roman"/>
          <w:sz w:val="24"/>
          <w:szCs w:val="24"/>
          <w:lang w:val="fr-FR"/>
        </w:rPr>
      </w:pPr>
      <w:r w:rsidRPr="00A777C3">
        <w:rPr>
          <w:rFonts w:ascii="Times New Roman" w:hAnsi="Times New Roman" w:cs="Times New Roman"/>
          <w:sz w:val="24"/>
          <w:szCs w:val="24"/>
          <w:lang w:val="fr-FR"/>
        </w:rPr>
        <w:t xml:space="preserve">Le </w:t>
      </w:r>
      <w:r w:rsidR="00A777C3" w:rsidRPr="00A777C3">
        <w:rPr>
          <w:rFonts w:ascii="Times New Roman" w:hAnsi="Times New Roman" w:cs="Times New Roman"/>
          <w:sz w:val="24"/>
          <w:szCs w:val="24"/>
          <w:lang w:val="fr-FR"/>
        </w:rPr>
        <w:t>bâti</w:t>
      </w:r>
      <w:r w:rsidRPr="00A777C3">
        <w:rPr>
          <w:rFonts w:ascii="Times New Roman" w:hAnsi="Times New Roman" w:cs="Times New Roman"/>
          <w:sz w:val="24"/>
          <w:szCs w:val="24"/>
          <w:lang w:val="fr-FR"/>
        </w:rPr>
        <w:t xml:space="preserve"> et les personnes déplacées</w:t>
      </w:r>
      <w:r w:rsidR="00095A16" w:rsidRPr="00A777C3">
        <w:rPr>
          <w:rFonts w:ascii="Times New Roman" w:hAnsi="Times New Roman" w:cs="Times New Roman"/>
          <w:sz w:val="24"/>
          <w:szCs w:val="24"/>
          <w:lang w:val="fr-FR"/>
        </w:rPr>
        <w:t xml:space="preserve">. </w:t>
      </w:r>
    </w:p>
    <w:p w:rsidR="00635359" w:rsidRPr="00A777C3" w:rsidRDefault="00635359" w:rsidP="00095A16">
      <w:pPr>
        <w:pStyle w:val="BodyText"/>
        <w:numPr>
          <w:ilvl w:val="0"/>
          <w:numId w:val="8"/>
        </w:numPr>
        <w:jc w:val="both"/>
        <w:rPr>
          <w:rFonts w:ascii="Times New Roman" w:hAnsi="Times New Roman" w:cs="Times New Roman"/>
          <w:sz w:val="24"/>
          <w:szCs w:val="24"/>
          <w:lang w:val="fr-FR"/>
        </w:rPr>
      </w:pPr>
      <w:r w:rsidRPr="00A777C3">
        <w:rPr>
          <w:rFonts w:ascii="Times New Roman" w:hAnsi="Times New Roman" w:cs="Times New Roman"/>
          <w:sz w:val="24"/>
          <w:szCs w:val="24"/>
          <w:lang w:val="fr-FR"/>
        </w:rPr>
        <w:t xml:space="preserve">Les </w:t>
      </w:r>
      <w:r w:rsidR="00B556DA">
        <w:rPr>
          <w:rFonts w:ascii="Times New Roman" w:hAnsi="Times New Roman" w:cs="Times New Roman"/>
          <w:sz w:val="24"/>
          <w:szCs w:val="24"/>
          <w:lang w:val="fr-FR"/>
        </w:rPr>
        <w:t>p</w:t>
      </w:r>
      <w:r w:rsidRPr="00A777C3">
        <w:rPr>
          <w:rFonts w:ascii="Times New Roman" w:hAnsi="Times New Roman" w:cs="Times New Roman"/>
          <w:sz w:val="24"/>
          <w:szCs w:val="24"/>
          <w:lang w:val="fr-FR"/>
        </w:rPr>
        <w:t>rojets</w:t>
      </w:r>
      <w:r w:rsidR="00B556DA">
        <w:rPr>
          <w:rFonts w:ascii="Times New Roman" w:hAnsi="Times New Roman" w:cs="Times New Roman"/>
          <w:sz w:val="24"/>
          <w:szCs w:val="24"/>
          <w:lang w:val="fr-FR"/>
        </w:rPr>
        <w:t>.</w:t>
      </w:r>
    </w:p>
    <w:p w:rsidR="00635359" w:rsidRDefault="00635359" w:rsidP="00635359">
      <w:pPr>
        <w:pStyle w:val="BodyText"/>
        <w:jc w:val="both"/>
        <w:rPr>
          <w:rFonts w:ascii="Times New Roman" w:hAnsi="Times New Roman" w:cs="Times New Roman"/>
          <w:sz w:val="24"/>
          <w:szCs w:val="24"/>
          <w:lang w:val="fr-FR"/>
        </w:rPr>
      </w:pPr>
      <w:r>
        <w:rPr>
          <w:rFonts w:ascii="Times New Roman" w:hAnsi="Times New Roman" w:cs="Times New Roman"/>
          <w:i/>
          <w:sz w:val="24"/>
          <w:szCs w:val="24"/>
          <w:lang w:val="fr-FR"/>
        </w:rPr>
        <w:t xml:space="preserve"> </w:t>
      </w:r>
      <w:r w:rsidRPr="002B351A">
        <w:rPr>
          <w:rFonts w:ascii="Times New Roman" w:hAnsi="Times New Roman" w:cs="Times New Roman"/>
          <w:sz w:val="24"/>
          <w:szCs w:val="24"/>
          <w:lang w:val="fr-FR"/>
        </w:rPr>
        <w:t>.</w:t>
      </w:r>
    </w:p>
    <w:p w:rsidR="00AF14C0" w:rsidRDefault="00635359" w:rsidP="00AF14C0">
      <w:pPr>
        <w:pStyle w:val="BodyText"/>
        <w:jc w:val="both"/>
        <w:rPr>
          <w:rFonts w:ascii="Times New Roman" w:hAnsi="Times New Roman" w:cs="Times New Roman"/>
          <w:sz w:val="24"/>
          <w:szCs w:val="24"/>
          <w:lang w:val="fr-FR"/>
        </w:rPr>
      </w:pPr>
      <w:r w:rsidRPr="002B351A">
        <w:rPr>
          <w:rFonts w:ascii="Times New Roman" w:hAnsi="Times New Roman" w:cs="Times New Roman"/>
          <w:b/>
          <w:sz w:val="24"/>
          <w:szCs w:val="24"/>
          <w:lang w:val="fr-FR"/>
        </w:rPr>
        <w:t>Renforcement des capacités du CNIGS</w:t>
      </w:r>
      <w:r w:rsidR="00760D2B">
        <w:rPr>
          <w:rFonts w:ascii="Times New Roman" w:hAnsi="Times New Roman" w:cs="Times New Roman"/>
          <w:b/>
          <w:sz w:val="24"/>
          <w:szCs w:val="24"/>
          <w:lang w:val="fr-FR"/>
        </w:rPr>
        <w:t xml:space="preserve"> : </w:t>
      </w:r>
      <w:r w:rsidRPr="00095A16">
        <w:rPr>
          <w:rFonts w:ascii="Times New Roman" w:hAnsi="Times New Roman" w:cs="Times New Roman"/>
          <w:sz w:val="24"/>
          <w:szCs w:val="24"/>
          <w:lang w:val="fr-FR"/>
        </w:rPr>
        <w:t xml:space="preserve">Au niveau du CNIGS la mise en œuvre de la composante 2 a fortement </w:t>
      </w:r>
      <w:r w:rsidR="00B556DA" w:rsidRPr="00095A16">
        <w:rPr>
          <w:rFonts w:ascii="Times New Roman" w:hAnsi="Times New Roman" w:cs="Times New Roman"/>
          <w:sz w:val="24"/>
          <w:szCs w:val="24"/>
          <w:lang w:val="fr-FR"/>
        </w:rPr>
        <w:t>contribué</w:t>
      </w:r>
      <w:r w:rsidRPr="00095A16">
        <w:rPr>
          <w:rFonts w:ascii="Times New Roman" w:hAnsi="Times New Roman" w:cs="Times New Roman"/>
          <w:sz w:val="24"/>
          <w:szCs w:val="24"/>
          <w:lang w:val="fr-FR"/>
        </w:rPr>
        <w:t xml:space="preserve"> au renforcement des capacités de l’institution. </w:t>
      </w:r>
      <w:r w:rsidR="00AF2036">
        <w:rPr>
          <w:rFonts w:ascii="Times New Roman" w:hAnsi="Times New Roman" w:cs="Times New Roman"/>
          <w:sz w:val="24"/>
          <w:szCs w:val="24"/>
          <w:lang w:val="fr-FR"/>
        </w:rPr>
        <w:t>L</w:t>
      </w:r>
      <w:r w:rsidR="00B556DA">
        <w:rPr>
          <w:rFonts w:ascii="Times New Roman" w:hAnsi="Times New Roman" w:cs="Times New Roman"/>
          <w:sz w:val="24"/>
          <w:szCs w:val="24"/>
          <w:lang w:val="fr-FR"/>
        </w:rPr>
        <w:t xml:space="preserve">’année 2013 </w:t>
      </w:r>
      <w:r w:rsidRPr="00095A16">
        <w:rPr>
          <w:rFonts w:ascii="Times New Roman" w:hAnsi="Times New Roman" w:cs="Times New Roman"/>
          <w:sz w:val="24"/>
          <w:szCs w:val="24"/>
          <w:lang w:val="fr-FR"/>
        </w:rPr>
        <w:t xml:space="preserve">a surtout été oriente vers la formation du staff technique du CNIGS a l’usage et </w:t>
      </w:r>
      <w:r w:rsidR="00095A16" w:rsidRPr="00095A16">
        <w:rPr>
          <w:rFonts w:ascii="Times New Roman" w:hAnsi="Times New Roman" w:cs="Times New Roman"/>
          <w:sz w:val="24"/>
          <w:szCs w:val="24"/>
          <w:lang w:val="fr-FR"/>
        </w:rPr>
        <w:t>à</w:t>
      </w:r>
      <w:r w:rsidRPr="00095A16">
        <w:rPr>
          <w:rFonts w:ascii="Times New Roman" w:hAnsi="Times New Roman" w:cs="Times New Roman"/>
          <w:sz w:val="24"/>
          <w:szCs w:val="24"/>
          <w:lang w:val="fr-FR"/>
        </w:rPr>
        <w:t xml:space="preserve"> la maitrise des outils et du matériel acquis et reçu en fin d’année 2012.</w:t>
      </w:r>
      <w:r w:rsidR="00AF14C0">
        <w:rPr>
          <w:rFonts w:ascii="Times New Roman" w:hAnsi="Times New Roman" w:cs="Times New Roman"/>
          <w:sz w:val="24"/>
          <w:szCs w:val="24"/>
          <w:lang w:val="fr-FR"/>
        </w:rPr>
        <w:t xml:space="preserve"> </w:t>
      </w:r>
      <w:r w:rsidRPr="00AF14C0">
        <w:rPr>
          <w:rFonts w:ascii="Times New Roman" w:hAnsi="Times New Roman" w:cs="Times New Roman"/>
          <w:sz w:val="24"/>
          <w:szCs w:val="24"/>
          <w:lang w:val="fr-FR"/>
        </w:rPr>
        <w:t>L’</w:t>
      </w:r>
      <w:r w:rsidR="00AF14C0" w:rsidRPr="00AF14C0">
        <w:rPr>
          <w:rFonts w:ascii="Times New Roman" w:hAnsi="Times New Roman" w:cs="Times New Roman"/>
          <w:sz w:val="24"/>
          <w:szCs w:val="24"/>
          <w:lang w:val="fr-FR"/>
        </w:rPr>
        <w:t>équipe</w:t>
      </w:r>
      <w:r w:rsidRPr="00AF14C0">
        <w:rPr>
          <w:rFonts w:ascii="Times New Roman" w:hAnsi="Times New Roman" w:cs="Times New Roman"/>
          <w:sz w:val="24"/>
          <w:szCs w:val="24"/>
          <w:lang w:val="fr-FR"/>
        </w:rPr>
        <w:t xml:space="preserve"> de développement et de production de la plateforme a été forme </w:t>
      </w:r>
      <w:r w:rsidR="00AF14C0" w:rsidRPr="00AF14C0">
        <w:rPr>
          <w:rFonts w:ascii="Times New Roman" w:hAnsi="Times New Roman" w:cs="Times New Roman"/>
          <w:sz w:val="24"/>
          <w:szCs w:val="24"/>
          <w:lang w:val="fr-FR"/>
        </w:rPr>
        <w:t>sur les standards, les concepts et</w:t>
      </w:r>
      <w:r w:rsidRPr="00AF14C0">
        <w:rPr>
          <w:rFonts w:ascii="Times New Roman" w:hAnsi="Times New Roman" w:cs="Times New Roman"/>
          <w:sz w:val="24"/>
          <w:szCs w:val="24"/>
          <w:lang w:val="fr-FR"/>
        </w:rPr>
        <w:t xml:space="preserve"> l’usage des langages de programmation en </w:t>
      </w:r>
      <w:proofErr w:type="spellStart"/>
      <w:r w:rsidRPr="00AF14C0">
        <w:rPr>
          <w:rFonts w:ascii="Times New Roman" w:hAnsi="Times New Roman" w:cs="Times New Roman"/>
          <w:sz w:val="24"/>
          <w:szCs w:val="24"/>
          <w:lang w:val="fr-FR"/>
        </w:rPr>
        <w:t>webmapping</w:t>
      </w:r>
      <w:proofErr w:type="spellEnd"/>
      <w:r w:rsidRPr="00AF14C0">
        <w:rPr>
          <w:rFonts w:ascii="Times New Roman" w:hAnsi="Times New Roman" w:cs="Times New Roman"/>
          <w:sz w:val="24"/>
          <w:szCs w:val="24"/>
          <w:lang w:val="fr-FR"/>
        </w:rPr>
        <w:t>.</w:t>
      </w:r>
      <w:r w:rsidR="00B556DA" w:rsidRPr="00AF14C0">
        <w:rPr>
          <w:rFonts w:ascii="Times New Roman" w:hAnsi="Times New Roman" w:cs="Times New Roman"/>
          <w:sz w:val="24"/>
          <w:szCs w:val="24"/>
          <w:lang w:val="fr-FR"/>
        </w:rPr>
        <w:t xml:space="preserve"> </w:t>
      </w:r>
    </w:p>
    <w:p w:rsidR="00635359" w:rsidRPr="002B351A" w:rsidRDefault="00635359" w:rsidP="00095A16">
      <w:pPr>
        <w:pStyle w:val="BodyText"/>
        <w:jc w:val="both"/>
        <w:rPr>
          <w:rFonts w:ascii="Times New Roman" w:hAnsi="Times New Roman" w:cs="Times New Roman"/>
          <w:sz w:val="24"/>
          <w:szCs w:val="24"/>
          <w:lang w:val="fr-FR"/>
        </w:rPr>
      </w:pPr>
    </w:p>
    <w:p w:rsidR="00635359" w:rsidRDefault="00635359" w:rsidP="00095A16">
      <w:pPr>
        <w:jc w:val="both"/>
        <w:rPr>
          <w:lang w:val="fr-FR" w:eastAsia="fr-FR"/>
        </w:rPr>
      </w:pPr>
      <w:r w:rsidRPr="002B351A">
        <w:rPr>
          <w:b/>
          <w:lang w:val="fr-FR" w:eastAsia="fr-FR"/>
        </w:rPr>
        <w:t>Réseau d’utilisateurs et de producteurs de données géographiques :</w:t>
      </w:r>
      <w:r w:rsidR="00760D2B">
        <w:rPr>
          <w:b/>
          <w:lang w:val="fr-FR" w:eastAsia="fr-FR"/>
        </w:rPr>
        <w:t xml:space="preserve"> </w:t>
      </w:r>
      <w:r>
        <w:rPr>
          <w:lang w:val="fr-FR" w:eastAsia="fr-FR"/>
        </w:rPr>
        <w:t xml:space="preserve">L’UCLBP a </w:t>
      </w:r>
      <w:r w:rsidR="00095A16">
        <w:rPr>
          <w:lang w:val="fr-FR" w:eastAsia="fr-FR"/>
        </w:rPr>
        <w:t>joué</w:t>
      </w:r>
      <w:r>
        <w:rPr>
          <w:lang w:val="fr-FR" w:eastAsia="fr-FR"/>
        </w:rPr>
        <w:t xml:space="preserve"> au cours de l’année 2013 un rôle primordial dans l’animation du </w:t>
      </w:r>
      <w:r w:rsidR="00095A16">
        <w:rPr>
          <w:lang w:val="fr-FR" w:eastAsia="fr-FR"/>
        </w:rPr>
        <w:t>réseau</w:t>
      </w:r>
      <w:r>
        <w:rPr>
          <w:lang w:val="fr-FR" w:eastAsia="fr-FR"/>
        </w:rPr>
        <w:t xml:space="preserve"> d’utilisateurs et de producteurs en faisant </w:t>
      </w:r>
      <w:r>
        <w:rPr>
          <w:lang w:val="fr-FR" w:eastAsia="fr-FR"/>
        </w:rPr>
        <w:lastRenderedPageBreak/>
        <w:t>connaitre a tous ses partenaires l’existence de la plateforme et l’</w:t>
      </w:r>
      <w:r w:rsidR="00095A16">
        <w:rPr>
          <w:lang w:val="fr-FR" w:eastAsia="fr-FR"/>
        </w:rPr>
        <w:t>intérêt</w:t>
      </w:r>
      <w:r>
        <w:rPr>
          <w:lang w:val="fr-FR" w:eastAsia="fr-FR"/>
        </w:rPr>
        <w:t xml:space="preserve"> pour tous de partager les </w:t>
      </w:r>
      <w:r w:rsidR="00095A16">
        <w:rPr>
          <w:lang w:val="fr-FR" w:eastAsia="fr-FR"/>
        </w:rPr>
        <w:t>données</w:t>
      </w:r>
      <w:r>
        <w:rPr>
          <w:lang w:val="fr-FR" w:eastAsia="fr-FR"/>
        </w:rPr>
        <w:t xml:space="preserve"> et ainsi </w:t>
      </w:r>
      <w:r w:rsidR="00095A16">
        <w:rPr>
          <w:lang w:val="fr-FR" w:eastAsia="fr-FR"/>
        </w:rPr>
        <w:t>d’avoir une plateforme centrale.</w:t>
      </w:r>
    </w:p>
    <w:p w:rsidR="00635359" w:rsidRDefault="00635359" w:rsidP="00635359">
      <w:pPr>
        <w:ind w:left="360"/>
        <w:jc w:val="both"/>
        <w:rPr>
          <w:lang w:val="fr-FR" w:eastAsia="fr-FR"/>
        </w:rPr>
      </w:pPr>
      <w:r>
        <w:rPr>
          <w:lang w:val="fr-FR" w:eastAsia="fr-FR"/>
        </w:rPr>
        <w:t xml:space="preserve"> </w:t>
      </w:r>
    </w:p>
    <w:p w:rsidR="0056447A" w:rsidRPr="00FD4F03" w:rsidRDefault="00635359" w:rsidP="00951B5F">
      <w:pPr>
        <w:pStyle w:val="BodyText"/>
        <w:jc w:val="both"/>
        <w:rPr>
          <w:rFonts w:ascii="Times New Roman" w:hAnsi="Times New Roman" w:cs="Times New Roman"/>
          <w:sz w:val="24"/>
          <w:szCs w:val="24"/>
          <w:lang w:val="fr-FR"/>
        </w:rPr>
      </w:pPr>
      <w:r w:rsidRPr="00FD4F03">
        <w:rPr>
          <w:rFonts w:ascii="Times New Roman" w:hAnsi="Times New Roman" w:cs="Times New Roman"/>
          <w:b/>
          <w:sz w:val="24"/>
          <w:szCs w:val="24"/>
          <w:lang w:val="fr-FR"/>
        </w:rPr>
        <w:t>Compilation et mise à disposition de données et services d'appui aux agences et partenaires de la reconstruction</w:t>
      </w:r>
      <w:r w:rsidR="00BC7B73">
        <w:rPr>
          <w:rFonts w:ascii="Times New Roman" w:hAnsi="Times New Roman" w:cs="Times New Roman"/>
          <w:b/>
          <w:sz w:val="24"/>
          <w:szCs w:val="24"/>
          <w:lang w:val="fr-FR"/>
        </w:rPr>
        <w:t xml:space="preserve"> : </w:t>
      </w:r>
      <w:r w:rsidR="0056447A" w:rsidRPr="00FD4F03">
        <w:rPr>
          <w:rFonts w:ascii="Times New Roman" w:hAnsi="Times New Roman" w:cs="Times New Roman"/>
          <w:sz w:val="24"/>
          <w:szCs w:val="24"/>
          <w:lang w:val="fr-FR"/>
        </w:rPr>
        <w:t xml:space="preserve">Le CNIGS a poursuivi ses efforts pour fournir des informations </w:t>
      </w:r>
      <w:proofErr w:type="spellStart"/>
      <w:r w:rsidR="0056447A" w:rsidRPr="00FD4F03">
        <w:rPr>
          <w:rFonts w:ascii="Times New Roman" w:hAnsi="Times New Roman" w:cs="Times New Roman"/>
          <w:sz w:val="24"/>
          <w:szCs w:val="24"/>
          <w:lang w:val="fr-FR"/>
        </w:rPr>
        <w:t>georéférenciées</w:t>
      </w:r>
      <w:proofErr w:type="spellEnd"/>
      <w:r w:rsidR="0056447A" w:rsidRPr="00FD4F03">
        <w:rPr>
          <w:rFonts w:ascii="Times New Roman" w:hAnsi="Times New Roman" w:cs="Times New Roman"/>
          <w:sz w:val="24"/>
          <w:szCs w:val="24"/>
          <w:lang w:val="fr-FR"/>
        </w:rPr>
        <w:t xml:space="preserve"> actualisées à l’ensemble de partenaires de la reconstruction et pour devenir le point focal pour la centralisation des bases de</w:t>
      </w:r>
      <w:r w:rsidR="00FD4F03" w:rsidRPr="00FD4F03">
        <w:rPr>
          <w:rFonts w:ascii="Times New Roman" w:hAnsi="Times New Roman" w:cs="Times New Roman"/>
          <w:sz w:val="24"/>
          <w:szCs w:val="24"/>
          <w:lang w:val="fr-FR"/>
        </w:rPr>
        <w:t>s</w:t>
      </w:r>
      <w:r w:rsidR="0056447A" w:rsidRPr="00FD4F03">
        <w:rPr>
          <w:rFonts w:ascii="Times New Roman" w:hAnsi="Times New Roman" w:cs="Times New Roman"/>
          <w:sz w:val="24"/>
          <w:szCs w:val="24"/>
          <w:lang w:val="fr-FR"/>
        </w:rPr>
        <w:t xml:space="preserve"> </w:t>
      </w:r>
      <w:r w:rsidR="00FD4F03" w:rsidRPr="00FD4F03">
        <w:rPr>
          <w:rFonts w:ascii="Times New Roman" w:hAnsi="Times New Roman" w:cs="Times New Roman"/>
          <w:sz w:val="24"/>
          <w:szCs w:val="24"/>
          <w:lang w:val="fr-FR"/>
        </w:rPr>
        <w:t>données</w:t>
      </w:r>
      <w:r w:rsidR="0056447A" w:rsidRPr="00FD4F03">
        <w:rPr>
          <w:rFonts w:ascii="Times New Roman" w:hAnsi="Times New Roman" w:cs="Times New Roman"/>
          <w:sz w:val="24"/>
          <w:szCs w:val="24"/>
          <w:lang w:val="fr-FR"/>
        </w:rPr>
        <w:t xml:space="preserve"> cartographiques produites </w:t>
      </w:r>
      <w:r w:rsidR="00FD4F03" w:rsidRPr="00FD4F03">
        <w:rPr>
          <w:rFonts w:ascii="Times New Roman" w:hAnsi="Times New Roman" w:cs="Times New Roman"/>
          <w:sz w:val="24"/>
          <w:szCs w:val="24"/>
          <w:lang w:val="fr-FR"/>
        </w:rPr>
        <w:t>dans le pays.</w:t>
      </w:r>
    </w:p>
    <w:p w:rsidR="00635359" w:rsidRDefault="00635359" w:rsidP="00635359">
      <w:pPr>
        <w:pStyle w:val="BodyText"/>
        <w:tabs>
          <w:tab w:val="left" w:pos="0"/>
        </w:tabs>
        <w:jc w:val="both"/>
        <w:rPr>
          <w:rFonts w:ascii="Times New Roman" w:hAnsi="Times New Roman" w:cs="Times New Roman"/>
          <w:b/>
          <w:bCs/>
          <w:sz w:val="24"/>
          <w:szCs w:val="24"/>
          <w:lang w:val="fr-FR"/>
        </w:rPr>
      </w:pPr>
    </w:p>
    <w:p w:rsidR="00635359" w:rsidRDefault="00635359" w:rsidP="00635359">
      <w:pPr>
        <w:pStyle w:val="BodyText"/>
        <w:tabs>
          <w:tab w:val="left" w:pos="0"/>
        </w:tabs>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Produits</w:t>
      </w:r>
    </w:p>
    <w:p w:rsidR="00951B5F" w:rsidRDefault="00951B5F" w:rsidP="00951B5F">
      <w:pPr>
        <w:pStyle w:val="BodyText"/>
        <w:jc w:val="both"/>
        <w:rPr>
          <w:rFonts w:ascii="Times New Roman" w:hAnsi="Times New Roman"/>
          <w:sz w:val="24"/>
          <w:lang w:val="fr-FR"/>
        </w:rPr>
      </w:pPr>
    </w:p>
    <w:p w:rsidR="00951B5F" w:rsidRPr="00C12E34" w:rsidRDefault="00951B5F" w:rsidP="00951B5F">
      <w:pPr>
        <w:pStyle w:val="BodyText"/>
        <w:jc w:val="both"/>
        <w:rPr>
          <w:rFonts w:ascii="Times New Roman" w:hAnsi="Times New Roman"/>
          <w:sz w:val="24"/>
          <w:lang w:val="fr-FR"/>
        </w:rPr>
      </w:pPr>
      <w:r>
        <w:rPr>
          <w:rFonts w:ascii="Times New Roman" w:hAnsi="Times New Roman"/>
          <w:sz w:val="24"/>
          <w:lang w:val="fr-FR"/>
        </w:rPr>
        <w:t>Plusieurs produits dans le cadre du projet SILQ ont été livres</w:t>
      </w:r>
      <w:r w:rsidRPr="00C12E34">
        <w:rPr>
          <w:rFonts w:ascii="Times New Roman" w:hAnsi="Times New Roman"/>
          <w:sz w:val="24"/>
          <w:lang w:val="fr-FR"/>
        </w:rPr>
        <w:t xml:space="preserve"> :</w:t>
      </w:r>
    </w:p>
    <w:p w:rsidR="00951B5F" w:rsidRPr="00C12E34" w:rsidRDefault="00951B5F" w:rsidP="00951B5F">
      <w:pPr>
        <w:pStyle w:val="BodyText"/>
        <w:ind w:left="720"/>
        <w:rPr>
          <w:rFonts w:ascii="Times New Roman" w:hAnsi="Times New Roman"/>
          <w:sz w:val="24"/>
          <w:lang w:val="fr-FR"/>
        </w:rPr>
      </w:pPr>
    </w:p>
    <w:p w:rsidR="00951B5F" w:rsidRPr="00C12E34" w:rsidRDefault="00951B5F" w:rsidP="00951B5F">
      <w:pPr>
        <w:pStyle w:val="BodyText"/>
        <w:numPr>
          <w:ilvl w:val="2"/>
          <w:numId w:val="28"/>
        </w:numPr>
        <w:ind w:left="720"/>
        <w:jc w:val="both"/>
        <w:rPr>
          <w:rFonts w:ascii="Times New Roman" w:hAnsi="Times New Roman"/>
          <w:sz w:val="24"/>
          <w:lang w:val="fr-FR"/>
        </w:rPr>
      </w:pPr>
      <w:r>
        <w:rPr>
          <w:rFonts w:ascii="Times New Roman" w:hAnsi="Times New Roman"/>
          <w:sz w:val="24"/>
          <w:lang w:val="fr-FR"/>
        </w:rPr>
        <w:t>Le SILQ a été mis en ligne et accessibl</w:t>
      </w:r>
      <w:r w:rsidR="00AF2036">
        <w:rPr>
          <w:rFonts w:ascii="Times New Roman" w:hAnsi="Times New Roman"/>
          <w:sz w:val="24"/>
          <w:lang w:val="fr-FR"/>
        </w:rPr>
        <w:t xml:space="preserve">e au grand public via internet </w:t>
      </w:r>
      <w:r>
        <w:rPr>
          <w:rFonts w:ascii="Times New Roman" w:hAnsi="Times New Roman"/>
          <w:sz w:val="24"/>
          <w:lang w:val="fr-FR"/>
        </w:rPr>
        <w:t>à partir du site web du CNIGS</w:t>
      </w:r>
      <w:r w:rsidRPr="00C12E34">
        <w:rPr>
          <w:rFonts w:ascii="Times New Roman" w:hAnsi="Times New Roman"/>
          <w:sz w:val="24"/>
          <w:lang w:val="fr-FR"/>
        </w:rPr>
        <w:t>.</w:t>
      </w:r>
      <w:r w:rsidR="00DB4413">
        <w:rPr>
          <w:rFonts w:ascii="Times New Roman" w:hAnsi="Times New Roman"/>
          <w:sz w:val="24"/>
          <w:lang w:val="fr-FR"/>
        </w:rPr>
        <w:t xml:space="preserve"> </w:t>
      </w:r>
      <w:r>
        <w:rPr>
          <w:rFonts w:ascii="Times New Roman" w:hAnsi="Times New Roman"/>
          <w:sz w:val="24"/>
          <w:lang w:val="fr-FR"/>
        </w:rPr>
        <w:t xml:space="preserve">La plateforme intègre les données reçues de la composante 1 et d’autres partenaires qui peuvent </w:t>
      </w:r>
      <w:r w:rsidR="00AF14C0">
        <w:rPr>
          <w:rFonts w:ascii="Times New Roman" w:hAnsi="Times New Roman"/>
          <w:sz w:val="24"/>
          <w:lang w:val="fr-FR"/>
        </w:rPr>
        <w:t>être</w:t>
      </w:r>
      <w:r>
        <w:rPr>
          <w:rFonts w:ascii="Times New Roman" w:hAnsi="Times New Roman"/>
          <w:sz w:val="24"/>
          <w:lang w:val="fr-FR"/>
        </w:rPr>
        <w:t xml:space="preserve"> </w:t>
      </w:r>
      <w:r w:rsidR="00AF14C0">
        <w:rPr>
          <w:rFonts w:ascii="Times New Roman" w:hAnsi="Times New Roman"/>
          <w:sz w:val="24"/>
          <w:lang w:val="fr-FR"/>
        </w:rPr>
        <w:t>visualisées</w:t>
      </w:r>
      <w:r>
        <w:rPr>
          <w:rFonts w:ascii="Times New Roman" w:hAnsi="Times New Roman"/>
          <w:sz w:val="24"/>
          <w:lang w:val="fr-FR"/>
        </w:rPr>
        <w:t xml:space="preserve"> et </w:t>
      </w:r>
      <w:r w:rsidR="00AF14C0">
        <w:rPr>
          <w:rFonts w:ascii="Times New Roman" w:hAnsi="Times New Roman"/>
          <w:sz w:val="24"/>
          <w:lang w:val="fr-FR"/>
        </w:rPr>
        <w:t>interrogées</w:t>
      </w:r>
      <w:r>
        <w:rPr>
          <w:rFonts w:ascii="Times New Roman" w:hAnsi="Times New Roman"/>
          <w:sz w:val="24"/>
          <w:lang w:val="fr-FR"/>
        </w:rPr>
        <w:t xml:space="preserve">. Un important travail de sensibilisation du public est </w:t>
      </w:r>
      <w:r w:rsidR="00AF14C0">
        <w:rPr>
          <w:rFonts w:ascii="Times New Roman" w:hAnsi="Times New Roman"/>
          <w:sz w:val="24"/>
          <w:lang w:val="fr-FR"/>
        </w:rPr>
        <w:t>prévu pour 2014</w:t>
      </w:r>
      <w:r>
        <w:rPr>
          <w:rFonts w:ascii="Times New Roman" w:hAnsi="Times New Roman"/>
          <w:sz w:val="24"/>
          <w:lang w:val="fr-FR"/>
        </w:rPr>
        <w:t xml:space="preserve"> pour faire connaitre le produit en ligne et par la </w:t>
      </w:r>
      <w:r w:rsidR="00AF14C0">
        <w:rPr>
          <w:rFonts w:ascii="Times New Roman" w:hAnsi="Times New Roman"/>
          <w:sz w:val="24"/>
          <w:lang w:val="fr-FR"/>
        </w:rPr>
        <w:t>même</w:t>
      </w:r>
      <w:r>
        <w:rPr>
          <w:rFonts w:ascii="Times New Roman" w:hAnsi="Times New Roman"/>
          <w:sz w:val="24"/>
          <w:lang w:val="fr-FR"/>
        </w:rPr>
        <w:t xml:space="preserve"> occasion de renforcer le </w:t>
      </w:r>
      <w:r w:rsidR="00AF14C0">
        <w:rPr>
          <w:rFonts w:ascii="Times New Roman" w:hAnsi="Times New Roman"/>
          <w:sz w:val="24"/>
          <w:lang w:val="fr-FR"/>
        </w:rPr>
        <w:t>réseau</w:t>
      </w:r>
      <w:r>
        <w:rPr>
          <w:rFonts w:ascii="Times New Roman" w:hAnsi="Times New Roman"/>
          <w:sz w:val="24"/>
          <w:lang w:val="fr-FR"/>
        </w:rPr>
        <w:t xml:space="preserve"> des utilisateurs et des producteurs de </w:t>
      </w:r>
      <w:r w:rsidR="00AF14C0">
        <w:rPr>
          <w:rFonts w:ascii="Times New Roman" w:hAnsi="Times New Roman"/>
          <w:sz w:val="24"/>
          <w:lang w:val="fr-FR"/>
        </w:rPr>
        <w:t>données</w:t>
      </w:r>
      <w:r>
        <w:rPr>
          <w:rFonts w:ascii="Times New Roman" w:hAnsi="Times New Roman"/>
          <w:sz w:val="24"/>
          <w:lang w:val="fr-FR"/>
        </w:rPr>
        <w:t xml:space="preserve">  </w:t>
      </w:r>
    </w:p>
    <w:p w:rsidR="00951B5F" w:rsidRPr="004B1AF3" w:rsidRDefault="00951B5F" w:rsidP="00951B5F">
      <w:pPr>
        <w:pStyle w:val="BodyText"/>
        <w:numPr>
          <w:ilvl w:val="2"/>
          <w:numId w:val="28"/>
        </w:numPr>
        <w:ind w:left="720"/>
        <w:jc w:val="both"/>
        <w:rPr>
          <w:rFonts w:ascii="Times New Roman" w:hAnsi="Times New Roman"/>
          <w:sz w:val="24"/>
          <w:lang w:val="fr-FR"/>
        </w:rPr>
      </w:pPr>
      <w:r>
        <w:rPr>
          <w:rFonts w:ascii="Times New Roman" w:hAnsi="Times New Roman"/>
          <w:sz w:val="24"/>
          <w:lang w:val="fr-FR"/>
        </w:rPr>
        <w:t>Le travail de délimitation des quartiers des communes pilotes du SILQ qui avait ét</w:t>
      </w:r>
      <w:r w:rsidR="00AF14C0">
        <w:rPr>
          <w:rFonts w:ascii="Times New Roman" w:hAnsi="Times New Roman"/>
          <w:sz w:val="24"/>
          <w:lang w:val="fr-FR"/>
        </w:rPr>
        <w:t xml:space="preserve">é </w:t>
      </w:r>
      <w:r w:rsidR="00AF2036">
        <w:rPr>
          <w:rFonts w:ascii="Times New Roman" w:hAnsi="Times New Roman"/>
          <w:sz w:val="24"/>
          <w:lang w:val="fr-FR"/>
        </w:rPr>
        <w:t>entamé</w:t>
      </w:r>
      <w:r w:rsidR="00AF14C0">
        <w:rPr>
          <w:rFonts w:ascii="Times New Roman" w:hAnsi="Times New Roman"/>
          <w:sz w:val="24"/>
          <w:lang w:val="fr-FR"/>
        </w:rPr>
        <w:t xml:space="preserve"> au cours de l’année </w:t>
      </w:r>
      <w:r>
        <w:rPr>
          <w:rFonts w:ascii="Times New Roman" w:hAnsi="Times New Roman"/>
          <w:sz w:val="24"/>
          <w:lang w:val="fr-FR"/>
        </w:rPr>
        <w:t xml:space="preserve">2012 s’est poursuivi au cours de </w:t>
      </w:r>
      <w:r w:rsidR="00AF14C0">
        <w:rPr>
          <w:rFonts w:ascii="Times New Roman" w:hAnsi="Times New Roman"/>
          <w:sz w:val="24"/>
          <w:lang w:val="fr-FR"/>
        </w:rPr>
        <w:t>2013</w:t>
      </w:r>
      <w:r w:rsidRPr="00C12E34">
        <w:rPr>
          <w:rFonts w:ascii="Times New Roman" w:hAnsi="Times New Roman"/>
          <w:sz w:val="24"/>
          <w:lang w:val="fr-FR"/>
        </w:rPr>
        <w:t>.</w:t>
      </w:r>
      <w:r w:rsidR="00AC6617">
        <w:rPr>
          <w:rFonts w:ascii="Times New Roman" w:hAnsi="Times New Roman"/>
          <w:sz w:val="24"/>
          <w:lang w:val="fr-FR"/>
        </w:rPr>
        <w:t xml:space="preserve"> </w:t>
      </w:r>
      <w:r>
        <w:rPr>
          <w:rFonts w:ascii="Times New Roman" w:hAnsi="Times New Roman"/>
          <w:sz w:val="24"/>
          <w:lang w:val="fr-FR"/>
        </w:rPr>
        <w:t xml:space="preserve">Il est important de considérer que ce travail de délimitation des quartiers doit servir </w:t>
      </w:r>
      <w:r w:rsidR="00AF14C0">
        <w:rPr>
          <w:rFonts w:ascii="Times New Roman" w:hAnsi="Times New Roman"/>
          <w:sz w:val="24"/>
          <w:lang w:val="fr-FR"/>
        </w:rPr>
        <w:t>à</w:t>
      </w:r>
      <w:r>
        <w:rPr>
          <w:rFonts w:ascii="Times New Roman" w:hAnsi="Times New Roman"/>
          <w:sz w:val="24"/>
          <w:lang w:val="fr-FR"/>
        </w:rPr>
        <w:t xml:space="preserve"> terme </w:t>
      </w:r>
      <w:r w:rsidR="00AF14C0">
        <w:rPr>
          <w:rFonts w:ascii="Times New Roman" w:hAnsi="Times New Roman"/>
          <w:sz w:val="24"/>
          <w:lang w:val="fr-FR"/>
        </w:rPr>
        <w:t>à</w:t>
      </w:r>
      <w:r>
        <w:rPr>
          <w:rFonts w:ascii="Times New Roman" w:hAnsi="Times New Roman"/>
          <w:sz w:val="24"/>
          <w:lang w:val="fr-FR"/>
        </w:rPr>
        <w:t xml:space="preserve"> produire un </w:t>
      </w:r>
      <w:r w:rsidR="00AF14C0">
        <w:rPr>
          <w:rFonts w:ascii="Times New Roman" w:hAnsi="Times New Roman"/>
          <w:sz w:val="24"/>
          <w:lang w:val="fr-FR"/>
        </w:rPr>
        <w:t xml:space="preserve">atlas urbain </w:t>
      </w:r>
      <w:r>
        <w:rPr>
          <w:rFonts w:ascii="Times New Roman" w:hAnsi="Times New Roman"/>
          <w:sz w:val="24"/>
          <w:lang w:val="fr-FR"/>
        </w:rPr>
        <w:t>de la zone pilote du SILQ.</w:t>
      </w:r>
      <w:r w:rsidR="00AC6617">
        <w:rPr>
          <w:rFonts w:ascii="Times New Roman" w:hAnsi="Times New Roman"/>
          <w:sz w:val="24"/>
          <w:lang w:val="fr-FR"/>
        </w:rPr>
        <w:t xml:space="preserve"> </w:t>
      </w:r>
      <w:r>
        <w:rPr>
          <w:rFonts w:ascii="Times New Roman" w:hAnsi="Times New Roman"/>
          <w:sz w:val="24"/>
          <w:lang w:val="fr-FR"/>
        </w:rPr>
        <w:t xml:space="preserve">En plus du travail de </w:t>
      </w:r>
      <w:r w:rsidR="005B1F90">
        <w:rPr>
          <w:rFonts w:ascii="Times New Roman" w:hAnsi="Times New Roman"/>
          <w:sz w:val="24"/>
          <w:lang w:val="fr-FR"/>
        </w:rPr>
        <w:t>délimitations</w:t>
      </w:r>
      <w:r>
        <w:rPr>
          <w:rFonts w:ascii="Times New Roman" w:hAnsi="Times New Roman"/>
          <w:sz w:val="24"/>
          <w:lang w:val="fr-FR"/>
        </w:rPr>
        <w:t xml:space="preserve"> des quartiers le CNIGS a </w:t>
      </w:r>
      <w:r w:rsidR="005B1F90">
        <w:rPr>
          <w:rFonts w:ascii="Times New Roman" w:hAnsi="Times New Roman"/>
          <w:sz w:val="24"/>
          <w:lang w:val="fr-FR"/>
        </w:rPr>
        <w:t>procédé</w:t>
      </w:r>
      <w:r>
        <w:rPr>
          <w:rFonts w:ascii="Times New Roman" w:hAnsi="Times New Roman"/>
          <w:sz w:val="24"/>
          <w:lang w:val="fr-FR"/>
        </w:rPr>
        <w:t xml:space="preserve"> </w:t>
      </w:r>
      <w:r w:rsidR="00AF2036">
        <w:rPr>
          <w:rFonts w:ascii="Times New Roman" w:hAnsi="Times New Roman"/>
          <w:sz w:val="24"/>
          <w:lang w:val="fr-FR"/>
        </w:rPr>
        <w:t>à</w:t>
      </w:r>
      <w:r>
        <w:rPr>
          <w:rFonts w:ascii="Times New Roman" w:hAnsi="Times New Roman"/>
          <w:sz w:val="24"/>
          <w:lang w:val="fr-FR"/>
        </w:rPr>
        <w:t xml:space="preserve"> la collecte des </w:t>
      </w:r>
      <w:r w:rsidR="005B1F90">
        <w:rPr>
          <w:rFonts w:ascii="Times New Roman" w:hAnsi="Times New Roman"/>
          <w:sz w:val="24"/>
          <w:lang w:val="fr-FR"/>
        </w:rPr>
        <w:t>données</w:t>
      </w:r>
      <w:r>
        <w:rPr>
          <w:rFonts w:ascii="Times New Roman" w:hAnsi="Times New Roman"/>
          <w:sz w:val="24"/>
          <w:lang w:val="fr-FR"/>
        </w:rPr>
        <w:t xml:space="preserve"> sur les infrastructures (centre</w:t>
      </w:r>
      <w:r w:rsidR="005B1F90">
        <w:rPr>
          <w:rFonts w:ascii="Times New Roman" w:hAnsi="Times New Roman"/>
          <w:sz w:val="24"/>
          <w:lang w:val="fr-FR"/>
        </w:rPr>
        <w:t>s</w:t>
      </w:r>
      <w:r>
        <w:rPr>
          <w:rFonts w:ascii="Times New Roman" w:hAnsi="Times New Roman"/>
          <w:sz w:val="24"/>
          <w:lang w:val="fr-FR"/>
        </w:rPr>
        <w:t xml:space="preserve"> de </w:t>
      </w:r>
      <w:r w:rsidR="005B1F90">
        <w:rPr>
          <w:rFonts w:ascii="Times New Roman" w:hAnsi="Times New Roman"/>
          <w:sz w:val="24"/>
          <w:lang w:val="fr-FR"/>
        </w:rPr>
        <w:t>santé</w:t>
      </w:r>
      <w:r>
        <w:rPr>
          <w:rFonts w:ascii="Times New Roman" w:hAnsi="Times New Roman"/>
          <w:sz w:val="24"/>
          <w:lang w:val="fr-FR"/>
        </w:rPr>
        <w:t>,</w:t>
      </w:r>
      <w:r w:rsidR="00AC6617">
        <w:rPr>
          <w:rFonts w:ascii="Times New Roman" w:hAnsi="Times New Roman"/>
          <w:sz w:val="24"/>
          <w:lang w:val="fr-FR"/>
        </w:rPr>
        <w:t xml:space="preserve"> </w:t>
      </w:r>
      <w:r w:rsidR="005B1F90">
        <w:rPr>
          <w:rFonts w:ascii="Times New Roman" w:hAnsi="Times New Roman"/>
          <w:sz w:val="24"/>
          <w:lang w:val="fr-FR"/>
        </w:rPr>
        <w:t>écoles</w:t>
      </w:r>
      <w:r>
        <w:rPr>
          <w:rFonts w:ascii="Times New Roman" w:hAnsi="Times New Roman"/>
          <w:sz w:val="24"/>
          <w:lang w:val="fr-FR"/>
        </w:rPr>
        <w:t>,</w:t>
      </w:r>
      <w:r w:rsidR="00AC6617">
        <w:rPr>
          <w:rFonts w:ascii="Times New Roman" w:hAnsi="Times New Roman"/>
          <w:sz w:val="24"/>
          <w:lang w:val="fr-FR"/>
        </w:rPr>
        <w:t xml:space="preserve"> </w:t>
      </w:r>
      <w:r w:rsidR="005B1F90">
        <w:rPr>
          <w:rFonts w:ascii="Times New Roman" w:hAnsi="Times New Roman"/>
          <w:sz w:val="24"/>
          <w:lang w:val="fr-FR"/>
        </w:rPr>
        <w:t>bâtiments</w:t>
      </w:r>
      <w:r>
        <w:rPr>
          <w:rFonts w:ascii="Times New Roman" w:hAnsi="Times New Roman"/>
          <w:sz w:val="24"/>
          <w:lang w:val="fr-FR"/>
        </w:rPr>
        <w:t xml:space="preserve"> publics,</w:t>
      </w:r>
      <w:r w:rsidR="00AC6617">
        <w:rPr>
          <w:rFonts w:ascii="Times New Roman" w:hAnsi="Times New Roman"/>
          <w:sz w:val="24"/>
          <w:lang w:val="fr-FR"/>
        </w:rPr>
        <w:t xml:space="preserve"> etc</w:t>
      </w:r>
      <w:r w:rsidR="005B1F90">
        <w:rPr>
          <w:rFonts w:ascii="Times New Roman" w:hAnsi="Times New Roman"/>
          <w:sz w:val="24"/>
          <w:lang w:val="fr-FR"/>
        </w:rPr>
        <w:t>.</w:t>
      </w:r>
      <w:r w:rsidR="00AC6617">
        <w:rPr>
          <w:rFonts w:ascii="Times New Roman" w:hAnsi="Times New Roman"/>
          <w:sz w:val="24"/>
          <w:lang w:val="fr-FR"/>
        </w:rPr>
        <w:t>)</w:t>
      </w:r>
      <w:r w:rsidR="00AF2036">
        <w:rPr>
          <w:rFonts w:ascii="Times New Roman" w:hAnsi="Times New Roman"/>
          <w:sz w:val="24"/>
          <w:lang w:val="fr-FR"/>
        </w:rPr>
        <w:t xml:space="preserve"> pour son intégration au SILQ.</w:t>
      </w:r>
    </w:p>
    <w:p w:rsidR="00951B5F" w:rsidRDefault="00951B5F" w:rsidP="00635359">
      <w:pPr>
        <w:pStyle w:val="BodyText"/>
        <w:tabs>
          <w:tab w:val="left" w:pos="0"/>
        </w:tabs>
        <w:jc w:val="both"/>
        <w:rPr>
          <w:rFonts w:ascii="Times New Roman" w:hAnsi="Times New Roman" w:cs="Times New Roman"/>
          <w:b/>
          <w:bCs/>
          <w:sz w:val="24"/>
          <w:szCs w:val="24"/>
          <w:lang w:val="fr-FR"/>
        </w:rPr>
      </w:pPr>
    </w:p>
    <w:p w:rsidR="00635359" w:rsidRPr="00DB4413" w:rsidRDefault="00635359" w:rsidP="00635359">
      <w:pPr>
        <w:pStyle w:val="BodyText"/>
        <w:tabs>
          <w:tab w:val="left" w:pos="0"/>
        </w:tabs>
        <w:jc w:val="both"/>
        <w:rPr>
          <w:rFonts w:ascii="Times New Roman" w:hAnsi="Times New Roman" w:cs="Times New Roman"/>
          <w:b/>
          <w:bCs/>
          <w:sz w:val="24"/>
          <w:szCs w:val="24"/>
          <w:lang w:val="fr-FR"/>
        </w:rPr>
      </w:pPr>
      <w:r w:rsidRPr="00DB4413">
        <w:rPr>
          <w:rFonts w:ascii="Times New Roman" w:hAnsi="Times New Roman" w:cs="Times New Roman"/>
          <w:b/>
          <w:bCs/>
          <w:sz w:val="24"/>
          <w:szCs w:val="24"/>
          <w:lang w:val="fr-FR"/>
        </w:rPr>
        <w:t>Retards, défis, leçons apprises et meilleures pratiques</w:t>
      </w:r>
    </w:p>
    <w:p w:rsidR="00AC6617" w:rsidRDefault="00AC6617" w:rsidP="00AC6617">
      <w:pPr>
        <w:pStyle w:val="BodyText"/>
        <w:tabs>
          <w:tab w:val="left" w:pos="0"/>
        </w:tabs>
        <w:jc w:val="both"/>
        <w:rPr>
          <w:rFonts w:ascii="Times New Roman" w:hAnsi="Times New Roman" w:cs="Times New Roman"/>
          <w:b/>
          <w:bCs/>
          <w:color w:val="FF0000"/>
          <w:sz w:val="24"/>
          <w:szCs w:val="24"/>
          <w:lang w:val="fr-FR"/>
        </w:rPr>
      </w:pPr>
    </w:p>
    <w:p w:rsidR="00AC6617" w:rsidRDefault="005B1F90" w:rsidP="00AC6617">
      <w:pPr>
        <w:tabs>
          <w:tab w:val="left" w:pos="0"/>
        </w:tabs>
        <w:jc w:val="both"/>
        <w:rPr>
          <w:lang w:val="fr-FR" w:eastAsia="x-none"/>
        </w:rPr>
      </w:pPr>
      <w:r>
        <w:rPr>
          <w:lang w:val="fr-FR" w:eastAsia="x-none"/>
        </w:rPr>
        <w:t xml:space="preserve">Les activités de la composante ont connu un ralentissement </w:t>
      </w:r>
      <w:r w:rsidR="003D4B7E">
        <w:rPr>
          <w:lang w:val="fr-FR" w:eastAsia="x-none"/>
        </w:rPr>
        <w:t>pendant le premier semestre de 2013 à cause de la renégociation de</w:t>
      </w:r>
      <w:r w:rsidR="00AC6617">
        <w:rPr>
          <w:lang w:val="fr-FR" w:eastAsia="x-none"/>
        </w:rPr>
        <w:t xml:space="preserve"> l’</w:t>
      </w:r>
      <w:r w:rsidR="003D4B7E">
        <w:rPr>
          <w:lang w:val="fr-FR" w:eastAsia="x-none"/>
        </w:rPr>
        <w:t>accord de partenariat entre l’ONU</w:t>
      </w:r>
      <w:r w:rsidR="00AC6617">
        <w:rPr>
          <w:lang w:val="fr-FR" w:eastAsia="x-none"/>
        </w:rPr>
        <w:t>-Habitat et le CNIGS.</w:t>
      </w:r>
      <w:r>
        <w:rPr>
          <w:lang w:val="fr-FR" w:eastAsia="x-none"/>
        </w:rPr>
        <w:t xml:space="preserve"> </w:t>
      </w:r>
      <w:r w:rsidR="00AC6617">
        <w:rPr>
          <w:lang w:val="fr-FR" w:eastAsia="x-none"/>
        </w:rPr>
        <w:t xml:space="preserve">Cette phase de renégociation s’est achevée en </w:t>
      </w:r>
      <w:r w:rsidR="00DB4413">
        <w:rPr>
          <w:lang w:val="fr-FR" w:eastAsia="x-none"/>
        </w:rPr>
        <w:t>j</w:t>
      </w:r>
      <w:r w:rsidR="00AC6617">
        <w:rPr>
          <w:lang w:val="fr-FR" w:eastAsia="x-none"/>
        </w:rPr>
        <w:t xml:space="preserve">uin 2013 et a </w:t>
      </w:r>
      <w:r>
        <w:rPr>
          <w:lang w:val="fr-FR" w:eastAsia="x-none"/>
        </w:rPr>
        <w:t>donné</w:t>
      </w:r>
      <w:r w:rsidR="00AC6617">
        <w:rPr>
          <w:lang w:val="fr-FR" w:eastAsia="x-none"/>
        </w:rPr>
        <w:t xml:space="preserve"> naissance </w:t>
      </w:r>
      <w:r>
        <w:rPr>
          <w:lang w:val="fr-FR" w:eastAsia="x-none"/>
        </w:rPr>
        <w:t>à</w:t>
      </w:r>
      <w:r w:rsidR="00AC6617">
        <w:rPr>
          <w:lang w:val="fr-FR" w:eastAsia="x-none"/>
        </w:rPr>
        <w:t xml:space="preserve"> un amendement au contrat initial dont les nouvelles dispositions ont eu pour conséquence de réduire le montant du budget initial, de définir de nouveaux postes budgétaires ainsi que de définir un nouveau calendrier de versement des tranches de paiement de ce budget.</w:t>
      </w:r>
    </w:p>
    <w:p w:rsidR="00AC6617" w:rsidRDefault="00AC6617" w:rsidP="00AC6617">
      <w:pPr>
        <w:tabs>
          <w:tab w:val="left" w:pos="0"/>
        </w:tabs>
        <w:jc w:val="both"/>
        <w:rPr>
          <w:lang w:val="fr-FR" w:eastAsia="x-none"/>
        </w:rPr>
      </w:pPr>
    </w:p>
    <w:p w:rsidR="00AC6617" w:rsidRDefault="00AC6617" w:rsidP="00AC6617">
      <w:pPr>
        <w:tabs>
          <w:tab w:val="left" w:pos="0"/>
        </w:tabs>
        <w:jc w:val="both"/>
        <w:rPr>
          <w:lang w:val="fr-FR" w:eastAsia="x-none"/>
        </w:rPr>
      </w:pPr>
      <w:r>
        <w:rPr>
          <w:lang w:val="fr-FR" w:eastAsia="x-none"/>
        </w:rPr>
        <w:t xml:space="preserve">Autre retard significatif est la mise </w:t>
      </w:r>
      <w:r w:rsidR="005B1F90">
        <w:rPr>
          <w:lang w:val="fr-FR" w:eastAsia="x-none"/>
        </w:rPr>
        <w:t>à</w:t>
      </w:r>
      <w:r>
        <w:rPr>
          <w:lang w:val="fr-FR" w:eastAsia="x-none"/>
        </w:rPr>
        <w:t xml:space="preserve"> disposition des données de la composante 1 survenue au cours du dernier trimestre de l’année 2013 rendant difficile les tests de la plateforme avec les </w:t>
      </w:r>
      <w:r w:rsidR="005B1F90">
        <w:rPr>
          <w:lang w:val="fr-FR" w:eastAsia="x-none"/>
        </w:rPr>
        <w:t>données</w:t>
      </w:r>
      <w:r>
        <w:rPr>
          <w:lang w:val="fr-FR" w:eastAsia="x-none"/>
        </w:rPr>
        <w:t xml:space="preserve"> </w:t>
      </w:r>
      <w:r w:rsidR="005B1F90">
        <w:rPr>
          <w:lang w:val="fr-FR" w:eastAsia="x-none"/>
        </w:rPr>
        <w:t>réelles</w:t>
      </w:r>
      <w:r>
        <w:rPr>
          <w:lang w:val="fr-FR" w:eastAsia="x-none"/>
        </w:rPr>
        <w:t xml:space="preserve"> ainsi que le travail de développement de l’équipe du SILQ</w:t>
      </w:r>
      <w:r w:rsidR="005B1F90">
        <w:rPr>
          <w:lang w:val="fr-FR" w:eastAsia="x-none"/>
        </w:rPr>
        <w:t>.</w:t>
      </w:r>
    </w:p>
    <w:p w:rsidR="00AC6617" w:rsidRPr="002B351A" w:rsidRDefault="00AC6617" w:rsidP="00AC6617">
      <w:pPr>
        <w:tabs>
          <w:tab w:val="left" w:pos="0"/>
        </w:tabs>
        <w:jc w:val="both"/>
        <w:rPr>
          <w:b/>
          <w:lang w:val="fr-FR"/>
        </w:rPr>
      </w:pPr>
    </w:p>
    <w:p w:rsidR="00AC6617" w:rsidRDefault="005B1F90" w:rsidP="00AC6617">
      <w:pPr>
        <w:pStyle w:val="BodyText"/>
        <w:tabs>
          <w:tab w:val="left" w:pos="0"/>
        </w:tabs>
        <w:jc w:val="both"/>
        <w:rPr>
          <w:rFonts w:ascii="Times New Roman" w:hAnsi="Times New Roman" w:cs="Times New Roman"/>
          <w:sz w:val="24"/>
          <w:szCs w:val="24"/>
          <w:lang w:val="fr-FR"/>
        </w:rPr>
      </w:pPr>
      <w:r>
        <w:rPr>
          <w:rFonts w:ascii="Times New Roman" w:hAnsi="Times New Roman" w:cs="Times New Roman"/>
          <w:sz w:val="24"/>
          <w:szCs w:val="24"/>
          <w:lang w:val="fr-FR"/>
        </w:rPr>
        <w:t>Le</w:t>
      </w:r>
      <w:r w:rsidR="00AC6617" w:rsidRPr="002B351A">
        <w:rPr>
          <w:rFonts w:ascii="Times New Roman" w:hAnsi="Times New Roman" w:cs="Times New Roman"/>
          <w:sz w:val="24"/>
          <w:szCs w:val="24"/>
          <w:lang w:val="fr-FR"/>
        </w:rPr>
        <w:t xml:space="preserve"> principa</w:t>
      </w:r>
      <w:r>
        <w:rPr>
          <w:rFonts w:ascii="Times New Roman" w:hAnsi="Times New Roman" w:cs="Times New Roman"/>
          <w:sz w:val="24"/>
          <w:szCs w:val="24"/>
          <w:lang w:val="fr-FR"/>
        </w:rPr>
        <w:t>l</w:t>
      </w:r>
      <w:r w:rsidR="00AC6617">
        <w:rPr>
          <w:rFonts w:ascii="Times New Roman" w:hAnsi="Times New Roman" w:cs="Times New Roman"/>
          <w:sz w:val="24"/>
          <w:szCs w:val="24"/>
          <w:lang w:val="fr-FR"/>
        </w:rPr>
        <w:t xml:space="preserve"> </w:t>
      </w:r>
      <w:r>
        <w:rPr>
          <w:rFonts w:ascii="Times New Roman" w:hAnsi="Times New Roman" w:cs="Times New Roman"/>
          <w:sz w:val="24"/>
          <w:szCs w:val="24"/>
          <w:lang w:val="fr-FR"/>
        </w:rPr>
        <w:t>défi</w:t>
      </w:r>
      <w:r w:rsidR="00AC6617">
        <w:rPr>
          <w:rFonts w:ascii="Times New Roman" w:hAnsi="Times New Roman" w:cs="Times New Roman"/>
          <w:sz w:val="24"/>
          <w:szCs w:val="24"/>
          <w:lang w:val="fr-FR"/>
        </w:rPr>
        <w:t xml:space="preserve"> </w:t>
      </w:r>
      <w:r>
        <w:rPr>
          <w:rFonts w:ascii="Times New Roman" w:hAnsi="Times New Roman" w:cs="Times New Roman"/>
          <w:sz w:val="24"/>
          <w:szCs w:val="24"/>
          <w:lang w:val="fr-FR"/>
        </w:rPr>
        <w:t>à</w:t>
      </w:r>
      <w:r w:rsidR="00AC6617">
        <w:rPr>
          <w:rFonts w:ascii="Times New Roman" w:hAnsi="Times New Roman" w:cs="Times New Roman"/>
          <w:sz w:val="24"/>
          <w:szCs w:val="24"/>
          <w:lang w:val="fr-FR"/>
        </w:rPr>
        <w:t xml:space="preserve"> relever est de faire connaitre suffisamment la plateforme en ligne pour qu’elle </w:t>
      </w:r>
      <w:r w:rsidR="003D4B7E">
        <w:rPr>
          <w:rFonts w:ascii="Times New Roman" w:hAnsi="Times New Roman" w:cs="Times New Roman"/>
          <w:sz w:val="24"/>
          <w:szCs w:val="24"/>
          <w:lang w:val="fr-FR"/>
        </w:rPr>
        <w:t>devienne</w:t>
      </w:r>
      <w:r w:rsidR="00AC6617">
        <w:rPr>
          <w:rFonts w:ascii="Times New Roman" w:hAnsi="Times New Roman" w:cs="Times New Roman"/>
          <w:sz w:val="24"/>
          <w:szCs w:val="24"/>
          <w:lang w:val="fr-FR"/>
        </w:rPr>
        <w:t xml:space="preserve"> l’outil de référence pour </w:t>
      </w:r>
      <w:r w:rsidR="003D4B7E">
        <w:rPr>
          <w:rFonts w:ascii="Times New Roman" w:hAnsi="Times New Roman" w:cs="Times New Roman"/>
          <w:sz w:val="24"/>
          <w:szCs w:val="24"/>
          <w:lang w:val="fr-FR"/>
        </w:rPr>
        <w:t>le plus</w:t>
      </w:r>
      <w:r w:rsidR="00AC6617">
        <w:rPr>
          <w:rFonts w:ascii="Times New Roman" w:hAnsi="Times New Roman" w:cs="Times New Roman"/>
          <w:sz w:val="24"/>
          <w:szCs w:val="24"/>
          <w:lang w:val="fr-FR"/>
        </w:rPr>
        <w:t xml:space="preserve"> grand nombre d’acteurs de la reconstruction </w:t>
      </w:r>
      <w:r w:rsidR="003D4B7E">
        <w:rPr>
          <w:rFonts w:ascii="Times New Roman" w:hAnsi="Times New Roman" w:cs="Times New Roman"/>
          <w:sz w:val="24"/>
          <w:szCs w:val="24"/>
          <w:lang w:val="fr-FR"/>
        </w:rPr>
        <w:t>possible</w:t>
      </w:r>
      <w:r w:rsidR="00AC6617">
        <w:rPr>
          <w:rFonts w:ascii="Times New Roman" w:hAnsi="Times New Roman" w:cs="Times New Roman"/>
          <w:sz w:val="24"/>
          <w:szCs w:val="24"/>
          <w:lang w:val="fr-FR"/>
        </w:rPr>
        <w:t xml:space="preserve">, </w:t>
      </w:r>
      <w:r>
        <w:rPr>
          <w:rFonts w:ascii="Times New Roman" w:hAnsi="Times New Roman" w:cs="Times New Roman"/>
          <w:sz w:val="24"/>
          <w:szCs w:val="24"/>
          <w:lang w:val="fr-FR"/>
        </w:rPr>
        <w:t>évitant</w:t>
      </w:r>
      <w:r w:rsidR="00AC6617">
        <w:rPr>
          <w:rFonts w:ascii="Times New Roman" w:hAnsi="Times New Roman" w:cs="Times New Roman"/>
          <w:sz w:val="24"/>
          <w:szCs w:val="24"/>
          <w:lang w:val="fr-FR"/>
        </w:rPr>
        <w:t xml:space="preserve"> ainsi la </w:t>
      </w:r>
      <w:r>
        <w:rPr>
          <w:rFonts w:ascii="Times New Roman" w:hAnsi="Times New Roman" w:cs="Times New Roman"/>
          <w:sz w:val="24"/>
          <w:szCs w:val="24"/>
          <w:lang w:val="fr-FR"/>
        </w:rPr>
        <w:t>multiplicité</w:t>
      </w:r>
      <w:r w:rsidR="00AC6617">
        <w:rPr>
          <w:rFonts w:ascii="Times New Roman" w:hAnsi="Times New Roman" w:cs="Times New Roman"/>
          <w:sz w:val="24"/>
          <w:szCs w:val="24"/>
          <w:lang w:val="fr-FR"/>
        </w:rPr>
        <w:t xml:space="preserve"> d’application</w:t>
      </w:r>
      <w:r w:rsidR="003D4B7E">
        <w:rPr>
          <w:rFonts w:ascii="Times New Roman" w:hAnsi="Times New Roman" w:cs="Times New Roman"/>
          <w:sz w:val="24"/>
          <w:szCs w:val="24"/>
          <w:lang w:val="fr-FR"/>
        </w:rPr>
        <w:t>s</w:t>
      </w:r>
      <w:r w:rsidR="00AC6617">
        <w:rPr>
          <w:rFonts w:ascii="Times New Roman" w:hAnsi="Times New Roman" w:cs="Times New Roman"/>
          <w:sz w:val="24"/>
          <w:szCs w:val="24"/>
          <w:lang w:val="fr-FR"/>
        </w:rPr>
        <w:t xml:space="preserve"> et des sources d’information</w:t>
      </w:r>
      <w:r w:rsidR="00AC6617" w:rsidRPr="002B351A">
        <w:rPr>
          <w:rFonts w:ascii="Times New Roman" w:hAnsi="Times New Roman" w:cs="Times New Roman"/>
          <w:sz w:val="24"/>
          <w:szCs w:val="24"/>
          <w:lang w:val="fr-FR"/>
        </w:rPr>
        <w:t xml:space="preserve">. </w:t>
      </w:r>
    </w:p>
    <w:p w:rsidR="00AC6617" w:rsidRDefault="00AC6617" w:rsidP="00AC6617">
      <w:pPr>
        <w:pStyle w:val="BodyText"/>
        <w:tabs>
          <w:tab w:val="left" w:pos="0"/>
        </w:tabs>
        <w:jc w:val="both"/>
        <w:rPr>
          <w:rFonts w:ascii="Times New Roman" w:hAnsi="Times New Roman" w:cs="Times New Roman"/>
          <w:sz w:val="24"/>
          <w:szCs w:val="24"/>
          <w:lang w:val="fr-FR"/>
        </w:rPr>
      </w:pPr>
    </w:p>
    <w:p w:rsidR="00AC6617" w:rsidRPr="002B351A" w:rsidRDefault="00AC6617" w:rsidP="00AC6617">
      <w:pPr>
        <w:pStyle w:val="BodyText"/>
        <w:tabs>
          <w:tab w:val="left" w:pos="0"/>
        </w:tabs>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Autre </w:t>
      </w:r>
      <w:r w:rsidR="005B1F90">
        <w:rPr>
          <w:rFonts w:ascii="Times New Roman" w:hAnsi="Times New Roman" w:cs="Times New Roman"/>
          <w:sz w:val="24"/>
          <w:szCs w:val="24"/>
          <w:lang w:val="fr-FR"/>
        </w:rPr>
        <w:t>défi</w:t>
      </w:r>
      <w:r>
        <w:rPr>
          <w:rFonts w:ascii="Times New Roman" w:hAnsi="Times New Roman" w:cs="Times New Roman"/>
          <w:sz w:val="24"/>
          <w:szCs w:val="24"/>
          <w:lang w:val="fr-FR"/>
        </w:rPr>
        <w:t xml:space="preserve"> est la pérennisa</w:t>
      </w:r>
      <w:r w:rsidR="007D2DAA">
        <w:rPr>
          <w:rFonts w:ascii="Times New Roman" w:hAnsi="Times New Roman" w:cs="Times New Roman"/>
          <w:sz w:val="24"/>
          <w:szCs w:val="24"/>
          <w:lang w:val="fr-FR"/>
        </w:rPr>
        <w:t>tion du SILQ âpres le Programme</w:t>
      </w:r>
      <w:r>
        <w:rPr>
          <w:rFonts w:ascii="Times New Roman" w:hAnsi="Times New Roman" w:cs="Times New Roman"/>
          <w:sz w:val="24"/>
          <w:szCs w:val="24"/>
          <w:lang w:val="fr-FR"/>
        </w:rPr>
        <w:t xml:space="preserve">. En effet le contexte actuel s’inscrit de plus en plus vers une dynamique de développement durable et l’outil doit pouvoir s’adapter </w:t>
      </w:r>
      <w:r w:rsidR="00DB4413">
        <w:rPr>
          <w:rFonts w:ascii="Times New Roman" w:hAnsi="Times New Roman" w:cs="Times New Roman"/>
          <w:sz w:val="24"/>
          <w:szCs w:val="24"/>
          <w:lang w:val="fr-FR"/>
        </w:rPr>
        <w:t>en intégrant des nouvelles</w:t>
      </w:r>
      <w:r>
        <w:rPr>
          <w:rFonts w:ascii="Times New Roman" w:hAnsi="Times New Roman" w:cs="Times New Roman"/>
          <w:sz w:val="24"/>
          <w:szCs w:val="24"/>
          <w:lang w:val="fr-FR"/>
        </w:rPr>
        <w:t xml:space="preserve"> dimension</w:t>
      </w:r>
      <w:r w:rsidR="003D4B7E">
        <w:rPr>
          <w:rFonts w:ascii="Times New Roman" w:hAnsi="Times New Roman" w:cs="Times New Roman"/>
          <w:sz w:val="24"/>
          <w:szCs w:val="24"/>
          <w:lang w:val="fr-FR"/>
        </w:rPr>
        <w:t>s comme celles relatives a</w:t>
      </w:r>
      <w:r w:rsidR="00DB4413">
        <w:rPr>
          <w:rFonts w:ascii="Times New Roman" w:hAnsi="Times New Roman" w:cs="Times New Roman"/>
          <w:sz w:val="24"/>
          <w:szCs w:val="24"/>
          <w:lang w:val="fr-FR"/>
        </w:rPr>
        <w:t>u suivi et l’évaluation de la politique nationale du logement et l’habitat, la</w:t>
      </w:r>
      <w:r>
        <w:rPr>
          <w:rFonts w:ascii="Times New Roman" w:hAnsi="Times New Roman" w:cs="Times New Roman"/>
          <w:sz w:val="24"/>
          <w:szCs w:val="24"/>
          <w:lang w:val="fr-FR"/>
        </w:rPr>
        <w:t xml:space="preserve"> planification </w:t>
      </w:r>
      <w:r w:rsidR="00DB4413">
        <w:rPr>
          <w:rFonts w:ascii="Times New Roman" w:hAnsi="Times New Roman" w:cs="Times New Roman"/>
          <w:sz w:val="24"/>
          <w:szCs w:val="24"/>
          <w:lang w:val="fr-FR"/>
        </w:rPr>
        <w:t>urbaine et territoriale ou la gestion communal</w:t>
      </w:r>
      <w:r w:rsidR="005B1F90">
        <w:rPr>
          <w:rFonts w:ascii="Times New Roman" w:hAnsi="Times New Roman" w:cs="Times New Roman"/>
          <w:sz w:val="24"/>
          <w:szCs w:val="24"/>
          <w:lang w:val="fr-FR"/>
        </w:rPr>
        <w:t>.</w:t>
      </w:r>
    </w:p>
    <w:p w:rsidR="00AC6617" w:rsidRDefault="00AC6617" w:rsidP="00635359">
      <w:pPr>
        <w:pStyle w:val="BodyText"/>
        <w:tabs>
          <w:tab w:val="left" w:pos="0"/>
        </w:tabs>
        <w:jc w:val="both"/>
        <w:rPr>
          <w:rFonts w:ascii="Times New Roman" w:hAnsi="Times New Roman" w:cs="Times New Roman"/>
          <w:b/>
          <w:bCs/>
          <w:color w:val="FF0000"/>
          <w:sz w:val="24"/>
          <w:szCs w:val="24"/>
          <w:lang w:val="fr-FR"/>
        </w:rPr>
      </w:pPr>
    </w:p>
    <w:p w:rsidR="007C0CE2" w:rsidRPr="007B4692" w:rsidRDefault="007C0CE2" w:rsidP="007B4692">
      <w:pPr>
        <w:pStyle w:val="BodyText"/>
        <w:jc w:val="both"/>
        <w:rPr>
          <w:rStyle w:val="hps"/>
          <w:rFonts w:ascii="Times New Roman" w:hAnsi="Times New Roman"/>
          <w:b/>
          <w:sz w:val="24"/>
          <w:szCs w:val="24"/>
          <w:u w:val="single"/>
          <w:lang w:val="fr-FR"/>
        </w:rPr>
      </w:pPr>
      <w:r w:rsidRPr="007B4692">
        <w:rPr>
          <w:rStyle w:val="hps"/>
          <w:rFonts w:ascii="Times New Roman" w:hAnsi="Times New Roman"/>
          <w:b/>
          <w:sz w:val="24"/>
          <w:szCs w:val="24"/>
          <w:u w:val="single"/>
          <w:lang w:val="fr-FR"/>
        </w:rPr>
        <w:t>Composante 3</w:t>
      </w:r>
    </w:p>
    <w:p w:rsidR="007C0CE2" w:rsidRDefault="007C0CE2" w:rsidP="007C0CE2">
      <w:pPr>
        <w:pStyle w:val="BodyText"/>
        <w:ind w:left="360"/>
        <w:jc w:val="both"/>
        <w:rPr>
          <w:rStyle w:val="hps"/>
          <w:rFonts w:ascii="Times New Roman" w:hAnsi="Times New Roman"/>
          <w:b/>
          <w:sz w:val="24"/>
          <w:szCs w:val="24"/>
          <w:lang w:val="fr-FR"/>
        </w:rPr>
      </w:pPr>
    </w:p>
    <w:p w:rsidR="007C0CE2" w:rsidRPr="00635359" w:rsidRDefault="007C0CE2" w:rsidP="00513FA6">
      <w:pPr>
        <w:pStyle w:val="BodyText"/>
        <w:tabs>
          <w:tab w:val="left" w:pos="0"/>
        </w:tabs>
        <w:jc w:val="both"/>
        <w:rPr>
          <w:rFonts w:ascii="Times New Roman" w:hAnsi="Times New Roman"/>
          <w:b/>
          <w:bCs/>
          <w:sz w:val="24"/>
          <w:lang w:val="fr-FR"/>
        </w:rPr>
      </w:pPr>
      <w:r w:rsidRPr="00635359">
        <w:rPr>
          <w:rFonts w:ascii="Times New Roman" w:hAnsi="Times New Roman"/>
          <w:b/>
          <w:bCs/>
          <w:sz w:val="24"/>
          <w:lang w:val="fr-FR"/>
        </w:rPr>
        <w:t>Résultats</w:t>
      </w:r>
    </w:p>
    <w:p w:rsidR="007C0CE2" w:rsidRDefault="007C0CE2" w:rsidP="00513FA6">
      <w:pPr>
        <w:pStyle w:val="BodyText"/>
        <w:tabs>
          <w:tab w:val="left" w:pos="0"/>
        </w:tabs>
        <w:jc w:val="both"/>
        <w:rPr>
          <w:rFonts w:ascii="Times New Roman" w:hAnsi="Times New Roman"/>
          <w:bCs/>
          <w:sz w:val="24"/>
          <w:lang w:val="fr-FR"/>
        </w:rPr>
      </w:pPr>
    </w:p>
    <w:p w:rsidR="007C0CE2" w:rsidRDefault="00513FA6" w:rsidP="00513FA6">
      <w:pPr>
        <w:tabs>
          <w:tab w:val="left" w:pos="-720"/>
          <w:tab w:val="left" w:pos="0"/>
          <w:tab w:val="left" w:pos="4500"/>
        </w:tabs>
        <w:suppressAutoHyphens/>
        <w:jc w:val="both"/>
        <w:rPr>
          <w:lang w:val="fr-FR"/>
        </w:rPr>
      </w:pPr>
      <w:r w:rsidRPr="00CD2CDC">
        <w:rPr>
          <w:b/>
          <w:lang w:val="fr-FR"/>
        </w:rPr>
        <w:t>Renforcement des capacités du MICT</w:t>
      </w:r>
      <w:r w:rsidRPr="00513FA6">
        <w:rPr>
          <w:b/>
          <w:lang w:val="fr-FR"/>
        </w:rPr>
        <w:t>:</w:t>
      </w:r>
      <w:r w:rsidR="00DD4856" w:rsidRPr="00DD4856">
        <w:rPr>
          <w:lang w:val="fr-FR"/>
        </w:rPr>
        <w:t xml:space="preserve"> </w:t>
      </w:r>
      <w:r w:rsidR="001365D1">
        <w:rPr>
          <w:lang w:val="fr-FR"/>
        </w:rPr>
        <w:t>L</w:t>
      </w:r>
      <w:r w:rsidR="009F0418">
        <w:rPr>
          <w:lang w:val="fr-FR"/>
        </w:rPr>
        <w:t>a C</w:t>
      </w:r>
      <w:r w:rsidR="007C0CE2" w:rsidRPr="00DD4856">
        <w:rPr>
          <w:lang w:val="fr-FR"/>
        </w:rPr>
        <w:t xml:space="preserve">ellule de suivi, évaluation et communication </w:t>
      </w:r>
      <w:r w:rsidR="009F0418">
        <w:rPr>
          <w:lang w:val="fr-FR"/>
        </w:rPr>
        <w:t xml:space="preserve">(CSEC) </w:t>
      </w:r>
      <w:r w:rsidR="007C0CE2" w:rsidRPr="00DD4856">
        <w:rPr>
          <w:lang w:val="fr-FR"/>
        </w:rPr>
        <w:t xml:space="preserve">montée </w:t>
      </w:r>
      <w:r w:rsidR="009F0418">
        <w:rPr>
          <w:lang w:val="fr-FR"/>
        </w:rPr>
        <w:t>au</w:t>
      </w:r>
      <w:r w:rsidR="009F0418" w:rsidRPr="00DD4856">
        <w:rPr>
          <w:lang w:val="fr-FR"/>
        </w:rPr>
        <w:t xml:space="preserve"> dernier trimestre de l’année 2012 </w:t>
      </w:r>
      <w:r w:rsidR="007C0CE2" w:rsidRPr="00DD4856">
        <w:rPr>
          <w:lang w:val="fr-FR"/>
        </w:rPr>
        <w:t xml:space="preserve">est fonctionnelle avec les trois profils couverts et opérationnels. </w:t>
      </w:r>
      <w:r w:rsidR="009F0418" w:rsidRPr="00CD2CDC">
        <w:rPr>
          <w:lang w:val="fr-FR"/>
        </w:rPr>
        <w:t xml:space="preserve">La </w:t>
      </w:r>
      <w:r w:rsidR="009F0418">
        <w:rPr>
          <w:lang w:val="fr-FR"/>
        </w:rPr>
        <w:t>CSEC</w:t>
      </w:r>
      <w:r w:rsidR="009F0418" w:rsidRPr="00CD2CDC">
        <w:rPr>
          <w:lang w:val="fr-FR"/>
        </w:rPr>
        <w:t xml:space="preserve"> fournit un appui technique adéquat et constitue le lien entre les municipalités et la coordination, mais aussi le MICT.</w:t>
      </w:r>
      <w:r w:rsidR="00DB4413">
        <w:rPr>
          <w:lang w:val="fr-FR"/>
        </w:rPr>
        <w:t xml:space="preserve"> </w:t>
      </w:r>
      <w:r w:rsidR="007C0CE2" w:rsidRPr="00DD4856">
        <w:rPr>
          <w:lang w:val="fr-FR"/>
        </w:rPr>
        <w:t>Sur base de l’accord de coopération signé</w:t>
      </w:r>
      <w:r w:rsidR="009F0418">
        <w:rPr>
          <w:lang w:val="fr-FR"/>
        </w:rPr>
        <w:t xml:space="preserve"> </w:t>
      </w:r>
      <w:r w:rsidR="009F0418" w:rsidRPr="009E1D31">
        <w:rPr>
          <w:lang w:val="fr-FR"/>
        </w:rPr>
        <w:t xml:space="preserve">entre les parties et en vue de permettre </w:t>
      </w:r>
      <w:r w:rsidR="009F0418">
        <w:rPr>
          <w:lang w:val="fr-FR"/>
        </w:rPr>
        <w:lastRenderedPageBreak/>
        <w:t xml:space="preserve">continuation des activités de la </w:t>
      </w:r>
      <w:r w:rsidR="00DB4413">
        <w:rPr>
          <w:lang w:val="fr-FR"/>
        </w:rPr>
        <w:t>CSEC</w:t>
      </w:r>
      <w:r w:rsidR="007C0CE2" w:rsidRPr="00DD4856">
        <w:rPr>
          <w:lang w:val="fr-FR"/>
        </w:rPr>
        <w:t>, le transfert d’un deuxième versement de fonds a été fait, les véhicules et le matériel informatique ayant été fourni</w:t>
      </w:r>
      <w:r w:rsidR="00DD4856" w:rsidRPr="00DD4856">
        <w:rPr>
          <w:lang w:val="fr-FR"/>
        </w:rPr>
        <w:t>s</w:t>
      </w:r>
      <w:r w:rsidR="007C0CE2" w:rsidRPr="00DD4856">
        <w:rPr>
          <w:lang w:val="fr-FR"/>
        </w:rPr>
        <w:t xml:space="preserve"> au MICT en 2012.</w:t>
      </w:r>
    </w:p>
    <w:p w:rsidR="009F0418" w:rsidRPr="00DD4856" w:rsidRDefault="009F0418" w:rsidP="00513FA6">
      <w:pPr>
        <w:tabs>
          <w:tab w:val="left" w:pos="-720"/>
          <w:tab w:val="left" w:pos="0"/>
          <w:tab w:val="left" w:pos="4500"/>
        </w:tabs>
        <w:suppressAutoHyphens/>
        <w:jc w:val="both"/>
        <w:rPr>
          <w:lang w:val="fr-FR"/>
        </w:rPr>
      </w:pPr>
    </w:p>
    <w:p w:rsidR="009F0418" w:rsidRDefault="007C0CE2" w:rsidP="00513FA6">
      <w:pPr>
        <w:tabs>
          <w:tab w:val="left" w:pos="-720"/>
          <w:tab w:val="left" w:pos="0"/>
          <w:tab w:val="left" w:pos="4500"/>
        </w:tabs>
        <w:suppressAutoHyphens/>
        <w:jc w:val="both"/>
        <w:rPr>
          <w:lang w:val="fr-FR"/>
        </w:rPr>
      </w:pPr>
      <w:r w:rsidRPr="00DD4856">
        <w:rPr>
          <w:lang w:val="fr-FR"/>
        </w:rPr>
        <w:t>Pour l’ensemble des activités en appui à l’opérationnalisation des ATL</w:t>
      </w:r>
      <w:r w:rsidR="001365D1">
        <w:rPr>
          <w:lang w:val="fr-FR"/>
        </w:rPr>
        <w:t xml:space="preserve"> et des CRC</w:t>
      </w:r>
      <w:r w:rsidRPr="00DD4856">
        <w:rPr>
          <w:lang w:val="fr-FR"/>
        </w:rPr>
        <w:t xml:space="preserve">, </w:t>
      </w:r>
      <w:r w:rsidR="001365D1">
        <w:rPr>
          <w:lang w:val="fr-FR"/>
        </w:rPr>
        <w:t>l’</w:t>
      </w:r>
      <w:r w:rsidRPr="00DD4856">
        <w:rPr>
          <w:lang w:val="fr-FR"/>
        </w:rPr>
        <w:t xml:space="preserve">ONU-Habitat </w:t>
      </w:r>
      <w:r w:rsidR="001365D1">
        <w:rPr>
          <w:lang w:val="fr-FR"/>
        </w:rPr>
        <w:t>et l’OIM ont</w:t>
      </w:r>
      <w:r w:rsidRPr="00DD4856">
        <w:rPr>
          <w:lang w:val="fr-FR"/>
        </w:rPr>
        <w:t xml:space="preserve"> travaillé </w:t>
      </w:r>
      <w:r w:rsidR="001365D1">
        <w:rPr>
          <w:lang w:val="fr-FR"/>
        </w:rPr>
        <w:t>étroitement avec les différents départements du MICT. U</w:t>
      </w:r>
      <w:r w:rsidR="009F0418">
        <w:rPr>
          <w:lang w:val="fr-FR"/>
        </w:rPr>
        <w:t>n programme de formation destiné aux ATL et à la CSEC</w:t>
      </w:r>
      <w:r w:rsidR="001365D1" w:rsidRPr="001365D1">
        <w:rPr>
          <w:lang w:val="fr-FR"/>
        </w:rPr>
        <w:t xml:space="preserve"> </w:t>
      </w:r>
      <w:r w:rsidR="001365D1">
        <w:rPr>
          <w:lang w:val="fr-FR"/>
        </w:rPr>
        <w:t xml:space="preserve">a été élaboré </w:t>
      </w:r>
      <w:r w:rsidR="001365D1" w:rsidRPr="00DD4856">
        <w:rPr>
          <w:lang w:val="fr-FR"/>
        </w:rPr>
        <w:t>de concert avec l</w:t>
      </w:r>
      <w:r w:rsidR="001365D1">
        <w:rPr>
          <w:lang w:val="fr-FR"/>
        </w:rPr>
        <w:t>a Sous-direction de la formation</w:t>
      </w:r>
      <w:r w:rsidR="009F0418">
        <w:rPr>
          <w:lang w:val="fr-FR"/>
        </w:rPr>
        <w:t>.</w:t>
      </w:r>
    </w:p>
    <w:p w:rsidR="009F0418" w:rsidRDefault="009F0418" w:rsidP="00513FA6">
      <w:pPr>
        <w:tabs>
          <w:tab w:val="left" w:pos="-720"/>
          <w:tab w:val="left" w:pos="0"/>
          <w:tab w:val="left" w:pos="4500"/>
        </w:tabs>
        <w:suppressAutoHyphens/>
        <w:jc w:val="both"/>
        <w:rPr>
          <w:lang w:val="fr-FR"/>
        </w:rPr>
      </w:pPr>
    </w:p>
    <w:p w:rsidR="007C0CE2" w:rsidRPr="00843BF5" w:rsidRDefault="00CD2CDC" w:rsidP="00513FA6">
      <w:pPr>
        <w:tabs>
          <w:tab w:val="left" w:pos="-720"/>
          <w:tab w:val="left" w:pos="0"/>
          <w:tab w:val="left" w:pos="1080"/>
        </w:tabs>
        <w:suppressAutoHyphens/>
        <w:jc w:val="both"/>
        <w:rPr>
          <w:lang w:val="fr-FR"/>
        </w:rPr>
      </w:pPr>
      <w:r w:rsidRPr="0095703E">
        <w:rPr>
          <w:b/>
          <w:lang w:val="fr-FR"/>
        </w:rPr>
        <w:t xml:space="preserve">Renforcement des capacités des collectivités territoriales : </w:t>
      </w:r>
      <w:r w:rsidR="001365D1">
        <w:rPr>
          <w:lang w:val="fr-FR"/>
        </w:rPr>
        <w:t>Un</w:t>
      </w:r>
      <w:r w:rsidR="007C0CE2" w:rsidRPr="00843BF5">
        <w:rPr>
          <w:lang w:val="fr-FR"/>
        </w:rPr>
        <w:t xml:space="preserve"> accompagne</w:t>
      </w:r>
      <w:r w:rsidR="001365D1">
        <w:rPr>
          <w:lang w:val="fr-FR"/>
        </w:rPr>
        <w:t>ment</w:t>
      </w:r>
      <w:r w:rsidR="007C0CE2" w:rsidRPr="00843BF5">
        <w:rPr>
          <w:lang w:val="fr-FR"/>
        </w:rPr>
        <w:t xml:space="preserve"> au quotidien </w:t>
      </w:r>
      <w:r w:rsidR="001365D1">
        <w:rPr>
          <w:lang w:val="fr-FR"/>
        </w:rPr>
        <w:t xml:space="preserve">pour </w:t>
      </w:r>
      <w:r w:rsidR="007C0CE2" w:rsidRPr="00843BF5">
        <w:rPr>
          <w:lang w:val="fr-FR"/>
        </w:rPr>
        <w:t>la réalisation des activités du projet au niveau aux municipalités concernées</w:t>
      </w:r>
      <w:r w:rsidR="00A749B9">
        <w:rPr>
          <w:lang w:val="fr-FR"/>
        </w:rPr>
        <w:t xml:space="preserve"> </w:t>
      </w:r>
      <w:r w:rsidR="001365D1">
        <w:rPr>
          <w:lang w:val="fr-FR"/>
        </w:rPr>
        <w:t xml:space="preserve">est fourni </w:t>
      </w:r>
      <w:r w:rsidR="00A749B9">
        <w:rPr>
          <w:lang w:val="fr-FR"/>
        </w:rPr>
        <w:t>en collaboration avec le MICT</w:t>
      </w:r>
      <w:r w:rsidR="007C0CE2" w:rsidRPr="00843BF5">
        <w:rPr>
          <w:lang w:val="fr-FR"/>
        </w:rPr>
        <w:t>.</w:t>
      </w:r>
    </w:p>
    <w:p w:rsidR="007C0CE2" w:rsidRPr="00843BF5" w:rsidRDefault="007C0CE2" w:rsidP="007C0CE2">
      <w:pPr>
        <w:tabs>
          <w:tab w:val="left" w:pos="-720"/>
          <w:tab w:val="left" w:pos="1080"/>
        </w:tabs>
        <w:suppressAutoHyphens/>
        <w:jc w:val="both"/>
        <w:rPr>
          <w:sz w:val="16"/>
          <w:lang w:val="fr-FR"/>
        </w:rPr>
      </w:pPr>
    </w:p>
    <w:p w:rsidR="001365D1" w:rsidRPr="00CD2CDC" w:rsidRDefault="001365D1" w:rsidP="001365D1">
      <w:pPr>
        <w:numPr>
          <w:ilvl w:val="0"/>
          <w:numId w:val="29"/>
        </w:numPr>
        <w:tabs>
          <w:tab w:val="left" w:pos="-720"/>
          <w:tab w:val="left" w:pos="720"/>
        </w:tabs>
        <w:suppressAutoHyphens/>
        <w:ind w:left="720"/>
        <w:jc w:val="both"/>
        <w:rPr>
          <w:lang w:val="fr-FR"/>
        </w:rPr>
      </w:pPr>
      <w:r w:rsidRPr="00CD2CDC">
        <w:rPr>
          <w:lang w:val="fr-FR"/>
        </w:rPr>
        <w:t xml:space="preserve">Le processus de recrutement a abouti à l’installation officielle des cadres des ATL par le </w:t>
      </w:r>
      <w:r>
        <w:rPr>
          <w:lang w:val="fr-FR"/>
        </w:rPr>
        <w:t>MICT en a</w:t>
      </w:r>
      <w:r w:rsidRPr="00CD2CDC">
        <w:rPr>
          <w:lang w:val="fr-FR"/>
        </w:rPr>
        <w:t>vril 2013, installation pendant laquelle le Directeur General du MICT a soumis aux jeunes cadres recrutes une feuille de route des activités à réaliser.</w:t>
      </w:r>
    </w:p>
    <w:p w:rsidR="001365D1" w:rsidRPr="00CD2CDC" w:rsidRDefault="001365D1" w:rsidP="001365D1">
      <w:pPr>
        <w:numPr>
          <w:ilvl w:val="0"/>
          <w:numId w:val="29"/>
        </w:numPr>
        <w:tabs>
          <w:tab w:val="left" w:pos="-720"/>
          <w:tab w:val="left" w:pos="720"/>
        </w:tabs>
        <w:suppressAutoHyphens/>
        <w:ind w:left="720"/>
        <w:jc w:val="both"/>
        <w:rPr>
          <w:lang w:val="fr-FR"/>
        </w:rPr>
      </w:pPr>
      <w:r w:rsidRPr="00CD2CDC">
        <w:rPr>
          <w:lang w:val="fr-FR"/>
        </w:rPr>
        <w:t xml:space="preserve">Tout un travail d’accompagnement </w:t>
      </w:r>
      <w:r>
        <w:rPr>
          <w:lang w:val="fr-FR"/>
        </w:rPr>
        <w:t xml:space="preserve">et de formation sur le tas </w:t>
      </w:r>
      <w:r w:rsidRPr="00CD2CDC">
        <w:rPr>
          <w:lang w:val="fr-FR"/>
        </w:rPr>
        <w:t xml:space="preserve">des équipes </w:t>
      </w:r>
      <w:r>
        <w:rPr>
          <w:lang w:val="fr-FR"/>
        </w:rPr>
        <w:t xml:space="preserve">ATL </w:t>
      </w:r>
      <w:r w:rsidRPr="00CD2CDC">
        <w:rPr>
          <w:lang w:val="fr-FR"/>
        </w:rPr>
        <w:t xml:space="preserve">a été fourni </w:t>
      </w:r>
      <w:r>
        <w:rPr>
          <w:lang w:val="fr-FR"/>
        </w:rPr>
        <w:t xml:space="preserve">avec </w:t>
      </w:r>
      <w:r w:rsidRPr="00CD2CDC">
        <w:rPr>
          <w:lang w:val="fr-FR"/>
        </w:rPr>
        <w:t xml:space="preserve">l’appui de la </w:t>
      </w:r>
      <w:r>
        <w:rPr>
          <w:lang w:val="fr-FR"/>
        </w:rPr>
        <w:t>CSEC</w:t>
      </w:r>
      <w:r w:rsidRPr="00CD2CDC">
        <w:rPr>
          <w:lang w:val="fr-FR"/>
        </w:rPr>
        <w:t xml:space="preserve"> pour la rédaction de</w:t>
      </w:r>
      <w:r>
        <w:rPr>
          <w:lang w:val="fr-FR"/>
        </w:rPr>
        <w:t>s diagnostics territoriaux des chaque commune</w:t>
      </w:r>
      <w:r w:rsidRPr="00CD2CDC">
        <w:rPr>
          <w:lang w:val="fr-FR"/>
        </w:rPr>
        <w:t xml:space="preserve">. </w:t>
      </w:r>
      <w:r>
        <w:rPr>
          <w:lang w:val="fr-FR"/>
        </w:rPr>
        <w:t>U</w:t>
      </w:r>
      <w:r w:rsidRPr="00CD2CDC">
        <w:rPr>
          <w:lang w:val="fr-FR"/>
        </w:rPr>
        <w:t xml:space="preserve">ne session de restitution </w:t>
      </w:r>
      <w:r>
        <w:rPr>
          <w:lang w:val="fr-FR"/>
        </w:rPr>
        <w:t xml:space="preserve">de ces documents </w:t>
      </w:r>
      <w:r w:rsidRPr="00CD2CDC">
        <w:rPr>
          <w:lang w:val="fr-FR"/>
        </w:rPr>
        <w:t xml:space="preserve">a été organisée par le </w:t>
      </w:r>
      <w:r>
        <w:rPr>
          <w:lang w:val="fr-FR"/>
        </w:rPr>
        <w:t>MICT en décembre 2013</w:t>
      </w:r>
      <w:r w:rsidRPr="00CD2CDC">
        <w:rPr>
          <w:lang w:val="fr-FR"/>
        </w:rPr>
        <w:t>.</w:t>
      </w:r>
    </w:p>
    <w:p w:rsidR="007C0CE2" w:rsidRPr="00CD2CDC" w:rsidRDefault="007C0CE2" w:rsidP="00CD2CDC">
      <w:pPr>
        <w:numPr>
          <w:ilvl w:val="0"/>
          <w:numId w:val="29"/>
        </w:numPr>
        <w:tabs>
          <w:tab w:val="left" w:pos="-720"/>
          <w:tab w:val="left" w:pos="720"/>
        </w:tabs>
        <w:suppressAutoHyphens/>
        <w:ind w:left="720"/>
        <w:jc w:val="both"/>
        <w:rPr>
          <w:lang w:val="fr-FR"/>
        </w:rPr>
      </w:pPr>
      <w:r w:rsidRPr="00CD2CDC">
        <w:rPr>
          <w:lang w:val="fr-FR"/>
        </w:rPr>
        <w:t xml:space="preserve">Des rencontres d’information et d’explication des activités </w:t>
      </w:r>
      <w:r w:rsidR="001365D1">
        <w:rPr>
          <w:lang w:val="fr-FR"/>
        </w:rPr>
        <w:t>de la composante</w:t>
      </w:r>
      <w:r w:rsidRPr="00CD2CDC">
        <w:rPr>
          <w:lang w:val="fr-FR"/>
        </w:rPr>
        <w:t xml:space="preserve"> ont été entreprises avec les nouvelles commissions municipales </w:t>
      </w:r>
      <w:r w:rsidR="001365D1" w:rsidRPr="00CD2CDC">
        <w:rPr>
          <w:lang w:val="fr-FR"/>
        </w:rPr>
        <w:t xml:space="preserve">tout au long de l’année </w:t>
      </w:r>
      <w:r w:rsidRPr="00CD2CDC">
        <w:rPr>
          <w:lang w:val="fr-FR"/>
        </w:rPr>
        <w:t xml:space="preserve">afin d’assurer l’appropriation et la facilitation </w:t>
      </w:r>
      <w:r w:rsidR="00843BF5" w:rsidRPr="00CD2CDC">
        <w:rPr>
          <w:lang w:val="fr-FR"/>
        </w:rPr>
        <w:t xml:space="preserve">de </w:t>
      </w:r>
      <w:r w:rsidR="001365D1">
        <w:rPr>
          <w:lang w:val="fr-FR"/>
        </w:rPr>
        <w:t>leur</w:t>
      </w:r>
      <w:r w:rsidRPr="00CD2CDC">
        <w:rPr>
          <w:lang w:val="fr-FR"/>
        </w:rPr>
        <w:t xml:space="preserve"> réalisation.</w:t>
      </w:r>
    </w:p>
    <w:p w:rsidR="007C0CE2" w:rsidRPr="00CD2CDC" w:rsidRDefault="009E5A85" w:rsidP="00CD2CDC">
      <w:pPr>
        <w:numPr>
          <w:ilvl w:val="0"/>
          <w:numId w:val="29"/>
        </w:numPr>
        <w:tabs>
          <w:tab w:val="left" w:pos="-720"/>
          <w:tab w:val="left" w:pos="720"/>
        </w:tabs>
        <w:suppressAutoHyphens/>
        <w:ind w:left="720"/>
        <w:jc w:val="both"/>
        <w:rPr>
          <w:lang w:val="fr-FR"/>
        </w:rPr>
      </w:pPr>
      <w:r>
        <w:rPr>
          <w:lang w:val="fr-FR"/>
        </w:rPr>
        <w:t>D</w:t>
      </w:r>
      <w:r w:rsidR="007C0CE2" w:rsidRPr="00CD2CDC">
        <w:rPr>
          <w:lang w:val="fr-FR"/>
        </w:rPr>
        <w:t xml:space="preserve">eux sessions d’échange d’information, sous la supervision de la Direction Générale du MICT avec l’appui de la </w:t>
      </w:r>
      <w:r>
        <w:rPr>
          <w:lang w:val="fr-FR"/>
        </w:rPr>
        <w:t>CSEC</w:t>
      </w:r>
      <w:r w:rsidR="007C0CE2" w:rsidRPr="00CD2CDC">
        <w:rPr>
          <w:lang w:val="fr-FR"/>
        </w:rPr>
        <w:t xml:space="preserve"> ont été organisées à l’attention des agents exécutifs municipaux et les cadres administratifs des Agences Techniques Locales.</w:t>
      </w:r>
    </w:p>
    <w:p w:rsidR="009E5A85" w:rsidRPr="00766D5C" w:rsidRDefault="009E5A85" w:rsidP="00477A15">
      <w:pPr>
        <w:tabs>
          <w:tab w:val="left" w:pos="-720"/>
          <w:tab w:val="left" w:pos="4500"/>
        </w:tabs>
        <w:suppressAutoHyphens/>
        <w:jc w:val="both"/>
        <w:rPr>
          <w:b/>
          <w:color w:val="FF0000"/>
          <w:lang w:val="fr-FR"/>
        </w:rPr>
      </w:pPr>
    </w:p>
    <w:p w:rsidR="00CD2CDC" w:rsidRPr="0095703E" w:rsidRDefault="00CD2CDC" w:rsidP="00CD2CDC">
      <w:pPr>
        <w:tabs>
          <w:tab w:val="left" w:pos="-720"/>
          <w:tab w:val="left" w:pos="4500"/>
        </w:tabs>
        <w:suppressAutoHyphens/>
        <w:jc w:val="both"/>
        <w:rPr>
          <w:b/>
          <w:lang w:val="fr-FR"/>
        </w:rPr>
      </w:pPr>
      <w:r w:rsidRPr="0095703E">
        <w:rPr>
          <w:b/>
          <w:lang w:val="fr-FR"/>
        </w:rPr>
        <w:t>Mise en place de dix Agences Techniques Locales (ATL) et de douze Centres de Ressources Communautaires (CRC) :</w:t>
      </w:r>
      <w:r w:rsidRPr="0095703E">
        <w:rPr>
          <w:b/>
          <w:i/>
          <w:lang w:val="fr-FR"/>
        </w:rPr>
        <w:t xml:space="preserve"> </w:t>
      </w:r>
    </w:p>
    <w:p w:rsidR="007C0CE2" w:rsidRPr="0095703E" w:rsidRDefault="007C0CE2" w:rsidP="007C0CE2">
      <w:pPr>
        <w:pStyle w:val="BodyText2"/>
        <w:ind w:left="360"/>
        <w:rPr>
          <w:b/>
          <w:color w:val="FF0000"/>
          <w:sz w:val="16"/>
          <w:lang w:val="fr-FR"/>
        </w:rPr>
      </w:pPr>
    </w:p>
    <w:p w:rsidR="002D633D" w:rsidRDefault="007C0CE2" w:rsidP="002D633D">
      <w:pPr>
        <w:tabs>
          <w:tab w:val="left" w:pos="-720"/>
          <w:tab w:val="left" w:pos="1080"/>
        </w:tabs>
        <w:suppressAutoHyphens/>
        <w:jc w:val="both"/>
        <w:rPr>
          <w:b/>
          <w:highlight w:val="yellow"/>
          <w:lang w:val="fr-FR"/>
        </w:rPr>
      </w:pPr>
      <w:r w:rsidRPr="0095703E">
        <w:rPr>
          <w:b/>
          <w:lang w:val="fr-FR"/>
        </w:rPr>
        <w:t>ATL :</w:t>
      </w:r>
      <w:r w:rsidRPr="0095703E">
        <w:rPr>
          <w:b/>
          <w:highlight w:val="yellow"/>
          <w:lang w:val="fr-FR"/>
        </w:rPr>
        <w:t xml:space="preserve"> </w:t>
      </w:r>
    </w:p>
    <w:p w:rsidR="00546263" w:rsidRDefault="007C0CE2" w:rsidP="00546263">
      <w:pPr>
        <w:numPr>
          <w:ilvl w:val="0"/>
          <w:numId w:val="29"/>
        </w:numPr>
        <w:tabs>
          <w:tab w:val="left" w:pos="-720"/>
          <w:tab w:val="left" w:pos="720"/>
        </w:tabs>
        <w:suppressAutoHyphens/>
        <w:ind w:left="720"/>
        <w:jc w:val="both"/>
        <w:rPr>
          <w:lang w:val="fr-FR"/>
        </w:rPr>
      </w:pPr>
      <w:r w:rsidRPr="00760D2B">
        <w:rPr>
          <w:lang w:val="fr-FR"/>
        </w:rPr>
        <w:t xml:space="preserve">Un total de 60 profils ont été couverts pour les 10 ATL dans les 10 communes du </w:t>
      </w:r>
      <w:r w:rsidR="007D2DAA">
        <w:rPr>
          <w:lang w:val="fr-FR"/>
        </w:rPr>
        <w:t>Programme</w:t>
      </w:r>
      <w:r w:rsidRPr="00760D2B">
        <w:rPr>
          <w:lang w:val="fr-FR"/>
        </w:rPr>
        <w:t>.</w:t>
      </w:r>
      <w:r w:rsidR="00766D5C" w:rsidRPr="00766D5C">
        <w:rPr>
          <w:lang w:val="fr-FR"/>
        </w:rPr>
        <w:t xml:space="preserve"> </w:t>
      </w:r>
      <w:r w:rsidR="00766D5C" w:rsidRPr="00760D2B">
        <w:rPr>
          <w:lang w:val="fr-FR"/>
        </w:rPr>
        <w:t xml:space="preserve">La plupart des agences techniques locales sont installées dans les locaux abritant les bureaux municipaux, certains autres sont installées dans les mêmes locaux </w:t>
      </w:r>
      <w:r w:rsidR="00766D5C">
        <w:rPr>
          <w:lang w:val="fr-FR"/>
        </w:rPr>
        <w:t>des Centres de Ressources C</w:t>
      </w:r>
      <w:r w:rsidR="00766D5C" w:rsidRPr="00760D2B">
        <w:rPr>
          <w:lang w:val="fr-FR"/>
        </w:rPr>
        <w:t>ommunautaires facilitant la proximité d’équipe et d’action.</w:t>
      </w:r>
    </w:p>
    <w:p w:rsidR="007C0CE2" w:rsidRPr="00546263" w:rsidRDefault="007C0CE2" w:rsidP="00546263">
      <w:pPr>
        <w:numPr>
          <w:ilvl w:val="0"/>
          <w:numId w:val="29"/>
        </w:numPr>
        <w:tabs>
          <w:tab w:val="left" w:pos="-720"/>
          <w:tab w:val="left" w:pos="720"/>
        </w:tabs>
        <w:suppressAutoHyphens/>
        <w:ind w:left="720"/>
        <w:jc w:val="both"/>
        <w:rPr>
          <w:lang w:val="fr-FR"/>
        </w:rPr>
      </w:pPr>
      <w:r w:rsidRPr="00546263">
        <w:rPr>
          <w:lang w:val="fr-FR"/>
        </w:rPr>
        <w:t xml:space="preserve">Dans la continuité de l’opérationnalisation des ATL, un deuxième transfert de fonds a été réalisé au bénéfice de 10 communes et du MICT. Les véhicules et le matériel informatique ont été transférés aux institutions partenaires </w:t>
      </w:r>
      <w:r w:rsidR="006C2FF0" w:rsidRPr="00546263">
        <w:rPr>
          <w:lang w:val="fr-FR"/>
        </w:rPr>
        <w:t>à</w:t>
      </w:r>
      <w:r w:rsidRPr="00546263">
        <w:rPr>
          <w:lang w:val="fr-FR"/>
        </w:rPr>
        <w:t xml:space="preserve"> l’exception de la commune de Delmas dont le staff </w:t>
      </w:r>
      <w:r w:rsidR="006C2FF0" w:rsidRPr="00546263">
        <w:rPr>
          <w:lang w:val="fr-FR"/>
        </w:rPr>
        <w:t>n’</w:t>
      </w:r>
      <w:r w:rsidRPr="00546263">
        <w:rPr>
          <w:lang w:val="fr-FR"/>
        </w:rPr>
        <w:t xml:space="preserve">est </w:t>
      </w:r>
      <w:r w:rsidR="006C2FF0" w:rsidRPr="00546263">
        <w:rPr>
          <w:lang w:val="fr-FR"/>
        </w:rPr>
        <w:t>pas</w:t>
      </w:r>
      <w:r w:rsidRPr="00546263">
        <w:rPr>
          <w:lang w:val="fr-FR"/>
        </w:rPr>
        <w:t xml:space="preserve"> encore </w:t>
      </w:r>
      <w:r w:rsidR="006C2FF0" w:rsidRPr="00546263">
        <w:rPr>
          <w:lang w:val="fr-FR"/>
        </w:rPr>
        <w:t>installé dans des bureaux définitifs</w:t>
      </w:r>
      <w:r w:rsidRPr="00546263">
        <w:rPr>
          <w:lang w:val="fr-FR"/>
        </w:rPr>
        <w:t>.</w:t>
      </w:r>
    </w:p>
    <w:p w:rsidR="002D633D" w:rsidRDefault="002D633D" w:rsidP="002D633D">
      <w:pPr>
        <w:ind w:right="57"/>
        <w:jc w:val="both"/>
        <w:rPr>
          <w:sz w:val="16"/>
          <w:lang w:val="fr-FR"/>
        </w:rPr>
      </w:pPr>
    </w:p>
    <w:p w:rsidR="007C0CE2" w:rsidRPr="0066391B" w:rsidRDefault="007C0CE2" w:rsidP="002D633D">
      <w:pPr>
        <w:ind w:right="57"/>
        <w:jc w:val="both"/>
        <w:rPr>
          <w:b/>
          <w:sz w:val="22"/>
          <w:szCs w:val="22"/>
          <w:lang w:val="fr-FR"/>
        </w:rPr>
      </w:pPr>
      <w:r w:rsidRPr="0066391B">
        <w:rPr>
          <w:b/>
          <w:sz w:val="22"/>
          <w:szCs w:val="22"/>
          <w:lang w:val="fr-FR"/>
        </w:rPr>
        <w:t>CRC :</w:t>
      </w:r>
    </w:p>
    <w:p w:rsidR="00546263" w:rsidRDefault="00546263" w:rsidP="00C37977">
      <w:pPr>
        <w:jc w:val="both"/>
        <w:rPr>
          <w:lang w:val="fr-FR"/>
        </w:rPr>
      </w:pPr>
      <w:r>
        <w:rPr>
          <w:lang w:val="fr-FR"/>
        </w:rPr>
        <w:t>L</w:t>
      </w:r>
      <w:r w:rsidRPr="0066391B">
        <w:rPr>
          <w:lang w:val="fr-FR"/>
        </w:rPr>
        <w:t xml:space="preserve">es </w:t>
      </w:r>
      <w:r>
        <w:rPr>
          <w:lang w:val="fr-FR"/>
        </w:rPr>
        <w:t>bâtiments préfabriqués destinés à héberger les CRC</w:t>
      </w:r>
      <w:r w:rsidRPr="0066391B">
        <w:rPr>
          <w:lang w:val="fr-FR"/>
        </w:rPr>
        <w:t xml:space="preserve"> ont été donnés par la MINUSTAH via le </w:t>
      </w:r>
      <w:r>
        <w:rPr>
          <w:lang w:val="fr-FR"/>
        </w:rPr>
        <w:t>MICT</w:t>
      </w:r>
      <w:r w:rsidRPr="0066391B">
        <w:rPr>
          <w:lang w:val="fr-FR"/>
        </w:rPr>
        <w:t xml:space="preserve"> en juillet 2012</w:t>
      </w:r>
      <w:r w:rsidR="00766D5C">
        <w:rPr>
          <w:lang w:val="fr-FR"/>
        </w:rPr>
        <w:t xml:space="preserve"> et d</w:t>
      </w:r>
      <w:r w:rsidRPr="0066391B">
        <w:rPr>
          <w:lang w:val="fr-FR"/>
        </w:rPr>
        <w:t xml:space="preserve">epuis </w:t>
      </w:r>
      <w:r>
        <w:rPr>
          <w:lang w:val="fr-FR"/>
        </w:rPr>
        <w:t>l</w:t>
      </w:r>
      <w:r w:rsidRPr="0066391B">
        <w:rPr>
          <w:lang w:val="fr-FR"/>
        </w:rPr>
        <w:t>’OIM s’est évertué à les construire</w:t>
      </w:r>
      <w:r>
        <w:rPr>
          <w:lang w:val="fr-FR"/>
        </w:rPr>
        <w:t xml:space="preserve">. </w:t>
      </w:r>
      <w:r w:rsidR="00C37977">
        <w:rPr>
          <w:lang w:val="fr-FR"/>
        </w:rPr>
        <w:t xml:space="preserve">A la fin de 2013 dix </w:t>
      </w:r>
      <w:r w:rsidR="007C0CE2" w:rsidRPr="0066391B">
        <w:rPr>
          <w:lang w:val="fr-FR"/>
        </w:rPr>
        <w:t xml:space="preserve">CRC </w:t>
      </w:r>
      <w:r w:rsidR="00766D5C">
        <w:rPr>
          <w:lang w:val="fr-FR"/>
        </w:rPr>
        <w:t xml:space="preserve">ont </w:t>
      </w:r>
      <w:r w:rsidR="00C37977">
        <w:rPr>
          <w:lang w:val="fr-FR"/>
        </w:rPr>
        <w:t>été construits des douze</w:t>
      </w:r>
      <w:r w:rsidR="007C0CE2" w:rsidRPr="0066391B">
        <w:rPr>
          <w:lang w:val="fr-FR"/>
        </w:rPr>
        <w:t xml:space="preserve"> </w:t>
      </w:r>
      <w:r w:rsidR="00441F3D">
        <w:rPr>
          <w:lang w:val="fr-FR"/>
        </w:rPr>
        <w:t>prévu</w:t>
      </w:r>
      <w:r w:rsidR="00C37977">
        <w:rPr>
          <w:lang w:val="fr-FR"/>
        </w:rPr>
        <w:t>s</w:t>
      </w:r>
      <w:r w:rsidR="007C0CE2" w:rsidRPr="0066391B">
        <w:rPr>
          <w:lang w:val="fr-FR"/>
        </w:rPr>
        <w:t xml:space="preserve"> dans le </w:t>
      </w:r>
      <w:r w:rsidR="007D2DAA">
        <w:rPr>
          <w:lang w:val="fr-FR"/>
        </w:rPr>
        <w:t>Programme</w:t>
      </w:r>
      <w:r w:rsidR="00C37977">
        <w:rPr>
          <w:lang w:val="fr-FR"/>
        </w:rPr>
        <w:t>. L</w:t>
      </w:r>
      <w:r w:rsidR="007C0CE2" w:rsidRPr="0066391B">
        <w:rPr>
          <w:lang w:val="fr-FR"/>
        </w:rPr>
        <w:t xml:space="preserve">es </w:t>
      </w:r>
      <w:r w:rsidR="00C37977">
        <w:rPr>
          <w:lang w:val="fr-FR"/>
        </w:rPr>
        <w:t>CRC</w:t>
      </w:r>
      <w:r w:rsidR="007C0CE2" w:rsidRPr="0066391B">
        <w:rPr>
          <w:lang w:val="fr-FR"/>
        </w:rPr>
        <w:t xml:space="preserve"> </w:t>
      </w:r>
      <w:r w:rsidR="00C37977">
        <w:rPr>
          <w:lang w:val="fr-FR"/>
        </w:rPr>
        <w:t xml:space="preserve">opérationnels à cette date sont ceux des </w:t>
      </w:r>
      <w:r w:rsidR="007C0CE2" w:rsidRPr="0066391B">
        <w:rPr>
          <w:lang w:val="fr-FR"/>
        </w:rPr>
        <w:t>communes de </w:t>
      </w:r>
      <w:proofErr w:type="spellStart"/>
      <w:r w:rsidR="00C37977">
        <w:rPr>
          <w:lang w:val="fr-FR"/>
        </w:rPr>
        <w:t>Tabarre</w:t>
      </w:r>
      <w:proofErr w:type="spellEnd"/>
      <w:r w:rsidR="00C37977">
        <w:rPr>
          <w:lang w:val="fr-FR"/>
        </w:rPr>
        <w:t>, Carrefour, Cité-Soleil, Croix-des-Bouquets, Pétion-Ville, Port-au-</w:t>
      </w:r>
      <w:r w:rsidR="007C0CE2" w:rsidRPr="00441F3D">
        <w:rPr>
          <w:lang w:val="fr-FR"/>
        </w:rPr>
        <w:t>Pr</w:t>
      </w:r>
      <w:r w:rsidR="00C37977">
        <w:rPr>
          <w:lang w:val="fr-FR"/>
        </w:rPr>
        <w:t xml:space="preserve">ince, </w:t>
      </w:r>
      <w:proofErr w:type="spellStart"/>
      <w:r w:rsidR="00C37977">
        <w:rPr>
          <w:lang w:val="fr-FR"/>
        </w:rPr>
        <w:t>Léogane</w:t>
      </w:r>
      <w:proofErr w:type="spellEnd"/>
      <w:r w:rsidR="00C37977">
        <w:rPr>
          <w:lang w:val="fr-FR"/>
        </w:rPr>
        <w:t xml:space="preserve">, </w:t>
      </w:r>
      <w:proofErr w:type="spellStart"/>
      <w:r w:rsidR="00C37977">
        <w:rPr>
          <w:lang w:val="fr-FR"/>
        </w:rPr>
        <w:t>Miragoane</w:t>
      </w:r>
      <w:proofErr w:type="spellEnd"/>
      <w:r w:rsidR="00C37977">
        <w:rPr>
          <w:lang w:val="fr-FR"/>
        </w:rPr>
        <w:t>, Saint-</w:t>
      </w:r>
      <w:r w:rsidR="007C0CE2" w:rsidRPr="00441F3D">
        <w:rPr>
          <w:lang w:val="fr-FR"/>
        </w:rPr>
        <w:t>Marc, et Jacmel.</w:t>
      </w:r>
      <w:r>
        <w:rPr>
          <w:lang w:val="fr-FR"/>
        </w:rPr>
        <w:t xml:space="preserve"> </w:t>
      </w:r>
    </w:p>
    <w:p w:rsidR="00546263" w:rsidRDefault="00546263" w:rsidP="002D633D">
      <w:pPr>
        <w:jc w:val="both"/>
        <w:rPr>
          <w:lang w:val="fr-FR"/>
        </w:rPr>
      </w:pPr>
    </w:p>
    <w:p w:rsidR="00C37977" w:rsidRDefault="00C37977" w:rsidP="002D633D">
      <w:pPr>
        <w:jc w:val="both"/>
        <w:rPr>
          <w:lang w:val="fr-FR"/>
        </w:rPr>
      </w:pPr>
      <w:r w:rsidRPr="00C37977">
        <w:rPr>
          <w:lang w:val="fr-FR"/>
        </w:rPr>
        <w:t xml:space="preserve">De plus, le MICT conjointement avec OIM et les municipalités ont finalisé en bien le recrutement des agents CRC pour  les communes de Port-au-Prince, Pétion-Ville, </w:t>
      </w:r>
      <w:proofErr w:type="spellStart"/>
      <w:r w:rsidRPr="00C37977">
        <w:rPr>
          <w:lang w:val="fr-FR"/>
        </w:rPr>
        <w:t>Leogane</w:t>
      </w:r>
      <w:proofErr w:type="spellEnd"/>
      <w:r w:rsidRPr="00C37977">
        <w:rPr>
          <w:lang w:val="fr-FR"/>
        </w:rPr>
        <w:t xml:space="preserve">, </w:t>
      </w:r>
      <w:proofErr w:type="spellStart"/>
      <w:r w:rsidRPr="00C37977">
        <w:rPr>
          <w:lang w:val="fr-FR"/>
        </w:rPr>
        <w:t>Miragoane</w:t>
      </w:r>
      <w:proofErr w:type="spellEnd"/>
      <w:r w:rsidRPr="00C37977">
        <w:rPr>
          <w:lang w:val="fr-FR"/>
        </w:rPr>
        <w:t xml:space="preserve"> et Saint-Marc. 32 agents opèrent les </w:t>
      </w:r>
      <w:r>
        <w:rPr>
          <w:lang w:val="fr-FR"/>
        </w:rPr>
        <w:t>CRC</w:t>
      </w:r>
      <w:r w:rsidRPr="00C37977">
        <w:rPr>
          <w:lang w:val="fr-FR"/>
        </w:rPr>
        <w:t xml:space="preserve"> et supportent la communication sociale et la mobilisation au sein des communes </w:t>
      </w:r>
      <w:r w:rsidR="00766D5C" w:rsidRPr="00C37977">
        <w:rPr>
          <w:lang w:val="fr-FR"/>
        </w:rPr>
        <w:t>où</w:t>
      </w:r>
      <w:r w:rsidR="00766D5C">
        <w:rPr>
          <w:lang w:val="fr-FR"/>
        </w:rPr>
        <w:t xml:space="preserve"> ils sont établi</w:t>
      </w:r>
      <w:r w:rsidRPr="00C37977">
        <w:rPr>
          <w:lang w:val="fr-FR"/>
        </w:rPr>
        <w:t>s.</w:t>
      </w:r>
    </w:p>
    <w:p w:rsidR="00C37977" w:rsidRDefault="00C37977" w:rsidP="002D633D">
      <w:pPr>
        <w:jc w:val="both"/>
        <w:rPr>
          <w:lang w:val="fr-FR"/>
        </w:rPr>
      </w:pPr>
    </w:p>
    <w:p w:rsidR="007C0CE2" w:rsidRPr="008C723F" w:rsidRDefault="00C37977" w:rsidP="002D633D">
      <w:pPr>
        <w:jc w:val="both"/>
        <w:rPr>
          <w:highlight w:val="yellow"/>
          <w:lang w:val="fr-FR"/>
        </w:rPr>
      </w:pPr>
      <w:r>
        <w:rPr>
          <w:lang w:val="fr-FR"/>
        </w:rPr>
        <w:t>L’OIM a également supportée</w:t>
      </w:r>
      <w:r w:rsidRPr="0066391B">
        <w:rPr>
          <w:lang w:val="fr-FR"/>
        </w:rPr>
        <w:t xml:space="preserve"> les municipalités dans  le processus de compréhension du </w:t>
      </w:r>
      <w:r w:rsidR="007D2DAA">
        <w:rPr>
          <w:lang w:val="fr-FR"/>
        </w:rPr>
        <w:t>Programme</w:t>
      </w:r>
      <w:r w:rsidRPr="0066391B">
        <w:rPr>
          <w:lang w:val="fr-FR"/>
        </w:rPr>
        <w:t xml:space="preserve"> et à la coordination des a</w:t>
      </w:r>
      <w:r>
        <w:rPr>
          <w:lang w:val="fr-FR"/>
        </w:rPr>
        <w:t>ctions au sein des communautés.</w:t>
      </w:r>
      <w:r w:rsidR="007C0CE2" w:rsidRPr="0066391B">
        <w:rPr>
          <w:lang w:val="fr-FR"/>
        </w:rPr>
        <w:t xml:space="preserve"> </w:t>
      </w:r>
      <w:r>
        <w:rPr>
          <w:lang w:val="fr-FR"/>
        </w:rPr>
        <w:t>D</w:t>
      </w:r>
      <w:r w:rsidR="007C0CE2" w:rsidRPr="0066391B">
        <w:rPr>
          <w:lang w:val="fr-FR"/>
        </w:rPr>
        <w:t>es plans d’actions ont été développé</w:t>
      </w:r>
      <w:r>
        <w:rPr>
          <w:lang w:val="fr-FR"/>
        </w:rPr>
        <w:t>s</w:t>
      </w:r>
      <w:r w:rsidR="00766D5C">
        <w:rPr>
          <w:lang w:val="fr-FR"/>
        </w:rPr>
        <w:t xml:space="preserve"> pour rendre applicable les termes de r</w:t>
      </w:r>
      <w:r w:rsidR="00766D5C" w:rsidRPr="0066391B">
        <w:rPr>
          <w:lang w:val="fr-FR"/>
        </w:rPr>
        <w:t>éférence</w:t>
      </w:r>
      <w:r w:rsidR="007C0CE2" w:rsidRPr="0066391B">
        <w:rPr>
          <w:lang w:val="fr-FR"/>
        </w:rPr>
        <w:t xml:space="preserve"> lié</w:t>
      </w:r>
      <w:r>
        <w:rPr>
          <w:lang w:val="fr-FR"/>
        </w:rPr>
        <w:t>s</w:t>
      </w:r>
      <w:r w:rsidR="007C0CE2" w:rsidRPr="0066391B">
        <w:rPr>
          <w:lang w:val="fr-FR"/>
        </w:rPr>
        <w:t xml:space="preserve"> aux activités du </w:t>
      </w:r>
      <w:r w:rsidR="007D2DAA">
        <w:rPr>
          <w:lang w:val="fr-FR"/>
        </w:rPr>
        <w:t>Programme</w:t>
      </w:r>
      <w:r w:rsidR="007C0CE2" w:rsidRPr="0066391B">
        <w:rPr>
          <w:lang w:val="fr-FR"/>
        </w:rPr>
        <w:t>.</w:t>
      </w:r>
    </w:p>
    <w:p w:rsidR="007C0CE2" w:rsidRPr="0066391B" w:rsidRDefault="007C0CE2" w:rsidP="007C0CE2">
      <w:pPr>
        <w:ind w:left="360"/>
        <w:jc w:val="both"/>
        <w:rPr>
          <w:sz w:val="16"/>
          <w:lang w:val="fr-FR"/>
        </w:rPr>
      </w:pPr>
    </w:p>
    <w:p w:rsidR="007C0CE2" w:rsidRPr="0066391B" w:rsidRDefault="00C37977" w:rsidP="007C0CE2">
      <w:pPr>
        <w:pStyle w:val="ListParagraph"/>
        <w:numPr>
          <w:ilvl w:val="0"/>
          <w:numId w:val="32"/>
        </w:numPr>
        <w:ind w:right="57"/>
        <w:jc w:val="both"/>
        <w:rPr>
          <w:lang w:val="fr-FR"/>
        </w:rPr>
      </w:pPr>
      <w:r>
        <w:rPr>
          <w:lang w:val="fr-FR"/>
        </w:rPr>
        <w:lastRenderedPageBreak/>
        <w:t>Une feuille de r</w:t>
      </w:r>
      <w:r w:rsidR="007C0CE2" w:rsidRPr="0066391B">
        <w:rPr>
          <w:lang w:val="fr-FR"/>
        </w:rPr>
        <w:t xml:space="preserve">oute a été </w:t>
      </w:r>
      <w:r w:rsidR="00766D5C" w:rsidRPr="0066391B">
        <w:rPr>
          <w:lang w:val="fr-FR"/>
        </w:rPr>
        <w:t>développée</w:t>
      </w:r>
      <w:r w:rsidR="007C0CE2" w:rsidRPr="0066391B">
        <w:rPr>
          <w:lang w:val="fr-FR"/>
        </w:rPr>
        <w:t xml:space="preserve"> avec les agents communautaires et les plateformes afin de déterminés les premières étapes </w:t>
      </w:r>
      <w:r w:rsidR="00766D5C">
        <w:rPr>
          <w:lang w:val="fr-FR"/>
        </w:rPr>
        <w:t>lies à leur entrée en fonction.</w:t>
      </w:r>
    </w:p>
    <w:p w:rsidR="007C0CE2" w:rsidRPr="0066391B" w:rsidRDefault="007C0CE2" w:rsidP="007C0CE2">
      <w:pPr>
        <w:numPr>
          <w:ilvl w:val="0"/>
          <w:numId w:val="32"/>
        </w:numPr>
        <w:jc w:val="both"/>
        <w:rPr>
          <w:lang w:val="fr-FR"/>
        </w:rPr>
      </w:pPr>
      <w:r w:rsidRPr="0066391B">
        <w:rPr>
          <w:lang w:val="fr-FR"/>
        </w:rPr>
        <w:t xml:space="preserve">Des outils de communication sont </w:t>
      </w:r>
      <w:r w:rsidR="00766D5C" w:rsidRPr="0066391B">
        <w:rPr>
          <w:lang w:val="fr-FR"/>
        </w:rPr>
        <w:t>mis</w:t>
      </w:r>
      <w:r w:rsidRPr="0066391B">
        <w:rPr>
          <w:lang w:val="fr-FR"/>
        </w:rPr>
        <w:t xml:space="preserve"> à disposition des C</w:t>
      </w:r>
      <w:r w:rsidR="00C37977">
        <w:rPr>
          <w:lang w:val="fr-FR"/>
        </w:rPr>
        <w:t>RC</w:t>
      </w:r>
      <w:r w:rsidRPr="0066391B">
        <w:rPr>
          <w:lang w:val="fr-FR"/>
        </w:rPr>
        <w:t xml:space="preserve"> ainsi que des éléments didactiques pouvant illustrés les b</w:t>
      </w:r>
      <w:r w:rsidR="00766D5C">
        <w:rPr>
          <w:lang w:val="fr-FR"/>
        </w:rPr>
        <w:t>onnes méthodes de construction.</w:t>
      </w:r>
    </w:p>
    <w:p w:rsidR="007C0CE2" w:rsidRPr="002D633D" w:rsidRDefault="008C723F" w:rsidP="002D633D">
      <w:pPr>
        <w:numPr>
          <w:ilvl w:val="0"/>
          <w:numId w:val="32"/>
        </w:numPr>
        <w:jc w:val="both"/>
        <w:rPr>
          <w:lang w:val="fr-FR"/>
        </w:rPr>
      </w:pPr>
      <w:r w:rsidRPr="002D633D">
        <w:rPr>
          <w:lang w:val="fr-FR"/>
        </w:rPr>
        <w:t>Des formation</w:t>
      </w:r>
      <w:r w:rsidR="00C37977">
        <w:rPr>
          <w:lang w:val="fr-FR"/>
        </w:rPr>
        <w:t>s en mobilisation social et en t</w:t>
      </w:r>
      <w:r w:rsidRPr="002D633D">
        <w:rPr>
          <w:lang w:val="fr-FR"/>
        </w:rPr>
        <w:t xml:space="preserve">echniques d’animation sont menées au sein des </w:t>
      </w:r>
      <w:r w:rsidR="00C37977">
        <w:rPr>
          <w:lang w:val="fr-FR"/>
        </w:rPr>
        <w:t>CRC</w:t>
      </w:r>
      <w:r w:rsidRPr="002D633D">
        <w:rPr>
          <w:lang w:val="fr-FR"/>
        </w:rPr>
        <w:t xml:space="preserve"> depuis le mois de </w:t>
      </w:r>
      <w:r w:rsidR="00C37977">
        <w:rPr>
          <w:lang w:val="fr-FR"/>
        </w:rPr>
        <w:t>d</w:t>
      </w:r>
      <w:r w:rsidRPr="002D633D">
        <w:rPr>
          <w:lang w:val="fr-FR"/>
        </w:rPr>
        <w:t>écembre 2013</w:t>
      </w:r>
      <w:r w:rsidR="00766D5C">
        <w:rPr>
          <w:lang w:val="fr-FR"/>
        </w:rPr>
        <w:t>.</w:t>
      </w:r>
    </w:p>
    <w:p w:rsidR="007C0CE2" w:rsidRPr="0066391B" w:rsidRDefault="007C0CE2" w:rsidP="007C0CE2">
      <w:pPr>
        <w:numPr>
          <w:ilvl w:val="0"/>
          <w:numId w:val="32"/>
        </w:numPr>
        <w:jc w:val="both"/>
        <w:rPr>
          <w:lang w:val="fr-FR"/>
        </w:rPr>
      </w:pPr>
      <w:r w:rsidRPr="0066391B">
        <w:rPr>
          <w:lang w:val="fr-FR"/>
        </w:rPr>
        <w:t>Les CRC sont utilisés comme espace de rencon</w:t>
      </w:r>
      <w:r w:rsidR="00C37977">
        <w:rPr>
          <w:lang w:val="fr-FR"/>
        </w:rPr>
        <w:t>tre et de concertation par les c</w:t>
      </w:r>
      <w:r w:rsidRPr="0066391B">
        <w:rPr>
          <w:lang w:val="fr-FR"/>
        </w:rPr>
        <w:t>ommunautés</w:t>
      </w:r>
      <w:r w:rsidR="00766D5C">
        <w:rPr>
          <w:lang w:val="fr-FR"/>
        </w:rPr>
        <w:t>.</w:t>
      </w:r>
    </w:p>
    <w:p w:rsidR="007C0CE2" w:rsidRPr="0066391B" w:rsidRDefault="007C0CE2" w:rsidP="007C0CE2">
      <w:pPr>
        <w:numPr>
          <w:ilvl w:val="0"/>
          <w:numId w:val="32"/>
        </w:numPr>
        <w:jc w:val="both"/>
        <w:rPr>
          <w:lang w:val="fr-FR"/>
        </w:rPr>
      </w:pPr>
      <w:r w:rsidRPr="0066391B">
        <w:rPr>
          <w:lang w:val="fr-FR"/>
        </w:rPr>
        <w:t>Les CRC sont sollicités pour des rencontres entre les organisations non gouvernemental</w:t>
      </w:r>
      <w:r w:rsidR="00766D5C">
        <w:rPr>
          <w:lang w:val="fr-FR"/>
        </w:rPr>
        <w:t>es et les populations affectés.</w:t>
      </w:r>
    </w:p>
    <w:p w:rsidR="007C0CE2" w:rsidRPr="00635359" w:rsidRDefault="007C0CE2" w:rsidP="00635359">
      <w:pPr>
        <w:pStyle w:val="BodyText2"/>
        <w:rPr>
          <w:b/>
          <w:sz w:val="24"/>
          <w:szCs w:val="24"/>
          <w:lang w:val="fr-FR"/>
        </w:rPr>
      </w:pPr>
    </w:p>
    <w:p w:rsidR="007C0CE2" w:rsidRPr="00635359" w:rsidRDefault="007C0CE2" w:rsidP="002D633D">
      <w:pPr>
        <w:pStyle w:val="BodyText2"/>
        <w:rPr>
          <w:rFonts w:ascii="Times New Roman" w:hAnsi="Times New Roman" w:cs="Times New Roman"/>
          <w:b/>
          <w:sz w:val="24"/>
          <w:szCs w:val="24"/>
          <w:lang w:val="fr-FR"/>
        </w:rPr>
      </w:pPr>
      <w:r w:rsidRPr="00635359">
        <w:rPr>
          <w:rFonts w:ascii="Times New Roman" w:hAnsi="Times New Roman" w:cs="Times New Roman"/>
          <w:b/>
          <w:sz w:val="24"/>
          <w:szCs w:val="24"/>
          <w:lang w:val="fr-FR"/>
        </w:rPr>
        <w:t>Produits</w:t>
      </w:r>
    </w:p>
    <w:p w:rsidR="007C0CE2" w:rsidRDefault="007C0CE2" w:rsidP="007C0CE2">
      <w:pPr>
        <w:pStyle w:val="BodyText2"/>
        <w:ind w:left="360"/>
        <w:rPr>
          <w:rFonts w:ascii="Times New Roman" w:hAnsi="Times New Roman" w:cs="Times New Roman"/>
          <w:b/>
          <w:i/>
          <w:sz w:val="24"/>
          <w:szCs w:val="24"/>
          <w:lang w:val="fr-FR"/>
        </w:rPr>
      </w:pPr>
    </w:p>
    <w:p w:rsidR="007C0CE2" w:rsidRDefault="007C0CE2" w:rsidP="002D633D">
      <w:pPr>
        <w:pStyle w:val="BodyText2"/>
        <w:rPr>
          <w:rFonts w:ascii="Times New Roman" w:hAnsi="Times New Roman" w:cs="Times New Roman"/>
          <w:sz w:val="24"/>
          <w:szCs w:val="24"/>
          <w:lang w:val="fr-FR"/>
        </w:rPr>
      </w:pPr>
      <w:r w:rsidRPr="00FB3C98">
        <w:rPr>
          <w:rFonts w:ascii="Times New Roman" w:hAnsi="Times New Roman" w:cs="Times New Roman"/>
          <w:sz w:val="24"/>
          <w:szCs w:val="24"/>
          <w:lang w:val="fr-FR"/>
        </w:rPr>
        <w:t>Capacités renforcées du MICT dans le cadre de son mandat d’appui aux collectivités territoriales sur</w:t>
      </w:r>
      <w:r w:rsidR="004525B4">
        <w:rPr>
          <w:rFonts w:ascii="Times New Roman" w:hAnsi="Times New Roman" w:cs="Times New Roman"/>
          <w:sz w:val="24"/>
          <w:szCs w:val="24"/>
          <w:lang w:val="fr-FR"/>
        </w:rPr>
        <w:t xml:space="preserve"> le plan technique et financier :</w:t>
      </w:r>
    </w:p>
    <w:p w:rsidR="004525B4" w:rsidRPr="00FB3C98" w:rsidRDefault="004525B4" w:rsidP="002D633D">
      <w:pPr>
        <w:pStyle w:val="BodyText2"/>
        <w:rPr>
          <w:rFonts w:ascii="Times New Roman" w:hAnsi="Times New Roman" w:cs="Times New Roman"/>
          <w:sz w:val="24"/>
          <w:szCs w:val="24"/>
          <w:lang w:val="fr-FR"/>
        </w:rPr>
      </w:pPr>
    </w:p>
    <w:p w:rsidR="007C0CE2" w:rsidRPr="0065365E" w:rsidRDefault="007C0CE2" w:rsidP="002D633D">
      <w:pPr>
        <w:pStyle w:val="BodyText2"/>
        <w:numPr>
          <w:ilvl w:val="0"/>
          <w:numId w:val="34"/>
        </w:numPr>
        <w:ind w:left="720"/>
        <w:rPr>
          <w:rFonts w:ascii="Times New Roman" w:hAnsi="Times New Roman" w:cs="Times New Roman"/>
          <w:sz w:val="24"/>
          <w:szCs w:val="24"/>
          <w:lang w:val="fr-FR"/>
        </w:rPr>
      </w:pPr>
      <w:r w:rsidRPr="0065365E">
        <w:rPr>
          <w:rFonts w:ascii="Times New Roman" w:hAnsi="Times New Roman" w:cs="Times New Roman"/>
          <w:sz w:val="24"/>
          <w:szCs w:val="24"/>
          <w:lang w:val="fr-FR"/>
        </w:rPr>
        <w:t xml:space="preserve">Coordination technique ATL/CRC, en appui </w:t>
      </w:r>
      <w:r w:rsidR="004525B4" w:rsidRPr="0065365E">
        <w:rPr>
          <w:rFonts w:ascii="Times New Roman" w:hAnsi="Times New Roman" w:cs="Times New Roman"/>
          <w:sz w:val="24"/>
          <w:szCs w:val="24"/>
          <w:lang w:val="fr-FR"/>
        </w:rPr>
        <w:t>à</w:t>
      </w:r>
      <w:r w:rsidRPr="0065365E">
        <w:rPr>
          <w:rFonts w:ascii="Times New Roman" w:hAnsi="Times New Roman" w:cs="Times New Roman"/>
          <w:sz w:val="24"/>
          <w:szCs w:val="24"/>
          <w:lang w:val="fr-FR"/>
        </w:rPr>
        <w:t xml:space="preserve"> la Direction des Collectivités Territoriales</w:t>
      </w:r>
      <w:r w:rsidR="004525B4">
        <w:rPr>
          <w:rFonts w:ascii="Times New Roman" w:hAnsi="Times New Roman" w:cs="Times New Roman"/>
          <w:sz w:val="24"/>
          <w:szCs w:val="24"/>
          <w:lang w:val="fr-FR"/>
        </w:rPr>
        <w:t xml:space="preserve"> (DCT)</w:t>
      </w:r>
      <w:r w:rsidRPr="0065365E">
        <w:rPr>
          <w:rFonts w:ascii="Times New Roman" w:hAnsi="Times New Roman" w:cs="Times New Roman"/>
          <w:sz w:val="24"/>
          <w:szCs w:val="24"/>
          <w:lang w:val="fr-FR"/>
        </w:rPr>
        <w:t>, en place et hébergée au niveau du MICT ;</w:t>
      </w:r>
    </w:p>
    <w:p w:rsidR="007C0CE2" w:rsidRPr="0065365E" w:rsidRDefault="007C0CE2" w:rsidP="002D633D">
      <w:pPr>
        <w:pStyle w:val="BodyText2"/>
        <w:numPr>
          <w:ilvl w:val="0"/>
          <w:numId w:val="34"/>
        </w:numPr>
        <w:ind w:left="720"/>
        <w:rPr>
          <w:rFonts w:ascii="Times New Roman" w:hAnsi="Times New Roman" w:cs="Times New Roman"/>
          <w:sz w:val="24"/>
          <w:szCs w:val="24"/>
          <w:lang w:val="fr-FR"/>
        </w:rPr>
      </w:pPr>
      <w:r w:rsidRPr="0065365E">
        <w:rPr>
          <w:rFonts w:ascii="Times New Roman" w:hAnsi="Times New Roman" w:cs="Times New Roman"/>
          <w:sz w:val="24"/>
          <w:szCs w:val="24"/>
          <w:lang w:val="fr-FR"/>
        </w:rPr>
        <w:t xml:space="preserve">Cellule de suivi, communication et évaluation établie sous la Direction Générale du MICT </w:t>
      </w:r>
      <w:r w:rsidR="004525B4">
        <w:rPr>
          <w:rFonts w:ascii="Times New Roman" w:hAnsi="Times New Roman" w:cs="Times New Roman"/>
          <w:sz w:val="24"/>
          <w:szCs w:val="24"/>
          <w:lang w:val="fr-FR"/>
        </w:rPr>
        <w:t xml:space="preserve">et sous la direction </w:t>
      </w:r>
      <w:r w:rsidR="004525B4" w:rsidRPr="0065365E">
        <w:rPr>
          <w:rFonts w:ascii="Times New Roman" w:hAnsi="Times New Roman" w:cs="Times New Roman"/>
          <w:sz w:val="24"/>
          <w:szCs w:val="24"/>
          <w:lang w:val="fr-FR"/>
        </w:rPr>
        <w:t>technique</w:t>
      </w:r>
      <w:r w:rsidR="004525B4">
        <w:rPr>
          <w:rFonts w:ascii="Times New Roman" w:hAnsi="Times New Roman" w:cs="Times New Roman"/>
          <w:sz w:val="24"/>
          <w:szCs w:val="24"/>
          <w:lang w:val="fr-FR"/>
        </w:rPr>
        <w:t xml:space="preserve"> de la DCT</w:t>
      </w:r>
      <w:r w:rsidRPr="0065365E">
        <w:rPr>
          <w:rFonts w:ascii="Times New Roman" w:hAnsi="Times New Roman" w:cs="Times New Roman"/>
          <w:sz w:val="24"/>
          <w:szCs w:val="24"/>
          <w:lang w:val="fr-FR"/>
        </w:rPr>
        <w:t xml:space="preserve">; </w:t>
      </w:r>
    </w:p>
    <w:p w:rsidR="007C0CE2" w:rsidRPr="0065365E" w:rsidRDefault="004525B4" w:rsidP="002D633D">
      <w:pPr>
        <w:numPr>
          <w:ilvl w:val="0"/>
          <w:numId w:val="34"/>
        </w:numPr>
        <w:ind w:left="720"/>
        <w:jc w:val="both"/>
        <w:rPr>
          <w:color w:val="000000"/>
          <w:shd w:val="clear" w:color="auto" w:fill="FFFFFF"/>
          <w:lang w:val="fr-FR"/>
        </w:rPr>
      </w:pPr>
      <w:r>
        <w:rPr>
          <w:color w:val="000000"/>
          <w:shd w:val="clear" w:color="auto" w:fill="FFFFFF"/>
          <w:lang w:val="fr-FR"/>
        </w:rPr>
        <w:t>Suivi de la m</w:t>
      </w:r>
      <w:r w:rsidR="007C0CE2" w:rsidRPr="0065365E">
        <w:rPr>
          <w:color w:val="000000"/>
          <w:shd w:val="clear" w:color="auto" w:fill="FFFFFF"/>
          <w:lang w:val="fr-FR"/>
        </w:rPr>
        <w:t xml:space="preserve">ise en place du sous-comité d’harmonisation des acteurs de la décentralisation sur le thème «  ATL / Maitrise d’ouvrage municipale ». </w:t>
      </w:r>
    </w:p>
    <w:p w:rsidR="007C0CE2" w:rsidRPr="0065365E" w:rsidRDefault="007C0CE2" w:rsidP="002D633D">
      <w:pPr>
        <w:numPr>
          <w:ilvl w:val="0"/>
          <w:numId w:val="34"/>
        </w:numPr>
        <w:ind w:left="720"/>
        <w:jc w:val="both"/>
        <w:rPr>
          <w:color w:val="000000"/>
          <w:shd w:val="clear" w:color="auto" w:fill="FFFFFF"/>
          <w:lang w:val="fr-FR"/>
        </w:rPr>
      </w:pPr>
      <w:r w:rsidRPr="0065365E">
        <w:rPr>
          <w:color w:val="000000"/>
          <w:shd w:val="clear" w:color="auto" w:fill="FFFFFF"/>
          <w:lang w:val="fr-FR"/>
        </w:rPr>
        <w:t xml:space="preserve">Etude comparative des situations salariales des communes réalisée </w:t>
      </w:r>
      <w:r w:rsidR="004525B4">
        <w:rPr>
          <w:color w:val="000000"/>
          <w:shd w:val="clear" w:color="auto" w:fill="FFFFFF"/>
          <w:lang w:val="fr-FR"/>
        </w:rPr>
        <w:t>par</w:t>
      </w:r>
      <w:r w:rsidRPr="0065365E">
        <w:rPr>
          <w:color w:val="000000"/>
          <w:shd w:val="clear" w:color="auto" w:fill="FFFFFF"/>
          <w:lang w:val="fr-FR"/>
        </w:rPr>
        <w:t xml:space="preserve"> la </w:t>
      </w:r>
      <w:r w:rsidR="004525B4">
        <w:rPr>
          <w:color w:val="000000"/>
          <w:shd w:val="clear" w:color="auto" w:fill="FFFFFF"/>
          <w:lang w:val="fr-FR"/>
        </w:rPr>
        <w:t>CSEC.</w:t>
      </w:r>
    </w:p>
    <w:p w:rsidR="007C0CE2" w:rsidRPr="0065365E" w:rsidRDefault="004525B4" w:rsidP="002D633D">
      <w:pPr>
        <w:numPr>
          <w:ilvl w:val="0"/>
          <w:numId w:val="34"/>
        </w:numPr>
        <w:ind w:left="720"/>
        <w:jc w:val="both"/>
        <w:rPr>
          <w:color w:val="000000"/>
          <w:shd w:val="clear" w:color="auto" w:fill="FFFFFF"/>
          <w:lang w:val="fr-FR"/>
        </w:rPr>
      </w:pPr>
      <w:r>
        <w:rPr>
          <w:color w:val="000000"/>
          <w:shd w:val="clear" w:color="auto" w:fill="FFFFFF"/>
          <w:lang w:val="fr-FR"/>
        </w:rPr>
        <w:t>Cart</w:t>
      </w:r>
      <w:r w:rsidR="00766D5C">
        <w:rPr>
          <w:color w:val="000000"/>
          <w:shd w:val="clear" w:color="auto" w:fill="FFFFFF"/>
          <w:lang w:val="fr-FR"/>
        </w:rPr>
        <w:t>ographie</w:t>
      </w:r>
      <w:r w:rsidR="007C0CE2" w:rsidRPr="0065365E">
        <w:rPr>
          <w:color w:val="000000"/>
          <w:shd w:val="clear" w:color="auto" w:fill="FFFFFF"/>
          <w:lang w:val="fr-FR"/>
        </w:rPr>
        <w:t xml:space="preserve"> d</w:t>
      </w:r>
      <w:r>
        <w:rPr>
          <w:color w:val="000000"/>
          <w:shd w:val="clear" w:color="auto" w:fill="FFFFFF"/>
          <w:lang w:val="fr-FR"/>
        </w:rPr>
        <w:t xml:space="preserve">es </w:t>
      </w:r>
      <w:r w:rsidR="007C0CE2" w:rsidRPr="0065365E">
        <w:rPr>
          <w:color w:val="000000"/>
          <w:shd w:val="clear" w:color="auto" w:fill="FFFFFF"/>
          <w:lang w:val="fr-FR"/>
        </w:rPr>
        <w:t>intervention</w:t>
      </w:r>
      <w:r>
        <w:rPr>
          <w:color w:val="000000"/>
          <w:shd w:val="clear" w:color="auto" w:fill="FFFFFF"/>
          <w:lang w:val="fr-FR"/>
        </w:rPr>
        <w:t>s du MICT à</w:t>
      </w:r>
      <w:r w:rsidR="007C0CE2" w:rsidRPr="0065365E">
        <w:rPr>
          <w:color w:val="000000"/>
          <w:shd w:val="clear" w:color="auto" w:fill="FFFFFF"/>
          <w:lang w:val="fr-FR"/>
        </w:rPr>
        <w:t xml:space="preserve"> travers </w:t>
      </w:r>
      <w:r>
        <w:rPr>
          <w:color w:val="000000"/>
          <w:shd w:val="clear" w:color="auto" w:fill="FFFFFF"/>
          <w:lang w:val="fr-FR"/>
        </w:rPr>
        <w:t>ses différents programmes.</w:t>
      </w:r>
    </w:p>
    <w:p w:rsidR="007C0CE2" w:rsidRDefault="007C0CE2" w:rsidP="007C0CE2">
      <w:pPr>
        <w:pStyle w:val="BodyText2"/>
        <w:ind w:left="360"/>
        <w:rPr>
          <w:rFonts w:ascii="Times New Roman" w:hAnsi="Times New Roman" w:cs="Times New Roman"/>
          <w:sz w:val="24"/>
          <w:szCs w:val="24"/>
          <w:lang w:val="fr-FR"/>
        </w:rPr>
      </w:pPr>
    </w:p>
    <w:p w:rsidR="007C0CE2" w:rsidRDefault="007C0CE2" w:rsidP="002D633D">
      <w:pPr>
        <w:pStyle w:val="BodyText2"/>
        <w:rPr>
          <w:rFonts w:ascii="Times New Roman" w:hAnsi="Times New Roman" w:cs="Times New Roman"/>
          <w:sz w:val="24"/>
          <w:szCs w:val="24"/>
          <w:lang w:val="fr-FR"/>
        </w:rPr>
      </w:pPr>
      <w:r>
        <w:rPr>
          <w:rFonts w:ascii="Times New Roman" w:hAnsi="Times New Roman" w:cs="Times New Roman"/>
          <w:sz w:val="24"/>
          <w:szCs w:val="24"/>
          <w:lang w:val="fr-FR"/>
        </w:rPr>
        <w:t>Capacités renforcées des municipalités avec la mise en place de 10 Agences Techniques Locales en appui à la coordination de la reconstruction et la gestion des territoires</w:t>
      </w:r>
      <w:r w:rsidR="00760D2B">
        <w:rPr>
          <w:rFonts w:ascii="Times New Roman" w:hAnsi="Times New Roman" w:cs="Times New Roman"/>
          <w:sz w:val="24"/>
          <w:szCs w:val="24"/>
          <w:lang w:val="fr-FR"/>
        </w:rPr>
        <w:t>.</w:t>
      </w:r>
    </w:p>
    <w:p w:rsidR="00760D2B" w:rsidRDefault="00760D2B" w:rsidP="002D633D">
      <w:pPr>
        <w:pStyle w:val="BodyText2"/>
        <w:rPr>
          <w:rFonts w:ascii="Times New Roman" w:hAnsi="Times New Roman" w:cs="Times New Roman"/>
          <w:sz w:val="24"/>
          <w:szCs w:val="24"/>
          <w:lang w:val="fr-FR"/>
        </w:rPr>
      </w:pPr>
    </w:p>
    <w:p w:rsidR="008C723F" w:rsidRPr="00760D2B" w:rsidRDefault="004525B4" w:rsidP="00760D2B">
      <w:pPr>
        <w:pStyle w:val="BodyText2"/>
        <w:numPr>
          <w:ilvl w:val="0"/>
          <w:numId w:val="35"/>
        </w:numPr>
        <w:ind w:left="720"/>
        <w:rPr>
          <w:rFonts w:ascii="Times New Roman" w:hAnsi="Times New Roman" w:cs="Times New Roman"/>
          <w:sz w:val="24"/>
          <w:szCs w:val="24"/>
          <w:lang w:val="fr-FR"/>
        </w:rPr>
      </w:pPr>
      <w:r>
        <w:rPr>
          <w:rFonts w:ascii="Times New Roman" w:hAnsi="Times New Roman" w:cs="Times New Roman"/>
          <w:sz w:val="24"/>
          <w:szCs w:val="24"/>
          <w:lang w:val="fr-FR"/>
        </w:rPr>
        <w:t xml:space="preserve">Dix ATL en place avec </w:t>
      </w:r>
      <w:r w:rsidR="008C723F" w:rsidRPr="00760D2B">
        <w:rPr>
          <w:rFonts w:ascii="Times New Roman" w:hAnsi="Times New Roman" w:cs="Times New Roman"/>
          <w:sz w:val="24"/>
          <w:szCs w:val="24"/>
          <w:lang w:val="fr-FR"/>
        </w:rPr>
        <w:t xml:space="preserve">60 cadres techniques </w:t>
      </w:r>
      <w:r w:rsidRPr="00760D2B">
        <w:rPr>
          <w:rFonts w:ascii="Times New Roman" w:hAnsi="Times New Roman" w:cs="Times New Roman"/>
          <w:sz w:val="24"/>
          <w:szCs w:val="24"/>
          <w:lang w:val="fr-FR"/>
        </w:rPr>
        <w:t xml:space="preserve">recrutés </w:t>
      </w:r>
      <w:r w:rsidR="008C723F" w:rsidRPr="00760D2B">
        <w:rPr>
          <w:rFonts w:ascii="Times New Roman" w:hAnsi="Times New Roman" w:cs="Times New Roman"/>
          <w:sz w:val="24"/>
          <w:szCs w:val="24"/>
          <w:lang w:val="fr-FR"/>
        </w:rPr>
        <w:t xml:space="preserve">suivant les métiers municipaux suivants : urbaniste, juriste, spécialiste en mobilisation sociale, </w:t>
      </w:r>
      <w:proofErr w:type="spellStart"/>
      <w:r w:rsidR="008C723F" w:rsidRPr="00760D2B">
        <w:rPr>
          <w:rFonts w:ascii="Times New Roman" w:hAnsi="Times New Roman" w:cs="Times New Roman"/>
          <w:sz w:val="24"/>
          <w:szCs w:val="24"/>
          <w:lang w:val="fr-FR"/>
        </w:rPr>
        <w:t>programmiste</w:t>
      </w:r>
      <w:proofErr w:type="spellEnd"/>
      <w:r w:rsidR="008C723F" w:rsidRPr="00760D2B">
        <w:rPr>
          <w:rFonts w:ascii="Times New Roman" w:hAnsi="Times New Roman" w:cs="Times New Roman"/>
          <w:sz w:val="24"/>
          <w:szCs w:val="24"/>
          <w:lang w:val="fr-FR"/>
        </w:rPr>
        <w:t xml:space="preserve">, ingénieur VRD, </w:t>
      </w:r>
      <w:proofErr w:type="spellStart"/>
      <w:r w:rsidR="008C723F" w:rsidRPr="00760D2B">
        <w:rPr>
          <w:rFonts w:ascii="Times New Roman" w:hAnsi="Times New Roman" w:cs="Times New Roman"/>
          <w:sz w:val="24"/>
          <w:szCs w:val="24"/>
          <w:lang w:val="fr-FR"/>
        </w:rPr>
        <w:t>géomaticien</w:t>
      </w:r>
      <w:proofErr w:type="spellEnd"/>
      <w:r>
        <w:rPr>
          <w:rFonts w:ascii="Times New Roman" w:hAnsi="Times New Roman" w:cs="Times New Roman"/>
          <w:sz w:val="24"/>
          <w:szCs w:val="24"/>
          <w:lang w:val="fr-FR"/>
        </w:rPr>
        <w:t xml:space="preserve">, </w:t>
      </w:r>
      <w:r w:rsidR="008C723F" w:rsidRPr="00760D2B">
        <w:rPr>
          <w:rFonts w:ascii="Times New Roman" w:hAnsi="Times New Roman" w:cs="Times New Roman"/>
          <w:sz w:val="24"/>
          <w:szCs w:val="24"/>
          <w:lang w:val="fr-FR"/>
        </w:rPr>
        <w:t>assistant ad</w:t>
      </w:r>
      <w:r>
        <w:rPr>
          <w:rFonts w:ascii="Times New Roman" w:hAnsi="Times New Roman" w:cs="Times New Roman"/>
          <w:sz w:val="24"/>
          <w:szCs w:val="24"/>
          <w:lang w:val="fr-FR"/>
        </w:rPr>
        <w:t>ministratif, chauffeur-messager.</w:t>
      </w:r>
      <w:r w:rsidR="008C723F" w:rsidRPr="00760D2B">
        <w:rPr>
          <w:rFonts w:ascii="Times New Roman" w:hAnsi="Times New Roman" w:cs="Times New Roman"/>
          <w:sz w:val="24"/>
          <w:szCs w:val="24"/>
          <w:lang w:val="fr-FR"/>
        </w:rPr>
        <w:t xml:space="preserve"> </w:t>
      </w:r>
    </w:p>
    <w:p w:rsidR="007C0CE2" w:rsidRPr="00760D2B" w:rsidRDefault="007C0CE2" w:rsidP="00760D2B">
      <w:pPr>
        <w:pStyle w:val="BodyText2"/>
        <w:numPr>
          <w:ilvl w:val="0"/>
          <w:numId w:val="35"/>
        </w:numPr>
        <w:ind w:left="720"/>
        <w:rPr>
          <w:rFonts w:ascii="Times New Roman" w:hAnsi="Times New Roman" w:cs="Times New Roman"/>
          <w:sz w:val="24"/>
          <w:szCs w:val="24"/>
          <w:lang w:val="fr-FR"/>
        </w:rPr>
      </w:pPr>
      <w:r w:rsidRPr="00760D2B">
        <w:rPr>
          <w:rFonts w:ascii="Times New Roman" w:hAnsi="Times New Roman" w:cs="Times New Roman"/>
          <w:sz w:val="24"/>
          <w:szCs w:val="24"/>
          <w:lang w:val="fr-FR"/>
        </w:rPr>
        <w:t>Transfert d’équipement et de ressources dont les administrations communales sont ordonnatrices, avec l’appui d’ONU-Habitat ;</w:t>
      </w:r>
    </w:p>
    <w:p w:rsidR="00D458E9" w:rsidRDefault="004525B4" w:rsidP="00D458E9">
      <w:pPr>
        <w:numPr>
          <w:ilvl w:val="0"/>
          <w:numId w:val="35"/>
        </w:numPr>
        <w:tabs>
          <w:tab w:val="left" w:pos="-720"/>
          <w:tab w:val="left" w:pos="720"/>
        </w:tabs>
        <w:suppressAutoHyphens/>
        <w:ind w:left="720"/>
        <w:jc w:val="both"/>
        <w:rPr>
          <w:lang w:val="fr-FR"/>
        </w:rPr>
      </w:pPr>
      <w:r>
        <w:rPr>
          <w:lang w:val="fr-FR"/>
        </w:rPr>
        <w:t>Une ses</w:t>
      </w:r>
      <w:r w:rsidR="00D458E9">
        <w:rPr>
          <w:lang w:val="fr-FR"/>
        </w:rPr>
        <w:t>sion de formation de base sur la gouvernance local et l</w:t>
      </w:r>
      <w:r w:rsidR="00D458E9" w:rsidRPr="00D458E9">
        <w:rPr>
          <w:lang w:val="fr-FR"/>
        </w:rPr>
        <w:t>’organisation, le fonctionnement et les ressources des communes</w:t>
      </w:r>
      <w:r>
        <w:rPr>
          <w:lang w:val="fr-FR"/>
        </w:rPr>
        <w:t xml:space="preserve"> </w:t>
      </w:r>
      <w:r w:rsidR="00D458E9">
        <w:rPr>
          <w:lang w:val="fr-FR"/>
        </w:rPr>
        <w:t xml:space="preserve">destinée </w:t>
      </w:r>
      <w:r w:rsidR="005D0BEE">
        <w:rPr>
          <w:lang w:val="fr-FR"/>
        </w:rPr>
        <w:t>à</w:t>
      </w:r>
      <w:r w:rsidR="00D458E9">
        <w:rPr>
          <w:lang w:val="fr-FR"/>
        </w:rPr>
        <w:t xml:space="preserve"> l’ensemble des cadres des ATL.</w:t>
      </w:r>
    </w:p>
    <w:p w:rsidR="00D458E9" w:rsidRDefault="00D458E9" w:rsidP="00D458E9">
      <w:pPr>
        <w:numPr>
          <w:ilvl w:val="0"/>
          <w:numId w:val="35"/>
        </w:numPr>
        <w:tabs>
          <w:tab w:val="left" w:pos="-720"/>
          <w:tab w:val="left" w:pos="720"/>
        </w:tabs>
        <w:suppressAutoHyphens/>
        <w:ind w:left="720"/>
        <w:jc w:val="both"/>
        <w:rPr>
          <w:lang w:val="fr-FR"/>
        </w:rPr>
      </w:pPr>
      <w:r>
        <w:rPr>
          <w:lang w:val="fr-FR"/>
        </w:rPr>
        <w:t xml:space="preserve">Une session de formation sur les techniques de cartographie destinée au </w:t>
      </w:r>
      <w:proofErr w:type="spellStart"/>
      <w:r>
        <w:rPr>
          <w:lang w:val="fr-FR"/>
        </w:rPr>
        <w:t>geomaticiens</w:t>
      </w:r>
      <w:proofErr w:type="spellEnd"/>
      <w:r>
        <w:rPr>
          <w:lang w:val="fr-FR"/>
        </w:rPr>
        <w:t xml:space="preserve"> et urbanistes des ATL et organisée par le CNIGS en collaboration avec la composante 2 du </w:t>
      </w:r>
      <w:r w:rsidR="007D2DAA">
        <w:rPr>
          <w:lang w:val="fr-FR"/>
        </w:rPr>
        <w:t>Programme</w:t>
      </w:r>
      <w:r>
        <w:rPr>
          <w:lang w:val="fr-FR"/>
        </w:rPr>
        <w:t>.</w:t>
      </w:r>
    </w:p>
    <w:p w:rsidR="008C723F" w:rsidRDefault="008C723F" w:rsidP="00760D2B">
      <w:pPr>
        <w:numPr>
          <w:ilvl w:val="0"/>
          <w:numId w:val="35"/>
        </w:numPr>
        <w:tabs>
          <w:tab w:val="left" w:pos="-720"/>
          <w:tab w:val="left" w:pos="1080"/>
        </w:tabs>
        <w:suppressAutoHyphens/>
        <w:ind w:left="720"/>
        <w:jc w:val="both"/>
        <w:rPr>
          <w:lang w:val="fr-FR"/>
        </w:rPr>
      </w:pPr>
      <w:r w:rsidRPr="00760D2B">
        <w:rPr>
          <w:lang w:val="fr-FR"/>
        </w:rPr>
        <w:t xml:space="preserve">Diagnostics territoriaux des dix communes </w:t>
      </w:r>
      <w:r w:rsidR="00766D5C">
        <w:rPr>
          <w:lang w:val="fr-FR"/>
        </w:rPr>
        <w:t>participantes aux</w:t>
      </w:r>
      <w:r w:rsidRPr="00760D2B">
        <w:rPr>
          <w:lang w:val="fr-FR"/>
        </w:rPr>
        <w:t xml:space="preserve"> </w:t>
      </w:r>
      <w:r w:rsidR="007D2DAA">
        <w:rPr>
          <w:lang w:val="fr-FR"/>
        </w:rPr>
        <w:t>Programme</w:t>
      </w:r>
      <w:r w:rsidRPr="00760D2B">
        <w:rPr>
          <w:lang w:val="fr-FR"/>
        </w:rPr>
        <w:t xml:space="preserve"> réalisés</w:t>
      </w:r>
      <w:r w:rsidR="00D458E9">
        <w:rPr>
          <w:lang w:val="fr-FR"/>
        </w:rPr>
        <w:t xml:space="preserve"> par les ATL</w:t>
      </w:r>
      <w:r w:rsidRPr="00760D2B">
        <w:rPr>
          <w:lang w:val="fr-FR"/>
        </w:rPr>
        <w:t xml:space="preserve">.  </w:t>
      </w:r>
    </w:p>
    <w:p w:rsidR="00D458E9" w:rsidRDefault="00D458E9" w:rsidP="00D458E9">
      <w:pPr>
        <w:tabs>
          <w:tab w:val="left" w:pos="-720"/>
          <w:tab w:val="left" w:pos="1080"/>
        </w:tabs>
        <w:suppressAutoHyphens/>
        <w:jc w:val="both"/>
        <w:rPr>
          <w:lang w:val="fr-FR"/>
        </w:rPr>
      </w:pPr>
    </w:p>
    <w:p w:rsidR="00D458E9" w:rsidRDefault="00D458E9" w:rsidP="00D458E9">
      <w:pPr>
        <w:pStyle w:val="BodyText2"/>
        <w:ind w:left="360"/>
        <w:rPr>
          <w:rFonts w:ascii="Times New Roman" w:hAnsi="Times New Roman" w:cs="Times New Roman"/>
          <w:sz w:val="24"/>
          <w:szCs w:val="24"/>
          <w:lang w:val="fr-FR"/>
        </w:rPr>
      </w:pPr>
      <w:r>
        <w:rPr>
          <w:rFonts w:ascii="Times New Roman" w:hAnsi="Times New Roman" w:cs="Times New Roman"/>
          <w:sz w:val="24"/>
          <w:szCs w:val="24"/>
          <w:lang w:val="fr-FR"/>
        </w:rPr>
        <w:t>Capacités renforcées des municipalités avec la mise en place de 10 Centres de Ressources Communautaires</w:t>
      </w:r>
    </w:p>
    <w:p w:rsidR="00D458E9" w:rsidRPr="00760D2B" w:rsidRDefault="00D458E9" w:rsidP="00D458E9">
      <w:pPr>
        <w:tabs>
          <w:tab w:val="left" w:pos="-720"/>
          <w:tab w:val="left" w:pos="1080"/>
        </w:tabs>
        <w:suppressAutoHyphens/>
        <w:jc w:val="both"/>
        <w:rPr>
          <w:lang w:val="fr-FR"/>
        </w:rPr>
      </w:pPr>
    </w:p>
    <w:p w:rsidR="007C0CE2" w:rsidRPr="00D458E9" w:rsidRDefault="00D458E9" w:rsidP="00760D2B">
      <w:pPr>
        <w:numPr>
          <w:ilvl w:val="0"/>
          <w:numId w:val="35"/>
        </w:numPr>
        <w:tabs>
          <w:tab w:val="left" w:pos="-720"/>
          <w:tab w:val="left" w:pos="1080"/>
        </w:tabs>
        <w:suppressAutoHyphens/>
        <w:ind w:left="720"/>
        <w:jc w:val="both"/>
        <w:rPr>
          <w:lang w:val="fr-FR"/>
        </w:rPr>
      </w:pPr>
      <w:r w:rsidRPr="00D458E9">
        <w:rPr>
          <w:lang w:val="fr-FR"/>
        </w:rPr>
        <w:t>Dix</w:t>
      </w:r>
      <w:r w:rsidR="007C0CE2" w:rsidRPr="00D458E9">
        <w:rPr>
          <w:lang w:val="fr-FR"/>
        </w:rPr>
        <w:t xml:space="preserve"> </w:t>
      </w:r>
      <w:r w:rsidRPr="00D458E9">
        <w:rPr>
          <w:lang w:val="fr-FR"/>
        </w:rPr>
        <w:t>CRC</w:t>
      </w:r>
      <w:r w:rsidR="007C0CE2" w:rsidRPr="00D458E9">
        <w:rPr>
          <w:lang w:val="fr-FR"/>
        </w:rPr>
        <w:t xml:space="preserve"> </w:t>
      </w:r>
      <w:r w:rsidRPr="00D458E9">
        <w:rPr>
          <w:lang w:val="fr-FR"/>
        </w:rPr>
        <w:t>en place</w:t>
      </w:r>
      <w:r w:rsidR="007C0CE2" w:rsidRPr="00D458E9">
        <w:rPr>
          <w:lang w:val="fr-FR"/>
        </w:rPr>
        <w:t xml:space="preserve"> et équipes</w:t>
      </w:r>
      <w:r w:rsidRPr="00D458E9">
        <w:rPr>
          <w:lang w:val="fr-FR"/>
        </w:rPr>
        <w:t xml:space="preserve"> avec 32 agents de c</w:t>
      </w:r>
      <w:r w:rsidR="007C0CE2" w:rsidRPr="00D458E9">
        <w:rPr>
          <w:lang w:val="fr-FR"/>
        </w:rPr>
        <w:t xml:space="preserve">ommunication sont recrutés et en fonction </w:t>
      </w:r>
      <w:r w:rsidRPr="00D458E9">
        <w:rPr>
          <w:lang w:val="fr-FR"/>
        </w:rPr>
        <w:t>CRC.</w:t>
      </w:r>
    </w:p>
    <w:p w:rsidR="007C0CE2" w:rsidRPr="00777906" w:rsidRDefault="007C0CE2" w:rsidP="00760D2B">
      <w:pPr>
        <w:numPr>
          <w:ilvl w:val="0"/>
          <w:numId w:val="35"/>
        </w:numPr>
        <w:tabs>
          <w:tab w:val="left" w:pos="-720"/>
          <w:tab w:val="left" w:pos="1080"/>
        </w:tabs>
        <w:suppressAutoHyphens/>
        <w:ind w:left="720"/>
        <w:jc w:val="both"/>
        <w:rPr>
          <w:lang w:val="fr-FR"/>
        </w:rPr>
      </w:pPr>
      <w:r w:rsidRPr="00777906">
        <w:rPr>
          <w:lang w:val="fr-FR"/>
        </w:rPr>
        <w:t>Outils de communication développé et disséminés (</w:t>
      </w:r>
      <w:proofErr w:type="spellStart"/>
      <w:r w:rsidRPr="00777906">
        <w:rPr>
          <w:lang w:val="fr-FR"/>
        </w:rPr>
        <w:t>Chimen</w:t>
      </w:r>
      <w:proofErr w:type="spellEnd"/>
      <w:r w:rsidRPr="00777906">
        <w:rPr>
          <w:lang w:val="fr-FR"/>
        </w:rPr>
        <w:t xml:space="preserve"> </w:t>
      </w:r>
      <w:proofErr w:type="spellStart"/>
      <w:r w:rsidRPr="00777906">
        <w:rPr>
          <w:lang w:val="fr-FR"/>
        </w:rPr>
        <w:t>Lakay</w:t>
      </w:r>
      <w:proofErr w:type="spellEnd"/>
      <w:r w:rsidRPr="00777906">
        <w:rPr>
          <w:lang w:val="fr-FR"/>
        </w:rPr>
        <w:t>) pour faire connaitre les CRC ainsi que des spots radiophonique</w:t>
      </w:r>
      <w:r w:rsidR="00D458E9">
        <w:rPr>
          <w:lang w:val="fr-FR"/>
        </w:rPr>
        <w:t>s.</w:t>
      </w:r>
      <w:r w:rsidRPr="00777906">
        <w:rPr>
          <w:lang w:val="fr-FR"/>
        </w:rPr>
        <w:t xml:space="preserve"> </w:t>
      </w:r>
    </w:p>
    <w:p w:rsidR="00760D2B" w:rsidRDefault="00760D2B" w:rsidP="007C0CE2">
      <w:pPr>
        <w:ind w:left="360"/>
        <w:jc w:val="both"/>
        <w:rPr>
          <w:lang w:val="fr-FR"/>
        </w:rPr>
      </w:pPr>
    </w:p>
    <w:p w:rsidR="007C0CE2" w:rsidRPr="005D0BEE" w:rsidRDefault="00416147" w:rsidP="00760D2B">
      <w:pPr>
        <w:jc w:val="both"/>
        <w:rPr>
          <w:b/>
          <w:bCs/>
          <w:lang w:val="fr-FR"/>
        </w:rPr>
      </w:pPr>
      <w:r>
        <w:rPr>
          <w:b/>
          <w:lang w:val="fr-FR"/>
        </w:rPr>
        <w:t xml:space="preserve">Retards, </w:t>
      </w:r>
      <w:r w:rsidR="007C0CE2" w:rsidRPr="005D0BEE">
        <w:rPr>
          <w:b/>
          <w:lang w:val="fr-FR"/>
        </w:rPr>
        <w:t>défis</w:t>
      </w:r>
      <w:r>
        <w:rPr>
          <w:b/>
          <w:lang w:val="fr-FR"/>
        </w:rPr>
        <w:t>,</w:t>
      </w:r>
      <w:r w:rsidR="007C0CE2" w:rsidRPr="005D0BEE">
        <w:rPr>
          <w:b/>
          <w:lang w:val="fr-FR"/>
        </w:rPr>
        <w:t xml:space="preserve"> </w:t>
      </w:r>
      <w:r w:rsidR="004820EE" w:rsidRPr="005D0BEE">
        <w:rPr>
          <w:b/>
          <w:bCs/>
          <w:lang w:val="fr-FR"/>
        </w:rPr>
        <w:t>leçons apprises et meilleures pratiques</w:t>
      </w:r>
    </w:p>
    <w:p w:rsidR="00760D2B" w:rsidRDefault="00760D2B" w:rsidP="00760D2B">
      <w:pPr>
        <w:jc w:val="both"/>
        <w:rPr>
          <w:b/>
          <w:lang w:val="fr-FR"/>
        </w:rPr>
      </w:pPr>
    </w:p>
    <w:p w:rsidR="007C0CE2" w:rsidRPr="00777906" w:rsidRDefault="00651C5F" w:rsidP="00760D2B">
      <w:pPr>
        <w:ind w:right="57"/>
        <w:jc w:val="both"/>
        <w:rPr>
          <w:lang w:val="fr-FR"/>
        </w:rPr>
      </w:pPr>
      <w:r>
        <w:rPr>
          <w:lang w:val="fr-FR"/>
        </w:rPr>
        <w:t>La</w:t>
      </w:r>
      <w:r w:rsidR="007C0CE2" w:rsidRPr="00777906">
        <w:rPr>
          <w:lang w:val="fr-FR"/>
        </w:rPr>
        <w:t xml:space="preserve"> </w:t>
      </w:r>
      <w:r w:rsidRPr="00777906">
        <w:rPr>
          <w:lang w:val="fr-FR"/>
        </w:rPr>
        <w:t>désignati</w:t>
      </w:r>
      <w:r>
        <w:rPr>
          <w:lang w:val="fr-FR"/>
        </w:rPr>
        <w:t>on</w:t>
      </w:r>
      <w:r w:rsidR="007C0CE2" w:rsidRPr="00777906">
        <w:rPr>
          <w:lang w:val="fr-FR"/>
        </w:rPr>
        <w:t xml:space="preserve"> </w:t>
      </w:r>
      <w:r>
        <w:rPr>
          <w:lang w:val="fr-FR"/>
        </w:rPr>
        <w:t xml:space="preserve">a différentes reprises </w:t>
      </w:r>
      <w:r w:rsidR="007C0CE2" w:rsidRPr="00777906">
        <w:rPr>
          <w:lang w:val="fr-FR"/>
        </w:rPr>
        <w:t>de</w:t>
      </w:r>
      <w:r>
        <w:rPr>
          <w:lang w:val="fr-FR"/>
        </w:rPr>
        <w:t>s</w:t>
      </w:r>
      <w:r w:rsidR="007C0CE2" w:rsidRPr="00777906">
        <w:rPr>
          <w:lang w:val="fr-FR"/>
        </w:rPr>
        <w:t xml:space="preserve"> nouveaux cartels</w:t>
      </w:r>
      <w:r>
        <w:rPr>
          <w:lang w:val="fr-FR"/>
        </w:rPr>
        <w:t xml:space="preserve"> municipaux pour certaines des communes du </w:t>
      </w:r>
      <w:r w:rsidR="007D2DAA">
        <w:rPr>
          <w:lang w:val="fr-FR"/>
        </w:rPr>
        <w:t>Programme</w:t>
      </w:r>
      <w:r>
        <w:rPr>
          <w:lang w:val="fr-FR"/>
        </w:rPr>
        <w:t>,</w:t>
      </w:r>
      <w:r w:rsidR="007C0CE2" w:rsidRPr="00777906">
        <w:rPr>
          <w:lang w:val="fr-FR"/>
        </w:rPr>
        <w:t xml:space="preserve"> nécessitant d’informer les nouvelles équipes et de confirmer avec elles les dispositions agréées avec les équipes municipales précédentes, ont occasionné un retard </w:t>
      </w:r>
      <w:r>
        <w:rPr>
          <w:lang w:val="fr-FR"/>
        </w:rPr>
        <w:t xml:space="preserve">supplémentaire </w:t>
      </w:r>
      <w:r w:rsidR="007C0CE2" w:rsidRPr="00777906">
        <w:rPr>
          <w:lang w:val="fr-FR"/>
        </w:rPr>
        <w:t xml:space="preserve">dans la mise en place </w:t>
      </w:r>
      <w:r>
        <w:rPr>
          <w:lang w:val="fr-FR"/>
        </w:rPr>
        <w:t xml:space="preserve">et </w:t>
      </w:r>
      <w:r>
        <w:rPr>
          <w:lang w:val="fr-FR"/>
        </w:rPr>
        <w:lastRenderedPageBreak/>
        <w:t xml:space="preserve">l’opérationnalisation </w:t>
      </w:r>
      <w:r w:rsidR="007C0CE2" w:rsidRPr="00777906">
        <w:rPr>
          <w:lang w:val="fr-FR"/>
        </w:rPr>
        <w:t xml:space="preserve">des ATL et des CRC avec </w:t>
      </w:r>
      <w:r>
        <w:rPr>
          <w:lang w:val="fr-FR"/>
        </w:rPr>
        <w:t xml:space="preserve">des </w:t>
      </w:r>
      <w:r w:rsidR="007C0CE2" w:rsidRPr="00777906">
        <w:rPr>
          <w:lang w:val="fr-FR"/>
        </w:rPr>
        <w:t>implication</w:t>
      </w:r>
      <w:r>
        <w:rPr>
          <w:lang w:val="fr-FR"/>
        </w:rPr>
        <w:t>s</w:t>
      </w:r>
      <w:r w:rsidR="007C0CE2" w:rsidRPr="00777906">
        <w:rPr>
          <w:lang w:val="fr-FR"/>
        </w:rPr>
        <w:t xml:space="preserve"> sur les couts </w:t>
      </w:r>
      <w:r>
        <w:rPr>
          <w:lang w:val="fr-FR"/>
        </w:rPr>
        <w:t>des activités de la composante</w:t>
      </w:r>
      <w:r w:rsidR="007C0CE2" w:rsidRPr="00777906">
        <w:rPr>
          <w:lang w:val="fr-FR"/>
        </w:rPr>
        <w:t xml:space="preserve">. </w:t>
      </w:r>
    </w:p>
    <w:p w:rsidR="007C0CE2" w:rsidRPr="00651C5F" w:rsidRDefault="007C0CE2" w:rsidP="00760D2B">
      <w:pPr>
        <w:ind w:right="57"/>
        <w:jc w:val="both"/>
        <w:rPr>
          <w:lang w:val="fr-FR"/>
        </w:rPr>
      </w:pPr>
    </w:p>
    <w:p w:rsidR="00651C5F" w:rsidRPr="005D0BEE" w:rsidRDefault="005D0BEE" w:rsidP="00760D2B">
      <w:pPr>
        <w:ind w:right="57"/>
        <w:jc w:val="both"/>
        <w:rPr>
          <w:lang w:val="fr-FR"/>
        </w:rPr>
      </w:pPr>
      <w:r w:rsidRPr="005D0BEE">
        <w:rPr>
          <w:lang w:val="fr-FR"/>
        </w:rPr>
        <w:t>L’accumulation des r</w:t>
      </w:r>
      <w:r w:rsidR="00651C5F" w:rsidRPr="005D0BEE">
        <w:rPr>
          <w:lang w:val="fr-FR"/>
        </w:rPr>
        <w:t>etards</w:t>
      </w:r>
      <w:r w:rsidRPr="005D0BEE">
        <w:rPr>
          <w:lang w:val="fr-FR"/>
        </w:rPr>
        <w:t xml:space="preserve"> dans la mise en place des activités constitue en défi majeur pour l’atteinte des résultats prévus ainsi que pour renforcer les perspectives de pérennisation du personnel des ATL et des CRC. De la même manière, une </w:t>
      </w:r>
      <w:r w:rsidRPr="005D0BEE">
        <w:rPr>
          <w:lang w:val="fr-BE"/>
        </w:rPr>
        <w:t>faible capacité d’absorption de fonds alloues aux communes bénéficiaires pour l’implémentation du projet a été constatée.</w:t>
      </w:r>
    </w:p>
    <w:p w:rsidR="00651C5F" w:rsidRPr="005D0BEE" w:rsidRDefault="00651C5F" w:rsidP="00760D2B">
      <w:pPr>
        <w:ind w:right="57"/>
        <w:jc w:val="both"/>
        <w:rPr>
          <w:lang w:val="fr-FR"/>
        </w:rPr>
      </w:pPr>
    </w:p>
    <w:p w:rsidR="00651C5F" w:rsidRDefault="005D0BEE" w:rsidP="00760D2B">
      <w:pPr>
        <w:ind w:right="57"/>
        <w:jc w:val="both"/>
        <w:rPr>
          <w:lang w:val="fr-FR"/>
        </w:rPr>
      </w:pPr>
      <w:r w:rsidRPr="005D0BEE">
        <w:rPr>
          <w:lang w:val="fr-FR"/>
        </w:rPr>
        <w:t>Cependant l’a</w:t>
      </w:r>
      <w:r w:rsidR="00651C5F" w:rsidRPr="005D0BEE">
        <w:rPr>
          <w:lang w:val="fr-FR"/>
        </w:rPr>
        <w:t>ppui direct aux communes</w:t>
      </w:r>
      <w:r w:rsidRPr="005D0BEE">
        <w:rPr>
          <w:lang w:val="fr-FR"/>
        </w:rPr>
        <w:t xml:space="preserve"> fourni aux communes à travers la mise à leur disposition des ressources destinées a  la mise en place des activités du </w:t>
      </w:r>
      <w:r w:rsidR="007D2DAA">
        <w:rPr>
          <w:lang w:val="fr-FR"/>
        </w:rPr>
        <w:t>Programme</w:t>
      </w:r>
      <w:r w:rsidRPr="005D0BEE">
        <w:rPr>
          <w:lang w:val="fr-FR"/>
        </w:rPr>
        <w:t xml:space="preserve"> a montré son potentiel pour renforcer leur appropriation des objectifs du </w:t>
      </w:r>
      <w:r w:rsidR="007D2DAA">
        <w:rPr>
          <w:lang w:val="fr-FR"/>
        </w:rPr>
        <w:t>Programme</w:t>
      </w:r>
      <w:r w:rsidRPr="005D0BEE">
        <w:rPr>
          <w:lang w:val="fr-FR"/>
        </w:rPr>
        <w:t>.</w:t>
      </w:r>
    </w:p>
    <w:p w:rsidR="005D0BEE" w:rsidRDefault="005D0BEE" w:rsidP="00760D2B">
      <w:pPr>
        <w:ind w:right="57"/>
        <w:jc w:val="both"/>
        <w:rPr>
          <w:lang w:val="fr-FR"/>
        </w:rPr>
      </w:pPr>
    </w:p>
    <w:p w:rsidR="00651C5F" w:rsidRPr="00651C5F" w:rsidRDefault="005D0BEE" w:rsidP="00760D2B">
      <w:pPr>
        <w:ind w:right="57"/>
        <w:jc w:val="both"/>
        <w:rPr>
          <w:lang w:val="fr-FR"/>
        </w:rPr>
      </w:pPr>
      <w:r>
        <w:rPr>
          <w:lang w:val="fr-FR"/>
        </w:rPr>
        <w:t>L’articulation des différents niveau</w:t>
      </w:r>
      <w:r w:rsidR="00F61DFF">
        <w:rPr>
          <w:lang w:val="fr-FR"/>
        </w:rPr>
        <w:t>x</w:t>
      </w:r>
      <w:r>
        <w:rPr>
          <w:lang w:val="fr-FR"/>
        </w:rPr>
        <w:t xml:space="preserve"> d’</w:t>
      </w:r>
      <w:r w:rsidR="00121E4E">
        <w:rPr>
          <w:lang w:val="fr-FR"/>
        </w:rPr>
        <w:t>intervention de la composante (</w:t>
      </w:r>
      <w:r>
        <w:rPr>
          <w:lang w:val="fr-FR"/>
        </w:rPr>
        <w:t xml:space="preserve">communautaire, </w:t>
      </w:r>
      <w:proofErr w:type="gramStart"/>
      <w:r>
        <w:rPr>
          <w:lang w:val="fr-FR"/>
        </w:rPr>
        <w:t>local et central</w:t>
      </w:r>
      <w:proofErr w:type="gramEnd"/>
      <w:r w:rsidR="00121E4E">
        <w:rPr>
          <w:lang w:val="fr-FR"/>
        </w:rPr>
        <w:t>)</w:t>
      </w:r>
      <w:r>
        <w:rPr>
          <w:lang w:val="fr-FR"/>
        </w:rPr>
        <w:t xml:space="preserve">, </w:t>
      </w:r>
      <w:r w:rsidR="00121E4E">
        <w:rPr>
          <w:lang w:val="fr-FR"/>
        </w:rPr>
        <w:t>et l’intégration des nouvelles structures au sein des institutions réceptrices ont été également identifiés comme de points faibles dans la mise en œuvre de l’intervention.</w:t>
      </w:r>
    </w:p>
    <w:p w:rsidR="00EA24FA" w:rsidRDefault="00EA24FA" w:rsidP="007C0CE2">
      <w:pPr>
        <w:ind w:left="360" w:right="57"/>
        <w:jc w:val="both"/>
        <w:rPr>
          <w:b/>
          <w:lang w:val="fr-BE"/>
        </w:rPr>
      </w:pPr>
    </w:p>
    <w:p w:rsidR="00635359" w:rsidRDefault="00635359" w:rsidP="00635359">
      <w:pPr>
        <w:pStyle w:val="BodyText"/>
        <w:tabs>
          <w:tab w:val="left" w:pos="0"/>
        </w:tabs>
        <w:jc w:val="both"/>
        <w:rPr>
          <w:rFonts w:ascii="Times New Roman" w:hAnsi="Times New Roman" w:cs="Times New Roman"/>
          <w:b/>
          <w:bCs/>
          <w:sz w:val="24"/>
          <w:szCs w:val="24"/>
          <w:u w:val="single"/>
          <w:lang w:val="fr-FR"/>
        </w:rPr>
      </w:pPr>
      <w:r w:rsidRPr="00635359">
        <w:rPr>
          <w:rFonts w:ascii="Times New Roman" w:hAnsi="Times New Roman" w:cs="Times New Roman"/>
          <w:b/>
          <w:bCs/>
          <w:sz w:val="24"/>
          <w:szCs w:val="24"/>
          <w:u w:val="single"/>
          <w:lang w:val="fr-FR"/>
        </w:rPr>
        <w:t>Composante 4</w:t>
      </w:r>
    </w:p>
    <w:p w:rsidR="00AC6617" w:rsidRPr="00635359" w:rsidRDefault="00AC6617" w:rsidP="00635359">
      <w:pPr>
        <w:pStyle w:val="BodyText"/>
        <w:tabs>
          <w:tab w:val="left" w:pos="0"/>
        </w:tabs>
        <w:jc w:val="both"/>
        <w:rPr>
          <w:rFonts w:ascii="Times New Roman" w:hAnsi="Times New Roman" w:cs="Times New Roman"/>
          <w:b/>
          <w:bCs/>
          <w:sz w:val="24"/>
          <w:szCs w:val="24"/>
          <w:u w:val="single"/>
          <w:lang w:val="fr-FR"/>
        </w:rPr>
      </w:pPr>
    </w:p>
    <w:p w:rsidR="00635359" w:rsidRDefault="00635359" w:rsidP="00635359">
      <w:pPr>
        <w:pStyle w:val="BodyText"/>
        <w:tabs>
          <w:tab w:val="left" w:pos="0"/>
        </w:tabs>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Résultats</w:t>
      </w:r>
    </w:p>
    <w:p w:rsidR="00AC6617" w:rsidRDefault="00AC6617" w:rsidP="00635359">
      <w:pPr>
        <w:pStyle w:val="BodyText"/>
        <w:tabs>
          <w:tab w:val="left" w:pos="0"/>
        </w:tabs>
        <w:jc w:val="both"/>
        <w:rPr>
          <w:rFonts w:ascii="Times New Roman" w:hAnsi="Times New Roman" w:cs="Times New Roman"/>
          <w:b/>
          <w:bCs/>
          <w:sz w:val="24"/>
          <w:szCs w:val="24"/>
          <w:lang w:val="fr-FR"/>
        </w:rPr>
      </w:pPr>
    </w:p>
    <w:p w:rsidR="00AC6617" w:rsidRPr="0049733B" w:rsidRDefault="00AC6617" w:rsidP="00AC6617">
      <w:pPr>
        <w:jc w:val="both"/>
        <w:rPr>
          <w:lang w:val="fr-FR"/>
        </w:rPr>
      </w:pPr>
      <w:r w:rsidRPr="0049733B">
        <w:rPr>
          <w:b/>
          <w:lang w:val="fr-FR"/>
        </w:rPr>
        <w:t>Plans stratégiques et pla</w:t>
      </w:r>
      <w:r w:rsidR="004C14C0">
        <w:rPr>
          <w:b/>
          <w:lang w:val="fr-FR"/>
        </w:rPr>
        <w:t>ns d’aménagement et d’urbanisme</w:t>
      </w:r>
      <w:r w:rsidRPr="0049733B">
        <w:rPr>
          <w:b/>
          <w:lang w:val="fr-FR"/>
        </w:rPr>
        <w:t xml:space="preserve"> : </w:t>
      </w:r>
      <w:r w:rsidRPr="0049733B">
        <w:rPr>
          <w:lang w:val="fr-FR"/>
        </w:rPr>
        <w:t>Les études de planification régionale et urbaine se sont poursuivies au cours de l’année 2013.  Les documents de diagnostic pour les zones concernées (Port-au-Prince, Cap-Haitien, Jacmel, Saint-Marc, Les Palmes) ainsi que trois documents sur les impacts urbains du séisme dans les zones sinistrées (Port-au-Prince, Jacmel, Les Palmes) ont été validés par le comité de pilotage du projet Gouvernance Territoriale et Réforme Administrative.</w:t>
      </w:r>
    </w:p>
    <w:p w:rsidR="00AC6617" w:rsidRPr="0049733B" w:rsidRDefault="00AC6617" w:rsidP="00AC6617">
      <w:pPr>
        <w:jc w:val="both"/>
        <w:rPr>
          <w:lang w:val="fr-FR"/>
        </w:rPr>
      </w:pPr>
    </w:p>
    <w:p w:rsidR="00AC6617" w:rsidRPr="0049733B" w:rsidRDefault="00AC6617" w:rsidP="00AC6617">
      <w:pPr>
        <w:jc w:val="both"/>
        <w:rPr>
          <w:lang w:val="fr-FR"/>
        </w:rPr>
      </w:pPr>
      <w:r w:rsidRPr="0049733B">
        <w:rPr>
          <w:lang w:val="fr-FR"/>
        </w:rPr>
        <w:t>En outre, des versions préliminaires d’esquisses de schémas d’aménagement  pour les cinq zones susmentionnées et d’esquisses de plans d’urbanisme pour 18 localités/agglomérations ont été soumises puis évaluées par un comité de lecture composé de cadres des institutions représentées au comité de pilotage du projet GTRA (MPCE, MICT, MTPTC, OMRH, PNUD) et d’au</w:t>
      </w:r>
      <w:r w:rsidR="00121E4E">
        <w:rPr>
          <w:lang w:val="fr-FR"/>
        </w:rPr>
        <w:t>tres organismes ou agences (ONU-</w:t>
      </w:r>
      <w:r w:rsidRPr="0049733B">
        <w:rPr>
          <w:lang w:val="fr-FR"/>
        </w:rPr>
        <w:t>Habitat, AFD, CNIGS, CIAT, UCLBP).  La mise en place de ce comité de lecture, à l’initiative du comité de pilotage, a été l’occasion d’un nouveau dialogue entre ces diverses entités toutes concernées par la gouvernance territoriale.</w:t>
      </w:r>
    </w:p>
    <w:p w:rsidR="00AC6617" w:rsidRPr="0049733B" w:rsidRDefault="00AC6617" w:rsidP="00AC6617">
      <w:pPr>
        <w:jc w:val="both"/>
        <w:rPr>
          <w:lang w:val="fr-FR"/>
        </w:rPr>
      </w:pPr>
    </w:p>
    <w:p w:rsidR="00AC6617" w:rsidRPr="0049733B" w:rsidRDefault="00AC6617" w:rsidP="00AC6617">
      <w:pPr>
        <w:jc w:val="both"/>
        <w:rPr>
          <w:lang w:val="fr-FR"/>
        </w:rPr>
      </w:pPr>
      <w:r w:rsidRPr="0049733B">
        <w:rPr>
          <w:lang w:val="fr-FR"/>
        </w:rPr>
        <w:t>Les documents de synthèse des résultats des ateliers de planification participative tenus dans  4 zones et ayant alimentés les travaux techniques de planification régionale ont été finalisés.  Un travail de réflexion sur les principes réglementaires et les outils opérationnels définis dans la législation haïtienne sur la planification et la gestion du dé</w:t>
      </w:r>
      <w:r w:rsidR="00121E4E">
        <w:rPr>
          <w:lang w:val="fr-FR"/>
        </w:rPr>
        <w:t>veloppement urbain a été initié.</w:t>
      </w:r>
    </w:p>
    <w:p w:rsidR="00AC6617" w:rsidRPr="0049733B" w:rsidRDefault="00AC6617" w:rsidP="00AC6617">
      <w:pPr>
        <w:jc w:val="both"/>
        <w:rPr>
          <w:lang w:val="fr-FR"/>
        </w:rPr>
      </w:pPr>
    </w:p>
    <w:p w:rsidR="00AC6617" w:rsidRPr="0049733B" w:rsidRDefault="00AC6617" w:rsidP="00AC6617">
      <w:pPr>
        <w:jc w:val="both"/>
        <w:rPr>
          <w:lang w:val="fr-FR"/>
        </w:rPr>
      </w:pPr>
      <w:r w:rsidRPr="0049733B">
        <w:rPr>
          <w:lang w:val="fr-FR"/>
        </w:rPr>
        <w:t xml:space="preserve">Les études et travaux sur le </w:t>
      </w:r>
      <w:proofErr w:type="spellStart"/>
      <w:r w:rsidRPr="0049733B">
        <w:rPr>
          <w:lang w:val="fr-FR"/>
        </w:rPr>
        <w:t>microzonage</w:t>
      </w:r>
      <w:proofErr w:type="spellEnd"/>
      <w:r w:rsidRPr="0049733B">
        <w:rPr>
          <w:lang w:val="fr-FR"/>
        </w:rPr>
        <w:t xml:space="preserve"> sismique de l’agglomération de Port-au-Prince touchent à leur fin.  Une version préliminaire du rapport final de synthèse de l’ensemble des travaux est en cours de validation technique.</w:t>
      </w:r>
    </w:p>
    <w:p w:rsidR="00AC6617" w:rsidRPr="0049733B" w:rsidRDefault="00AC6617" w:rsidP="00AC6617">
      <w:pPr>
        <w:jc w:val="both"/>
        <w:rPr>
          <w:lang w:val="fr-FR"/>
        </w:rPr>
      </w:pPr>
    </w:p>
    <w:p w:rsidR="00AC6617" w:rsidRPr="0049733B" w:rsidRDefault="00AC6617" w:rsidP="00AC6617">
      <w:pPr>
        <w:jc w:val="both"/>
        <w:rPr>
          <w:lang w:val="fr-FR"/>
        </w:rPr>
      </w:pPr>
      <w:r w:rsidRPr="0049733B">
        <w:rPr>
          <w:b/>
          <w:lang w:val="fr-FR"/>
        </w:rPr>
        <w:t>Ren</w:t>
      </w:r>
      <w:r w:rsidR="004C14C0">
        <w:rPr>
          <w:b/>
          <w:lang w:val="fr-FR"/>
        </w:rPr>
        <w:t>forcement des capacités du MPCE :</w:t>
      </w:r>
      <w:r w:rsidRPr="0049733B">
        <w:rPr>
          <w:b/>
          <w:lang w:val="fr-FR"/>
        </w:rPr>
        <w:t xml:space="preserve"> </w:t>
      </w:r>
      <w:r w:rsidRPr="0049733B">
        <w:rPr>
          <w:lang w:val="fr-FR"/>
        </w:rPr>
        <w:t>La cellule technique poursuit ses activités d’appui à la Direction Générale du Ministère et à l’Unité d’Aménagement du Territoire</w:t>
      </w:r>
      <w:r w:rsidR="00121E4E">
        <w:rPr>
          <w:lang w:val="fr-FR"/>
        </w:rPr>
        <w:t xml:space="preserve"> (UAT)</w:t>
      </w:r>
      <w:r w:rsidRPr="0049733B">
        <w:rPr>
          <w:lang w:val="fr-FR"/>
        </w:rPr>
        <w:t>.  Elle a appuyé la supervision et le suivi des études de planification régionale et urbaine réalisées par un bureau d’études, la préparation des réunions du comité de pilotage, ainsi que la structuration et la coordination des travaux du comité de lecture.</w:t>
      </w:r>
    </w:p>
    <w:p w:rsidR="00AC6617" w:rsidRPr="0049733B" w:rsidRDefault="00AC6617" w:rsidP="00AC6617">
      <w:pPr>
        <w:jc w:val="both"/>
        <w:rPr>
          <w:lang w:val="fr-FR"/>
        </w:rPr>
      </w:pPr>
    </w:p>
    <w:p w:rsidR="00AC6617" w:rsidRPr="0049733B" w:rsidRDefault="00AC6617" w:rsidP="00AC6617">
      <w:pPr>
        <w:jc w:val="both"/>
        <w:rPr>
          <w:lang w:val="fr-FR"/>
        </w:rPr>
      </w:pPr>
      <w:r w:rsidRPr="0049733B">
        <w:rPr>
          <w:lang w:val="fr-FR"/>
        </w:rPr>
        <w:t>Un lot de matériels et d’équipements informatiques (scanner, tables traçantes, ordinateurs, logiciels) a aussi été remis à l’UAT en vue d’améliorer ses capacités techniques.</w:t>
      </w:r>
    </w:p>
    <w:p w:rsidR="00AC6617" w:rsidRPr="0049733B" w:rsidRDefault="00AC6617" w:rsidP="00AC6617">
      <w:pPr>
        <w:jc w:val="both"/>
        <w:rPr>
          <w:lang w:val="fr-FR"/>
        </w:rPr>
      </w:pPr>
    </w:p>
    <w:p w:rsidR="00AC6617" w:rsidRDefault="00AC6617" w:rsidP="00AC6617">
      <w:pPr>
        <w:jc w:val="both"/>
        <w:rPr>
          <w:lang w:val="fr-FR"/>
        </w:rPr>
      </w:pPr>
      <w:r w:rsidRPr="0049733B">
        <w:rPr>
          <w:lang w:val="fr-FR"/>
        </w:rPr>
        <w:lastRenderedPageBreak/>
        <w:t>Parallèlement, le rôle de l’UAT dans le suivi de l’élaboration des études de planification a été sensib</w:t>
      </w:r>
      <w:r>
        <w:rPr>
          <w:lang w:val="fr-FR"/>
        </w:rPr>
        <w:t>lement renforcé.  L’Unité</w:t>
      </w:r>
      <w:r w:rsidRPr="0049733B">
        <w:rPr>
          <w:lang w:val="fr-FR"/>
        </w:rPr>
        <w:t xml:space="preserve"> assuré </w:t>
      </w:r>
      <w:r>
        <w:rPr>
          <w:lang w:val="fr-FR"/>
        </w:rPr>
        <w:t xml:space="preserve">désormais </w:t>
      </w:r>
      <w:r w:rsidRPr="0049733B">
        <w:rPr>
          <w:lang w:val="fr-FR"/>
        </w:rPr>
        <w:t xml:space="preserve">la tenue des réunions du comité de pilotage et du comité de lecture ainsi que la représentation </w:t>
      </w:r>
      <w:r>
        <w:rPr>
          <w:lang w:val="fr-FR"/>
        </w:rPr>
        <w:t>de la composante 4 aux</w:t>
      </w:r>
      <w:r w:rsidRPr="0049733B">
        <w:rPr>
          <w:lang w:val="fr-FR"/>
        </w:rPr>
        <w:t xml:space="preserve"> réunions</w:t>
      </w:r>
      <w:r>
        <w:rPr>
          <w:lang w:val="fr-FR"/>
        </w:rPr>
        <w:t>.</w:t>
      </w:r>
    </w:p>
    <w:p w:rsidR="00892A21" w:rsidRDefault="00892A21" w:rsidP="00AC6617">
      <w:pPr>
        <w:jc w:val="both"/>
        <w:rPr>
          <w:lang w:val="fr-FR"/>
        </w:rPr>
      </w:pPr>
    </w:p>
    <w:p w:rsidR="00635359" w:rsidRDefault="00635359" w:rsidP="00635359">
      <w:pPr>
        <w:pStyle w:val="BodyText"/>
        <w:tabs>
          <w:tab w:val="left" w:pos="0"/>
        </w:tabs>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Produits</w:t>
      </w:r>
    </w:p>
    <w:p w:rsidR="00892A21" w:rsidRDefault="00892A21" w:rsidP="00635359">
      <w:pPr>
        <w:pStyle w:val="BodyText"/>
        <w:tabs>
          <w:tab w:val="left" w:pos="0"/>
        </w:tabs>
        <w:jc w:val="both"/>
        <w:rPr>
          <w:rFonts w:ascii="Times New Roman" w:hAnsi="Times New Roman" w:cs="Times New Roman"/>
          <w:b/>
          <w:bCs/>
          <w:sz w:val="24"/>
          <w:szCs w:val="24"/>
          <w:lang w:val="fr-FR"/>
        </w:rPr>
      </w:pPr>
    </w:p>
    <w:p w:rsidR="00892A21" w:rsidRPr="0049733B" w:rsidRDefault="00892A21" w:rsidP="00892A21">
      <w:pPr>
        <w:numPr>
          <w:ilvl w:val="0"/>
          <w:numId w:val="47"/>
        </w:numPr>
        <w:spacing w:line="276" w:lineRule="auto"/>
        <w:jc w:val="both"/>
        <w:rPr>
          <w:lang w:val="fr-FR"/>
        </w:rPr>
      </w:pPr>
      <w:r w:rsidRPr="0049733B">
        <w:rPr>
          <w:lang w:val="fr-FR"/>
        </w:rPr>
        <w:t>5 documents de diagnostics régionaux (Port-au-Prince, Cap-Haitien, Jacmel, Saint-Marc, Les Palmes)</w:t>
      </w:r>
      <w:r>
        <w:rPr>
          <w:lang w:val="fr-FR"/>
        </w:rPr>
        <w:t> ;</w:t>
      </w:r>
    </w:p>
    <w:p w:rsidR="00892A21" w:rsidRPr="0049733B" w:rsidRDefault="00892A21" w:rsidP="00892A21">
      <w:pPr>
        <w:numPr>
          <w:ilvl w:val="0"/>
          <w:numId w:val="47"/>
        </w:numPr>
        <w:spacing w:line="276" w:lineRule="auto"/>
        <w:jc w:val="both"/>
        <w:rPr>
          <w:lang w:val="fr-FR"/>
        </w:rPr>
      </w:pPr>
      <w:r w:rsidRPr="0049733B">
        <w:rPr>
          <w:lang w:val="fr-FR"/>
        </w:rPr>
        <w:t>Versions préliminaires d’esquisses de schémas d’aménagement régionaux</w:t>
      </w:r>
      <w:r>
        <w:rPr>
          <w:lang w:val="fr-FR"/>
        </w:rPr>
        <w:t xml:space="preserve"> pour ces mêmes zones ;</w:t>
      </w:r>
    </w:p>
    <w:p w:rsidR="00892A21" w:rsidRPr="0049733B" w:rsidRDefault="00892A21" w:rsidP="00892A21">
      <w:pPr>
        <w:numPr>
          <w:ilvl w:val="0"/>
          <w:numId w:val="47"/>
        </w:numPr>
        <w:spacing w:line="276" w:lineRule="auto"/>
        <w:jc w:val="both"/>
        <w:rPr>
          <w:lang w:val="fr-FR"/>
        </w:rPr>
      </w:pPr>
      <w:r w:rsidRPr="0049733B">
        <w:rPr>
          <w:lang w:val="fr-FR"/>
        </w:rPr>
        <w:t>3 documents sur les impacts urbains du séisme d</w:t>
      </w:r>
      <w:r>
        <w:rPr>
          <w:lang w:val="fr-FR"/>
        </w:rPr>
        <w:t>ans les zones sinistrées (P-au-P</w:t>
      </w:r>
      <w:r w:rsidRPr="0049733B">
        <w:rPr>
          <w:lang w:val="fr-FR"/>
        </w:rPr>
        <w:t>, Jacmel, les Palmes)</w:t>
      </w:r>
      <w:r>
        <w:rPr>
          <w:lang w:val="fr-FR"/>
        </w:rPr>
        <w:t> ;</w:t>
      </w:r>
    </w:p>
    <w:p w:rsidR="00892A21" w:rsidRPr="0049733B" w:rsidRDefault="00892A21" w:rsidP="00892A21">
      <w:pPr>
        <w:numPr>
          <w:ilvl w:val="0"/>
          <w:numId w:val="47"/>
        </w:numPr>
        <w:spacing w:line="276" w:lineRule="auto"/>
        <w:jc w:val="both"/>
        <w:rPr>
          <w:lang w:val="fr-FR"/>
        </w:rPr>
      </w:pPr>
      <w:r w:rsidRPr="0049733B">
        <w:rPr>
          <w:lang w:val="fr-FR"/>
        </w:rPr>
        <w:t xml:space="preserve">Versions préliminaires d’esquisses de plans d’urbanisme pour 18 localités/agglomérations (Port-au-Prince, Cap-Haitien, Acul-du-Nord, Plaine-du-Nord, Limonade, </w:t>
      </w:r>
      <w:proofErr w:type="spellStart"/>
      <w:r w:rsidRPr="0049733B">
        <w:rPr>
          <w:lang w:val="fr-FR"/>
        </w:rPr>
        <w:t>Milot</w:t>
      </w:r>
      <w:proofErr w:type="spellEnd"/>
      <w:r w:rsidRPr="0049733B">
        <w:rPr>
          <w:lang w:val="fr-FR"/>
        </w:rPr>
        <w:t xml:space="preserve">, Quartier-Morin, Jacmel, Cayes-Jacmel, Marigot, Saint-Marc, </w:t>
      </w:r>
      <w:proofErr w:type="spellStart"/>
      <w:r w:rsidRPr="0049733B">
        <w:rPr>
          <w:lang w:val="fr-FR"/>
        </w:rPr>
        <w:t>Léogane</w:t>
      </w:r>
      <w:proofErr w:type="spellEnd"/>
      <w:r w:rsidRPr="0049733B">
        <w:rPr>
          <w:lang w:val="fr-FR"/>
        </w:rPr>
        <w:t>, Grand-</w:t>
      </w:r>
      <w:proofErr w:type="spellStart"/>
      <w:r w:rsidRPr="0049733B">
        <w:rPr>
          <w:lang w:val="fr-FR"/>
        </w:rPr>
        <w:t>Goave</w:t>
      </w:r>
      <w:proofErr w:type="spellEnd"/>
      <w:r w:rsidRPr="0049733B">
        <w:rPr>
          <w:lang w:val="fr-FR"/>
        </w:rPr>
        <w:t>, Petit-</w:t>
      </w:r>
      <w:proofErr w:type="spellStart"/>
      <w:r w:rsidRPr="0049733B">
        <w:rPr>
          <w:lang w:val="fr-FR"/>
        </w:rPr>
        <w:t>Goave</w:t>
      </w:r>
      <w:proofErr w:type="spellEnd"/>
      <w:r w:rsidRPr="0049733B">
        <w:rPr>
          <w:lang w:val="fr-FR"/>
        </w:rPr>
        <w:t>, Les Cayes, Port-Salut, Aquin, Vieux-Bourg d’Aquin)</w:t>
      </w:r>
      <w:r>
        <w:rPr>
          <w:lang w:val="fr-FR"/>
        </w:rPr>
        <w:t> ;</w:t>
      </w:r>
    </w:p>
    <w:p w:rsidR="00892A21" w:rsidRPr="0049733B" w:rsidRDefault="00892A21" w:rsidP="00892A21">
      <w:pPr>
        <w:numPr>
          <w:ilvl w:val="0"/>
          <w:numId w:val="47"/>
        </w:numPr>
        <w:spacing w:line="276" w:lineRule="auto"/>
        <w:jc w:val="both"/>
        <w:rPr>
          <w:lang w:val="fr-FR"/>
        </w:rPr>
      </w:pPr>
      <w:r w:rsidRPr="0049733B">
        <w:rPr>
          <w:lang w:val="fr-FR"/>
        </w:rPr>
        <w:t xml:space="preserve">Version préliminaire du rapport final de synthèse des études de </w:t>
      </w:r>
      <w:proofErr w:type="spellStart"/>
      <w:r w:rsidRPr="0049733B">
        <w:rPr>
          <w:lang w:val="fr-FR"/>
        </w:rPr>
        <w:t>microzonage</w:t>
      </w:r>
      <w:proofErr w:type="spellEnd"/>
      <w:r w:rsidRPr="0049733B">
        <w:rPr>
          <w:lang w:val="fr-FR"/>
        </w:rPr>
        <w:t xml:space="preserve"> de l’agglomération de Port-au-Prince</w:t>
      </w:r>
      <w:r>
        <w:rPr>
          <w:lang w:val="fr-FR"/>
        </w:rPr>
        <w:t> ;</w:t>
      </w:r>
    </w:p>
    <w:p w:rsidR="00892A21" w:rsidRPr="0049733B" w:rsidRDefault="00892A21" w:rsidP="00892A21">
      <w:pPr>
        <w:numPr>
          <w:ilvl w:val="0"/>
          <w:numId w:val="47"/>
        </w:numPr>
        <w:spacing w:line="276" w:lineRule="auto"/>
        <w:jc w:val="both"/>
        <w:rPr>
          <w:lang w:val="fr-FR"/>
        </w:rPr>
      </w:pPr>
      <w:r>
        <w:rPr>
          <w:lang w:val="fr-FR"/>
        </w:rPr>
        <w:t xml:space="preserve">Capacités de </w:t>
      </w:r>
      <w:r w:rsidRPr="0049733B">
        <w:rPr>
          <w:lang w:val="fr-FR"/>
        </w:rPr>
        <w:t>l’Unité d’Aménagement du Territoire du Ministère de la Planification renforcées</w:t>
      </w:r>
      <w:r>
        <w:rPr>
          <w:lang w:val="fr-FR"/>
        </w:rPr>
        <w:t>.</w:t>
      </w:r>
    </w:p>
    <w:p w:rsidR="00892A21" w:rsidRDefault="00892A21" w:rsidP="00635359">
      <w:pPr>
        <w:pStyle w:val="BodyText"/>
        <w:tabs>
          <w:tab w:val="left" w:pos="0"/>
        </w:tabs>
        <w:jc w:val="both"/>
        <w:rPr>
          <w:rFonts w:ascii="Times New Roman" w:hAnsi="Times New Roman" w:cs="Times New Roman"/>
          <w:b/>
          <w:bCs/>
          <w:sz w:val="24"/>
          <w:szCs w:val="24"/>
          <w:lang w:val="fr-FR"/>
        </w:rPr>
      </w:pPr>
    </w:p>
    <w:p w:rsidR="00635359" w:rsidRPr="00121E4E" w:rsidRDefault="00635359" w:rsidP="00635359">
      <w:pPr>
        <w:pStyle w:val="BodyText"/>
        <w:tabs>
          <w:tab w:val="left" w:pos="0"/>
        </w:tabs>
        <w:jc w:val="both"/>
        <w:rPr>
          <w:rFonts w:ascii="Times New Roman" w:hAnsi="Times New Roman" w:cs="Times New Roman"/>
          <w:b/>
          <w:bCs/>
          <w:sz w:val="24"/>
          <w:szCs w:val="24"/>
          <w:lang w:val="fr-FR"/>
        </w:rPr>
      </w:pPr>
      <w:r w:rsidRPr="00121E4E">
        <w:rPr>
          <w:rFonts w:ascii="Times New Roman" w:hAnsi="Times New Roman" w:cs="Times New Roman"/>
          <w:b/>
          <w:bCs/>
          <w:sz w:val="24"/>
          <w:szCs w:val="24"/>
          <w:lang w:val="fr-FR"/>
        </w:rPr>
        <w:t>Retards, défis, leçons apprises et meilleures pratiques</w:t>
      </w:r>
    </w:p>
    <w:p w:rsidR="00892A21" w:rsidRDefault="00892A21" w:rsidP="00635359">
      <w:pPr>
        <w:pStyle w:val="BodyText"/>
        <w:tabs>
          <w:tab w:val="left" w:pos="0"/>
        </w:tabs>
        <w:jc w:val="both"/>
        <w:rPr>
          <w:rFonts w:ascii="Times New Roman" w:hAnsi="Times New Roman" w:cs="Times New Roman"/>
          <w:b/>
          <w:bCs/>
          <w:color w:val="FF0000"/>
          <w:sz w:val="24"/>
          <w:szCs w:val="24"/>
          <w:lang w:val="fr-FR"/>
        </w:rPr>
      </w:pPr>
    </w:p>
    <w:p w:rsidR="00892A21" w:rsidRDefault="00892A21" w:rsidP="00121E4E">
      <w:pPr>
        <w:numPr>
          <w:ilvl w:val="0"/>
          <w:numId w:val="48"/>
        </w:numPr>
        <w:jc w:val="both"/>
        <w:rPr>
          <w:lang w:val="fr-FR"/>
        </w:rPr>
      </w:pPr>
      <w:r>
        <w:rPr>
          <w:lang w:val="fr-FR"/>
        </w:rPr>
        <w:t>Une sous-estimation du temps nécessaire à la réalisation des différentes études a eu pour conséquence d’importants retards dans la soumission des documents attendus.</w:t>
      </w:r>
    </w:p>
    <w:p w:rsidR="00121E4E" w:rsidRDefault="00121E4E" w:rsidP="00121E4E">
      <w:pPr>
        <w:numPr>
          <w:ilvl w:val="0"/>
          <w:numId w:val="48"/>
        </w:numPr>
        <w:jc w:val="both"/>
        <w:rPr>
          <w:lang w:val="fr-FR"/>
        </w:rPr>
      </w:pPr>
      <w:r>
        <w:rPr>
          <w:lang w:val="fr-FR"/>
        </w:rPr>
        <w:t xml:space="preserve">La validation des documents de planification </w:t>
      </w:r>
      <w:r w:rsidR="0011468F">
        <w:rPr>
          <w:lang w:val="fr-FR"/>
        </w:rPr>
        <w:t xml:space="preserve">prévus devient une priorité afin de permettre leur diffusion comme cadre d’orientation des interventions de reconstruction et développement des régions et des communes dans le délai imparti pour le </w:t>
      </w:r>
      <w:r w:rsidR="007D2DAA">
        <w:rPr>
          <w:lang w:val="fr-FR"/>
        </w:rPr>
        <w:t>Programme</w:t>
      </w:r>
      <w:r w:rsidR="0011468F">
        <w:rPr>
          <w:lang w:val="fr-FR"/>
        </w:rPr>
        <w:t xml:space="preserve">. </w:t>
      </w:r>
    </w:p>
    <w:p w:rsidR="00892A21" w:rsidRDefault="00892A21" w:rsidP="00121E4E">
      <w:pPr>
        <w:numPr>
          <w:ilvl w:val="0"/>
          <w:numId w:val="48"/>
        </w:numPr>
        <w:jc w:val="both"/>
        <w:rPr>
          <w:lang w:val="fr-FR"/>
        </w:rPr>
      </w:pPr>
      <w:r>
        <w:rPr>
          <w:lang w:val="fr-FR"/>
        </w:rPr>
        <w:t xml:space="preserve">Les processus de planification participative doivent être accompagnés de la mise à disposition de ressources pour la mise en œuvre de certaines des actions jugées prioritaires. </w:t>
      </w:r>
    </w:p>
    <w:p w:rsidR="00892A21" w:rsidRDefault="00892A21" w:rsidP="00121E4E">
      <w:pPr>
        <w:numPr>
          <w:ilvl w:val="0"/>
          <w:numId w:val="48"/>
        </w:numPr>
        <w:jc w:val="both"/>
        <w:rPr>
          <w:lang w:val="fr-FR"/>
        </w:rPr>
      </w:pPr>
      <w:r>
        <w:rPr>
          <w:lang w:val="fr-FR"/>
        </w:rPr>
        <w:t>Le renforcement des capacités, tant du MPCE que des collectivités territoriales est indispensable à la poursuite des initiatives de planification participative</w:t>
      </w:r>
      <w:r w:rsidR="00121E4E">
        <w:rPr>
          <w:lang w:val="fr-FR"/>
        </w:rPr>
        <w:t>.</w:t>
      </w:r>
    </w:p>
    <w:p w:rsidR="00892A21" w:rsidRDefault="00892A21" w:rsidP="00635359">
      <w:pPr>
        <w:pStyle w:val="BodyText"/>
        <w:tabs>
          <w:tab w:val="left" w:pos="0"/>
        </w:tabs>
        <w:jc w:val="both"/>
        <w:rPr>
          <w:rFonts w:ascii="Times New Roman" w:hAnsi="Times New Roman" w:cs="Times New Roman"/>
          <w:b/>
          <w:bCs/>
          <w:sz w:val="24"/>
          <w:szCs w:val="24"/>
          <w:lang w:val="fr-FR"/>
        </w:rPr>
      </w:pPr>
    </w:p>
    <w:p w:rsidR="00760D2B" w:rsidRPr="007D2DAA" w:rsidRDefault="00760D2B" w:rsidP="00760D2B">
      <w:pPr>
        <w:pStyle w:val="BodyText"/>
        <w:tabs>
          <w:tab w:val="left" w:pos="360"/>
        </w:tabs>
        <w:jc w:val="both"/>
        <w:rPr>
          <w:rFonts w:ascii="Times New Roman" w:hAnsi="Times New Roman" w:cs="Times New Roman"/>
          <w:b/>
          <w:bCs/>
          <w:sz w:val="24"/>
          <w:szCs w:val="24"/>
          <w:lang w:val="fr-FR"/>
        </w:rPr>
      </w:pPr>
      <w:r w:rsidRPr="007D2DAA">
        <w:rPr>
          <w:rFonts w:ascii="Times New Roman" w:hAnsi="Times New Roman" w:cs="Times New Roman"/>
          <w:b/>
          <w:bCs/>
          <w:sz w:val="24"/>
          <w:szCs w:val="24"/>
          <w:lang w:val="fr-FR"/>
        </w:rPr>
        <w:t>Évaluation qualitative</w:t>
      </w:r>
    </w:p>
    <w:p w:rsidR="00481613" w:rsidRDefault="00481613" w:rsidP="00760D2B">
      <w:pPr>
        <w:pStyle w:val="BodyText"/>
        <w:tabs>
          <w:tab w:val="left" w:pos="360"/>
        </w:tabs>
        <w:jc w:val="both"/>
        <w:rPr>
          <w:rFonts w:ascii="Times New Roman" w:hAnsi="Times New Roman" w:cs="Times New Roman"/>
          <w:b/>
          <w:bCs/>
          <w:color w:val="FF0000"/>
          <w:sz w:val="24"/>
          <w:szCs w:val="24"/>
          <w:lang w:val="fr-FR"/>
        </w:rPr>
      </w:pPr>
    </w:p>
    <w:p w:rsidR="007A5EB0" w:rsidRDefault="00BB0907" w:rsidP="00760D2B">
      <w:pPr>
        <w:pStyle w:val="BodyText"/>
        <w:jc w:val="both"/>
        <w:rPr>
          <w:rFonts w:ascii="Times New Roman" w:hAnsi="Times New Roman"/>
          <w:bCs/>
          <w:sz w:val="24"/>
          <w:lang w:val="fr-FR"/>
        </w:rPr>
      </w:pPr>
      <w:r>
        <w:rPr>
          <w:rFonts w:ascii="Times New Roman" w:hAnsi="Times New Roman"/>
          <w:bCs/>
          <w:sz w:val="24"/>
          <w:lang w:val="fr-FR"/>
        </w:rPr>
        <w:t>L</w:t>
      </w:r>
      <w:r w:rsidR="007A5EB0">
        <w:rPr>
          <w:rFonts w:ascii="Times New Roman" w:hAnsi="Times New Roman"/>
          <w:bCs/>
          <w:sz w:val="24"/>
          <w:lang w:val="fr-FR"/>
        </w:rPr>
        <w:t xml:space="preserve">es partenariats établis pour la mise en place des activités de chacune des composantes du Programme ont permis non seulement la production d’un certain nombre d’outils d’aide à la décision et </w:t>
      </w:r>
      <w:r w:rsidR="00F61DFF">
        <w:rPr>
          <w:rFonts w:ascii="Times New Roman" w:hAnsi="Times New Roman"/>
          <w:bCs/>
          <w:sz w:val="24"/>
          <w:lang w:val="fr-FR"/>
        </w:rPr>
        <w:t xml:space="preserve">la mise en place des dispositifs </w:t>
      </w:r>
      <w:r w:rsidR="007A5EB0">
        <w:rPr>
          <w:rFonts w:ascii="Times New Roman" w:hAnsi="Times New Roman"/>
          <w:bCs/>
          <w:sz w:val="24"/>
          <w:lang w:val="fr-FR"/>
        </w:rPr>
        <w:t>de maitrise d’ouvrage</w:t>
      </w:r>
      <w:r w:rsidR="00F61DFF">
        <w:rPr>
          <w:rFonts w:ascii="Times New Roman" w:hAnsi="Times New Roman"/>
          <w:bCs/>
          <w:sz w:val="24"/>
          <w:lang w:val="fr-FR"/>
        </w:rPr>
        <w:t>,</w:t>
      </w:r>
      <w:r w:rsidR="007A5EB0">
        <w:rPr>
          <w:rFonts w:ascii="Times New Roman" w:hAnsi="Times New Roman"/>
          <w:bCs/>
          <w:sz w:val="24"/>
          <w:lang w:val="fr-FR"/>
        </w:rPr>
        <w:t xml:space="preserve"> </w:t>
      </w:r>
      <w:r w:rsidR="00CF2F4F">
        <w:rPr>
          <w:rFonts w:ascii="Times New Roman" w:hAnsi="Times New Roman"/>
          <w:bCs/>
          <w:sz w:val="24"/>
          <w:lang w:val="fr-FR"/>
        </w:rPr>
        <w:t>ainsi que</w:t>
      </w:r>
      <w:r w:rsidR="007A5EB0">
        <w:rPr>
          <w:rFonts w:ascii="Times New Roman" w:hAnsi="Times New Roman"/>
          <w:bCs/>
          <w:sz w:val="24"/>
          <w:lang w:val="fr-FR"/>
        </w:rPr>
        <w:t xml:space="preserve"> leur encrage au sein des institutions </w:t>
      </w:r>
      <w:r w:rsidR="00F61DFF">
        <w:rPr>
          <w:rFonts w:ascii="Times New Roman" w:hAnsi="Times New Roman"/>
          <w:bCs/>
          <w:sz w:val="24"/>
          <w:lang w:val="fr-FR"/>
        </w:rPr>
        <w:t>publiques</w:t>
      </w:r>
      <w:r w:rsidR="007A5EB0">
        <w:rPr>
          <w:rFonts w:ascii="Times New Roman" w:hAnsi="Times New Roman"/>
          <w:bCs/>
          <w:sz w:val="24"/>
          <w:lang w:val="fr-FR"/>
        </w:rPr>
        <w:t xml:space="preserve"> concernées</w:t>
      </w:r>
      <w:r w:rsidR="00F61DFF">
        <w:rPr>
          <w:rFonts w:ascii="Times New Roman" w:hAnsi="Times New Roman"/>
          <w:bCs/>
          <w:sz w:val="24"/>
          <w:lang w:val="fr-FR"/>
        </w:rPr>
        <w:t>,</w:t>
      </w:r>
      <w:r w:rsidR="007D2DAA">
        <w:rPr>
          <w:rFonts w:ascii="Times New Roman" w:hAnsi="Times New Roman"/>
          <w:bCs/>
          <w:sz w:val="24"/>
          <w:lang w:val="fr-FR"/>
        </w:rPr>
        <w:t xml:space="preserve"> mais aussi le renforcement des</w:t>
      </w:r>
      <w:r w:rsidR="007A5EB0">
        <w:rPr>
          <w:rFonts w:ascii="Times New Roman" w:hAnsi="Times New Roman"/>
          <w:bCs/>
          <w:sz w:val="24"/>
          <w:lang w:val="fr-FR"/>
        </w:rPr>
        <w:t xml:space="preserve"> capacités </w:t>
      </w:r>
      <w:r w:rsidR="007D2DAA">
        <w:rPr>
          <w:rFonts w:ascii="Times New Roman" w:hAnsi="Times New Roman"/>
          <w:bCs/>
          <w:sz w:val="24"/>
          <w:lang w:val="fr-FR"/>
        </w:rPr>
        <w:t xml:space="preserve">de ces dernières </w:t>
      </w:r>
      <w:r w:rsidR="007A5EB0">
        <w:rPr>
          <w:rFonts w:ascii="Times New Roman" w:hAnsi="Times New Roman"/>
          <w:bCs/>
          <w:sz w:val="24"/>
          <w:lang w:val="fr-FR"/>
        </w:rPr>
        <w:t>pour répondre aux besoins de gestion de la reconstruction et du développement.</w:t>
      </w:r>
    </w:p>
    <w:p w:rsidR="007A5EB0" w:rsidRDefault="007A5EB0" w:rsidP="00760D2B">
      <w:pPr>
        <w:pStyle w:val="BodyText"/>
        <w:jc w:val="both"/>
        <w:rPr>
          <w:rFonts w:ascii="Times New Roman" w:hAnsi="Times New Roman"/>
          <w:bCs/>
          <w:sz w:val="24"/>
          <w:lang w:val="fr-FR"/>
        </w:rPr>
      </w:pPr>
    </w:p>
    <w:p w:rsidR="007A5EB0" w:rsidRDefault="007A5EB0" w:rsidP="00760D2B">
      <w:pPr>
        <w:pStyle w:val="BodyText"/>
        <w:jc w:val="both"/>
        <w:rPr>
          <w:rFonts w:ascii="Times New Roman" w:hAnsi="Times New Roman"/>
          <w:bCs/>
          <w:sz w:val="24"/>
          <w:lang w:val="fr-FR"/>
        </w:rPr>
      </w:pPr>
      <w:r>
        <w:rPr>
          <w:rFonts w:ascii="Times New Roman" w:hAnsi="Times New Roman"/>
          <w:bCs/>
          <w:sz w:val="24"/>
          <w:lang w:val="fr-FR"/>
        </w:rPr>
        <w:t xml:space="preserve">L’articulation entre composantes a également permis </w:t>
      </w:r>
      <w:r w:rsidR="00CF2F4F">
        <w:rPr>
          <w:rFonts w:ascii="Times New Roman" w:hAnsi="Times New Roman"/>
          <w:bCs/>
          <w:sz w:val="24"/>
          <w:lang w:val="fr-FR"/>
        </w:rPr>
        <w:t xml:space="preserve">d’établir une série de partenariats entre institutions </w:t>
      </w:r>
      <w:r w:rsidR="00F61DFF">
        <w:rPr>
          <w:rFonts w:ascii="Times New Roman" w:hAnsi="Times New Roman"/>
          <w:bCs/>
          <w:sz w:val="24"/>
          <w:lang w:val="fr-FR"/>
        </w:rPr>
        <w:t>publiques</w:t>
      </w:r>
      <w:r w:rsidR="00CF2F4F">
        <w:rPr>
          <w:rFonts w:ascii="Times New Roman" w:hAnsi="Times New Roman"/>
          <w:bCs/>
          <w:sz w:val="24"/>
          <w:lang w:val="fr-FR"/>
        </w:rPr>
        <w:t xml:space="preserve"> sur des domaines particuliers qui méritent d’être consolidés. Par exemple, la collaboration entre l’IHSI et le CNIGS pour la mise en place du SILQ est une première qui permet d’envisager d’autres dans l’avenir. D’autre part, les communes participantes se constituent progressivement comme les principales réceptrices des produits du Programme afin qu’</w:t>
      </w:r>
      <w:r w:rsidR="007D2DAA">
        <w:rPr>
          <w:rFonts w:ascii="Times New Roman" w:hAnsi="Times New Roman"/>
          <w:bCs/>
          <w:sz w:val="24"/>
          <w:lang w:val="fr-FR"/>
        </w:rPr>
        <w:t>elles</w:t>
      </w:r>
      <w:r w:rsidR="00CF2F4F">
        <w:rPr>
          <w:rFonts w:ascii="Times New Roman" w:hAnsi="Times New Roman"/>
          <w:bCs/>
          <w:sz w:val="24"/>
          <w:lang w:val="fr-FR"/>
        </w:rPr>
        <w:t xml:space="preserve"> puisse</w:t>
      </w:r>
      <w:r w:rsidR="007D2DAA">
        <w:rPr>
          <w:rFonts w:ascii="Times New Roman" w:hAnsi="Times New Roman"/>
          <w:bCs/>
          <w:sz w:val="24"/>
          <w:lang w:val="fr-FR"/>
        </w:rPr>
        <w:t>nt</w:t>
      </w:r>
      <w:r w:rsidR="00CF2F4F">
        <w:rPr>
          <w:rFonts w:ascii="Times New Roman" w:hAnsi="Times New Roman"/>
          <w:bCs/>
          <w:sz w:val="24"/>
          <w:lang w:val="fr-FR"/>
        </w:rPr>
        <w:t xml:space="preserve"> assurer sur le terrain la coordination de la reconstruction et du développement de leurs territoires. Ces rapports </w:t>
      </w:r>
      <w:r w:rsidR="007D2DAA">
        <w:rPr>
          <w:rFonts w:ascii="Times New Roman" w:hAnsi="Times New Roman"/>
          <w:bCs/>
          <w:sz w:val="24"/>
          <w:lang w:val="fr-FR"/>
        </w:rPr>
        <w:t xml:space="preserve">interinstitutionnels </w:t>
      </w:r>
      <w:r w:rsidR="00CF2F4F">
        <w:rPr>
          <w:rFonts w:ascii="Times New Roman" w:hAnsi="Times New Roman"/>
          <w:bCs/>
          <w:sz w:val="24"/>
          <w:lang w:val="fr-FR"/>
        </w:rPr>
        <w:t xml:space="preserve">seront fondamentaux dans la dernière phase du Programme </w:t>
      </w:r>
      <w:r w:rsidR="00F61DFF">
        <w:rPr>
          <w:rFonts w:ascii="Times New Roman" w:hAnsi="Times New Roman"/>
          <w:bCs/>
          <w:sz w:val="24"/>
          <w:lang w:val="fr-FR"/>
        </w:rPr>
        <w:t>quand</w:t>
      </w:r>
      <w:r w:rsidR="007D2DAA">
        <w:rPr>
          <w:rFonts w:ascii="Times New Roman" w:hAnsi="Times New Roman"/>
          <w:bCs/>
          <w:sz w:val="24"/>
          <w:lang w:val="fr-FR"/>
        </w:rPr>
        <w:t xml:space="preserve"> ces outils et dispositifs seront opérationnalisés.</w:t>
      </w:r>
    </w:p>
    <w:p w:rsidR="007A5EB0" w:rsidRDefault="007A5EB0" w:rsidP="00760D2B">
      <w:pPr>
        <w:pStyle w:val="BodyText"/>
        <w:jc w:val="both"/>
        <w:rPr>
          <w:rFonts w:ascii="Times New Roman" w:hAnsi="Times New Roman"/>
          <w:bCs/>
          <w:sz w:val="24"/>
          <w:lang w:val="fr-FR"/>
        </w:rPr>
      </w:pPr>
    </w:p>
    <w:p w:rsidR="007D2DAA" w:rsidRDefault="00CF2F4F" w:rsidP="00760D2B">
      <w:pPr>
        <w:pStyle w:val="BodyText"/>
        <w:jc w:val="both"/>
        <w:rPr>
          <w:rFonts w:ascii="Times New Roman" w:hAnsi="Times New Roman"/>
          <w:bCs/>
          <w:sz w:val="24"/>
          <w:lang w:val="fr-FR"/>
        </w:rPr>
      </w:pPr>
      <w:r>
        <w:rPr>
          <w:rFonts w:ascii="Times New Roman" w:hAnsi="Times New Roman"/>
          <w:bCs/>
          <w:sz w:val="24"/>
          <w:lang w:val="fr-FR"/>
        </w:rPr>
        <w:t xml:space="preserve">Le secrétariat technique tache </w:t>
      </w:r>
      <w:r w:rsidR="007D2DAA">
        <w:rPr>
          <w:rFonts w:ascii="Times New Roman" w:hAnsi="Times New Roman"/>
          <w:bCs/>
          <w:sz w:val="24"/>
          <w:lang w:val="fr-FR"/>
        </w:rPr>
        <w:t>à</w:t>
      </w:r>
      <w:r>
        <w:rPr>
          <w:rFonts w:ascii="Times New Roman" w:hAnsi="Times New Roman"/>
          <w:bCs/>
          <w:sz w:val="24"/>
          <w:lang w:val="fr-FR"/>
        </w:rPr>
        <w:t xml:space="preserve"> </w:t>
      </w:r>
      <w:r w:rsidR="007D2DAA">
        <w:rPr>
          <w:rFonts w:ascii="Times New Roman" w:hAnsi="Times New Roman"/>
          <w:bCs/>
          <w:sz w:val="24"/>
          <w:lang w:val="fr-FR"/>
        </w:rPr>
        <w:t>assurer la bonne communication et coordination des activités ainsi que l’appui au pilotage du Programme par le</w:t>
      </w:r>
      <w:r w:rsidR="00F61DFF">
        <w:rPr>
          <w:rFonts w:ascii="Times New Roman" w:hAnsi="Times New Roman"/>
          <w:bCs/>
          <w:sz w:val="24"/>
          <w:lang w:val="fr-FR"/>
        </w:rPr>
        <w:t>s</w:t>
      </w:r>
      <w:r w:rsidR="007D2DAA">
        <w:rPr>
          <w:rFonts w:ascii="Times New Roman" w:hAnsi="Times New Roman"/>
          <w:bCs/>
          <w:sz w:val="24"/>
          <w:lang w:val="fr-FR"/>
        </w:rPr>
        <w:t xml:space="preserve"> deux maitres d’ouvrage : l’UCLBP pour le gouvernement et le Bureau du Coordonnateur Résident pour les NNUU.</w:t>
      </w:r>
    </w:p>
    <w:p w:rsidR="00760D2B" w:rsidRPr="00760D2B" w:rsidRDefault="00760D2B" w:rsidP="00760D2B">
      <w:pPr>
        <w:pStyle w:val="BodyText"/>
        <w:tabs>
          <w:tab w:val="left" w:pos="360"/>
        </w:tabs>
        <w:jc w:val="both"/>
        <w:rPr>
          <w:rFonts w:ascii="Times New Roman" w:hAnsi="Times New Roman" w:cs="Times New Roman"/>
          <w:b/>
          <w:bCs/>
          <w:color w:val="FF0000"/>
          <w:sz w:val="24"/>
          <w:szCs w:val="24"/>
          <w:lang w:val="fr-FR"/>
        </w:rPr>
        <w:sectPr w:rsidR="00760D2B" w:rsidRPr="00760D2B" w:rsidSect="005268E7">
          <w:footerReference w:type="default" r:id="rId13"/>
          <w:footerReference w:type="first" r:id="rId14"/>
          <w:pgSz w:w="12240" w:h="15840" w:code="1"/>
          <w:pgMar w:top="540" w:right="990" w:bottom="851" w:left="806" w:header="720" w:footer="418" w:gutter="0"/>
          <w:cols w:space="720"/>
          <w:docGrid w:linePitch="360"/>
        </w:sectPr>
      </w:pPr>
    </w:p>
    <w:p w:rsidR="003E2682" w:rsidRPr="00E3532D" w:rsidRDefault="00EA24FA" w:rsidP="003E2682">
      <w:pPr>
        <w:pStyle w:val="BodyText"/>
        <w:tabs>
          <w:tab w:val="left" w:pos="360"/>
        </w:tabs>
        <w:ind w:left="720"/>
        <w:jc w:val="both"/>
        <w:rPr>
          <w:rFonts w:ascii="Times New Roman" w:hAnsi="Times New Roman"/>
          <w:bCs/>
          <w:sz w:val="24"/>
          <w:lang w:val="fr-FR"/>
        </w:rPr>
      </w:pPr>
      <w:r>
        <w:rPr>
          <w:rFonts w:ascii="Times New Roman" w:hAnsi="Times New Roman"/>
          <w:noProof/>
          <w:sz w:val="24"/>
        </w:rPr>
        <w:lastRenderedPageBreak/>
        <mc:AlternateContent>
          <mc:Choice Requires="wps">
            <w:drawing>
              <wp:anchor distT="0" distB="0" distL="114300" distR="114300" simplePos="0" relativeHeight="251656704" behindDoc="0" locked="0" layoutInCell="1" allowOverlap="1">
                <wp:simplePos x="0" y="0"/>
                <wp:positionH relativeFrom="column">
                  <wp:posOffset>-533400</wp:posOffset>
                </wp:positionH>
                <wp:positionV relativeFrom="paragraph">
                  <wp:posOffset>-228600</wp:posOffset>
                </wp:positionV>
                <wp:extent cx="9446260" cy="291465"/>
                <wp:effectExtent l="9525" t="9525" r="12065" b="133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6260" cy="291465"/>
                        </a:xfrm>
                        <a:prstGeom prst="rect">
                          <a:avLst/>
                        </a:prstGeom>
                        <a:solidFill>
                          <a:srgbClr val="F2F2F2"/>
                        </a:solidFill>
                        <a:ln w="9525">
                          <a:solidFill>
                            <a:srgbClr val="D8D8D8"/>
                          </a:solidFill>
                          <a:miter lim="800000"/>
                          <a:headEnd/>
                          <a:tailEnd/>
                        </a:ln>
                      </wps:spPr>
                      <wps:txbx>
                        <w:txbxContent>
                          <w:p w:rsidR="00B95832" w:rsidRPr="00E3532D" w:rsidRDefault="00B95832" w:rsidP="003E2682">
                            <w:pPr>
                              <w:jc w:val="center"/>
                              <w:rPr>
                                <w:b/>
                                <w:lang w:val="fr-FR"/>
                              </w:rPr>
                            </w:pPr>
                            <w:r>
                              <w:rPr>
                                <w:b/>
                                <w:lang w:val="fr-FR"/>
                              </w:rPr>
                              <w:t>ii) É</w:t>
                            </w:r>
                            <w:r w:rsidRPr="00E3532D">
                              <w:rPr>
                                <w:b/>
                                <w:lang w:val="fr-FR"/>
                              </w:rPr>
                              <w:t>valuation</w:t>
                            </w:r>
                            <w:r>
                              <w:rPr>
                                <w:b/>
                                <w:lang w:val="fr-FR"/>
                              </w:rPr>
                              <w:t xml:space="preserve"> axée sur les </w:t>
                            </w:r>
                            <w:r w:rsidRPr="00E3532D">
                              <w:rPr>
                                <w:b/>
                                <w:lang w:val="fr-FR"/>
                              </w:rPr>
                              <w:t>Indicateurs de Performance: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2pt;margin-top:-18pt;width:743.8pt;height:22.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" fillcolor="#f2f2f2" strokecolor="#d8d8d8">
                <v:textbox>
                  <w:txbxContent>
                    <w:p w:rsidR="007A5EB0" w:rsidRPr="00E3532D" w:rsidRDefault="007A5EB0" w:rsidP="003E2682">
                      <w:pPr>
                        <w:jc w:val="center"/>
                        <w:rPr>
                          <w:b/>
                          <w:lang w:val="fr-FR"/>
                        </w:rPr>
                      </w:pPr>
                      <w:r>
                        <w:rPr>
                          <w:b/>
                          <w:lang w:val="fr-FR"/>
                        </w:rPr>
                        <w:t>ii) É</w:t>
                      </w:r>
                      <w:r w:rsidRPr="00E3532D">
                        <w:rPr>
                          <w:b/>
                          <w:lang w:val="fr-FR"/>
                        </w:rPr>
                        <w:t>valuation</w:t>
                      </w:r>
                      <w:r>
                        <w:rPr>
                          <w:b/>
                          <w:lang w:val="fr-FR"/>
                        </w:rPr>
                        <w:t xml:space="preserve"> axée sur les </w:t>
                      </w:r>
                      <w:r w:rsidRPr="00E3532D">
                        <w:rPr>
                          <w:b/>
                          <w:lang w:val="fr-FR"/>
                        </w:rPr>
                        <w:t>Indicateurs de Performance:</w:t>
                      </w:r>
                    </w:p>
                  </w:txbxContent>
                </v:textbox>
              </v:shape>
            </w:pict>
          </mc:Fallback>
        </mc:AlternateContent>
      </w:r>
    </w:p>
    <w:p w:rsidR="003E2682" w:rsidRPr="00E3532D" w:rsidRDefault="003E2682" w:rsidP="003E2682">
      <w:pPr>
        <w:pStyle w:val="BodyText"/>
        <w:jc w:val="both"/>
        <w:rPr>
          <w:rFonts w:ascii="Times New Roman" w:hAnsi="Times New Roman"/>
          <w:bCs/>
          <w:sz w:val="24"/>
          <w:lang w:val="fr-FR"/>
        </w:rPr>
      </w:pPr>
    </w:p>
    <w:tbl>
      <w:tblPr>
        <w:tblW w:w="1512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5"/>
        <w:gridCol w:w="3745"/>
        <w:gridCol w:w="3960"/>
        <w:gridCol w:w="3150"/>
      </w:tblGrid>
      <w:tr w:rsidR="003E2682" w:rsidRPr="00E3532D">
        <w:tc>
          <w:tcPr>
            <w:tcW w:w="4265" w:type="dxa"/>
            <w:tcBorders>
              <w:bottom w:val="single" w:sz="4" w:space="0" w:color="000000"/>
            </w:tcBorders>
            <w:shd w:val="clear" w:color="auto" w:fill="auto"/>
          </w:tcPr>
          <w:p w:rsidR="003E2682" w:rsidRPr="00E3532D" w:rsidRDefault="003E2682" w:rsidP="003E2682">
            <w:pPr>
              <w:pStyle w:val="BodyText"/>
              <w:jc w:val="both"/>
              <w:rPr>
                <w:rFonts w:ascii="Times New Roman" w:hAnsi="Times New Roman"/>
                <w:bCs/>
                <w:sz w:val="24"/>
                <w:lang w:val="fr-FR"/>
              </w:rPr>
            </w:pPr>
          </w:p>
        </w:tc>
        <w:tc>
          <w:tcPr>
            <w:tcW w:w="3745" w:type="dxa"/>
            <w:tcBorders>
              <w:bottom w:val="single" w:sz="4" w:space="0" w:color="000000"/>
            </w:tcBorders>
            <w:shd w:val="clear" w:color="auto" w:fill="auto"/>
          </w:tcPr>
          <w:p w:rsidR="003E2682" w:rsidRPr="00E3532D" w:rsidRDefault="003E2682" w:rsidP="003E2682">
            <w:pPr>
              <w:jc w:val="center"/>
              <w:rPr>
                <w:b/>
                <w:lang w:val="fr-FR"/>
              </w:rPr>
            </w:pPr>
            <w:r w:rsidRPr="00E3532D">
              <w:rPr>
                <w:b/>
                <w:lang w:val="fr-FR"/>
              </w:rPr>
              <w:t>Indicateurs</w:t>
            </w:r>
            <w:r w:rsidRPr="00E3532D">
              <w:rPr>
                <w:b/>
                <w:u w:val="single"/>
                <w:lang w:val="fr-FR"/>
              </w:rPr>
              <w:t xml:space="preserve"> atteints</w:t>
            </w:r>
            <w:r w:rsidRPr="00E3532D">
              <w:rPr>
                <w:b/>
                <w:lang w:val="fr-FR"/>
              </w:rPr>
              <w:t xml:space="preserve"> </w:t>
            </w:r>
          </w:p>
        </w:tc>
        <w:tc>
          <w:tcPr>
            <w:tcW w:w="3960" w:type="dxa"/>
            <w:tcBorders>
              <w:bottom w:val="single" w:sz="4" w:space="0" w:color="000000"/>
            </w:tcBorders>
            <w:shd w:val="clear" w:color="auto" w:fill="auto"/>
          </w:tcPr>
          <w:p w:rsidR="003E2682" w:rsidRPr="00E3532D" w:rsidRDefault="003E2682" w:rsidP="003E2682">
            <w:pPr>
              <w:jc w:val="center"/>
              <w:rPr>
                <w:b/>
                <w:lang w:val="fr-FR"/>
              </w:rPr>
            </w:pPr>
            <w:r w:rsidRPr="00E3532D">
              <w:rPr>
                <w:b/>
                <w:lang w:val="fr-FR"/>
              </w:rPr>
              <w:t>Raisons d’éventuel(s) écart(s)</w:t>
            </w:r>
          </w:p>
        </w:tc>
        <w:tc>
          <w:tcPr>
            <w:tcW w:w="3150" w:type="dxa"/>
            <w:tcBorders>
              <w:bottom w:val="single" w:sz="4" w:space="0" w:color="000000"/>
            </w:tcBorders>
            <w:shd w:val="clear" w:color="auto" w:fill="auto"/>
          </w:tcPr>
          <w:p w:rsidR="003E2682" w:rsidRPr="00E3532D" w:rsidRDefault="003E2682" w:rsidP="003E2682">
            <w:pPr>
              <w:jc w:val="center"/>
              <w:rPr>
                <w:b/>
                <w:lang w:val="fr-FR"/>
              </w:rPr>
            </w:pPr>
            <w:r w:rsidRPr="00E3532D">
              <w:rPr>
                <w:b/>
                <w:lang w:val="fr-FR"/>
              </w:rPr>
              <w:t>Source de vérification</w:t>
            </w:r>
          </w:p>
        </w:tc>
      </w:tr>
      <w:tr w:rsidR="00FF0711" w:rsidRPr="00C122A6" w:rsidTr="00165525">
        <w:tc>
          <w:tcPr>
            <w:tcW w:w="15120" w:type="dxa"/>
            <w:gridSpan w:val="4"/>
            <w:shd w:val="pct15" w:color="auto" w:fill="auto"/>
          </w:tcPr>
          <w:p w:rsidR="00FF0711" w:rsidRPr="00FF0711" w:rsidRDefault="00FF0711" w:rsidP="003E2682">
            <w:pPr>
              <w:pStyle w:val="BodyText"/>
              <w:jc w:val="both"/>
              <w:rPr>
                <w:rFonts w:ascii="Times New Roman" w:hAnsi="Times New Roman" w:cs="Times New Roman"/>
                <w:bCs/>
                <w:sz w:val="24"/>
                <w:szCs w:val="24"/>
                <w:lang w:val="fr-FR"/>
              </w:rPr>
            </w:pPr>
            <w:r w:rsidRPr="00FF0711">
              <w:rPr>
                <w:rFonts w:ascii="Times New Roman" w:hAnsi="Times New Roman" w:cs="Times New Roman"/>
                <w:b/>
                <w:sz w:val="24"/>
                <w:szCs w:val="24"/>
                <w:lang w:val="fr-FR"/>
              </w:rPr>
              <w:t>Résultat 1</w:t>
            </w:r>
            <w:r w:rsidRPr="00FF0711">
              <w:rPr>
                <w:rStyle w:val="FootnoteReference"/>
                <w:rFonts w:ascii="Times New Roman" w:hAnsi="Times New Roman" w:cs="Times New Roman"/>
                <w:b/>
                <w:sz w:val="24"/>
                <w:szCs w:val="24"/>
                <w:lang w:val="fr-FR"/>
              </w:rPr>
              <w:footnoteReference w:id="3"/>
            </w:r>
            <w:r w:rsidRPr="00FF0711">
              <w:rPr>
                <w:rFonts w:ascii="Times New Roman" w:hAnsi="Times New Roman" w:cs="Times New Roman"/>
                <w:b/>
                <w:sz w:val="24"/>
                <w:szCs w:val="24"/>
                <w:lang w:val="fr-FR"/>
              </w:rPr>
              <w:t xml:space="preserve"> : </w:t>
            </w:r>
            <w:r w:rsidRPr="00FF0711">
              <w:rPr>
                <w:rFonts w:ascii="Times New Roman" w:hAnsi="Times New Roman" w:cs="Times New Roman"/>
                <w:sz w:val="24"/>
                <w:szCs w:val="24"/>
                <w:lang w:val="fr-FR"/>
              </w:rPr>
              <w:t>Pour fournir des données sur les bâtiments et ménages (population), le statut foncier des logements ainsi que les services sociaux de base et l’emplacement des infrastructures communautaires comme un moyen de faciliter les efforts concernant les logements et la reconstruction.</w:t>
            </w:r>
          </w:p>
        </w:tc>
      </w:tr>
      <w:tr w:rsidR="009D3141" w:rsidRPr="00C122A6" w:rsidTr="009D3141">
        <w:trPr>
          <w:trHeight w:val="1974"/>
        </w:trPr>
        <w:tc>
          <w:tcPr>
            <w:tcW w:w="4265" w:type="dxa"/>
            <w:vMerge w:val="restart"/>
            <w:shd w:val="clear" w:color="auto" w:fill="auto"/>
          </w:tcPr>
          <w:p w:rsidR="009D3141" w:rsidRPr="009D3141" w:rsidRDefault="009D3141" w:rsidP="00FF0711">
            <w:pPr>
              <w:pStyle w:val="BodyText"/>
              <w:rPr>
                <w:rFonts w:ascii="Times New Roman" w:hAnsi="Times New Roman" w:cs="Times New Roman"/>
                <w:bCs/>
                <w:sz w:val="24"/>
                <w:szCs w:val="24"/>
                <w:lang w:val="fr-FR"/>
              </w:rPr>
            </w:pPr>
            <w:r w:rsidRPr="009D3141">
              <w:rPr>
                <w:rFonts w:ascii="Times New Roman" w:hAnsi="Times New Roman" w:cs="Times New Roman"/>
                <w:b/>
                <w:sz w:val="24"/>
                <w:szCs w:val="24"/>
                <w:lang w:val="fr-FR"/>
              </w:rPr>
              <w:t xml:space="preserve">Produit 1.1 : </w:t>
            </w:r>
            <w:r w:rsidRPr="009D3141">
              <w:rPr>
                <w:rFonts w:ascii="Times New Roman" w:hAnsi="Times New Roman" w:cs="Times New Roman"/>
                <w:bCs/>
                <w:sz w:val="24"/>
                <w:szCs w:val="24"/>
                <w:lang w:val="fr-FR"/>
              </w:rPr>
              <w:t>Cartographie et inventaire des bâtiments mis à jour, y compris les données sur les services de base, dans les zones affectées rendus disponibles.</w:t>
            </w:r>
          </w:p>
          <w:p w:rsidR="00A420A7" w:rsidRDefault="00A420A7" w:rsidP="003E2682">
            <w:pPr>
              <w:rPr>
                <w:b/>
                <w:lang w:val="fr-FR"/>
              </w:rPr>
            </w:pPr>
          </w:p>
          <w:p w:rsidR="009D3141" w:rsidRPr="009D3141" w:rsidRDefault="009D3141" w:rsidP="003E2682">
            <w:pPr>
              <w:rPr>
                <w:b/>
                <w:lang w:val="fr-FR"/>
              </w:rPr>
            </w:pPr>
            <w:r w:rsidRPr="009D3141">
              <w:rPr>
                <w:b/>
                <w:lang w:val="fr-FR"/>
              </w:rPr>
              <w:t xml:space="preserve">Indicateur  1.1.1 : </w:t>
            </w:r>
            <w:r w:rsidRPr="009D3141">
              <w:rPr>
                <w:lang w:val="fr-FR"/>
              </w:rPr>
              <w:t xml:space="preserve">Outils de cartographie et d’inventaire de bâtiments et méthodologie améliorés et mis à jour.    </w:t>
            </w:r>
          </w:p>
          <w:p w:rsidR="009D3141" w:rsidRPr="009D3141" w:rsidRDefault="009D3141" w:rsidP="003E2682">
            <w:pPr>
              <w:rPr>
                <w:b/>
                <w:lang w:val="fr-FR"/>
              </w:rPr>
            </w:pPr>
            <w:r w:rsidRPr="009D3141">
              <w:rPr>
                <w:b/>
                <w:lang w:val="fr-FR"/>
              </w:rPr>
              <w:t xml:space="preserve">Indicateur de référence: </w:t>
            </w:r>
            <w:r w:rsidRPr="009D3141">
              <w:rPr>
                <w:lang w:val="fr-FR"/>
              </w:rPr>
              <w:t>Méthodologie de base pour la collecte de données  a été utilisée dans le recensement de 2013.</w:t>
            </w:r>
          </w:p>
          <w:p w:rsidR="009D3141" w:rsidRPr="009D3141" w:rsidRDefault="009D3141" w:rsidP="003E2682">
            <w:pPr>
              <w:rPr>
                <w:b/>
                <w:lang w:val="fr-FR"/>
              </w:rPr>
            </w:pPr>
            <w:r w:rsidRPr="009D3141">
              <w:rPr>
                <w:b/>
                <w:lang w:val="fr-FR"/>
              </w:rPr>
              <w:t xml:space="preserve">Indicateur cible: </w:t>
            </w:r>
            <w:r w:rsidRPr="009D3141">
              <w:rPr>
                <w:lang w:val="fr-FR"/>
              </w:rPr>
              <w:t>Méthodologies finalisée et utilisée pour la collecte de données</w:t>
            </w:r>
          </w:p>
          <w:p w:rsidR="009D3141" w:rsidRPr="009D3141" w:rsidRDefault="009D3141" w:rsidP="003E2682">
            <w:pPr>
              <w:rPr>
                <w:lang w:val="fr-FR"/>
              </w:rPr>
            </w:pPr>
          </w:p>
          <w:p w:rsidR="009D3141" w:rsidRPr="009D3141" w:rsidRDefault="009D3141" w:rsidP="005F1B5C">
            <w:pPr>
              <w:rPr>
                <w:lang w:val="fr-FR"/>
              </w:rPr>
            </w:pPr>
            <w:r w:rsidRPr="009D3141">
              <w:rPr>
                <w:b/>
                <w:lang w:val="fr-FR"/>
              </w:rPr>
              <w:t xml:space="preserve">Indicateur 1.1.2 : </w:t>
            </w:r>
            <w:r w:rsidRPr="009D3141">
              <w:rPr>
                <w:lang w:val="fr-FR"/>
              </w:rPr>
              <w:t>Personnel de l’IHSI formé pour effectuer la collecte de données conformément à la méthodologie</w:t>
            </w:r>
          </w:p>
          <w:p w:rsidR="009D3141" w:rsidRPr="009D3141" w:rsidRDefault="009D3141" w:rsidP="003E2682">
            <w:pPr>
              <w:rPr>
                <w:b/>
                <w:lang w:val="fr-FR"/>
              </w:rPr>
            </w:pPr>
            <w:r w:rsidRPr="009D3141">
              <w:rPr>
                <w:b/>
                <w:lang w:val="fr-FR"/>
              </w:rPr>
              <w:t>Indicateur de référence:</w:t>
            </w:r>
            <w:r w:rsidRPr="009D3141">
              <w:rPr>
                <w:lang w:val="fr-FR"/>
              </w:rPr>
              <w:t xml:space="preserve"> Présentement, </w:t>
            </w:r>
            <w:r w:rsidRPr="009D3141">
              <w:rPr>
                <w:lang w:val="fr-FR"/>
              </w:rPr>
              <w:lastRenderedPageBreak/>
              <w:t xml:space="preserve">le personnel de l’IHSI n’a pas la capacité d’effectuer la collecte de données selon la méthodologie mise à jour.  </w:t>
            </w:r>
          </w:p>
          <w:p w:rsidR="009D3141" w:rsidRDefault="009D3141" w:rsidP="003E2682">
            <w:pPr>
              <w:rPr>
                <w:lang w:val="fr-FR"/>
              </w:rPr>
            </w:pPr>
            <w:r w:rsidRPr="009D3141">
              <w:rPr>
                <w:b/>
                <w:lang w:val="fr-FR"/>
              </w:rPr>
              <w:t xml:space="preserve">Indicateur cible: </w:t>
            </w:r>
            <w:r w:rsidRPr="009D3141">
              <w:rPr>
                <w:lang w:val="fr-FR"/>
              </w:rPr>
              <w:t>81 staffs formés sur la méthodologie finalisée.</w:t>
            </w:r>
          </w:p>
          <w:p w:rsidR="009D3141" w:rsidRDefault="009D3141" w:rsidP="003E2682">
            <w:pPr>
              <w:rPr>
                <w:lang w:val="fr-FR"/>
              </w:rPr>
            </w:pPr>
          </w:p>
          <w:p w:rsidR="009D3141" w:rsidRPr="009D3141" w:rsidRDefault="009D3141" w:rsidP="009D3141">
            <w:pPr>
              <w:rPr>
                <w:lang w:val="fr-FR"/>
              </w:rPr>
            </w:pPr>
            <w:r>
              <w:rPr>
                <w:b/>
                <w:lang w:val="fr-FR"/>
              </w:rPr>
              <w:t>Indicateur 1.1.3</w:t>
            </w:r>
            <w:r w:rsidRPr="009D3141">
              <w:rPr>
                <w:b/>
                <w:lang w:val="fr-FR"/>
              </w:rPr>
              <w:t xml:space="preserve"> : </w:t>
            </w:r>
            <w:r w:rsidRPr="00C47A8E">
              <w:rPr>
                <w:lang w:val="fr-FR"/>
              </w:rPr>
              <w:t>Les produits tels les cartes et rapports</w:t>
            </w:r>
            <w:r>
              <w:rPr>
                <w:lang w:val="fr-FR"/>
              </w:rPr>
              <w:t xml:space="preserve"> </w:t>
            </w:r>
            <w:r w:rsidRPr="00BD6253">
              <w:rPr>
                <w:lang w:val="fr-FR"/>
              </w:rPr>
              <w:t>sur l’inventaire des  bâtiments et la cartographie</w:t>
            </w:r>
            <w:r w:rsidRPr="00C47A8E">
              <w:rPr>
                <w:lang w:val="fr-FR"/>
              </w:rPr>
              <w:t xml:space="preserve"> sont disponibles pour les acteurs de la reconstruction.</w:t>
            </w:r>
          </w:p>
          <w:p w:rsidR="009D3141" w:rsidRDefault="009D3141" w:rsidP="009D3141">
            <w:pPr>
              <w:rPr>
                <w:b/>
                <w:lang w:val="fr-FR"/>
              </w:rPr>
            </w:pPr>
            <w:r w:rsidRPr="009D3141">
              <w:rPr>
                <w:b/>
                <w:lang w:val="fr-FR"/>
              </w:rPr>
              <w:t>Indicateur de référence</w:t>
            </w:r>
            <w:r>
              <w:rPr>
                <w:b/>
                <w:lang w:val="fr-FR"/>
              </w:rPr>
              <w:t xml:space="preserve"> : </w:t>
            </w:r>
            <w:r>
              <w:rPr>
                <w:lang w:val="fr-FR"/>
              </w:rPr>
              <w:t>En ce moment, ces données ne sont pas disponibles pour les zones couvertes par ce projet.</w:t>
            </w:r>
          </w:p>
          <w:p w:rsidR="009D3141" w:rsidRPr="009D3141" w:rsidRDefault="009D3141" w:rsidP="009D3141">
            <w:pPr>
              <w:rPr>
                <w:lang w:val="fr-FR"/>
              </w:rPr>
            </w:pPr>
            <w:r w:rsidRPr="009D3141">
              <w:rPr>
                <w:b/>
                <w:lang w:val="fr-FR"/>
              </w:rPr>
              <w:t xml:space="preserve">Indicateur cible: </w:t>
            </w:r>
            <w:r>
              <w:rPr>
                <w:lang w:val="fr-FR"/>
              </w:rPr>
              <w:t xml:space="preserve">Cartes détaillées et rapports sur 3300 SDE disponibles. </w:t>
            </w:r>
          </w:p>
        </w:tc>
        <w:tc>
          <w:tcPr>
            <w:tcW w:w="3745" w:type="dxa"/>
            <w:shd w:val="clear" w:color="auto" w:fill="auto"/>
          </w:tcPr>
          <w:p w:rsidR="009D3141" w:rsidRPr="009D3141" w:rsidRDefault="009D3141" w:rsidP="003E2682">
            <w:pPr>
              <w:pStyle w:val="BodyText"/>
              <w:jc w:val="both"/>
              <w:rPr>
                <w:rFonts w:ascii="Times New Roman" w:hAnsi="Times New Roman" w:cs="Times New Roman"/>
                <w:sz w:val="24"/>
                <w:szCs w:val="24"/>
                <w:lang w:val="fr-FR"/>
              </w:rPr>
            </w:pPr>
          </w:p>
          <w:p w:rsidR="009D3141" w:rsidRPr="009D3141" w:rsidRDefault="009D3141" w:rsidP="003E2682">
            <w:pPr>
              <w:pStyle w:val="BodyText"/>
              <w:jc w:val="both"/>
              <w:rPr>
                <w:rFonts w:ascii="Times New Roman" w:hAnsi="Times New Roman" w:cs="Times New Roman"/>
                <w:sz w:val="24"/>
                <w:szCs w:val="24"/>
                <w:lang w:val="fr-FR"/>
              </w:rPr>
            </w:pPr>
          </w:p>
          <w:p w:rsidR="009D3141" w:rsidRPr="009D3141" w:rsidRDefault="009D3141" w:rsidP="003E2682">
            <w:pPr>
              <w:pStyle w:val="BodyText"/>
              <w:jc w:val="both"/>
              <w:rPr>
                <w:rFonts w:ascii="Times New Roman" w:hAnsi="Times New Roman" w:cs="Times New Roman"/>
                <w:sz w:val="24"/>
                <w:szCs w:val="24"/>
                <w:lang w:val="fr-FR"/>
              </w:rPr>
            </w:pPr>
          </w:p>
          <w:p w:rsidR="009D3141" w:rsidRPr="009D3141" w:rsidRDefault="009D3141" w:rsidP="003E2682">
            <w:pPr>
              <w:pStyle w:val="BodyText"/>
              <w:jc w:val="both"/>
              <w:rPr>
                <w:rFonts w:ascii="Times New Roman" w:hAnsi="Times New Roman" w:cs="Times New Roman"/>
                <w:sz w:val="24"/>
                <w:szCs w:val="24"/>
                <w:lang w:val="fr-FR"/>
              </w:rPr>
            </w:pPr>
          </w:p>
          <w:p w:rsidR="00A420A7" w:rsidRDefault="00A420A7" w:rsidP="003E2682">
            <w:pPr>
              <w:pStyle w:val="BodyText"/>
              <w:jc w:val="both"/>
              <w:rPr>
                <w:rFonts w:ascii="Times New Roman" w:hAnsi="Times New Roman" w:cs="Times New Roman"/>
                <w:sz w:val="24"/>
                <w:szCs w:val="24"/>
                <w:lang w:val="fr-FR"/>
              </w:rPr>
            </w:pPr>
          </w:p>
          <w:p w:rsidR="009D3141" w:rsidRPr="009D3141" w:rsidRDefault="009D3141" w:rsidP="003E2682">
            <w:pPr>
              <w:pStyle w:val="BodyText"/>
              <w:jc w:val="both"/>
              <w:rPr>
                <w:rFonts w:ascii="Times New Roman" w:hAnsi="Times New Roman" w:cs="Times New Roman"/>
                <w:sz w:val="24"/>
                <w:szCs w:val="24"/>
                <w:lang w:val="fr-FR"/>
              </w:rPr>
            </w:pPr>
            <w:r w:rsidRPr="009D3141">
              <w:rPr>
                <w:rFonts w:ascii="Times New Roman" w:hAnsi="Times New Roman" w:cs="Times New Roman"/>
                <w:sz w:val="24"/>
                <w:szCs w:val="24"/>
                <w:lang w:val="fr-FR"/>
              </w:rPr>
              <w:t xml:space="preserve">Les outils de cartographie et la méthodologie ont été complétés durant le premier trimestre de l’année 2012.  </w:t>
            </w:r>
          </w:p>
          <w:p w:rsidR="00040C93" w:rsidRPr="00040C93" w:rsidRDefault="00040C93" w:rsidP="00040C93">
            <w:pPr>
              <w:pStyle w:val="BodyText"/>
              <w:rPr>
                <w:lang w:val="fr-FR"/>
              </w:rPr>
            </w:pPr>
          </w:p>
          <w:p w:rsidR="009D3141" w:rsidRPr="009D3141" w:rsidRDefault="00040C93" w:rsidP="003E2682">
            <w:pPr>
              <w:pStyle w:val="BodyText"/>
              <w:jc w:val="both"/>
              <w:rPr>
                <w:rFonts w:ascii="Times New Roman" w:hAnsi="Times New Roman" w:cs="Times New Roman"/>
                <w:sz w:val="24"/>
                <w:szCs w:val="24"/>
                <w:lang w:val="fr-FR"/>
              </w:rPr>
            </w:pPr>
            <w:r w:rsidRPr="00040C93">
              <w:rPr>
                <w:rFonts w:ascii="Times New Roman" w:hAnsi="Times New Roman" w:cs="Times New Roman"/>
                <w:sz w:val="24"/>
                <w:szCs w:val="24"/>
                <w:lang w:val="fr-FR"/>
              </w:rPr>
              <w:t xml:space="preserve">A partir du mois de Septembre 2013, de nouvelles technologies ont été utilisées pour accomplir le travail de terrain : des </w:t>
            </w:r>
            <w:proofErr w:type="spellStart"/>
            <w:r w:rsidRPr="00040C93">
              <w:rPr>
                <w:rFonts w:ascii="Times New Roman" w:hAnsi="Times New Roman" w:cs="Times New Roman"/>
                <w:sz w:val="24"/>
                <w:szCs w:val="24"/>
                <w:lang w:val="fr-FR"/>
              </w:rPr>
              <w:t>PDAs</w:t>
            </w:r>
            <w:proofErr w:type="spellEnd"/>
            <w:r w:rsidRPr="00040C93">
              <w:rPr>
                <w:rFonts w:ascii="Times New Roman" w:hAnsi="Times New Roman" w:cs="Times New Roman"/>
                <w:sz w:val="24"/>
                <w:szCs w:val="24"/>
                <w:lang w:val="fr-FR"/>
              </w:rPr>
              <w:t xml:space="preserve"> ont été utilisés par l’IHSI et des imageries du drone UAV (</w:t>
            </w:r>
            <w:proofErr w:type="spellStart"/>
            <w:r w:rsidRPr="00040C93">
              <w:rPr>
                <w:rFonts w:ascii="Times New Roman" w:hAnsi="Times New Roman" w:cs="Times New Roman"/>
                <w:sz w:val="24"/>
                <w:szCs w:val="24"/>
                <w:lang w:val="fr-FR"/>
              </w:rPr>
              <w:t>Unmanned</w:t>
            </w:r>
            <w:proofErr w:type="spellEnd"/>
            <w:r w:rsidRPr="00040C93">
              <w:rPr>
                <w:rFonts w:ascii="Times New Roman" w:hAnsi="Times New Roman" w:cs="Times New Roman"/>
                <w:sz w:val="24"/>
                <w:szCs w:val="24"/>
                <w:lang w:val="fr-FR"/>
              </w:rPr>
              <w:t xml:space="preserve"> </w:t>
            </w:r>
            <w:proofErr w:type="spellStart"/>
            <w:r w:rsidRPr="00040C93">
              <w:rPr>
                <w:rFonts w:ascii="Times New Roman" w:hAnsi="Times New Roman" w:cs="Times New Roman"/>
                <w:sz w:val="24"/>
                <w:szCs w:val="24"/>
                <w:lang w:val="fr-FR"/>
              </w:rPr>
              <w:t>Aerial</w:t>
            </w:r>
            <w:proofErr w:type="spellEnd"/>
            <w:r w:rsidRPr="00040C93">
              <w:rPr>
                <w:rFonts w:ascii="Times New Roman" w:hAnsi="Times New Roman" w:cs="Times New Roman"/>
                <w:sz w:val="24"/>
                <w:szCs w:val="24"/>
                <w:lang w:val="fr-FR"/>
              </w:rPr>
              <w:t xml:space="preserve"> </w:t>
            </w:r>
            <w:proofErr w:type="spellStart"/>
            <w:r w:rsidRPr="00040C93">
              <w:rPr>
                <w:rFonts w:ascii="Times New Roman" w:hAnsi="Times New Roman" w:cs="Times New Roman"/>
                <w:sz w:val="24"/>
                <w:szCs w:val="24"/>
                <w:lang w:val="fr-FR"/>
              </w:rPr>
              <w:t>Vehicle</w:t>
            </w:r>
            <w:proofErr w:type="spellEnd"/>
            <w:r w:rsidRPr="00040C93">
              <w:rPr>
                <w:rFonts w:ascii="Times New Roman" w:hAnsi="Times New Roman" w:cs="Times New Roman"/>
                <w:sz w:val="24"/>
                <w:szCs w:val="24"/>
                <w:lang w:val="fr-FR"/>
              </w:rPr>
              <w:t>) par l’OIM</w:t>
            </w:r>
          </w:p>
          <w:p w:rsidR="009D3141" w:rsidRPr="009D3141" w:rsidRDefault="009D3141" w:rsidP="003E2682">
            <w:pPr>
              <w:pStyle w:val="BodyText"/>
              <w:jc w:val="both"/>
              <w:rPr>
                <w:rFonts w:ascii="Times New Roman" w:hAnsi="Times New Roman" w:cs="Times New Roman"/>
                <w:sz w:val="24"/>
                <w:szCs w:val="24"/>
                <w:lang w:val="fr-FR"/>
              </w:rPr>
            </w:pPr>
          </w:p>
          <w:p w:rsidR="009D3141" w:rsidRPr="009D3141" w:rsidRDefault="009D3141" w:rsidP="000C3EF1">
            <w:pPr>
              <w:pStyle w:val="BodyText"/>
              <w:jc w:val="both"/>
              <w:rPr>
                <w:rFonts w:ascii="Times New Roman" w:hAnsi="Times New Roman" w:cs="Times New Roman"/>
                <w:bCs/>
                <w:sz w:val="24"/>
                <w:szCs w:val="24"/>
                <w:lang w:val="fr-FR"/>
              </w:rPr>
            </w:pPr>
            <w:r w:rsidRPr="009D3141">
              <w:rPr>
                <w:rFonts w:ascii="Times New Roman" w:hAnsi="Times New Roman" w:cs="Times New Roman"/>
                <w:sz w:val="24"/>
                <w:szCs w:val="24"/>
                <w:lang w:val="fr-FR"/>
              </w:rPr>
              <w:t>Présentement le t</w:t>
            </w:r>
            <w:r w:rsidR="000C3EF1">
              <w:rPr>
                <w:rFonts w:ascii="Times New Roman" w:hAnsi="Times New Roman" w:cs="Times New Roman"/>
                <w:sz w:val="24"/>
                <w:szCs w:val="24"/>
                <w:lang w:val="fr-FR"/>
              </w:rPr>
              <w:t>ravail a été complété dans 2,505</w:t>
            </w:r>
            <w:r w:rsidRPr="009D3141">
              <w:rPr>
                <w:rFonts w:ascii="Times New Roman" w:hAnsi="Times New Roman" w:cs="Times New Roman"/>
                <w:sz w:val="24"/>
                <w:szCs w:val="24"/>
                <w:lang w:val="fr-FR"/>
              </w:rPr>
              <w:t xml:space="preserve"> SDE</w:t>
            </w:r>
            <w:r w:rsidR="000C3EF1">
              <w:rPr>
                <w:rFonts w:ascii="Times New Roman" w:hAnsi="Times New Roman" w:cs="Times New Roman"/>
                <w:sz w:val="24"/>
                <w:szCs w:val="24"/>
                <w:lang w:val="fr-FR"/>
              </w:rPr>
              <w:t>.</w:t>
            </w:r>
          </w:p>
        </w:tc>
        <w:tc>
          <w:tcPr>
            <w:tcW w:w="3960" w:type="dxa"/>
            <w:vMerge w:val="restart"/>
            <w:shd w:val="clear" w:color="auto" w:fill="auto"/>
          </w:tcPr>
          <w:p w:rsidR="009D3141" w:rsidRPr="009D3141" w:rsidRDefault="009D3141" w:rsidP="003E2682">
            <w:pPr>
              <w:pStyle w:val="BodyText"/>
              <w:jc w:val="both"/>
              <w:rPr>
                <w:rFonts w:ascii="Times New Roman" w:hAnsi="Times New Roman" w:cs="Times New Roman"/>
                <w:sz w:val="24"/>
                <w:szCs w:val="24"/>
                <w:lang w:val="fr-FR"/>
              </w:rPr>
            </w:pPr>
          </w:p>
          <w:p w:rsidR="009D3141" w:rsidRPr="009D3141" w:rsidRDefault="009D3141" w:rsidP="003E2682">
            <w:pPr>
              <w:pStyle w:val="BodyText"/>
              <w:jc w:val="both"/>
              <w:rPr>
                <w:rFonts w:ascii="Times New Roman" w:hAnsi="Times New Roman" w:cs="Times New Roman"/>
                <w:sz w:val="24"/>
                <w:szCs w:val="24"/>
                <w:lang w:val="fr-FR"/>
              </w:rPr>
            </w:pPr>
          </w:p>
          <w:p w:rsidR="009D3141" w:rsidRPr="009D3141" w:rsidRDefault="009D3141" w:rsidP="003E2682">
            <w:pPr>
              <w:pStyle w:val="BodyText"/>
              <w:jc w:val="both"/>
              <w:rPr>
                <w:rFonts w:ascii="Times New Roman" w:hAnsi="Times New Roman" w:cs="Times New Roman"/>
                <w:sz w:val="24"/>
                <w:szCs w:val="24"/>
                <w:lang w:val="fr-FR"/>
              </w:rPr>
            </w:pPr>
          </w:p>
          <w:p w:rsidR="009D3141" w:rsidRPr="009D3141" w:rsidRDefault="009D3141" w:rsidP="003E2682">
            <w:pPr>
              <w:pStyle w:val="BodyText"/>
              <w:jc w:val="both"/>
              <w:rPr>
                <w:rFonts w:ascii="Times New Roman" w:hAnsi="Times New Roman" w:cs="Times New Roman"/>
                <w:sz w:val="24"/>
                <w:szCs w:val="24"/>
                <w:lang w:val="fr-FR"/>
              </w:rPr>
            </w:pPr>
          </w:p>
          <w:p w:rsidR="00A420A7" w:rsidRDefault="00A420A7" w:rsidP="003E2682">
            <w:pPr>
              <w:pStyle w:val="BodyText"/>
              <w:jc w:val="both"/>
              <w:rPr>
                <w:rFonts w:ascii="Times New Roman" w:hAnsi="Times New Roman" w:cs="Times New Roman"/>
                <w:sz w:val="24"/>
                <w:szCs w:val="24"/>
                <w:lang w:val="fr-FR"/>
              </w:rPr>
            </w:pPr>
          </w:p>
          <w:p w:rsidR="009D3141" w:rsidRPr="009D3141" w:rsidRDefault="009D3141" w:rsidP="003E2682">
            <w:pPr>
              <w:pStyle w:val="BodyText"/>
              <w:jc w:val="both"/>
              <w:rPr>
                <w:rFonts w:ascii="Times New Roman" w:hAnsi="Times New Roman" w:cs="Times New Roman"/>
                <w:sz w:val="24"/>
                <w:szCs w:val="24"/>
                <w:lang w:val="fr-FR"/>
              </w:rPr>
            </w:pPr>
            <w:r w:rsidRPr="009D3141">
              <w:rPr>
                <w:rFonts w:ascii="Times New Roman" w:hAnsi="Times New Roman" w:cs="Times New Roman"/>
                <w:sz w:val="24"/>
                <w:szCs w:val="24"/>
                <w:lang w:val="fr-FR"/>
              </w:rPr>
              <w:t>Selon l’environnement et la situation de la zone ciblée, de légères modifications doivent être  appliquées pour assurer une collecte de données efficace.</w:t>
            </w:r>
          </w:p>
          <w:p w:rsidR="009D3141" w:rsidRPr="009D3141" w:rsidRDefault="009D3141" w:rsidP="003E2682">
            <w:pPr>
              <w:pStyle w:val="BodyText"/>
              <w:jc w:val="both"/>
              <w:rPr>
                <w:rFonts w:ascii="Times New Roman" w:hAnsi="Times New Roman" w:cs="Times New Roman"/>
                <w:sz w:val="24"/>
                <w:szCs w:val="24"/>
                <w:lang w:val="fr-FR"/>
              </w:rPr>
            </w:pPr>
          </w:p>
          <w:p w:rsidR="009D3141" w:rsidRPr="009D3141" w:rsidRDefault="00040C93" w:rsidP="003E2682">
            <w:pPr>
              <w:pStyle w:val="BodyText"/>
              <w:jc w:val="both"/>
              <w:rPr>
                <w:rFonts w:ascii="Times New Roman" w:hAnsi="Times New Roman" w:cs="Times New Roman"/>
                <w:sz w:val="24"/>
                <w:szCs w:val="24"/>
                <w:lang w:val="fr-FR"/>
              </w:rPr>
            </w:pPr>
            <w:r>
              <w:rPr>
                <w:rFonts w:ascii="Times New Roman" w:hAnsi="Times New Roman" w:cs="Times New Roman"/>
                <w:sz w:val="24"/>
                <w:szCs w:val="24"/>
                <w:lang w:val="fr-FR"/>
              </w:rPr>
              <w:t>Lacunes dans la maitrise des nouvelles technologies.</w:t>
            </w:r>
          </w:p>
          <w:p w:rsidR="009D3141" w:rsidRPr="009D3141" w:rsidRDefault="009D3141" w:rsidP="003E2682">
            <w:pPr>
              <w:pStyle w:val="BodyText"/>
              <w:jc w:val="both"/>
              <w:rPr>
                <w:rFonts w:ascii="Times New Roman" w:hAnsi="Times New Roman" w:cs="Times New Roman"/>
                <w:sz w:val="24"/>
                <w:szCs w:val="24"/>
                <w:lang w:val="fr-FR"/>
              </w:rPr>
            </w:pPr>
          </w:p>
          <w:p w:rsidR="009D3141" w:rsidRPr="009D3141" w:rsidRDefault="009D3141" w:rsidP="003E2682">
            <w:pPr>
              <w:pStyle w:val="BodyText"/>
              <w:jc w:val="both"/>
              <w:rPr>
                <w:rFonts w:ascii="Times New Roman" w:hAnsi="Times New Roman" w:cs="Times New Roman"/>
                <w:sz w:val="24"/>
                <w:szCs w:val="24"/>
                <w:lang w:val="fr-FR"/>
              </w:rPr>
            </w:pPr>
          </w:p>
          <w:p w:rsidR="009D3141" w:rsidRPr="009D3141" w:rsidRDefault="009D3141" w:rsidP="003E2682">
            <w:pPr>
              <w:pStyle w:val="BodyText"/>
              <w:jc w:val="both"/>
              <w:rPr>
                <w:rFonts w:ascii="Times New Roman" w:hAnsi="Times New Roman" w:cs="Times New Roman"/>
                <w:bCs/>
                <w:sz w:val="24"/>
                <w:szCs w:val="24"/>
                <w:lang w:val="fr-FR"/>
              </w:rPr>
            </w:pPr>
          </w:p>
        </w:tc>
        <w:tc>
          <w:tcPr>
            <w:tcW w:w="3150" w:type="dxa"/>
            <w:vMerge w:val="restart"/>
            <w:shd w:val="clear" w:color="auto" w:fill="auto"/>
          </w:tcPr>
          <w:p w:rsidR="009D3141" w:rsidRPr="009D3141" w:rsidRDefault="009D3141" w:rsidP="003E2682">
            <w:pPr>
              <w:pStyle w:val="BodyText"/>
              <w:jc w:val="both"/>
              <w:rPr>
                <w:rFonts w:ascii="Times New Roman" w:hAnsi="Times New Roman" w:cs="Times New Roman"/>
                <w:sz w:val="24"/>
                <w:szCs w:val="24"/>
                <w:lang w:val="fr-FR"/>
              </w:rPr>
            </w:pPr>
          </w:p>
          <w:p w:rsidR="009D3141" w:rsidRPr="009D3141" w:rsidRDefault="009D3141" w:rsidP="003E2682">
            <w:pPr>
              <w:pStyle w:val="BodyText"/>
              <w:jc w:val="both"/>
              <w:rPr>
                <w:rFonts w:ascii="Times New Roman" w:hAnsi="Times New Roman" w:cs="Times New Roman"/>
                <w:sz w:val="24"/>
                <w:szCs w:val="24"/>
                <w:lang w:val="fr-FR"/>
              </w:rPr>
            </w:pPr>
          </w:p>
          <w:p w:rsidR="009D3141" w:rsidRPr="009D3141" w:rsidRDefault="009D3141" w:rsidP="003E2682">
            <w:pPr>
              <w:pStyle w:val="BodyText"/>
              <w:jc w:val="both"/>
              <w:rPr>
                <w:rFonts w:ascii="Times New Roman" w:hAnsi="Times New Roman" w:cs="Times New Roman"/>
                <w:sz w:val="24"/>
                <w:szCs w:val="24"/>
                <w:lang w:val="fr-FR"/>
              </w:rPr>
            </w:pPr>
          </w:p>
          <w:p w:rsidR="009D3141" w:rsidRPr="009D3141" w:rsidRDefault="009D3141" w:rsidP="003E2682">
            <w:pPr>
              <w:pStyle w:val="BodyText"/>
              <w:jc w:val="both"/>
              <w:rPr>
                <w:rFonts w:ascii="Times New Roman" w:hAnsi="Times New Roman" w:cs="Times New Roman"/>
                <w:sz w:val="24"/>
                <w:szCs w:val="24"/>
                <w:lang w:val="fr-FR"/>
              </w:rPr>
            </w:pPr>
          </w:p>
          <w:p w:rsidR="00A420A7" w:rsidRDefault="00A420A7" w:rsidP="003E2682">
            <w:pPr>
              <w:pStyle w:val="BodyText"/>
              <w:jc w:val="both"/>
              <w:rPr>
                <w:rFonts w:ascii="Times New Roman" w:hAnsi="Times New Roman" w:cs="Times New Roman"/>
                <w:sz w:val="24"/>
                <w:szCs w:val="24"/>
                <w:lang w:val="fr-FR"/>
              </w:rPr>
            </w:pPr>
          </w:p>
          <w:p w:rsidR="009D3141" w:rsidRPr="009D3141" w:rsidRDefault="009D3141" w:rsidP="003E2682">
            <w:pPr>
              <w:pStyle w:val="BodyText"/>
              <w:jc w:val="both"/>
              <w:rPr>
                <w:rFonts w:ascii="Times New Roman" w:hAnsi="Times New Roman" w:cs="Times New Roman"/>
                <w:sz w:val="24"/>
                <w:szCs w:val="24"/>
                <w:lang w:val="fr-FR"/>
              </w:rPr>
            </w:pPr>
            <w:r w:rsidRPr="009D3141">
              <w:rPr>
                <w:rFonts w:ascii="Times New Roman" w:hAnsi="Times New Roman" w:cs="Times New Roman"/>
                <w:sz w:val="24"/>
                <w:szCs w:val="24"/>
                <w:lang w:val="fr-FR"/>
              </w:rPr>
              <w:t>Document méthodologique de cartographie et d’inventaires de bâtiments.</w:t>
            </w:r>
          </w:p>
          <w:p w:rsidR="009D3141" w:rsidRPr="009D3141" w:rsidRDefault="009D3141" w:rsidP="003E2682">
            <w:pPr>
              <w:pStyle w:val="BodyText"/>
              <w:jc w:val="both"/>
              <w:rPr>
                <w:rFonts w:ascii="Times New Roman" w:hAnsi="Times New Roman" w:cs="Times New Roman"/>
                <w:sz w:val="24"/>
                <w:szCs w:val="24"/>
                <w:lang w:val="fr-FR"/>
              </w:rPr>
            </w:pPr>
          </w:p>
          <w:p w:rsidR="009D3141" w:rsidRPr="009D3141" w:rsidRDefault="000C3EF1" w:rsidP="003E2682">
            <w:pPr>
              <w:pStyle w:val="BodyText"/>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Cahiers d’inventaire de </w:t>
            </w:r>
            <w:r w:rsidR="00435EDF">
              <w:rPr>
                <w:rFonts w:ascii="Times New Roman" w:hAnsi="Times New Roman" w:cs="Times New Roman"/>
                <w:sz w:val="24"/>
                <w:szCs w:val="24"/>
                <w:lang w:val="fr-FR"/>
              </w:rPr>
              <w:t>bâtiments</w:t>
            </w:r>
            <w:r>
              <w:rPr>
                <w:rFonts w:ascii="Times New Roman" w:hAnsi="Times New Roman" w:cs="Times New Roman"/>
                <w:sz w:val="24"/>
                <w:szCs w:val="24"/>
                <w:lang w:val="fr-FR"/>
              </w:rPr>
              <w:t>.</w:t>
            </w:r>
          </w:p>
          <w:p w:rsidR="009D3141" w:rsidRPr="009D3141" w:rsidRDefault="009D3141" w:rsidP="003E2682">
            <w:pPr>
              <w:pStyle w:val="BodyText"/>
              <w:jc w:val="both"/>
              <w:rPr>
                <w:rFonts w:ascii="Times New Roman" w:hAnsi="Times New Roman" w:cs="Times New Roman"/>
                <w:sz w:val="24"/>
                <w:szCs w:val="24"/>
                <w:lang w:val="fr-FR"/>
              </w:rPr>
            </w:pPr>
          </w:p>
          <w:p w:rsidR="009D3141" w:rsidRPr="009D3141" w:rsidRDefault="009D3141" w:rsidP="003E2682">
            <w:pPr>
              <w:pStyle w:val="BodyText"/>
              <w:jc w:val="both"/>
              <w:rPr>
                <w:rFonts w:ascii="Times New Roman" w:hAnsi="Times New Roman" w:cs="Times New Roman"/>
                <w:bCs/>
                <w:sz w:val="24"/>
                <w:szCs w:val="24"/>
                <w:lang w:val="fr-FR"/>
              </w:rPr>
            </w:pPr>
            <w:r w:rsidRPr="009D3141">
              <w:rPr>
                <w:rFonts w:ascii="Times New Roman" w:hAnsi="Times New Roman" w:cs="Times New Roman"/>
                <w:sz w:val="24"/>
                <w:szCs w:val="24"/>
                <w:lang w:val="fr-FR"/>
              </w:rPr>
              <w:t>Cartes et rapports produits.</w:t>
            </w:r>
          </w:p>
        </w:tc>
      </w:tr>
      <w:tr w:rsidR="009D3141" w:rsidRPr="00C122A6" w:rsidTr="00165525">
        <w:trPr>
          <w:trHeight w:val="3098"/>
        </w:trPr>
        <w:tc>
          <w:tcPr>
            <w:tcW w:w="4265" w:type="dxa"/>
            <w:vMerge/>
            <w:shd w:val="clear" w:color="auto" w:fill="auto"/>
          </w:tcPr>
          <w:p w:rsidR="009D3141" w:rsidRPr="00FF0711" w:rsidRDefault="009D3141" w:rsidP="00FF0711">
            <w:pPr>
              <w:pStyle w:val="BodyText"/>
              <w:rPr>
                <w:rFonts w:ascii="Times New Roman" w:hAnsi="Times New Roman" w:cs="Times New Roman"/>
                <w:b/>
                <w:sz w:val="24"/>
                <w:szCs w:val="24"/>
                <w:lang w:val="fr-FR"/>
              </w:rPr>
            </w:pPr>
          </w:p>
        </w:tc>
        <w:tc>
          <w:tcPr>
            <w:tcW w:w="3745" w:type="dxa"/>
            <w:shd w:val="clear" w:color="auto" w:fill="auto"/>
          </w:tcPr>
          <w:p w:rsidR="009D3141" w:rsidRPr="00FF0711" w:rsidRDefault="009D3141" w:rsidP="003E2682">
            <w:pPr>
              <w:pStyle w:val="BodyText"/>
              <w:jc w:val="both"/>
              <w:rPr>
                <w:rFonts w:ascii="Times New Roman" w:hAnsi="Times New Roman" w:cs="Times New Roman"/>
                <w:sz w:val="24"/>
                <w:szCs w:val="24"/>
                <w:lang w:val="fr-FR"/>
              </w:rPr>
            </w:pPr>
          </w:p>
        </w:tc>
        <w:tc>
          <w:tcPr>
            <w:tcW w:w="3960" w:type="dxa"/>
            <w:vMerge/>
            <w:shd w:val="clear" w:color="auto" w:fill="auto"/>
          </w:tcPr>
          <w:p w:rsidR="009D3141" w:rsidRPr="00FF0711" w:rsidRDefault="009D3141" w:rsidP="003E2682">
            <w:pPr>
              <w:pStyle w:val="BodyText"/>
              <w:jc w:val="both"/>
              <w:rPr>
                <w:rFonts w:ascii="Times New Roman" w:hAnsi="Times New Roman" w:cs="Times New Roman"/>
                <w:sz w:val="24"/>
                <w:szCs w:val="24"/>
                <w:lang w:val="fr-FR"/>
              </w:rPr>
            </w:pPr>
          </w:p>
        </w:tc>
        <w:tc>
          <w:tcPr>
            <w:tcW w:w="3150" w:type="dxa"/>
            <w:vMerge/>
            <w:shd w:val="clear" w:color="auto" w:fill="auto"/>
          </w:tcPr>
          <w:p w:rsidR="009D3141" w:rsidRPr="00FF0711" w:rsidRDefault="009D3141" w:rsidP="003E2682">
            <w:pPr>
              <w:pStyle w:val="BodyText"/>
              <w:jc w:val="both"/>
              <w:rPr>
                <w:rFonts w:ascii="Times New Roman" w:hAnsi="Times New Roman" w:cs="Times New Roman"/>
                <w:sz w:val="24"/>
                <w:szCs w:val="24"/>
                <w:lang w:val="fr-FR"/>
              </w:rPr>
            </w:pPr>
          </w:p>
        </w:tc>
      </w:tr>
      <w:tr w:rsidR="003E2682" w:rsidRPr="00E3532D">
        <w:tc>
          <w:tcPr>
            <w:tcW w:w="4265" w:type="dxa"/>
            <w:shd w:val="clear" w:color="auto" w:fill="auto"/>
          </w:tcPr>
          <w:p w:rsidR="009D3141" w:rsidRPr="00A420A7" w:rsidRDefault="009D3141" w:rsidP="009D3141">
            <w:pPr>
              <w:rPr>
                <w:bCs/>
                <w:lang w:val="fr-FR"/>
              </w:rPr>
            </w:pPr>
            <w:r w:rsidRPr="00A420A7">
              <w:rPr>
                <w:b/>
                <w:lang w:val="fr-FR"/>
              </w:rPr>
              <w:lastRenderedPageBreak/>
              <w:t>Produit 1.2</w:t>
            </w:r>
            <w:r w:rsidRPr="00A420A7">
              <w:rPr>
                <w:lang w:val="fr-FR"/>
              </w:rPr>
              <w:t xml:space="preserve"> : </w:t>
            </w:r>
            <w:r w:rsidRPr="00A420A7">
              <w:rPr>
                <w:bCs/>
                <w:lang w:val="fr-FR"/>
              </w:rPr>
              <w:t>Information sur la population (recensement) dans des zones sélectionnées sont recueillies et rendus disponibles.</w:t>
            </w:r>
          </w:p>
          <w:p w:rsidR="00A420A7" w:rsidRPr="00A420A7" w:rsidRDefault="00A420A7" w:rsidP="009D3141">
            <w:pPr>
              <w:rPr>
                <w:lang w:val="fr-FR"/>
              </w:rPr>
            </w:pPr>
          </w:p>
          <w:p w:rsidR="009D3141" w:rsidRPr="00A420A7" w:rsidRDefault="009D3141" w:rsidP="009D3141">
            <w:pPr>
              <w:rPr>
                <w:b/>
                <w:lang w:val="fr-FR"/>
              </w:rPr>
            </w:pPr>
            <w:r w:rsidRPr="00A420A7">
              <w:rPr>
                <w:b/>
                <w:lang w:val="fr-FR"/>
              </w:rPr>
              <w:t xml:space="preserve">Indicateur  1.2.1 : </w:t>
            </w:r>
            <w:r w:rsidRPr="00A420A7">
              <w:rPr>
                <w:lang w:val="fr-FR"/>
              </w:rPr>
              <w:t>Outils et méthodologie du recensement améliorés et mis à jour.</w:t>
            </w:r>
          </w:p>
          <w:p w:rsidR="009D3141" w:rsidRPr="00A420A7" w:rsidRDefault="009D3141" w:rsidP="009D3141">
            <w:pPr>
              <w:rPr>
                <w:b/>
                <w:lang w:val="fr-FR"/>
              </w:rPr>
            </w:pPr>
            <w:r w:rsidRPr="00A420A7">
              <w:rPr>
                <w:b/>
                <w:lang w:val="fr-FR"/>
              </w:rPr>
              <w:t xml:space="preserve">Indicateur de référence: </w:t>
            </w:r>
            <w:r w:rsidRPr="00A420A7">
              <w:rPr>
                <w:lang w:val="fr-FR"/>
              </w:rPr>
              <w:t>La méthodologie basique du recensement a été développée pou</w:t>
            </w:r>
            <w:r w:rsidR="00ED2B6C" w:rsidRPr="00A420A7">
              <w:rPr>
                <w:lang w:val="fr-FR"/>
              </w:rPr>
              <w:t>r le recensement national de 201</w:t>
            </w:r>
            <w:r w:rsidRPr="00A420A7">
              <w:rPr>
                <w:lang w:val="fr-FR"/>
              </w:rPr>
              <w:t>3. La méthodologie n’est pas à jour et devra être mise à niveau.</w:t>
            </w:r>
          </w:p>
          <w:p w:rsidR="009D3141" w:rsidRPr="00A420A7" w:rsidRDefault="009D3141" w:rsidP="009D3141">
            <w:pPr>
              <w:rPr>
                <w:lang w:val="fr-FR"/>
              </w:rPr>
            </w:pPr>
            <w:r w:rsidRPr="00A420A7">
              <w:rPr>
                <w:b/>
                <w:lang w:val="fr-FR"/>
              </w:rPr>
              <w:t>Indicateur cible:</w:t>
            </w:r>
            <w:r w:rsidRPr="00A420A7">
              <w:rPr>
                <w:lang w:val="fr-FR"/>
              </w:rPr>
              <w:t xml:space="preserve"> La méthodologie mise à jour  finalisée et utilisée pour recueillir des données.</w:t>
            </w:r>
          </w:p>
          <w:p w:rsidR="009D3141" w:rsidRPr="00A420A7" w:rsidRDefault="009D3141" w:rsidP="009D3141">
            <w:pPr>
              <w:rPr>
                <w:lang w:val="fr-FR"/>
              </w:rPr>
            </w:pPr>
          </w:p>
          <w:p w:rsidR="009D3141" w:rsidRPr="00A420A7" w:rsidRDefault="009D3141" w:rsidP="009D3141">
            <w:pPr>
              <w:rPr>
                <w:b/>
                <w:lang w:val="fr-FR"/>
              </w:rPr>
            </w:pPr>
            <w:r w:rsidRPr="00A420A7">
              <w:rPr>
                <w:b/>
                <w:lang w:val="fr-FR"/>
              </w:rPr>
              <w:t xml:space="preserve">Indicateur 1.2.2 : </w:t>
            </w:r>
            <w:r w:rsidRPr="00A420A7">
              <w:rPr>
                <w:lang w:val="fr-FR"/>
              </w:rPr>
              <w:t>Personnel de l’IHSI formé pour effectuer la collecte de données conformément à la méthodologie</w:t>
            </w:r>
          </w:p>
          <w:p w:rsidR="009D3141" w:rsidRPr="00A420A7" w:rsidRDefault="009D3141" w:rsidP="009D3141">
            <w:pPr>
              <w:rPr>
                <w:lang w:val="fr-FR"/>
              </w:rPr>
            </w:pPr>
            <w:r w:rsidRPr="00A420A7">
              <w:rPr>
                <w:b/>
                <w:lang w:val="fr-FR"/>
              </w:rPr>
              <w:t>Indicateur de référence:</w:t>
            </w:r>
            <w:r w:rsidRPr="00A420A7">
              <w:rPr>
                <w:lang w:val="fr-FR"/>
              </w:rPr>
              <w:t xml:space="preserve"> Présentement le staff de l’IHSI n’a pas la capacité </w:t>
            </w:r>
            <w:r w:rsidRPr="00A420A7">
              <w:rPr>
                <w:lang w:val="fr-FR"/>
              </w:rPr>
              <w:lastRenderedPageBreak/>
              <w:t xml:space="preserve">d’effectuer la collecte de données conformément à la méthodologie mise à jour. </w:t>
            </w:r>
          </w:p>
          <w:p w:rsidR="009D3141" w:rsidRPr="00A420A7" w:rsidRDefault="009D3141" w:rsidP="009D3141">
            <w:pPr>
              <w:rPr>
                <w:lang w:val="fr-FR"/>
              </w:rPr>
            </w:pPr>
            <w:r w:rsidRPr="00A420A7">
              <w:rPr>
                <w:b/>
                <w:lang w:val="fr-FR"/>
              </w:rPr>
              <w:t>Indicateur cible:</w:t>
            </w:r>
            <w:r w:rsidRPr="00A420A7">
              <w:rPr>
                <w:lang w:val="fr-FR"/>
              </w:rPr>
              <w:t xml:space="preserve"> 170 staffs formés sur la méthodologie finalisée</w:t>
            </w:r>
          </w:p>
          <w:p w:rsidR="00863841" w:rsidRPr="00A420A7" w:rsidRDefault="00863841" w:rsidP="009D3141">
            <w:pPr>
              <w:rPr>
                <w:b/>
                <w:lang w:val="fr-FR"/>
              </w:rPr>
            </w:pPr>
          </w:p>
          <w:p w:rsidR="00863841" w:rsidRPr="00A420A7" w:rsidRDefault="00863841" w:rsidP="00863841">
            <w:pPr>
              <w:rPr>
                <w:b/>
                <w:lang w:val="fr-FR"/>
              </w:rPr>
            </w:pPr>
            <w:r w:rsidRPr="00A420A7">
              <w:rPr>
                <w:b/>
                <w:lang w:val="fr-FR"/>
              </w:rPr>
              <w:t xml:space="preserve">Indicateur 1.2.3 : </w:t>
            </w:r>
            <w:r w:rsidRPr="00A420A7">
              <w:rPr>
                <w:lang w:val="fr-FR"/>
              </w:rPr>
              <w:t>Les produits tels que les cartes et les rapports sur les données du recensement sont disponibles pour les acteurs de la reconstruction.</w:t>
            </w:r>
          </w:p>
          <w:p w:rsidR="00863841" w:rsidRPr="00A420A7" w:rsidRDefault="00863841" w:rsidP="00863841">
            <w:pPr>
              <w:rPr>
                <w:b/>
                <w:lang w:val="fr-FR"/>
              </w:rPr>
            </w:pPr>
            <w:r w:rsidRPr="00A420A7">
              <w:rPr>
                <w:b/>
                <w:lang w:val="fr-FR"/>
              </w:rPr>
              <w:t xml:space="preserve">Indicateur de référence: </w:t>
            </w:r>
            <w:r w:rsidRPr="00A420A7">
              <w:rPr>
                <w:lang w:val="fr-FR"/>
              </w:rPr>
              <w:t>Présentement, ces données ne sont pas disponibles pour les zones couvertes par ce projet.</w:t>
            </w:r>
          </w:p>
          <w:p w:rsidR="00863841" w:rsidRPr="00A420A7" w:rsidRDefault="00863841" w:rsidP="00863841">
            <w:pPr>
              <w:rPr>
                <w:b/>
                <w:lang w:val="fr-FR"/>
              </w:rPr>
            </w:pPr>
            <w:r w:rsidRPr="00A420A7">
              <w:rPr>
                <w:b/>
                <w:lang w:val="fr-FR"/>
              </w:rPr>
              <w:t xml:space="preserve">Indicateur cible: </w:t>
            </w:r>
            <w:r w:rsidRPr="00A420A7">
              <w:rPr>
                <w:lang w:val="fr-FR"/>
              </w:rPr>
              <w:t>Cartes et rapports détaillés pour environ 1800 SDE disponibles.</w:t>
            </w:r>
          </w:p>
          <w:p w:rsidR="003E2682" w:rsidRPr="00E3532D" w:rsidRDefault="003E2682" w:rsidP="003E2682">
            <w:pPr>
              <w:pStyle w:val="BodyText"/>
              <w:jc w:val="both"/>
              <w:rPr>
                <w:rFonts w:ascii="Times New Roman" w:hAnsi="Times New Roman"/>
                <w:bCs/>
                <w:sz w:val="24"/>
                <w:lang w:val="fr-FR"/>
              </w:rPr>
            </w:pPr>
          </w:p>
        </w:tc>
        <w:tc>
          <w:tcPr>
            <w:tcW w:w="3745" w:type="dxa"/>
            <w:shd w:val="clear" w:color="auto" w:fill="auto"/>
          </w:tcPr>
          <w:p w:rsidR="003E2682" w:rsidRPr="00863841" w:rsidRDefault="003E2682" w:rsidP="003E2682">
            <w:pPr>
              <w:pStyle w:val="BodyText"/>
              <w:jc w:val="both"/>
              <w:rPr>
                <w:rFonts w:ascii="Times New Roman" w:hAnsi="Times New Roman" w:cs="Times New Roman"/>
                <w:bCs/>
                <w:sz w:val="24"/>
                <w:szCs w:val="24"/>
                <w:lang w:val="fr-FR"/>
              </w:rPr>
            </w:pPr>
          </w:p>
          <w:p w:rsidR="009D3141" w:rsidRPr="00863841" w:rsidRDefault="009D3141" w:rsidP="003E2682">
            <w:pPr>
              <w:pStyle w:val="BodyText"/>
              <w:jc w:val="both"/>
              <w:rPr>
                <w:rFonts w:ascii="Times New Roman" w:hAnsi="Times New Roman" w:cs="Times New Roman"/>
                <w:bCs/>
                <w:sz w:val="24"/>
                <w:szCs w:val="24"/>
                <w:lang w:val="fr-FR"/>
              </w:rPr>
            </w:pPr>
          </w:p>
          <w:p w:rsidR="009D3141" w:rsidRDefault="009D3141" w:rsidP="003E2682">
            <w:pPr>
              <w:pStyle w:val="BodyText"/>
              <w:jc w:val="both"/>
              <w:rPr>
                <w:rFonts w:ascii="Times New Roman" w:hAnsi="Times New Roman" w:cs="Times New Roman"/>
                <w:bCs/>
                <w:sz w:val="24"/>
                <w:szCs w:val="24"/>
                <w:lang w:val="fr-FR"/>
              </w:rPr>
            </w:pPr>
          </w:p>
          <w:p w:rsidR="00A420A7" w:rsidRPr="00863841" w:rsidRDefault="00A420A7" w:rsidP="003E2682">
            <w:pPr>
              <w:pStyle w:val="BodyText"/>
              <w:jc w:val="both"/>
              <w:rPr>
                <w:rFonts w:ascii="Times New Roman" w:hAnsi="Times New Roman" w:cs="Times New Roman"/>
                <w:bCs/>
                <w:sz w:val="24"/>
                <w:szCs w:val="24"/>
                <w:lang w:val="fr-FR"/>
              </w:rPr>
            </w:pPr>
          </w:p>
          <w:p w:rsidR="009D3141" w:rsidRPr="00863841" w:rsidRDefault="009D3141" w:rsidP="003E2682">
            <w:pPr>
              <w:pStyle w:val="BodyText"/>
              <w:jc w:val="both"/>
              <w:rPr>
                <w:rFonts w:ascii="Times New Roman" w:hAnsi="Times New Roman" w:cs="Times New Roman"/>
                <w:bCs/>
                <w:sz w:val="24"/>
                <w:szCs w:val="24"/>
                <w:lang w:val="fr-FR"/>
              </w:rPr>
            </w:pPr>
          </w:p>
          <w:p w:rsidR="009D3141" w:rsidRPr="00863841" w:rsidRDefault="009D3141" w:rsidP="003E2682">
            <w:pPr>
              <w:pStyle w:val="BodyText"/>
              <w:jc w:val="both"/>
              <w:rPr>
                <w:rFonts w:ascii="Times New Roman" w:hAnsi="Times New Roman" w:cs="Times New Roman"/>
                <w:sz w:val="24"/>
                <w:szCs w:val="24"/>
                <w:lang w:val="fr-FR"/>
              </w:rPr>
            </w:pPr>
            <w:r w:rsidRPr="00863841">
              <w:rPr>
                <w:rFonts w:ascii="Times New Roman" w:hAnsi="Times New Roman" w:cs="Times New Roman"/>
                <w:sz w:val="24"/>
                <w:szCs w:val="24"/>
                <w:lang w:val="fr-FR"/>
              </w:rPr>
              <w:t>Une méthodologie mise à jour a été rédigée et a été complétée en Juin 2012. Une réduction du nombre de SDE ciblées (de 1,800 à 1,000) a été proposée de façon à faire face aux difficultés rencontrées.</w:t>
            </w:r>
          </w:p>
          <w:p w:rsidR="009D3141" w:rsidRPr="00863841" w:rsidRDefault="009D3141" w:rsidP="003E2682">
            <w:pPr>
              <w:pStyle w:val="BodyText"/>
              <w:jc w:val="both"/>
              <w:rPr>
                <w:rFonts w:ascii="Times New Roman" w:hAnsi="Times New Roman" w:cs="Times New Roman"/>
                <w:sz w:val="24"/>
                <w:szCs w:val="24"/>
                <w:lang w:val="fr-FR"/>
              </w:rPr>
            </w:pPr>
          </w:p>
          <w:p w:rsidR="00863841" w:rsidRPr="00863841" w:rsidRDefault="000C3EF1" w:rsidP="000C3EF1">
            <w:pPr>
              <w:pStyle w:val="BodyText"/>
              <w:jc w:val="both"/>
              <w:rPr>
                <w:rFonts w:ascii="Times New Roman" w:hAnsi="Times New Roman" w:cs="Times New Roman"/>
                <w:bCs/>
                <w:sz w:val="24"/>
                <w:szCs w:val="24"/>
                <w:lang w:val="fr-FR"/>
              </w:rPr>
            </w:pPr>
            <w:r>
              <w:rPr>
                <w:rFonts w:ascii="Times New Roman" w:hAnsi="Times New Roman" w:cs="Times New Roman"/>
                <w:sz w:val="24"/>
                <w:szCs w:val="24"/>
                <w:lang w:val="fr-FR"/>
              </w:rPr>
              <w:t>A partir de cette période, 587</w:t>
            </w:r>
            <w:r w:rsidR="00863841" w:rsidRPr="00863841">
              <w:rPr>
                <w:rFonts w:ascii="Times New Roman" w:hAnsi="Times New Roman" w:cs="Times New Roman"/>
                <w:sz w:val="24"/>
                <w:szCs w:val="24"/>
                <w:lang w:val="fr-FR"/>
              </w:rPr>
              <w:t xml:space="preserve"> SDE ont été complétées.</w:t>
            </w:r>
          </w:p>
        </w:tc>
        <w:tc>
          <w:tcPr>
            <w:tcW w:w="3960" w:type="dxa"/>
            <w:shd w:val="clear" w:color="auto" w:fill="auto"/>
          </w:tcPr>
          <w:p w:rsidR="003E2682" w:rsidRPr="00863841" w:rsidRDefault="003E2682" w:rsidP="003E2682">
            <w:pPr>
              <w:pStyle w:val="BodyText"/>
              <w:jc w:val="both"/>
              <w:rPr>
                <w:rFonts w:ascii="Times New Roman" w:hAnsi="Times New Roman" w:cs="Times New Roman"/>
                <w:bCs/>
                <w:sz w:val="24"/>
                <w:szCs w:val="24"/>
                <w:lang w:val="fr-FR"/>
              </w:rPr>
            </w:pPr>
          </w:p>
          <w:p w:rsidR="009D3141" w:rsidRPr="00863841" w:rsidRDefault="009D3141" w:rsidP="003E2682">
            <w:pPr>
              <w:pStyle w:val="BodyText"/>
              <w:jc w:val="both"/>
              <w:rPr>
                <w:rFonts w:ascii="Times New Roman" w:hAnsi="Times New Roman" w:cs="Times New Roman"/>
                <w:bCs/>
                <w:sz w:val="24"/>
                <w:szCs w:val="24"/>
                <w:lang w:val="fr-FR"/>
              </w:rPr>
            </w:pPr>
          </w:p>
          <w:p w:rsidR="009D3141" w:rsidRPr="00863841" w:rsidRDefault="009D3141" w:rsidP="003E2682">
            <w:pPr>
              <w:pStyle w:val="BodyText"/>
              <w:jc w:val="both"/>
              <w:rPr>
                <w:rFonts w:ascii="Times New Roman" w:hAnsi="Times New Roman" w:cs="Times New Roman"/>
                <w:bCs/>
                <w:sz w:val="24"/>
                <w:szCs w:val="24"/>
                <w:lang w:val="fr-FR"/>
              </w:rPr>
            </w:pPr>
          </w:p>
          <w:p w:rsidR="009D3141" w:rsidRDefault="009D3141" w:rsidP="003E2682">
            <w:pPr>
              <w:pStyle w:val="BodyText"/>
              <w:jc w:val="both"/>
              <w:rPr>
                <w:rFonts w:ascii="Times New Roman" w:hAnsi="Times New Roman" w:cs="Times New Roman"/>
                <w:bCs/>
                <w:sz w:val="24"/>
                <w:szCs w:val="24"/>
                <w:lang w:val="fr-FR"/>
              </w:rPr>
            </w:pPr>
          </w:p>
          <w:p w:rsidR="00A420A7" w:rsidRPr="00863841" w:rsidRDefault="00A420A7" w:rsidP="003E2682">
            <w:pPr>
              <w:pStyle w:val="BodyText"/>
              <w:jc w:val="both"/>
              <w:rPr>
                <w:rFonts w:ascii="Times New Roman" w:hAnsi="Times New Roman" w:cs="Times New Roman"/>
                <w:bCs/>
                <w:sz w:val="24"/>
                <w:szCs w:val="24"/>
                <w:lang w:val="fr-FR"/>
              </w:rPr>
            </w:pPr>
          </w:p>
          <w:p w:rsidR="00863841" w:rsidRPr="00863841" w:rsidRDefault="00040C93" w:rsidP="003E2682">
            <w:pPr>
              <w:pStyle w:val="BodyText"/>
              <w:jc w:val="both"/>
              <w:rPr>
                <w:rFonts w:ascii="Times New Roman" w:hAnsi="Times New Roman" w:cs="Times New Roman"/>
                <w:sz w:val="24"/>
                <w:szCs w:val="24"/>
                <w:lang w:val="fr-FR"/>
              </w:rPr>
            </w:pPr>
            <w:bookmarkStart w:id="3" w:name="OLE_LINK1"/>
            <w:r w:rsidRPr="00040C93">
              <w:rPr>
                <w:rFonts w:ascii="Times New Roman" w:hAnsi="Times New Roman" w:cs="Times New Roman"/>
                <w:sz w:val="24"/>
                <w:szCs w:val="24"/>
                <w:lang w:val="fr-FR"/>
              </w:rPr>
              <w:t xml:space="preserve">L’OIM et l’IHSI ont proposé de revoir le nombre initial de 1,800 </w:t>
            </w:r>
            <w:proofErr w:type="spellStart"/>
            <w:r w:rsidRPr="00040C93">
              <w:rPr>
                <w:rFonts w:ascii="Times New Roman" w:hAnsi="Times New Roman" w:cs="Times New Roman"/>
                <w:sz w:val="24"/>
                <w:szCs w:val="24"/>
                <w:lang w:val="fr-FR"/>
              </w:rPr>
              <w:t>SDEs</w:t>
            </w:r>
            <w:proofErr w:type="spellEnd"/>
            <w:r w:rsidRPr="00040C93">
              <w:rPr>
                <w:rFonts w:ascii="Times New Roman" w:hAnsi="Times New Roman" w:cs="Times New Roman"/>
                <w:sz w:val="24"/>
                <w:szCs w:val="24"/>
                <w:lang w:val="fr-FR"/>
              </w:rPr>
              <w:t xml:space="preserve"> visées par le projet, à la baisse et ont suggéré, de ramener les objectifs à 1,000 </w:t>
            </w:r>
            <w:proofErr w:type="spellStart"/>
            <w:r w:rsidRPr="00040C93">
              <w:rPr>
                <w:rFonts w:ascii="Times New Roman" w:hAnsi="Times New Roman" w:cs="Times New Roman"/>
                <w:sz w:val="24"/>
                <w:szCs w:val="24"/>
                <w:lang w:val="fr-FR"/>
              </w:rPr>
              <w:t>SDEs</w:t>
            </w:r>
            <w:proofErr w:type="spellEnd"/>
            <w:r w:rsidRPr="00040C93">
              <w:rPr>
                <w:rFonts w:ascii="Times New Roman" w:hAnsi="Times New Roman" w:cs="Times New Roman"/>
                <w:sz w:val="24"/>
                <w:szCs w:val="24"/>
                <w:lang w:val="fr-FR"/>
              </w:rPr>
              <w:t>. Cette révision a été adressée lors de la dernière rencontre du Comité National de Pilotage en Novembre 2013 et a été approuvée.</w:t>
            </w:r>
            <w:bookmarkEnd w:id="3"/>
          </w:p>
          <w:p w:rsidR="00863841" w:rsidRPr="00863841" w:rsidRDefault="00863841" w:rsidP="003E2682">
            <w:pPr>
              <w:pStyle w:val="BodyText"/>
              <w:jc w:val="both"/>
              <w:rPr>
                <w:rFonts w:ascii="Times New Roman" w:hAnsi="Times New Roman" w:cs="Times New Roman"/>
                <w:sz w:val="24"/>
                <w:szCs w:val="24"/>
                <w:lang w:val="fr-FR"/>
              </w:rPr>
            </w:pPr>
          </w:p>
          <w:p w:rsidR="00863841" w:rsidRPr="00863841" w:rsidRDefault="00863841" w:rsidP="003E2682">
            <w:pPr>
              <w:pStyle w:val="BodyText"/>
              <w:jc w:val="both"/>
              <w:rPr>
                <w:rFonts w:ascii="Times New Roman" w:hAnsi="Times New Roman" w:cs="Times New Roman"/>
                <w:sz w:val="24"/>
                <w:szCs w:val="24"/>
                <w:lang w:val="fr-FR"/>
              </w:rPr>
            </w:pPr>
          </w:p>
          <w:p w:rsidR="00863841" w:rsidRPr="00863841" w:rsidRDefault="00863841" w:rsidP="003E2682">
            <w:pPr>
              <w:pStyle w:val="BodyText"/>
              <w:jc w:val="both"/>
              <w:rPr>
                <w:rFonts w:ascii="Times New Roman" w:hAnsi="Times New Roman" w:cs="Times New Roman"/>
                <w:sz w:val="24"/>
                <w:szCs w:val="24"/>
                <w:lang w:val="fr-FR"/>
              </w:rPr>
            </w:pPr>
          </w:p>
          <w:p w:rsidR="00863841" w:rsidRPr="00863841" w:rsidRDefault="00863841" w:rsidP="003E2682">
            <w:pPr>
              <w:pStyle w:val="BodyText"/>
              <w:jc w:val="both"/>
              <w:rPr>
                <w:rFonts w:ascii="Times New Roman" w:hAnsi="Times New Roman" w:cs="Times New Roman"/>
                <w:sz w:val="24"/>
                <w:szCs w:val="24"/>
                <w:lang w:val="fr-FR"/>
              </w:rPr>
            </w:pPr>
          </w:p>
          <w:p w:rsidR="00863841" w:rsidRPr="00863841" w:rsidRDefault="00863841" w:rsidP="003E2682">
            <w:pPr>
              <w:pStyle w:val="BodyText"/>
              <w:jc w:val="both"/>
              <w:rPr>
                <w:rFonts w:ascii="Times New Roman" w:hAnsi="Times New Roman" w:cs="Times New Roman"/>
                <w:sz w:val="24"/>
                <w:szCs w:val="24"/>
                <w:lang w:val="fr-FR"/>
              </w:rPr>
            </w:pPr>
          </w:p>
          <w:p w:rsidR="00863841" w:rsidRPr="00863841" w:rsidRDefault="00863841" w:rsidP="003E2682">
            <w:pPr>
              <w:pStyle w:val="BodyText"/>
              <w:jc w:val="both"/>
              <w:rPr>
                <w:rFonts w:ascii="Times New Roman" w:hAnsi="Times New Roman" w:cs="Times New Roman"/>
                <w:sz w:val="24"/>
                <w:szCs w:val="24"/>
                <w:lang w:val="fr-FR"/>
              </w:rPr>
            </w:pPr>
          </w:p>
          <w:p w:rsidR="00863841" w:rsidRPr="00863841" w:rsidRDefault="00863841" w:rsidP="003E2682">
            <w:pPr>
              <w:pStyle w:val="BodyText"/>
              <w:jc w:val="both"/>
              <w:rPr>
                <w:rFonts w:ascii="Times New Roman" w:hAnsi="Times New Roman" w:cs="Times New Roman"/>
                <w:sz w:val="24"/>
                <w:szCs w:val="24"/>
                <w:lang w:val="fr-FR"/>
              </w:rPr>
            </w:pPr>
          </w:p>
          <w:p w:rsidR="00863841" w:rsidRPr="00863841" w:rsidRDefault="00863841" w:rsidP="003E2682">
            <w:pPr>
              <w:pStyle w:val="BodyText"/>
              <w:jc w:val="both"/>
              <w:rPr>
                <w:rFonts w:ascii="Times New Roman" w:hAnsi="Times New Roman" w:cs="Times New Roman"/>
                <w:sz w:val="24"/>
                <w:szCs w:val="24"/>
                <w:lang w:val="fr-FR"/>
              </w:rPr>
            </w:pPr>
          </w:p>
          <w:p w:rsidR="00863841" w:rsidRPr="00863841" w:rsidRDefault="00863841" w:rsidP="003E2682">
            <w:pPr>
              <w:pStyle w:val="BodyText"/>
              <w:jc w:val="both"/>
              <w:rPr>
                <w:rFonts w:ascii="Times New Roman" w:hAnsi="Times New Roman" w:cs="Times New Roman"/>
                <w:bCs/>
                <w:sz w:val="24"/>
                <w:szCs w:val="24"/>
                <w:lang w:val="fr-FR"/>
              </w:rPr>
            </w:pPr>
          </w:p>
        </w:tc>
        <w:tc>
          <w:tcPr>
            <w:tcW w:w="3150" w:type="dxa"/>
            <w:shd w:val="clear" w:color="auto" w:fill="auto"/>
          </w:tcPr>
          <w:p w:rsidR="003E2682" w:rsidRPr="00863841" w:rsidRDefault="003E2682" w:rsidP="003E2682">
            <w:pPr>
              <w:pStyle w:val="BodyText"/>
              <w:jc w:val="both"/>
              <w:rPr>
                <w:rFonts w:ascii="Times New Roman" w:hAnsi="Times New Roman" w:cs="Times New Roman"/>
                <w:bCs/>
                <w:sz w:val="24"/>
                <w:szCs w:val="24"/>
                <w:lang w:val="fr-FR"/>
              </w:rPr>
            </w:pPr>
          </w:p>
          <w:p w:rsidR="009D3141" w:rsidRPr="00863841" w:rsidRDefault="009D3141" w:rsidP="003E2682">
            <w:pPr>
              <w:pStyle w:val="BodyText"/>
              <w:jc w:val="both"/>
              <w:rPr>
                <w:rFonts w:ascii="Times New Roman" w:hAnsi="Times New Roman" w:cs="Times New Roman"/>
                <w:bCs/>
                <w:sz w:val="24"/>
                <w:szCs w:val="24"/>
                <w:lang w:val="fr-FR"/>
              </w:rPr>
            </w:pPr>
          </w:p>
          <w:p w:rsidR="009D3141" w:rsidRDefault="009D3141" w:rsidP="003E2682">
            <w:pPr>
              <w:pStyle w:val="BodyText"/>
              <w:jc w:val="both"/>
              <w:rPr>
                <w:rFonts w:ascii="Times New Roman" w:hAnsi="Times New Roman" w:cs="Times New Roman"/>
                <w:bCs/>
                <w:sz w:val="24"/>
                <w:szCs w:val="24"/>
                <w:lang w:val="fr-FR"/>
              </w:rPr>
            </w:pPr>
          </w:p>
          <w:p w:rsidR="00A420A7" w:rsidRPr="00863841" w:rsidRDefault="00A420A7" w:rsidP="003E2682">
            <w:pPr>
              <w:pStyle w:val="BodyText"/>
              <w:jc w:val="both"/>
              <w:rPr>
                <w:rFonts w:ascii="Times New Roman" w:hAnsi="Times New Roman" w:cs="Times New Roman"/>
                <w:bCs/>
                <w:sz w:val="24"/>
                <w:szCs w:val="24"/>
                <w:lang w:val="fr-FR"/>
              </w:rPr>
            </w:pPr>
          </w:p>
          <w:p w:rsidR="009D3141" w:rsidRPr="00863841" w:rsidRDefault="009D3141" w:rsidP="003E2682">
            <w:pPr>
              <w:pStyle w:val="BodyText"/>
              <w:jc w:val="both"/>
              <w:rPr>
                <w:rFonts w:ascii="Times New Roman" w:hAnsi="Times New Roman" w:cs="Times New Roman"/>
                <w:bCs/>
                <w:sz w:val="24"/>
                <w:szCs w:val="24"/>
                <w:lang w:val="fr-FR"/>
              </w:rPr>
            </w:pPr>
          </w:p>
          <w:p w:rsidR="009D3141" w:rsidRPr="00863841" w:rsidRDefault="009D3141" w:rsidP="003E2682">
            <w:pPr>
              <w:pStyle w:val="BodyText"/>
              <w:jc w:val="both"/>
              <w:rPr>
                <w:rFonts w:ascii="Times New Roman" w:hAnsi="Times New Roman" w:cs="Times New Roman"/>
                <w:sz w:val="24"/>
                <w:szCs w:val="24"/>
                <w:lang w:val="fr-FR"/>
              </w:rPr>
            </w:pPr>
            <w:r w:rsidRPr="00863841">
              <w:rPr>
                <w:rFonts w:ascii="Times New Roman" w:hAnsi="Times New Roman" w:cs="Times New Roman"/>
                <w:sz w:val="24"/>
                <w:szCs w:val="24"/>
                <w:lang w:val="fr-FR"/>
              </w:rPr>
              <w:t>Document de la méthodologie du recensement</w:t>
            </w:r>
          </w:p>
          <w:p w:rsidR="009D3141" w:rsidRPr="00863841" w:rsidRDefault="009D3141" w:rsidP="003E2682">
            <w:pPr>
              <w:pStyle w:val="BodyText"/>
              <w:jc w:val="both"/>
              <w:rPr>
                <w:rFonts w:ascii="Times New Roman" w:hAnsi="Times New Roman" w:cs="Times New Roman"/>
                <w:sz w:val="24"/>
                <w:szCs w:val="24"/>
                <w:lang w:val="fr-FR"/>
              </w:rPr>
            </w:pPr>
          </w:p>
          <w:p w:rsidR="00863841" w:rsidRPr="00863841" w:rsidRDefault="000C3EF1" w:rsidP="003E2682">
            <w:pPr>
              <w:pStyle w:val="BodyText"/>
              <w:jc w:val="both"/>
              <w:rPr>
                <w:rFonts w:ascii="Times New Roman" w:hAnsi="Times New Roman" w:cs="Times New Roman"/>
                <w:sz w:val="24"/>
                <w:szCs w:val="24"/>
                <w:lang w:val="fr-FR"/>
              </w:rPr>
            </w:pPr>
            <w:r>
              <w:rPr>
                <w:rFonts w:ascii="Times New Roman" w:hAnsi="Times New Roman" w:cs="Times New Roman"/>
                <w:sz w:val="24"/>
                <w:szCs w:val="24"/>
                <w:lang w:val="fr-FR"/>
              </w:rPr>
              <w:t>Cahier de formulaires de recensement.</w:t>
            </w:r>
          </w:p>
          <w:p w:rsidR="00863841" w:rsidRPr="00863841" w:rsidRDefault="00863841" w:rsidP="003E2682">
            <w:pPr>
              <w:pStyle w:val="BodyText"/>
              <w:jc w:val="both"/>
              <w:rPr>
                <w:rFonts w:ascii="Times New Roman" w:hAnsi="Times New Roman" w:cs="Times New Roman"/>
                <w:sz w:val="24"/>
                <w:szCs w:val="24"/>
                <w:lang w:val="fr-FR"/>
              </w:rPr>
            </w:pPr>
          </w:p>
          <w:p w:rsidR="00863841" w:rsidRPr="00863841" w:rsidRDefault="00863841" w:rsidP="003E2682">
            <w:pPr>
              <w:pStyle w:val="BodyText"/>
              <w:jc w:val="both"/>
              <w:rPr>
                <w:rFonts w:ascii="Times New Roman" w:hAnsi="Times New Roman" w:cs="Times New Roman"/>
                <w:bCs/>
                <w:sz w:val="24"/>
                <w:szCs w:val="24"/>
                <w:lang w:val="fr-FR"/>
              </w:rPr>
            </w:pPr>
            <w:r w:rsidRPr="00863841">
              <w:rPr>
                <w:rFonts w:ascii="Times New Roman" w:hAnsi="Times New Roman" w:cs="Times New Roman"/>
                <w:sz w:val="24"/>
                <w:szCs w:val="24"/>
                <w:lang w:val="fr-FR"/>
              </w:rPr>
              <w:t>Cartes et rapports produits</w:t>
            </w:r>
          </w:p>
        </w:tc>
      </w:tr>
      <w:tr w:rsidR="000B332C" w:rsidRPr="00C122A6">
        <w:tc>
          <w:tcPr>
            <w:tcW w:w="4265" w:type="dxa"/>
            <w:shd w:val="clear" w:color="auto" w:fill="auto"/>
          </w:tcPr>
          <w:p w:rsidR="000B332C" w:rsidRDefault="000B332C" w:rsidP="000B332C">
            <w:pPr>
              <w:rPr>
                <w:bCs/>
                <w:lang w:val="fr-FR"/>
              </w:rPr>
            </w:pPr>
            <w:r>
              <w:rPr>
                <w:b/>
                <w:lang w:val="fr-FR"/>
              </w:rPr>
              <w:lastRenderedPageBreak/>
              <w:t>Produit</w:t>
            </w:r>
            <w:r w:rsidRPr="00E3532D">
              <w:rPr>
                <w:b/>
                <w:lang w:val="fr-FR"/>
              </w:rPr>
              <w:t xml:space="preserve"> 1.</w:t>
            </w:r>
            <w:r>
              <w:rPr>
                <w:b/>
                <w:lang w:val="fr-FR"/>
              </w:rPr>
              <w:t>3</w:t>
            </w:r>
            <w:r>
              <w:rPr>
                <w:lang w:val="fr-FR"/>
              </w:rPr>
              <w:t> :</w:t>
            </w:r>
            <w:r w:rsidRPr="00C47A8E">
              <w:rPr>
                <w:bCs/>
                <w:lang w:val="fr-FR"/>
              </w:rPr>
              <w:t xml:space="preserve"> Base de données pour la </w:t>
            </w:r>
            <w:r w:rsidRPr="00A420A7">
              <w:rPr>
                <w:bCs/>
                <w:lang w:val="fr-FR"/>
              </w:rPr>
              <w:t>cartographie, inventaire des bâtiments et données du recensement développée et logée à l’IHSI</w:t>
            </w:r>
          </w:p>
          <w:p w:rsidR="00A420A7" w:rsidRPr="00A420A7" w:rsidRDefault="00A420A7" w:rsidP="000B332C">
            <w:pPr>
              <w:rPr>
                <w:bCs/>
                <w:lang w:val="fr-FR"/>
              </w:rPr>
            </w:pPr>
          </w:p>
          <w:p w:rsidR="000B332C" w:rsidRPr="00A420A7" w:rsidRDefault="000B332C" w:rsidP="000B332C">
            <w:pPr>
              <w:rPr>
                <w:lang w:val="fr-FR"/>
              </w:rPr>
            </w:pPr>
            <w:r w:rsidRPr="00A420A7">
              <w:rPr>
                <w:b/>
                <w:lang w:val="fr-FR"/>
              </w:rPr>
              <w:t xml:space="preserve">Indicateur  1.3.1 : </w:t>
            </w:r>
            <w:r w:rsidRPr="00A420A7">
              <w:rPr>
                <w:lang w:val="fr-FR"/>
              </w:rPr>
              <w:t xml:space="preserve">Base de données établie pour stocker les informations et faciliter l’analyse de toutes les données recueillies durant le projet. </w:t>
            </w:r>
          </w:p>
          <w:p w:rsidR="000B332C" w:rsidRPr="00A420A7" w:rsidRDefault="000B332C" w:rsidP="000B332C">
            <w:pPr>
              <w:rPr>
                <w:lang w:val="fr-FR"/>
              </w:rPr>
            </w:pPr>
            <w:r w:rsidRPr="00A420A7">
              <w:rPr>
                <w:b/>
                <w:lang w:val="fr-FR"/>
              </w:rPr>
              <w:t xml:space="preserve">Indicateur de référence: </w:t>
            </w:r>
            <w:r w:rsidRPr="00A420A7">
              <w:rPr>
                <w:lang w:val="fr-FR"/>
              </w:rPr>
              <w:t>Les bases de données existantes (qui sont dépassées et devraient être mises à jour) est disponible à l’IHSI et est utilisée comme un point de départ pour le développement de cette nouvelle base de données.</w:t>
            </w:r>
          </w:p>
          <w:p w:rsidR="000B332C" w:rsidRPr="00040C93" w:rsidRDefault="000B332C" w:rsidP="000B332C">
            <w:pPr>
              <w:rPr>
                <w:lang w:val="fr-FR"/>
              </w:rPr>
            </w:pPr>
            <w:r w:rsidRPr="00A420A7">
              <w:rPr>
                <w:b/>
                <w:lang w:val="fr-FR"/>
              </w:rPr>
              <w:t>Indicateur cible:</w:t>
            </w:r>
            <w:r w:rsidRPr="00A420A7">
              <w:rPr>
                <w:lang w:val="fr-FR"/>
              </w:rPr>
              <w:t xml:space="preserve"> Base de données nouvelle et améliorée, développée and logée à l’IHSI pour remplacer la version dépassée.</w:t>
            </w:r>
          </w:p>
        </w:tc>
        <w:tc>
          <w:tcPr>
            <w:tcW w:w="3745" w:type="dxa"/>
            <w:shd w:val="clear" w:color="auto" w:fill="auto"/>
          </w:tcPr>
          <w:p w:rsidR="000B332C" w:rsidRDefault="000B332C" w:rsidP="003E2682">
            <w:pPr>
              <w:pStyle w:val="BodyText"/>
              <w:jc w:val="both"/>
              <w:rPr>
                <w:rFonts w:ascii="Times New Roman" w:hAnsi="Times New Roman" w:cs="Times New Roman"/>
                <w:bCs/>
                <w:sz w:val="24"/>
                <w:szCs w:val="24"/>
                <w:lang w:val="fr-FR"/>
              </w:rPr>
            </w:pPr>
          </w:p>
          <w:p w:rsidR="00040C93" w:rsidRDefault="00040C93" w:rsidP="000C3EF1">
            <w:pPr>
              <w:pStyle w:val="BodyText"/>
              <w:jc w:val="both"/>
              <w:rPr>
                <w:rFonts w:ascii="Times New Roman" w:hAnsi="Times New Roman" w:cs="Times New Roman"/>
                <w:sz w:val="24"/>
                <w:szCs w:val="24"/>
                <w:lang w:val="fr-FR"/>
              </w:rPr>
            </w:pPr>
          </w:p>
          <w:p w:rsidR="00040C93" w:rsidRDefault="00040C93" w:rsidP="000C3EF1">
            <w:pPr>
              <w:pStyle w:val="BodyText"/>
              <w:jc w:val="both"/>
              <w:rPr>
                <w:rFonts w:ascii="Times New Roman" w:hAnsi="Times New Roman" w:cs="Times New Roman"/>
                <w:sz w:val="24"/>
                <w:szCs w:val="24"/>
                <w:lang w:val="fr-FR"/>
              </w:rPr>
            </w:pPr>
          </w:p>
          <w:p w:rsidR="00040C93" w:rsidRDefault="00040C93" w:rsidP="000C3EF1">
            <w:pPr>
              <w:pStyle w:val="BodyText"/>
              <w:jc w:val="both"/>
              <w:rPr>
                <w:rFonts w:ascii="Times New Roman" w:hAnsi="Times New Roman" w:cs="Times New Roman"/>
                <w:sz w:val="24"/>
                <w:szCs w:val="24"/>
                <w:lang w:val="fr-FR"/>
              </w:rPr>
            </w:pPr>
          </w:p>
          <w:p w:rsidR="00040C93" w:rsidRDefault="00040C93" w:rsidP="000C3EF1">
            <w:pPr>
              <w:pStyle w:val="BodyText"/>
              <w:jc w:val="both"/>
              <w:rPr>
                <w:rFonts w:ascii="Times New Roman" w:hAnsi="Times New Roman" w:cs="Times New Roman"/>
                <w:sz w:val="24"/>
                <w:szCs w:val="24"/>
                <w:lang w:val="fr-FR"/>
              </w:rPr>
            </w:pPr>
          </w:p>
          <w:p w:rsidR="000B332C" w:rsidRPr="000B332C" w:rsidRDefault="000B332C" w:rsidP="000C3EF1">
            <w:pPr>
              <w:pStyle w:val="BodyText"/>
              <w:jc w:val="both"/>
              <w:rPr>
                <w:rFonts w:ascii="Times New Roman" w:hAnsi="Times New Roman" w:cs="Times New Roman"/>
                <w:bCs/>
                <w:sz w:val="24"/>
                <w:szCs w:val="24"/>
                <w:lang w:val="fr-FR"/>
              </w:rPr>
            </w:pPr>
            <w:r w:rsidRPr="000B332C">
              <w:rPr>
                <w:rFonts w:ascii="Times New Roman" w:hAnsi="Times New Roman" w:cs="Times New Roman"/>
                <w:sz w:val="24"/>
                <w:szCs w:val="24"/>
                <w:lang w:val="fr-FR"/>
              </w:rPr>
              <w:t xml:space="preserve">La base de données pour l’inventaire des bâtiments et les informations géo-spatiales a été établie et  transféré dans les locaux de l’IHSI en Mars 2012. </w:t>
            </w:r>
          </w:p>
        </w:tc>
        <w:tc>
          <w:tcPr>
            <w:tcW w:w="3960" w:type="dxa"/>
            <w:shd w:val="clear" w:color="auto" w:fill="auto"/>
          </w:tcPr>
          <w:p w:rsidR="00040C93" w:rsidRDefault="00040C93" w:rsidP="003E2682">
            <w:pPr>
              <w:pStyle w:val="BodyText"/>
              <w:jc w:val="both"/>
              <w:rPr>
                <w:rFonts w:ascii="Times New Roman" w:hAnsi="Times New Roman" w:cs="Times New Roman"/>
                <w:bCs/>
                <w:sz w:val="24"/>
                <w:szCs w:val="24"/>
                <w:lang w:val="fr-FR"/>
              </w:rPr>
            </w:pPr>
          </w:p>
          <w:p w:rsidR="00040C93" w:rsidRDefault="00040C93" w:rsidP="003E2682">
            <w:pPr>
              <w:pStyle w:val="BodyText"/>
              <w:jc w:val="both"/>
              <w:rPr>
                <w:rFonts w:ascii="Times New Roman" w:hAnsi="Times New Roman" w:cs="Times New Roman"/>
                <w:bCs/>
                <w:sz w:val="24"/>
                <w:szCs w:val="24"/>
                <w:lang w:val="fr-FR"/>
              </w:rPr>
            </w:pPr>
          </w:p>
          <w:p w:rsidR="00040C93" w:rsidRDefault="00040C93" w:rsidP="003E2682">
            <w:pPr>
              <w:pStyle w:val="BodyText"/>
              <w:jc w:val="both"/>
              <w:rPr>
                <w:rFonts w:ascii="Times New Roman" w:hAnsi="Times New Roman" w:cs="Times New Roman"/>
                <w:bCs/>
                <w:sz w:val="24"/>
                <w:szCs w:val="24"/>
                <w:lang w:val="fr-FR"/>
              </w:rPr>
            </w:pPr>
          </w:p>
          <w:p w:rsidR="00040C93" w:rsidRDefault="00040C93" w:rsidP="003E2682">
            <w:pPr>
              <w:pStyle w:val="BodyText"/>
              <w:jc w:val="both"/>
              <w:rPr>
                <w:rFonts w:ascii="Times New Roman" w:hAnsi="Times New Roman" w:cs="Times New Roman"/>
                <w:bCs/>
                <w:sz w:val="24"/>
                <w:szCs w:val="24"/>
                <w:lang w:val="fr-FR"/>
              </w:rPr>
            </w:pPr>
          </w:p>
          <w:p w:rsidR="00040C93" w:rsidRDefault="00040C93" w:rsidP="003E2682">
            <w:pPr>
              <w:pStyle w:val="BodyText"/>
              <w:jc w:val="both"/>
              <w:rPr>
                <w:rFonts w:ascii="Times New Roman" w:hAnsi="Times New Roman" w:cs="Times New Roman"/>
                <w:bCs/>
                <w:sz w:val="24"/>
                <w:szCs w:val="24"/>
                <w:lang w:val="fr-FR"/>
              </w:rPr>
            </w:pPr>
          </w:p>
          <w:p w:rsidR="000B332C" w:rsidRPr="00863841" w:rsidRDefault="00040C93" w:rsidP="003E2682">
            <w:pPr>
              <w:pStyle w:val="BodyText"/>
              <w:jc w:val="both"/>
              <w:rPr>
                <w:rFonts w:ascii="Times New Roman" w:hAnsi="Times New Roman" w:cs="Times New Roman"/>
                <w:bCs/>
                <w:sz w:val="24"/>
                <w:szCs w:val="24"/>
                <w:lang w:val="fr-FR"/>
              </w:rPr>
            </w:pPr>
            <w:r w:rsidRPr="00040C93">
              <w:rPr>
                <w:rFonts w:ascii="Times New Roman" w:hAnsi="Times New Roman" w:cs="Times New Roman"/>
                <w:bCs/>
                <w:sz w:val="24"/>
                <w:szCs w:val="24"/>
                <w:lang w:val="fr-FR"/>
              </w:rPr>
              <w:t>L’analyse finale des données demeure non réalisée, en attente du réengagement du consultant du FNUAP pour finalisation du rapport d’analyse final.</w:t>
            </w:r>
          </w:p>
        </w:tc>
        <w:tc>
          <w:tcPr>
            <w:tcW w:w="3150" w:type="dxa"/>
            <w:shd w:val="clear" w:color="auto" w:fill="auto"/>
          </w:tcPr>
          <w:p w:rsidR="000B332C" w:rsidRPr="00863841" w:rsidRDefault="000B332C" w:rsidP="003E2682">
            <w:pPr>
              <w:pStyle w:val="BodyText"/>
              <w:jc w:val="both"/>
              <w:rPr>
                <w:rFonts w:ascii="Times New Roman" w:hAnsi="Times New Roman" w:cs="Times New Roman"/>
                <w:bCs/>
                <w:sz w:val="24"/>
                <w:szCs w:val="24"/>
                <w:lang w:val="fr-FR"/>
              </w:rPr>
            </w:pPr>
          </w:p>
        </w:tc>
      </w:tr>
      <w:tr w:rsidR="000B332C" w:rsidRPr="00C122A6">
        <w:tc>
          <w:tcPr>
            <w:tcW w:w="4265" w:type="dxa"/>
            <w:shd w:val="clear" w:color="auto" w:fill="auto"/>
          </w:tcPr>
          <w:p w:rsidR="000B332C" w:rsidRPr="00A420A7" w:rsidRDefault="000B332C" w:rsidP="000B332C">
            <w:pPr>
              <w:rPr>
                <w:bCs/>
                <w:lang w:val="fr-FR"/>
              </w:rPr>
            </w:pPr>
            <w:r w:rsidRPr="00A420A7">
              <w:rPr>
                <w:b/>
                <w:lang w:val="fr-FR"/>
              </w:rPr>
              <w:t>Produit 1.4</w:t>
            </w:r>
            <w:r w:rsidRPr="00A420A7">
              <w:rPr>
                <w:lang w:val="fr-FR"/>
              </w:rPr>
              <w:t> :</w:t>
            </w:r>
            <w:r w:rsidRPr="00A420A7">
              <w:rPr>
                <w:bCs/>
                <w:lang w:val="fr-FR"/>
              </w:rPr>
              <w:t xml:space="preserve"> L’établissement de l’IHSI rénové pour assurer la mise en œuvre </w:t>
            </w:r>
            <w:r w:rsidRPr="00A420A7">
              <w:rPr>
                <w:bCs/>
                <w:lang w:val="fr-FR"/>
              </w:rPr>
              <w:lastRenderedPageBreak/>
              <w:t>efficace et durable des données et équipements et aussi améliorer la capacité de l’institut à effectuer d’autres activités.</w:t>
            </w:r>
          </w:p>
          <w:p w:rsidR="00A420A7" w:rsidRDefault="00A420A7" w:rsidP="000B332C">
            <w:pPr>
              <w:rPr>
                <w:b/>
                <w:lang w:val="fr-FR"/>
              </w:rPr>
            </w:pPr>
          </w:p>
          <w:p w:rsidR="000B332C" w:rsidRPr="00A420A7" w:rsidRDefault="000B332C" w:rsidP="000B332C">
            <w:pPr>
              <w:rPr>
                <w:lang w:val="fr-FR"/>
              </w:rPr>
            </w:pPr>
            <w:r w:rsidRPr="00A420A7">
              <w:rPr>
                <w:b/>
                <w:lang w:val="fr-FR"/>
              </w:rPr>
              <w:t xml:space="preserve">Indicateur  1.4.1 : </w:t>
            </w:r>
            <w:r w:rsidRPr="00A420A7">
              <w:rPr>
                <w:lang w:val="fr-FR"/>
              </w:rPr>
              <w:t>Bâtiment de l’IHSI réparé et rénové.</w:t>
            </w:r>
          </w:p>
          <w:p w:rsidR="000B332C" w:rsidRPr="00A420A7" w:rsidRDefault="000B332C" w:rsidP="000B332C">
            <w:pPr>
              <w:rPr>
                <w:lang w:val="fr-FR"/>
              </w:rPr>
            </w:pPr>
            <w:r w:rsidRPr="00A420A7">
              <w:rPr>
                <w:b/>
                <w:lang w:val="fr-FR"/>
              </w:rPr>
              <w:t>Indicateur de référence :</w:t>
            </w:r>
            <w:r w:rsidRPr="00A420A7">
              <w:rPr>
                <w:lang w:val="fr-FR"/>
              </w:rPr>
              <w:t xml:space="preserve"> Il fallait que le bâtiment et les circuits électriques (i.e. le câblage électrique, connections de réseaux) de l’IHSI  soit réparés/remplacés</w:t>
            </w:r>
          </w:p>
          <w:p w:rsidR="000B332C" w:rsidRPr="00A420A7" w:rsidRDefault="000B332C" w:rsidP="000B332C">
            <w:pPr>
              <w:rPr>
                <w:bCs/>
                <w:lang w:val="fr-FR"/>
              </w:rPr>
            </w:pPr>
            <w:r w:rsidRPr="00A420A7">
              <w:rPr>
                <w:b/>
                <w:lang w:val="fr-FR"/>
              </w:rPr>
              <w:t>Indicateur cible:</w:t>
            </w:r>
            <w:r w:rsidRPr="00A420A7">
              <w:rPr>
                <w:lang w:val="fr-FR"/>
              </w:rPr>
              <w:t xml:space="preserve"> Le bâtiment et les installations de l’IHSI rénovés</w:t>
            </w:r>
          </w:p>
          <w:p w:rsidR="000B332C" w:rsidRPr="00A420A7" w:rsidRDefault="000B332C" w:rsidP="000B332C">
            <w:pPr>
              <w:rPr>
                <w:b/>
                <w:lang w:val="fr-FR"/>
              </w:rPr>
            </w:pPr>
          </w:p>
          <w:p w:rsidR="000B332C" w:rsidRPr="00A420A7" w:rsidRDefault="000B332C" w:rsidP="000B332C">
            <w:pPr>
              <w:rPr>
                <w:lang w:val="fr-FR"/>
              </w:rPr>
            </w:pPr>
            <w:r w:rsidRPr="00A420A7">
              <w:rPr>
                <w:b/>
                <w:lang w:val="fr-FR"/>
              </w:rPr>
              <w:t xml:space="preserve">Indicateur  1.4.2 : </w:t>
            </w:r>
            <w:r w:rsidR="00C458CE" w:rsidRPr="00A420A7">
              <w:rPr>
                <w:lang w:val="fr-FR"/>
              </w:rPr>
              <w:t>Equipement fournis pour faciliter la mise en œuvre et le transfert durable  à l’IHSI.</w:t>
            </w:r>
          </w:p>
          <w:p w:rsidR="000B332C" w:rsidRPr="00A420A7" w:rsidRDefault="000B332C" w:rsidP="000B332C">
            <w:pPr>
              <w:rPr>
                <w:lang w:val="fr-FR"/>
              </w:rPr>
            </w:pPr>
            <w:r w:rsidRPr="00A420A7">
              <w:rPr>
                <w:b/>
                <w:lang w:val="fr-FR"/>
              </w:rPr>
              <w:t>Indicateur de référence :</w:t>
            </w:r>
            <w:r w:rsidRPr="00A420A7">
              <w:rPr>
                <w:lang w:val="fr-FR"/>
              </w:rPr>
              <w:t xml:space="preserve"> </w:t>
            </w:r>
            <w:r w:rsidR="00C458CE" w:rsidRPr="00A420A7">
              <w:rPr>
                <w:lang w:val="fr-FR"/>
              </w:rPr>
              <w:t>Il manque présentement au bâtiment de l’IHSI les équipements de bases tel que les ordinateurs et véhicules pour effectuer les activités de recensement et de cartographie.</w:t>
            </w:r>
          </w:p>
          <w:p w:rsidR="000B332C" w:rsidRPr="00A420A7" w:rsidRDefault="000B332C" w:rsidP="000B332C">
            <w:pPr>
              <w:rPr>
                <w:bCs/>
                <w:lang w:val="fr-FR"/>
              </w:rPr>
            </w:pPr>
            <w:r w:rsidRPr="00A420A7">
              <w:rPr>
                <w:b/>
                <w:lang w:val="fr-FR"/>
              </w:rPr>
              <w:t>Indicateur cible:</w:t>
            </w:r>
            <w:r w:rsidRPr="00A420A7">
              <w:rPr>
                <w:lang w:val="fr-FR"/>
              </w:rPr>
              <w:t xml:space="preserve"> </w:t>
            </w:r>
            <w:r w:rsidR="00C458CE" w:rsidRPr="00A420A7">
              <w:rPr>
                <w:lang w:val="fr-FR"/>
              </w:rPr>
              <w:t>Des équipements identifiées conjointement avec l’IHSI, ont été acquis et donnés l’institut pour renforcer leur capacité à effectuer leurs activités quotidiennes concernant le projet et aussi pour venir en support au prochain recensement national.</w:t>
            </w:r>
          </w:p>
          <w:p w:rsidR="000B332C" w:rsidRDefault="000B332C" w:rsidP="000B332C">
            <w:pPr>
              <w:rPr>
                <w:b/>
                <w:lang w:val="fr-FR"/>
              </w:rPr>
            </w:pPr>
          </w:p>
        </w:tc>
        <w:tc>
          <w:tcPr>
            <w:tcW w:w="3745" w:type="dxa"/>
            <w:shd w:val="clear" w:color="auto" w:fill="auto"/>
          </w:tcPr>
          <w:p w:rsidR="000B332C" w:rsidRDefault="000B332C" w:rsidP="003E2682">
            <w:pPr>
              <w:pStyle w:val="BodyText"/>
              <w:jc w:val="both"/>
              <w:rPr>
                <w:rFonts w:ascii="Times New Roman" w:hAnsi="Times New Roman" w:cs="Times New Roman"/>
                <w:bCs/>
                <w:sz w:val="24"/>
                <w:szCs w:val="24"/>
                <w:lang w:val="fr-FR"/>
              </w:rPr>
            </w:pPr>
          </w:p>
          <w:p w:rsidR="000B332C" w:rsidRDefault="000B332C" w:rsidP="003E2682">
            <w:pPr>
              <w:pStyle w:val="BodyText"/>
              <w:jc w:val="both"/>
              <w:rPr>
                <w:rFonts w:ascii="Times New Roman" w:hAnsi="Times New Roman" w:cs="Times New Roman"/>
                <w:bCs/>
                <w:sz w:val="24"/>
                <w:szCs w:val="24"/>
                <w:lang w:val="fr-FR"/>
              </w:rPr>
            </w:pPr>
          </w:p>
          <w:p w:rsidR="000B332C" w:rsidRDefault="000B332C" w:rsidP="003E2682">
            <w:pPr>
              <w:pStyle w:val="BodyText"/>
              <w:jc w:val="both"/>
              <w:rPr>
                <w:rFonts w:ascii="Times New Roman" w:hAnsi="Times New Roman" w:cs="Times New Roman"/>
                <w:bCs/>
                <w:sz w:val="24"/>
                <w:szCs w:val="24"/>
                <w:lang w:val="fr-FR"/>
              </w:rPr>
            </w:pPr>
          </w:p>
          <w:p w:rsidR="000B332C" w:rsidRDefault="000B332C" w:rsidP="003E2682">
            <w:pPr>
              <w:pStyle w:val="BodyText"/>
              <w:jc w:val="both"/>
              <w:rPr>
                <w:rFonts w:ascii="Times New Roman" w:hAnsi="Times New Roman" w:cs="Times New Roman"/>
                <w:bCs/>
                <w:sz w:val="24"/>
                <w:szCs w:val="24"/>
                <w:lang w:val="fr-FR"/>
              </w:rPr>
            </w:pPr>
          </w:p>
          <w:p w:rsidR="000B332C" w:rsidRDefault="000B332C" w:rsidP="003E2682">
            <w:pPr>
              <w:pStyle w:val="BodyText"/>
              <w:jc w:val="both"/>
              <w:rPr>
                <w:rFonts w:ascii="Times New Roman" w:hAnsi="Times New Roman" w:cs="Times New Roman"/>
                <w:bCs/>
                <w:sz w:val="24"/>
                <w:szCs w:val="24"/>
                <w:lang w:val="fr-FR"/>
              </w:rPr>
            </w:pPr>
          </w:p>
          <w:p w:rsidR="00A420A7" w:rsidRDefault="00A420A7" w:rsidP="003E2682">
            <w:pPr>
              <w:pStyle w:val="BodyText"/>
              <w:jc w:val="both"/>
              <w:rPr>
                <w:rFonts w:ascii="Times New Roman" w:hAnsi="Times New Roman" w:cs="Times New Roman"/>
                <w:bCs/>
                <w:sz w:val="24"/>
                <w:szCs w:val="24"/>
                <w:lang w:val="fr-FR"/>
              </w:rPr>
            </w:pPr>
          </w:p>
          <w:p w:rsidR="000B332C" w:rsidRDefault="000B332C" w:rsidP="003E2682">
            <w:pPr>
              <w:pStyle w:val="BodyText"/>
              <w:jc w:val="both"/>
              <w:rPr>
                <w:rFonts w:ascii="Times New Roman" w:hAnsi="Times New Roman" w:cs="Times New Roman"/>
                <w:sz w:val="24"/>
                <w:szCs w:val="24"/>
                <w:lang w:val="fr-FR"/>
              </w:rPr>
            </w:pPr>
            <w:r w:rsidRPr="000B332C">
              <w:rPr>
                <w:rFonts w:ascii="Times New Roman" w:hAnsi="Times New Roman" w:cs="Times New Roman"/>
                <w:sz w:val="24"/>
                <w:szCs w:val="24"/>
                <w:lang w:val="fr-FR"/>
              </w:rPr>
              <w:t xml:space="preserve">Les réparations du bâtiment de l’IHSI ont été complétées depuis Mars 2012. Le bâtiment de l’IHSI est présentement fonctionnel et abritent les employés du projet et les bases de données.  </w:t>
            </w:r>
          </w:p>
          <w:p w:rsidR="00C458CE" w:rsidRDefault="00C458CE" w:rsidP="003E2682">
            <w:pPr>
              <w:pStyle w:val="BodyText"/>
              <w:jc w:val="both"/>
              <w:rPr>
                <w:rFonts w:ascii="Times New Roman" w:hAnsi="Times New Roman" w:cs="Times New Roman"/>
                <w:sz w:val="24"/>
                <w:szCs w:val="24"/>
                <w:lang w:val="fr-FR"/>
              </w:rPr>
            </w:pPr>
          </w:p>
          <w:p w:rsidR="00C458CE" w:rsidRDefault="00C458CE" w:rsidP="003E2682">
            <w:pPr>
              <w:pStyle w:val="BodyText"/>
              <w:jc w:val="both"/>
              <w:rPr>
                <w:rFonts w:ascii="Times New Roman" w:hAnsi="Times New Roman" w:cs="Times New Roman"/>
                <w:sz w:val="24"/>
                <w:szCs w:val="24"/>
                <w:lang w:val="fr-FR"/>
              </w:rPr>
            </w:pPr>
          </w:p>
          <w:p w:rsidR="00C458CE" w:rsidRDefault="00C458CE" w:rsidP="003E2682">
            <w:pPr>
              <w:pStyle w:val="BodyText"/>
              <w:jc w:val="both"/>
              <w:rPr>
                <w:rFonts w:ascii="Times New Roman" w:hAnsi="Times New Roman" w:cs="Times New Roman"/>
                <w:sz w:val="24"/>
                <w:szCs w:val="24"/>
                <w:lang w:val="fr-FR"/>
              </w:rPr>
            </w:pPr>
          </w:p>
          <w:p w:rsidR="00C458CE" w:rsidRPr="00C458CE" w:rsidRDefault="00C458CE" w:rsidP="000C3EF1">
            <w:pPr>
              <w:pStyle w:val="BodyText"/>
              <w:jc w:val="both"/>
              <w:rPr>
                <w:rFonts w:ascii="Times New Roman" w:hAnsi="Times New Roman" w:cs="Times New Roman"/>
                <w:bCs/>
                <w:sz w:val="24"/>
                <w:szCs w:val="24"/>
                <w:lang w:val="fr-FR"/>
              </w:rPr>
            </w:pPr>
            <w:r w:rsidRPr="00C458CE">
              <w:rPr>
                <w:rFonts w:ascii="Times New Roman" w:hAnsi="Times New Roman" w:cs="Times New Roman"/>
                <w:sz w:val="24"/>
                <w:szCs w:val="24"/>
                <w:lang w:val="fr-FR"/>
              </w:rPr>
              <w:t xml:space="preserve">A partir de Décembre 2012, 100% des équipements nécessaires au projet ont été acquis. </w:t>
            </w:r>
            <w:r w:rsidR="000C3EF1">
              <w:rPr>
                <w:rFonts w:ascii="Times New Roman" w:hAnsi="Times New Roman" w:cs="Times New Roman"/>
                <w:sz w:val="24"/>
                <w:szCs w:val="24"/>
                <w:lang w:val="fr-FR"/>
              </w:rPr>
              <w:t>Durant le mois d’Octobre 2013, 1</w:t>
            </w:r>
            <w:r w:rsidRPr="00C458CE">
              <w:rPr>
                <w:rFonts w:ascii="Times New Roman" w:hAnsi="Times New Roman" w:cs="Times New Roman"/>
                <w:sz w:val="24"/>
                <w:szCs w:val="24"/>
                <w:lang w:val="fr-FR"/>
              </w:rPr>
              <w:t>0%</w:t>
            </w:r>
            <w:r w:rsidRPr="00C458CE">
              <w:rPr>
                <w:rStyle w:val="FootnoteReference"/>
                <w:rFonts w:ascii="Times New Roman" w:hAnsi="Times New Roman" w:cs="Times New Roman"/>
                <w:sz w:val="24"/>
                <w:szCs w:val="24"/>
                <w:lang w:val="fr-FR"/>
              </w:rPr>
              <w:footnoteReference w:id="4"/>
            </w:r>
            <w:r w:rsidRPr="00C458CE">
              <w:rPr>
                <w:rFonts w:ascii="Times New Roman" w:hAnsi="Times New Roman" w:cs="Times New Roman"/>
                <w:sz w:val="24"/>
                <w:szCs w:val="24"/>
                <w:lang w:val="fr-FR"/>
              </w:rPr>
              <w:t xml:space="preserve"> des équipements </w:t>
            </w:r>
            <w:r w:rsidR="000C3EF1">
              <w:rPr>
                <w:rFonts w:ascii="Times New Roman" w:hAnsi="Times New Roman" w:cs="Times New Roman"/>
                <w:sz w:val="24"/>
                <w:szCs w:val="24"/>
                <w:lang w:val="fr-FR"/>
              </w:rPr>
              <w:t xml:space="preserve"> restants</w:t>
            </w:r>
            <w:r w:rsidR="000C3EF1" w:rsidRPr="00C458CE">
              <w:rPr>
                <w:rFonts w:ascii="Times New Roman" w:hAnsi="Times New Roman" w:cs="Times New Roman"/>
                <w:sz w:val="24"/>
                <w:szCs w:val="24"/>
                <w:lang w:val="fr-FR"/>
              </w:rPr>
              <w:t xml:space="preserve"> </w:t>
            </w:r>
            <w:r w:rsidRPr="00C458CE">
              <w:rPr>
                <w:rFonts w:ascii="Times New Roman" w:hAnsi="Times New Roman" w:cs="Times New Roman"/>
                <w:sz w:val="24"/>
                <w:szCs w:val="24"/>
                <w:lang w:val="fr-FR"/>
              </w:rPr>
              <w:t>ont été livrés à l’IHSI.</w:t>
            </w:r>
          </w:p>
        </w:tc>
        <w:tc>
          <w:tcPr>
            <w:tcW w:w="3960" w:type="dxa"/>
            <w:shd w:val="clear" w:color="auto" w:fill="auto"/>
          </w:tcPr>
          <w:p w:rsidR="000B332C" w:rsidRPr="00863841" w:rsidRDefault="000B332C" w:rsidP="003E2682">
            <w:pPr>
              <w:pStyle w:val="BodyText"/>
              <w:jc w:val="both"/>
              <w:rPr>
                <w:rFonts w:ascii="Times New Roman" w:hAnsi="Times New Roman" w:cs="Times New Roman"/>
                <w:bCs/>
                <w:sz w:val="24"/>
                <w:szCs w:val="24"/>
                <w:lang w:val="fr-FR"/>
              </w:rPr>
            </w:pPr>
          </w:p>
        </w:tc>
        <w:tc>
          <w:tcPr>
            <w:tcW w:w="3150" w:type="dxa"/>
            <w:shd w:val="clear" w:color="auto" w:fill="auto"/>
          </w:tcPr>
          <w:p w:rsidR="000B332C" w:rsidRPr="00863841" w:rsidRDefault="000B332C" w:rsidP="003E2682">
            <w:pPr>
              <w:pStyle w:val="BodyText"/>
              <w:jc w:val="both"/>
              <w:rPr>
                <w:rFonts w:ascii="Times New Roman" w:hAnsi="Times New Roman" w:cs="Times New Roman"/>
                <w:bCs/>
                <w:sz w:val="24"/>
                <w:szCs w:val="24"/>
                <w:lang w:val="fr-FR"/>
              </w:rPr>
            </w:pPr>
          </w:p>
        </w:tc>
      </w:tr>
      <w:tr w:rsidR="00E15B9B" w:rsidRPr="00C122A6" w:rsidTr="00E15B9B">
        <w:trPr>
          <w:trHeight w:val="5394"/>
        </w:trPr>
        <w:tc>
          <w:tcPr>
            <w:tcW w:w="4265" w:type="dxa"/>
            <w:shd w:val="clear" w:color="auto" w:fill="auto"/>
          </w:tcPr>
          <w:p w:rsidR="00E15B9B" w:rsidRPr="00A420A7" w:rsidRDefault="00E15B9B" w:rsidP="003F424C">
            <w:pPr>
              <w:rPr>
                <w:bCs/>
                <w:lang w:val="fr-FR"/>
              </w:rPr>
            </w:pPr>
            <w:r w:rsidRPr="00A420A7">
              <w:rPr>
                <w:b/>
                <w:lang w:val="fr-FR"/>
              </w:rPr>
              <w:lastRenderedPageBreak/>
              <w:t>Produit 1.5</w:t>
            </w:r>
            <w:r w:rsidRPr="00A420A7">
              <w:rPr>
                <w:lang w:val="fr-FR"/>
              </w:rPr>
              <w:t xml:space="preserve"> : </w:t>
            </w:r>
            <w:r w:rsidRPr="00A420A7">
              <w:rPr>
                <w:bCs/>
                <w:lang w:val="fr-FR"/>
              </w:rPr>
              <w:t>Données disponibles et facilement intégrables dans la base de données SILQ</w:t>
            </w:r>
            <w:r w:rsidRPr="00A420A7">
              <w:rPr>
                <w:rStyle w:val="FootnoteReference"/>
                <w:bCs/>
                <w:lang w:val="fr-FR"/>
              </w:rPr>
              <w:footnoteReference w:id="5"/>
            </w:r>
            <w:r w:rsidRPr="00A420A7">
              <w:rPr>
                <w:bCs/>
                <w:lang w:val="fr-FR"/>
              </w:rPr>
              <w:t xml:space="preserve"> pour partager avec les acteurs de la reconstruction.</w:t>
            </w:r>
          </w:p>
          <w:p w:rsidR="00A420A7" w:rsidRDefault="00A420A7" w:rsidP="003F424C">
            <w:pPr>
              <w:rPr>
                <w:b/>
                <w:lang w:val="fr-FR"/>
              </w:rPr>
            </w:pPr>
          </w:p>
          <w:p w:rsidR="00E15B9B" w:rsidRPr="00A420A7" w:rsidRDefault="00E15B9B" w:rsidP="003F424C">
            <w:pPr>
              <w:rPr>
                <w:b/>
                <w:lang w:val="fr-FR"/>
              </w:rPr>
            </w:pPr>
            <w:r w:rsidRPr="00A420A7">
              <w:rPr>
                <w:b/>
                <w:lang w:val="fr-FR"/>
              </w:rPr>
              <w:t xml:space="preserve">Indicateur  1.5.1 : </w:t>
            </w:r>
            <w:r w:rsidRPr="00A420A7">
              <w:rPr>
                <w:lang w:val="fr-FR"/>
              </w:rPr>
              <w:t>Le format et le type de données recueillies complémentent ceux qui ont été planifiés pour la base de données du SILQ.</w:t>
            </w:r>
          </w:p>
          <w:p w:rsidR="00E15B9B" w:rsidRPr="00A420A7" w:rsidRDefault="00E15B9B" w:rsidP="003E2682">
            <w:pPr>
              <w:rPr>
                <w:b/>
                <w:lang w:val="fr-FR"/>
              </w:rPr>
            </w:pPr>
            <w:r w:rsidRPr="00A420A7">
              <w:rPr>
                <w:b/>
                <w:lang w:val="fr-FR"/>
              </w:rPr>
              <w:t xml:space="preserve">Indicateur de référence: </w:t>
            </w:r>
            <w:r w:rsidRPr="00A420A7">
              <w:rPr>
                <w:lang w:val="fr-FR"/>
              </w:rPr>
              <w:t>La base de données SILQ est en train d’être établie par le CNIGS et ONU-Habitat.</w:t>
            </w:r>
          </w:p>
          <w:p w:rsidR="00E15B9B" w:rsidRPr="00A420A7" w:rsidRDefault="00E15B9B" w:rsidP="003E2682">
            <w:pPr>
              <w:rPr>
                <w:b/>
                <w:lang w:val="fr-FR"/>
              </w:rPr>
            </w:pPr>
            <w:r w:rsidRPr="00A420A7">
              <w:rPr>
                <w:b/>
                <w:lang w:val="fr-FR"/>
              </w:rPr>
              <w:t>Indicateur cible:</w:t>
            </w:r>
            <w:r w:rsidRPr="00A420A7">
              <w:rPr>
                <w:lang w:val="fr-FR"/>
              </w:rPr>
              <w:t xml:space="preserve"> La base de données et les données recueillies peuvent être facilement intégrées dans la base de données du SILQ. La présence du consultant du CNIGS travaillant au sein de l’IHSI aidera à la finalisation du protocole de partage des données nécessaires entre le CNIGS. et l’IHSI.</w:t>
            </w:r>
          </w:p>
          <w:p w:rsidR="00E15B9B" w:rsidRDefault="00E15B9B" w:rsidP="003E2682">
            <w:pPr>
              <w:pStyle w:val="BodyText"/>
              <w:jc w:val="both"/>
              <w:rPr>
                <w:b/>
                <w:lang w:val="fr-FR"/>
              </w:rPr>
            </w:pPr>
          </w:p>
        </w:tc>
        <w:tc>
          <w:tcPr>
            <w:tcW w:w="3745" w:type="dxa"/>
            <w:shd w:val="clear" w:color="auto" w:fill="auto"/>
          </w:tcPr>
          <w:p w:rsidR="00A420A7" w:rsidRDefault="00A420A7" w:rsidP="000C3EF1">
            <w:pPr>
              <w:pStyle w:val="BodyText"/>
              <w:jc w:val="both"/>
              <w:rPr>
                <w:rFonts w:ascii="Times New Roman" w:hAnsi="Times New Roman" w:cs="Times New Roman"/>
                <w:sz w:val="24"/>
                <w:szCs w:val="24"/>
                <w:lang w:val="fr-FR"/>
              </w:rPr>
            </w:pPr>
          </w:p>
          <w:p w:rsidR="00A420A7" w:rsidRDefault="00A420A7" w:rsidP="000C3EF1">
            <w:pPr>
              <w:pStyle w:val="BodyText"/>
              <w:jc w:val="both"/>
              <w:rPr>
                <w:rFonts w:ascii="Times New Roman" w:hAnsi="Times New Roman" w:cs="Times New Roman"/>
                <w:sz w:val="24"/>
                <w:szCs w:val="24"/>
                <w:lang w:val="fr-FR"/>
              </w:rPr>
            </w:pPr>
          </w:p>
          <w:p w:rsidR="00A420A7" w:rsidRDefault="00A420A7" w:rsidP="000C3EF1">
            <w:pPr>
              <w:pStyle w:val="BodyText"/>
              <w:jc w:val="both"/>
              <w:rPr>
                <w:rFonts w:ascii="Times New Roman" w:hAnsi="Times New Roman" w:cs="Times New Roman"/>
                <w:sz w:val="24"/>
                <w:szCs w:val="24"/>
                <w:lang w:val="fr-FR"/>
              </w:rPr>
            </w:pPr>
          </w:p>
          <w:p w:rsidR="00A420A7" w:rsidRDefault="00A420A7" w:rsidP="000C3EF1">
            <w:pPr>
              <w:pStyle w:val="BodyText"/>
              <w:jc w:val="both"/>
              <w:rPr>
                <w:rFonts w:ascii="Times New Roman" w:hAnsi="Times New Roman" w:cs="Times New Roman"/>
                <w:sz w:val="24"/>
                <w:szCs w:val="24"/>
                <w:lang w:val="fr-FR"/>
              </w:rPr>
            </w:pPr>
          </w:p>
          <w:p w:rsidR="00A420A7" w:rsidRDefault="00A420A7" w:rsidP="000C3EF1">
            <w:pPr>
              <w:pStyle w:val="BodyText"/>
              <w:jc w:val="both"/>
              <w:rPr>
                <w:rFonts w:ascii="Times New Roman" w:hAnsi="Times New Roman" w:cs="Times New Roman"/>
                <w:sz w:val="24"/>
                <w:szCs w:val="24"/>
                <w:lang w:val="fr-FR"/>
              </w:rPr>
            </w:pPr>
          </w:p>
          <w:p w:rsidR="000C3EF1" w:rsidRPr="000C3EF1" w:rsidRDefault="000C3EF1" w:rsidP="000C3EF1">
            <w:pPr>
              <w:pStyle w:val="BodyText"/>
              <w:jc w:val="both"/>
              <w:rPr>
                <w:rFonts w:ascii="Times New Roman" w:hAnsi="Times New Roman" w:cs="Times New Roman"/>
                <w:sz w:val="24"/>
                <w:szCs w:val="24"/>
                <w:lang w:val="fr-FR"/>
              </w:rPr>
            </w:pPr>
            <w:r w:rsidRPr="000C3EF1">
              <w:rPr>
                <w:rFonts w:ascii="Times New Roman" w:hAnsi="Times New Roman" w:cs="Times New Roman"/>
                <w:sz w:val="24"/>
                <w:szCs w:val="24"/>
                <w:lang w:val="fr-FR"/>
              </w:rPr>
              <w:t>Durant le mois d’Octobre 2013, les équipes techniques OIM et IHSI ont travaillé de concert pour finaliser l’harmonisation des bases de données cartographie et inventaires des bâtiments.</w:t>
            </w:r>
          </w:p>
          <w:p w:rsidR="000C3EF1" w:rsidRPr="000C3EF1" w:rsidRDefault="000C3EF1" w:rsidP="000C3EF1">
            <w:pPr>
              <w:pStyle w:val="BodyText"/>
              <w:jc w:val="both"/>
              <w:rPr>
                <w:rFonts w:ascii="Times New Roman" w:hAnsi="Times New Roman" w:cs="Times New Roman"/>
                <w:sz w:val="24"/>
                <w:szCs w:val="24"/>
                <w:lang w:val="fr-FR"/>
              </w:rPr>
            </w:pPr>
          </w:p>
          <w:p w:rsidR="000C3EF1" w:rsidRDefault="000C3EF1" w:rsidP="000C3EF1">
            <w:pPr>
              <w:pStyle w:val="BodyText"/>
              <w:jc w:val="both"/>
              <w:rPr>
                <w:rFonts w:ascii="Times New Roman" w:hAnsi="Times New Roman" w:cs="Times New Roman"/>
                <w:sz w:val="24"/>
                <w:szCs w:val="24"/>
                <w:lang w:val="fr-FR"/>
              </w:rPr>
            </w:pPr>
            <w:r w:rsidRPr="000C3EF1">
              <w:rPr>
                <w:rFonts w:ascii="Times New Roman" w:hAnsi="Times New Roman" w:cs="Times New Roman"/>
                <w:sz w:val="24"/>
                <w:szCs w:val="24"/>
                <w:lang w:val="fr-FR"/>
              </w:rPr>
              <w:t xml:space="preserve">La base de données en </w:t>
            </w:r>
            <w:proofErr w:type="spellStart"/>
            <w:r w:rsidRPr="000C3EF1">
              <w:rPr>
                <w:rFonts w:ascii="Times New Roman" w:hAnsi="Times New Roman" w:cs="Times New Roman"/>
                <w:sz w:val="24"/>
                <w:szCs w:val="24"/>
                <w:lang w:val="fr-FR"/>
              </w:rPr>
              <w:t>CSPro</w:t>
            </w:r>
            <w:proofErr w:type="spellEnd"/>
            <w:r w:rsidRPr="000C3EF1">
              <w:rPr>
                <w:rFonts w:ascii="Times New Roman" w:hAnsi="Times New Roman" w:cs="Times New Roman"/>
                <w:sz w:val="24"/>
                <w:szCs w:val="24"/>
                <w:lang w:val="fr-FR"/>
              </w:rPr>
              <w:t xml:space="preserve"> établie à l’IHSI durant la période de Juin 2012, a été convertie en SQL pour assurer une meilleure harmonisation avec les bases de données cartographiques de l’IHSI.</w:t>
            </w:r>
          </w:p>
          <w:p w:rsidR="000C3EF1" w:rsidRDefault="000C3EF1" w:rsidP="000C3EF1">
            <w:pPr>
              <w:pStyle w:val="BodyText"/>
              <w:jc w:val="both"/>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 xml:space="preserve"> </w:t>
            </w:r>
          </w:p>
          <w:p w:rsidR="00E15B9B" w:rsidRPr="003F424C" w:rsidRDefault="000C3EF1" w:rsidP="000C3EF1">
            <w:pPr>
              <w:pStyle w:val="BodyText"/>
              <w:jc w:val="both"/>
              <w:rPr>
                <w:rFonts w:ascii="Times New Roman" w:hAnsi="Times New Roman" w:cs="Times New Roman"/>
                <w:bCs/>
                <w:sz w:val="24"/>
                <w:szCs w:val="24"/>
                <w:lang w:val="fr-FR"/>
              </w:rPr>
            </w:pPr>
            <w:r>
              <w:rPr>
                <w:rFonts w:ascii="Times New Roman" w:hAnsi="Times New Roman" w:cs="Times New Roman"/>
                <w:color w:val="000000"/>
                <w:sz w:val="24"/>
                <w:szCs w:val="24"/>
                <w:lang w:val="fr-FR"/>
              </w:rPr>
              <w:t>L</w:t>
            </w:r>
            <w:r w:rsidRPr="000C3EF1">
              <w:rPr>
                <w:rFonts w:ascii="Times New Roman" w:hAnsi="Times New Roman" w:cs="Times New Roman"/>
                <w:color w:val="000000"/>
                <w:sz w:val="24"/>
                <w:szCs w:val="24"/>
                <w:lang w:val="fr-FR"/>
              </w:rPr>
              <w:t>es deux bases de données (</w:t>
            </w:r>
            <w:r w:rsidR="00435EDF" w:rsidRPr="000C3EF1">
              <w:rPr>
                <w:rFonts w:ascii="Times New Roman" w:hAnsi="Times New Roman" w:cs="Times New Roman"/>
                <w:color w:val="000000"/>
                <w:sz w:val="24"/>
                <w:szCs w:val="24"/>
                <w:lang w:val="fr-FR"/>
              </w:rPr>
              <w:t>cartographiques</w:t>
            </w:r>
            <w:r w:rsidRPr="000C3EF1">
              <w:rPr>
                <w:rFonts w:ascii="Times New Roman" w:hAnsi="Times New Roman" w:cs="Times New Roman"/>
                <w:color w:val="000000"/>
                <w:sz w:val="24"/>
                <w:szCs w:val="24"/>
                <w:lang w:val="fr-FR"/>
              </w:rPr>
              <w:t xml:space="preserve"> et dénombrement des ménages) ont été transférées au CNIGS pour être insérées sur la Plate-Forme du système intégré des données devant être utilisé par les différents partenaires du projet.</w:t>
            </w:r>
          </w:p>
        </w:tc>
        <w:tc>
          <w:tcPr>
            <w:tcW w:w="3960" w:type="dxa"/>
            <w:shd w:val="clear" w:color="auto" w:fill="auto"/>
          </w:tcPr>
          <w:p w:rsidR="00E15B9B" w:rsidRPr="003F424C" w:rsidRDefault="00E15B9B" w:rsidP="003E2682">
            <w:pPr>
              <w:pStyle w:val="BodyText"/>
              <w:jc w:val="both"/>
              <w:rPr>
                <w:rFonts w:ascii="Times New Roman" w:hAnsi="Times New Roman" w:cs="Times New Roman"/>
                <w:bCs/>
                <w:sz w:val="24"/>
                <w:szCs w:val="24"/>
                <w:lang w:val="fr-FR"/>
              </w:rPr>
            </w:pPr>
          </w:p>
          <w:p w:rsidR="00E15B9B" w:rsidRPr="003F424C" w:rsidRDefault="00E15B9B" w:rsidP="003E2682">
            <w:pPr>
              <w:pStyle w:val="BodyText"/>
              <w:jc w:val="both"/>
              <w:rPr>
                <w:rFonts w:ascii="Times New Roman" w:hAnsi="Times New Roman" w:cs="Times New Roman"/>
                <w:bCs/>
                <w:sz w:val="24"/>
                <w:szCs w:val="24"/>
                <w:lang w:val="fr-FR"/>
              </w:rPr>
            </w:pPr>
          </w:p>
          <w:p w:rsidR="00E15B9B" w:rsidRPr="003F424C" w:rsidRDefault="00E15B9B" w:rsidP="003E2682">
            <w:pPr>
              <w:pStyle w:val="BodyText"/>
              <w:jc w:val="both"/>
              <w:rPr>
                <w:rFonts w:ascii="Times New Roman" w:hAnsi="Times New Roman" w:cs="Times New Roman"/>
                <w:bCs/>
                <w:sz w:val="24"/>
                <w:szCs w:val="24"/>
                <w:lang w:val="fr-FR"/>
              </w:rPr>
            </w:pPr>
          </w:p>
          <w:p w:rsidR="00E15B9B" w:rsidRPr="003F424C" w:rsidRDefault="00E15B9B" w:rsidP="003E2682">
            <w:pPr>
              <w:pStyle w:val="BodyText"/>
              <w:jc w:val="both"/>
              <w:rPr>
                <w:rFonts w:ascii="Times New Roman" w:hAnsi="Times New Roman" w:cs="Times New Roman"/>
                <w:bCs/>
                <w:sz w:val="24"/>
                <w:szCs w:val="24"/>
                <w:lang w:val="fr-FR"/>
              </w:rPr>
            </w:pPr>
          </w:p>
          <w:p w:rsidR="00E15B9B" w:rsidRPr="003F424C" w:rsidRDefault="00E15B9B" w:rsidP="000C3EF1">
            <w:pPr>
              <w:pStyle w:val="BodyText"/>
              <w:ind w:left="-18"/>
              <w:rPr>
                <w:rFonts w:ascii="Times New Roman" w:hAnsi="Times New Roman" w:cs="Times New Roman"/>
                <w:bCs/>
                <w:sz w:val="24"/>
                <w:szCs w:val="24"/>
                <w:lang w:val="fr-FR"/>
              </w:rPr>
            </w:pPr>
          </w:p>
        </w:tc>
        <w:tc>
          <w:tcPr>
            <w:tcW w:w="3150" w:type="dxa"/>
            <w:shd w:val="clear" w:color="auto" w:fill="auto"/>
          </w:tcPr>
          <w:p w:rsidR="00E15B9B" w:rsidRPr="00863841" w:rsidRDefault="00E15B9B" w:rsidP="003E2682">
            <w:pPr>
              <w:pStyle w:val="BodyText"/>
              <w:jc w:val="both"/>
              <w:rPr>
                <w:rFonts w:ascii="Times New Roman" w:hAnsi="Times New Roman" w:cs="Times New Roman"/>
                <w:bCs/>
                <w:sz w:val="24"/>
                <w:szCs w:val="24"/>
                <w:lang w:val="fr-FR"/>
              </w:rPr>
            </w:pPr>
          </w:p>
        </w:tc>
      </w:tr>
      <w:tr w:rsidR="00784899" w:rsidRPr="00C122A6" w:rsidTr="00441F3D">
        <w:tc>
          <w:tcPr>
            <w:tcW w:w="15120" w:type="dxa"/>
            <w:gridSpan w:val="4"/>
            <w:shd w:val="pct15" w:color="auto" w:fill="auto"/>
          </w:tcPr>
          <w:p w:rsidR="00784899" w:rsidRPr="00E3532D" w:rsidRDefault="00784899" w:rsidP="00441F3D">
            <w:pPr>
              <w:pStyle w:val="BodyText"/>
              <w:jc w:val="both"/>
              <w:rPr>
                <w:rFonts w:ascii="Times New Roman" w:hAnsi="Times New Roman"/>
                <w:bCs/>
                <w:sz w:val="24"/>
                <w:lang w:val="fr-FR"/>
              </w:rPr>
            </w:pPr>
            <w:r w:rsidRPr="00E15B9B">
              <w:rPr>
                <w:rFonts w:ascii="Times New Roman" w:hAnsi="Times New Roman" w:cs="Times New Roman"/>
                <w:b/>
                <w:sz w:val="24"/>
                <w:szCs w:val="24"/>
                <w:lang w:val="fr-FR"/>
              </w:rPr>
              <w:t>R</w:t>
            </w:r>
            <w:r w:rsidRPr="00E15B9B">
              <w:rPr>
                <w:rStyle w:val="hps"/>
                <w:rFonts w:ascii="Times New Roman" w:hAnsi="Times New Roman"/>
                <w:sz w:val="24"/>
                <w:szCs w:val="24"/>
                <w:lang w:val="fr-FR"/>
              </w:rPr>
              <w:t>é</w:t>
            </w:r>
            <w:r w:rsidRPr="00E15B9B">
              <w:rPr>
                <w:rFonts w:ascii="Times New Roman" w:hAnsi="Times New Roman" w:cs="Times New Roman"/>
                <w:b/>
                <w:sz w:val="24"/>
                <w:szCs w:val="24"/>
                <w:lang w:val="fr-FR"/>
              </w:rPr>
              <w:t>sultat 2</w:t>
            </w:r>
            <w:r w:rsidRPr="00E15B9B">
              <w:rPr>
                <w:rFonts w:ascii="Times New Roman" w:hAnsi="Times New Roman" w:cs="Times New Roman"/>
                <w:sz w:val="24"/>
                <w:szCs w:val="24"/>
                <w:lang w:val="fr-FR"/>
              </w:rPr>
              <w:t xml:space="preserve"> Un système d'information géographique sur le logement et les quartiers en Haïti est développé et opérationnel. Il sert d’outil d’information et d’aide à la décision pour le programme de reconstruction et pour la définition, la mise en œuvre et le suivi de programmes de développement urbains.</w:t>
            </w:r>
          </w:p>
        </w:tc>
      </w:tr>
      <w:tr w:rsidR="00784899" w:rsidRPr="00C122A6" w:rsidTr="00441F3D">
        <w:trPr>
          <w:trHeight w:val="1470"/>
        </w:trPr>
        <w:tc>
          <w:tcPr>
            <w:tcW w:w="4265" w:type="dxa"/>
            <w:shd w:val="clear" w:color="auto" w:fill="auto"/>
          </w:tcPr>
          <w:p w:rsidR="00784899" w:rsidRDefault="00784899" w:rsidP="00441F3D">
            <w:pPr>
              <w:rPr>
                <w:lang w:val="fr-FR" w:eastAsia="fr-FR"/>
              </w:rPr>
            </w:pPr>
            <w:r w:rsidRPr="00A420A7">
              <w:rPr>
                <w:b/>
                <w:lang w:val="fr-FR"/>
              </w:rPr>
              <w:t xml:space="preserve">Produit 2.1 : </w:t>
            </w:r>
            <w:r w:rsidRPr="00A420A7">
              <w:rPr>
                <w:lang w:val="fr-FR" w:eastAsia="fr-FR"/>
              </w:rPr>
              <w:t>Un réseau d’utilisateurs et de producteurs de données géographiques est mis en place.</w:t>
            </w:r>
          </w:p>
          <w:p w:rsidR="00A420A7" w:rsidRPr="00A420A7" w:rsidRDefault="00A420A7" w:rsidP="00441F3D">
            <w:pPr>
              <w:rPr>
                <w:lang w:val="fr-FR" w:eastAsia="fr-FR"/>
              </w:rPr>
            </w:pPr>
          </w:p>
          <w:p w:rsidR="00784899" w:rsidRPr="00A420A7" w:rsidRDefault="00784899" w:rsidP="00441F3D">
            <w:pPr>
              <w:rPr>
                <w:b/>
                <w:lang w:val="fr-FR"/>
              </w:rPr>
            </w:pPr>
            <w:r w:rsidRPr="00A420A7">
              <w:rPr>
                <w:b/>
                <w:lang w:val="fr-FR"/>
              </w:rPr>
              <w:t>Indicateur  2.1.1 :</w:t>
            </w:r>
            <w:r w:rsidRPr="00A420A7">
              <w:rPr>
                <w:lang w:val="fr-FR"/>
              </w:rPr>
              <w:t xml:space="preserve"> L’information circule entre les producteurs et les utilisateurs </w:t>
            </w:r>
            <w:r w:rsidRPr="00A420A7">
              <w:rPr>
                <w:lang w:val="fr-FR"/>
              </w:rPr>
              <w:lastRenderedPageBreak/>
              <w:t>d’information.</w:t>
            </w:r>
          </w:p>
          <w:p w:rsidR="00784899" w:rsidRPr="00A420A7" w:rsidRDefault="00784899" w:rsidP="00441F3D">
            <w:pPr>
              <w:rPr>
                <w:b/>
                <w:lang w:val="fr-FR"/>
              </w:rPr>
            </w:pPr>
            <w:r w:rsidRPr="00A420A7">
              <w:rPr>
                <w:b/>
                <w:lang w:val="fr-FR"/>
              </w:rPr>
              <w:t xml:space="preserve">Indicateur de référence: </w:t>
            </w:r>
            <w:r w:rsidRPr="00A420A7">
              <w:rPr>
                <w:lang w:val="fr-FR"/>
              </w:rPr>
              <w:t>L’information est collectée en fonction des besoins spécifiques de chaque agence et n’est pas partagée.</w:t>
            </w:r>
          </w:p>
          <w:p w:rsidR="00784899" w:rsidRPr="00A420A7" w:rsidRDefault="00784899" w:rsidP="00441F3D">
            <w:pPr>
              <w:rPr>
                <w:lang w:val="fr-FR"/>
              </w:rPr>
            </w:pPr>
          </w:p>
          <w:p w:rsidR="00784899" w:rsidRPr="00A420A7" w:rsidRDefault="00784899" w:rsidP="00441F3D">
            <w:pPr>
              <w:pStyle w:val="BodyText"/>
              <w:jc w:val="both"/>
              <w:rPr>
                <w:rFonts w:ascii="Times New Roman" w:hAnsi="Times New Roman" w:cs="Times New Roman"/>
                <w:bCs/>
                <w:sz w:val="24"/>
                <w:szCs w:val="24"/>
                <w:lang w:val="fr-FR"/>
              </w:rPr>
            </w:pPr>
            <w:r w:rsidRPr="00A420A7">
              <w:rPr>
                <w:rFonts w:ascii="Times New Roman" w:hAnsi="Times New Roman" w:cs="Times New Roman"/>
                <w:b/>
                <w:sz w:val="24"/>
                <w:szCs w:val="24"/>
                <w:lang w:val="fr-FR"/>
              </w:rPr>
              <w:t>Indicateur cible:</w:t>
            </w:r>
            <w:r w:rsidRPr="00A420A7">
              <w:rPr>
                <w:rFonts w:ascii="Times New Roman" w:hAnsi="Times New Roman" w:cs="Times New Roman"/>
                <w:sz w:val="24"/>
                <w:szCs w:val="24"/>
                <w:lang w:val="fr-FR"/>
              </w:rPr>
              <w:t xml:space="preserve"> Toutes les agences produisant de l’information contribuent à alimenter le SILQ. Les agences ayant des besoins d’information connaissent les possibilités offertes par le SILQ</w:t>
            </w:r>
            <w:r w:rsidRPr="00A420A7">
              <w:rPr>
                <w:rFonts w:ascii="Times New Roman" w:hAnsi="Times New Roman" w:cs="Times New Roman"/>
                <w:bCs/>
                <w:sz w:val="24"/>
                <w:szCs w:val="24"/>
                <w:lang w:val="fr-FR"/>
              </w:rPr>
              <w:t xml:space="preserve"> </w:t>
            </w:r>
          </w:p>
          <w:p w:rsidR="00784899" w:rsidRPr="00E3532D" w:rsidRDefault="00784899" w:rsidP="00441F3D">
            <w:pPr>
              <w:pStyle w:val="BodyText"/>
              <w:jc w:val="both"/>
              <w:rPr>
                <w:rFonts w:ascii="Times New Roman" w:hAnsi="Times New Roman"/>
                <w:bCs/>
                <w:sz w:val="24"/>
                <w:lang w:val="fr-FR"/>
              </w:rPr>
            </w:pPr>
          </w:p>
        </w:tc>
        <w:tc>
          <w:tcPr>
            <w:tcW w:w="3745" w:type="dxa"/>
            <w:shd w:val="clear" w:color="auto" w:fill="auto"/>
          </w:tcPr>
          <w:p w:rsidR="00A420A7" w:rsidRDefault="00A420A7" w:rsidP="00441F3D">
            <w:pPr>
              <w:pStyle w:val="BodyText"/>
              <w:jc w:val="both"/>
              <w:rPr>
                <w:rFonts w:ascii="Times New Roman" w:hAnsi="Times New Roman"/>
                <w:bCs/>
                <w:sz w:val="24"/>
                <w:lang w:val="fr-FR"/>
              </w:rPr>
            </w:pPr>
          </w:p>
          <w:p w:rsidR="00A420A7" w:rsidRDefault="00A420A7" w:rsidP="00441F3D">
            <w:pPr>
              <w:pStyle w:val="BodyText"/>
              <w:jc w:val="both"/>
              <w:rPr>
                <w:rFonts w:ascii="Times New Roman" w:hAnsi="Times New Roman"/>
                <w:bCs/>
                <w:sz w:val="24"/>
                <w:lang w:val="fr-FR"/>
              </w:rPr>
            </w:pPr>
          </w:p>
          <w:p w:rsidR="00A420A7" w:rsidRDefault="00A420A7" w:rsidP="00441F3D">
            <w:pPr>
              <w:pStyle w:val="BodyText"/>
              <w:jc w:val="both"/>
              <w:rPr>
                <w:rFonts w:ascii="Times New Roman" w:hAnsi="Times New Roman"/>
                <w:bCs/>
                <w:sz w:val="24"/>
                <w:lang w:val="fr-FR"/>
              </w:rPr>
            </w:pPr>
          </w:p>
          <w:p w:rsidR="00A420A7" w:rsidRDefault="00A420A7" w:rsidP="00441F3D">
            <w:pPr>
              <w:pStyle w:val="BodyText"/>
              <w:jc w:val="both"/>
              <w:rPr>
                <w:rFonts w:ascii="Times New Roman" w:hAnsi="Times New Roman"/>
                <w:bCs/>
                <w:sz w:val="24"/>
                <w:lang w:val="fr-FR"/>
              </w:rPr>
            </w:pPr>
          </w:p>
          <w:p w:rsidR="00784899" w:rsidRDefault="00784899" w:rsidP="00441F3D">
            <w:pPr>
              <w:pStyle w:val="BodyText"/>
              <w:jc w:val="both"/>
              <w:rPr>
                <w:rFonts w:ascii="Times New Roman" w:hAnsi="Times New Roman"/>
                <w:bCs/>
                <w:sz w:val="24"/>
                <w:lang w:val="fr-FR"/>
              </w:rPr>
            </w:pPr>
            <w:r>
              <w:rPr>
                <w:rFonts w:ascii="Times New Roman" w:hAnsi="Times New Roman"/>
                <w:bCs/>
                <w:sz w:val="24"/>
                <w:lang w:val="fr-FR"/>
              </w:rPr>
              <w:t xml:space="preserve">Utilisateurs du réseau identifies mais pas encore tout </w:t>
            </w:r>
            <w:r w:rsidR="00A420A7">
              <w:rPr>
                <w:rFonts w:ascii="Times New Roman" w:hAnsi="Times New Roman"/>
                <w:bCs/>
                <w:sz w:val="24"/>
                <w:lang w:val="fr-FR"/>
              </w:rPr>
              <w:t xml:space="preserve">à fait </w:t>
            </w:r>
            <w:r w:rsidR="00A420A7">
              <w:rPr>
                <w:rFonts w:ascii="Times New Roman" w:hAnsi="Times New Roman"/>
                <w:bCs/>
                <w:sz w:val="24"/>
                <w:lang w:val="fr-FR"/>
              </w:rPr>
              <w:lastRenderedPageBreak/>
              <w:t>sensibilisés à l’</w:t>
            </w:r>
            <w:r>
              <w:rPr>
                <w:rFonts w:ascii="Times New Roman" w:hAnsi="Times New Roman"/>
                <w:bCs/>
                <w:sz w:val="24"/>
                <w:lang w:val="fr-FR"/>
              </w:rPr>
              <w:t>usage de la plateforme</w:t>
            </w:r>
            <w:r w:rsidR="00A420A7">
              <w:rPr>
                <w:rFonts w:ascii="Times New Roman" w:hAnsi="Times New Roman"/>
                <w:bCs/>
                <w:sz w:val="24"/>
                <w:lang w:val="fr-FR"/>
              </w:rPr>
              <w:t>.</w:t>
            </w:r>
          </w:p>
          <w:p w:rsidR="00A420A7" w:rsidRDefault="00A420A7" w:rsidP="00441F3D">
            <w:pPr>
              <w:pStyle w:val="BodyText"/>
              <w:jc w:val="both"/>
              <w:rPr>
                <w:rFonts w:ascii="Times New Roman" w:hAnsi="Times New Roman"/>
                <w:bCs/>
                <w:sz w:val="24"/>
                <w:lang w:val="fr-FR"/>
              </w:rPr>
            </w:pPr>
          </w:p>
          <w:p w:rsidR="00784899" w:rsidRPr="00E3532D" w:rsidRDefault="00784899" w:rsidP="00A420A7">
            <w:pPr>
              <w:pStyle w:val="BodyText"/>
              <w:jc w:val="both"/>
              <w:rPr>
                <w:rFonts w:ascii="Times New Roman" w:hAnsi="Times New Roman"/>
                <w:bCs/>
                <w:sz w:val="24"/>
                <w:lang w:val="fr-FR"/>
              </w:rPr>
            </w:pPr>
            <w:r>
              <w:rPr>
                <w:rFonts w:ascii="Times New Roman" w:hAnsi="Times New Roman"/>
                <w:bCs/>
                <w:sz w:val="24"/>
                <w:lang w:val="fr-FR"/>
              </w:rPr>
              <w:t xml:space="preserve">L’UCLBP est l’agence la plus </w:t>
            </w:r>
            <w:r w:rsidR="00A420A7">
              <w:rPr>
                <w:rFonts w:ascii="Times New Roman" w:hAnsi="Times New Roman"/>
                <w:bCs/>
                <w:sz w:val="24"/>
                <w:lang w:val="fr-FR"/>
              </w:rPr>
              <w:t>impliquée</w:t>
            </w:r>
            <w:r>
              <w:rPr>
                <w:rFonts w:ascii="Times New Roman" w:hAnsi="Times New Roman"/>
                <w:bCs/>
                <w:sz w:val="24"/>
                <w:lang w:val="fr-FR"/>
              </w:rPr>
              <w:t xml:space="preserve"> pour le moment et fait un travail d’intermédiaire entre le SILQ et les </w:t>
            </w:r>
            <w:r w:rsidR="00A420A7">
              <w:rPr>
                <w:rFonts w:ascii="Times New Roman" w:hAnsi="Times New Roman"/>
                <w:bCs/>
                <w:sz w:val="24"/>
                <w:lang w:val="fr-FR"/>
              </w:rPr>
              <w:t>différents</w:t>
            </w:r>
            <w:r>
              <w:rPr>
                <w:rFonts w:ascii="Times New Roman" w:hAnsi="Times New Roman"/>
                <w:bCs/>
                <w:sz w:val="24"/>
                <w:lang w:val="fr-FR"/>
              </w:rPr>
              <w:t xml:space="preserve"> acteurs partenaires de l’UCLBP notamment (</w:t>
            </w:r>
            <w:proofErr w:type="spellStart"/>
            <w:r>
              <w:rPr>
                <w:rFonts w:ascii="Times New Roman" w:hAnsi="Times New Roman"/>
                <w:bCs/>
                <w:sz w:val="24"/>
                <w:lang w:val="fr-FR"/>
              </w:rPr>
              <w:t>Build</w:t>
            </w:r>
            <w:proofErr w:type="spellEnd"/>
            <w:r>
              <w:rPr>
                <w:rFonts w:ascii="Times New Roman" w:hAnsi="Times New Roman"/>
                <w:bCs/>
                <w:sz w:val="24"/>
                <w:lang w:val="fr-FR"/>
              </w:rPr>
              <w:t xml:space="preserve"> Change,</w:t>
            </w:r>
            <w:r w:rsidR="00A420A7">
              <w:rPr>
                <w:rFonts w:ascii="Times New Roman" w:hAnsi="Times New Roman"/>
                <w:bCs/>
                <w:sz w:val="24"/>
                <w:lang w:val="fr-FR"/>
              </w:rPr>
              <w:t xml:space="preserve"> DINEPA, Croix-R</w:t>
            </w:r>
            <w:r>
              <w:rPr>
                <w:rFonts w:ascii="Times New Roman" w:hAnsi="Times New Roman"/>
                <w:bCs/>
                <w:sz w:val="24"/>
                <w:lang w:val="fr-FR"/>
              </w:rPr>
              <w:t>ouge,</w:t>
            </w:r>
            <w:r w:rsidR="00A420A7">
              <w:rPr>
                <w:rFonts w:ascii="Times New Roman" w:hAnsi="Times New Roman"/>
                <w:bCs/>
                <w:sz w:val="24"/>
                <w:lang w:val="fr-FR"/>
              </w:rPr>
              <w:t xml:space="preserve"> COOPI</w:t>
            </w:r>
            <w:r>
              <w:rPr>
                <w:rFonts w:ascii="Times New Roman" w:hAnsi="Times New Roman"/>
                <w:bCs/>
                <w:sz w:val="24"/>
                <w:lang w:val="fr-FR"/>
              </w:rPr>
              <w:t>,</w:t>
            </w:r>
            <w:r w:rsidR="00A420A7">
              <w:rPr>
                <w:rFonts w:ascii="Times New Roman" w:hAnsi="Times New Roman"/>
                <w:bCs/>
                <w:sz w:val="24"/>
                <w:lang w:val="fr-FR"/>
              </w:rPr>
              <w:t xml:space="preserve"> </w:t>
            </w:r>
            <w:r>
              <w:rPr>
                <w:rFonts w:ascii="Times New Roman" w:hAnsi="Times New Roman"/>
                <w:bCs/>
                <w:sz w:val="24"/>
                <w:lang w:val="fr-FR"/>
              </w:rPr>
              <w:t xml:space="preserve">Architecture for </w:t>
            </w:r>
            <w:proofErr w:type="spellStart"/>
            <w:r w:rsidR="00A420A7">
              <w:rPr>
                <w:rFonts w:ascii="Times New Roman" w:hAnsi="Times New Roman"/>
                <w:bCs/>
                <w:sz w:val="24"/>
                <w:lang w:val="fr-FR"/>
              </w:rPr>
              <w:t>H</w:t>
            </w:r>
            <w:r>
              <w:rPr>
                <w:rFonts w:ascii="Times New Roman" w:hAnsi="Times New Roman"/>
                <w:bCs/>
                <w:sz w:val="24"/>
                <w:lang w:val="fr-FR"/>
              </w:rPr>
              <w:t>umanity</w:t>
            </w:r>
            <w:proofErr w:type="spellEnd"/>
            <w:r>
              <w:rPr>
                <w:rFonts w:ascii="Times New Roman" w:hAnsi="Times New Roman"/>
                <w:bCs/>
                <w:sz w:val="24"/>
                <w:lang w:val="fr-FR"/>
              </w:rPr>
              <w:t>)</w:t>
            </w:r>
          </w:p>
        </w:tc>
        <w:tc>
          <w:tcPr>
            <w:tcW w:w="3960" w:type="dxa"/>
            <w:shd w:val="clear" w:color="auto" w:fill="auto"/>
          </w:tcPr>
          <w:p w:rsidR="00A420A7" w:rsidRDefault="00A420A7" w:rsidP="00441F3D">
            <w:pPr>
              <w:pStyle w:val="BodyText"/>
              <w:jc w:val="both"/>
              <w:rPr>
                <w:rFonts w:ascii="Times New Roman" w:hAnsi="Times New Roman"/>
                <w:bCs/>
                <w:sz w:val="24"/>
                <w:lang w:val="fr-FR"/>
              </w:rPr>
            </w:pPr>
          </w:p>
          <w:p w:rsidR="00A420A7" w:rsidRDefault="00A420A7" w:rsidP="00441F3D">
            <w:pPr>
              <w:pStyle w:val="BodyText"/>
              <w:jc w:val="both"/>
              <w:rPr>
                <w:rFonts w:ascii="Times New Roman" w:hAnsi="Times New Roman"/>
                <w:bCs/>
                <w:sz w:val="24"/>
                <w:lang w:val="fr-FR"/>
              </w:rPr>
            </w:pPr>
          </w:p>
          <w:p w:rsidR="00A420A7" w:rsidRDefault="00A420A7" w:rsidP="00441F3D">
            <w:pPr>
              <w:pStyle w:val="BodyText"/>
              <w:jc w:val="both"/>
              <w:rPr>
                <w:rFonts w:ascii="Times New Roman" w:hAnsi="Times New Roman"/>
                <w:bCs/>
                <w:sz w:val="24"/>
                <w:lang w:val="fr-FR"/>
              </w:rPr>
            </w:pPr>
          </w:p>
          <w:p w:rsidR="00A420A7" w:rsidRDefault="00A420A7" w:rsidP="00441F3D">
            <w:pPr>
              <w:pStyle w:val="BodyText"/>
              <w:jc w:val="both"/>
              <w:rPr>
                <w:rFonts w:ascii="Times New Roman" w:hAnsi="Times New Roman"/>
                <w:bCs/>
                <w:sz w:val="24"/>
                <w:lang w:val="fr-FR"/>
              </w:rPr>
            </w:pPr>
          </w:p>
          <w:p w:rsidR="00784899" w:rsidRDefault="00784899" w:rsidP="00441F3D">
            <w:pPr>
              <w:pStyle w:val="BodyText"/>
              <w:jc w:val="both"/>
              <w:rPr>
                <w:rFonts w:ascii="Times New Roman" w:hAnsi="Times New Roman"/>
                <w:bCs/>
                <w:sz w:val="24"/>
                <w:lang w:val="fr-FR"/>
              </w:rPr>
            </w:pPr>
            <w:r>
              <w:rPr>
                <w:rFonts w:ascii="Times New Roman" w:hAnsi="Times New Roman"/>
                <w:bCs/>
                <w:sz w:val="24"/>
                <w:lang w:val="fr-FR"/>
              </w:rPr>
              <w:t xml:space="preserve">Retard dans la mise en place effective du </w:t>
            </w:r>
            <w:r w:rsidR="00A420A7">
              <w:rPr>
                <w:rFonts w:ascii="Times New Roman" w:hAnsi="Times New Roman"/>
                <w:bCs/>
                <w:sz w:val="24"/>
                <w:lang w:val="fr-FR"/>
              </w:rPr>
              <w:t>réseau</w:t>
            </w:r>
            <w:r>
              <w:rPr>
                <w:rFonts w:ascii="Times New Roman" w:hAnsi="Times New Roman"/>
                <w:bCs/>
                <w:sz w:val="24"/>
                <w:lang w:val="fr-FR"/>
              </w:rPr>
              <w:t xml:space="preserve"> </w:t>
            </w:r>
            <w:r w:rsidR="00A420A7">
              <w:rPr>
                <w:rFonts w:ascii="Times New Roman" w:hAnsi="Times New Roman"/>
                <w:bCs/>
                <w:sz w:val="24"/>
                <w:lang w:val="fr-FR"/>
              </w:rPr>
              <w:t>étant</w:t>
            </w:r>
            <w:r>
              <w:rPr>
                <w:rFonts w:ascii="Times New Roman" w:hAnsi="Times New Roman"/>
                <w:bCs/>
                <w:sz w:val="24"/>
                <w:lang w:val="fr-FR"/>
              </w:rPr>
              <w:t xml:space="preserve"> </w:t>
            </w:r>
            <w:r w:rsidR="00A420A7">
              <w:rPr>
                <w:rFonts w:ascii="Times New Roman" w:hAnsi="Times New Roman"/>
                <w:bCs/>
                <w:sz w:val="24"/>
                <w:lang w:val="fr-FR"/>
              </w:rPr>
              <w:t xml:space="preserve">donné que la </w:t>
            </w:r>
            <w:r w:rsidR="00A420A7">
              <w:rPr>
                <w:rFonts w:ascii="Times New Roman" w:hAnsi="Times New Roman"/>
                <w:bCs/>
                <w:sz w:val="24"/>
                <w:lang w:val="fr-FR"/>
              </w:rPr>
              <w:lastRenderedPageBreak/>
              <w:t>plateforme n’</w:t>
            </w:r>
            <w:r>
              <w:rPr>
                <w:rFonts w:ascii="Times New Roman" w:hAnsi="Times New Roman"/>
                <w:bCs/>
                <w:sz w:val="24"/>
                <w:lang w:val="fr-FR"/>
              </w:rPr>
              <w:t>était pas encore en ligne.</w:t>
            </w:r>
            <w:r w:rsidR="00A420A7">
              <w:rPr>
                <w:rFonts w:ascii="Times New Roman" w:hAnsi="Times New Roman"/>
                <w:bCs/>
                <w:sz w:val="24"/>
                <w:lang w:val="fr-FR"/>
              </w:rPr>
              <w:t xml:space="preserve"> </w:t>
            </w:r>
            <w:r>
              <w:rPr>
                <w:rFonts w:ascii="Times New Roman" w:hAnsi="Times New Roman"/>
                <w:bCs/>
                <w:sz w:val="24"/>
                <w:lang w:val="fr-FR"/>
              </w:rPr>
              <w:t xml:space="preserve">Donc tous les acteurs ne connaissent pas encore la </w:t>
            </w:r>
            <w:r w:rsidR="00A420A7">
              <w:rPr>
                <w:rFonts w:ascii="Times New Roman" w:hAnsi="Times New Roman"/>
                <w:bCs/>
                <w:sz w:val="24"/>
                <w:lang w:val="fr-FR"/>
              </w:rPr>
              <w:t>plateforme.</w:t>
            </w:r>
          </w:p>
          <w:p w:rsidR="00A420A7" w:rsidRDefault="00A420A7" w:rsidP="00441F3D">
            <w:pPr>
              <w:pStyle w:val="BodyText"/>
              <w:jc w:val="both"/>
              <w:rPr>
                <w:rFonts w:ascii="Times New Roman" w:hAnsi="Times New Roman"/>
                <w:bCs/>
                <w:sz w:val="24"/>
                <w:lang w:val="fr-FR"/>
              </w:rPr>
            </w:pPr>
          </w:p>
          <w:p w:rsidR="00784899" w:rsidRPr="00E3532D" w:rsidRDefault="00784899" w:rsidP="00441F3D">
            <w:pPr>
              <w:pStyle w:val="BodyText"/>
              <w:jc w:val="both"/>
              <w:rPr>
                <w:rFonts w:ascii="Times New Roman" w:hAnsi="Times New Roman"/>
                <w:bCs/>
                <w:sz w:val="24"/>
                <w:lang w:val="fr-FR"/>
              </w:rPr>
            </w:pPr>
            <w:r>
              <w:rPr>
                <w:rFonts w:ascii="Times New Roman" w:hAnsi="Times New Roman"/>
                <w:bCs/>
                <w:sz w:val="24"/>
                <w:lang w:val="fr-FR"/>
              </w:rPr>
              <w:t>La mise en ligne a été effectuée au cours du dernier trimestre de l’</w:t>
            </w:r>
            <w:r w:rsidR="00A420A7">
              <w:rPr>
                <w:rFonts w:ascii="Times New Roman" w:hAnsi="Times New Roman"/>
                <w:bCs/>
                <w:sz w:val="24"/>
                <w:lang w:val="fr-FR"/>
              </w:rPr>
              <w:t>année</w:t>
            </w:r>
            <w:r>
              <w:rPr>
                <w:rFonts w:ascii="Times New Roman" w:hAnsi="Times New Roman"/>
                <w:bCs/>
                <w:sz w:val="24"/>
                <w:lang w:val="fr-FR"/>
              </w:rPr>
              <w:t xml:space="preserve"> 2013 et </w:t>
            </w:r>
            <w:r w:rsidR="00A420A7">
              <w:rPr>
                <w:rFonts w:ascii="Times New Roman" w:hAnsi="Times New Roman"/>
                <w:bCs/>
                <w:sz w:val="24"/>
                <w:lang w:val="fr-FR"/>
              </w:rPr>
              <w:t>à</w:t>
            </w:r>
            <w:r>
              <w:rPr>
                <w:rFonts w:ascii="Times New Roman" w:hAnsi="Times New Roman"/>
                <w:bCs/>
                <w:sz w:val="24"/>
                <w:lang w:val="fr-FR"/>
              </w:rPr>
              <w:t xml:space="preserve"> partir de </w:t>
            </w:r>
            <w:r w:rsidR="00A420A7">
              <w:rPr>
                <w:rFonts w:ascii="Times New Roman" w:hAnsi="Times New Roman"/>
                <w:bCs/>
                <w:sz w:val="24"/>
                <w:lang w:val="fr-FR"/>
              </w:rPr>
              <w:t>là</w:t>
            </w:r>
            <w:r>
              <w:rPr>
                <w:rFonts w:ascii="Times New Roman" w:hAnsi="Times New Roman"/>
                <w:bCs/>
                <w:sz w:val="24"/>
                <w:lang w:val="fr-FR"/>
              </w:rPr>
              <w:t xml:space="preserve"> un travail de sensibilisation et d’animation du </w:t>
            </w:r>
            <w:r w:rsidR="00A420A7">
              <w:rPr>
                <w:rFonts w:ascii="Times New Roman" w:hAnsi="Times New Roman"/>
                <w:bCs/>
                <w:sz w:val="24"/>
                <w:lang w:val="fr-FR"/>
              </w:rPr>
              <w:t>réseau</w:t>
            </w:r>
            <w:r>
              <w:rPr>
                <w:rFonts w:ascii="Times New Roman" w:hAnsi="Times New Roman"/>
                <w:bCs/>
                <w:sz w:val="24"/>
                <w:lang w:val="fr-FR"/>
              </w:rPr>
              <w:t xml:space="preserve"> sera </w:t>
            </w:r>
            <w:proofErr w:type="gramStart"/>
            <w:r>
              <w:rPr>
                <w:rFonts w:ascii="Times New Roman" w:hAnsi="Times New Roman"/>
                <w:bCs/>
                <w:sz w:val="24"/>
                <w:lang w:val="fr-FR"/>
              </w:rPr>
              <w:t xml:space="preserve">effectif </w:t>
            </w:r>
            <w:r w:rsidR="00A420A7">
              <w:rPr>
                <w:rFonts w:ascii="Times New Roman" w:hAnsi="Times New Roman"/>
                <w:bCs/>
                <w:sz w:val="24"/>
                <w:lang w:val="fr-FR"/>
              </w:rPr>
              <w:t>.</w:t>
            </w:r>
            <w:proofErr w:type="gramEnd"/>
          </w:p>
        </w:tc>
        <w:tc>
          <w:tcPr>
            <w:tcW w:w="3150" w:type="dxa"/>
            <w:shd w:val="clear" w:color="auto" w:fill="auto"/>
          </w:tcPr>
          <w:p w:rsidR="00A420A7" w:rsidRDefault="00A420A7" w:rsidP="00441F3D">
            <w:pPr>
              <w:pStyle w:val="BodyText"/>
              <w:jc w:val="both"/>
              <w:rPr>
                <w:rFonts w:ascii="Times New Roman" w:hAnsi="Times New Roman" w:cs="Times New Roman"/>
                <w:bCs/>
                <w:sz w:val="24"/>
                <w:szCs w:val="24"/>
                <w:lang w:val="fr-FR"/>
              </w:rPr>
            </w:pPr>
          </w:p>
          <w:p w:rsidR="00A420A7" w:rsidRDefault="00A420A7" w:rsidP="00441F3D">
            <w:pPr>
              <w:pStyle w:val="BodyText"/>
              <w:jc w:val="both"/>
              <w:rPr>
                <w:rFonts w:ascii="Times New Roman" w:hAnsi="Times New Roman" w:cs="Times New Roman"/>
                <w:bCs/>
                <w:sz w:val="24"/>
                <w:szCs w:val="24"/>
                <w:lang w:val="fr-FR"/>
              </w:rPr>
            </w:pPr>
          </w:p>
          <w:p w:rsidR="00A420A7" w:rsidRDefault="00A420A7" w:rsidP="00441F3D">
            <w:pPr>
              <w:pStyle w:val="BodyText"/>
              <w:jc w:val="both"/>
              <w:rPr>
                <w:rFonts w:ascii="Times New Roman" w:hAnsi="Times New Roman" w:cs="Times New Roman"/>
                <w:bCs/>
                <w:sz w:val="24"/>
                <w:szCs w:val="24"/>
                <w:lang w:val="fr-FR"/>
              </w:rPr>
            </w:pPr>
          </w:p>
          <w:p w:rsidR="00A420A7" w:rsidRDefault="00A420A7" w:rsidP="00441F3D">
            <w:pPr>
              <w:pStyle w:val="BodyText"/>
              <w:jc w:val="both"/>
              <w:rPr>
                <w:rFonts w:ascii="Times New Roman" w:hAnsi="Times New Roman" w:cs="Times New Roman"/>
                <w:bCs/>
                <w:sz w:val="24"/>
                <w:szCs w:val="24"/>
                <w:lang w:val="fr-FR"/>
              </w:rPr>
            </w:pPr>
          </w:p>
          <w:p w:rsidR="00784899" w:rsidRPr="00E3532D" w:rsidRDefault="00784899" w:rsidP="00441F3D">
            <w:pPr>
              <w:pStyle w:val="BodyText"/>
              <w:jc w:val="both"/>
              <w:rPr>
                <w:rFonts w:ascii="Times New Roman" w:hAnsi="Times New Roman"/>
                <w:bCs/>
                <w:sz w:val="24"/>
                <w:lang w:val="fr-FR"/>
              </w:rPr>
            </w:pPr>
            <w:r>
              <w:rPr>
                <w:rFonts w:ascii="Times New Roman" w:hAnsi="Times New Roman" w:cs="Times New Roman"/>
                <w:bCs/>
                <w:sz w:val="24"/>
                <w:szCs w:val="24"/>
                <w:lang w:val="fr-FR"/>
              </w:rPr>
              <w:t xml:space="preserve">Base de </w:t>
            </w:r>
            <w:r w:rsidR="00A420A7">
              <w:rPr>
                <w:rFonts w:ascii="Times New Roman" w:hAnsi="Times New Roman" w:cs="Times New Roman"/>
                <w:bCs/>
                <w:sz w:val="24"/>
                <w:szCs w:val="24"/>
                <w:lang w:val="fr-FR"/>
              </w:rPr>
              <w:t>données</w:t>
            </w:r>
            <w:r>
              <w:rPr>
                <w:rFonts w:ascii="Times New Roman" w:hAnsi="Times New Roman" w:cs="Times New Roman"/>
                <w:bCs/>
                <w:sz w:val="24"/>
                <w:szCs w:val="24"/>
                <w:lang w:val="fr-FR"/>
              </w:rPr>
              <w:t xml:space="preserve"> des utilisateurs et des producteurs </w:t>
            </w:r>
            <w:r>
              <w:rPr>
                <w:rFonts w:ascii="Times New Roman" w:hAnsi="Times New Roman" w:cs="Times New Roman"/>
                <w:bCs/>
                <w:sz w:val="24"/>
                <w:szCs w:val="24"/>
                <w:lang w:val="fr-FR"/>
              </w:rPr>
              <w:lastRenderedPageBreak/>
              <w:t xml:space="preserve">de </w:t>
            </w:r>
            <w:r w:rsidR="00A420A7">
              <w:rPr>
                <w:rFonts w:ascii="Times New Roman" w:hAnsi="Times New Roman" w:cs="Times New Roman"/>
                <w:bCs/>
                <w:sz w:val="24"/>
                <w:szCs w:val="24"/>
                <w:lang w:val="fr-FR"/>
              </w:rPr>
              <w:t>données</w:t>
            </w:r>
            <w:r>
              <w:rPr>
                <w:rFonts w:ascii="Times New Roman" w:hAnsi="Times New Roman" w:cs="Times New Roman"/>
                <w:bCs/>
                <w:sz w:val="24"/>
                <w:szCs w:val="24"/>
                <w:lang w:val="fr-FR"/>
              </w:rPr>
              <w:t xml:space="preserve"> du SILQ a été </w:t>
            </w:r>
            <w:r w:rsidR="00A420A7">
              <w:rPr>
                <w:rFonts w:ascii="Times New Roman" w:hAnsi="Times New Roman" w:cs="Times New Roman"/>
                <w:bCs/>
                <w:sz w:val="24"/>
                <w:szCs w:val="24"/>
                <w:lang w:val="fr-FR"/>
              </w:rPr>
              <w:t>constituée.</w:t>
            </w:r>
          </w:p>
        </w:tc>
      </w:tr>
      <w:tr w:rsidR="00784899" w:rsidRPr="00C122A6" w:rsidTr="00441F3D">
        <w:trPr>
          <w:trHeight w:val="1353"/>
        </w:trPr>
        <w:tc>
          <w:tcPr>
            <w:tcW w:w="4265" w:type="dxa"/>
            <w:shd w:val="clear" w:color="auto" w:fill="auto"/>
          </w:tcPr>
          <w:p w:rsidR="00784899" w:rsidRDefault="00784899" w:rsidP="00441F3D">
            <w:pPr>
              <w:rPr>
                <w:lang w:val="fr-FR" w:eastAsia="fr-FR"/>
              </w:rPr>
            </w:pPr>
            <w:r w:rsidRPr="00E15B9B">
              <w:rPr>
                <w:b/>
                <w:lang w:val="fr-FR"/>
              </w:rPr>
              <w:lastRenderedPageBreak/>
              <w:t>Produit 2.2 :</w:t>
            </w:r>
            <w:r w:rsidRPr="00E15B9B">
              <w:rPr>
                <w:lang w:val="fr-FR" w:eastAsia="fr-FR"/>
              </w:rPr>
              <w:t xml:space="preserve"> Les besoins et exigences sont identifiés.</w:t>
            </w:r>
          </w:p>
          <w:p w:rsidR="00A420A7" w:rsidRPr="00E15B9B" w:rsidRDefault="00A420A7" w:rsidP="00441F3D">
            <w:pPr>
              <w:rPr>
                <w:lang w:val="fr-FR" w:eastAsia="fr-FR"/>
              </w:rPr>
            </w:pPr>
          </w:p>
          <w:p w:rsidR="00784899" w:rsidRPr="00E15B9B" w:rsidRDefault="00784899" w:rsidP="00441F3D">
            <w:pPr>
              <w:rPr>
                <w:b/>
                <w:lang w:val="fr-FR"/>
              </w:rPr>
            </w:pPr>
            <w:r w:rsidRPr="00E15B9B">
              <w:rPr>
                <w:b/>
                <w:lang w:val="fr-FR"/>
              </w:rPr>
              <w:t>Indicateur  2.2.1 :</w:t>
            </w:r>
            <w:r w:rsidRPr="00E15B9B">
              <w:rPr>
                <w:lang w:val="fr-FR"/>
              </w:rPr>
              <w:t xml:space="preserve"> Le système répond aux exigences et aux besoins.</w:t>
            </w:r>
          </w:p>
          <w:p w:rsidR="00784899" w:rsidRPr="00E15B9B" w:rsidRDefault="00784899" w:rsidP="00441F3D">
            <w:pPr>
              <w:rPr>
                <w:b/>
                <w:lang w:val="fr-FR"/>
              </w:rPr>
            </w:pPr>
            <w:r w:rsidRPr="00E15B9B">
              <w:rPr>
                <w:b/>
                <w:lang w:val="fr-FR"/>
              </w:rPr>
              <w:t xml:space="preserve">Indicateur de référence: </w:t>
            </w:r>
            <w:r w:rsidRPr="00E15B9B">
              <w:rPr>
                <w:lang w:val="fr-FR"/>
              </w:rPr>
              <w:t xml:space="preserve">Les besoins en produits d’information pour la reconstruction ne sont pas définis. </w:t>
            </w:r>
          </w:p>
          <w:p w:rsidR="00784899" w:rsidRDefault="00784899" w:rsidP="00441F3D">
            <w:pPr>
              <w:rPr>
                <w:rFonts w:cs="Calibri"/>
                <w:lang w:val="fr-FR" w:eastAsia="fr-FR"/>
              </w:rPr>
            </w:pPr>
            <w:r w:rsidRPr="00E15B9B">
              <w:rPr>
                <w:b/>
                <w:lang w:val="fr-FR"/>
              </w:rPr>
              <w:t>Indicateur cible:</w:t>
            </w:r>
            <w:r w:rsidRPr="00E15B9B">
              <w:rPr>
                <w:rFonts w:cs="Calibri"/>
                <w:lang w:val="fr-FR" w:eastAsia="fr-FR"/>
              </w:rPr>
              <w:t xml:space="preserve"> L’équipe  de conception et de développement est mise en place. Les fonctionnalités de la base de données sont bien identifiées. Le choix de l’architecture du système est arrêté.</w:t>
            </w:r>
            <w:r>
              <w:rPr>
                <w:rFonts w:cs="Calibri"/>
                <w:lang w:val="fr-FR" w:eastAsia="fr-FR"/>
              </w:rPr>
              <w:t xml:space="preserve"> </w:t>
            </w:r>
          </w:p>
          <w:p w:rsidR="00784899" w:rsidRPr="00E3532D" w:rsidRDefault="00784899" w:rsidP="00441F3D">
            <w:pPr>
              <w:pStyle w:val="BodyText"/>
              <w:jc w:val="both"/>
              <w:rPr>
                <w:rFonts w:ascii="Times New Roman" w:hAnsi="Times New Roman"/>
                <w:bCs/>
                <w:sz w:val="24"/>
                <w:lang w:val="fr-FR"/>
              </w:rPr>
            </w:pPr>
          </w:p>
          <w:p w:rsidR="00784899" w:rsidRPr="00E3532D" w:rsidRDefault="00784899" w:rsidP="00441F3D">
            <w:pPr>
              <w:pStyle w:val="BodyText"/>
              <w:jc w:val="both"/>
              <w:rPr>
                <w:rFonts w:ascii="Times New Roman" w:hAnsi="Times New Roman"/>
                <w:bCs/>
                <w:sz w:val="24"/>
                <w:lang w:val="fr-FR"/>
              </w:rPr>
            </w:pPr>
          </w:p>
          <w:p w:rsidR="00784899" w:rsidRPr="00E3532D" w:rsidRDefault="00784899" w:rsidP="00441F3D">
            <w:pPr>
              <w:pStyle w:val="BodyText"/>
              <w:jc w:val="both"/>
              <w:rPr>
                <w:rFonts w:ascii="Times New Roman" w:hAnsi="Times New Roman"/>
                <w:bCs/>
                <w:sz w:val="24"/>
                <w:lang w:val="fr-FR"/>
              </w:rPr>
            </w:pPr>
          </w:p>
        </w:tc>
        <w:tc>
          <w:tcPr>
            <w:tcW w:w="3745" w:type="dxa"/>
            <w:shd w:val="clear" w:color="auto" w:fill="auto"/>
          </w:tcPr>
          <w:p w:rsidR="00784899" w:rsidRDefault="00784899" w:rsidP="00441F3D">
            <w:pPr>
              <w:jc w:val="both"/>
              <w:rPr>
                <w:bCs/>
                <w:lang w:val="fr-FR"/>
              </w:rPr>
            </w:pPr>
          </w:p>
          <w:p w:rsidR="00784899" w:rsidRDefault="00784899" w:rsidP="00441F3D">
            <w:pPr>
              <w:jc w:val="both"/>
              <w:rPr>
                <w:bCs/>
                <w:lang w:val="fr-FR"/>
              </w:rPr>
            </w:pPr>
          </w:p>
          <w:p w:rsidR="00784899" w:rsidRDefault="00784899" w:rsidP="00441F3D">
            <w:pPr>
              <w:jc w:val="both"/>
              <w:rPr>
                <w:bCs/>
                <w:lang w:val="fr-FR"/>
              </w:rPr>
            </w:pPr>
          </w:p>
          <w:p w:rsidR="00784899" w:rsidRDefault="00784899" w:rsidP="00441F3D">
            <w:pPr>
              <w:jc w:val="both"/>
              <w:rPr>
                <w:bCs/>
                <w:lang w:val="fr-FR"/>
              </w:rPr>
            </w:pPr>
            <w:r>
              <w:rPr>
                <w:bCs/>
                <w:lang w:val="fr-FR"/>
              </w:rPr>
              <w:t xml:space="preserve">Les besoins en </w:t>
            </w:r>
            <w:r w:rsidR="00A420A7">
              <w:rPr>
                <w:bCs/>
                <w:lang w:val="fr-FR"/>
              </w:rPr>
              <w:t>termes</w:t>
            </w:r>
            <w:r>
              <w:rPr>
                <w:bCs/>
                <w:lang w:val="fr-FR"/>
              </w:rPr>
              <w:t xml:space="preserve"> de données </w:t>
            </w:r>
            <w:r w:rsidR="00A420A7">
              <w:rPr>
                <w:bCs/>
                <w:lang w:val="fr-FR"/>
              </w:rPr>
              <w:t>à</w:t>
            </w:r>
            <w:r>
              <w:rPr>
                <w:bCs/>
                <w:lang w:val="fr-FR"/>
              </w:rPr>
              <w:t xml:space="preserve"> collecter et de fonctionnalit</w:t>
            </w:r>
            <w:r w:rsidR="00A420A7">
              <w:rPr>
                <w:bCs/>
                <w:lang w:val="fr-FR"/>
              </w:rPr>
              <w:t>és de la plateforme sont connus.</w:t>
            </w:r>
          </w:p>
          <w:p w:rsidR="00784899" w:rsidRDefault="00784899" w:rsidP="00441F3D">
            <w:pPr>
              <w:jc w:val="both"/>
              <w:rPr>
                <w:bCs/>
                <w:lang w:val="fr-FR"/>
              </w:rPr>
            </w:pPr>
          </w:p>
          <w:p w:rsidR="00784899" w:rsidRPr="00E3532D" w:rsidRDefault="00784899" w:rsidP="00441F3D">
            <w:pPr>
              <w:jc w:val="both"/>
              <w:rPr>
                <w:bCs/>
                <w:lang w:val="fr-FR"/>
              </w:rPr>
            </w:pPr>
            <w:r>
              <w:rPr>
                <w:bCs/>
                <w:lang w:val="fr-FR"/>
              </w:rPr>
              <w:t xml:space="preserve">La base de </w:t>
            </w:r>
            <w:r w:rsidR="00A420A7">
              <w:rPr>
                <w:bCs/>
                <w:lang w:val="fr-FR"/>
              </w:rPr>
              <w:t>données</w:t>
            </w:r>
            <w:r>
              <w:rPr>
                <w:bCs/>
                <w:lang w:val="fr-FR"/>
              </w:rPr>
              <w:t xml:space="preserve"> du SILQ a été </w:t>
            </w:r>
            <w:r w:rsidR="00A420A7">
              <w:rPr>
                <w:bCs/>
                <w:lang w:val="fr-FR"/>
              </w:rPr>
              <w:t>conçue</w:t>
            </w:r>
            <w:r>
              <w:rPr>
                <w:bCs/>
                <w:lang w:val="fr-FR"/>
              </w:rPr>
              <w:t xml:space="preserve"> </w:t>
            </w:r>
            <w:r w:rsidR="00A420A7">
              <w:rPr>
                <w:bCs/>
                <w:lang w:val="fr-FR"/>
              </w:rPr>
              <w:t>conformément</w:t>
            </w:r>
            <w:r>
              <w:rPr>
                <w:bCs/>
                <w:lang w:val="fr-FR"/>
              </w:rPr>
              <w:t xml:space="preserve"> au cahier des charges</w:t>
            </w:r>
            <w:r w:rsidR="00A420A7">
              <w:rPr>
                <w:bCs/>
                <w:lang w:val="fr-FR"/>
              </w:rPr>
              <w:t>.</w:t>
            </w:r>
          </w:p>
        </w:tc>
        <w:tc>
          <w:tcPr>
            <w:tcW w:w="3960" w:type="dxa"/>
            <w:shd w:val="clear" w:color="auto" w:fill="auto"/>
          </w:tcPr>
          <w:p w:rsidR="00784899" w:rsidRPr="00E3532D" w:rsidRDefault="00784899" w:rsidP="00441F3D">
            <w:pPr>
              <w:pStyle w:val="BodyText"/>
              <w:jc w:val="both"/>
              <w:rPr>
                <w:rFonts w:ascii="Times New Roman" w:hAnsi="Times New Roman"/>
                <w:bCs/>
                <w:sz w:val="24"/>
                <w:lang w:val="fr-FR"/>
              </w:rPr>
            </w:pPr>
          </w:p>
        </w:tc>
        <w:tc>
          <w:tcPr>
            <w:tcW w:w="3150" w:type="dxa"/>
            <w:shd w:val="clear" w:color="auto" w:fill="auto"/>
          </w:tcPr>
          <w:p w:rsidR="00A420A7" w:rsidRDefault="00A420A7" w:rsidP="00441F3D">
            <w:pPr>
              <w:pStyle w:val="BodyText"/>
              <w:jc w:val="both"/>
              <w:rPr>
                <w:rFonts w:ascii="Times New Roman" w:hAnsi="Times New Roman"/>
                <w:bCs/>
                <w:sz w:val="24"/>
                <w:lang w:val="fr-FR"/>
              </w:rPr>
            </w:pPr>
          </w:p>
          <w:p w:rsidR="00A420A7" w:rsidRDefault="00A420A7" w:rsidP="00441F3D">
            <w:pPr>
              <w:pStyle w:val="BodyText"/>
              <w:jc w:val="both"/>
              <w:rPr>
                <w:rFonts w:ascii="Times New Roman" w:hAnsi="Times New Roman"/>
                <w:bCs/>
                <w:sz w:val="24"/>
                <w:lang w:val="fr-FR"/>
              </w:rPr>
            </w:pPr>
          </w:p>
          <w:p w:rsidR="00A420A7" w:rsidRDefault="00A420A7" w:rsidP="00441F3D">
            <w:pPr>
              <w:pStyle w:val="BodyText"/>
              <w:jc w:val="both"/>
              <w:rPr>
                <w:rFonts w:ascii="Times New Roman" w:hAnsi="Times New Roman"/>
                <w:bCs/>
                <w:sz w:val="24"/>
                <w:lang w:val="fr-FR"/>
              </w:rPr>
            </w:pPr>
          </w:p>
          <w:p w:rsidR="00784899" w:rsidRDefault="00784899" w:rsidP="00441F3D">
            <w:pPr>
              <w:pStyle w:val="BodyText"/>
              <w:jc w:val="both"/>
              <w:rPr>
                <w:rFonts w:ascii="Times New Roman" w:hAnsi="Times New Roman"/>
                <w:bCs/>
                <w:sz w:val="24"/>
                <w:lang w:val="fr-FR"/>
              </w:rPr>
            </w:pPr>
            <w:r>
              <w:rPr>
                <w:rFonts w:ascii="Times New Roman" w:hAnsi="Times New Roman"/>
                <w:bCs/>
                <w:sz w:val="24"/>
                <w:lang w:val="fr-FR"/>
              </w:rPr>
              <w:t>Cahier des charges fonctionnelles du système</w:t>
            </w:r>
            <w:r w:rsidR="00A420A7">
              <w:rPr>
                <w:rFonts w:ascii="Times New Roman" w:hAnsi="Times New Roman"/>
                <w:bCs/>
                <w:sz w:val="24"/>
                <w:lang w:val="fr-FR"/>
              </w:rPr>
              <w:t>.</w:t>
            </w:r>
          </w:p>
          <w:p w:rsidR="00784899" w:rsidRDefault="00784899" w:rsidP="00441F3D">
            <w:pPr>
              <w:pStyle w:val="BodyText"/>
              <w:jc w:val="both"/>
              <w:rPr>
                <w:rFonts w:ascii="Times New Roman" w:hAnsi="Times New Roman"/>
                <w:bCs/>
                <w:sz w:val="24"/>
                <w:lang w:val="fr-FR"/>
              </w:rPr>
            </w:pPr>
          </w:p>
          <w:p w:rsidR="00784899" w:rsidRPr="00E3532D" w:rsidRDefault="00784899" w:rsidP="00441F3D">
            <w:pPr>
              <w:pStyle w:val="BodyText"/>
              <w:jc w:val="both"/>
              <w:rPr>
                <w:rFonts w:ascii="Times New Roman" w:hAnsi="Times New Roman"/>
                <w:bCs/>
                <w:sz w:val="24"/>
                <w:lang w:val="fr-FR"/>
              </w:rPr>
            </w:pPr>
            <w:r>
              <w:rPr>
                <w:rFonts w:ascii="Times New Roman" w:hAnsi="Times New Roman"/>
                <w:bCs/>
                <w:sz w:val="24"/>
                <w:lang w:val="fr-FR"/>
              </w:rPr>
              <w:t xml:space="preserve">Document complet du design et </w:t>
            </w:r>
            <w:r w:rsidR="00A420A7">
              <w:rPr>
                <w:rFonts w:ascii="Times New Roman" w:hAnsi="Times New Roman"/>
                <w:bCs/>
                <w:sz w:val="24"/>
                <w:lang w:val="fr-FR"/>
              </w:rPr>
              <w:t>schéma</w:t>
            </w:r>
            <w:r>
              <w:rPr>
                <w:rFonts w:ascii="Times New Roman" w:hAnsi="Times New Roman"/>
                <w:bCs/>
                <w:sz w:val="24"/>
                <w:lang w:val="fr-FR"/>
              </w:rPr>
              <w:t xml:space="preserve"> physique de la base de </w:t>
            </w:r>
            <w:r w:rsidR="00A420A7">
              <w:rPr>
                <w:rFonts w:ascii="Times New Roman" w:hAnsi="Times New Roman"/>
                <w:bCs/>
                <w:sz w:val="24"/>
                <w:lang w:val="fr-FR"/>
              </w:rPr>
              <w:t>données.</w:t>
            </w:r>
          </w:p>
        </w:tc>
      </w:tr>
      <w:tr w:rsidR="00784899" w:rsidRPr="00C122A6" w:rsidTr="00441F3D">
        <w:tc>
          <w:tcPr>
            <w:tcW w:w="4265" w:type="dxa"/>
            <w:shd w:val="clear" w:color="auto" w:fill="auto"/>
          </w:tcPr>
          <w:p w:rsidR="00784899" w:rsidRDefault="00784899" w:rsidP="00441F3D">
            <w:pPr>
              <w:rPr>
                <w:lang w:val="fr-FR" w:eastAsia="fr-FR"/>
              </w:rPr>
            </w:pPr>
            <w:r w:rsidRPr="00EE4D43">
              <w:rPr>
                <w:b/>
                <w:lang w:val="fr-FR"/>
              </w:rPr>
              <w:t xml:space="preserve">Produit 2.3 : </w:t>
            </w:r>
            <w:r w:rsidRPr="00EE4D43">
              <w:rPr>
                <w:lang w:val="fr-FR" w:eastAsia="fr-FR"/>
              </w:rPr>
              <w:t>La</w:t>
            </w:r>
            <w:r w:rsidRPr="00981F08">
              <w:rPr>
                <w:lang w:val="fr-FR" w:eastAsia="fr-FR"/>
              </w:rPr>
              <w:t xml:space="preserve"> plateforme SILQ est conçue et opérationnelle.</w:t>
            </w:r>
          </w:p>
          <w:p w:rsidR="00A420A7" w:rsidRDefault="00A420A7" w:rsidP="00441F3D">
            <w:pPr>
              <w:rPr>
                <w:lang w:val="fr-FR" w:eastAsia="fr-FR"/>
              </w:rPr>
            </w:pPr>
          </w:p>
          <w:p w:rsidR="00784899" w:rsidRPr="00807E95" w:rsidRDefault="00784899" w:rsidP="00441F3D">
            <w:pPr>
              <w:rPr>
                <w:lang w:val="fr-FR"/>
              </w:rPr>
            </w:pPr>
            <w:r>
              <w:rPr>
                <w:b/>
                <w:lang w:val="fr-FR"/>
              </w:rPr>
              <w:t>Indicateur</w:t>
            </w:r>
            <w:r w:rsidRPr="00E15B9B">
              <w:rPr>
                <w:b/>
                <w:lang w:val="fr-FR"/>
              </w:rPr>
              <w:t xml:space="preserve"> 2.</w:t>
            </w:r>
            <w:r>
              <w:rPr>
                <w:b/>
                <w:lang w:val="fr-FR"/>
              </w:rPr>
              <w:t>3</w:t>
            </w:r>
            <w:r w:rsidRPr="00E15B9B">
              <w:rPr>
                <w:b/>
                <w:lang w:val="fr-FR"/>
              </w:rPr>
              <w:t>.</w:t>
            </w:r>
            <w:r w:rsidRPr="00807E95">
              <w:rPr>
                <w:b/>
                <w:lang w:val="fr-FR"/>
              </w:rPr>
              <w:t>1 :</w:t>
            </w:r>
            <w:r w:rsidRPr="00807E95">
              <w:rPr>
                <w:lang w:val="fr-FR"/>
              </w:rPr>
              <w:t xml:space="preserve"> L’information est collectée, traitée et utilisée. </w:t>
            </w:r>
          </w:p>
          <w:p w:rsidR="00784899" w:rsidRPr="00807E95" w:rsidRDefault="00784899" w:rsidP="00441F3D">
            <w:pPr>
              <w:rPr>
                <w:b/>
                <w:lang w:val="fr-FR"/>
              </w:rPr>
            </w:pPr>
            <w:r w:rsidRPr="00807E95">
              <w:rPr>
                <w:b/>
                <w:lang w:val="fr-FR"/>
              </w:rPr>
              <w:t xml:space="preserve">Indicateur de référence: </w:t>
            </w:r>
            <w:r w:rsidRPr="00807E95">
              <w:rPr>
                <w:lang w:val="fr-FR"/>
              </w:rPr>
              <w:t xml:space="preserve">Il n’existe pas de système permettant une interface des bases de données et de générer des produits d’information sur la reconstruction. </w:t>
            </w:r>
          </w:p>
          <w:p w:rsidR="00784899" w:rsidRPr="00807E95" w:rsidRDefault="00784899" w:rsidP="00441F3D">
            <w:pPr>
              <w:rPr>
                <w:rFonts w:cs="Calibri"/>
                <w:lang w:val="fr-FR" w:eastAsia="fr-FR"/>
              </w:rPr>
            </w:pPr>
            <w:r w:rsidRPr="00807E95">
              <w:rPr>
                <w:b/>
                <w:lang w:val="fr-FR"/>
              </w:rPr>
              <w:lastRenderedPageBreak/>
              <w:t xml:space="preserve">Indicateur cible: </w:t>
            </w:r>
            <w:r w:rsidRPr="00807E95">
              <w:rPr>
                <w:rFonts w:cs="Calibri"/>
                <w:lang w:val="fr-FR" w:eastAsia="fr-FR"/>
              </w:rPr>
              <w:t xml:space="preserve">Le système a été conçu, développé, testé, validé et mis en ligne. </w:t>
            </w:r>
          </w:p>
          <w:p w:rsidR="00784899" w:rsidRPr="00E15B9B" w:rsidRDefault="00784899" w:rsidP="00441F3D">
            <w:pPr>
              <w:rPr>
                <w:b/>
                <w:lang w:val="fr-FR"/>
              </w:rPr>
            </w:pPr>
          </w:p>
        </w:tc>
        <w:tc>
          <w:tcPr>
            <w:tcW w:w="3745" w:type="dxa"/>
            <w:shd w:val="clear" w:color="auto" w:fill="auto"/>
          </w:tcPr>
          <w:p w:rsidR="00A420A7" w:rsidRDefault="00A420A7" w:rsidP="00441F3D">
            <w:pPr>
              <w:pStyle w:val="BodyText"/>
              <w:ind w:right="-52"/>
              <w:jc w:val="both"/>
              <w:rPr>
                <w:rFonts w:ascii="Times New Roman" w:hAnsi="Times New Roman" w:cs="Times New Roman"/>
                <w:bCs/>
                <w:sz w:val="24"/>
                <w:szCs w:val="24"/>
                <w:lang w:val="fr-FR"/>
              </w:rPr>
            </w:pPr>
          </w:p>
          <w:p w:rsidR="00A420A7" w:rsidRDefault="00A420A7" w:rsidP="00441F3D">
            <w:pPr>
              <w:pStyle w:val="BodyText"/>
              <w:ind w:right="-52"/>
              <w:jc w:val="both"/>
              <w:rPr>
                <w:rFonts w:ascii="Times New Roman" w:hAnsi="Times New Roman" w:cs="Times New Roman"/>
                <w:bCs/>
                <w:sz w:val="24"/>
                <w:szCs w:val="24"/>
                <w:lang w:val="fr-FR"/>
              </w:rPr>
            </w:pPr>
          </w:p>
          <w:p w:rsidR="00A420A7" w:rsidRDefault="00A420A7" w:rsidP="00441F3D">
            <w:pPr>
              <w:pStyle w:val="BodyText"/>
              <w:ind w:right="-52"/>
              <w:jc w:val="both"/>
              <w:rPr>
                <w:rFonts w:ascii="Times New Roman" w:hAnsi="Times New Roman" w:cs="Times New Roman"/>
                <w:bCs/>
                <w:sz w:val="24"/>
                <w:szCs w:val="24"/>
                <w:lang w:val="fr-FR"/>
              </w:rPr>
            </w:pPr>
          </w:p>
          <w:p w:rsidR="00784899" w:rsidRPr="00807E95" w:rsidRDefault="00784899" w:rsidP="00441F3D">
            <w:pPr>
              <w:pStyle w:val="BodyText"/>
              <w:ind w:right="-52"/>
              <w:jc w:val="both"/>
              <w:rPr>
                <w:rFonts w:ascii="Times New Roman" w:hAnsi="Times New Roman" w:cs="Times New Roman"/>
                <w:bCs/>
                <w:sz w:val="24"/>
                <w:szCs w:val="24"/>
                <w:lang w:val="fr-FR"/>
              </w:rPr>
            </w:pPr>
            <w:r w:rsidRPr="00807E95">
              <w:rPr>
                <w:rFonts w:ascii="Times New Roman" w:hAnsi="Times New Roman" w:cs="Times New Roman"/>
                <w:bCs/>
                <w:sz w:val="24"/>
                <w:szCs w:val="24"/>
                <w:lang w:val="fr-FR"/>
              </w:rPr>
              <w:t>Le</w:t>
            </w:r>
            <w:r>
              <w:rPr>
                <w:rFonts w:ascii="Times New Roman" w:hAnsi="Times New Roman" w:cs="Times New Roman"/>
                <w:bCs/>
                <w:sz w:val="24"/>
                <w:szCs w:val="24"/>
                <w:lang w:val="fr-FR"/>
              </w:rPr>
              <w:t xml:space="preserve"> système a été entièrement conçu</w:t>
            </w:r>
            <w:r w:rsidR="00A420A7">
              <w:rPr>
                <w:rFonts w:ascii="Times New Roman" w:hAnsi="Times New Roman" w:cs="Times New Roman"/>
                <w:bCs/>
                <w:sz w:val="24"/>
                <w:szCs w:val="24"/>
                <w:lang w:val="fr-FR"/>
              </w:rPr>
              <w:t>,</w:t>
            </w:r>
            <w:r>
              <w:rPr>
                <w:rFonts w:ascii="Times New Roman" w:hAnsi="Times New Roman" w:cs="Times New Roman"/>
                <w:bCs/>
                <w:sz w:val="24"/>
                <w:szCs w:val="24"/>
                <w:lang w:val="fr-FR"/>
              </w:rPr>
              <w:t xml:space="preserve"> </w:t>
            </w:r>
            <w:r w:rsidR="00A420A7">
              <w:rPr>
                <w:rFonts w:ascii="Times New Roman" w:hAnsi="Times New Roman" w:cs="Times New Roman"/>
                <w:bCs/>
                <w:sz w:val="24"/>
                <w:szCs w:val="24"/>
                <w:lang w:val="fr-FR"/>
              </w:rPr>
              <w:t>développé</w:t>
            </w:r>
            <w:r>
              <w:rPr>
                <w:rFonts w:ascii="Times New Roman" w:hAnsi="Times New Roman" w:cs="Times New Roman"/>
                <w:bCs/>
                <w:sz w:val="24"/>
                <w:szCs w:val="24"/>
                <w:lang w:val="fr-FR"/>
              </w:rPr>
              <w:t xml:space="preserve">, </w:t>
            </w:r>
            <w:r w:rsidR="00A420A7">
              <w:rPr>
                <w:rFonts w:ascii="Times New Roman" w:hAnsi="Times New Roman" w:cs="Times New Roman"/>
                <w:bCs/>
                <w:sz w:val="24"/>
                <w:szCs w:val="24"/>
                <w:lang w:val="fr-FR"/>
              </w:rPr>
              <w:t>testé</w:t>
            </w:r>
            <w:r>
              <w:rPr>
                <w:rFonts w:ascii="Times New Roman" w:hAnsi="Times New Roman" w:cs="Times New Roman"/>
                <w:bCs/>
                <w:sz w:val="24"/>
                <w:szCs w:val="24"/>
                <w:lang w:val="fr-FR"/>
              </w:rPr>
              <w:t xml:space="preserve"> et mis en ligne le site web du CNIGS est également en ligne donnant accès </w:t>
            </w:r>
            <w:r w:rsidR="00A420A7">
              <w:rPr>
                <w:rFonts w:ascii="Times New Roman" w:hAnsi="Times New Roman" w:cs="Times New Roman"/>
                <w:bCs/>
                <w:sz w:val="24"/>
                <w:szCs w:val="24"/>
                <w:lang w:val="fr-FR"/>
              </w:rPr>
              <w:t>à la plateforme SILQ</w:t>
            </w:r>
            <w:r>
              <w:rPr>
                <w:rFonts w:ascii="Times New Roman" w:hAnsi="Times New Roman" w:cs="Times New Roman"/>
                <w:bCs/>
                <w:sz w:val="24"/>
                <w:szCs w:val="24"/>
                <w:lang w:val="fr-FR"/>
              </w:rPr>
              <w:t>.</w:t>
            </w:r>
            <w:r w:rsidR="00A420A7">
              <w:rPr>
                <w:rFonts w:ascii="Times New Roman" w:hAnsi="Times New Roman" w:cs="Times New Roman"/>
                <w:bCs/>
                <w:sz w:val="24"/>
                <w:szCs w:val="24"/>
                <w:lang w:val="fr-FR"/>
              </w:rPr>
              <w:t xml:space="preserve"> </w:t>
            </w:r>
            <w:r w:rsidRPr="00807E95">
              <w:rPr>
                <w:rFonts w:ascii="Times New Roman" w:hAnsi="Times New Roman" w:cs="Times New Roman"/>
                <w:bCs/>
                <w:sz w:val="24"/>
                <w:szCs w:val="24"/>
                <w:lang w:val="fr-FR"/>
              </w:rPr>
              <w:t>Les couches géométriques de</w:t>
            </w:r>
            <w:r>
              <w:rPr>
                <w:rFonts w:ascii="Times New Roman" w:hAnsi="Times New Roman" w:cs="Times New Roman"/>
                <w:bCs/>
                <w:sz w:val="24"/>
                <w:szCs w:val="24"/>
                <w:lang w:val="fr-FR"/>
              </w:rPr>
              <w:t xml:space="preserve"> base sont créées</w:t>
            </w:r>
            <w:r w:rsidR="00A420A7">
              <w:rPr>
                <w:rFonts w:ascii="Times New Roman" w:hAnsi="Times New Roman" w:cs="Times New Roman"/>
                <w:bCs/>
                <w:sz w:val="24"/>
                <w:szCs w:val="24"/>
                <w:lang w:val="fr-FR"/>
              </w:rPr>
              <w:t xml:space="preserve">, </w:t>
            </w:r>
            <w:r>
              <w:rPr>
                <w:rFonts w:ascii="Times New Roman" w:hAnsi="Times New Roman" w:cs="Times New Roman"/>
                <w:bCs/>
                <w:sz w:val="24"/>
                <w:szCs w:val="24"/>
                <w:lang w:val="fr-FR"/>
              </w:rPr>
              <w:t xml:space="preserve">les données sur les bâtis collectées par l’IHSI et l’OIM </w:t>
            </w:r>
            <w:r>
              <w:rPr>
                <w:rFonts w:ascii="Times New Roman" w:hAnsi="Times New Roman" w:cs="Times New Roman"/>
                <w:bCs/>
                <w:sz w:val="24"/>
                <w:szCs w:val="24"/>
                <w:lang w:val="fr-FR"/>
              </w:rPr>
              <w:lastRenderedPageBreak/>
              <w:t xml:space="preserve">ont été transférées </w:t>
            </w:r>
            <w:r w:rsidR="00A420A7">
              <w:rPr>
                <w:rFonts w:ascii="Times New Roman" w:hAnsi="Times New Roman" w:cs="Times New Roman"/>
                <w:bCs/>
                <w:sz w:val="24"/>
                <w:szCs w:val="24"/>
                <w:lang w:val="fr-FR"/>
              </w:rPr>
              <w:t>à</w:t>
            </w:r>
            <w:r>
              <w:rPr>
                <w:rFonts w:ascii="Times New Roman" w:hAnsi="Times New Roman" w:cs="Times New Roman"/>
                <w:bCs/>
                <w:sz w:val="24"/>
                <w:szCs w:val="24"/>
                <w:lang w:val="fr-FR"/>
              </w:rPr>
              <w:t xml:space="preserve"> </w:t>
            </w:r>
            <w:r w:rsidR="00A420A7">
              <w:rPr>
                <w:rFonts w:ascii="Times New Roman" w:hAnsi="Times New Roman" w:cs="Times New Roman"/>
                <w:bCs/>
                <w:sz w:val="24"/>
                <w:szCs w:val="24"/>
                <w:lang w:val="fr-FR"/>
              </w:rPr>
              <w:t>la plateforme SILQ et publiées.</w:t>
            </w:r>
          </w:p>
          <w:p w:rsidR="00784899" w:rsidRPr="00E3532D" w:rsidRDefault="00784899" w:rsidP="00441F3D">
            <w:pPr>
              <w:pStyle w:val="BodyText"/>
              <w:jc w:val="both"/>
              <w:rPr>
                <w:rFonts w:ascii="Times New Roman" w:hAnsi="Times New Roman"/>
                <w:bCs/>
                <w:sz w:val="24"/>
                <w:lang w:val="fr-FR"/>
              </w:rPr>
            </w:pPr>
          </w:p>
        </w:tc>
        <w:tc>
          <w:tcPr>
            <w:tcW w:w="3960" w:type="dxa"/>
            <w:shd w:val="clear" w:color="auto" w:fill="auto"/>
          </w:tcPr>
          <w:p w:rsidR="00784899" w:rsidRPr="00E3532D" w:rsidRDefault="00784899" w:rsidP="00441F3D">
            <w:pPr>
              <w:pStyle w:val="BodyText"/>
              <w:jc w:val="both"/>
              <w:rPr>
                <w:rFonts w:ascii="Times New Roman" w:hAnsi="Times New Roman"/>
                <w:bCs/>
                <w:sz w:val="24"/>
                <w:lang w:val="fr-FR"/>
              </w:rPr>
            </w:pPr>
          </w:p>
        </w:tc>
        <w:tc>
          <w:tcPr>
            <w:tcW w:w="3150" w:type="dxa"/>
            <w:shd w:val="clear" w:color="auto" w:fill="auto"/>
          </w:tcPr>
          <w:p w:rsidR="00A420A7" w:rsidRDefault="00A420A7" w:rsidP="00441F3D">
            <w:pPr>
              <w:tabs>
                <w:tab w:val="left" w:pos="-720"/>
                <w:tab w:val="left" w:pos="4500"/>
              </w:tabs>
              <w:suppressAutoHyphens/>
              <w:jc w:val="both"/>
              <w:rPr>
                <w:lang w:val="fr-FR" w:eastAsia="fr-FR"/>
              </w:rPr>
            </w:pPr>
          </w:p>
          <w:p w:rsidR="00A420A7" w:rsidRDefault="00A420A7" w:rsidP="00441F3D">
            <w:pPr>
              <w:tabs>
                <w:tab w:val="left" w:pos="-720"/>
                <w:tab w:val="left" w:pos="4500"/>
              </w:tabs>
              <w:suppressAutoHyphens/>
              <w:jc w:val="both"/>
              <w:rPr>
                <w:lang w:val="fr-FR" w:eastAsia="fr-FR"/>
              </w:rPr>
            </w:pPr>
          </w:p>
          <w:p w:rsidR="00A420A7" w:rsidRDefault="00A420A7" w:rsidP="00441F3D">
            <w:pPr>
              <w:tabs>
                <w:tab w:val="left" w:pos="-720"/>
                <w:tab w:val="left" w:pos="4500"/>
              </w:tabs>
              <w:suppressAutoHyphens/>
              <w:jc w:val="both"/>
              <w:rPr>
                <w:lang w:val="fr-FR" w:eastAsia="fr-FR"/>
              </w:rPr>
            </w:pPr>
          </w:p>
          <w:p w:rsidR="00784899" w:rsidRPr="00807E95" w:rsidRDefault="00784899" w:rsidP="00441F3D">
            <w:pPr>
              <w:tabs>
                <w:tab w:val="left" w:pos="-720"/>
                <w:tab w:val="left" w:pos="4500"/>
              </w:tabs>
              <w:suppressAutoHyphens/>
              <w:jc w:val="both"/>
              <w:rPr>
                <w:lang w:val="fr-FR" w:eastAsia="fr-FR"/>
              </w:rPr>
            </w:pPr>
            <w:r>
              <w:rPr>
                <w:lang w:val="fr-FR" w:eastAsia="fr-FR"/>
              </w:rPr>
              <w:t xml:space="preserve">Plateforme accessible </w:t>
            </w:r>
            <w:r w:rsidR="00A420A7">
              <w:rPr>
                <w:lang w:val="fr-FR" w:eastAsia="fr-FR"/>
              </w:rPr>
              <w:t>à</w:t>
            </w:r>
            <w:r>
              <w:rPr>
                <w:lang w:val="fr-FR" w:eastAsia="fr-FR"/>
              </w:rPr>
              <w:t xml:space="preserve"> l’adresse www.cnigs.ht</w:t>
            </w:r>
          </w:p>
          <w:p w:rsidR="00784899" w:rsidRPr="00E3532D" w:rsidRDefault="00784899" w:rsidP="00441F3D">
            <w:pPr>
              <w:pStyle w:val="BodyText"/>
              <w:jc w:val="both"/>
              <w:rPr>
                <w:rFonts w:ascii="Times New Roman" w:hAnsi="Times New Roman"/>
                <w:bCs/>
                <w:sz w:val="24"/>
                <w:lang w:val="fr-FR"/>
              </w:rPr>
            </w:pPr>
          </w:p>
        </w:tc>
      </w:tr>
      <w:tr w:rsidR="00784899" w:rsidRPr="00C122A6" w:rsidTr="00441F3D">
        <w:tc>
          <w:tcPr>
            <w:tcW w:w="4265" w:type="dxa"/>
            <w:shd w:val="clear" w:color="auto" w:fill="auto"/>
          </w:tcPr>
          <w:p w:rsidR="00784899" w:rsidRDefault="00784899" w:rsidP="00441F3D">
            <w:pPr>
              <w:rPr>
                <w:lang w:val="fr-FR" w:eastAsia="fr-FR"/>
              </w:rPr>
            </w:pPr>
            <w:r w:rsidRPr="00EE4D43">
              <w:rPr>
                <w:b/>
                <w:lang w:val="fr-FR"/>
              </w:rPr>
              <w:lastRenderedPageBreak/>
              <w:t xml:space="preserve">Produit 2.4 : </w:t>
            </w:r>
            <w:r w:rsidRPr="00EE4D43">
              <w:rPr>
                <w:lang w:val="fr-FR" w:eastAsia="fr-FR"/>
              </w:rPr>
              <w:t>Les capacités des usagers sont renforcées.</w:t>
            </w:r>
          </w:p>
          <w:p w:rsidR="00A420A7" w:rsidRPr="00EE4D43" w:rsidRDefault="00A420A7" w:rsidP="00441F3D">
            <w:pPr>
              <w:rPr>
                <w:lang w:val="fr-FR" w:eastAsia="fr-FR"/>
              </w:rPr>
            </w:pPr>
          </w:p>
          <w:p w:rsidR="00784899" w:rsidRPr="00EE4D43" w:rsidRDefault="00784899" w:rsidP="00441F3D">
            <w:pPr>
              <w:rPr>
                <w:lang w:val="fr-HT"/>
              </w:rPr>
            </w:pPr>
            <w:r w:rsidRPr="00EE4D43">
              <w:rPr>
                <w:b/>
                <w:lang w:val="fr-FR"/>
              </w:rPr>
              <w:t>Indicateur 2.4.1 :</w:t>
            </w:r>
            <w:r w:rsidRPr="00EE4D43">
              <w:rPr>
                <w:lang w:val="fr-HT"/>
              </w:rPr>
              <w:t xml:space="preserve"> Les usagers utilisent régulièrement et systématiquement l’information produite par le système.</w:t>
            </w:r>
          </w:p>
          <w:p w:rsidR="00784899" w:rsidRPr="00EE4D43" w:rsidRDefault="00784899" w:rsidP="00441F3D">
            <w:pPr>
              <w:rPr>
                <w:lang w:val="fr-FR"/>
              </w:rPr>
            </w:pPr>
            <w:r w:rsidRPr="00EE4D43">
              <w:rPr>
                <w:b/>
                <w:lang w:val="fr-FR"/>
              </w:rPr>
              <w:t>Indicateur de référence:</w:t>
            </w:r>
            <w:r w:rsidRPr="00EE4D43">
              <w:rPr>
                <w:lang w:val="fr-FR"/>
              </w:rPr>
              <w:t xml:space="preserve"> Les usagers potentiels ne connaissent pas le système et ses fonctionnalités.</w:t>
            </w:r>
          </w:p>
          <w:p w:rsidR="00784899" w:rsidRDefault="00784899" w:rsidP="00441F3D">
            <w:pPr>
              <w:rPr>
                <w:rFonts w:cs="Calibri"/>
                <w:lang w:val="fr-FR" w:eastAsia="fr-FR"/>
              </w:rPr>
            </w:pPr>
            <w:r w:rsidRPr="00EE4D43">
              <w:rPr>
                <w:b/>
                <w:lang w:val="fr-FR"/>
              </w:rPr>
              <w:t xml:space="preserve">Indicateur cible: </w:t>
            </w:r>
            <w:r w:rsidRPr="00EE4D43">
              <w:rPr>
                <w:rFonts w:cs="Calibri"/>
                <w:lang w:val="fr-FR" w:eastAsia="fr-FR"/>
              </w:rPr>
              <w:t>Le système est facilement utilisable par les partenaires et les fonctionnalités de mise à jour de la plateforme sont opérationnelles.</w:t>
            </w:r>
            <w:r>
              <w:rPr>
                <w:rFonts w:cs="Calibri"/>
                <w:lang w:val="fr-FR" w:eastAsia="fr-FR"/>
              </w:rPr>
              <w:t xml:space="preserve"> </w:t>
            </w:r>
          </w:p>
          <w:p w:rsidR="00784899" w:rsidRPr="00EE4D43" w:rsidRDefault="00784899" w:rsidP="00441F3D">
            <w:pPr>
              <w:rPr>
                <w:b/>
                <w:lang w:val="fr-FR"/>
              </w:rPr>
            </w:pPr>
          </w:p>
        </w:tc>
        <w:tc>
          <w:tcPr>
            <w:tcW w:w="3745" w:type="dxa"/>
            <w:shd w:val="clear" w:color="auto" w:fill="auto"/>
          </w:tcPr>
          <w:p w:rsidR="00A420A7" w:rsidRDefault="00A420A7" w:rsidP="00441F3D">
            <w:pPr>
              <w:pStyle w:val="BodyText"/>
              <w:jc w:val="both"/>
              <w:rPr>
                <w:rFonts w:ascii="Times New Roman" w:hAnsi="Times New Roman" w:cs="Times New Roman"/>
                <w:sz w:val="24"/>
                <w:szCs w:val="24"/>
                <w:lang w:val="fr-FR"/>
              </w:rPr>
            </w:pPr>
          </w:p>
          <w:p w:rsidR="00A420A7" w:rsidRDefault="00A420A7" w:rsidP="00441F3D">
            <w:pPr>
              <w:pStyle w:val="BodyText"/>
              <w:jc w:val="both"/>
              <w:rPr>
                <w:rFonts w:ascii="Times New Roman" w:hAnsi="Times New Roman" w:cs="Times New Roman"/>
                <w:sz w:val="24"/>
                <w:szCs w:val="24"/>
                <w:lang w:val="fr-FR"/>
              </w:rPr>
            </w:pPr>
          </w:p>
          <w:p w:rsidR="00A420A7" w:rsidRDefault="00A420A7" w:rsidP="00441F3D">
            <w:pPr>
              <w:pStyle w:val="BodyText"/>
              <w:jc w:val="both"/>
              <w:rPr>
                <w:rFonts w:ascii="Times New Roman" w:hAnsi="Times New Roman" w:cs="Times New Roman"/>
                <w:sz w:val="24"/>
                <w:szCs w:val="24"/>
                <w:lang w:val="fr-FR"/>
              </w:rPr>
            </w:pPr>
          </w:p>
          <w:p w:rsidR="00784899" w:rsidRPr="00E3532D" w:rsidRDefault="00784899" w:rsidP="00A420A7">
            <w:pPr>
              <w:pStyle w:val="BodyText"/>
              <w:jc w:val="both"/>
              <w:rPr>
                <w:rFonts w:ascii="Times New Roman" w:hAnsi="Times New Roman"/>
                <w:bCs/>
                <w:sz w:val="24"/>
                <w:lang w:val="fr-FR"/>
              </w:rPr>
            </w:pPr>
            <w:r>
              <w:rPr>
                <w:rFonts w:ascii="Times New Roman" w:hAnsi="Times New Roman" w:cs="Times New Roman"/>
                <w:sz w:val="24"/>
                <w:szCs w:val="24"/>
                <w:lang w:val="fr-FR"/>
              </w:rPr>
              <w:t>Deux t</w:t>
            </w:r>
            <w:r w:rsidR="00A420A7">
              <w:rPr>
                <w:rFonts w:ascii="Times New Roman" w:hAnsi="Times New Roman" w:cs="Times New Roman"/>
                <w:sz w:val="24"/>
                <w:szCs w:val="24"/>
                <w:lang w:val="fr-FR"/>
              </w:rPr>
              <w:t xml:space="preserve">ypes d’usagers sont à considérer : </w:t>
            </w:r>
            <w:r>
              <w:rPr>
                <w:rFonts w:ascii="Times New Roman" w:hAnsi="Times New Roman" w:cs="Times New Roman"/>
                <w:sz w:val="24"/>
                <w:szCs w:val="24"/>
                <w:lang w:val="fr-FR"/>
              </w:rPr>
              <w:t xml:space="preserve">les utilisateurs internes du SILQ qui sont les administrateurs du CNIGS qui mettent </w:t>
            </w:r>
            <w:r w:rsidR="00A420A7">
              <w:rPr>
                <w:rFonts w:ascii="Times New Roman" w:hAnsi="Times New Roman" w:cs="Times New Roman"/>
                <w:sz w:val="24"/>
                <w:szCs w:val="24"/>
                <w:lang w:val="fr-FR"/>
              </w:rPr>
              <w:t>à</w:t>
            </w:r>
            <w:r>
              <w:rPr>
                <w:rFonts w:ascii="Times New Roman" w:hAnsi="Times New Roman" w:cs="Times New Roman"/>
                <w:sz w:val="24"/>
                <w:szCs w:val="24"/>
                <w:lang w:val="fr-FR"/>
              </w:rPr>
              <w:t xml:space="preserve"> jour le système et procèdent </w:t>
            </w:r>
            <w:r w:rsidR="00A420A7">
              <w:rPr>
                <w:rFonts w:ascii="Times New Roman" w:hAnsi="Times New Roman" w:cs="Times New Roman"/>
                <w:sz w:val="24"/>
                <w:szCs w:val="24"/>
                <w:lang w:val="fr-FR"/>
              </w:rPr>
              <w:t>à</w:t>
            </w:r>
            <w:r>
              <w:rPr>
                <w:rFonts w:ascii="Times New Roman" w:hAnsi="Times New Roman" w:cs="Times New Roman"/>
                <w:sz w:val="24"/>
                <w:szCs w:val="24"/>
                <w:lang w:val="fr-FR"/>
              </w:rPr>
              <w:t xml:space="preserve"> la correction des données reçues ont été formes en </w:t>
            </w:r>
            <w:proofErr w:type="spellStart"/>
            <w:r>
              <w:rPr>
                <w:rFonts w:ascii="Times New Roman" w:hAnsi="Times New Roman" w:cs="Times New Roman"/>
                <w:sz w:val="24"/>
                <w:szCs w:val="24"/>
                <w:lang w:val="fr-FR"/>
              </w:rPr>
              <w:t>webmapping</w:t>
            </w:r>
            <w:proofErr w:type="spellEnd"/>
            <w:r>
              <w:rPr>
                <w:rFonts w:ascii="Times New Roman" w:hAnsi="Times New Roman" w:cs="Times New Roman"/>
                <w:sz w:val="24"/>
                <w:szCs w:val="24"/>
                <w:lang w:val="fr-FR"/>
              </w:rPr>
              <w:t xml:space="preserve"> et sur l’usage des différents outils et</w:t>
            </w:r>
            <w:r w:rsidR="00A420A7">
              <w:rPr>
                <w:rFonts w:ascii="Times New Roman" w:hAnsi="Times New Roman" w:cs="Times New Roman"/>
                <w:sz w:val="24"/>
                <w:szCs w:val="24"/>
                <w:lang w:val="fr-FR"/>
              </w:rPr>
              <w:t xml:space="preserve"> équipements reçus par le CNIGS. </w:t>
            </w:r>
            <w:r>
              <w:rPr>
                <w:rFonts w:ascii="Times New Roman" w:hAnsi="Times New Roman" w:cs="Times New Roman"/>
                <w:sz w:val="24"/>
                <w:szCs w:val="24"/>
                <w:lang w:val="fr-FR"/>
              </w:rPr>
              <w:t xml:space="preserve">Les utilisateurs externes ne sont pas encore tous </w:t>
            </w:r>
            <w:r w:rsidR="00A420A7">
              <w:rPr>
                <w:rFonts w:ascii="Times New Roman" w:hAnsi="Times New Roman" w:cs="Times New Roman"/>
                <w:sz w:val="24"/>
                <w:szCs w:val="24"/>
                <w:lang w:val="fr-FR"/>
              </w:rPr>
              <w:t>formés</w:t>
            </w:r>
            <w:r>
              <w:rPr>
                <w:rFonts w:ascii="Times New Roman" w:hAnsi="Times New Roman" w:cs="Times New Roman"/>
                <w:sz w:val="24"/>
                <w:szCs w:val="24"/>
                <w:lang w:val="fr-FR"/>
              </w:rPr>
              <w:t xml:space="preserve"> </w:t>
            </w:r>
            <w:r w:rsidR="00A420A7">
              <w:rPr>
                <w:rFonts w:ascii="Times New Roman" w:hAnsi="Times New Roman" w:cs="Times New Roman"/>
                <w:sz w:val="24"/>
                <w:szCs w:val="24"/>
                <w:lang w:val="fr-FR"/>
              </w:rPr>
              <w:t>à</w:t>
            </w:r>
            <w:r>
              <w:rPr>
                <w:rFonts w:ascii="Times New Roman" w:hAnsi="Times New Roman" w:cs="Times New Roman"/>
                <w:sz w:val="24"/>
                <w:szCs w:val="24"/>
                <w:lang w:val="fr-FR"/>
              </w:rPr>
              <w:t xml:space="preserve"> part les </w:t>
            </w:r>
            <w:proofErr w:type="spellStart"/>
            <w:r>
              <w:rPr>
                <w:rFonts w:ascii="Times New Roman" w:hAnsi="Times New Roman" w:cs="Times New Roman"/>
                <w:sz w:val="24"/>
                <w:szCs w:val="24"/>
                <w:lang w:val="fr-FR"/>
              </w:rPr>
              <w:t>ATLs</w:t>
            </w:r>
            <w:proofErr w:type="spellEnd"/>
            <w:r>
              <w:rPr>
                <w:rFonts w:ascii="Times New Roman" w:hAnsi="Times New Roman" w:cs="Times New Roman"/>
                <w:sz w:val="24"/>
                <w:szCs w:val="24"/>
                <w:lang w:val="fr-FR"/>
              </w:rPr>
              <w:t xml:space="preserve"> qui ont </w:t>
            </w:r>
            <w:r w:rsidR="00A420A7">
              <w:rPr>
                <w:rFonts w:ascii="Times New Roman" w:hAnsi="Times New Roman" w:cs="Times New Roman"/>
                <w:sz w:val="24"/>
                <w:szCs w:val="24"/>
                <w:lang w:val="fr-FR"/>
              </w:rPr>
              <w:t>reçu</w:t>
            </w:r>
            <w:r>
              <w:rPr>
                <w:rFonts w:ascii="Times New Roman" w:hAnsi="Times New Roman" w:cs="Times New Roman"/>
                <w:sz w:val="24"/>
                <w:szCs w:val="24"/>
                <w:lang w:val="fr-FR"/>
              </w:rPr>
              <w:t xml:space="preserve"> une première formation sur la cartographie de base</w:t>
            </w:r>
            <w:r w:rsidR="00A420A7">
              <w:rPr>
                <w:rFonts w:ascii="Times New Roman" w:hAnsi="Times New Roman" w:cs="Times New Roman"/>
                <w:sz w:val="24"/>
                <w:szCs w:val="24"/>
                <w:lang w:val="fr-FR"/>
              </w:rPr>
              <w:t>.</w:t>
            </w:r>
          </w:p>
        </w:tc>
        <w:tc>
          <w:tcPr>
            <w:tcW w:w="3960" w:type="dxa"/>
            <w:shd w:val="clear" w:color="auto" w:fill="auto"/>
          </w:tcPr>
          <w:p w:rsidR="00784899" w:rsidRPr="00E3532D" w:rsidRDefault="00784899" w:rsidP="00441F3D">
            <w:pPr>
              <w:pStyle w:val="BodyText"/>
              <w:jc w:val="both"/>
              <w:rPr>
                <w:rFonts w:ascii="Times New Roman" w:hAnsi="Times New Roman"/>
                <w:bCs/>
                <w:sz w:val="24"/>
                <w:lang w:val="fr-FR"/>
              </w:rPr>
            </w:pPr>
          </w:p>
        </w:tc>
        <w:tc>
          <w:tcPr>
            <w:tcW w:w="3150" w:type="dxa"/>
            <w:shd w:val="clear" w:color="auto" w:fill="auto"/>
          </w:tcPr>
          <w:p w:rsidR="00A420A7" w:rsidRDefault="00A420A7" w:rsidP="00441F3D">
            <w:pPr>
              <w:rPr>
                <w:lang w:val="fr-FR"/>
              </w:rPr>
            </w:pPr>
          </w:p>
          <w:p w:rsidR="00A420A7" w:rsidRDefault="00A420A7" w:rsidP="00441F3D">
            <w:pPr>
              <w:rPr>
                <w:lang w:val="fr-FR"/>
              </w:rPr>
            </w:pPr>
          </w:p>
          <w:p w:rsidR="00A420A7" w:rsidRDefault="00A420A7" w:rsidP="00441F3D">
            <w:pPr>
              <w:rPr>
                <w:lang w:val="fr-FR"/>
              </w:rPr>
            </w:pPr>
          </w:p>
          <w:p w:rsidR="00784899" w:rsidRDefault="00784899" w:rsidP="00441F3D">
            <w:pPr>
              <w:rPr>
                <w:lang w:val="fr-FR"/>
              </w:rPr>
            </w:pPr>
            <w:r>
              <w:rPr>
                <w:lang w:val="fr-FR"/>
              </w:rPr>
              <w:t>Manuel de formation pour les utilisateurs internes du SILQ</w:t>
            </w:r>
          </w:p>
          <w:p w:rsidR="00784899" w:rsidRDefault="00784899" w:rsidP="00441F3D">
            <w:pPr>
              <w:rPr>
                <w:lang w:val="fr-FR"/>
              </w:rPr>
            </w:pPr>
          </w:p>
          <w:p w:rsidR="00784899" w:rsidRPr="00EE4D43" w:rsidRDefault="00784899" w:rsidP="00441F3D">
            <w:pPr>
              <w:rPr>
                <w:lang w:val="fr-FR"/>
              </w:rPr>
            </w:pPr>
            <w:r w:rsidRPr="00EE4D43">
              <w:rPr>
                <w:lang w:val="fr-FR"/>
              </w:rPr>
              <w:t xml:space="preserve"> </w:t>
            </w:r>
          </w:p>
          <w:p w:rsidR="00784899" w:rsidRPr="00E3532D" w:rsidRDefault="00784899" w:rsidP="00441F3D">
            <w:pPr>
              <w:pStyle w:val="BodyText"/>
              <w:jc w:val="both"/>
              <w:rPr>
                <w:rFonts w:ascii="Times New Roman" w:hAnsi="Times New Roman"/>
                <w:bCs/>
                <w:sz w:val="24"/>
                <w:lang w:val="fr-FR"/>
              </w:rPr>
            </w:pPr>
          </w:p>
        </w:tc>
      </w:tr>
      <w:tr w:rsidR="004820EE" w:rsidRPr="00C122A6" w:rsidTr="00FB6510">
        <w:trPr>
          <w:trHeight w:val="885"/>
        </w:trPr>
        <w:tc>
          <w:tcPr>
            <w:tcW w:w="15120" w:type="dxa"/>
            <w:gridSpan w:val="4"/>
            <w:shd w:val="clear" w:color="auto" w:fill="BFBFBF"/>
          </w:tcPr>
          <w:p w:rsidR="004820EE" w:rsidRPr="00EE4D43" w:rsidRDefault="004820EE" w:rsidP="00FB6510">
            <w:pPr>
              <w:pStyle w:val="BodyText"/>
              <w:jc w:val="both"/>
              <w:rPr>
                <w:rFonts w:ascii="Times New Roman" w:hAnsi="Times New Roman" w:cs="Times New Roman"/>
                <w:bCs/>
                <w:sz w:val="24"/>
                <w:szCs w:val="24"/>
                <w:lang w:val="fr-FR"/>
              </w:rPr>
            </w:pPr>
            <w:r w:rsidRPr="00EE4D43">
              <w:rPr>
                <w:rFonts w:ascii="Times New Roman" w:hAnsi="Times New Roman" w:cs="Times New Roman"/>
                <w:b/>
                <w:sz w:val="24"/>
                <w:szCs w:val="24"/>
                <w:lang w:val="fr-FR"/>
              </w:rPr>
              <w:t>R</w:t>
            </w:r>
            <w:r w:rsidRPr="00EE4D43">
              <w:rPr>
                <w:rStyle w:val="hps"/>
                <w:rFonts w:ascii="Times New Roman" w:hAnsi="Times New Roman"/>
                <w:sz w:val="24"/>
                <w:szCs w:val="24"/>
                <w:lang w:val="fr-FR"/>
              </w:rPr>
              <w:t>é</w:t>
            </w:r>
            <w:r w:rsidRPr="00EE4D43">
              <w:rPr>
                <w:rFonts w:ascii="Times New Roman" w:hAnsi="Times New Roman" w:cs="Times New Roman"/>
                <w:b/>
                <w:sz w:val="24"/>
                <w:szCs w:val="24"/>
                <w:lang w:val="fr-FR"/>
              </w:rPr>
              <w:t xml:space="preserve">sultat 3. </w:t>
            </w:r>
            <w:r w:rsidRPr="00EE4D43">
              <w:rPr>
                <w:rFonts w:ascii="Times New Roman" w:hAnsi="Times New Roman" w:cs="Times New Roman"/>
                <w:sz w:val="24"/>
                <w:szCs w:val="24"/>
                <w:lang w:val="fr-FR"/>
              </w:rPr>
              <w:t>Le MICT est doté de moyens humains, techniques et financiers pour assurer un appui aux communes ; les capacités des communes sont renforcées pour superviser, coordonner, opérationnaliser, communiquer</w:t>
            </w:r>
            <w:r w:rsidRPr="00EE4D43">
              <w:rPr>
                <w:rFonts w:ascii="Times New Roman" w:hAnsi="Times New Roman" w:cs="Times New Roman"/>
                <w:color w:val="00B050"/>
                <w:sz w:val="24"/>
                <w:szCs w:val="24"/>
                <w:lang w:val="fr-FR"/>
              </w:rPr>
              <w:t xml:space="preserve"> </w:t>
            </w:r>
            <w:r w:rsidRPr="00EE4D43">
              <w:rPr>
                <w:rFonts w:ascii="Times New Roman" w:hAnsi="Times New Roman" w:cs="Times New Roman"/>
                <w:sz w:val="24"/>
                <w:szCs w:val="24"/>
                <w:lang w:val="fr-FR"/>
              </w:rPr>
              <w:t>et assurer le contrôle qualité et le suivi des programmes de reconstruction dans leurs territoires respectifs ;  des lieux de formation et d’information sont créés au sein des communautés ; les communautés reçoivent un appui pour les projets de retour, reconstruction et relogement.</w:t>
            </w:r>
          </w:p>
        </w:tc>
      </w:tr>
      <w:tr w:rsidR="004820EE" w:rsidRPr="00E3532D" w:rsidTr="00FB6510">
        <w:trPr>
          <w:trHeight w:val="885"/>
        </w:trPr>
        <w:tc>
          <w:tcPr>
            <w:tcW w:w="4265" w:type="dxa"/>
            <w:shd w:val="clear" w:color="auto" w:fill="auto"/>
          </w:tcPr>
          <w:p w:rsidR="004820EE" w:rsidRDefault="004820EE" w:rsidP="00FB6510">
            <w:pPr>
              <w:rPr>
                <w:rFonts w:cs="Calibri"/>
                <w:lang w:val="fr-CA"/>
              </w:rPr>
            </w:pPr>
            <w:r>
              <w:rPr>
                <w:b/>
                <w:sz w:val="22"/>
                <w:szCs w:val="22"/>
                <w:lang w:val="fr-FR"/>
              </w:rPr>
              <w:t xml:space="preserve">Produit </w:t>
            </w:r>
            <w:r w:rsidRPr="00C41C9D">
              <w:rPr>
                <w:b/>
                <w:sz w:val="22"/>
                <w:szCs w:val="22"/>
                <w:lang w:val="fr-FR"/>
              </w:rPr>
              <w:t>3.1</w:t>
            </w:r>
            <w:r>
              <w:rPr>
                <w:b/>
                <w:sz w:val="22"/>
                <w:szCs w:val="22"/>
                <w:lang w:val="fr-FR"/>
              </w:rPr>
              <w:t xml:space="preserve"> : </w:t>
            </w:r>
            <w:r w:rsidRPr="008723F6">
              <w:rPr>
                <w:rFonts w:cs="Calibri"/>
                <w:lang w:val="fr-CA"/>
              </w:rPr>
              <w:t>Le MICT dispose des capacités renforcées de suivi, évaluation et communication sur ses activités</w:t>
            </w:r>
            <w:r>
              <w:rPr>
                <w:rFonts w:cs="Calibri"/>
                <w:lang w:val="fr-CA"/>
              </w:rPr>
              <w:t>.</w:t>
            </w:r>
          </w:p>
          <w:p w:rsidR="00386752" w:rsidRDefault="00386752" w:rsidP="00FB6510">
            <w:pPr>
              <w:rPr>
                <w:b/>
                <w:lang w:val="fr-FR"/>
              </w:rPr>
            </w:pPr>
          </w:p>
          <w:p w:rsidR="004820EE" w:rsidRPr="00807E95" w:rsidRDefault="004820EE" w:rsidP="00FB6510">
            <w:pPr>
              <w:rPr>
                <w:lang w:val="fr-FR"/>
              </w:rPr>
            </w:pPr>
            <w:r>
              <w:rPr>
                <w:b/>
                <w:lang w:val="fr-FR"/>
              </w:rPr>
              <w:t>Indicateur</w:t>
            </w:r>
            <w:r w:rsidRPr="00E15B9B">
              <w:rPr>
                <w:b/>
                <w:lang w:val="fr-FR"/>
              </w:rPr>
              <w:t xml:space="preserve"> </w:t>
            </w:r>
            <w:r>
              <w:rPr>
                <w:b/>
                <w:lang w:val="fr-FR"/>
              </w:rPr>
              <w:t>3</w:t>
            </w:r>
            <w:r w:rsidRPr="00E15B9B">
              <w:rPr>
                <w:b/>
                <w:lang w:val="fr-FR"/>
              </w:rPr>
              <w:t>.</w:t>
            </w:r>
            <w:r>
              <w:rPr>
                <w:b/>
                <w:lang w:val="fr-FR"/>
              </w:rPr>
              <w:t>1</w:t>
            </w:r>
            <w:r w:rsidRPr="00E15B9B">
              <w:rPr>
                <w:b/>
                <w:lang w:val="fr-FR"/>
              </w:rPr>
              <w:t>.</w:t>
            </w:r>
            <w:r w:rsidRPr="00807E95">
              <w:rPr>
                <w:b/>
                <w:lang w:val="fr-FR"/>
              </w:rPr>
              <w:t>1 :</w:t>
            </w:r>
            <w:r w:rsidRPr="00807E95">
              <w:rPr>
                <w:lang w:val="fr-FR"/>
              </w:rPr>
              <w:t xml:space="preserve"> </w:t>
            </w:r>
            <w:r w:rsidRPr="00C41C9D">
              <w:rPr>
                <w:lang w:val="fr-FR"/>
              </w:rPr>
              <w:t>Cellule de suivi, d’évaluation et de communication en place et fonctionnelle</w:t>
            </w:r>
            <w:r>
              <w:rPr>
                <w:lang w:val="fr-FR"/>
              </w:rPr>
              <w:t xml:space="preserve">. </w:t>
            </w:r>
          </w:p>
          <w:p w:rsidR="004820EE" w:rsidRPr="00807E95" w:rsidRDefault="004820EE" w:rsidP="00FB6510">
            <w:pPr>
              <w:rPr>
                <w:b/>
                <w:lang w:val="fr-FR"/>
              </w:rPr>
            </w:pPr>
            <w:r w:rsidRPr="00807E95">
              <w:rPr>
                <w:b/>
                <w:lang w:val="fr-FR"/>
              </w:rPr>
              <w:t xml:space="preserve">Indicateur de référence: </w:t>
            </w:r>
            <w:r w:rsidRPr="00C41C9D">
              <w:rPr>
                <w:lang w:val="fr-FR"/>
              </w:rPr>
              <w:t>Direction d’Etudes, de Planification et de Suivi en place avec des moyens limités</w:t>
            </w:r>
          </w:p>
          <w:p w:rsidR="004820EE" w:rsidRPr="00807E95" w:rsidRDefault="004820EE" w:rsidP="00FB6510">
            <w:pPr>
              <w:rPr>
                <w:rFonts w:cs="Calibri"/>
                <w:lang w:val="fr-FR" w:eastAsia="fr-FR"/>
              </w:rPr>
            </w:pPr>
            <w:r w:rsidRPr="00807E95">
              <w:rPr>
                <w:b/>
                <w:lang w:val="fr-FR"/>
              </w:rPr>
              <w:t xml:space="preserve">Indicateur cible: </w:t>
            </w:r>
            <w:r w:rsidRPr="00386752">
              <w:rPr>
                <w:lang w:val="fr-FR"/>
              </w:rPr>
              <w:t>O</w:t>
            </w:r>
            <w:r w:rsidRPr="00C41C9D">
              <w:rPr>
                <w:lang w:val="fr-FR"/>
              </w:rPr>
              <w:t xml:space="preserve">bservatoire </w:t>
            </w:r>
            <w:r>
              <w:rPr>
                <w:lang w:val="fr-FR"/>
              </w:rPr>
              <w:t>de la décentralisation opérationnel</w:t>
            </w:r>
          </w:p>
          <w:p w:rsidR="004820EE" w:rsidRDefault="004820EE" w:rsidP="00FB6510">
            <w:pPr>
              <w:rPr>
                <w:rFonts w:cs="Calibri"/>
                <w:spacing w:val="-2"/>
                <w:lang w:val="fr-FR"/>
              </w:rPr>
            </w:pPr>
          </w:p>
          <w:p w:rsidR="004820EE" w:rsidRPr="00807E95" w:rsidRDefault="004820EE" w:rsidP="00FB6510">
            <w:pPr>
              <w:rPr>
                <w:lang w:val="fr-FR"/>
              </w:rPr>
            </w:pPr>
            <w:r>
              <w:rPr>
                <w:b/>
                <w:lang w:val="fr-FR"/>
              </w:rPr>
              <w:t>Indicateur</w:t>
            </w:r>
            <w:r w:rsidRPr="00E15B9B">
              <w:rPr>
                <w:b/>
                <w:lang w:val="fr-FR"/>
              </w:rPr>
              <w:t xml:space="preserve"> </w:t>
            </w:r>
            <w:r>
              <w:rPr>
                <w:b/>
                <w:lang w:val="fr-FR"/>
              </w:rPr>
              <w:t>3</w:t>
            </w:r>
            <w:r w:rsidRPr="00E15B9B">
              <w:rPr>
                <w:b/>
                <w:lang w:val="fr-FR"/>
              </w:rPr>
              <w:t>.</w:t>
            </w:r>
            <w:r>
              <w:rPr>
                <w:b/>
                <w:lang w:val="fr-FR"/>
              </w:rPr>
              <w:t>1</w:t>
            </w:r>
            <w:r w:rsidRPr="00E15B9B">
              <w:rPr>
                <w:b/>
                <w:lang w:val="fr-FR"/>
              </w:rPr>
              <w:t>.</w:t>
            </w:r>
            <w:r>
              <w:rPr>
                <w:b/>
                <w:lang w:val="fr-FR"/>
              </w:rPr>
              <w:t>2</w:t>
            </w:r>
            <w:r w:rsidRPr="00807E95">
              <w:rPr>
                <w:b/>
                <w:lang w:val="fr-FR"/>
              </w:rPr>
              <w:t> :</w:t>
            </w:r>
            <w:r w:rsidRPr="00807E95">
              <w:rPr>
                <w:lang w:val="fr-FR"/>
              </w:rPr>
              <w:t xml:space="preserve"> </w:t>
            </w:r>
            <w:r w:rsidRPr="00C41C9D">
              <w:rPr>
                <w:lang w:val="fr-FR"/>
              </w:rPr>
              <w:t xml:space="preserve">Capacités renforcées via du personnel compétent, des </w:t>
            </w:r>
            <w:r w:rsidRPr="00C41C9D">
              <w:rPr>
                <w:lang w:val="fr-FR"/>
              </w:rPr>
              <w:lastRenderedPageBreak/>
              <w:t>équipements et un espace de travail</w:t>
            </w:r>
            <w:r>
              <w:rPr>
                <w:lang w:val="fr-FR"/>
              </w:rPr>
              <w:t xml:space="preserve">. </w:t>
            </w:r>
          </w:p>
          <w:p w:rsidR="004820EE" w:rsidRPr="00807E95" w:rsidRDefault="004820EE" w:rsidP="00FB6510">
            <w:pPr>
              <w:rPr>
                <w:b/>
                <w:lang w:val="fr-FR"/>
              </w:rPr>
            </w:pPr>
            <w:r w:rsidRPr="00807E95">
              <w:rPr>
                <w:b/>
                <w:lang w:val="fr-FR"/>
              </w:rPr>
              <w:t xml:space="preserve">Indicateur de référence: </w:t>
            </w:r>
            <w:r w:rsidRPr="00C41C9D">
              <w:rPr>
                <w:lang w:val="fr-FR"/>
              </w:rPr>
              <w:t>Direction d’Etudes, de Planification et de Suivi en place avec des moyens limités</w:t>
            </w:r>
            <w:r>
              <w:rPr>
                <w:lang w:val="fr-FR"/>
              </w:rPr>
              <w:t>.</w:t>
            </w:r>
          </w:p>
          <w:p w:rsidR="004820EE" w:rsidRPr="00C41C9D" w:rsidRDefault="004820EE" w:rsidP="00FB6510">
            <w:pPr>
              <w:tabs>
                <w:tab w:val="left" w:pos="-720"/>
                <w:tab w:val="left" w:pos="4500"/>
              </w:tabs>
              <w:suppressAutoHyphens/>
              <w:rPr>
                <w:rFonts w:cs="Calibri"/>
                <w:spacing w:val="-2"/>
                <w:lang w:val="fr-FR"/>
              </w:rPr>
            </w:pPr>
            <w:r w:rsidRPr="00807E95">
              <w:rPr>
                <w:b/>
                <w:lang w:val="fr-FR"/>
              </w:rPr>
              <w:t xml:space="preserve">Indicateur cible: </w:t>
            </w:r>
            <w:r w:rsidRPr="00C41C9D">
              <w:rPr>
                <w:rFonts w:cs="Calibri"/>
                <w:spacing w:val="-2"/>
                <w:lang w:val="fr-FR"/>
              </w:rPr>
              <w:t>Nombre de cadres recrutés pour le service de communication et d</w:t>
            </w:r>
            <w:r>
              <w:rPr>
                <w:rFonts w:cs="Calibri"/>
                <w:spacing w:val="-2"/>
                <w:lang w:val="fr-FR"/>
              </w:rPr>
              <w:t>e suivi-évaluation (3) et formé</w:t>
            </w:r>
            <w:r w:rsidRPr="00C41C9D">
              <w:rPr>
                <w:rFonts w:cs="Calibri"/>
                <w:spacing w:val="-2"/>
                <w:lang w:val="fr-FR"/>
              </w:rPr>
              <w:t>s</w:t>
            </w:r>
          </w:p>
          <w:p w:rsidR="004820EE" w:rsidRDefault="004820EE" w:rsidP="00FB6510">
            <w:pPr>
              <w:rPr>
                <w:lang w:val="fr-FR"/>
              </w:rPr>
            </w:pPr>
          </w:p>
          <w:p w:rsidR="004820EE" w:rsidRPr="00807E95" w:rsidRDefault="004820EE" w:rsidP="00FB6510">
            <w:pPr>
              <w:rPr>
                <w:rFonts w:cs="Calibri"/>
                <w:lang w:val="fr-FR" w:eastAsia="fr-FR"/>
              </w:rPr>
            </w:pPr>
            <w:r w:rsidRPr="00727213">
              <w:rPr>
                <w:b/>
                <w:lang w:val="fr-FR"/>
              </w:rPr>
              <w:t>Indicateur 3.1.3 :</w:t>
            </w:r>
            <w:r>
              <w:rPr>
                <w:lang w:val="fr-FR"/>
              </w:rPr>
              <w:t xml:space="preserve"> </w:t>
            </w:r>
            <w:r w:rsidRPr="00C41C9D">
              <w:rPr>
                <w:lang w:val="fr-FR"/>
              </w:rPr>
              <w:t>Mécanisme de coordination et d’appui aux collectivités territoriales en place et fonctionnel</w:t>
            </w:r>
          </w:p>
          <w:p w:rsidR="004820EE" w:rsidRPr="008723F6" w:rsidRDefault="004820EE" w:rsidP="00FB6510">
            <w:pPr>
              <w:rPr>
                <w:rFonts w:cs="Calibri"/>
                <w:spacing w:val="-2"/>
                <w:lang w:val="fr-FR"/>
              </w:rPr>
            </w:pPr>
            <w:r w:rsidRPr="00807E95">
              <w:rPr>
                <w:b/>
                <w:lang w:val="fr-FR"/>
              </w:rPr>
              <w:t>Indicateur de référence:</w:t>
            </w:r>
            <w:r w:rsidRPr="00C41C9D">
              <w:rPr>
                <w:lang w:val="fr-FR"/>
              </w:rPr>
              <w:t xml:space="preserve"> Mécanisme inexistant</w:t>
            </w:r>
          </w:p>
          <w:p w:rsidR="004820EE" w:rsidRPr="00C41C9D" w:rsidRDefault="004820EE" w:rsidP="00FB6510">
            <w:pPr>
              <w:tabs>
                <w:tab w:val="left" w:pos="-720"/>
                <w:tab w:val="left" w:pos="4500"/>
              </w:tabs>
              <w:suppressAutoHyphens/>
              <w:rPr>
                <w:rFonts w:cs="Calibri"/>
                <w:spacing w:val="-2"/>
                <w:lang w:val="fr-FR"/>
              </w:rPr>
            </w:pPr>
            <w:r w:rsidRPr="00807E95">
              <w:rPr>
                <w:b/>
                <w:lang w:val="fr-FR"/>
              </w:rPr>
              <w:t>Indicateur cible:</w:t>
            </w:r>
            <w:r w:rsidRPr="00C41C9D">
              <w:rPr>
                <w:rFonts w:cs="Calibri"/>
                <w:spacing w:val="-2"/>
                <w:lang w:val="fr-FR"/>
              </w:rPr>
              <w:t xml:space="preserve"> Mécanisme d’appui au montage,  à l’opérationnalisation et au suivi des ATL et CRC</w:t>
            </w:r>
          </w:p>
          <w:p w:rsidR="004820EE" w:rsidRPr="00C41C9D" w:rsidRDefault="004820EE" w:rsidP="00FB6510">
            <w:pPr>
              <w:rPr>
                <w:b/>
                <w:lang w:val="fr-FR"/>
              </w:rPr>
            </w:pPr>
          </w:p>
        </w:tc>
        <w:tc>
          <w:tcPr>
            <w:tcW w:w="3745" w:type="dxa"/>
            <w:shd w:val="clear" w:color="auto" w:fill="auto"/>
          </w:tcPr>
          <w:p w:rsidR="004820EE" w:rsidRPr="00727213" w:rsidRDefault="004820EE" w:rsidP="00FB6510">
            <w:pPr>
              <w:pStyle w:val="BodyText"/>
              <w:jc w:val="both"/>
              <w:rPr>
                <w:rFonts w:ascii="Times New Roman" w:hAnsi="Times New Roman" w:cs="Times New Roman"/>
                <w:bCs/>
                <w:sz w:val="24"/>
                <w:szCs w:val="24"/>
                <w:lang w:val="fr-FR"/>
              </w:rPr>
            </w:pPr>
          </w:p>
          <w:p w:rsidR="004820EE" w:rsidRDefault="004820EE" w:rsidP="00FB6510">
            <w:pPr>
              <w:pStyle w:val="BodyText"/>
              <w:jc w:val="both"/>
              <w:rPr>
                <w:rFonts w:ascii="Times New Roman" w:hAnsi="Times New Roman" w:cs="Times New Roman"/>
                <w:bCs/>
                <w:sz w:val="24"/>
                <w:szCs w:val="24"/>
                <w:lang w:val="fr-FR"/>
              </w:rPr>
            </w:pPr>
          </w:p>
          <w:p w:rsidR="00386752" w:rsidRPr="00727213" w:rsidRDefault="00386752" w:rsidP="00FB6510">
            <w:pPr>
              <w:pStyle w:val="BodyText"/>
              <w:jc w:val="both"/>
              <w:rPr>
                <w:rFonts w:ascii="Times New Roman" w:hAnsi="Times New Roman" w:cs="Times New Roman"/>
                <w:bCs/>
                <w:sz w:val="24"/>
                <w:szCs w:val="24"/>
                <w:lang w:val="fr-FR"/>
              </w:rPr>
            </w:pPr>
          </w:p>
          <w:p w:rsidR="004820EE" w:rsidRPr="00727213" w:rsidRDefault="004820EE" w:rsidP="00FB6510">
            <w:pPr>
              <w:pStyle w:val="BodyText"/>
              <w:jc w:val="both"/>
              <w:rPr>
                <w:rFonts w:ascii="Times New Roman" w:hAnsi="Times New Roman" w:cs="Times New Roman"/>
                <w:bCs/>
                <w:sz w:val="24"/>
                <w:szCs w:val="24"/>
                <w:lang w:val="fr-FR"/>
              </w:rPr>
            </w:pPr>
          </w:p>
          <w:p w:rsidR="004820EE" w:rsidRPr="00C868EA" w:rsidRDefault="004820EE" w:rsidP="00FB6510">
            <w:pPr>
              <w:pStyle w:val="BodyText"/>
              <w:jc w:val="both"/>
              <w:rPr>
                <w:rFonts w:ascii="Times New Roman" w:hAnsi="Times New Roman" w:cs="Times New Roman"/>
                <w:sz w:val="24"/>
                <w:szCs w:val="24"/>
                <w:lang w:val="fr-FR"/>
              </w:rPr>
            </w:pPr>
            <w:r w:rsidRPr="00C868EA">
              <w:rPr>
                <w:rFonts w:ascii="Times New Roman" w:hAnsi="Times New Roman" w:cs="Times New Roman"/>
                <w:sz w:val="24"/>
                <w:szCs w:val="24"/>
                <w:lang w:val="fr-FR"/>
              </w:rPr>
              <w:t xml:space="preserve">Placement de la Cellule de Suivi-Evaluation et Communication sous la supervision administrative de la Direction Générale et la supervision technique de la Direction des Collectivités Territoriales et collaboration appui possible aux autres directions du MICT. </w:t>
            </w:r>
          </w:p>
          <w:p w:rsidR="004820EE" w:rsidRPr="00C868EA" w:rsidRDefault="004820EE" w:rsidP="00FB6510">
            <w:pPr>
              <w:pStyle w:val="BodyText"/>
              <w:jc w:val="both"/>
              <w:rPr>
                <w:rFonts w:ascii="Times New Roman" w:hAnsi="Times New Roman" w:cs="Times New Roman"/>
                <w:sz w:val="24"/>
                <w:szCs w:val="24"/>
                <w:lang w:val="fr-FR"/>
              </w:rPr>
            </w:pPr>
          </w:p>
          <w:p w:rsidR="004820EE" w:rsidRPr="00C868EA" w:rsidRDefault="004820EE" w:rsidP="004C14C0">
            <w:pPr>
              <w:jc w:val="both"/>
              <w:rPr>
                <w:lang w:val="fr-FR"/>
              </w:rPr>
            </w:pPr>
            <w:r w:rsidRPr="00C868EA">
              <w:rPr>
                <w:lang w:val="fr-FR"/>
              </w:rPr>
              <w:t xml:space="preserve">3 cadres composant la CSEC en fonction depuis la fin 2012. Le staff </w:t>
            </w:r>
            <w:r w:rsidR="00C868EA">
              <w:rPr>
                <w:lang w:val="fr-FR"/>
              </w:rPr>
              <w:lastRenderedPageBreak/>
              <w:t>de la Cellule est compose d’un é</w:t>
            </w:r>
            <w:r w:rsidR="00C868EA" w:rsidRPr="00C868EA">
              <w:rPr>
                <w:lang w:val="fr-FR"/>
              </w:rPr>
              <w:t>valua</w:t>
            </w:r>
            <w:r w:rsidR="00C868EA">
              <w:rPr>
                <w:lang w:val="fr-FR"/>
              </w:rPr>
              <w:t>teur des politiques publiques, u</w:t>
            </w:r>
            <w:r w:rsidRPr="00C868EA">
              <w:rPr>
                <w:lang w:val="fr-FR"/>
              </w:rPr>
              <w:t>n s</w:t>
            </w:r>
            <w:r w:rsidR="00C868EA">
              <w:rPr>
                <w:lang w:val="fr-FR"/>
              </w:rPr>
              <w:t xml:space="preserve">pécialiste </w:t>
            </w:r>
            <w:proofErr w:type="spellStart"/>
            <w:r w:rsidR="00C868EA">
              <w:rPr>
                <w:lang w:val="fr-FR"/>
              </w:rPr>
              <w:t>géomaticien</w:t>
            </w:r>
            <w:proofErr w:type="spellEnd"/>
            <w:r w:rsidR="00C868EA">
              <w:rPr>
                <w:lang w:val="fr-FR"/>
              </w:rPr>
              <w:t xml:space="preserve"> et d’un spécialiste en c</w:t>
            </w:r>
            <w:r w:rsidRPr="00C868EA">
              <w:rPr>
                <w:lang w:val="fr-FR"/>
              </w:rPr>
              <w:t>ommunication.</w:t>
            </w:r>
          </w:p>
          <w:p w:rsidR="004820EE" w:rsidRPr="00C868EA" w:rsidRDefault="004820EE" w:rsidP="00FB6510">
            <w:pPr>
              <w:jc w:val="both"/>
              <w:rPr>
                <w:lang w:val="fr-FR"/>
              </w:rPr>
            </w:pPr>
          </w:p>
          <w:p w:rsidR="004820EE" w:rsidRDefault="004820EE" w:rsidP="004C14C0">
            <w:pPr>
              <w:pStyle w:val="BodyText"/>
              <w:jc w:val="both"/>
              <w:rPr>
                <w:rFonts w:ascii="Times New Roman" w:hAnsi="Times New Roman" w:cs="Times New Roman"/>
                <w:sz w:val="24"/>
                <w:szCs w:val="24"/>
                <w:lang w:val="fr-FR"/>
              </w:rPr>
            </w:pPr>
            <w:r w:rsidRPr="00C868EA">
              <w:rPr>
                <w:rFonts w:ascii="Times New Roman" w:hAnsi="Times New Roman" w:cs="Times New Roman"/>
                <w:sz w:val="24"/>
                <w:szCs w:val="24"/>
                <w:lang w:val="fr-FR"/>
              </w:rPr>
              <w:t>La Ce</w:t>
            </w:r>
            <w:r w:rsidR="00C868EA">
              <w:rPr>
                <w:rFonts w:ascii="Times New Roman" w:hAnsi="Times New Roman" w:cs="Times New Roman"/>
                <w:sz w:val="24"/>
                <w:szCs w:val="24"/>
                <w:lang w:val="fr-FR"/>
              </w:rPr>
              <w:t>llule de suivi, é</w:t>
            </w:r>
            <w:r w:rsidR="00C868EA" w:rsidRPr="00C868EA">
              <w:rPr>
                <w:rFonts w:ascii="Times New Roman" w:hAnsi="Times New Roman" w:cs="Times New Roman"/>
                <w:sz w:val="24"/>
                <w:szCs w:val="24"/>
                <w:lang w:val="fr-FR"/>
              </w:rPr>
              <w:t>valuation</w:t>
            </w:r>
            <w:r w:rsidRPr="00C868EA">
              <w:rPr>
                <w:rFonts w:ascii="Times New Roman" w:hAnsi="Times New Roman" w:cs="Times New Roman"/>
                <w:sz w:val="24"/>
                <w:szCs w:val="24"/>
                <w:lang w:val="fr-FR"/>
              </w:rPr>
              <w:t xml:space="preserve"> </w:t>
            </w:r>
            <w:r w:rsidR="00C868EA">
              <w:rPr>
                <w:rFonts w:ascii="Times New Roman" w:hAnsi="Times New Roman" w:cs="Times New Roman"/>
                <w:sz w:val="24"/>
                <w:szCs w:val="24"/>
                <w:lang w:val="fr-FR"/>
              </w:rPr>
              <w:t xml:space="preserve">et communication </w:t>
            </w:r>
            <w:r w:rsidRPr="00C868EA">
              <w:rPr>
                <w:rFonts w:ascii="Times New Roman" w:hAnsi="Times New Roman" w:cs="Times New Roman"/>
                <w:sz w:val="24"/>
                <w:szCs w:val="24"/>
                <w:lang w:val="fr-FR"/>
              </w:rPr>
              <w:t>en place et fonctionnement et travail en pleine collaboration avec la Direction des Collectivité Territoriale, la Direction de la Planification et autre</w:t>
            </w:r>
            <w:r w:rsidR="00386752">
              <w:rPr>
                <w:rFonts w:ascii="Times New Roman" w:hAnsi="Times New Roman" w:cs="Times New Roman"/>
                <w:sz w:val="24"/>
                <w:szCs w:val="24"/>
                <w:lang w:val="fr-FR"/>
              </w:rPr>
              <w:t>s</w:t>
            </w:r>
            <w:r w:rsidR="00C868EA">
              <w:rPr>
                <w:rFonts w:ascii="Times New Roman" w:hAnsi="Times New Roman" w:cs="Times New Roman"/>
                <w:sz w:val="24"/>
                <w:szCs w:val="24"/>
                <w:lang w:val="fr-FR"/>
              </w:rPr>
              <w:t>.</w:t>
            </w:r>
          </w:p>
          <w:p w:rsidR="004820EE" w:rsidRPr="00727213" w:rsidRDefault="004820EE" w:rsidP="00C868EA">
            <w:pPr>
              <w:pStyle w:val="BodyText"/>
              <w:jc w:val="both"/>
              <w:rPr>
                <w:rFonts w:ascii="Times New Roman" w:hAnsi="Times New Roman" w:cs="Times New Roman"/>
                <w:bCs/>
                <w:sz w:val="24"/>
                <w:szCs w:val="24"/>
                <w:lang w:val="fr-FR"/>
              </w:rPr>
            </w:pPr>
          </w:p>
        </w:tc>
        <w:tc>
          <w:tcPr>
            <w:tcW w:w="3960" w:type="dxa"/>
            <w:shd w:val="clear" w:color="auto" w:fill="auto"/>
          </w:tcPr>
          <w:p w:rsidR="004820EE" w:rsidRPr="00727213" w:rsidRDefault="004820EE" w:rsidP="00FB6510">
            <w:pPr>
              <w:pStyle w:val="BodyText"/>
              <w:jc w:val="both"/>
              <w:rPr>
                <w:rFonts w:ascii="Times New Roman" w:hAnsi="Times New Roman" w:cs="Times New Roman"/>
                <w:bCs/>
                <w:sz w:val="24"/>
                <w:szCs w:val="24"/>
                <w:lang w:val="fr-FR"/>
              </w:rPr>
            </w:pPr>
          </w:p>
          <w:p w:rsidR="004820EE" w:rsidRPr="00727213" w:rsidRDefault="004820EE" w:rsidP="00FB6510">
            <w:pPr>
              <w:pStyle w:val="BodyText"/>
              <w:jc w:val="both"/>
              <w:rPr>
                <w:rFonts w:ascii="Times New Roman" w:hAnsi="Times New Roman" w:cs="Times New Roman"/>
                <w:bCs/>
                <w:sz w:val="24"/>
                <w:szCs w:val="24"/>
                <w:lang w:val="fr-FR"/>
              </w:rPr>
            </w:pPr>
          </w:p>
          <w:p w:rsidR="004820EE" w:rsidRPr="00727213" w:rsidRDefault="004820EE" w:rsidP="00FB6510">
            <w:pPr>
              <w:pStyle w:val="BodyText"/>
              <w:jc w:val="both"/>
              <w:rPr>
                <w:rFonts w:ascii="Times New Roman" w:hAnsi="Times New Roman" w:cs="Times New Roman"/>
                <w:bCs/>
                <w:sz w:val="24"/>
                <w:szCs w:val="24"/>
                <w:lang w:val="fr-FR"/>
              </w:rPr>
            </w:pPr>
          </w:p>
          <w:p w:rsidR="004820EE" w:rsidRPr="00727213" w:rsidRDefault="004820EE" w:rsidP="00FB6510">
            <w:pPr>
              <w:pStyle w:val="BodyText"/>
              <w:jc w:val="both"/>
              <w:rPr>
                <w:rFonts w:ascii="Times New Roman" w:hAnsi="Times New Roman" w:cs="Times New Roman"/>
                <w:sz w:val="24"/>
                <w:szCs w:val="24"/>
                <w:lang w:val="fr-FR"/>
              </w:rPr>
            </w:pPr>
          </w:p>
          <w:p w:rsidR="004820EE" w:rsidRPr="00727213" w:rsidRDefault="004820EE" w:rsidP="00FB6510">
            <w:pPr>
              <w:pStyle w:val="BodyText"/>
              <w:jc w:val="both"/>
              <w:rPr>
                <w:rFonts w:ascii="Times New Roman" w:hAnsi="Times New Roman" w:cs="Times New Roman"/>
                <w:sz w:val="24"/>
                <w:szCs w:val="24"/>
                <w:lang w:val="fr-FR"/>
              </w:rPr>
            </w:pPr>
          </w:p>
          <w:p w:rsidR="004820EE" w:rsidRPr="00727213" w:rsidRDefault="004820EE" w:rsidP="00FB6510">
            <w:pPr>
              <w:pStyle w:val="BodyText"/>
              <w:jc w:val="both"/>
              <w:rPr>
                <w:rFonts w:ascii="Times New Roman" w:hAnsi="Times New Roman" w:cs="Times New Roman"/>
                <w:sz w:val="24"/>
                <w:szCs w:val="24"/>
                <w:lang w:val="fr-FR"/>
              </w:rPr>
            </w:pPr>
          </w:p>
          <w:p w:rsidR="004820EE" w:rsidRPr="00727213" w:rsidRDefault="004820EE" w:rsidP="00FB6510">
            <w:pPr>
              <w:pStyle w:val="BodyText"/>
              <w:jc w:val="both"/>
              <w:rPr>
                <w:rFonts w:ascii="Times New Roman" w:hAnsi="Times New Roman" w:cs="Times New Roman"/>
                <w:sz w:val="24"/>
                <w:szCs w:val="24"/>
                <w:lang w:val="fr-FR"/>
              </w:rPr>
            </w:pPr>
          </w:p>
          <w:p w:rsidR="004820EE" w:rsidRPr="00727213" w:rsidRDefault="004820EE" w:rsidP="00FB6510">
            <w:pPr>
              <w:pStyle w:val="BodyText"/>
              <w:jc w:val="both"/>
              <w:rPr>
                <w:rFonts w:ascii="Times New Roman" w:hAnsi="Times New Roman" w:cs="Times New Roman"/>
                <w:sz w:val="24"/>
                <w:szCs w:val="24"/>
                <w:lang w:val="fr-FR"/>
              </w:rPr>
            </w:pPr>
          </w:p>
          <w:p w:rsidR="004820EE" w:rsidRPr="00727213" w:rsidRDefault="004820EE" w:rsidP="00FB6510">
            <w:pPr>
              <w:pStyle w:val="BodyText"/>
              <w:jc w:val="both"/>
              <w:rPr>
                <w:rFonts w:ascii="Times New Roman" w:hAnsi="Times New Roman" w:cs="Times New Roman"/>
                <w:sz w:val="24"/>
                <w:szCs w:val="24"/>
                <w:lang w:val="fr-FR"/>
              </w:rPr>
            </w:pPr>
          </w:p>
          <w:p w:rsidR="004820EE" w:rsidRPr="00727213" w:rsidRDefault="004820EE" w:rsidP="00FB6510">
            <w:pPr>
              <w:pStyle w:val="BodyText"/>
              <w:jc w:val="both"/>
              <w:rPr>
                <w:rFonts w:ascii="Times New Roman" w:hAnsi="Times New Roman" w:cs="Times New Roman"/>
                <w:sz w:val="24"/>
                <w:szCs w:val="24"/>
                <w:lang w:val="fr-FR"/>
              </w:rPr>
            </w:pPr>
          </w:p>
          <w:p w:rsidR="004820EE" w:rsidRDefault="004820EE" w:rsidP="00FB6510">
            <w:pPr>
              <w:pStyle w:val="BodyText"/>
              <w:jc w:val="both"/>
              <w:rPr>
                <w:rFonts w:ascii="Times New Roman" w:hAnsi="Times New Roman" w:cs="Times New Roman"/>
                <w:spacing w:val="-2"/>
                <w:sz w:val="24"/>
                <w:szCs w:val="24"/>
                <w:lang w:val="fr-FR"/>
              </w:rPr>
            </w:pPr>
          </w:p>
          <w:p w:rsidR="004820EE" w:rsidRPr="00727213" w:rsidRDefault="004820EE" w:rsidP="00FB6510">
            <w:pPr>
              <w:pStyle w:val="BodyText"/>
              <w:jc w:val="both"/>
              <w:rPr>
                <w:rFonts w:ascii="Times New Roman" w:hAnsi="Times New Roman" w:cs="Times New Roman"/>
                <w:spacing w:val="-2"/>
                <w:sz w:val="24"/>
                <w:szCs w:val="24"/>
                <w:lang w:val="fr-FR"/>
              </w:rPr>
            </w:pPr>
          </w:p>
          <w:p w:rsidR="004820EE" w:rsidRPr="00727213" w:rsidRDefault="004820EE" w:rsidP="00FB6510">
            <w:pPr>
              <w:pStyle w:val="BodyText"/>
              <w:jc w:val="both"/>
              <w:rPr>
                <w:rFonts w:ascii="Times New Roman" w:hAnsi="Times New Roman" w:cs="Times New Roman"/>
                <w:spacing w:val="-2"/>
                <w:sz w:val="24"/>
                <w:szCs w:val="24"/>
                <w:lang w:val="fr-FR"/>
              </w:rPr>
            </w:pPr>
          </w:p>
          <w:p w:rsidR="004820EE" w:rsidRPr="00727213" w:rsidRDefault="004820EE" w:rsidP="00FB6510">
            <w:pPr>
              <w:pStyle w:val="BodyText"/>
              <w:jc w:val="both"/>
              <w:rPr>
                <w:rFonts w:ascii="Times New Roman" w:hAnsi="Times New Roman" w:cs="Times New Roman"/>
                <w:spacing w:val="-2"/>
                <w:sz w:val="24"/>
                <w:szCs w:val="24"/>
                <w:lang w:val="fr-FR"/>
              </w:rPr>
            </w:pPr>
          </w:p>
          <w:p w:rsidR="004820EE" w:rsidRPr="00727213" w:rsidRDefault="004820EE" w:rsidP="00FB6510">
            <w:pPr>
              <w:pStyle w:val="BodyText"/>
              <w:jc w:val="both"/>
              <w:rPr>
                <w:rFonts w:ascii="Times New Roman" w:hAnsi="Times New Roman" w:cs="Times New Roman"/>
                <w:spacing w:val="-2"/>
                <w:sz w:val="24"/>
                <w:szCs w:val="24"/>
                <w:lang w:val="fr-FR"/>
              </w:rPr>
            </w:pPr>
          </w:p>
          <w:p w:rsidR="004820EE" w:rsidRPr="00727213" w:rsidRDefault="004820EE" w:rsidP="00FB6510">
            <w:pPr>
              <w:pStyle w:val="BodyText"/>
              <w:jc w:val="both"/>
              <w:rPr>
                <w:rFonts w:ascii="Times New Roman" w:hAnsi="Times New Roman" w:cs="Times New Roman"/>
                <w:spacing w:val="-2"/>
                <w:sz w:val="24"/>
                <w:szCs w:val="24"/>
                <w:lang w:val="fr-FR"/>
              </w:rPr>
            </w:pPr>
          </w:p>
          <w:p w:rsidR="004820EE" w:rsidRPr="00727213" w:rsidRDefault="004820EE" w:rsidP="00FB6510">
            <w:pPr>
              <w:pStyle w:val="BodyText"/>
              <w:jc w:val="both"/>
              <w:rPr>
                <w:rFonts w:ascii="Times New Roman" w:hAnsi="Times New Roman" w:cs="Times New Roman"/>
                <w:spacing w:val="-2"/>
                <w:sz w:val="24"/>
                <w:szCs w:val="24"/>
                <w:lang w:val="fr-FR"/>
              </w:rPr>
            </w:pPr>
          </w:p>
          <w:p w:rsidR="004820EE" w:rsidRPr="00727213" w:rsidRDefault="004820EE" w:rsidP="00FB6510">
            <w:pPr>
              <w:pStyle w:val="BodyText"/>
              <w:jc w:val="both"/>
              <w:rPr>
                <w:rFonts w:ascii="Times New Roman" w:hAnsi="Times New Roman" w:cs="Times New Roman"/>
                <w:spacing w:val="-2"/>
                <w:sz w:val="24"/>
                <w:szCs w:val="24"/>
                <w:lang w:val="fr-FR"/>
              </w:rPr>
            </w:pPr>
          </w:p>
          <w:p w:rsidR="004820EE" w:rsidRPr="00727213" w:rsidRDefault="004820EE" w:rsidP="00FB6510">
            <w:pPr>
              <w:pStyle w:val="BodyText"/>
              <w:jc w:val="both"/>
              <w:rPr>
                <w:rFonts w:ascii="Times New Roman" w:hAnsi="Times New Roman" w:cs="Times New Roman"/>
                <w:bCs/>
                <w:sz w:val="24"/>
                <w:szCs w:val="24"/>
                <w:lang w:val="fr-FR"/>
              </w:rPr>
            </w:pPr>
          </w:p>
        </w:tc>
        <w:tc>
          <w:tcPr>
            <w:tcW w:w="3150" w:type="dxa"/>
            <w:shd w:val="clear" w:color="auto" w:fill="auto"/>
          </w:tcPr>
          <w:p w:rsidR="004820EE" w:rsidRPr="00727213" w:rsidRDefault="004820EE" w:rsidP="00FB6510">
            <w:pPr>
              <w:pStyle w:val="BodyText"/>
              <w:jc w:val="both"/>
              <w:rPr>
                <w:rFonts w:ascii="Times New Roman" w:hAnsi="Times New Roman" w:cs="Times New Roman"/>
                <w:bCs/>
                <w:sz w:val="24"/>
                <w:szCs w:val="24"/>
                <w:lang w:val="fr-FR"/>
              </w:rPr>
            </w:pPr>
          </w:p>
          <w:p w:rsidR="004820EE" w:rsidRPr="00727213" w:rsidRDefault="004820EE" w:rsidP="00FB6510">
            <w:pPr>
              <w:pStyle w:val="BodyText"/>
              <w:jc w:val="both"/>
              <w:rPr>
                <w:rFonts w:ascii="Times New Roman" w:hAnsi="Times New Roman" w:cs="Times New Roman"/>
                <w:bCs/>
                <w:sz w:val="24"/>
                <w:szCs w:val="24"/>
                <w:lang w:val="fr-FR"/>
              </w:rPr>
            </w:pPr>
          </w:p>
          <w:p w:rsidR="004820EE" w:rsidRDefault="004820EE" w:rsidP="00FB6510">
            <w:pPr>
              <w:pStyle w:val="BodyText"/>
              <w:jc w:val="both"/>
              <w:rPr>
                <w:rFonts w:ascii="Times New Roman" w:hAnsi="Times New Roman" w:cs="Times New Roman"/>
                <w:bCs/>
                <w:sz w:val="24"/>
                <w:szCs w:val="24"/>
                <w:lang w:val="fr-FR"/>
              </w:rPr>
            </w:pPr>
          </w:p>
          <w:p w:rsidR="00386752" w:rsidRPr="00727213" w:rsidRDefault="00386752" w:rsidP="00FB6510">
            <w:pPr>
              <w:pStyle w:val="BodyText"/>
              <w:jc w:val="both"/>
              <w:rPr>
                <w:rFonts w:ascii="Times New Roman" w:hAnsi="Times New Roman" w:cs="Times New Roman"/>
                <w:bCs/>
                <w:sz w:val="24"/>
                <w:szCs w:val="24"/>
                <w:lang w:val="fr-FR"/>
              </w:rPr>
            </w:pPr>
          </w:p>
          <w:p w:rsidR="004820EE" w:rsidRDefault="00C868EA" w:rsidP="00FB6510">
            <w:pPr>
              <w:tabs>
                <w:tab w:val="left" w:pos="-720"/>
                <w:tab w:val="left" w:pos="4500"/>
              </w:tabs>
              <w:suppressAutoHyphens/>
              <w:rPr>
                <w:spacing w:val="-2"/>
                <w:lang w:val="fr-FR"/>
              </w:rPr>
            </w:pPr>
            <w:r>
              <w:rPr>
                <w:spacing w:val="-2"/>
                <w:lang w:val="fr-FR"/>
              </w:rPr>
              <w:t>E</w:t>
            </w:r>
            <w:r w:rsidR="004820EE" w:rsidRPr="00C868EA">
              <w:rPr>
                <w:spacing w:val="-2"/>
                <w:lang w:val="fr-FR"/>
              </w:rPr>
              <w:t>ffectifs des RH</w:t>
            </w:r>
            <w:r>
              <w:rPr>
                <w:spacing w:val="-2"/>
                <w:lang w:val="fr-FR"/>
              </w:rPr>
              <w:t xml:space="preserve"> de la CSEC</w:t>
            </w:r>
          </w:p>
          <w:p w:rsidR="00C868EA" w:rsidRPr="00C868EA" w:rsidRDefault="00C868EA" w:rsidP="00FB6510">
            <w:pPr>
              <w:tabs>
                <w:tab w:val="left" w:pos="-720"/>
                <w:tab w:val="left" w:pos="4500"/>
              </w:tabs>
              <w:suppressAutoHyphens/>
              <w:rPr>
                <w:spacing w:val="-2"/>
                <w:lang w:val="fr-FR"/>
              </w:rPr>
            </w:pPr>
          </w:p>
          <w:p w:rsidR="004820EE" w:rsidRPr="00C868EA" w:rsidRDefault="004820EE" w:rsidP="00FB6510">
            <w:pPr>
              <w:pStyle w:val="BodyText"/>
              <w:jc w:val="both"/>
              <w:rPr>
                <w:rFonts w:ascii="Times New Roman" w:hAnsi="Times New Roman" w:cs="Times New Roman"/>
                <w:sz w:val="24"/>
                <w:szCs w:val="24"/>
                <w:lang w:val="fr-FR"/>
              </w:rPr>
            </w:pPr>
            <w:r w:rsidRPr="00C868EA">
              <w:rPr>
                <w:rFonts w:ascii="Times New Roman" w:hAnsi="Times New Roman" w:cs="Times New Roman"/>
                <w:sz w:val="24"/>
                <w:szCs w:val="24"/>
                <w:lang w:val="fr-FR"/>
              </w:rPr>
              <w:t xml:space="preserve">Rapports mensuels d’activités </w:t>
            </w:r>
          </w:p>
        </w:tc>
      </w:tr>
      <w:tr w:rsidR="004820EE" w:rsidRPr="00C122A6" w:rsidTr="00FB6510">
        <w:trPr>
          <w:trHeight w:val="885"/>
        </w:trPr>
        <w:tc>
          <w:tcPr>
            <w:tcW w:w="4265" w:type="dxa"/>
            <w:shd w:val="clear" w:color="auto" w:fill="auto"/>
          </w:tcPr>
          <w:p w:rsidR="004820EE" w:rsidRPr="00261AB6" w:rsidRDefault="004820EE" w:rsidP="00FB6510">
            <w:pPr>
              <w:tabs>
                <w:tab w:val="left" w:pos="-720"/>
                <w:tab w:val="left" w:pos="4500"/>
              </w:tabs>
              <w:suppressAutoHyphens/>
              <w:rPr>
                <w:lang w:val="fr-FR"/>
              </w:rPr>
            </w:pPr>
            <w:r>
              <w:rPr>
                <w:b/>
                <w:sz w:val="22"/>
                <w:szCs w:val="22"/>
                <w:lang w:val="fr-FR"/>
              </w:rPr>
              <w:lastRenderedPageBreak/>
              <w:t xml:space="preserve">Produit </w:t>
            </w:r>
            <w:r w:rsidRPr="00C41C9D">
              <w:rPr>
                <w:b/>
                <w:sz w:val="22"/>
                <w:szCs w:val="22"/>
                <w:lang w:val="fr-FR"/>
              </w:rPr>
              <w:t>3.</w:t>
            </w:r>
            <w:r>
              <w:rPr>
                <w:b/>
                <w:sz w:val="22"/>
                <w:szCs w:val="22"/>
                <w:lang w:val="fr-FR"/>
              </w:rPr>
              <w:t>2 :</w:t>
            </w:r>
            <w:r w:rsidRPr="00261AB6">
              <w:rPr>
                <w:lang w:val="fr-FR"/>
              </w:rPr>
              <w:t xml:space="preserve"> Les collectivités, à travers les ATL, disposent d’un personnel formé pour appuyer techniquement la coordination de la reconstruction et faciliter les démarches de montage de projets  techniques.</w:t>
            </w:r>
          </w:p>
          <w:p w:rsidR="00C868EA" w:rsidRDefault="00C868EA" w:rsidP="00FB6510">
            <w:pPr>
              <w:rPr>
                <w:b/>
                <w:lang w:val="fr-FR"/>
              </w:rPr>
            </w:pPr>
          </w:p>
          <w:p w:rsidR="004820EE" w:rsidRDefault="004820EE" w:rsidP="00FB6510">
            <w:pPr>
              <w:rPr>
                <w:lang w:val="fr-FR"/>
              </w:rPr>
            </w:pPr>
            <w:r>
              <w:rPr>
                <w:b/>
                <w:lang w:val="fr-FR"/>
              </w:rPr>
              <w:t>Indicateur</w:t>
            </w:r>
            <w:r w:rsidRPr="00E15B9B">
              <w:rPr>
                <w:b/>
                <w:lang w:val="fr-FR"/>
              </w:rPr>
              <w:t xml:space="preserve"> </w:t>
            </w:r>
            <w:r>
              <w:rPr>
                <w:b/>
                <w:lang w:val="fr-FR"/>
              </w:rPr>
              <w:t>3</w:t>
            </w:r>
            <w:r w:rsidRPr="00E15B9B">
              <w:rPr>
                <w:b/>
                <w:lang w:val="fr-FR"/>
              </w:rPr>
              <w:t>.</w:t>
            </w:r>
            <w:r>
              <w:rPr>
                <w:b/>
                <w:lang w:val="fr-FR"/>
              </w:rPr>
              <w:t>2</w:t>
            </w:r>
            <w:r w:rsidRPr="00E15B9B">
              <w:rPr>
                <w:b/>
                <w:lang w:val="fr-FR"/>
              </w:rPr>
              <w:t>.</w:t>
            </w:r>
            <w:r>
              <w:rPr>
                <w:b/>
                <w:lang w:val="fr-FR"/>
              </w:rPr>
              <w:t>1</w:t>
            </w:r>
            <w:r w:rsidRPr="00807E95">
              <w:rPr>
                <w:b/>
                <w:lang w:val="fr-FR"/>
              </w:rPr>
              <w:t> :</w:t>
            </w:r>
            <w:r>
              <w:rPr>
                <w:lang w:val="fr-FR"/>
              </w:rPr>
              <w:t xml:space="preserve"> Opérationnalisation des ATL</w:t>
            </w:r>
          </w:p>
          <w:p w:rsidR="004820EE" w:rsidRDefault="004820EE" w:rsidP="00FB6510">
            <w:pPr>
              <w:rPr>
                <w:b/>
                <w:sz w:val="22"/>
                <w:szCs w:val="22"/>
                <w:lang w:val="fr-FR"/>
              </w:rPr>
            </w:pPr>
            <w:r w:rsidRPr="00807E95">
              <w:rPr>
                <w:b/>
                <w:lang w:val="fr-FR"/>
              </w:rPr>
              <w:t>Indicateur de référence:</w:t>
            </w:r>
            <w:r>
              <w:rPr>
                <w:lang w:val="fr-FR"/>
              </w:rPr>
              <w:t xml:space="preserve"> Capacités limitées des communes en matière d’ingénierie </w:t>
            </w:r>
          </w:p>
          <w:p w:rsidR="004820EE" w:rsidRDefault="004820EE" w:rsidP="00FB6510">
            <w:pPr>
              <w:rPr>
                <w:rFonts w:cs="Calibri"/>
                <w:lang w:val="fr-FR"/>
              </w:rPr>
            </w:pPr>
            <w:r w:rsidRPr="00807E95">
              <w:rPr>
                <w:b/>
                <w:lang w:val="fr-FR"/>
              </w:rPr>
              <w:t>Indicateur cible:</w:t>
            </w:r>
            <w:r w:rsidRPr="00261AB6">
              <w:rPr>
                <w:rFonts w:cs="Calibri"/>
                <w:lang w:val="fr-FR"/>
              </w:rPr>
              <w:t xml:space="preserve"> Formation de 30 ingénieurs municipaux</w:t>
            </w:r>
          </w:p>
          <w:p w:rsidR="004820EE" w:rsidRDefault="004820EE" w:rsidP="00FB6510">
            <w:pPr>
              <w:rPr>
                <w:rFonts w:cs="Calibri"/>
                <w:lang w:val="fr-FR"/>
              </w:rPr>
            </w:pPr>
          </w:p>
          <w:p w:rsidR="00E92CC2" w:rsidRDefault="00E92CC2" w:rsidP="00FB6510">
            <w:pPr>
              <w:rPr>
                <w:b/>
                <w:lang w:val="fr-FR"/>
              </w:rPr>
            </w:pPr>
          </w:p>
          <w:p w:rsidR="00E92CC2" w:rsidRDefault="00E92CC2" w:rsidP="00FB6510">
            <w:pPr>
              <w:rPr>
                <w:b/>
                <w:lang w:val="fr-FR"/>
              </w:rPr>
            </w:pPr>
          </w:p>
          <w:p w:rsidR="00E92CC2" w:rsidRDefault="00E92CC2" w:rsidP="00FB6510">
            <w:pPr>
              <w:rPr>
                <w:b/>
                <w:lang w:val="fr-FR"/>
              </w:rPr>
            </w:pPr>
          </w:p>
          <w:p w:rsidR="00E92CC2" w:rsidRDefault="00E92CC2" w:rsidP="00FB6510">
            <w:pPr>
              <w:rPr>
                <w:b/>
                <w:lang w:val="fr-FR"/>
              </w:rPr>
            </w:pPr>
          </w:p>
          <w:p w:rsidR="00E92CC2" w:rsidRDefault="00E92CC2" w:rsidP="00FB6510">
            <w:pPr>
              <w:rPr>
                <w:b/>
                <w:lang w:val="fr-FR"/>
              </w:rPr>
            </w:pPr>
          </w:p>
          <w:p w:rsidR="004820EE" w:rsidRDefault="004820EE" w:rsidP="00FB6510">
            <w:pPr>
              <w:rPr>
                <w:lang w:val="fr-FR"/>
              </w:rPr>
            </w:pPr>
            <w:r w:rsidRPr="0001398E">
              <w:rPr>
                <w:b/>
                <w:lang w:val="fr-FR"/>
              </w:rPr>
              <w:t>Indicateur 3.2.2 :</w:t>
            </w:r>
            <w:r>
              <w:rPr>
                <w:lang w:val="fr-FR"/>
              </w:rPr>
              <w:t xml:space="preserve"> Opérationnalisation </w:t>
            </w:r>
            <w:r>
              <w:rPr>
                <w:lang w:val="fr-FR"/>
              </w:rPr>
              <w:lastRenderedPageBreak/>
              <w:t>des ATL et développement des capacités en gestion urbaine</w:t>
            </w:r>
          </w:p>
          <w:p w:rsidR="004820EE" w:rsidRDefault="004820EE" w:rsidP="00FB6510">
            <w:pPr>
              <w:rPr>
                <w:b/>
                <w:lang w:val="fr-FR"/>
              </w:rPr>
            </w:pPr>
            <w:r w:rsidRPr="00807E95">
              <w:rPr>
                <w:b/>
                <w:lang w:val="fr-FR"/>
              </w:rPr>
              <w:t>Indicateur de référence:</w:t>
            </w:r>
            <w:r w:rsidRPr="00261AB6">
              <w:rPr>
                <w:lang w:val="fr-FR"/>
              </w:rPr>
              <w:t xml:space="preserve"> Les métiers de la ville sont peu représ</w:t>
            </w:r>
            <w:r>
              <w:rPr>
                <w:lang w:val="fr-FR"/>
              </w:rPr>
              <w:t>en</w:t>
            </w:r>
            <w:r w:rsidRPr="00261AB6">
              <w:rPr>
                <w:lang w:val="fr-FR"/>
              </w:rPr>
              <w:t>tés au niveau des collectivités territoriales</w:t>
            </w:r>
          </w:p>
          <w:p w:rsidR="004820EE" w:rsidRDefault="004820EE" w:rsidP="00FB6510">
            <w:pPr>
              <w:rPr>
                <w:b/>
                <w:sz w:val="22"/>
                <w:szCs w:val="22"/>
                <w:lang w:val="fr-FR"/>
              </w:rPr>
            </w:pPr>
            <w:r w:rsidRPr="00807E95">
              <w:rPr>
                <w:b/>
                <w:lang w:val="fr-FR"/>
              </w:rPr>
              <w:t>Indicateur cible:</w:t>
            </w:r>
            <w:r w:rsidRPr="00261AB6">
              <w:rPr>
                <w:lang w:val="fr-FR"/>
              </w:rPr>
              <w:t xml:space="preserve"> Formation sur le tas du personnel technique des ATL</w:t>
            </w:r>
            <w:r>
              <w:rPr>
                <w:lang w:val="fr-FR"/>
              </w:rPr>
              <w:t xml:space="preserve"> (60)</w:t>
            </w:r>
          </w:p>
        </w:tc>
        <w:tc>
          <w:tcPr>
            <w:tcW w:w="3745" w:type="dxa"/>
            <w:shd w:val="clear" w:color="auto" w:fill="auto"/>
          </w:tcPr>
          <w:p w:rsidR="004820EE" w:rsidRPr="0001398E" w:rsidRDefault="004820EE" w:rsidP="00FB6510">
            <w:pPr>
              <w:pStyle w:val="BodyText"/>
              <w:jc w:val="both"/>
              <w:rPr>
                <w:rFonts w:ascii="Times New Roman" w:hAnsi="Times New Roman" w:cs="Times New Roman"/>
                <w:bCs/>
                <w:sz w:val="24"/>
                <w:szCs w:val="24"/>
                <w:lang w:val="fr-FR"/>
              </w:rPr>
            </w:pPr>
          </w:p>
          <w:p w:rsidR="004820EE" w:rsidRPr="0001398E" w:rsidRDefault="004820EE" w:rsidP="00FB6510">
            <w:pPr>
              <w:pStyle w:val="BodyText"/>
              <w:jc w:val="both"/>
              <w:rPr>
                <w:rFonts w:ascii="Times New Roman" w:hAnsi="Times New Roman" w:cs="Times New Roman"/>
                <w:bCs/>
                <w:sz w:val="24"/>
                <w:szCs w:val="24"/>
                <w:lang w:val="fr-FR"/>
              </w:rPr>
            </w:pPr>
          </w:p>
          <w:p w:rsidR="004820EE" w:rsidRPr="0001398E" w:rsidRDefault="004820EE" w:rsidP="00FB6510">
            <w:pPr>
              <w:pStyle w:val="BodyText"/>
              <w:jc w:val="both"/>
              <w:rPr>
                <w:rFonts w:ascii="Times New Roman" w:hAnsi="Times New Roman" w:cs="Times New Roman"/>
                <w:bCs/>
                <w:sz w:val="24"/>
                <w:szCs w:val="24"/>
                <w:lang w:val="fr-FR"/>
              </w:rPr>
            </w:pPr>
          </w:p>
          <w:p w:rsidR="004820EE" w:rsidRPr="0001398E" w:rsidRDefault="004820EE" w:rsidP="00FB6510">
            <w:pPr>
              <w:pStyle w:val="BodyText"/>
              <w:jc w:val="both"/>
              <w:rPr>
                <w:rFonts w:ascii="Times New Roman" w:hAnsi="Times New Roman" w:cs="Times New Roman"/>
                <w:bCs/>
                <w:sz w:val="24"/>
                <w:szCs w:val="24"/>
                <w:lang w:val="fr-FR"/>
              </w:rPr>
            </w:pPr>
          </w:p>
          <w:p w:rsidR="004820EE" w:rsidRPr="0001398E" w:rsidRDefault="004820EE" w:rsidP="00FB6510">
            <w:pPr>
              <w:pStyle w:val="BodyText"/>
              <w:jc w:val="both"/>
              <w:rPr>
                <w:rFonts w:ascii="Times New Roman" w:hAnsi="Times New Roman" w:cs="Times New Roman"/>
                <w:bCs/>
                <w:sz w:val="24"/>
                <w:szCs w:val="24"/>
                <w:lang w:val="fr-FR"/>
              </w:rPr>
            </w:pPr>
          </w:p>
          <w:p w:rsidR="004820EE" w:rsidRDefault="004820EE" w:rsidP="00FB6510">
            <w:pPr>
              <w:pStyle w:val="BodyText"/>
              <w:jc w:val="both"/>
              <w:rPr>
                <w:rFonts w:ascii="Times New Roman" w:hAnsi="Times New Roman" w:cs="Times New Roman"/>
                <w:bCs/>
                <w:sz w:val="24"/>
                <w:szCs w:val="24"/>
                <w:lang w:val="fr-FR"/>
              </w:rPr>
            </w:pPr>
          </w:p>
          <w:p w:rsidR="00C868EA" w:rsidRPr="0001398E" w:rsidRDefault="00C868EA" w:rsidP="00FB6510">
            <w:pPr>
              <w:pStyle w:val="BodyText"/>
              <w:jc w:val="both"/>
              <w:rPr>
                <w:rFonts w:ascii="Times New Roman" w:hAnsi="Times New Roman" w:cs="Times New Roman"/>
                <w:bCs/>
                <w:sz w:val="24"/>
                <w:szCs w:val="24"/>
                <w:lang w:val="fr-FR"/>
              </w:rPr>
            </w:pPr>
          </w:p>
          <w:p w:rsidR="004820EE" w:rsidRPr="0001398E" w:rsidRDefault="004820EE" w:rsidP="00FB6510">
            <w:pPr>
              <w:jc w:val="both"/>
              <w:rPr>
                <w:lang w:val="fr-FR"/>
              </w:rPr>
            </w:pPr>
            <w:r w:rsidRPr="0001398E">
              <w:rPr>
                <w:lang w:val="fr-FR"/>
              </w:rPr>
              <w:t xml:space="preserve">Non réalisé, existence d’un lot d’ingénieurs municipaux formé par le MICT. Les nouveaux ingénieurs devant être formés n’ont pas été budgétés sur le MICT en termes  de </w:t>
            </w:r>
            <w:proofErr w:type="spellStart"/>
            <w:r w:rsidRPr="0001398E">
              <w:rPr>
                <w:lang w:val="fr-FR"/>
              </w:rPr>
              <w:t>payroll</w:t>
            </w:r>
            <w:proofErr w:type="spellEnd"/>
            <w:r w:rsidRPr="0001398E">
              <w:rPr>
                <w:lang w:val="fr-FR"/>
              </w:rPr>
              <w:t>, donc une réallocation vers d’autres activités de formation est souhaitable, notamment au niveau des ATL. Un partenariat sera développé avec le MTPTC pour arrimer leurs ingénieurs territoriaux aux ATL et CRC.</w:t>
            </w:r>
          </w:p>
          <w:p w:rsidR="004820EE" w:rsidRDefault="004820EE" w:rsidP="00FB6510">
            <w:pPr>
              <w:rPr>
                <w:lang w:val="fr-FR"/>
              </w:rPr>
            </w:pPr>
          </w:p>
          <w:p w:rsidR="00E92CC2" w:rsidRPr="00E92CC2" w:rsidRDefault="00E92CC2" w:rsidP="00FB6510">
            <w:pPr>
              <w:rPr>
                <w:lang w:val="fr-FR"/>
              </w:rPr>
            </w:pPr>
            <w:r w:rsidRPr="00E92CC2">
              <w:rPr>
                <w:lang w:val="fr-FR"/>
              </w:rPr>
              <w:t xml:space="preserve">Un programme de formation élaboré </w:t>
            </w:r>
            <w:r w:rsidRPr="00E92CC2">
              <w:rPr>
                <w:lang w:val="fr-FR"/>
              </w:rPr>
              <w:lastRenderedPageBreak/>
              <w:t xml:space="preserve">en collaboration avec la </w:t>
            </w:r>
            <w:proofErr w:type="spellStart"/>
            <w:r w:rsidRPr="00E92CC2">
              <w:rPr>
                <w:lang w:val="fr-FR"/>
              </w:rPr>
              <w:t>Sub</w:t>
            </w:r>
            <w:proofErr w:type="spellEnd"/>
            <w:r w:rsidRPr="00E92CC2">
              <w:rPr>
                <w:lang w:val="fr-FR"/>
              </w:rPr>
              <w:t>-Direction de formation du MICT.</w:t>
            </w:r>
          </w:p>
          <w:p w:rsidR="00E92CC2" w:rsidRPr="00E92CC2" w:rsidRDefault="00E92CC2" w:rsidP="00FB6510">
            <w:pPr>
              <w:rPr>
                <w:lang w:val="fr-FR"/>
              </w:rPr>
            </w:pPr>
          </w:p>
          <w:p w:rsidR="00E92CC2" w:rsidRPr="00E92CC2" w:rsidRDefault="004820EE" w:rsidP="00FB6510">
            <w:pPr>
              <w:rPr>
                <w:lang w:val="fr-FR"/>
              </w:rPr>
            </w:pPr>
            <w:r w:rsidRPr="00E92CC2">
              <w:rPr>
                <w:lang w:val="fr-FR"/>
              </w:rPr>
              <w:t xml:space="preserve">Une </w:t>
            </w:r>
            <w:r w:rsidR="00E92CC2" w:rsidRPr="00E92CC2">
              <w:rPr>
                <w:lang w:val="fr-FR"/>
              </w:rPr>
              <w:t xml:space="preserve">première session de </w:t>
            </w:r>
            <w:r w:rsidRPr="00E92CC2">
              <w:rPr>
                <w:lang w:val="fr-FR"/>
              </w:rPr>
              <w:t xml:space="preserve">formation </w:t>
            </w:r>
            <w:r w:rsidR="00E92CC2" w:rsidRPr="00E92CC2">
              <w:rPr>
                <w:lang w:val="fr-FR"/>
              </w:rPr>
              <w:t>générale sur la gouvernance locale et le fonctionnement des communes réalisée en faveur des ATL.</w:t>
            </w:r>
          </w:p>
          <w:p w:rsidR="00E92CC2" w:rsidRPr="00E92CC2" w:rsidRDefault="00E92CC2" w:rsidP="00FB6510">
            <w:pPr>
              <w:rPr>
                <w:lang w:val="fr-FR"/>
              </w:rPr>
            </w:pPr>
          </w:p>
          <w:p w:rsidR="00E92CC2" w:rsidRPr="00E92CC2" w:rsidRDefault="00E92CC2" w:rsidP="00FB6510">
            <w:pPr>
              <w:rPr>
                <w:lang w:val="fr-FR"/>
              </w:rPr>
            </w:pPr>
            <w:r w:rsidRPr="00E92CC2">
              <w:rPr>
                <w:lang w:val="fr-FR"/>
              </w:rPr>
              <w:t xml:space="preserve">Une session de formation sur la cartographie de base réalisée en faveur des </w:t>
            </w:r>
            <w:proofErr w:type="spellStart"/>
            <w:r>
              <w:rPr>
                <w:lang w:val="fr-FR"/>
              </w:rPr>
              <w:t>géomaticien</w:t>
            </w:r>
            <w:r w:rsidRPr="00E92CC2">
              <w:rPr>
                <w:lang w:val="fr-FR"/>
              </w:rPr>
              <w:t>s</w:t>
            </w:r>
            <w:proofErr w:type="spellEnd"/>
            <w:r w:rsidRPr="00E92CC2">
              <w:rPr>
                <w:lang w:val="fr-FR"/>
              </w:rPr>
              <w:t xml:space="preserve"> et urbanistes des ATL.</w:t>
            </w:r>
          </w:p>
          <w:p w:rsidR="004820EE" w:rsidRPr="0001398E" w:rsidRDefault="004820EE" w:rsidP="00E92CC2">
            <w:pPr>
              <w:rPr>
                <w:bCs/>
                <w:lang w:val="fr-FR"/>
              </w:rPr>
            </w:pPr>
          </w:p>
        </w:tc>
        <w:tc>
          <w:tcPr>
            <w:tcW w:w="3960" w:type="dxa"/>
            <w:shd w:val="clear" w:color="auto" w:fill="auto"/>
          </w:tcPr>
          <w:p w:rsidR="004820EE" w:rsidRPr="0001398E" w:rsidRDefault="004820EE" w:rsidP="00FB6510">
            <w:pPr>
              <w:pStyle w:val="BodyText"/>
              <w:jc w:val="both"/>
              <w:rPr>
                <w:rFonts w:ascii="Times New Roman" w:hAnsi="Times New Roman" w:cs="Times New Roman"/>
                <w:bCs/>
                <w:sz w:val="24"/>
                <w:szCs w:val="24"/>
                <w:lang w:val="fr-FR"/>
              </w:rPr>
            </w:pPr>
          </w:p>
          <w:p w:rsidR="004820EE" w:rsidRPr="0001398E" w:rsidRDefault="004820EE" w:rsidP="00FB6510">
            <w:pPr>
              <w:pStyle w:val="BodyText"/>
              <w:jc w:val="both"/>
              <w:rPr>
                <w:rFonts w:ascii="Times New Roman" w:hAnsi="Times New Roman" w:cs="Times New Roman"/>
                <w:bCs/>
                <w:sz w:val="24"/>
                <w:szCs w:val="24"/>
                <w:lang w:val="fr-FR"/>
              </w:rPr>
            </w:pPr>
          </w:p>
          <w:p w:rsidR="004820EE" w:rsidRPr="0001398E" w:rsidRDefault="004820EE" w:rsidP="00FB6510">
            <w:pPr>
              <w:pStyle w:val="BodyText"/>
              <w:jc w:val="both"/>
              <w:rPr>
                <w:rFonts w:ascii="Times New Roman" w:hAnsi="Times New Roman" w:cs="Times New Roman"/>
                <w:bCs/>
                <w:sz w:val="24"/>
                <w:szCs w:val="24"/>
                <w:lang w:val="fr-FR"/>
              </w:rPr>
            </w:pPr>
          </w:p>
          <w:p w:rsidR="004820EE" w:rsidRPr="0001398E" w:rsidRDefault="004820EE" w:rsidP="00FB6510">
            <w:pPr>
              <w:pStyle w:val="BodyText"/>
              <w:jc w:val="both"/>
              <w:rPr>
                <w:rFonts w:ascii="Times New Roman" w:hAnsi="Times New Roman" w:cs="Times New Roman"/>
                <w:bCs/>
                <w:sz w:val="24"/>
                <w:szCs w:val="24"/>
                <w:lang w:val="fr-FR"/>
              </w:rPr>
            </w:pPr>
          </w:p>
          <w:p w:rsidR="004820EE" w:rsidRPr="0001398E" w:rsidRDefault="004820EE" w:rsidP="00FB6510">
            <w:pPr>
              <w:pStyle w:val="BodyText"/>
              <w:jc w:val="both"/>
              <w:rPr>
                <w:rFonts w:ascii="Times New Roman" w:hAnsi="Times New Roman" w:cs="Times New Roman"/>
                <w:bCs/>
                <w:sz w:val="24"/>
                <w:szCs w:val="24"/>
                <w:lang w:val="fr-FR"/>
              </w:rPr>
            </w:pPr>
          </w:p>
          <w:p w:rsidR="004820EE" w:rsidRDefault="004820EE" w:rsidP="00FB6510">
            <w:pPr>
              <w:pStyle w:val="BodyText"/>
              <w:jc w:val="both"/>
              <w:rPr>
                <w:rFonts w:ascii="Times New Roman" w:hAnsi="Times New Roman" w:cs="Times New Roman"/>
                <w:bCs/>
                <w:sz w:val="24"/>
                <w:szCs w:val="24"/>
                <w:lang w:val="fr-FR"/>
              </w:rPr>
            </w:pPr>
          </w:p>
          <w:p w:rsidR="00C868EA" w:rsidRPr="0001398E" w:rsidRDefault="00C868EA" w:rsidP="00FB6510">
            <w:pPr>
              <w:pStyle w:val="BodyText"/>
              <w:jc w:val="both"/>
              <w:rPr>
                <w:rFonts w:ascii="Times New Roman" w:hAnsi="Times New Roman" w:cs="Times New Roman"/>
                <w:bCs/>
                <w:sz w:val="24"/>
                <w:szCs w:val="24"/>
                <w:lang w:val="fr-FR"/>
              </w:rPr>
            </w:pPr>
          </w:p>
          <w:p w:rsidR="004820EE" w:rsidRPr="0001398E" w:rsidRDefault="004820EE" w:rsidP="00FB6510">
            <w:pPr>
              <w:pStyle w:val="BodyText"/>
              <w:jc w:val="both"/>
              <w:rPr>
                <w:rFonts w:ascii="Times New Roman" w:hAnsi="Times New Roman" w:cs="Times New Roman"/>
                <w:bCs/>
                <w:sz w:val="24"/>
                <w:szCs w:val="24"/>
                <w:lang w:val="fr-FR"/>
              </w:rPr>
            </w:pPr>
            <w:r w:rsidRPr="0001398E">
              <w:rPr>
                <w:rFonts w:ascii="Times New Roman" w:hAnsi="Times New Roman" w:cs="Times New Roman"/>
                <w:sz w:val="24"/>
                <w:szCs w:val="24"/>
                <w:lang w:val="fr-FR"/>
              </w:rPr>
              <w:t xml:space="preserve">Réorientation de l’utilisation de fonds initialement  alloués à la formation des Ingénieurs municipaux à la formation du personnel des ATL en accord avec le MICT. </w:t>
            </w:r>
          </w:p>
          <w:p w:rsidR="004820EE" w:rsidRPr="0001398E" w:rsidRDefault="004820EE" w:rsidP="00FB6510">
            <w:pPr>
              <w:pStyle w:val="BodyText"/>
              <w:jc w:val="both"/>
              <w:rPr>
                <w:rFonts w:ascii="Times New Roman" w:hAnsi="Times New Roman" w:cs="Times New Roman"/>
                <w:bCs/>
                <w:sz w:val="24"/>
                <w:szCs w:val="24"/>
                <w:lang w:val="fr-FR"/>
              </w:rPr>
            </w:pPr>
          </w:p>
          <w:p w:rsidR="004820EE" w:rsidRPr="0001398E" w:rsidRDefault="004820EE" w:rsidP="00FB6510">
            <w:pPr>
              <w:pStyle w:val="BodyText"/>
              <w:jc w:val="both"/>
              <w:rPr>
                <w:rFonts w:ascii="Times New Roman" w:hAnsi="Times New Roman" w:cs="Times New Roman"/>
                <w:bCs/>
                <w:sz w:val="24"/>
                <w:szCs w:val="24"/>
                <w:lang w:val="fr-FR"/>
              </w:rPr>
            </w:pPr>
          </w:p>
          <w:p w:rsidR="004820EE" w:rsidRPr="0001398E" w:rsidRDefault="004820EE" w:rsidP="00FB6510">
            <w:pPr>
              <w:pStyle w:val="BodyText"/>
              <w:jc w:val="both"/>
              <w:rPr>
                <w:rFonts w:ascii="Times New Roman" w:hAnsi="Times New Roman" w:cs="Times New Roman"/>
                <w:bCs/>
                <w:sz w:val="24"/>
                <w:szCs w:val="24"/>
                <w:lang w:val="fr-FR"/>
              </w:rPr>
            </w:pPr>
          </w:p>
          <w:p w:rsidR="004820EE" w:rsidRPr="0001398E" w:rsidRDefault="004820EE" w:rsidP="00FB6510">
            <w:pPr>
              <w:pStyle w:val="BodyText"/>
              <w:jc w:val="both"/>
              <w:rPr>
                <w:rFonts w:ascii="Times New Roman" w:hAnsi="Times New Roman" w:cs="Times New Roman"/>
                <w:bCs/>
                <w:sz w:val="24"/>
                <w:szCs w:val="24"/>
                <w:lang w:val="fr-FR"/>
              </w:rPr>
            </w:pPr>
          </w:p>
          <w:p w:rsidR="004820EE" w:rsidRPr="0001398E" w:rsidRDefault="004820EE" w:rsidP="00FB6510">
            <w:pPr>
              <w:pStyle w:val="BodyText"/>
              <w:jc w:val="both"/>
              <w:rPr>
                <w:rFonts w:ascii="Times New Roman" w:hAnsi="Times New Roman" w:cs="Times New Roman"/>
                <w:bCs/>
                <w:sz w:val="24"/>
                <w:szCs w:val="24"/>
                <w:lang w:val="fr-FR"/>
              </w:rPr>
            </w:pPr>
          </w:p>
          <w:p w:rsidR="004820EE" w:rsidRPr="0001398E" w:rsidRDefault="004820EE" w:rsidP="00FB6510">
            <w:pPr>
              <w:pStyle w:val="BodyText"/>
              <w:jc w:val="both"/>
              <w:rPr>
                <w:rFonts w:ascii="Times New Roman" w:hAnsi="Times New Roman" w:cs="Times New Roman"/>
                <w:bCs/>
                <w:sz w:val="24"/>
                <w:szCs w:val="24"/>
                <w:lang w:val="fr-FR"/>
              </w:rPr>
            </w:pPr>
          </w:p>
          <w:p w:rsidR="004820EE" w:rsidRPr="0001398E" w:rsidRDefault="004820EE" w:rsidP="00FB6510">
            <w:pPr>
              <w:pStyle w:val="BodyText"/>
              <w:jc w:val="both"/>
              <w:rPr>
                <w:rFonts w:ascii="Times New Roman" w:hAnsi="Times New Roman" w:cs="Times New Roman"/>
                <w:bCs/>
                <w:sz w:val="24"/>
                <w:szCs w:val="24"/>
                <w:lang w:val="fr-FR"/>
              </w:rPr>
            </w:pPr>
          </w:p>
          <w:p w:rsidR="004820EE" w:rsidRDefault="004820EE" w:rsidP="00FB6510">
            <w:pPr>
              <w:pStyle w:val="BodyText"/>
              <w:jc w:val="both"/>
              <w:rPr>
                <w:rFonts w:ascii="Times New Roman" w:hAnsi="Times New Roman" w:cs="Times New Roman"/>
                <w:sz w:val="24"/>
                <w:szCs w:val="24"/>
                <w:lang w:val="fr-FR"/>
              </w:rPr>
            </w:pPr>
          </w:p>
          <w:p w:rsidR="004820EE" w:rsidRPr="0001398E" w:rsidRDefault="004820EE" w:rsidP="00FB6510">
            <w:pPr>
              <w:pStyle w:val="BodyText"/>
              <w:jc w:val="both"/>
              <w:rPr>
                <w:rFonts w:ascii="Times New Roman" w:hAnsi="Times New Roman" w:cs="Times New Roman"/>
                <w:bCs/>
                <w:sz w:val="24"/>
                <w:szCs w:val="24"/>
                <w:lang w:val="fr-FR"/>
              </w:rPr>
            </w:pPr>
          </w:p>
        </w:tc>
        <w:tc>
          <w:tcPr>
            <w:tcW w:w="3150" w:type="dxa"/>
            <w:shd w:val="clear" w:color="auto" w:fill="auto"/>
          </w:tcPr>
          <w:p w:rsidR="004820EE" w:rsidRPr="0001398E" w:rsidRDefault="004820EE" w:rsidP="00FB6510">
            <w:pPr>
              <w:pStyle w:val="BodyText"/>
              <w:jc w:val="both"/>
              <w:rPr>
                <w:rFonts w:ascii="Times New Roman" w:hAnsi="Times New Roman" w:cs="Times New Roman"/>
                <w:bCs/>
                <w:sz w:val="24"/>
                <w:szCs w:val="24"/>
                <w:lang w:val="fr-FR"/>
              </w:rPr>
            </w:pPr>
          </w:p>
          <w:p w:rsidR="004820EE" w:rsidRPr="0001398E" w:rsidRDefault="004820EE" w:rsidP="00FB6510">
            <w:pPr>
              <w:pStyle w:val="BodyText"/>
              <w:jc w:val="both"/>
              <w:rPr>
                <w:rFonts w:ascii="Times New Roman" w:hAnsi="Times New Roman" w:cs="Times New Roman"/>
                <w:bCs/>
                <w:sz w:val="24"/>
                <w:szCs w:val="24"/>
                <w:lang w:val="fr-FR"/>
              </w:rPr>
            </w:pPr>
          </w:p>
          <w:p w:rsidR="004820EE" w:rsidRPr="0001398E" w:rsidRDefault="004820EE" w:rsidP="00FB6510">
            <w:pPr>
              <w:pStyle w:val="BodyText"/>
              <w:jc w:val="both"/>
              <w:rPr>
                <w:rFonts w:ascii="Times New Roman" w:hAnsi="Times New Roman" w:cs="Times New Roman"/>
                <w:bCs/>
                <w:sz w:val="24"/>
                <w:szCs w:val="24"/>
                <w:lang w:val="fr-FR"/>
              </w:rPr>
            </w:pPr>
          </w:p>
          <w:p w:rsidR="004820EE" w:rsidRPr="0001398E" w:rsidRDefault="004820EE" w:rsidP="00FB6510">
            <w:pPr>
              <w:pStyle w:val="BodyText"/>
              <w:jc w:val="both"/>
              <w:rPr>
                <w:rFonts w:ascii="Times New Roman" w:hAnsi="Times New Roman" w:cs="Times New Roman"/>
                <w:bCs/>
                <w:sz w:val="24"/>
                <w:szCs w:val="24"/>
                <w:lang w:val="fr-FR"/>
              </w:rPr>
            </w:pPr>
          </w:p>
          <w:p w:rsidR="004820EE" w:rsidRPr="0001398E" w:rsidRDefault="004820EE" w:rsidP="00FB6510">
            <w:pPr>
              <w:pStyle w:val="BodyText"/>
              <w:jc w:val="both"/>
              <w:rPr>
                <w:rFonts w:ascii="Times New Roman" w:hAnsi="Times New Roman" w:cs="Times New Roman"/>
                <w:bCs/>
                <w:sz w:val="24"/>
                <w:szCs w:val="24"/>
                <w:lang w:val="fr-FR"/>
              </w:rPr>
            </w:pPr>
          </w:p>
          <w:p w:rsidR="004820EE" w:rsidRPr="0001398E" w:rsidRDefault="004820EE" w:rsidP="00FB6510">
            <w:pPr>
              <w:pStyle w:val="BodyText"/>
              <w:jc w:val="both"/>
              <w:rPr>
                <w:rFonts w:ascii="Times New Roman" w:hAnsi="Times New Roman" w:cs="Times New Roman"/>
                <w:bCs/>
                <w:sz w:val="24"/>
                <w:szCs w:val="24"/>
                <w:lang w:val="fr-FR"/>
              </w:rPr>
            </w:pPr>
          </w:p>
          <w:p w:rsidR="00C868EA" w:rsidRDefault="00C868EA" w:rsidP="00FB6510">
            <w:pPr>
              <w:tabs>
                <w:tab w:val="left" w:pos="-720"/>
                <w:tab w:val="left" w:pos="4500"/>
              </w:tabs>
              <w:suppressAutoHyphens/>
              <w:rPr>
                <w:spacing w:val="-2"/>
                <w:lang w:val="fr-FR"/>
              </w:rPr>
            </w:pPr>
          </w:p>
          <w:p w:rsidR="004820EE" w:rsidRDefault="004820EE" w:rsidP="00FB6510">
            <w:pPr>
              <w:pStyle w:val="BodyText"/>
              <w:jc w:val="both"/>
              <w:rPr>
                <w:rFonts w:ascii="Times New Roman" w:hAnsi="Times New Roman" w:cs="Times New Roman"/>
                <w:spacing w:val="-2"/>
                <w:sz w:val="24"/>
                <w:szCs w:val="24"/>
                <w:lang w:val="fr-FR"/>
              </w:rPr>
            </w:pPr>
          </w:p>
          <w:p w:rsidR="00C868EA" w:rsidRDefault="00C868EA" w:rsidP="00FB6510">
            <w:pPr>
              <w:pStyle w:val="BodyText"/>
              <w:jc w:val="both"/>
              <w:rPr>
                <w:rFonts w:ascii="Times New Roman" w:hAnsi="Times New Roman" w:cs="Times New Roman"/>
                <w:spacing w:val="-2"/>
                <w:sz w:val="24"/>
                <w:szCs w:val="24"/>
                <w:lang w:val="fr-FR"/>
              </w:rPr>
            </w:pPr>
          </w:p>
          <w:p w:rsidR="00C868EA" w:rsidRDefault="00C868EA" w:rsidP="00FB6510">
            <w:pPr>
              <w:pStyle w:val="BodyText"/>
              <w:jc w:val="both"/>
              <w:rPr>
                <w:rFonts w:ascii="Times New Roman" w:hAnsi="Times New Roman" w:cs="Times New Roman"/>
                <w:spacing w:val="-2"/>
                <w:sz w:val="24"/>
                <w:szCs w:val="24"/>
                <w:lang w:val="fr-FR"/>
              </w:rPr>
            </w:pPr>
          </w:p>
          <w:p w:rsidR="00C868EA" w:rsidRDefault="00C868EA" w:rsidP="00FB6510">
            <w:pPr>
              <w:pStyle w:val="BodyText"/>
              <w:jc w:val="both"/>
              <w:rPr>
                <w:rFonts w:ascii="Times New Roman" w:hAnsi="Times New Roman" w:cs="Times New Roman"/>
                <w:spacing w:val="-2"/>
                <w:sz w:val="24"/>
                <w:szCs w:val="24"/>
                <w:lang w:val="fr-FR"/>
              </w:rPr>
            </w:pPr>
          </w:p>
          <w:p w:rsidR="00C868EA" w:rsidRPr="0001398E" w:rsidRDefault="00C868EA" w:rsidP="00FB6510">
            <w:pPr>
              <w:pStyle w:val="BodyText"/>
              <w:jc w:val="both"/>
              <w:rPr>
                <w:rFonts w:ascii="Times New Roman" w:hAnsi="Times New Roman" w:cs="Times New Roman"/>
                <w:spacing w:val="-2"/>
                <w:sz w:val="24"/>
                <w:szCs w:val="24"/>
                <w:lang w:val="fr-FR"/>
              </w:rPr>
            </w:pPr>
          </w:p>
          <w:p w:rsidR="004820EE" w:rsidRPr="0001398E" w:rsidRDefault="004820EE" w:rsidP="00FB6510">
            <w:pPr>
              <w:pStyle w:val="BodyText"/>
              <w:jc w:val="both"/>
              <w:rPr>
                <w:rFonts w:ascii="Times New Roman" w:hAnsi="Times New Roman" w:cs="Times New Roman"/>
                <w:spacing w:val="-2"/>
                <w:sz w:val="24"/>
                <w:szCs w:val="24"/>
                <w:lang w:val="fr-FR"/>
              </w:rPr>
            </w:pPr>
          </w:p>
          <w:p w:rsidR="004820EE" w:rsidRPr="0001398E" w:rsidRDefault="004820EE" w:rsidP="00FB6510">
            <w:pPr>
              <w:pStyle w:val="BodyText"/>
              <w:jc w:val="both"/>
              <w:rPr>
                <w:rFonts w:ascii="Times New Roman" w:hAnsi="Times New Roman" w:cs="Times New Roman"/>
                <w:spacing w:val="-2"/>
                <w:sz w:val="24"/>
                <w:szCs w:val="24"/>
                <w:lang w:val="fr-FR"/>
              </w:rPr>
            </w:pPr>
          </w:p>
          <w:p w:rsidR="004820EE" w:rsidRPr="0001398E" w:rsidRDefault="004820EE" w:rsidP="00FB6510">
            <w:pPr>
              <w:pStyle w:val="BodyText"/>
              <w:jc w:val="both"/>
              <w:rPr>
                <w:rFonts w:ascii="Times New Roman" w:hAnsi="Times New Roman" w:cs="Times New Roman"/>
                <w:spacing w:val="-2"/>
                <w:sz w:val="24"/>
                <w:szCs w:val="24"/>
                <w:lang w:val="fr-FR"/>
              </w:rPr>
            </w:pPr>
          </w:p>
          <w:p w:rsidR="004820EE" w:rsidRPr="0001398E" w:rsidRDefault="004820EE" w:rsidP="00FB6510">
            <w:pPr>
              <w:pStyle w:val="BodyText"/>
              <w:jc w:val="both"/>
              <w:rPr>
                <w:rFonts w:ascii="Times New Roman" w:hAnsi="Times New Roman" w:cs="Times New Roman"/>
                <w:spacing w:val="-2"/>
                <w:sz w:val="24"/>
                <w:szCs w:val="24"/>
                <w:lang w:val="fr-FR"/>
              </w:rPr>
            </w:pPr>
          </w:p>
          <w:p w:rsidR="004820EE" w:rsidRPr="0001398E" w:rsidRDefault="004820EE" w:rsidP="00FB6510">
            <w:pPr>
              <w:pStyle w:val="BodyText"/>
              <w:jc w:val="both"/>
              <w:rPr>
                <w:rFonts w:ascii="Times New Roman" w:hAnsi="Times New Roman" w:cs="Times New Roman"/>
                <w:spacing w:val="-2"/>
                <w:sz w:val="24"/>
                <w:szCs w:val="24"/>
                <w:lang w:val="fr-FR"/>
              </w:rPr>
            </w:pPr>
          </w:p>
          <w:p w:rsidR="004820EE" w:rsidRPr="0001398E" w:rsidRDefault="004820EE" w:rsidP="00FB6510">
            <w:pPr>
              <w:pStyle w:val="BodyText"/>
              <w:jc w:val="both"/>
              <w:rPr>
                <w:rFonts w:ascii="Times New Roman" w:hAnsi="Times New Roman" w:cs="Times New Roman"/>
                <w:spacing w:val="-2"/>
                <w:sz w:val="24"/>
                <w:szCs w:val="24"/>
                <w:lang w:val="fr-FR"/>
              </w:rPr>
            </w:pPr>
          </w:p>
          <w:p w:rsidR="004820EE" w:rsidRPr="0001398E" w:rsidRDefault="004820EE" w:rsidP="00FB6510">
            <w:pPr>
              <w:pStyle w:val="BodyText"/>
              <w:jc w:val="both"/>
              <w:rPr>
                <w:rFonts w:ascii="Times New Roman" w:hAnsi="Times New Roman" w:cs="Times New Roman"/>
                <w:spacing w:val="-2"/>
                <w:sz w:val="24"/>
                <w:szCs w:val="24"/>
                <w:lang w:val="fr-FR"/>
              </w:rPr>
            </w:pPr>
          </w:p>
          <w:p w:rsidR="004820EE" w:rsidRDefault="004820EE" w:rsidP="00FB6510">
            <w:pPr>
              <w:tabs>
                <w:tab w:val="left" w:pos="-720"/>
                <w:tab w:val="left" w:pos="4500"/>
              </w:tabs>
              <w:suppressAutoHyphens/>
              <w:rPr>
                <w:spacing w:val="-2"/>
                <w:lang w:val="fr-FR"/>
              </w:rPr>
            </w:pPr>
          </w:p>
          <w:p w:rsidR="00E92CC2" w:rsidRDefault="00E92CC2" w:rsidP="00FB6510">
            <w:pPr>
              <w:tabs>
                <w:tab w:val="left" w:pos="-720"/>
                <w:tab w:val="left" w:pos="4500"/>
              </w:tabs>
              <w:suppressAutoHyphens/>
              <w:rPr>
                <w:spacing w:val="-2"/>
                <w:lang w:val="fr-FR"/>
              </w:rPr>
            </w:pPr>
            <w:r>
              <w:rPr>
                <w:spacing w:val="-2"/>
                <w:lang w:val="fr-FR"/>
              </w:rPr>
              <w:t>Programme de formation</w:t>
            </w:r>
          </w:p>
          <w:p w:rsidR="00E92CC2" w:rsidRDefault="00E92CC2" w:rsidP="00FB6510">
            <w:pPr>
              <w:tabs>
                <w:tab w:val="left" w:pos="-720"/>
                <w:tab w:val="left" w:pos="4500"/>
              </w:tabs>
              <w:suppressAutoHyphens/>
              <w:rPr>
                <w:spacing w:val="-2"/>
                <w:lang w:val="fr-FR"/>
              </w:rPr>
            </w:pPr>
          </w:p>
          <w:p w:rsidR="004820EE" w:rsidRPr="0001398E" w:rsidRDefault="004820EE" w:rsidP="00FB6510">
            <w:pPr>
              <w:tabs>
                <w:tab w:val="left" w:pos="-720"/>
                <w:tab w:val="left" w:pos="4500"/>
              </w:tabs>
              <w:suppressAutoHyphens/>
              <w:rPr>
                <w:spacing w:val="-2"/>
                <w:lang w:val="fr-FR"/>
              </w:rPr>
            </w:pPr>
            <w:r w:rsidRPr="0001398E">
              <w:rPr>
                <w:spacing w:val="-2"/>
                <w:lang w:val="fr-FR"/>
              </w:rPr>
              <w:t xml:space="preserve">Cursus et rapports </w:t>
            </w:r>
            <w:r w:rsidR="00E92CC2">
              <w:rPr>
                <w:spacing w:val="-2"/>
                <w:lang w:val="fr-FR"/>
              </w:rPr>
              <w:t>des formations</w:t>
            </w:r>
          </w:p>
          <w:p w:rsidR="004820EE" w:rsidRPr="0001398E" w:rsidRDefault="004820EE" w:rsidP="00FB6510">
            <w:pPr>
              <w:pStyle w:val="BodyText"/>
              <w:jc w:val="both"/>
              <w:rPr>
                <w:rFonts w:ascii="Times New Roman" w:hAnsi="Times New Roman" w:cs="Times New Roman"/>
                <w:bCs/>
                <w:sz w:val="24"/>
                <w:szCs w:val="24"/>
                <w:lang w:val="fr-FR"/>
              </w:rPr>
            </w:pPr>
          </w:p>
        </w:tc>
      </w:tr>
      <w:tr w:rsidR="004820EE" w:rsidRPr="00E3532D" w:rsidTr="00FB6510">
        <w:trPr>
          <w:trHeight w:val="885"/>
        </w:trPr>
        <w:tc>
          <w:tcPr>
            <w:tcW w:w="4265" w:type="dxa"/>
            <w:tcBorders>
              <w:bottom w:val="single" w:sz="4" w:space="0" w:color="000000"/>
            </w:tcBorders>
            <w:shd w:val="clear" w:color="auto" w:fill="auto"/>
          </w:tcPr>
          <w:p w:rsidR="004820EE" w:rsidRDefault="004820EE" w:rsidP="00FB6510">
            <w:pPr>
              <w:tabs>
                <w:tab w:val="left" w:pos="-720"/>
                <w:tab w:val="left" w:pos="4500"/>
              </w:tabs>
              <w:suppressAutoHyphens/>
              <w:rPr>
                <w:lang w:val="fr-FR"/>
              </w:rPr>
            </w:pPr>
            <w:r>
              <w:rPr>
                <w:b/>
                <w:sz w:val="22"/>
                <w:szCs w:val="22"/>
                <w:lang w:val="fr-FR"/>
              </w:rPr>
              <w:lastRenderedPageBreak/>
              <w:t xml:space="preserve">Produit </w:t>
            </w:r>
            <w:r w:rsidRPr="00C41C9D">
              <w:rPr>
                <w:b/>
                <w:sz w:val="22"/>
                <w:szCs w:val="22"/>
                <w:lang w:val="fr-FR"/>
              </w:rPr>
              <w:t>3.</w:t>
            </w:r>
            <w:r>
              <w:rPr>
                <w:b/>
                <w:sz w:val="22"/>
                <w:szCs w:val="22"/>
                <w:lang w:val="fr-FR"/>
              </w:rPr>
              <w:t>3 :</w:t>
            </w:r>
            <w:r w:rsidRPr="00B03C4F">
              <w:rPr>
                <w:lang w:val="fr-FR"/>
              </w:rPr>
              <w:t xml:space="preserve"> Les territoires disposent d’agences techniques locales à l’échelle intercommunale ou communale et de centres de ressources communautaires  au niveau des quartiers pour faciliter la planification, la coordination et l’information sur la reconstruction, le retour et le développement local.</w:t>
            </w:r>
          </w:p>
          <w:p w:rsidR="00D43C48" w:rsidRDefault="00D43C48" w:rsidP="00FB6510">
            <w:pPr>
              <w:tabs>
                <w:tab w:val="left" w:pos="-720"/>
                <w:tab w:val="left" w:pos="4500"/>
              </w:tabs>
              <w:suppressAutoHyphens/>
              <w:rPr>
                <w:lang w:val="fr-FR"/>
              </w:rPr>
            </w:pPr>
          </w:p>
          <w:p w:rsidR="004820EE" w:rsidRDefault="004820EE" w:rsidP="00FB6510">
            <w:pPr>
              <w:rPr>
                <w:lang w:val="fr-FR"/>
              </w:rPr>
            </w:pPr>
            <w:r>
              <w:rPr>
                <w:b/>
                <w:lang w:val="fr-FR"/>
              </w:rPr>
              <w:t>Indicateur</w:t>
            </w:r>
            <w:r w:rsidRPr="00E15B9B">
              <w:rPr>
                <w:b/>
                <w:lang w:val="fr-FR"/>
              </w:rPr>
              <w:t xml:space="preserve"> </w:t>
            </w:r>
            <w:r>
              <w:rPr>
                <w:b/>
                <w:lang w:val="fr-FR"/>
              </w:rPr>
              <w:t>3</w:t>
            </w:r>
            <w:r w:rsidRPr="00E15B9B">
              <w:rPr>
                <w:b/>
                <w:lang w:val="fr-FR"/>
              </w:rPr>
              <w:t>.</w:t>
            </w:r>
            <w:r>
              <w:rPr>
                <w:b/>
                <w:lang w:val="fr-FR"/>
              </w:rPr>
              <w:t>3</w:t>
            </w:r>
            <w:r w:rsidRPr="00E15B9B">
              <w:rPr>
                <w:b/>
                <w:lang w:val="fr-FR"/>
              </w:rPr>
              <w:t>.</w:t>
            </w:r>
            <w:r>
              <w:rPr>
                <w:b/>
                <w:lang w:val="fr-FR"/>
              </w:rPr>
              <w:t>1</w:t>
            </w:r>
            <w:r w:rsidRPr="00807E95">
              <w:rPr>
                <w:b/>
                <w:lang w:val="fr-FR"/>
              </w:rPr>
              <w:t> :</w:t>
            </w:r>
            <w:r>
              <w:rPr>
                <w:lang w:val="fr-FR"/>
              </w:rPr>
              <w:t xml:space="preserve"> </w:t>
            </w:r>
            <w:r w:rsidRPr="00B03C4F">
              <w:rPr>
                <w:lang w:val="fr-FR"/>
              </w:rPr>
              <w:t>Les services techniques municipaux sont renforcés ; l’information des populations est effective</w:t>
            </w:r>
            <w:r>
              <w:rPr>
                <w:lang w:val="fr-FR"/>
              </w:rPr>
              <w:t xml:space="preserve">. </w:t>
            </w:r>
          </w:p>
          <w:p w:rsidR="004820EE" w:rsidRDefault="004820EE" w:rsidP="00FB6510">
            <w:pPr>
              <w:rPr>
                <w:lang w:val="fr-FR"/>
              </w:rPr>
            </w:pPr>
            <w:r w:rsidRPr="00807E95">
              <w:rPr>
                <w:b/>
                <w:lang w:val="fr-FR"/>
              </w:rPr>
              <w:t>Indicateur de référence:</w:t>
            </w:r>
            <w:r>
              <w:rPr>
                <w:lang w:val="fr-FR"/>
              </w:rPr>
              <w:t xml:space="preserve"> </w:t>
            </w:r>
            <w:r w:rsidRPr="00B03C4F">
              <w:rPr>
                <w:lang w:val="fr-FR"/>
              </w:rPr>
              <w:t>Capacités limitées des communes en matière de coordination de la reconstruction et du développement local</w:t>
            </w:r>
          </w:p>
          <w:p w:rsidR="004820EE" w:rsidRPr="00F303C2" w:rsidRDefault="004820EE" w:rsidP="00FB6510">
            <w:pPr>
              <w:rPr>
                <w:lang w:val="fr-FR"/>
              </w:rPr>
            </w:pPr>
            <w:r w:rsidRPr="00807E95">
              <w:rPr>
                <w:b/>
                <w:lang w:val="fr-FR"/>
              </w:rPr>
              <w:t>Indicateur cible:</w:t>
            </w:r>
            <w:r w:rsidRPr="00261AB6">
              <w:rPr>
                <w:rFonts w:cs="Calibri"/>
                <w:lang w:val="fr-FR"/>
              </w:rPr>
              <w:t xml:space="preserve"> </w:t>
            </w:r>
            <w:r w:rsidRPr="00B03C4F">
              <w:rPr>
                <w:lang w:val="fr-FR"/>
              </w:rPr>
              <w:t>60 personnels recrutés pour les ATL</w:t>
            </w:r>
            <w:r>
              <w:rPr>
                <w:lang w:val="fr-FR"/>
              </w:rPr>
              <w:t> ; 36</w:t>
            </w:r>
            <w:r w:rsidRPr="00B03C4F">
              <w:rPr>
                <w:lang w:val="fr-FR"/>
              </w:rPr>
              <w:t xml:space="preserve"> personnels recrutés pour les CRC</w:t>
            </w:r>
          </w:p>
          <w:p w:rsidR="004820EE" w:rsidRDefault="004820EE" w:rsidP="00FB6510">
            <w:pPr>
              <w:rPr>
                <w:b/>
                <w:lang w:val="fr-FR"/>
              </w:rPr>
            </w:pPr>
          </w:p>
          <w:p w:rsidR="004820EE" w:rsidRDefault="004820EE" w:rsidP="00FB6510">
            <w:pPr>
              <w:rPr>
                <w:rFonts w:cs="Calibri"/>
                <w:lang w:val="fr-FR"/>
              </w:rPr>
            </w:pPr>
            <w:r w:rsidRPr="00095A2F">
              <w:rPr>
                <w:b/>
                <w:lang w:val="fr-FR"/>
              </w:rPr>
              <w:t>Indicateur 3.3.2 :</w:t>
            </w:r>
            <w:r>
              <w:rPr>
                <w:lang w:val="fr-FR"/>
              </w:rPr>
              <w:t xml:space="preserve"> </w:t>
            </w:r>
            <w:r w:rsidRPr="00B03C4F">
              <w:rPr>
                <w:lang w:val="fr-FR"/>
              </w:rPr>
              <w:t xml:space="preserve">Plateformes de coordination opérationnelles ; mécanismes de dialogue entre les collectivités territoriales et les </w:t>
            </w:r>
            <w:r w:rsidRPr="00B03C4F">
              <w:rPr>
                <w:lang w:val="fr-FR"/>
              </w:rPr>
              <w:lastRenderedPageBreak/>
              <w:t>populations opérationnels</w:t>
            </w:r>
          </w:p>
          <w:p w:rsidR="004820EE" w:rsidRDefault="004820EE" w:rsidP="00FB6510">
            <w:pPr>
              <w:tabs>
                <w:tab w:val="left" w:pos="-720"/>
                <w:tab w:val="left" w:pos="4500"/>
              </w:tabs>
              <w:suppressAutoHyphens/>
              <w:rPr>
                <w:lang w:val="fr-FR"/>
              </w:rPr>
            </w:pPr>
            <w:r w:rsidRPr="00807E95">
              <w:rPr>
                <w:b/>
                <w:lang w:val="fr-FR"/>
              </w:rPr>
              <w:t>Indicateur de référence:</w:t>
            </w:r>
            <w:r>
              <w:rPr>
                <w:lang w:val="fr-FR"/>
              </w:rPr>
              <w:t xml:space="preserve"> </w:t>
            </w:r>
            <w:r w:rsidRPr="00B03C4F">
              <w:rPr>
                <w:lang w:val="fr-FR"/>
              </w:rPr>
              <w:t>Plateformes de coordination sur la reconst</w:t>
            </w:r>
            <w:r>
              <w:rPr>
                <w:lang w:val="fr-FR"/>
              </w:rPr>
              <w:t xml:space="preserve">ruction à l’échelle communale </w:t>
            </w:r>
            <w:r w:rsidRPr="00B03C4F">
              <w:rPr>
                <w:lang w:val="fr-FR"/>
              </w:rPr>
              <w:t>existante </w:t>
            </w:r>
            <w:r>
              <w:rPr>
                <w:lang w:val="fr-FR"/>
              </w:rPr>
              <w:t>dans 6 communes</w:t>
            </w:r>
          </w:p>
          <w:p w:rsidR="004820EE" w:rsidRDefault="004820EE" w:rsidP="00FB6510">
            <w:pPr>
              <w:rPr>
                <w:rFonts w:cs="Calibri"/>
                <w:lang w:val="fr-FR"/>
              </w:rPr>
            </w:pPr>
            <w:r w:rsidRPr="00807E95">
              <w:rPr>
                <w:b/>
                <w:lang w:val="fr-FR"/>
              </w:rPr>
              <w:t>Indicateur cible:</w:t>
            </w:r>
            <w:r w:rsidRPr="00B03C4F">
              <w:rPr>
                <w:rFonts w:cs="Calibri"/>
                <w:lang w:val="fr-FR"/>
              </w:rPr>
              <w:t xml:space="preserve"> Mécanismes de coordination à l’échelle communale et d’échange d’information établis entre les ATL et les CRC en vue d’enrichir et d’assurer la cohérence avec la coordination des activités de reconstruction au niveau des quartiers</w:t>
            </w:r>
          </w:p>
          <w:p w:rsidR="004820EE" w:rsidRDefault="004820EE" w:rsidP="00FB6510">
            <w:pPr>
              <w:tabs>
                <w:tab w:val="left" w:pos="-720"/>
                <w:tab w:val="left" w:pos="4500"/>
              </w:tabs>
              <w:suppressAutoHyphens/>
              <w:rPr>
                <w:b/>
                <w:sz w:val="22"/>
                <w:szCs w:val="22"/>
                <w:lang w:val="fr-FR"/>
              </w:rPr>
            </w:pPr>
          </w:p>
        </w:tc>
        <w:tc>
          <w:tcPr>
            <w:tcW w:w="3745" w:type="dxa"/>
            <w:tcBorders>
              <w:bottom w:val="single" w:sz="4" w:space="0" w:color="000000"/>
            </w:tcBorders>
            <w:shd w:val="clear" w:color="auto" w:fill="auto"/>
          </w:tcPr>
          <w:p w:rsidR="004820EE" w:rsidRPr="00CF2C85" w:rsidRDefault="004820EE" w:rsidP="00FB6510">
            <w:pPr>
              <w:pStyle w:val="BodyText"/>
              <w:jc w:val="both"/>
              <w:rPr>
                <w:rFonts w:ascii="Times New Roman" w:hAnsi="Times New Roman" w:cs="Times New Roman"/>
                <w:bCs/>
                <w:sz w:val="24"/>
                <w:szCs w:val="24"/>
                <w:lang w:val="fr-FR"/>
              </w:rPr>
            </w:pPr>
          </w:p>
          <w:p w:rsidR="004820EE" w:rsidRPr="00CF2C85" w:rsidRDefault="004820EE" w:rsidP="00FB6510">
            <w:pPr>
              <w:pStyle w:val="BodyText"/>
              <w:jc w:val="both"/>
              <w:rPr>
                <w:rFonts w:ascii="Times New Roman" w:hAnsi="Times New Roman" w:cs="Times New Roman"/>
                <w:bCs/>
                <w:sz w:val="24"/>
                <w:szCs w:val="24"/>
                <w:lang w:val="fr-FR"/>
              </w:rPr>
            </w:pPr>
          </w:p>
          <w:p w:rsidR="004820EE" w:rsidRPr="00CF2C85" w:rsidRDefault="004820EE" w:rsidP="00FB6510">
            <w:pPr>
              <w:pStyle w:val="BodyText"/>
              <w:jc w:val="both"/>
              <w:rPr>
                <w:rFonts w:ascii="Times New Roman" w:hAnsi="Times New Roman" w:cs="Times New Roman"/>
                <w:bCs/>
                <w:sz w:val="24"/>
                <w:szCs w:val="24"/>
                <w:lang w:val="fr-FR"/>
              </w:rPr>
            </w:pPr>
          </w:p>
          <w:p w:rsidR="004820EE" w:rsidRPr="00CF2C85" w:rsidRDefault="004820EE" w:rsidP="00FB6510">
            <w:pPr>
              <w:pStyle w:val="BodyText"/>
              <w:jc w:val="both"/>
              <w:rPr>
                <w:rFonts w:ascii="Times New Roman" w:hAnsi="Times New Roman" w:cs="Times New Roman"/>
                <w:bCs/>
                <w:sz w:val="24"/>
                <w:szCs w:val="24"/>
                <w:lang w:val="fr-FR"/>
              </w:rPr>
            </w:pPr>
          </w:p>
          <w:p w:rsidR="004820EE" w:rsidRPr="00CF2C85" w:rsidRDefault="004820EE" w:rsidP="00FB6510">
            <w:pPr>
              <w:pStyle w:val="BodyText"/>
              <w:jc w:val="both"/>
              <w:rPr>
                <w:rFonts w:ascii="Times New Roman" w:hAnsi="Times New Roman" w:cs="Times New Roman"/>
                <w:bCs/>
                <w:sz w:val="24"/>
                <w:szCs w:val="24"/>
                <w:lang w:val="fr-FR"/>
              </w:rPr>
            </w:pPr>
          </w:p>
          <w:p w:rsidR="004820EE" w:rsidRDefault="004820EE" w:rsidP="00FB6510">
            <w:pPr>
              <w:pStyle w:val="BodyText"/>
              <w:jc w:val="both"/>
              <w:rPr>
                <w:rFonts w:ascii="Times New Roman" w:hAnsi="Times New Roman" w:cs="Times New Roman"/>
                <w:bCs/>
                <w:sz w:val="24"/>
                <w:szCs w:val="24"/>
                <w:lang w:val="fr-FR"/>
              </w:rPr>
            </w:pPr>
          </w:p>
          <w:p w:rsidR="00D43C48" w:rsidRPr="00CF2C85" w:rsidRDefault="00D43C48" w:rsidP="00FB6510">
            <w:pPr>
              <w:pStyle w:val="BodyText"/>
              <w:jc w:val="both"/>
              <w:rPr>
                <w:rFonts w:ascii="Times New Roman" w:hAnsi="Times New Roman" w:cs="Times New Roman"/>
                <w:bCs/>
                <w:sz w:val="24"/>
                <w:szCs w:val="24"/>
                <w:lang w:val="fr-FR"/>
              </w:rPr>
            </w:pPr>
          </w:p>
          <w:p w:rsidR="004820EE" w:rsidRPr="00CF2C85" w:rsidRDefault="004820EE" w:rsidP="00FB6510">
            <w:pPr>
              <w:pStyle w:val="BodyText"/>
              <w:jc w:val="both"/>
              <w:rPr>
                <w:rFonts w:ascii="Times New Roman" w:hAnsi="Times New Roman" w:cs="Times New Roman"/>
                <w:bCs/>
                <w:sz w:val="24"/>
                <w:szCs w:val="24"/>
                <w:lang w:val="fr-FR"/>
              </w:rPr>
            </w:pPr>
          </w:p>
          <w:p w:rsidR="004820EE" w:rsidRDefault="004820EE" w:rsidP="00FB6510">
            <w:pPr>
              <w:rPr>
                <w:bCs/>
                <w:lang w:val="fr-FR"/>
              </w:rPr>
            </w:pPr>
          </w:p>
          <w:p w:rsidR="004820EE" w:rsidRPr="00D43C48" w:rsidRDefault="004820EE" w:rsidP="00D43C48">
            <w:pPr>
              <w:rPr>
                <w:lang w:val="fr-FR"/>
              </w:rPr>
            </w:pPr>
            <w:r w:rsidRPr="00D43C48">
              <w:rPr>
                <w:lang w:val="fr-FR"/>
              </w:rPr>
              <w:t>10 Agence</w:t>
            </w:r>
            <w:r w:rsidR="00D43C48" w:rsidRPr="00D43C48">
              <w:rPr>
                <w:lang w:val="fr-FR"/>
              </w:rPr>
              <w:t>s</w:t>
            </w:r>
            <w:r w:rsidRPr="00D43C48">
              <w:rPr>
                <w:lang w:val="fr-FR"/>
              </w:rPr>
              <w:t xml:space="preserve"> Technique</w:t>
            </w:r>
            <w:r w:rsidR="00D43C48" w:rsidRPr="00D43C48">
              <w:rPr>
                <w:lang w:val="fr-FR"/>
              </w:rPr>
              <w:t>s Locales o</w:t>
            </w:r>
            <w:r w:rsidRPr="00D43C48">
              <w:rPr>
                <w:lang w:val="fr-FR"/>
              </w:rPr>
              <w:t>pérationnelles</w:t>
            </w:r>
          </w:p>
          <w:p w:rsidR="004820EE" w:rsidRPr="00D43C48" w:rsidRDefault="004820EE" w:rsidP="00D43C48">
            <w:pPr>
              <w:rPr>
                <w:lang w:val="fr-FR"/>
              </w:rPr>
            </w:pPr>
            <w:r w:rsidRPr="00D43C48">
              <w:rPr>
                <w:lang w:val="fr-FR"/>
              </w:rPr>
              <w:t>60 cadres ATL en fonction depuis fin aout 2013</w:t>
            </w:r>
          </w:p>
          <w:p w:rsidR="004820EE" w:rsidRPr="00D43C48" w:rsidRDefault="004820EE" w:rsidP="00D43C48">
            <w:pPr>
              <w:rPr>
                <w:lang w:val="fr-FR"/>
              </w:rPr>
            </w:pPr>
            <w:r w:rsidRPr="00D43C48">
              <w:rPr>
                <w:lang w:val="fr-FR"/>
              </w:rPr>
              <w:t xml:space="preserve">2eme Transferts de fonds réalisé et  du matériel informatique et des véhicules </w:t>
            </w:r>
            <w:r w:rsidR="00D43C48" w:rsidRPr="00D43C48">
              <w:rPr>
                <w:lang w:val="fr-FR"/>
              </w:rPr>
              <w:t>à</w:t>
            </w:r>
            <w:r w:rsidRPr="00D43C48">
              <w:rPr>
                <w:lang w:val="fr-FR"/>
              </w:rPr>
              <w:t xml:space="preserve"> l’usage des ATL</w:t>
            </w:r>
          </w:p>
          <w:p w:rsidR="004820EE" w:rsidRPr="00D43C48" w:rsidRDefault="004820EE" w:rsidP="00D43C48">
            <w:pPr>
              <w:rPr>
                <w:lang w:val="fr-FR"/>
              </w:rPr>
            </w:pPr>
            <w:r w:rsidRPr="00D43C48">
              <w:rPr>
                <w:lang w:val="fr-FR"/>
              </w:rPr>
              <w:t xml:space="preserve">10 CRC </w:t>
            </w:r>
            <w:r w:rsidR="00D43C48" w:rsidRPr="00D43C48">
              <w:rPr>
                <w:lang w:val="fr-FR"/>
              </w:rPr>
              <w:t>installés</w:t>
            </w:r>
            <w:r w:rsidRPr="00D43C48">
              <w:rPr>
                <w:lang w:val="fr-FR"/>
              </w:rPr>
              <w:t xml:space="preserve"> dans les communes</w:t>
            </w:r>
          </w:p>
          <w:p w:rsidR="004820EE" w:rsidRPr="00D43C48" w:rsidRDefault="004820EE" w:rsidP="00D43C48">
            <w:pPr>
              <w:rPr>
                <w:lang w:val="fr-FR"/>
              </w:rPr>
            </w:pPr>
            <w:r w:rsidRPr="00D43C48">
              <w:rPr>
                <w:lang w:val="fr-FR"/>
              </w:rPr>
              <w:t>3</w:t>
            </w:r>
            <w:r w:rsidR="00D43C48" w:rsidRPr="00D43C48">
              <w:rPr>
                <w:lang w:val="fr-FR"/>
              </w:rPr>
              <w:t>2</w:t>
            </w:r>
            <w:r w:rsidRPr="00D43C48">
              <w:rPr>
                <w:lang w:val="fr-FR"/>
              </w:rPr>
              <w:t xml:space="preserve"> cadres recrutés pour les 10 CRC </w:t>
            </w:r>
          </w:p>
          <w:p w:rsidR="00F303C2" w:rsidRDefault="00F303C2" w:rsidP="00D43C48">
            <w:pPr>
              <w:rPr>
                <w:lang w:val="fr-FR"/>
              </w:rPr>
            </w:pPr>
          </w:p>
          <w:p w:rsidR="00F303C2" w:rsidRDefault="00F303C2" w:rsidP="00D43C48">
            <w:pPr>
              <w:rPr>
                <w:lang w:val="fr-FR"/>
              </w:rPr>
            </w:pPr>
          </w:p>
          <w:p w:rsidR="004820EE" w:rsidRPr="00D43C48" w:rsidRDefault="00D43C48" w:rsidP="00D43C48">
            <w:pPr>
              <w:rPr>
                <w:lang w:val="fr-FR"/>
              </w:rPr>
            </w:pPr>
            <w:r w:rsidRPr="00D43C48">
              <w:rPr>
                <w:lang w:val="fr-FR"/>
              </w:rPr>
              <w:t>10 plate</w:t>
            </w:r>
            <w:r w:rsidR="004820EE" w:rsidRPr="00D43C48">
              <w:rPr>
                <w:lang w:val="fr-FR"/>
              </w:rPr>
              <w:t xml:space="preserve">formes communales </w:t>
            </w:r>
            <w:r w:rsidRPr="00D43C48">
              <w:rPr>
                <w:lang w:val="fr-FR"/>
              </w:rPr>
              <w:t>formées</w:t>
            </w:r>
            <w:r w:rsidR="004820EE" w:rsidRPr="00D43C48">
              <w:rPr>
                <w:lang w:val="fr-FR"/>
              </w:rPr>
              <w:t xml:space="preserve">, </w:t>
            </w:r>
            <w:r w:rsidRPr="00D43C48">
              <w:rPr>
                <w:lang w:val="fr-FR"/>
              </w:rPr>
              <w:t>validées</w:t>
            </w:r>
            <w:r w:rsidR="004820EE" w:rsidRPr="00D43C48">
              <w:rPr>
                <w:lang w:val="fr-FR"/>
              </w:rPr>
              <w:t xml:space="preserve"> et </w:t>
            </w:r>
            <w:r w:rsidRPr="00D43C48">
              <w:rPr>
                <w:lang w:val="fr-FR"/>
              </w:rPr>
              <w:t>fonctionnelles</w:t>
            </w:r>
            <w:r w:rsidR="004820EE" w:rsidRPr="00D43C48">
              <w:rPr>
                <w:lang w:val="fr-FR"/>
              </w:rPr>
              <w:t xml:space="preserve">   </w:t>
            </w:r>
          </w:p>
          <w:p w:rsidR="004820EE" w:rsidRDefault="004820EE" w:rsidP="00FB6510">
            <w:pPr>
              <w:pStyle w:val="BodyText"/>
              <w:jc w:val="both"/>
              <w:rPr>
                <w:rFonts w:ascii="Times New Roman" w:hAnsi="Times New Roman" w:cs="Times New Roman"/>
                <w:sz w:val="24"/>
                <w:szCs w:val="24"/>
                <w:lang w:val="fr-FR"/>
              </w:rPr>
            </w:pPr>
          </w:p>
          <w:p w:rsidR="004820EE" w:rsidRDefault="004820EE" w:rsidP="00F303C2">
            <w:pPr>
              <w:pStyle w:val="BodyText"/>
              <w:rPr>
                <w:rFonts w:ascii="Times New Roman" w:hAnsi="Times New Roman" w:cs="Times New Roman"/>
                <w:sz w:val="24"/>
                <w:szCs w:val="24"/>
                <w:lang w:val="fr-FR"/>
              </w:rPr>
            </w:pPr>
            <w:r w:rsidRPr="00F303C2">
              <w:rPr>
                <w:rFonts w:ascii="Times New Roman" w:hAnsi="Times New Roman" w:cs="Times New Roman"/>
                <w:spacing w:val="-2"/>
                <w:sz w:val="24"/>
                <w:szCs w:val="24"/>
                <w:lang w:val="fr-FR"/>
              </w:rPr>
              <w:t xml:space="preserve">Mécanisme d’échange </w:t>
            </w:r>
            <w:r w:rsidRPr="00F303C2">
              <w:rPr>
                <w:rFonts w:ascii="Times New Roman" w:hAnsi="Times New Roman" w:cs="Times New Roman"/>
                <w:spacing w:val="-2"/>
                <w:sz w:val="24"/>
                <w:szCs w:val="24"/>
                <w:lang w:val="fr-FR"/>
              </w:rPr>
              <w:lastRenderedPageBreak/>
              <w:t xml:space="preserve">d’information, coordination et  communication et stratégie de communication existant entre les ATL-CRC et les communes. </w:t>
            </w:r>
          </w:p>
          <w:p w:rsidR="004820EE" w:rsidRPr="00CF2C85" w:rsidRDefault="004820EE" w:rsidP="00FB6510">
            <w:pPr>
              <w:pStyle w:val="BodyText"/>
              <w:jc w:val="both"/>
              <w:rPr>
                <w:rFonts w:ascii="Times New Roman" w:hAnsi="Times New Roman" w:cs="Times New Roman"/>
                <w:bCs/>
                <w:sz w:val="24"/>
                <w:szCs w:val="24"/>
                <w:lang w:val="fr-FR"/>
              </w:rPr>
            </w:pPr>
          </w:p>
        </w:tc>
        <w:tc>
          <w:tcPr>
            <w:tcW w:w="3960" w:type="dxa"/>
            <w:tcBorders>
              <w:bottom w:val="single" w:sz="4" w:space="0" w:color="000000"/>
            </w:tcBorders>
            <w:shd w:val="clear" w:color="auto" w:fill="auto"/>
          </w:tcPr>
          <w:p w:rsidR="004820EE" w:rsidRPr="00CF2C85" w:rsidRDefault="004820EE" w:rsidP="00FB6510">
            <w:pPr>
              <w:pStyle w:val="BodyText"/>
              <w:jc w:val="both"/>
              <w:rPr>
                <w:rFonts w:ascii="Times New Roman" w:hAnsi="Times New Roman" w:cs="Times New Roman"/>
                <w:bCs/>
                <w:sz w:val="24"/>
                <w:szCs w:val="24"/>
                <w:lang w:val="fr-FR"/>
              </w:rPr>
            </w:pPr>
          </w:p>
          <w:p w:rsidR="004820EE" w:rsidRPr="00CF2C85" w:rsidRDefault="004820EE" w:rsidP="00FB6510">
            <w:pPr>
              <w:pStyle w:val="BodyText"/>
              <w:jc w:val="both"/>
              <w:rPr>
                <w:rFonts w:ascii="Times New Roman" w:hAnsi="Times New Roman" w:cs="Times New Roman"/>
                <w:bCs/>
                <w:sz w:val="24"/>
                <w:szCs w:val="24"/>
                <w:lang w:val="fr-FR"/>
              </w:rPr>
            </w:pPr>
          </w:p>
          <w:p w:rsidR="004820EE" w:rsidRPr="00CF2C85" w:rsidRDefault="004820EE" w:rsidP="00FB6510">
            <w:pPr>
              <w:pStyle w:val="BodyText"/>
              <w:jc w:val="both"/>
              <w:rPr>
                <w:rFonts w:ascii="Times New Roman" w:hAnsi="Times New Roman" w:cs="Times New Roman"/>
                <w:bCs/>
                <w:sz w:val="24"/>
                <w:szCs w:val="24"/>
                <w:lang w:val="fr-FR"/>
              </w:rPr>
            </w:pPr>
          </w:p>
          <w:p w:rsidR="004820EE" w:rsidRPr="00CF2C85" w:rsidRDefault="004820EE" w:rsidP="00FB6510">
            <w:pPr>
              <w:pStyle w:val="BodyText"/>
              <w:jc w:val="both"/>
              <w:rPr>
                <w:rFonts w:ascii="Times New Roman" w:hAnsi="Times New Roman" w:cs="Times New Roman"/>
                <w:bCs/>
                <w:sz w:val="24"/>
                <w:szCs w:val="24"/>
                <w:lang w:val="fr-FR"/>
              </w:rPr>
            </w:pPr>
          </w:p>
          <w:p w:rsidR="004820EE" w:rsidRPr="00CF2C85" w:rsidRDefault="004820EE" w:rsidP="00FB6510">
            <w:pPr>
              <w:pStyle w:val="BodyText"/>
              <w:jc w:val="both"/>
              <w:rPr>
                <w:rFonts w:ascii="Times New Roman" w:hAnsi="Times New Roman" w:cs="Times New Roman"/>
                <w:bCs/>
                <w:sz w:val="24"/>
                <w:szCs w:val="24"/>
                <w:lang w:val="fr-FR"/>
              </w:rPr>
            </w:pPr>
          </w:p>
          <w:p w:rsidR="004820EE" w:rsidRPr="00CF2C85" w:rsidRDefault="004820EE" w:rsidP="00FB6510">
            <w:pPr>
              <w:pStyle w:val="BodyText"/>
              <w:jc w:val="both"/>
              <w:rPr>
                <w:rFonts w:ascii="Times New Roman" w:hAnsi="Times New Roman" w:cs="Times New Roman"/>
                <w:bCs/>
                <w:sz w:val="24"/>
                <w:szCs w:val="24"/>
                <w:lang w:val="fr-FR"/>
              </w:rPr>
            </w:pPr>
          </w:p>
          <w:p w:rsidR="004820EE" w:rsidRPr="00CF2C85" w:rsidRDefault="004820EE" w:rsidP="00FB6510">
            <w:pPr>
              <w:pStyle w:val="BodyText"/>
              <w:jc w:val="both"/>
              <w:rPr>
                <w:rFonts w:ascii="Times New Roman" w:hAnsi="Times New Roman" w:cs="Times New Roman"/>
                <w:bCs/>
                <w:sz w:val="24"/>
                <w:szCs w:val="24"/>
                <w:lang w:val="fr-FR"/>
              </w:rPr>
            </w:pPr>
          </w:p>
          <w:p w:rsidR="004820EE" w:rsidRPr="00CF2C85" w:rsidRDefault="004820EE" w:rsidP="00FB6510">
            <w:pPr>
              <w:pStyle w:val="BodyText"/>
              <w:jc w:val="both"/>
              <w:rPr>
                <w:rFonts w:ascii="Times New Roman" w:hAnsi="Times New Roman" w:cs="Times New Roman"/>
                <w:bCs/>
                <w:sz w:val="24"/>
                <w:szCs w:val="24"/>
                <w:lang w:val="fr-FR"/>
              </w:rPr>
            </w:pPr>
          </w:p>
          <w:p w:rsidR="004820EE" w:rsidRPr="00CF2C85" w:rsidRDefault="004820EE" w:rsidP="00FB6510">
            <w:pPr>
              <w:pStyle w:val="BodyText"/>
              <w:jc w:val="both"/>
              <w:rPr>
                <w:rFonts w:ascii="Times New Roman" w:hAnsi="Times New Roman" w:cs="Times New Roman"/>
                <w:bCs/>
                <w:sz w:val="24"/>
                <w:szCs w:val="24"/>
                <w:lang w:val="fr-FR"/>
              </w:rPr>
            </w:pPr>
          </w:p>
          <w:p w:rsidR="004820EE" w:rsidRPr="00F303C2" w:rsidRDefault="004820EE" w:rsidP="00FB6510">
            <w:pPr>
              <w:pStyle w:val="BodyText"/>
              <w:jc w:val="both"/>
              <w:rPr>
                <w:rFonts w:ascii="Times New Roman" w:hAnsi="Times New Roman" w:cs="Times New Roman"/>
                <w:bCs/>
                <w:sz w:val="24"/>
                <w:szCs w:val="24"/>
                <w:lang w:val="fr-FR"/>
              </w:rPr>
            </w:pPr>
            <w:r w:rsidRPr="00F303C2">
              <w:rPr>
                <w:rFonts w:ascii="Times New Roman" w:hAnsi="Times New Roman" w:cs="Times New Roman"/>
                <w:bCs/>
                <w:sz w:val="24"/>
                <w:szCs w:val="24"/>
                <w:lang w:val="fr-FR"/>
              </w:rPr>
              <w:t xml:space="preserve">Du matériel informatique restant encore pour la commune de Delmas par </w:t>
            </w:r>
            <w:r w:rsidR="00F303C2" w:rsidRPr="00F303C2">
              <w:rPr>
                <w:rFonts w:ascii="Times New Roman" w:hAnsi="Times New Roman" w:cs="Times New Roman"/>
                <w:bCs/>
                <w:sz w:val="24"/>
                <w:szCs w:val="24"/>
                <w:lang w:val="fr-FR"/>
              </w:rPr>
              <w:t>manque d’espace sécurisé pour l’</w:t>
            </w:r>
            <w:r w:rsidRPr="00F303C2">
              <w:rPr>
                <w:rFonts w:ascii="Times New Roman" w:hAnsi="Times New Roman" w:cs="Times New Roman"/>
                <w:bCs/>
                <w:sz w:val="24"/>
                <w:szCs w:val="24"/>
                <w:lang w:val="fr-FR"/>
              </w:rPr>
              <w:t>ATL</w:t>
            </w:r>
          </w:p>
          <w:p w:rsidR="004820EE" w:rsidRPr="00F303C2" w:rsidRDefault="004820EE" w:rsidP="00FB6510">
            <w:pPr>
              <w:pStyle w:val="BodyText"/>
              <w:jc w:val="both"/>
              <w:rPr>
                <w:rFonts w:ascii="Times New Roman" w:hAnsi="Times New Roman" w:cs="Times New Roman"/>
                <w:bCs/>
                <w:sz w:val="24"/>
                <w:szCs w:val="24"/>
                <w:lang w:val="fr-FR"/>
              </w:rPr>
            </w:pPr>
          </w:p>
          <w:p w:rsidR="004820EE" w:rsidRPr="00CF2C85" w:rsidRDefault="004820EE" w:rsidP="00FB6510">
            <w:pPr>
              <w:pStyle w:val="BodyText"/>
              <w:jc w:val="both"/>
              <w:rPr>
                <w:rFonts w:ascii="Times New Roman" w:hAnsi="Times New Roman" w:cs="Times New Roman"/>
                <w:bCs/>
                <w:sz w:val="24"/>
                <w:szCs w:val="24"/>
                <w:lang w:val="fr-FR"/>
              </w:rPr>
            </w:pPr>
            <w:r w:rsidRPr="00F303C2">
              <w:rPr>
                <w:rFonts w:ascii="Times New Roman" w:hAnsi="Times New Roman" w:cs="Times New Roman"/>
                <w:bCs/>
                <w:sz w:val="24"/>
                <w:szCs w:val="24"/>
                <w:lang w:val="fr-FR"/>
              </w:rPr>
              <w:t xml:space="preserve">1 CRC et recrutement du personnel </w:t>
            </w:r>
            <w:r w:rsidR="00F303C2" w:rsidRPr="00F303C2">
              <w:rPr>
                <w:rFonts w:ascii="Times New Roman" w:hAnsi="Times New Roman" w:cs="Times New Roman"/>
                <w:bCs/>
                <w:sz w:val="24"/>
                <w:szCs w:val="24"/>
                <w:lang w:val="fr-FR"/>
              </w:rPr>
              <w:t>à</w:t>
            </w:r>
            <w:r w:rsidRPr="00F303C2">
              <w:rPr>
                <w:rFonts w:ascii="Times New Roman" w:hAnsi="Times New Roman" w:cs="Times New Roman"/>
                <w:bCs/>
                <w:sz w:val="24"/>
                <w:szCs w:val="24"/>
                <w:lang w:val="fr-FR"/>
              </w:rPr>
              <w:t xml:space="preserve"> installe</w:t>
            </w:r>
            <w:r w:rsidR="00F303C2" w:rsidRPr="00F303C2">
              <w:rPr>
                <w:rFonts w:ascii="Times New Roman" w:hAnsi="Times New Roman" w:cs="Times New Roman"/>
                <w:bCs/>
                <w:sz w:val="24"/>
                <w:szCs w:val="24"/>
                <w:lang w:val="fr-FR"/>
              </w:rPr>
              <w:t>r</w:t>
            </w:r>
            <w:r w:rsidRPr="00F303C2">
              <w:rPr>
                <w:rFonts w:ascii="Times New Roman" w:hAnsi="Times New Roman" w:cs="Times New Roman"/>
                <w:bCs/>
                <w:sz w:val="24"/>
                <w:szCs w:val="24"/>
                <w:lang w:val="fr-FR"/>
              </w:rPr>
              <w:t xml:space="preserve"> dans la commune de Delmas</w:t>
            </w:r>
          </w:p>
          <w:p w:rsidR="004820EE" w:rsidRPr="00CF2C85" w:rsidRDefault="004820EE" w:rsidP="00FB6510">
            <w:pPr>
              <w:pStyle w:val="BodyText"/>
              <w:jc w:val="both"/>
              <w:rPr>
                <w:rFonts w:ascii="Times New Roman" w:hAnsi="Times New Roman" w:cs="Times New Roman"/>
                <w:bCs/>
                <w:sz w:val="24"/>
                <w:szCs w:val="24"/>
                <w:lang w:val="fr-FR"/>
              </w:rPr>
            </w:pPr>
          </w:p>
          <w:p w:rsidR="004820EE" w:rsidRDefault="004820EE" w:rsidP="00FB6510">
            <w:pPr>
              <w:pStyle w:val="BodyText"/>
              <w:jc w:val="both"/>
              <w:rPr>
                <w:rFonts w:ascii="Times New Roman" w:hAnsi="Times New Roman" w:cs="Times New Roman"/>
                <w:sz w:val="24"/>
                <w:szCs w:val="24"/>
                <w:lang w:val="fr-FR"/>
              </w:rPr>
            </w:pPr>
          </w:p>
          <w:p w:rsidR="004820EE" w:rsidRPr="00CF2C85" w:rsidRDefault="004820EE" w:rsidP="00F303C2">
            <w:pPr>
              <w:pStyle w:val="BodyText"/>
              <w:jc w:val="both"/>
              <w:rPr>
                <w:rFonts w:ascii="Times New Roman" w:hAnsi="Times New Roman" w:cs="Times New Roman"/>
                <w:bCs/>
                <w:sz w:val="24"/>
                <w:szCs w:val="24"/>
                <w:lang w:val="fr-FR"/>
              </w:rPr>
            </w:pPr>
          </w:p>
        </w:tc>
        <w:tc>
          <w:tcPr>
            <w:tcW w:w="3150" w:type="dxa"/>
            <w:tcBorders>
              <w:bottom w:val="single" w:sz="4" w:space="0" w:color="000000"/>
            </w:tcBorders>
            <w:shd w:val="clear" w:color="auto" w:fill="auto"/>
          </w:tcPr>
          <w:p w:rsidR="004820EE" w:rsidRPr="00CF2C85" w:rsidRDefault="004820EE" w:rsidP="00FB6510">
            <w:pPr>
              <w:pStyle w:val="BodyText"/>
              <w:jc w:val="both"/>
              <w:rPr>
                <w:rFonts w:ascii="Times New Roman" w:hAnsi="Times New Roman" w:cs="Times New Roman"/>
                <w:bCs/>
                <w:sz w:val="24"/>
                <w:szCs w:val="24"/>
                <w:lang w:val="fr-FR"/>
              </w:rPr>
            </w:pPr>
          </w:p>
          <w:p w:rsidR="004820EE" w:rsidRPr="00CF2C85" w:rsidRDefault="004820EE" w:rsidP="00FB6510">
            <w:pPr>
              <w:pStyle w:val="BodyText"/>
              <w:jc w:val="both"/>
              <w:rPr>
                <w:rFonts w:ascii="Times New Roman" w:hAnsi="Times New Roman" w:cs="Times New Roman"/>
                <w:bCs/>
                <w:sz w:val="24"/>
                <w:szCs w:val="24"/>
                <w:lang w:val="fr-FR"/>
              </w:rPr>
            </w:pPr>
          </w:p>
          <w:p w:rsidR="004820EE" w:rsidRPr="00CF2C85" w:rsidRDefault="004820EE" w:rsidP="00FB6510">
            <w:pPr>
              <w:pStyle w:val="BodyText"/>
              <w:jc w:val="both"/>
              <w:rPr>
                <w:rFonts w:ascii="Times New Roman" w:hAnsi="Times New Roman" w:cs="Times New Roman"/>
                <w:bCs/>
                <w:sz w:val="24"/>
                <w:szCs w:val="24"/>
                <w:lang w:val="fr-FR"/>
              </w:rPr>
            </w:pPr>
          </w:p>
          <w:p w:rsidR="00F303C2" w:rsidRDefault="00F303C2" w:rsidP="00C868EA">
            <w:pPr>
              <w:tabs>
                <w:tab w:val="left" w:pos="-720"/>
                <w:tab w:val="left" w:pos="4500"/>
              </w:tabs>
              <w:suppressAutoHyphens/>
              <w:rPr>
                <w:spacing w:val="-2"/>
                <w:lang w:val="fr-FR"/>
              </w:rPr>
            </w:pPr>
          </w:p>
          <w:p w:rsidR="00F303C2" w:rsidRDefault="00F303C2" w:rsidP="00C868EA">
            <w:pPr>
              <w:tabs>
                <w:tab w:val="left" w:pos="-720"/>
                <w:tab w:val="left" w:pos="4500"/>
              </w:tabs>
              <w:suppressAutoHyphens/>
              <w:rPr>
                <w:spacing w:val="-2"/>
                <w:lang w:val="fr-FR"/>
              </w:rPr>
            </w:pPr>
          </w:p>
          <w:p w:rsidR="00F303C2" w:rsidRDefault="00F303C2" w:rsidP="00C868EA">
            <w:pPr>
              <w:tabs>
                <w:tab w:val="left" w:pos="-720"/>
                <w:tab w:val="left" w:pos="4500"/>
              </w:tabs>
              <w:suppressAutoHyphens/>
              <w:rPr>
                <w:spacing w:val="-2"/>
                <w:lang w:val="fr-FR"/>
              </w:rPr>
            </w:pPr>
          </w:p>
          <w:p w:rsidR="00F303C2" w:rsidRDefault="00F303C2" w:rsidP="00C868EA">
            <w:pPr>
              <w:tabs>
                <w:tab w:val="left" w:pos="-720"/>
                <w:tab w:val="left" w:pos="4500"/>
              </w:tabs>
              <w:suppressAutoHyphens/>
              <w:rPr>
                <w:spacing w:val="-2"/>
                <w:lang w:val="fr-FR"/>
              </w:rPr>
            </w:pPr>
          </w:p>
          <w:p w:rsidR="00F303C2" w:rsidRDefault="00F303C2" w:rsidP="00C868EA">
            <w:pPr>
              <w:tabs>
                <w:tab w:val="left" w:pos="-720"/>
                <w:tab w:val="left" w:pos="4500"/>
              </w:tabs>
              <w:suppressAutoHyphens/>
              <w:rPr>
                <w:spacing w:val="-2"/>
                <w:lang w:val="fr-FR"/>
              </w:rPr>
            </w:pPr>
          </w:p>
          <w:p w:rsidR="00F303C2" w:rsidRDefault="00F303C2" w:rsidP="00C868EA">
            <w:pPr>
              <w:tabs>
                <w:tab w:val="left" w:pos="-720"/>
                <w:tab w:val="left" w:pos="4500"/>
              </w:tabs>
              <w:suppressAutoHyphens/>
              <w:rPr>
                <w:spacing w:val="-2"/>
                <w:lang w:val="fr-FR"/>
              </w:rPr>
            </w:pPr>
          </w:p>
          <w:p w:rsidR="00F303C2" w:rsidRDefault="00F303C2" w:rsidP="00F303C2">
            <w:pPr>
              <w:pStyle w:val="BodyText"/>
              <w:jc w:val="both"/>
              <w:rPr>
                <w:rFonts w:ascii="Times New Roman" w:hAnsi="Times New Roman" w:cs="Times New Roman"/>
                <w:bCs/>
                <w:sz w:val="24"/>
                <w:szCs w:val="24"/>
                <w:lang w:val="fr-FR"/>
              </w:rPr>
            </w:pPr>
            <w:r w:rsidRPr="00CF2C85">
              <w:rPr>
                <w:rFonts w:ascii="Times New Roman" w:hAnsi="Times New Roman" w:cs="Times New Roman"/>
                <w:bCs/>
                <w:sz w:val="24"/>
                <w:szCs w:val="24"/>
                <w:lang w:val="fr-FR"/>
              </w:rPr>
              <w:t>PV de recrutement</w:t>
            </w:r>
            <w:r>
              <w:rPr>
                <w:rFonts w:ascii="Times New Roman" w:hAnsi="Times New Roman" w:cs="Times New Roman"/>
                <w:bCs/>
                <w:sz w:val="24"/>
                <w:szCs w:val="24"/>
                <w:lang w:val="fr-FR"/>
              </w:rPr>
              <w:t xml:space="preserve"> du personnel</w:t>
            </w:r>
          </w:p>
          <w:p w:rsidR="00F303C2" w:rsidRDefault="00F303C2" w:rsidP="00F303C2">
            <w:pPr>
              <w:pStyle w:val="BodyText"/>
              <w:jc w:val="both"/>
              <w:rPr>
                <w:rFonts w:ascii="Times New Roman" w:hAnsi="Times New Roman" w:cs="Times New Roman"/>
                <w:bCs/>
                <w:sz w:val="24"/>
                <w:szCs w:val="24"/>
                <w:lang w:val="fr-FR"/>
              </w:rPr>
            </w:pPr>
            <w:r w:rsidRPr="00CF2C85">
              <w:rPr>
                <w:rFonts w:ascii="Times New Roman" w:hAnsi="Times New Roman" w:cs="Times New Roman"/>
                <w:bCs/>
                <w:sz w:val="24"/>
                <w:szCs w:val="24"/>
                <w:lang w:val="fr-FR"/>
              </w:rPr>
              <w:t xml:space="preserve"> </w:t>
            </w:r>
          </w:p>
          <w:p w:rsidR="00C868EA" w:rsidRPr="00727213" w:rsidRDefault="00C868EA" w:rsidP="00C868EA">
            <w:pPr>
              <w:tabs>
                <w:tab w:val="left" w:pos="-720"/>
                <w:tab w:val="left" w:pos="4500"/>
              </w:tabs>
              <w:suppressAutoHyphens/>
              <w:rPr>
                <w:spacing w:val="-2"/>
                <w:lang w:val="fr-FR"/>
              </w:rPr>
            </w:pPr>
            <w:r w:rsidRPr="00727213">
              <w:rPr>
                <w:spacing w:val="-2"/>
                <w:lang w:val="fr-FR"/>
              </w:rPr>
              <w:t>Représentation cartographique des implantations territoriales des ATL et CRC et leur bilan d’activité</w:t>
            </w:r>
          </w:p>
          <w:p w:rsidR="00F303C2" w:rsidRDefault="00F303C2" w:rsidP="00C868EA">
            <w:pPr>
              <w:tabs>
                <w:tab w:val="left" w:pos="-720"/>
                <w:tab w:val="left" w:pos="4500"/>
              </w:tabs>
              <w:suppressAutoHyphens/>
              <w:rPr>
                <w:spacing w:val="-2"/>
                <w:lang w:val="fr-FR"/>
              </w:rPr>
            </w:pPr>
          </w:p>
          <w:p w:rsidR="00F303C2" w:rsidRDefault="00F303C2" w:rsidP="00F303C2">
            <w:pPr>
              <w:tabs>
                <w:tab w:val="left" w:pos="-720"/>
                <w:tab w:val="left" w:pos="4500"/>
              </w:tabs>
              <w:suppressAutoHyphens/>
              <w:rPr>
                <w:spacing w:val="-2"/>
                <w:lang w:val="fr-FR"/>
              </w:rPr>
            </w:pPr>
            <w:r w:rsidRPr="00CF2C85">
              <w:rPr>
                <w:spacing w:val="-2"/>
                <w:lang w:val="fr-FR"/>
              </w:rPr>
              <w:t xml:space="preserve">Organigrammes des ATL et CRC </w:t>
            </w:r>
          </w:p>
          <w:p w:rsidR="00F303C2" w:rsidRPr="00CF2C85" w:rsidRDefault="00F303C2" w:rsidP="00F303C2">
            <w:pPr>
              <w:tabs>
                <w:tab w:val="left" w:pos="-720"/>
                <w:tab w:val="left" w:pos="4500"/>
              </w:tabs>
              <w:suppressAutoHyphens/>
              <w:rPr>
                <w:spacing w:val="-2"/>
                <w:lang w:val="fr-FR"/>
              </w:rPr>
            </w:pPr>
          </w:p>
          <w:p w:rsidR="00C868EA" w:rsidRPr="00C868EA" w:rsidRDefault="00C868EA" w:rsidP="00C868EA">
            <w:pPr>
              <w:tabs>
                <w:tab w:val="left" w:pos="-720"/>
                <w:tab w:val="left" w:pos="4500"/>
              </w:tabs>
              <w:suppressAutoHyphens/>
              <w:rPr>
                <w:spacing w:val="-2"/>
                <w:lang w:val="fr-FR"/>
              </w:rPr>
            </w:pPr>
            <w:r w:rsidRPr="00C868EA">
              <w:rPr>
                <w:spacing w:val="-2"/>
                <w:lang w:val="fr-FR"/>
              </w:rPr>
              <w:t>Rapport d’activité trimestriel des ATL et CRC</w:t>
            </w:r>
          </w:p>
          <w:p w:rsidR="004820EE" w:rsidRPr="00CF2C85" w:rsidRDefault="004820EE" w:rsidP="00FB6510">
            <w:pPr>
              <w:pStyle w:val="BodyText"/>
              <w:jc w:val="both"/>
              <w:rPr>
                <w:rFonts w:ascii="Times New Roman" w:hAnsi="Times New Roman" w:cs="Times New Roman"/>
                <w:bCs/>
                <w:sz w:val="24"/>
                <w:szCs w:val="24"/>
                <w:lang w:val="fr-FR"/>
              </w:rPr>
            </w:pPr>
          </w:p>
          <w:p w:rsidR="004820EE" w:rsidRPr="00CF2C85" w:rsidRDefault="004820EE" w:rsidP="00FB6510">
            <w:pPr>
              <w:pStyle w:val="BodyText"/>
              <w:jc w:val="both"/>
              <w:rPr>
                <w:rFonts w:ascii="Times New Roman" w:hAnsi="Times New Roman" w:cs="Times New Roman"/>
                <w:bCs/>
                <w:sz w:val="24"/>
                <w:szCs w:val="24"/>
                <w:lang w:val="fr-FR"/>
              </w:rPr>
            </w:pPr>
          </w:p>
          <w:p w:rsidR="004820EE" w:rsidRDefault="004820EE" w:rsidP="00FB6510">
            <w:pPr>
              <w:tabs>
                <w:tab w:val="left" w:pos="-720"/>
                <w:tab w:val="left" w:pos="4500"/>
              </w:tabs>
              <w:suppressAutoHyphens/>
              <w:rPr>
                <w:spacing w:val="-2"/>
                <w:lang w:val="fr-FR"/>
              </w:rPr>
            </w:pPr>
            <w:r w:rsidRPr="00CF2C85">
              <w:rPr>
                <w:spacing w:val="-2"/>
                <w:lang w:val="fr-FR"/>
              </w:rPr>
              <w:t xml:space="preserve">Rapports des réunions des </w:t>
            </w:r>
            <w:r w:rsidRPr="00CF2C85">
              <w:rPr>
                <w:spacing w:val="-2"/>
                <w:lang w:val="fr-FR"/>
              </w:rPr>
              <w:lastRenderedPageBreak/>
              <w:t xml:space="preserve">plateformes d’information et de coordination  </w:t>
            </w:r>
          </w:p>
          <w:p w:rsidR="00F303C2" w:rsidRPr="00CF2C85" w:rsidRDefault="00F303C2" w:rsidP="00FB6510">
            <w:pPr>
              <w:tabs>
                <w:tab w:val="left" w:pos="-720"/>
                <w:tab w:val="left" w:pos="4500"/>
              </w:tabs>
              <w:suppressAutoHyphens/>
              <w:rPr>
                <w:spacing w:val="-2"/>
                <w:lang w:val="fr-FR"/>
              </w:rPr>
            </w:pPr>
          </w:p>
          <w:p w:rsidR="004820EE" w:rsidRDefault="004820EE" w:rsidP="00FB6510">
            <w:pPr>
              <w:tabs>
                <w:tab w:val="left" w:pos="-720"/>
                <w:tab w:val="left" w:pos="4500"/>
              </w:tabs>
              <w:suppressAutoHyphens/>
              <w:rPr>
                <w:spacing w:val="-2"/>
                <w:lang w:val="fr-FR"/>
              </w:rPr>
            </w:pPr>
            <w:r w:rsidRPr="00CF2C85">
              <w:rPr>
                <w:spacing w:val="-2"/>
                <w:lang w:val="fr-FR"/>
              </w:rPr>
              <w:t>Niveau de fréquentation des CRC et de satisfaction des populations</w:t>
            </w:r>
          </w:p>
          <w:p w:rsidR="00F303C2" w:rsidRPr="00CF2C85" w:rsidRDefault="00F303C2" w:rsidP="00FB6510">
            <w:pPr>
              <w:tabs>
                <w:tab w:val="left" w:pos="-720"/>
                <w:tab w:val="left" w:pos="4500"/>
              </w:tabs>
              <w:suppressAutoHyphens/>
              <w:rPr>
                <w:spacing w:val="-2"/>
                <w:lang w:val="fr-FR"/>
              </w:rPr>
            </w:pPr>
          </w:p>
          <w:p w:rsidR="004820EE" w:rsidRPr="00CF2C85" w:rsidRDefault="004820EE" w:rsidP="00FB6510">
            <w:pPr>
              <w:widowControl w:val="0"/>
              <w:tabs>
                <w:tab w:val="left" w:pos="-720"/>
                <w:tab w:val="left" w:pos="4500"/>
              </w:tabs>
              <w:suppressAutoHyphens/>
              <w:rPr>
                <w:spacing w:val="-2"/>
                <w:lang w:val="fr-FR"/>
              </w:rPr>
            </w:pPr>
            <w:r w:rsidRPr="00CF2C85">
              <w:rPr>
                <w:spacing w:val="-2"/>
                <w:lang w:val="fr-FR"/>
              </w:rPr>
              <w:t xml:space="preserve">Rapport d’activités </w:t>
            </w:r>
          </w:p>
          <w:p w:rsidR="004820EE" w:rsidRPr="00CF2C85" w:rsidRDefault="004820EE" w:rsidP="00FB6510">
            <w:pPr>
              <w:pStyle w:val="BodyText"/>
              <w:jc w:val="both"/>
              <w:rPr>
                <w:rFonts w:ascii="Times New Roman" w:hAnsi="Times New Roman" w:cs="Times New Roman"/>
                <w:bCs/>
                <w:sz w:val="24"/>
                <w:szCs w:val="24"/>
                <w:lang w:val="fr-FR"/>
              </w:rPr>
            </w:pPr>
          </w:p>
        </w:tc>
      </w:tr>
      <w:tr w:rsidR="002C013C" w:rsidRPr="00C122A6" w:rsidTr="00441F3D">
        <w:trPr>
          <w:trHeight w:val="885"/>
        </w:trPr>
        <w:tc>
          <w:tcPr>
            <w:tcW w:w="15120" w:type="dxa"/>
            <w:gridSpan w:val="4"/>
            <w:shd w:val="clear" w:color="auto" w:fill="BFBFBF"/>
          </w:tcPr>
          <w:p w:rsidR="002C013C" w:rsidRPr="00CF2C85" w:rsidRDefault="002C013C" w:rsidP="00441F3D">
            <w:pPr>
              <w:pStyle w:val="BodyText"/>
              <w:jc w:val="both"/>
              <w:rPr>
                <w:rFonts w:ascii="Times New Roman" w:hAnsi="Times New Roman" w:cs="Times New Roman"/>
                <w:bCs/>
                <w:sz w:val="24"/>
                <w:szCs w:val="24"/>
                <w:lang w:val="fr-FR"/>
              </w:rPr>
            </w:pPr>
            <w:r w:rsidRPr="00CF2C85">
              <w:rPr>
                <w:rFonts w:ascii="Times New Roman" w:hAnsi="Times New Roman" w:cs="Times New Roman"/>
                <w:b/>
                <w:sz w:val="24"/>
                <w:szCs w:val="24"/>
                <w:lang w:val="fr-FR"/>
              </w:rPr>
              <w:lastRenderedPageBreak/>
              <w:t>R</w:t>
            </w:r>
            <w:r w:rsidRPr="00CF2C85">
              <w:rPr>
                <w:rStyle w:val="hps"/>
                <w:rFonts w:ascii="Times New Roman" w:hAnsi="Times New Roman"/>
                <w:sz w:val="24"/>
                <w:szCs w:val="24"/>
                <w:lang w:val="fr-FR"/>
              </w:rPr>
              <w:t>é</w:t>
            </w:r>
            <w:r w:rsidRPr="00CF2C85">
              <w:rPr>
                <w:rFonts w:ascii="Times New Roman" w:hAnsi="Times New Roman" w:cs="Times New Roman"/>
                <w:b/>
                <w:sz w:val="24"/>
                <w:szCs w:val="24"/>
                <w:lang w:val="fr-FR"/>
              </w:rPr>
              <w:t xml:space="preserve">sultat 4 : </w:t>
            </w:r>
            <w:r w:rsidRPr="00CF2C85">
              <w:rPr>
                <w:rFonts w:ascii="Times New Roman" w:hAnsi="Times New Roman" w:cs="Times New Roman"/>
                <w:sz w:val="24"/>
                <w:szCs w:val="24"/>
                <w:lang w:val="fr-FR"/>
              </w:rPr>
              <w:t>Les capacités du MPCE sont renforcées pour orienter, diriger et coordonner la préparation des plans stratégiques de développement régional et urbain et les stratégies de reconstruction y relatives ; les capacités des communes sont renforcées pour contribuer à la planification stratégique de leurs territoires respectifs, mobiliser et coordonner les acteurs locaux pour l'exécution de projets urbains stratégiques et mieux assurer la gestion du cadre bâti urbain.</w:t>
            </w:r>
          </w:p>
        </w:tc>
      </w:tr>
      <w:tr w:rsidR="002C013C" w:rsidRPr="00C122A6" w:rsidTr="00F303C2">
        <w:trPr>
          <w:trHeight w:val="440"/>
        </w:trPr>
        <w:tc>
          <w:tcPr>
            <w:tcW w:w="4265" w:type="dxa"/>
            <w:shd w:val="clear" w:color="auto" w:fill="auto"/>
          </w:tcPr>
          <w:p w:rsidR="002C013C" w:rsidRPr="00CF2C85" w:rsidRDefault="002C013C" w:rsidP="00441F3D">
            <w:pPr>
              <w:tabs>
                <w:tab w:val="left" w:pos="-720"/>
                <w:tab w:val="left" w:pos="4500"/>
              </w:tabs>
              <w:suppressAutoHyphens/>
              <w:rPr>
                <w:lang w:val="fr-FR"/>
              </w:rPr>
            </w:pPr>
            <w:r>
              <w:rPr>
                <w:b/>
                <w:lang w:val="fr-FR"/>
              </w:rPr>
              <w:t xml:space="preserve">Produit 4.1 : </w:t>
            </w:r>
            <w:r w:rsidRPr="00CF2C85">
              <w:rPr>
                <w:lang w:val="fr-FR"/>
              </w:rPr>
              <w:t>Les territoires sinistrés par le séisme et les pôles de développement secondaires disposent de plans stratégiques et de plans d’aménagement et d’urbanisme, cohérents avec le développement durable incluant la gestion des risques sismiques, et formulés avec la participation des acteurs concernés.</w:t>
            </w:r>
          </w:p>
          <w:p w:rsidR="002C013C" w:rsidRPr="00CF2C85" w:rsidRDefault="002C013C" w:rsidP="00441F3D">
            <w:pPr>
              <w:rPr>
                <w:lang w:val="fr-FR"/>
              </w:rPr>
            </w:pPr>
            <w:r w:rsidRPr="00CF2C85">
              <w:rPr>
                <w:b/>
                <w:lang w:val="fr-FR"/>
              </w:rPr>
              <w:t>Indicateur 4.1.1 :</w:t>
            </w:r>
            <w:r w:rsidRPr="00CF2C85">
              <w:rPr>
                <w:lang w:val="fr-FR"/>
              </w:rPr>
              <w:t xml:space="preserve"> Plateformes de concertation inter-partenaires et mécanismes de validation opérationnels</w:t>
            </w:r>
          </w:p>
          <w:p w:rsidR="002C013C" w:rsidRPr="00CF2C85" w:rsidRDefault="002C013C" w:rsidP="00441F3D">
            <w:pPr>
              <w:rPr>
                <w:lang w:val="fr-FR"/>
              </w:rPr>
            </w:pPr>
            <w:r w:rsidRPr="00CF2C85">
              <w:rPr>
                <w:b/>
                <w:lang w:val="fr-FR"/>
              </w:rPr>
              <w:t>Indicateur de référence:</w:t>
            </w:r>
            <w:r w:rsidRPr="00CF2C85">
              <w:rPr>
                <w:lang w:val="fr-FR"/>
              </w:rPr>
              <w:t xml:space="preserve"> Mécanismes  de concertation inexistants</w:t>
            </w:r>
          </w:p>
          <w:p w:rsidR="002C013C" w:rsidRDefault="002C013C" w:rsidP="00441F3D">
            <w:pPr>
              <w:rPr>
                <w:sz w:val="22"/>
                <w:szCs w:val="22"/>
                <w:lang w:val="fr-FR"/>
              </w:rPr>
            </w:pPr>
            <w:r w:rsidRPr="00CF2C85">
              <w:rPr>
                <w:b/>
                <w:lang w:val="fr-FR"/>
              </w:rPr>
              <w:t>Indicateur cible:</w:t>
            </w:r>
            <w:r w:rsidRPr="00CF2C85">
              <w:rPr>
                <w:lang w:val="fr-FR"/>
              </w:rPr>
              <w:t xml:space="preserve"> Conduite du processus à Port-au-Prince et les régions</w:t>
            </w:r>
            <w:r>
              <w:rPr>
                <w:sz w:val="22"/>
                <w:szCs w:val="22"/>
                <w:lang w:val="fr-FR"/>
              </w:rPr>
              <w:t xml:space="preserve"> </w:t>
            </w:r>
          </w:p>
          <w:p w:rsidR="002C013C" w:rsidRDefault="002C013C" w:rsidP="00441F3D">
            <w:pPr>
              <w:rPr>
                <w:sz w:val="22"/>
                <w:szCs w:val="22"/>
                <w:lang w:val="fr-FR"/>
              </w:rPr>
            </w:pPr>
          </w:p>
          <w:p w:rsidR="002C013C" w:rsidRPr="0025604A" w:rsidRDefault="002C013C" w:rsidP="00441F3D">
            <w:pPr>
              <w:rPr>
                <w:lang w:val="fr-FR"/>
              </w:rPr>
            </w:pPr>
            <w:r w:rsidRPr="00CF2C85">
              <w:rPr>
                <w:b/>
                <w:lang w:val="fr-FR"/>
              </w:rPr>
              <w:t>Indicateur 4.1.</w:t>
            </w:r>
            <w:r>
              <w:rPr>
                <w:b/>
                <w:lang w:val="fr-FR"/>
              </w:rPr>
              <w:t>2</w:t>
            </w:r>
            <w:r w:rsidRPr="00CF2C85">
              <w:rPr>
                <w:b/>
                <w:lang w:val="fr-FR"/>
              </w:rPr>
              <w:t> :</w:t>
            </w:r>
            <w:r w:rsidRPr="00CF2C85">
              <w:rPr>
                <w:lang w:val="fr-FR"/>
              </w:rPr>
              <w:t xml:space="preserve"> </w:t>
            </w:r>
            <w:r w:rsidRPr="0025604A">
              <w:rPr>
                <w:color w:val="000000"/>
                <w:lang w:val="fr-FR"/>
              </w:rPr>
              <w:t>% de la population vivant dans des zones disposant de cartes de risques sismiques</w:t>
            </w:r>
          </w:p>
          <w:p w:rsidR="002C013C" w:rsidRPr="00CF2C85" w:rsidRDefault="002C013C" w:rsidP="00441F3D">
            <w:pPr>
              <w:rPr>
                <w:lang w:val="fr-FR"/>
              </w:rPr>
            </w:pPr>
            <w:r w:rsidRPr="00CF2C85">
              <w:rPr>
                <w:b/>
                <w:lang w:val="fr-FR"/>
              </w:rPr>
              <w:t>Indicateur de référence:</w:t>
            </w:r>
            <w:r w:rsidRPr="00CF2C85">
              <w:rPr>
                <w:lang w:val="fr-FR"/>
              </w:rPr>
              <w:t xml:space="preserve"> </w:t>
            </w:r>
            <w:r w:rsidRPr="0025604A">
              <w:rPr>
                <w:lang w:val="fr-FR"/>
              </w:rPr>
              <w:t xml:space="preserve">Pas de cartes </w:t>
            </w:r>
            <w:r w:rsidRPr="0025604A">
              <w:rPr>
                <w:lang w:val="fr-FR"/>
              </w:rPr>
              <w:lastRenderedPageBreak/>
              <w:t>de risques sismiques</w:t>
            </w:r>
          </w:p>
          <w:p w:rsidR="002C013C" w:rsidRPr="00F303C2" w:rsidRDefault="002C013C" w:rsidP="00441F3D">
            <w:pPr>
              <w:rPr>
                <w:lang w:val="fr-FR"/>
              </w:rPr>
            </w:pPr>
            <w:r w:rsidRPr="00CF2C85">
              <w:rPr>
                <w:b/>
                <w:lang w:val="fr-FR"/>
              </w:rPr>
              <w:t>Indicateur cible:</w:t>
            </w:r>
            <w:r w:rsidRPr="00CF2C85">
              <w:rPr>
                <w:lang w:val="fr-FR"/>
              </w:rPr>
              <w:t xml:space="preserve"> </w:t>
            </w:r>
            <w:r w:rsidRPr="0025604A">
              <w:rPr>
                <w:lang w:val="fr-FR"/>
              </w:rPr>
              <w:t>40% de la population</w:t>
            </w:r>
          </w:p>
        </w:tc>
        <w:tc>
          <w:tcPr>
            <w:tcW w:w="3745" w:type="dxa"/>
            <w:shd w:val="clear" w:color="auto" w:fill="auto"/>
          </w:tcPr>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r w:rsidRPr="00CF2C85">
              <w:rPr>
                <w:rFonts w:ascii="Times New Roman" w:hAnsi="Times New Roman" w:cs="Times New Roman"/>
                <w:bCs/>
                <w:sz w:val="24"/>
                <w:szCs w:val="24"/>
                <w:lang w:val="fr-FR"/>
              </w:rPr>
              <w:t>100%</w:t>
            </w:r>
            <w:r w:rsidR="00F303C2">
              <w:rPr>
                <w:rFonts w:ascii="Times New Roman" w:hAnsi="Times New Roman" w:cs="Times New Roman"/>
                <w:bCs/>
                <w:sz w:val="24"/>
                <w:szCs w:val="24"/>
                <w:lang w:val="fr-FR"/>
              </w:rPr>
              <w:t xml:space="preserve">. </w:t>
            </w:r>
            <w:r>
              <w:rPr>
                <w:rFonts w:ascii="Times New Roman" w:hAnsi="Times New Roman" w:cs="Times New Roman"/>
                <w:bCs/>
                <w:sz w:val="24"/>
                <w:szCs w:val="24"/>
                <w:lang w:val="fr-FR"/>
              </w:rPr>
              <w:t>Processus participatif conduit au niveau régional à Port-au-Prince et dans 4 autres zones</w:t>
            </w: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F303C2" w:rsidRDefault="00F303C2" w:rsidP="00441F3D">
            <w:pPr>
              <w:pStyle w:val="BodyText"/>
              <w:jc w:val="both"/>
              <w:rPr>
                <w:rFonts w:ascii="Times New Roman" w:hAnsi="Times New Roman" w:cs="Times New Roman"/>
                <w:bCs/>
                <w:sz w:val="24"/>
                <w:szCs w:val="24"/>
                <w:lang w:val="fr-FR"/>
              </w:rPr>
            </w:pPr>
          </w:p>
          <w:p w:rsidR="00F303C2" w:rsidRPr="00CF2C85" w:rsidRDefault="00F303C2"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r>
              <w:rPr>
                <w:rFonts w:ascii="Times New Roman" w:hAnsi="Times New Roman" w:cs="Times New Roman"/>
                <w:bCs/>
                <w:sz w:val="24"/>
                <w:szCs w:val="24"/>
                <w:lang w:val="fr-FR"/>
              </w:rPr>
              <w:t xml:space="preserve">La version préliminaire du rapport final de synthèse des études de </w:t>
            </w:r>
            <w:proofErr w:type="spellStart"/>
            <w:r>
              <w:rPr>
                <w:rFonts w:ascii="Times New Roman" w:hAnsi="Times New Roman" w:cs="Times New Roman"/>
                <w:bCs/>
                <w:sz w:val="24"/>
                <w:szCs w:val="24"/>
                <w:lang w:val="fr-FR"/>
              </w:rPr>
              <w:t>microzonage</w:t>
            </w:r>
            <w:proofErr w:type="spellEnd"/>
            <w:r>
              <w:rPr>
                <w:rFonts w:ascii="Times New Roman" w:hAnsi="Times New Roman" w:cs="Times New Roman"/>
                <w:bCs/>
                <w:sz w:val="24"/>
                <w:szCs w:val="24"/>
                <w:lang w:val="fr-FR"/>
              </w:rPr>
              <w:t xml:space="preserve"> sismique de l’agglomération de Port-au-Prince </w:t>
            </w:r>
            <w:r>
              <w:rPr>
                <w:rFonts w:ascii="Times New Roman" w:hAnsi="Times New Roman" w:cs="Times New Roman"/>
                <w:bCs/>
                <w:sz w:val="24"/>
                <w:szCs w:val="24"/>
                <w:lang w:val="fr-FR"/>
              </w:rPr>
              <w:lastRenderedPageBreak/>
              <w:t>(plus du tiers de la population du pays) est en cours de validation</w:t>
            </w:r>
            <w:r w:rsidRPr="00CF2C85">
              <w:rPr>
                <w:rFonts w:ascii="Times New Roman" w:hAnsi="Times New Roman" w:cs="Times New Roman"/>
                <w:bCs/>
                <w:sz w:val="24"/>
                <w:szCs w:val="24"/>
                <w:lang w:val="fr-FR"/>
              </w:rPr>
              <w:t xml:space="preserve">. </w:t>
            </w:r>
          </w:p>
        </w:tc>
        <w:tc>
          <w:tcPr>
            <w:tcW w:w="3960" w:type="dxa"/>
            <w:shd w:val="clear" w:color="auto" w:fill="auto"/>
          </w:tcPr>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rPr>
                <w:lang w:val="fr-FR"/>
              </w:rPr>
            </w:pPr>
            <w:r w:rsidRPr="00CF2C85">
              <w:rPr>
                <w:lang w:val="fr-FR"/>
              </w:rPr>
              <w:t>Lenteurs administratives</w:t>
            </w:r>
          </w:p>
          <w:p w:rsidR="002C013C" w:rsidRPr="00CF2C85" w:rsidRDefault="002C013C" w:rsidP="00441F3D">
            <w:pPr>
              <w:pStyle w:val="BodyText"/>
              <w:jc w:val="both"/>
              <w:rPr>
                <w:rFonts w:ascii="Times New Roman" w:hAnsi="Times New Roman" w:cs="Times New Roman"/>
                <w:bCs/>
                <w:sz w:val="24"/>
                <w:szCs w:val="24"/>
                <w:lang w:val="fr-FR"/>
              </w:rPr>
            </w:pPr>
            <w:r w:rsidRPr="00CF2C85">
              <w:rPr>
                <w:rFonts w:ascii="Times New Roman" w:hAnsi="Times New Roman" w:cs="Times New Roman"/>
                <w:sz w:val="24"/>
                <w:szCs w:val="24"/>
                <w:lang w:val="fr-FR"/>
              </w:rPr>
              <w:t>Changement de gouvernement</w:t>
            </w:r>
          </w:p>
        </w:tc>
        <w:tc>
          <w:tcPr>
            <w:tcW w:w="3150" w:type="dxa"/>
            <w:shd w:val="clear" w:color="auto" w:fill="auto"/>
          </w:tcPr>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p>
          <w:p w:rsidR="00F303C2" w:rsidRDefault="00F303C2" w:rsidP="00441F3D">
            <w:pPr>
              <w:pStyle w:val="BodyText"/>
              <w:jc w:val="both"/>
              <w:rPr>
                <w:rFonts w:ascii="Times New Roman" w:hAnsi="Times New Roman" w:cs="Times New Roman"/>
                <w:sz w:val="24"/>
                <w:szCs w:val="24"/>
                <w:lang w:val="fr-FR"/>
              </w:rPr>
            </w:pPr>
          </w:p>
          <w:p w:rsidR="00F303C2" w:rsidRDefault="00F303C2" w:rsidP="00441F3D">
            <w:pPr>
              <w:pStyle w:val="BodyText"/>
              <w:jc w:val="both"/>
              <w:rPr>
                <w:rFonts w:ascii="Times New Roman" w:hAnsi="Times New Roman" w:cs="Times New Roman"/>
                <w:sz w:val="24"/>
                <w:szCs w:val="24"/>
                <w:lang w:val="fr-FR"/>
              </w:rPr>
            </w:pPr>
            <w:r>
              <w:rPr>
                <w:rFonts w:ascii="Times New Roman" w:hAnsi="Times New Roman" w:cs="Times New Roman"/>
                <w:sz w:val="24"/>
                <w:szCs w:val="24"/>
                <w:lang w:val="fr-FR"/>
              </w:rPr>
              <w:t>Rapports</w:t>
            </w:r>
          </w:p>
          <w:p w:rsidR="002C013C" w:rsidRPr="00CF2C85" w:rsidRDefault="00F303C2" w:rsidP="00441F3D">
            <w:pPr>
              <w:pStyle w:val="BodyText"/>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C</w:t>
            </w:r>
            <w:r w:rsidR="002C013C" w:rsidRPr="00CF2C85">
              <w:rPr>
                <w:rFonts w:ascii="Times New Roman" w:hAnsi="Times New Roman" w:cs="Times New Roman"/>
                <w:sz w:val="24"/>
                <w:szCs w:val="24"/>
                <w:lang w:val="fr-FR"/>
              </w:rPr>
              <w:t>ompte</w:t>
            </w:r>
            <w:r>
              <w:rPr>
                <w:rFonts w:ascii="Times New Roman" w:hAnsi="Times New Roman" w:cs="Times New Roman"/>
                <w:sz w:val="24"/>
                <w:szCs w:val="24"/>
                <w:lang w:val="fr-FR"/>
              </w:rPr>
              <w:t>s</w:t>
            </w:r>
            <w:r w:rsidR="002C013C" w:rsidRPr="00CF2C85">
              <w:rPr>
                <w:rFonts w:ascii="Times New Roman" w:hAnsi="Times New Roman" w:cs="Times New Roman"/>
                <w:sz w:val="24"/>
                <w:szCs w:val="24"/>
                <w:lang w:val="fr-FR"/>
              </w:rPr>
              <w:t>-rendus</w:t>
            </w:r>
            <w:proofErr w:type="spellEnd"/>
          </w:p>
          <w:p w:rsidR="002C013C" w:rsidRPr="00CF2C85" w:rsidRDefault="002C013C" w:rsidP="00441F3D">
            <w:pPr>
              <w:pStyle w:val="BodyText"/>
              <w:jc w:val="both"/>
              <w:rPr>
                <w:rFonts w:ascii="Times New Roman" w:hAnsi="Times New Roman" w:cs="Times New Roman"/>
                <w:sz w:val="24"/>
                <w:szCs w:val="24"/>
                <w:lang w:val="fr-FR"/>
              </w:rPr>
            </w:pPr>
          </w:p>
          <w:p w:rsidR="002C013C" w:rsidRPr="00CF2C85" w:rsidRDefault="002C013C" w:rsidP="00441F3D">
            <w:pPr>
              <w:pStyle w:val="BodyText"/>
              <w:jc w:val="both"/>
              <w:rPr>
                <w:rFonts w:ascii="Times New Roman" w:hAnsi="Times New Roman" w:cs="Times New Roman"/>
                <w:sz w:val="24"/>
                <w:szCs w:val="24"/>
                <w:lang w:val="fr-FR"/>
              </w:rPr>
            </w:pPr>
          </w:p>
          <w:p w:rsidR="002C013C" w:rsidRPr="00CF2C85" w:rsidRDefault="002C013C" w:rsidP="00441F3D">
            <w:pPr>
              <w:pStyle w:val="BodyText"/>
              <w:jc w:val="both"/>
              <w:rPr>
                <w:rFonts w:ascii="Times New Roman" w:hAnsi="Times New Roman" w:cs="Times New Roman"/>
                <w:sz w:val="24"/>
                <w:szCs w:val="24"/>
                <w:lang w:val="fr-FR"/>
              </w:rPr>
            </w:pPr>
          </w:p>
          <w:p w:rsidR="002C013C" w:rsidRPr="00CF2C85" w:rsidRDefault="002C013C" w:rsidP="00441F3D">
            <w:pPr>
              <w:pStyle w:val="BodyText"/>
              <w:jc w:val="both"/>
              <w:rPr>
                <w:rFonts w:ascii="Times New Roman" w:hAnsi="Times New Roman" w:cs="Times New Roman"/>
                <w:sz w:val="24"/>
                <w:szCs w:val="24"/>
                <w:lang w:val="fr-FR"/>
              </w:rPr>
            </w:pPr>
          </w:p>
          <w:p w:rsidR="002C013C" w:rsidRPr="00CF2C85" w:rsidRDefault="002C013C" w:rsidP="00441F3D">
            <w:pPr>
              <w:pStyle w:val="BodyText"/>
              <w:jc w:val="both"/>
              <w:rPr>
                <w:rFonts w:ascii="Times New Roman" w:hAnsi="Times New Roman" w:cs="Times New Roman"/>
                <w:sz w:val="24"/>
                <w:szCs w:val="24"/>
                <w:lang w:val="fr-FR"/>
              </w:rPr>
            </w:pPr>
          </w:p>
          <w:p w:rsidR="002C013C" w:rsidRPr="00CF2C85" w:rsidRDefault="002C013C" w:rsidP="00441F3D">
            <w:pPr>
              <w:pStyle w:val="BodyText"/>
              <w:jc w:val="both"/>
              <w:rPr>
                <w:rFonts w:ascii="Times New Roman" w:hAnsi="Times New Roman" w:cs="Times New Roman"/>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r w:rsidRPr="00CF2C85">
              <w:rPr>
                <w:rFonts w:ascii="Times New Roman" w:hAnsi="Times New Roman" w:cs="Times New Roman"/>
                <w:sz w:val="24"/>
                <w:szCs w:val="24"/>
                <w:lang w:val="fr-FR"/>
              </w:rPr>
              <w:t>Publication des cartes</w:t>
            </w:r>
          </w:p>
        </w:tc>
      </w:tr>
      <w:tr w:rsidR="002C013C" w:rsidRPr="00C122A6" w:rsidTr="00441F3D">
        <w:trPr>
          <w:trHeight w:val="885"/>
        </w:trPr>
        <w:tc>
          <w:tcPr>
            <w:tcW w:w="4265" w:type="dxa"/>
            <w:shd w:val="clear" w:color="auto" w:fill="auto"/>
          </w:tcPr>
          <w:p w:rsidR="002C013C" w:rsidRDefault="002C013C" w:rsidP="00441F3D">
            <w:pPr>
              <w:tabs>
                <w:tab w:val="left" w:pos="-720"/>
                <w:tab w:val="left" w:pos="4500"/>
              </w:tabs>
              <w:suppressAutoHyphens/>
              <w:rPr>
                <w:spacing w:val="-2"/>
                <w:lang w:val="fr-FR"/>
              </w:rPr>
            </w:pPr>
            <w:r>
              <w:rPr>
                <w:b/>
                <w:lang w:val="fr-FR"/>
              </w:rPr>
              <w:lastRenderedPageBreak/>
              <w:t>Produit 4.2 :</w:t>
            </w:r>
            <w:r w:rsidRPr="00DC6C0F">
              <w:rPr>
                <w:spacing w:val="-2"/>
                <w:lang w:val="fr-FR"/>
              </w:rPr>
              <w:t xml:space="preserve"> Le MPCE dispose de capacités renforcées de conception / élaboration, coordination et de suivi de la planification et de la mise en œuvre des plans et projets en privilégiant une démarche de planification stratégique.</w:t>
            </w:r>
          </w:p>
          <w:p w:rsidR="00F303C2" w:rsidRDefault="00F303C2" w:rsidP="00441F3D">
            <w:pPr>
              <w:rPr>
                <w:b/>
                <w:lang w:val="fr-FR"/>
              </w:rPr>
            </w:pPr>
          </w:p>
          <w:p w:rsidR="002C013C" w:rsidRPr="00CF2C85" w:rsidRDefault="002C013C" w:rsidP="00441F3D">
            <w:pPr>
              <w:rPr>
                <w:lang w:val="fr-FR"/>
              </w:rPr>
            </w:pPr>
            <w:r w:rsidRPr="00CF2C85">
              <w:rPr>
                <w:b/>
                <w:lang w:val="fr-FR"/>
              </w:rPr>
              <w:t>Indicateur 4.</w:t>
            </w:r>
            <w:r>
              <w:rPr>
                <w:b/>
                <w:lang w:val="fr-FR"/>
              </w:rPr>
              <w:t>2</w:t>
            </w:r>
            <w:r w:rsidRPr="00CF2C85">
              <w:rPr>
                <w:b/>
                <w:lang w:val="fr-FR"/>
              </w:rPr>
              <w:t>.1 :</w:t>
            </w:r>
            <w:r w:rsidRPr="00CF2C85">
              <w:rPr>
                <w:lang w:val="fr-FR"/>
              </w:rPr>
              <w:t xml:space="preserve"> </w:t>
            </w:r>
            <w:r w:rsidRPr="00DC6C0F">
              <w:rPr>
                <w:lang w:val="fr-FR"/>
              </w:rPr>
              <w:t>Opérationnalisation de la cellule technique sur la planification stratégique</w:t>
            </w:r>
          </w:p>
          <w:p w:rsidR="002C013C" w:rsidRDefault="002C013C" w:rsidP="00441F3D">
            <w:pPr>
              <w:rPr>
                <w:lang w:val="fr-FR"/>
              </w:rPr>
            </w:pPr>
            <w:r w:rsidRPr="00CF2C85">
              <w:rPr>
                <w:b/>
                <w:lang w:val="fr-FR"/>
              </w:rPr>
              <w:t>Indicateur de référence:</w:t>
            </w:r>
            <w:r w:rsidRPr="00CF2C85">
              <w:rPr>
                <w:lang w:val="fr-FR"/>
              </w:rPr>
              <w:t xml:space="preserve"> </w:t>
            </w:r>
            <w:r w:rsidRPr="00DC6C0F">
              <w:rPr>
                <w:lang w:val="fr-FR"/>
              </w:rPr>
              <w:t xml:space="preserve">Direction Générale avec des moyens limités pour superviser </w:t>
            </w:r>
            <w:r w:rsidRPr="00DC6C0F">
              <w:rPr>
                <w:color w:val="000000"/>
                <w:lang w:val="fr-FR"/>
              </w:rPr>
              <w:t>les études d’aménagement du territoire et d’urbanisme et mettre en place et animer des plateformes de concertation inter-partenaires</w:t>
            </w:r>
          </w:p>
          <w:p w:rsidR="002C013C" w:rsidRDefault="002C013C" w:rsidP="00441F3D">
            <w:pPr>
              <w:rPr>
                <w:sz w:val="22"/>
                <w:szCs w:val="22"/>
                <w:lang w:val="fr-FR"/>
              </w:rPr>
            </w:pPr>
            <w:r w:rsidRPr="00CF2C85">
              <w:rPr>
                <w:b/>
                <w:lang w:val="fr-FR"/>
              </w:rPr>
              <w:t>Indicateur cible:</w:t>
            </w:r>
            <w:r w:rsidRPr="00CF2C85">
              <w:rPr>
                <w:lang w:val="fr-FR"/>
              </w:rPr>
              <w:t xml:space="preserve"> </w:t>
            </w:r>
            <w:r w:rsidRPr="00DC6C0F">
              <w:rPr>
                <w:lang w:val="fr-FR"/>
              </w:rPr>
              <w:t>Cellule technique opérationnelle</w:t>
            </w:r>
          </w:p>
          <w:p w:rsidR="002C013C" w:rsidRDefault="002C013C" w:rsidP="00441F3D">
            <w:pPr>
              <w:tabs>
                <w:tab w:val="left" w:pos="-720"/>
                <w:tab w:val="left" w:pos="4500"/>
              </w:tabs>
              <w:suppressAutoHyphens/>
              <w:rPr>
                <w:b/>
                <w:lang w:val="fr-FR"/>
              </w:rPr>
            </w:pPr>
          </w:p>
        </w:tc>
        <w:tc>
          <w:tcPr>
            <w:tcW w:w="3745" w:type="dxa"/>
            <w:shd w:val="clear" w:color="auto" w:fill="auto"/>
          </w:tcPr>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F303C2" w:rsidRDefault="00F303C2"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Pr="00CF2C85" w:rsidRDefault="002C013C" w:rsidP="00441F3D">
            <w:pPr>
              <w:pStyle w:val="BodyText"/>
              <w:jc w:val="both"/>
              <w:rPr>
                <w:rFonts w:ascii="Times New Roman" w:hAnsi="Times New Roman" w:cs="Times New Roman"/>
                <w:bCs/>
                <w:sz w:val="24"/>
                <w:szCs w:val="24"/>
                <w:lang w:val="fr-FR"/>
              </w:rPr>
            </w:pPr>
            <w:r w:rsidRPr="00CF2C85">
              <w:rPr>
                <w:rFonts w:ascii="Times New Roman" w:hAnsi="Times New Roman" w:cs="Times New Roman"/>
                <w:bCs/>
                <w:sz w:val="24"/>
                <w:szCs w:val="24"/>
                <w:lang w:val="fr-FR"/>
              </w:rPr>
              <w:t>100%</w:t>
            </w:r>
          </w:p>
          <w:p w:rsidR="002C013C" w:rsidRPr="00CF2C85" w:rsidRDefault="002C013C" w:rsidP="00441F3D">
            <w:pPr>
              <w:pStyle w:val="BodyText"/>
              <w:jc w:val="both"/>
              <w:rPr>
                <w:rFonts w:ascii="Times New Roman" w:hAnsi="Times New Roman" w:cs="Times New Roman"/>
                <w:bCs/>
                <w:sz w:val="24"/>
                <w:szCs w:val="24"/>
                <w:lang w:val="fr-FR"/>
              </w:rPr>
            </w:pPr>
          </w:p>
        </w:tc>
        <w:tc>
          <w:tcPr>
            <w:tcW w:w="3960" w:type="dxa"/>
            <w:shd w:val="clear" w:color="auto" w:fill="auto"/>
          </w:tcPr>
          <w:p w:rsidR="002C013C" w:rsidRPr="00CF2C85" w:rsidRDefault="002C013C" w:rsidP="00441F3D">
            <w:pPr>
              <w:pStyle w:val="BodyText"/>
              <w:jc w:val="both"/>
              <w:rPr>
                <w:rFonts w:ascii="Times New Roman" w:hAnsi="Times New Roman" w:cs="Times New Roman"/>
                <w:bCs/>
                <w:sz w:val="24"/>
                <w:szCs w:val="24"/>
                <w:lang w:val="fr-FR"/>
              </w:rPr>
            </w:pPr>
          </w:p>
        </w:tc>
        <w:tc>
          <w:tcPr>
            <w:tcW w:w="3150" w:type="dxa"/>
            <w:shd w:val="clear" w:color="auto" w:fill="auto"/>
          </w:tcPr>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F303C2" w:rsidRDefault="00F303C2" w:rsidP="00441F3D">
            <w:pPr>
              <w:pStyle w:val="BodyText"/>
              <w:jc w:val="both"/>
              <w:rPr>
                <w:rFonts w:ascii="Times New Roman" w:hAnsi="Times New Roman" w:cs="Times New Roman"/>
                <w:bCs/>
                <w:sz w:val="24"/>
                <w:szCs w:val="24"/>
                <w:lang w:val="fr-FR"/>
              </w:rPr>
            </w:pPr>
          </w:p>
          <w:p w:rsidR="00F303C2" w:rsidRDefault="00F303C2" w:rsidP="00441F3D">
            <w:pPr>
              <w:pStyle w:val="BodyText"/>
              <w:jc w:val="both"/>
              <w:rPr>
                <w:rFonts w:ascii="Times New Roman" w:hAnsi="Times New Roman" w:cs="Times New Roman"/>
                <w:bCs/>
                <w:sz w:val="24"/>
                <w:szCs w:val="24"/>
                <w:lang w:val="fr-FR"/>
              </w:rPr>
            </w:pPr>
          </w:p>
          <w:p w:rsidR="002C013C" w:rsidRPr="00DC6C0F" w:rsidRDefault="002C013C" w:rsidP="00441F3D">
            <w:pPr>
              <w:contextualSpacing/>
              <w:rPr>
                <w:rFonts w:cs="Calibri"/>
                <w:lang w:val="fr-FR"/>
              </w:rPr>
            </w:pPr>
            <w:r w:rsidRPr="00DC6C0F">
              <w:rPr>
                <w:rFonts w:cs="Calibri"/>
                <w:lang w:val="fr-FR"/>
              </w:rPr>
              <w:t xml:space="preserve">Rapport du projet  sur les activités et les intervenants </w:t>
            </w:r>
          </w:p>
          <w:p w:rsidR="002C013C" w:rsidRPr="00DC6C0F" w:rsidRDefault="002C013C" w:rsidP="00441F3D">
            <w:pPr>
              <w:contextualSpacing/>
              <w:rPr>
                <w:rFonts w:cs="Calibri"/>
                <w:lang w:val="fr-FR"/>
              </w:rPr>
            </w:pPr>
            <w:r w:rsidRPr="00DC6C0F">
              <w:rPr>
                <w:rFonts w:cs="Calibri"/>
                <w:lang w:val="fr-FR"/>
              </w:rPr>
              <w:t>Finalisation des études</w:t>
            </w:r>
          </w:p>
          <w:p w:rsidR="002C013C" w:rsidRPr="00DC6C0F" w:rsidRDefault="002C013C" w:rsidP="00441F3D">
            <w:pPr>
              <w:contextualSpacing/>
              <w:rPr>
                <w:rFonts w:cs="Calibri"/>
                <w:lang w:val="fr-FR"/>
              </w:rPr>
            </w:pPr>
            <w:r w:rsidRPr="00DC6C0F">
              <w:rPr>
                <w:rFonts w:cs="Calibri"/>
                <w:lang w:val="fr-FR"/>
              </w:rPr>
              <w:t>Rapports de projet</w:t>
            </w:r>
            <w:r>
              <w:rPr>
                <w:rFonts w:cs="Calibri"/>
                <w:lang w:val="fr-FR"/>
              </w:rPr>
              <w:t>, publications</w:t>
            </w:r>
          </w:p>
          <w:p w:rsidR="002C013C" w:rsidRPr="00CF2C85" w:rsidRDefault="002C013C" w:rsidP="00441F3D">
            <w:pPr>
              <w:pStyle w:val="BodyText"/>
              <w:jc w:val="both"/>
              <w:rPr>
                <w:rFonts w:ascii="Times New Roman" w:hAnsi="Times New Roman" w:cs="Times New Roman"/>
                <w:bCs/>
                <w:sz w:val="24"/>
                <w:szCs w:val="24"/>
                <w:lang w:val="fr-FR"/>
              </w:rPr>
            </w:pPr>
          </w:p>
        </w:tc>
      </w:tr>
      <w:tr w:rsidR="002C013C" w:rsidRPr="00E3532D" w:rsidTr="00441F3D">
        <w:trPr>
          <w:trHeight w:val="885"/>
        </w:trPr>
        <w:tc>
          <w:tcPr>
            <w:tcW w:w="4265" w:type="dxa"/>
            <w:shd w:val="clear" w:color="auto" w:fill="auto"/>
          </w:tcPr>
          <w:p w:rsidR="002C013C" w:rsidRPr="00DC6C0F" w:rsidRDefault="002C013C" w:rsidP="00441F3D">
            <w:pPr>
              <w:tabs>
                <w:tab w:val="left" w:pos="-2520"/>
                <w:tab w:val="left" w:pos="-2190"/>
              </w:tabs>
              <w:suppressAutoHyphens/>
              <w:rPr>
                <w:rFonts w:ascii="Arial" w:hAnsi="Arial" w:cs="Arial"/>
                <w:i/>
                <w:spacing w:val="-2"/>
                <w:sz w:val="20"/>
                <w:lang w:val="fr-FR"/>
              </w:rPr>
            </w:pPr>
            <w:r>
              <w:rPr>
                <w:b/>
                <w:lang w:val="fr-FR"/>
              </w:rPr>
              <w:t>Produit 4.3 :</w:t>
            </w:r>
            <w:r w:rsidRPr="00DC6C0F">
              <w:rPr>
                <w:lang w:val="fr-FR"/>
              </w:rPr>
              <w:t xml:space="preserve"> Les communes sinistrées et les pôles de développement disposent de capacités pour participer à la planification régionale, préparer les plans communaux, coordonner les projets d’aménagement sur leur territoire et coordonner les plans communautaires de quartier ainsi que la mise en œuvre de plans et projets, la mise en application de la réglementation sur l’urbanisme et l’utilisation d’outils de gestion du développement urbain. D’autre part, le MTPTC dispose de capacités renforcées en matière d’urbanisme.</w:t>
            </w:r>
            <w:r w:rsidRPr="00DC6C0F">
              <w:rPr>
                <w:rFonts w:ascii="Arial" w:hAnsi="Arial" w:cs="Arial"/>
                <w:sz w:val="20"/>
                <w:lang w:val="fr-FR"/>
              </w:rPr>
              <w:t xml:space="preserve"> </w:t>
            </w:r>
          </w:p>
          <w:p w:rsidR="00F303C2" w:rsidRDefault="00F303C2" w:rsidP="00441F3D">
            <w:pPr>
              <w:rPr>
                <w:b/>
                <w:lang w:val="fr-FR"/>
              </w:rPr>
            </w:pPr>
          </w:p>
          <w:p w:rsidR="002C013C" w:rsidRPr="00F303C2" w:rsidRDefault="002C013C" w:rsidP="00441F3D">
            <w:pPr>
              <w:rPr>
                <w:lang w:val="fr-FR"/>
              </w:rPr>
            </w:pPr>
            <w:r w:rsidRPr="00F303C2">
              <w:rPr>
                <w:b/>
                <w:lang w:val="fr-FR"/>
              </w:rPr>
              <w:t>Indicateur 4.3.1 :</w:t>
            </w:r>
            <w:r w:rsidRPr="00F303C2">
              <w:rPr>
                <w:lang w:val="fr-FR"/>
              </w:rPr>
              <w:t xml:space="preserve"> </w:t>
            </w:r>
            <w:r w:rsidRPr="00F303C2">
              <w:rPr>
                <w:color w:val="000000"/>
                <w:lang w:val="fr-FR"/>
              </w:rPr>
              <w:t># de nouveaux outils de planification développés</w:t>
            </w:r>
          </w:p>
          <w:p w:rsidR="002C013C" w:rsidRPr="00F303C2" w:rsidRDefault="002C013C" w:rsidP="00441F3D">
            <w:pPr>
              <w:rPr>
                <w:lang w:val="fr-FR"/>
              </w:rPr>
            </w:pPr>
            <w:r w:rsidRPr="00F303C2">
              <w:rPr>
                <w:b/>
                <w:lang w:val="fr-FR"/>
              </w:rPr>
              <w:t>Indicateur de référence:</w:t>
            </w:r>
            <w:r w:rsidRPr="00F303C2">
              <w:rPr>
                <w:lang w:val="fr-FR"/>
              </w:rPr>
              <w:t xml:space="preserve"> Absence ou </w:t>
            </w:r>
            <w:r w:rsidRPr="00F303C2">
              <w:rPr>
                <w:lang w:val="fr-FR"/>
              </w:rPr>
              <w:lastRenderedPageBreak/>
              <w:t>inadéquation d’outils opérationnels</w:t>
            </w:r>
          </w:p>
          <w:p w:rsidR="002C013C" w:rsidRPr="00F303C2" w:rsidRDefault="002C013C" w:rsidP="00441F3D">
            <w:pPr>
              <w:rPr>
                <w:lang w:val="fr-FR"/>
              </w:rPr>
            </w:pPr>
            <w:r w:rsidRPr="00F303C2">
              <w:rPr>
                <w:b/>
                <w:lang w:val="fr-FR"/>
              </w:rPr>
              <w:t>Indicateur cible:</w:t>
            </w:r>
            <w:r w:rsidRPr="00F303C2">
              <w:rPr>
                <w:lang w:val="fr-FR"/>
              </w:rPr>
              <w:t xml:space="preserve"> Développement d’outils adaptés aux différentes réalités urbaines et aux capacités de mise en œuvre</w:t>
            </w:r>
          </w:p>
          <w:p w:rsidR="002C013C" w:rsidRDefault="002C013C" w:rsidP="00441F3D">
            <w:pPr>
              <w:rPr>
                <w:b/>
                <w:lang w:val="fr-FR"/>
              </w:rPr>
            </w:pPr>
          </w:p>
        </w:tc>
        <w:tc>
          <w:tcPr>
            <w:tcW w:w="3745" w:type="dxa"/>
            <w:shd w:val="clear" w:color="auto" w:fill="auto"/>
          </w:tcPr>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F303C2" w:rsidRDefault="00F303C2"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Pr="002A6116" w:rsidRDefault="002C013C" w:rsidP="00441F3D">
            <w:pPr>
              <w:pStyle w:val="BodyText"/>
              <w:jc w:val="both"/>
              <w:rPr>
                <w:rFonts w:ascii="Times New Roman" w:hAnsi="Times New Roman" w:cs="Times New Roman"/>
                <w:bCs/>
                <w:sz w:val="24"/>
                <w:szCs w:val="24"/>
                <w:lang w:val="fr-FR"/>
              </w:rPr>
            </w:pPr>
            <w:r w:rsidRPr="002A6116">
              <w:rPr>
                <w:rFonts w:ascii="Times New Roman" w:hAnsi="Times New Roman" w:cs="Times New Roman"/>
                <w:sz w:val="24"/>
                <w:szCs w:val="24"/>
                <w:lang w:val="fr-FR"/>
              </w:rPr>
              <w:t>En cours, première ébauche des guides de l’urbanisme simplifié,  de planification communautaire, etc.</w:t>
            </w:r>
            <w:r>
              <w:rPr>
                <w:rFonts w:ascii="Times New Roman" w:hAnsi="Times New Roman" w:cs="Times New Roman"/>
                <w:sz w:val="24"/>
                <w:szCs w:val="24"/>
                <w:lang w:val="fr-FR"/>
              </w:rPr>
              <w:t xml:space="preserve"> </w:t>
            </w:r>
            <w:r>
              <w:rPr>
                <w:rFonts w:ascii="Times New Roman" w:hAnsi="Times New Roman" w:cs="Times New Roman"/>
                <w:sz w:val="24"/>
                <w:szCs w:val="24"/>
                <w:lang w:val="fr-FR"/>
              </w:rPr>
              <w:lastRenderedPageBreak/>
              <w:t>ainsi qu’une étude sur les principes réglementaires et les outils opérationnels définis dans la législation haïtienne sur le développement urbain</w:t>
            </w:r>
            <w:r w:rsidR="00F303C2">
              <w:rPr>
                <w:rFonts w:ascii="Times New Roman" w:hAnsi="Times New Roman" w:cs="Times New Roman"/>
                <w:sz w:val="24"/>
                <w:szCs w:val="24"/>
                <w:lang w:val="fr-FR"/>
              </w:rPr>
              <w:t>.</w:t>
            </w:r>
          </w:p>
        </w:tc>
        <w:tc>
          <w:tcPr>
            <w:tcW w:w="3960" w:type="dxa"/>
            <w:shd w:val="clear" w:color="auto" w:fill="auto"/>
          </w:tcPr>
          <w:p w:rsidR="002C013C" w:rsidRPr="00CF2C85" w:rsidRDefault="002C013C" w:rsidP="00441F3D">
            <w:pPr>
              <w:pStyle w:val="BodyText"/>
              <w:jc w:val="both"/>
              <w:rPr>
                <w:rFonts w:ascii="Times New Roman" w:hAnsi="Times New Roman" w:cs="Times New Roman"/>
                <w:bCs/>
                <w:sz w:val="24"/>
                <w:szCs w:val="24"/>
                <w:lang w:val="fr-FR"/>
              </w:rPr>
            </w:pPr>
          </w:p>
        </w:tc>
        <w:tc>
          <w:tcPr>
            <w:tcW w:w="3150" w:type="dxa"/>
            <w:shd w:val="clear" w:color="auto" w:fill="auto"/>
          </w:tcPr>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F303C2" w:rsidRDefault="00F303C2"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p>
          <w:p w:rsidR="002C013C" w:rsidRDefault="002C013C" w:rsidP="00441F3D">
            <w:pPr>
              <w:pStyle w:val="BodyText"/>
              <w:jc w:val="both"/>
              <w:rPr>
                <w:rFonts w:ascii="Times New Roman" w:hAnsi="Times New Roman" w:cs="Times New Roman"/>
                <w:bCs/>
                <w:sz w:val="24"/>
                <w:szCs w:val="24"/>
                <w:lang w:val="fr-FR"/>
              </w:rPr>
            </w:pPr>
            <w:r>
              <w:rPr>
                <w:rFonts w:ascii="Times New Roman" w:hAnsi="Times New Roman" w:cs="Times New Roman"/>
                <w:bCs/>
                <w:sz w:val="24"/>
                <w:szCs w:val="24"/>
                <w:lang w:val="fr-FR"/>
              </w:rPr>
              <w:t>Rapports, publications</w:t>
            </w:r>
          </w:p>
        </w:tc>
      </w:tr>
    </w:tbl>
    <w:p w:rsidR="003E2682" w:rsidRPr="004820EE" w:rsidRDefault="003E2682" w:rsidP="003E2682">
      <w:pPr>
        <w:pStyle w:val="BodyText"/>
        <w:tabs>
          <w:tab w:val="left" w:pos="360"/>
        </w:tabs>
        <w:ind w:left="720"/>
        <w:jc w:val="both"/>
        <w:rPr>
          <w:rFonts w:ascii="Times New Roman" w:hAnsi="Times New Roman"/>
          <w:b/>
          <w:sz w:val="24"/>
          <w:lang w:val="fr-FR"/>
        </w:rPr>
      </w:pPr>
    </w:p>
    <w:p w:rsidR="003E2682" w:rsidRPr="004820EE" w:rsidRDefault="003E2682" w:rsidP="003E2682">
      <w:pPr>
        <w:pStyle w:val="BodyText"/>
        <w:jc w:val="both"/>
        <w:rPr>
          <w:rFonts w:ascii="Times New Roman" w:hAnsi="Times New Roman"/>
          <w:b/>
          <w:sz w:val="24"/>
          <w:lang w:val="fr-FR"/>
        </w:rPr>
        <w:sectPr w:rsidR="003E2682" w:rsidRPr="004820EE" w:rsidSect="005268E7">
          <w:pgSz w:w="15840" w:h="12240" w:orient="landscape" w:code="1"/>
          <w:pgMar w:top="806" w:right="810" w:bottom="810" w:left="1354" w:header="720" w:footer="418" w:gutter="0"/>
          <w:cols w:space="720"/>
          <w:docGrid w:linePitch="360"/>
        </w:sectPr>
      </w:pPr>
    </w:p>
    <w:p w:rsidR="00C22A9F" w:rsidRPr="009C1A6A" w:rsidRDefault="00C22A9F" w:rsidP="00C22A9F">
      <w:pPr>
        <w:pStyle w:val="BodyText"/>
        <w:ind w:left="360"/>
        <w:jc w:val="both"/>
        <w:rPr>
          <w:rFonts w:ascii="Times New Roman" w:hAnsi="Times New Roman"/>
          <w:b/>
          <w:sz w:val="24"/>
          <w:lang w:val="fr-FR"/>
        </w:rPr>
      </w:pPr>
      <w:r w:rsidRPr="009C1A6A">
        <w:rPr>
          <w:rFonts w:ascii="Times New Roman" w:hAnsi="Times New Roman"/>
          <w:b/>
          <w:sz w:val="24"/>
          <w:lang w:val="fr-FR"/>
        </w:rPr>
        <w:lastRenderedPageBreak/>
        <w:t>iii) Une illustration narrative spécifique (Optionnel)</w:t>
      </w:r>
    </w:p>
    <w:p w:rsidR="00C22A9F" w:rsidRPr="00C22A9F" w:rsidRDefault="00C22A9F" w:rsidP="00C22A9F">
      <w:pPr>
        <w:pStyle w:val="BodyText"/>
        <w:jc w:val="both"/>
        <w:rPr>
          <w:rFonts w:ascii="Times New Roman" w:hAnsi="Times New Roman"/>
          <w:b/>
          <w:color w:val="FF0000"/>
          <w:sz w:val="24"/>
          <w:lang w:val="fr-FR"/>
        </w:rPr>
      </w:pPr>
    </w:p>
    <w:p w:rsidR="00CD2CDC" w:rsidRDefault="00CD2CDC" w:rsidP="00F303C2">
      <w:pPr>
        <w:pStyle w:val="BodyText"/>
        <w:jc w:val="both"/>
        <w:rPr>
          <w:rFonts w:ascii="Times New Roman" w:hAnsi="Times New Roman"/>
          <w:sz w:val="24"/>
          <w:lang w:val="fr-FR"/>
        </w:rPr>
      </w:pPr>
      <w:r w:rsidRPr="00F303C2">
        <w:rPr>
          <w:rFonts w:ascii="Times New Roman" w:hAnsi="Times New Roman"/>
          <w:sz w:val="24"/>
          <w:lang w:val="fr-FR"/>
        </w:rPr>
        <w:t xml:space="preserve">Partant </w:t>
      </w:r>
      <w:r w:rsidR="00FD4F03">
        <w:rPr>
          <w:rFonts w:ascii="Times New Roman" w:hAnsi="Times New Roman"/>
          <w:sz w:val="24"/>
          <w:lang w:val="fr-FR"/>
        </w:rPr>
        <w:t>du travail</w:t>
      </w:r>
      <w:r w:rsidRPr="00F303C2">
        <w:rPr>
          <w:rFonts w:ascii="Times New Roman" w:hAnsi="Times New Roman"/>
          <w:sz w:val="24"/>
          <w:lang w:val="fr-FR"/>
        </w:rPr>
        <w:t xml:space="preserve"> du Programme, dans sa composante 3 </w:t>
      </w:r>
      <w:r w:rsidR="00FD4F03">
        <w:rPr>
          <w:rFonts w:ascii="Times New Roman" w:hAnsi="Times New Roman"/>
          <w:sz w:val="24"/>
          <w:lang w:val="fr-FR"/>
        </w:rPr>
        <w:t>« </w:t>
      </w:r>
      <w:r w:rsidRPr="00F303C2">
        <w:rPr>
          <w:rFonts w:ascii="Times New Roman" w:hAnsi="Times New Roman"/>
          <w:sz w:val="24"/>
          <w:lang w:val="fr-FR"/>
        </w:rPr>
        <w:t>Centres d’Appui Municipaux et Communautaires</w:t>
      </w:r>
      <w:r w:rsidR="00FD4F03">
        <w:rPr>
          <w:rFonts w:ascii="Times New Roman" w:hAnsi="Times New Roman"/>
          <w:sz w:val="24"/>
          <w:lang w:val="fr-FR"/>
        </w:rPr>
        <w:t> »</w:t>
      </w:r>
      <w:r w:rsidRPr="00F303C2">
        <w:rPr>
          <w:rFonts w:ascii="Times New Roman" w:hAnsi="Times New Roman"/>
          <w:sz w:val="24"/>
          <w:lang w:val="fr-FR"/>
        </w:rPr>
        <w:t>, fournissant un appui direct aux collectivités territoriales, le Ministère de l’Intérieur et Collectivités Territoriales a pu répliquer l’expérience dans les</w:t>
      </w:r>
      <w:r w:rsidR="00FD4F03">
        <w:rPr>
          <w:rFonts w:ascii="Times New Roman" w:hAnsi="Times New Roman"/>
          <w:sz w:val="24"/>
          <w:lang w:val="fr-FR"/>
        </w:rPr>
        <w:t xml:space="preserve"> départements du Nord et </w:t>
      </w:r>
      <w:r w:rsidR="009C1A6A">
        <w:rPr>
          <w:rFonts w:ascii="Times New Roman" w:hAnsi="Times New Roman"/>
          <w:sz w:val="24"/>
          <w:lang w:val="fr-FR"/>
        </w:rPr>
        <w:t xml:space="preserve">du </w:t>
      </w:r>
      <w:r w:rsidR="00FD4F03">
        <w:rPr>
          <w:rFonts w:ascii="Times New Roman" w:hAnsi="Times New Roman"/>
          <w:sz w:val="24"/>
          <w:lang w:val="fr-FR"/>
        </w:rPr>
        <w:t>Nord-</w:t>
      </w:r>
      <w:r w:rsidRPr="00F303C2">
        <w:rPr>
          <w:rFonts w:ascii="Times New Roman" w:hAnsi="Times New Roman"/>
          <w:sz w:val="24"/>
          <w:lang w:val="fr-FR"/>
        </w:rPr>
        <w:t xml:space="preserve">Est </w:t>
      </w:r>
      <w:r w:rsidR="009C1A6A">
        <w:rPr>
          <w:rFonts w:ascii="Times New Roman" w:hAnsi="Times New Roman"/>
          <w:sz w:val="24"/>
          <w:lang w:val="fr-FR"/>
        </w:rPr>
        <w:t xml:space="preserve">ainsi que du Sud </w:t>
      </w:r>
      <w:r w:rsidRPr="00F303C2">
        <w:rPr>
          <w:rFonts w:ascii="Times New Roman" w:hAnsi="Times New Roman"/>
          <w:sz w:val="24"/>
          <w:lang w:val="fr-FR"/>
        </w:rPr>
        <w:t xml:space="preserve">courant </w:t>
      </w:r>
      <w:r w:rsidR="0072435E">
        <w:rPr>
          <w:rFonts w:ascii="Times New Roman" w:hAnsi="Times New Roman"/>
          <w:sz w:val="24"/>
          <w:lang w:val="fr-FR"/>
        </w:rPr>
        <w:t>de l’année 2013. Les deux programmes d’i</w:t>
      </w:r>
      <w:r w:rsidRPr="00F303C2">
        <w:rPr>
          <w:rFonts w:ascii="Times New Roman" w:hAnsi="Times New Roman"/>
          <w:sz w:val="24"/>
          <w:lang w:val="fr-FR"/>
        </w:rPr>
        <w:t xml:space="preserve">ntervention du Ministère, développés dans le contexte de renforcement des capacités de municipalités </w:t>
      </w:r>
      <w:r w:rsidR="00FD4F03">
        <w:rPr>
          <w:rFonts w:ascii="Times New Roman" w:hAnsi="Times New Roman"/>
          <w:sz w:val="24"/>
          <w:lang w:val="fr-FR"/>
        </w:rPr>
        <w:t>pour la gestion et l’accompagnement</w:t>
      </w:r>
      <w:r w:rsidRPr="00F303C2">
        <w:rPr>
          <w:rFonts w:ascii="Times New Roman" w:hAnsi="Times New Roman"/>
          <w:sz w:val="24"/>
          <w:lang w:val="fr-FR"/>
        </w:rPr>
        <w:t xml:space="preserve"> des grands  investissements du Gouvernement</w:t>
      </w:r>
      <w:r w:rsidR="00FD4F03">
        <w:rPr>
          <w:rFonts w:ascii="Times New Roman" w:hAnsi="Times New Roman"/>
          <w:sz w:val="24"/>
          <w:lang w:val="fr-FR"/>
        </w:rPr>
        <w:t xml:space="preserve"> dans ces zones</w:t>
      </w:r>
      <w:r w:rsidRPr="00F303C2">
        <w:rPr>
          <w:rFonts w:ascii="Times New Roman" w:hAnsi="Times New Roman"/>
          <w:sz w:val="24"/>
          <w:lang w:val="fr-FR"/>
        </w:rPr>
        <w:t xml:space="preserve">, visent un appui basique des communes pouvant </w:t>
      </w:r>
      <w:r w:rsidR="00FD4F03">
        <w:rPr>
          <w:rFonts w:ascii="Times New Roman" w:hAnsi="Times New Roman"/>
          <w:sz w:val="24"/>
          <w:lang w:val="fr-FR"/>
        </w:rPr>
        <w:t xml:space="preserve">leur </w:t>
      </w:r>
      <w:r w:rsidRPr="00F303C2">
        <w:rPr>
          <w:rFonts w:ascii="Times New Roman" w:hAnsi="Times New Roman"/>
          <w:sz w:val="24"/>
          <w:lang w:val="fr-FR"/>
        </w:rPr>
        <w:t>permettre de prendre en charge le</w:t>
      </w:r>
      <w:r w:rsidR="009C1A6A">
        <w:rPr>
          <w:rFonts w:ascii="Times New Roman" w:hAnsi="Times New Roman"/>
          <w:sz w:val="24"/>
          <w:lang w:val="fr-FR"/>
        </w:rPr>
        <w:t>ur</w:t>
      </w:r>
      <w:r w:rsidRPr="00F303C2">
        <w:rPr>
          <w:rFonts w:ascii="Times New Roman" w:hAnsi="Times New Roman"/>
          <w:sz w:val="24"/>
          <w:lang w:val="fr-FR"/>
        </w:rPr>
        <w:t xml:space="preserve">s rôles et responsabilités </w:t>
      </w:r>
      <w:r w:rsidR="00FD4F03">
        <w:rPr>
          <w:rFonts w:ascii="Times New Roman" w:hAnsi="Times New Roman"/>
          <w:sz w:val="24"/>
          <w:lang w:val="fr-FR"/>
        </w:rPr>
        <w:t>minimales</w:t>
      </w:r>
      <w:r w:rsidRPr="00F303C2">
        <w:rPr>
          <w:rFonts w:ascii="Times New Roman" w:hAnsi="Times New Roman"/>
          <w:sz w:val="24"/>
          <w:lang w:val="fr-FR"/>
        </w:rPr>
        <w:t xml:space="preserve">. A l’instar du </w:t>
      </w:r>
      <w:r w:rsidR="0072435E">
        <w:rPr>
          <w:rFonts w:ascii="Times New Roman" w:hAnsi="Times New Roman"/>
          <w:sz w:val="24"/>
          <w:lang w:val="fr-FR"/>
        </w:rPr>
        <w:t>P</w:t>
      </w:r>
      <w:r w:rsidR="009B6ABE">
        <w:rPr>
          <w:rFonts w:ascii="Times New Roman" w:hAnsi="Times New Roman"/>
          <w:sz w:val="24"/>
          <w:lang w:val="fr-FR"/>
        </w:rPr>
        <w:t>rogramme</w:t>
      </w:r>
      <w:r w:rsidRPr="00F303C2">
        <w:rPr>
          <w:rFonts w:ascii="Times New Roman" w:hAnsi="Times New Roman"/>
          <w:sz w:val="24"/>
          <w:lang w:val="fr-FR"/>
        </w:rPr>
        <w:t xml:space="preserve">, les deux programmes d’intervention fournissent aux  communes cibles un éventail </w:t>
      </w:r>
      <w:r w:rsidR="00FD4F03">
        <w:rPr>
          <w:rFonts w:ascii="Times New Roman" w:hAnsi="Times New Roman"/>
          <w:sz w:val="24"/>
          <w:lang w:val="fr-FR"/>
        </w:rPr>
        <w:t xml:space="preserve">de </w:t>
      </w:r>
      <w:r w:rsidRPr="00F303C2">
        <w:rPr>
          <w:rFonts w:ascii="Times New Roman" w:hAnsi="Times New Roman"/>
          <w:sz w:val="24"/>
          <w:lang w:val="fr-FR"/>
        </w:rPr>
        <w:t xml:space="preserve">profils techniques et administratifs orientés </w:t>
      </w:r>
      <w:r w:rsidR="00FD4F03">
        <w:rPr>
          <w:rFonts w:ascii="Times New Roman" w:hAnsi="Times New Roman"/>
          <w:sz w:val="24"/>
          <w:lang w:val="fr-FR"/>
        </w:rPr>
        <w:t xml:space="preserve">fondamentalement </w:t>
      </w:r>
      <w:r w:rsidRPr="00F303C2">
        <w:rPr>
          <w:rFonts w:ascii="Times New Roman" w:hAnsi="Times New Roman"/>
          <w:sz w:val="24"/>
          <w:lang w:val="fr-FR"/>
        </w:rPr>
        <w:t>vers les  responsabilités administratives, de ge</w:t>
      </w:r>
      <w:r w:rsidR="00FD4F03">
        <w:rPr>
          <w:rFonts w:ascii="Times New Roman" w:hAnsi="Times New Roman"/>
          <w:sz w:val="24"/>
          <w:lang w:val="fr-FR"/>
        </w:rPr>
        <w:t>stion d’équipements publics, de la gestion</w:t>
      </w:r>
      <w:r w:rsidRPr="00F303C2">
        <w:rPr>
          <w:rFonts w:ascii="Times New Roman" w:hAnsi="Times New Roman"/>
          <w:sz w:val="24"/>
          <w:lang w:val="fr-FR"/>
        </w:rPr>
        <w:t xml:space="preserve"> urbaine, </w:t>
      </w:r>
      <w:r w:rsidR="00FD4F03">
        <w:rPr>
          <w:rFonts w:ascii="Times New Roman" w:hAnsi="Times New Roman"/>
          <w:sz w:val="24"/>
          <w:lang w:val="fr-FR"/>
        </w:rPr>
        <w:t xml:space="preserve">de la </w:t>
      </w:r>
      <w:r w:rsidRPr="00F303C2">
        <w:rPr>
          <w:rFonts w:ascii="Times New Roman" w:hAnsi="Times New Roman"/>
          <w:sz w:val="24"/>
          <w:lang w:val="fr-FR"/>
        </w:rPr>
        <w:t xml:space="preserve">mobilisation fiscale. Les deux programmes s’orientent vers la capacitation des communes pour </w:t>
      </w:r>
      <w:r w:rsidR="00FD4F03">
        <w:rPr>
          <w:rFonts w:ascii="Times New Roman" w:hAnsi="Times New Roman"/>
          <w:sz w:val="24"/>
          <w:lang w:val="fr-FR"/>
        </w:rPr>
        <w:t>leur</w:t>
      </w:r>
      <w:r w:rsidRPr="00F303C2">
        <w:rPr>
          <w:rFonts w:ascii="Times New Roman" w:hAnsi="Times New Roman"/>
          <w:sz w:val="24"/>
          <w:lang w:val="fr-FR"/>
        </w:rPr>
        <w:t xml:space="preserve"> autonomisation réelle </w:t>
      </w:r>
      <w:r w:rsidR="00FD4F03">
        <w:rPr>
          <w:rFonts w:ascii="Times New Roman" w:hAnsi="Times New Roman"/>
          <w:sz w:val="24"/>
          <w:lang w:val="fr-FR"/>
        </w:rPr>
        <w:t>et une</w:t>
      </w:r>
      <w:r w:rsidRPr="00F303C2">
        <w:rPr>
          <w:rFonts w:ascii="Times New Roman" w:hAnsi="Times New Roman"/>
          <w:sz w:val="24"/>
          <w:lang w:val="fr-FR"/>
        </w:rPr>
        <w:t xml:space="preserve"> décentralisation </w:t>
      </w:r>
      <w:r w:rsidR="00FD4F03">
        <w:rPr>
          <w:rFonts w:ascii="Times New Roman" w:hAnsi="Times New Roman"/>
          <w:sz w:val="24"/>
          <w:lang w:val="fr-FR"/>
        </w:rPr>
        <w:t xml:space="preserve">effective </w:t>
      </w:r>
      <w:r w:rsidRPr="00F303C2">
        <w:rPr>
          <w:rFonts w:ascii="Times New Roman" w:hAnsi="Times New Roman"/>
          <w:sz w:val="24"/>
          <w:lang w:val="fr-FR"/>
        </w:rPr>
        <w:t xml:space="preserve">tel que prônée </w:t>
      </w:r>
      <w:r w:rsidR="00FD4F03">
        <w:rPr>
          <w:rFonts w:ascii="Times New Roman" w:hAnsi="Times New Roman"/>
          <w:sz w:val="24"/>
          <w:lang w:val="fr-FR"/>
        </w:rPr>
        <w:t>par la loi</w:t>
      </w:r>
      <w:r w:rsidRPr="00F303C2">
        <w:rPr>
          <w:rFonts w:ascii="Times New Roman" w:hAnsi="Times New Roman"/>
          <w:sz w:val="24"/>
          <w:lang w:val="fr-FR"/>
        </w:rPr>
        <w:t>.</w:t>
      </w:r>
    </w:p>
    <w:p w:rsidR="0072435E" w:rsidRPr="00F303C2" w:rsidRDefault="0072435E" w:rsidP="00F303C2">
      <w:pPr>
        <w:pStyle w:val="BodyText"/>
        <w:jc w:val="both"/>
        <w:rPr>
          <w:rFonts w:ascii="Times New Roman" w:hAnsi="Times New Roman"/>
          <w:sz w:val="24"/>
          <w:lang w:val="fr-FR"/>
        </w:rPr>
      </w:pPr>
    </w:p>
    <w:p w:rsidR="0072435E" w:rsidRDefault="0072435E" w:rsidP="00CD2CDC">
      <w:pPr>
        <w:pStyle w:val="BodyText"/>
        <w:rPr>
          <w:rFonts w:ascii="Times New Roman" w:hAnsi="Times New Roman"/>
          <w:sz w:val="24"/>
          <w:lang w:val="fr-FR"/>
        </w:rPr>
      </w:pPr>
    </w:p>
    <w:p w:rsidR="00C22A9F" w:rsidRPr="0072435E" w:rsidRDefault="00C22A9F" w:rsidP="00C22A9F">
      <w:pPr>
        <w:pStyle w:val="BodyText"/>
        <w:rPr>
          <w:rFonts w:ascii="Times New Roman" w:hAnsi="Times New Roman"/>
          <w:b/>
          <w:sz w:val="24"/>
          <w:lang w:val="fr-FR"/>
        </w:rPr>
      </w:pPr>
      <w:r w:rsidRPr="0072435E">
        <w:rPr>
          <w:rFonts w:ascii="Times New Roman" w:hAnsi="Times New Roman"/>
          <w:b/>
          <w:sz w:val="24"/>
          <w:lang w:val="fr-FR"/>
        </w:rPr>
        <w:t>II</w:t>
      </w:r>
      <w:r w:rsidR="0072435E" w:rsidRPr="0072435E">
        <w:rPr>
          <w:rFonts w:ascii="Times New Roman" w:hAnsi="Times New Roman"/>
          <w:b/>
          <w:sz w:val="24"/>
          <w:lang w:val="fr-FR"/>
        </w:rPr>
        <w:t>I.</w:t>
      </w:r>
      <w:r w:rsidR="0072435E" w:rsidRPr="0072435E">
        <w:rPr>
          <w:rFonts w:ascii="Times New Roman" w:hAnsi="Times New Roman"/>
          <w:b/>
          <w:sz w:val="24"/>
          <w:lang w:val="fr-FR"/>
        </w:rPr>
        <w:tab/>
        <w:t>Autres bilans ou évaluations</w:t>
      </w:r>
    </w:p>
    <w:p w:rsidR="0072435E" w:rsidRPr="004C14C0" w:rsidRDefault="0072435E" w:rsidP="0072435E">
      <w:pPr>
        <w:pStyle w:val="BodyText"/>
        <w:rPr>
          <w:rFonts w:ascii="Times New Roman" w:hAnsi="Times New Roman"/>
          <w:sz w:val="24"/>
          <w:lang w:val="fr-FR"/>
        </w:rPr>
      </w:pPr>
    </w:p>
    <w:p w:rsidR="004E511D" w:rsidRPr="004C14C0" w:rsidRDefault="0072435E" w:rsidP="0072435E">
      <w:pPr>
        <w:widowControl w:val="0"/>
        <w:tabs>
          <w:tab w:val="left" w:pos="180"/>
        </w:tabs>
        <w:jc w:val="both"/>
        <w:rPr>
          <w:lang w:val="fr-FR"/>
        </w:rPr>
      </w:pPr>
      <w:r w:rsidRPr="004C14C0">
        <w:rPr>
          <w:lang w:val="fr-FR"/>
        </w:rPr>
        <w:t>Tel que prévu dans les mécanismes de suivi et d’évaluation</w:t>
      </w:r>
      <w:r w:rsidR="004E511D" w:rsidRPr="004C14C0">
        <w:rPr>
          <w:lang w:val="fr-FR"/>
        </w:rPr>
        <w:t xml:space="preserve">, un dispositif d’évaluation a été mise en place dans le but de réaliser une évaluation itérative et finale du </w:t>
      </w:r>
      <w:r w:rsidR="007D2DAA">
        <w:rPr>
          <w:lang w:val="fr-FR"/>
        </w:rPr>
        <w:t>Programme</w:t>
      </w:r>
      <w:r w:rsidR="004E511D" w:rsidRPr="004C14C0">
        <w:rPr>
          <w:lang w:val="fr-FR"/>
        </w:rPr>
        <w:t xml:space="preserve"> dans son ensemble. Cette évaluation annuelle et indépendante </w:t>
      </w:r>
      <w:r w:rsidR="009B6ABE">
        <w:rPr>
          <w:lang w:val="fr-FR"/>
        </w:rPr>
        <w:t xml:space="preserve">a pour objectif mesurer son </w:t>
      </w:r>
      <w:r w:rsidR="004E511D" w:rsidRPr="004C14C0">
        <w:rPr>
          <w:lang w:val="fr-FR"/>
        </w:rPr>
        <w:t>impact</w:t>
      </w:r>
      <w:r w:rsidR="009B6ABE">
        <w:rPr>
          <w:lang w:val="fr-FR"/>
        </w:rPr>
        <w:t xml:space="preserve">, </w:t>
      </w:r>
      <w:r w:rsidR="004E511D" w:rsidRPr="004C14C0">
        <w:rPr>
          <w:lang w:val="fr-FR"/>
        </w:rPr>
        <w:t xml:space="preserve">analyser </w:t>
      </w:r>
      <w:r w:rsidR="009B6ABE">
        <w:rPr>
          <w:lang w:val="fr-FR"/>
        </w:rPr>
        <w:t>s</w:t>
      </w:r>
      <w:r w:rsidR="004E511D" w:rsidRPr="004C14C0">
        <w:rPr>
          <w:lang w:val="fr-FR"/>
        </w:rPr>
        <w:t xml:space="preserve">a pertinence </w:t>
      </w:r>
      <w:r w:rsidR="009B6ABE">
        <w:rPr>
          <w:lang w:val="fr-FR"/>
        </w:rPr>
        <w:t>et</w:t>
      </w:r>
      <w:r w:rsidR="004E511D" w:rsidRPr="004C14C0">
        <w:rPr>
          <w:lang w:val="fr-FR"/>
        </w:rPr>
        <w:t xml:space="preserve"> </w:t>
      </w:r>
      <w:r w:rsidR="009B6ABE" w:rsidRPr="004C14C0">
        <w:rPr>
          <w:lang w:val="fr-FR"/>
        </w:rPr>
        <w:t>cohérence</w:t>
      </w:r>
      <w:r w:rsidR="009B6ABE">
        <w:rPr>
          <w:lang w:val="fr-FR"/>
        </w:rPr>
        <w:t xml:space="preserve"> ainsi que s</w:t>
      </w:r>
      <w:r w:rsidR="004E511D" w:rsidRPr="004C14C0">
        <w:rPr>
          <w:lang w:val="fr-FR"/>
        </w:rPr>
        <w:t xml:space="preserve">a mise en œuvre </w:t>
      </w:r>
      <w:r w:rsidR="009B6ABE">
        <w:rPr>
          <w:lang w:val="fr-FR"/>
        </w:rPr>
        <w:t xml:space="preserve">composante par composante, </w:t>
      </w:r>
      <w:r w:rsidR="004E511D" w:rsidRPr="004C14C0">
        <w:rPr>
          <w:lang w:val="fr-FR"/>
        </w:rPr>
        <w:t>et enfin de formuler des recom</w:t>
      </w:r>
      <w:r w:rsidR="009B6ABE">
        <w:rPr>
          <w:lang w:val="fr-FR"/>
        </w:rPr>
        <w:t>mandations pour l’évolution de s</w:t>
      </w:r>
      <w:r w:rsidR="004E511D" w:rsidRPr="004C14C0">
        <w:rPr>
          <w:lang w:val="fr-FR"/>
        </w:rPr>
        <w:t>a mise en œuvre.</w:t>
      </w:r>
    </w:p>
    <w:p w:rsidR="004E511D" w:rsidRPr="004C14C0" w:rsidRDefault="004E511D" w:rsidP="0072435E">
      <w:pPr>
        <w:widowControl w:val="0"/>
        <w:tabs>
          <w:tab w:val="left" w:pos="180"/>
        </w:tabs>
        <w:jc w:val="both"/>
        <w:rPr>
          <w:lang w:val="fr-FR"/>
        </w:rPr>
      </w:pPr>
    </w:p>
    <w:p w:rsidR="004C14C0" w:rsidRPr="004C14C0" w:rsidRDefault="0072435E" w:rsidP="0072435E">
      <w:pPr>
        <w:widowControl w:val="0"/>
        <w:tabs>
          <w:tab w:val="left" w:pos="180"/>
        </w:tabs>
        <w:jc w:val="both"/>
        <w:rPr>
          <w:lang w:val="fr-FR"/>
        </w:rPr>
      </w:pPr>
      <w:r w:rsidRPr="004C14C0">
        <w:rPr>
          <w:lang w:val="fr-FR"/>
        </w:rPr>
        <w:t xml:space="preserve">En effet, </w:t>
      </w:r>
      <w:r w:rsidR="004E511D" w:rsidRPr="004C14C0">
        <w:rPr>
          <w:lang w:val="fr-FR"/>
        </w:rPr>
        <w:t>a</w:t>
      </w:r>
      <w:r w:rsidRPr="004C14C0">
        <w:rPr>
          <w:lang w:val="fr-FR"/>
        </w:rPr>
        <w:t>u cours du dernier trimestre</w:t>
      </w:r>
      <w:r w:rsidR="004E511D" w:rsidRPr="004C14C0">
        <w:rPr>
          <w:lang w:val="fr-FR"/>
        </w:rPr>
        <w:t xml:space="preserve"> de 2013</w:t>
      </w:r>
      <w:r w:rsidRPr="004C14C0">
        <w:rPr>
          <w:lang w:val="fr-FR"/>
        </w:rPr>
        <w:t xml:space="preserve">, l’équipe d’évaluateurs d’Urgence Réhabilitation Développement (URD) a effectué la </w:t>
      </w:r>
      <w:r w:rsidR="004E511D" w:rsidRPr="004C14C0">
        <w:rPr>
          <w:lang w:val="fr-FR"/>
        </w:rPr>
        <w:t>deuxième phase</w:t>
      </w:r>
      <w:r w:rsidRPr="004C14C0">
        <w:rPr>
          <w:lang w:val="fr-FR"/>
        </w:rPr>
        <w:t xml:space="preserve"> d'évaluation du Programme. Présents pendant </w:t>
      </w:r>
      <w:r w:rsidR="004E511D" w:rsidRPr="004C14C0">
        <w:rPr>
          <w:lang w:val="fr-FR"/>
        </w:rPr>
        <w:t>une semaine</w:t>
      </w:r>
      <w:r w:rsidRPr="004C14C0">
        <w:rPr>
          <w:lang w:val="fr-FR"/>
        </w:rPr>
        <w:t xml:space="preserve"> en Haïti début </w:t>
      </w:r>
      <w:r w:rsidR="004E511D" w:rsidRPr="004C14C0">
        <w:rPr>
          <w:lang w:val="fr-FR"/>
        </w:rPr>
        <w:t>novem</w:t>
      </w:r>
      <w:r w:rsidRPr="004C14C0">
        <w:rPr>
          <w:lang w:val="fr-FR"/>
        </w:rPr>
        <w:t>bre, les évaluateurs ont</w:t>
      </w:r>
      <w:r w:rsidR="004C14C0" w:rsidRPr="004C14C0">
        <w:rPr>
          <w:lang w:val="fr-FR"/>
        </w:rPr>
        <w:t xml:space="preserve"> d’abord</w:t>
      </w:r>
      <w:r w:rsidRPr="004C14C0">
        <w:rPr>
          <w:lang w:val="fr-FR"/>
        </w:rPr>
        <w:t xml:space="preserve"> rendu visite </w:t>
      </w:r>
      <w:r w:rsidR="004C14C0" w:rsidRPr="004C14C0">
        <w:rPr>
          <w:lang w:val="fr-FR"/>
        </w:rPr>
        <w:t xml:space="preserve">aux organisations responsables du pilotage et du secrétariat technique du Programme pour ensuite participer a deux ateliers d’échanges entre les différentes partenaires au tour des enjeux technique et territoriaux du </w:t>
      </w:r>
      <w:r w:rsidR="007D2DAA">
        <w:rPr>
          <w:lang w:val="fr-FR"/>
        </w:rPr>
        <w:t>Programme</w:t>
      </w:r>
      <w:r w:rsidR="004C14C0" w:rsidRPr="004C14C0">
        <w:rPr>
          <w:lang w:val="fr-FR"/>
        </w:rPr>
        <w:t xml:space="preserve">. Avant de finaliser avec une réunion de restitution, ils se sont rencontrés avec les représentants décisionnaires sur le </w:t>
      </w:r>
      <w:r w:rsidR="007D2DAA">
        <w:rPr>
          <w:lang w:val="fr-FR"/>
        </w:rPr>
        <w:t>Programme</w:t>
      </w:r>
      <w:r w:rsidR="004C14C0" w:rsidRPr="004C14C0">
        <w:rPr>
          <w:lang w:val="fr-FR"/>
        </w:rPr>
        <w:t xml:space="preserve"> afin d’analyser les enjeux stratégiques et institutionnels du Programme. </w:t>
      </w:r>
    </w:p>
    <w:p w:rsidR="004C14C0" w:rsidRPr="004C14C0" w:rsidRDefault="004C14C0" w:rsidP="0072435E">
      <w:pPr>
        <w:widowControl w:val="0"/>
        <w:tabs>
          <w:tab w:val="left" w:pos="180"/>
        </w:tabs>
        <w:jc w:val="both"/>
        <w:rPr>
          <w:lang w:val="fr-FR"/>
        </w:rPr>
      </w:pPr>
    </w:p>
    <w:p w:rsidR="0072435E" w:rsidRDefault="0072435E" w:rsidP="0072435E">
      <w:pPr>
        <w:pStyle w:val="BodyText"/>
        <w:tabs>
          <w:tab w:val="left" w:pos="180"/>
        </w:tabs>
        <w:jc w:val="both"/>
        <w:rPr>
          <w:rFonts w:ascii="Times New Roman" w:hAnsi="Times New Roman" w:cs="Times New Roman"/>
          <w:sz w:val="24"/>
          <w:szCs w:val="24"/>
          <w:lang w:val="fr-FR"/>
        </w:rPr>
      </w:pPr>
      <w:r w:rsidRPr="004C14C0">
        <w:rPr>
          <w:rFonts w:ascii="Times New Roman" w:hAnsi="Times New Roman" w:cs="Times New Roman"/>
          <w:sz w:val="24"/>
          <w:szCs w:val="24"/>
          <w:lang w:val="fr-FR"/>
        </w:rPr>
        <w:t xml:space="preserve">Cette visite d’évaluation a donné lieu à l’écriture d’un rapport qui sera partagé avec les partenaires du Programme </w:t>
      </w:r>
      <w:r w:rsidR="004C14C0" w:rsidRPr="004C14C0">
        <w:rPr>
          <w:rFonts w:ascii="Times New Roman" w:hAnsi="Times New Roman" w:cs="Times New Roman"/>
          <w:sz w:val="24"/>
          <w:szCs w:val="24"/>
          <w:lang w:val="fr-FR"/>
        </w:rPr>
        <w:t>au début de 2014</w:t>
      </w:r>
      <w:r w:rsidRPr="004C14C0">
        <w:rPr>
          <w:rFonts w:ascii="Times New Roman" w:hAnsi="Times New Roman" w:cs="Times New Roman"/>
          <w:sz w:val="24"/>
          <w:szCs w:val="24"/>
          <w:lang w:val="fr-FR"/>
        </w:rPr>
        <w:t>.</w:t>
      </w:r>
    </w:p>
    <w:p w:rsidR="009B6ABE" w:rsidRDefault="009B6ABE" w:rsidP="0072435E">
      <w:pPr>
        <w:pStyle w:val="BodyText"/>
        <w:tabs>
          <w:tab w:val="left" w:pos="180"/>
        </w:tabs>
        <w:jc w:val="both"/>
        <w:rPr>
          <w:rFonts w:ascii="Times New Roman" w:hAnsi="Times New Roman" w:cs="Times New Roman"/>
          <w:sz w:val="24"/>
          <w:szCs w:val="24"/>
          <w:lang w:val="fr-FR"/>
        </w:rPr>
      </w:pPr>
    </w:p>
    <w:p w:rsidR="009B6ABE" w:rsidRPr="004C14C0" w:rsidRDefault="009B6ABE" w:rsidP="0072435E">
      <w:pPr>
        <w:pStyle w:val="BodyText"/>
        <w:tabs>
          <w:tab w:val="left" w:pos="180"/>
        </w:tabs>
        <w:jc w:val="both"/>
        <w:rPr>
          <w:rFonts w:ascii="Times New Roman" w:hAnsi="Times New Roman" w:cs="Times New Roman"/>
          <w:sz w:val="24"/>
          <w:szCs w:val="24"/>
          <w:lang w:val="fr-FR"/>
        </w:rPr>
      </w:pPr>
      <w:r>
        <w:rPr>
          <w:rFonts w:ascii="Times New Roman" w:hAnsi="Times New Roman" w:cs="Times New Roman"/>
          <w:sz w:val="24"/>
          <w:szCs w:val="24"/>
          <w:lang w:val="fr-FR"/>
        </w:rPr>
        <w:t>Les recommandations de la première phase d’évaluation, réalisée pendant le dernier trimestre de 2012, ont été étudiées et prises en compte</w:t>
      </w:r>
      <w:r w:rsidR="00AB1189">
        <w:rPr>
          <w:rFonts w:ascii="Times New Roman" w:hAnsi="Times New Roman" w:cs="Times New Roman"/>
          <w:sz w:val="24"/>
          <w:szCs w:val="24"/>
          <w:lang w:val="fr-FR"/>
        </w:rPr>
        <w:t xml:space="preserve"> pour leur incorporation aux interventions</w:t>
      </w:r>
      <w:r>
        <w:rPr>
          <w:rFonts w:ascii="Times New Roman" w:hAnsi="Times New Roman" w:cs="Times New Roman"/>
          <w:sz w:val="24"/>
          <w:szCs w:val="24"/>
          <w:lang w:val="fr-FR"/>
        </w:rPr>
        <w:t xml:space="preserve"> lors des réunions des comités de coordination des composantes et </w:t>
      </w:r>
      <w:r w:rsidR="00AB1189">
        <w:rPr>
          <w:rFonts w:ascii="Times New Roman" w:hAnsi="Times New Roman" w:cs="Times New Roman"/>
          <w:sz w:val="24"/>
          <w:szCs w:val="24"/>
          <w:lang w:val="fr-FR"/>
        </w:rPr>
        <w:t xml:space="preserve">ultérieurement </w:t>
      </w:r>
      <w:r>
        <w:rPr>
          <w:rFonts w:ascii="Times New Roman" w:hAnsi="Times New Roman" w:cs="Times New Roman"/>
          <w:sz w:val="24"/>
          <w:szCs w:val="24"/>
          <w:lang w:val="fr-FR"/>
        </w:rPr>
        <w:t xml:space="preserve">du </w:t>
      </w:r>
      <w:r w:rsidR="00AB1189">
        <w:rPr>
          <w:rFonts w:ascii="Times New Roman" w:hAnsi="Times New Roman" w:cs="Times New Roman"/>
          <w:sz w:val="24"/>
          <w:szCs w:val="24"/>
          <w:lang w:val="fr-FR"/>
        </w:rPr>
        <w:t>comité</w:t>
      </w:r>
      <w:r>
        <w:rPr>
          <w:rFonts w:ascii="Times New Roman" w:hAnsi="Times New Roman" w:cs="Times New Roman"/>
          <w:sz w:val="24"/>
          <w:szCs w:val="24"/>
          <w:lang w:val="fr-FR"/>
        </w:rPr>
        <w:t xml:space="preserve"> </w:t>
      </w:r>
      <w:r w:rsidR="00AB1189">
        <w:rPr>
          <w:rFonts w:ascii="Times New Roman" w:hAnsi="Times New Roman" w:cs="Times New Roman"/>
          <w:sz w:val="24"/>
          <w:szCs w:val="24"/>
          <w:lang w:val="fr-FR"/>
        </w:rPr>
        <w:t xml:space="preserve">national </w:t>
      </w:r>
      <w:r>
        <w:rPr>
          <w:rFonts w:ascii="Times New Roman" w:hAnsi="Times New Roman" w:cs="Times New Roman"/>
          <w:sz w:val="24"/>
          <w:szCs w:val="24"/>
          <w:lang w:val="fr-FR"/>
        </w:rPr>
        <w:t>de pilotage</w:t>
      </w:r>
      <w:r w:rsidR="00AB1189">
        <w:rPr>
          <w:rFonts w:ascii="Times New Roman" w:hAnsi="Times New Roman" w:cs="Times New Roman"/>
          <w:sz w:val="24"/>
          <w:szCs w:val="24"/>
          <w:lang w:val="fr-FR"/>
        </w:rPr>
        <w:t xml:space="preserve"> tenues pendant 2013.</w:t>
      </w:r>
    </w:p>
    <w:p w:rsidR="0072435E" w:rsidRPr="00C22A9F" w:rsidRDefault="0072435E" w:rsidP="0072435E">
      <w:pPr>
        <w:pStyle w:val="BodyText"/>
        <w:rPr>
          <w:rFonts w:ascii="Times New Roman" w:hAnsi="Times New Roman"/>
          <w:color w:val="FF0000"/>
          <w:sz w:val="24"/>
          <w:lang w:val="fr-FR"/>
        </w:rPr>
      </w:pPr>
    </w:p>
    <w:p w:rsidR="00C22A9F" w:rsidRDefault="00C22A9F" w:rsidP="003E2682">
      <w:pPr>
        <w:pStyle w:val="BodyText"/>
        <w:jc w:val="both"/>
        <w:rPr>
          <w:rFonts w:ascii="Times New Roman" w:hAnsi="Times New Roman"/>
          <w:b/>
          <w:sz w:val="24"/>
          <w:lang w:val="fr-FR"/>
        </w:rPr>
      </w:pPr>
    </w:p>
    <w:p w:rsidR="003E2682" w:rsidRPr="00BA0822" w:rsidRDefault="003E2682" w:rsidP="003E2682">
      <w:pPr>
        <w:pStyle w:val="BodyText"/>
        <w:jc w:val="both"/>
        <w:rPr>
          <w:rFonts w:ascii="Times New Roman" w:hAnsi="Times New Roman"/>
          <w:b/>
          <w:sz w:val="24"/>
          <w:lang w:val="fr-FR"/>
        </w:rPr>
      </w:pPr>
      <w:r>
        <w:rPr>
          <w:rFonts w:ascii="Times New Roman" w:hAnsi="Times New Roman"/>
          <w:b/>
          <w:sz w:val="24"/>
          <w:lang w:val="fr-FR"/>
        </w:rPr>
        <w:t>IV.</w:t>
      </w:r>
      <w:r>
        <w:rPr>
          <w:rFonts w:ascii="Times New Roman" w:hAnsi="Times New Roman"/>
          <w:b/>
          <w:sz w:val="24"/>
          <w:lang w:val="fr-FR"/>
        </w:rPr>
        <w:tab/>
      </w:r>
      <w:r w:rsidRPr="00BA0822">
        <w:rPr>
          <w:rFonts w:ascii="Times New Roman" w:hAnsi="Times New Roman"/>
          <w:b/>
          <w:sz w:val="24"/>
          <w:lang w:val="fr-FR"/>
        </w:rPr>
        <w:t>Révisions programmatiques (le cas échéant)</w:t>
      </w:r>
    </w:p>
    <w:p w:rsidR="003F17CA" w:rsidRDefault="003F17CA" w:rsidP="0004702D">
      <w:pPr>
        <w:pStyle w:val="BodyText"/>
        <w:tabs>
          <w:tab w:val="left" w:pos="180"/>
        </w:tabs>
        <w:ind w:left="180"/>
        <w:jc w:val="both"/>
        <w:rPr>
          <w:rStyle w:val="hps"/>
          <w:rFonts w:ascii="Times New Roman" w:hAnsi="Times New Roman"/>
          <w:b/>
          <w:sz w:val="24"/>
          <w:szCs w:val="24"/>
          <w:lang w:val="fr-FR"/>
        </w:rPr>
      </w:pPr>
    </w:p>
    <w:p w:rsidR="0004702D" w:rsidRPr="004C14C0" w:rsidRDefault="0004702D" w:rsidP="004C14C0">
      <w:pPr>
        <w:pStyle w:val="BodyText"/>
        <w:tabs>
          <w:tab w:val="left" w:pos="0"/>
        </w:tabs>
        <w:jc w:val="both"/>
        <w:rPr>
          <w:rFonts w:ascii="Times New Roman" w:hAnsi="Times New Roman" w:cs="Times New Roman"/>
          <w:bCs/>
          <w:sz w:val="24"/>
          <w:szCs w:val="24"/>
          <w:u w:val="single"/>
          <w:lang w:val="fr-FR"/>
        </w:rPr>
      </w:pPr>
      <w:r w:rsidRPr="004C14C0">
        <w:rPr>
          <w:rStyle w:val="hps"/>
          <w:rFonts w:ascii="Times New Roman" w:hAnsi="Times New Roman"/>
          <w:b/>
          <w:sz w:val="24"/>
          <w:szCs w:val="24"/>
          <w:u w:val="single"/>
          <w:lang w:val="fr-FR"/>
        </w:rPr>
        <w:t>Composante 1</w:t>
      </w:r>
    </w:p>
    <w:p w:rsidR="0004702D" w:rsidRPr="0004702D" w:rsidRDefault="0004702D" w:rsidP="004C14C0">
      <w:pPr>
        <w:pStyle w:val="BodyText"/>
        <w:tabs>
          <w:tab w:val="left" w:pos="0"/>
        </w:tabs>
        <w:jc w:val="both"/>
        <w:rPr>
          <w:rFonts w:ascii="Times New Roman" w:hAnsi="Times New Roman" w:cs="Times New Roman"/>
          <w:bCs/>
          <w:sz w:val="24"/>
          <w:szCs w:val="24"/>
          <w:lang w:val="fr-FR"/>
        </w:rPr>
      </w:pPr>
    </w:p>
    <w:p w:rsidR="0004702D" w:rsidRPr="0004702D" w:rsidRDefault="00AF0E0E" w:rsidP="004C14C0">
      <w:pPr>
        <w:pStyle w:val="BodyText"/>
        <w:tabs>
          <w:tab w:val="left" w:pos="0"/>
        </w:tabs>
        <w:jc w:val="both"/>
        <w:rPr>
          <w:rFonts w:ascii="Times New Roman" w:hAnsi="Times New Roman" w:cs="Times New Roman"/>
          <w:bCs/>
          <w:sz w:val="24"/>
          <w:szCs w:val="24"/>
          <w:lang w:val="fr-FR"/>
        </w:rPr>
      </w:pPr>
      <w:r>
        <w:rPr>
          <w:rFonts w:ascii="Times New Roman" w:hAnsi="Times New Roman" w:cs="Times New Roman"/>
          <w:b/>
          <w:bCs/>
          <w:sz w:val="24"/>
          <w:szCs w:val="24"/>
          <w:lang w:val="fr-FR"/>
        </w:rPr>
        <w:t>Révisions p</w:t>
      </w:r>
      <w:r w:rsidR="0004702D" w:rsidRPr="0004702D">
        <w:rPr>
          <w:rFonts w:ascii="Times New Roman" w:hAnsi="Times New Roman" w:cs="Times New Roman"/>
          <w:b/>
          <w:bCs/>
          <w:sz w:val="24"/>
          <w:szCs w:val="24"/>
          <w:lang w:val="fr-FR"/>
        </w:rPr>
        <w:t xml:space="preserve">roposées </w:t>
      </w:r>
      <w:r>
        <w:rPr>
          <w:rFonts w:ascii="Times New Roman" w:hAnsi="Times New Roman" w:cs="Times New Roman"/>
          <w:b/>
          <w:bCs/>
          <w:sz w:val="24"/>
          <w:szCs w:val="24"/>
          <w:lang w:val="fr-FR"/>
        </w:rPr>
        <w:t xml:space="preserve">au </w:t>
      </w:r>
      <w:r w:rsidR="0004702D" w:rsidRPr="0004702D">
        <w:rPr>
          <w:rFonts w:ascii="Times New Roman" w:hAnsi="Times New Roman" w:cs="Times New Roman"/>
          <w:b/>
          <w:bCs/>
          <w:sz w:val="24"/>
          <w:szCs w:val="24"/>
          <w:lang w:val="fr-FR"/>
        </w:rPr>
        <w:t xml:space="preserve"> document de projet : </w:t>
      </w:r>
      <w:r w:rsidR="0004702D" w:rsidRPr="0004702D">
        <w:rPr>
          <w:rFonts w:ascii="Times New Roman" w:hAnsi="Times New Roman" w:cs="Times New Roman"/>
          <w:bCs/>
          <w:sz w:val="24"/>
          <w:szCs w:val="24"/>
          <w:lang w:val="fr-FR"/>
        </w:rPr>
        <w:t xml:space="preserve">Avec la reconstruction qui bat son plein dans les communes couvertes par le projet (zone métropolitaine de Port-au-Prince), une révision à la baisse du critère de sélection des SDE les plus endommagées a été appliquée, réduisant ainsi le critère de sélection de « 30% et plus de dommages » à un critère de « 10% et plus de dommages ». Compte tenu des circonstances et des retards rencontrés, OIM et  l’IHSI  ont proposé au troisième trimestre 2012 de revoir le nombre initial de 1,800 SDE visées par le projet, à la baisse et de placer les objectifs à 1,000 SDE. </w:t>
      </w:r>
      <w:r w:rsidR="009600E0">
        <w:rPr>
          <w:rFonts w:ascii="Times New Roman" w:hAnsi="Times New Roman" w:cs="Times New Roman"/>
          <w:bCs/>
          <w:sz w:val="24"/>
          <w:szCs w:val="24"/>
          <w:lang w:val="fr-FR"/>
        </w:rPr>
        <w:t>Cette</w:t>
      </w:r>
      <w:r w:rsidR="0004702D" w:rsidRPr="0004702D">
        <w:rPr>
          <w:rFonts w:ascii="Times New Roman" w:hAnsi="Times New Roman" w:cs="Times New Roman"/>
          <w:bCs/>
          <w:sz w:val="24"/>
          <w:szCs w:val="24"/>
          <w:lang w:val="fr-FR"/>
        </w:rPr>
        <w:t xml:space="preserve"> révision du nombre de SDE </w:t>
      </w:r>
      <w:r w:rsidR="0004702D" w:rsidRPr="0004702D">
        <w:rPr>
          <w:rFonts w:ascii="Times New Roman" w:hAnsi="Times New Roman" w:cs="Times New Roman"/>
          <w:bCs/>
          <w:sz w:val="24"/>
          <w:szCs w:val="24"/>
          <w:lang w:val="fr-FR"/>
        </w:rPr>
        <w:lastRenderedPageBreak/>
        <w:t>co</w:t>
      </w:r>
      <w:r w:rsidR="009600E0">
        <w:rPr>
          <w:rFonts w:ascii="Times New Roman" w:hAnsi="Times New Roman" w:cs="Times New Roman"/>
          <w:bCs/>
          <w:sz w:val="24"/>
          <w:szCs w:val="24"/>
          <w:lang w:val="fr-FR"/>
        </w:rPr>
        <w:t>uvertes par le recensement</w:t>
      </w:r>
      <w:r w:rsidR="0004702D" w:rsidRPr="0004702D">
        <w:rPr>
          <w:rFonts w:ascii="Times New Roman" w:hAnsi="Times New Roman" w:cs="Times New Roman"/>
          <w:bCs/>
          <w:sz w:val="24"/>
          <w:szCs w:val="24"/>
          <w:lang w:val="fr-FR"/>
        </w:rPr>
        <w:t xml:space="preserve"> proposée pour répondre à la tendance de reconstruction rapide, à la révision du critère de sélection des SDE les plus endommagées</w:t>
      </w:r>
      <w:r w:rsidR="009600E0">
        <w:rPr>
          <w:rFonts w:ascii="Times New Roman" w:hAnsi="Times New Roman" w:cs="Times New Roman"/>
          <w:bCs/>
          <w:sz w:val="24"/>
          <w:szCs w:val="24"/>
          <w:lang w:val="fr-FR"/>
        </w:rPr>
        <w:t>. Cette révision d</w:t>
      </w:r>
      <w:r w:rsidR="0004702D" w:rsidRPr="0004702D">
        <w:rPr>
          <w:rFonts w:ascii="Times New Roman" w:hAnsi="Times New Roman" w:cs="Times New Roman"/>
          <w:bCs/>
          <w:sz w:val="24"/>
          <w:szCs w:val="24"/>
          <w:lang w:val="fr-FR"/>
        </w:rPr>
        <w:t>es obj</w:t>
      </w:r>
      <w:r w:rsidR="009600E0">
        <w:rPr>
          <w:rFonts w:ascii="Times New Roman" w:hAnsi="Times New Roman" w:cs="Times New Roman"/>
          <w:bCs/>
          <w:sz w:val="24"/>
          <w:szCs w:val="24"/>
          <w:lang w:val="fr-FR"/>
        </w:rPr>
        <w:t>ectifs chiffrés à la baisse a été</w:t>
      </w:r>
      <w:r w:rsidR="0004702D" w:rsidRPr="0004702D">
        <w:rPr>
          <w:rFonts w:ascii="Times New Roman" w:hAnsi="Times New Roman" w:cs="Times New Roman"/>
          <w:bCs/>
          <w:sz w:val="24"/>
          <w:szCs w:val="24"/>
          <w:lang w:val="fr-FR"/>
        </w:rPr>
        <w:t xml:space="preserve"> soumise</w:t>
      </w:r>
      <w:r w:rsidR="009600E0">
        <w:rPr>
          <w:rFonts w:ascii="Times New Roman" w:hAnsi="Times New Roman" w:cs="Times New Roman"/>
          <w:bCs/>
          <w:sz w:val="24"/>
          <w:szCs w:val="24"/>
          <w:lang w:val="fr-FR"/>
        </w:rPr>
        <w:t xml:space="preserve"> et </w:t>
      </w:r>
      <w:r>
        <w:rPr>
          <w:rFonts w:ascii="Times New Roman" w:hAnsi="Times New Roman" w:cs="Times New Roman"/>
          <w:bCs/>
          <w:sz w:val="24"/>
          <w:szCs w:val="24"/>
          <w:lang w:val="fr-FR"/>
        </w:rPr>
        <w:t>valid</w:t>
      </w:r>
      <w:r w:rsidR="009600E0">
        <w:rPr>
          <w:rFonts w:ascii="Times New Roman" w:hAnsi="Times New Roman" w:cs="Times New Roman"/>
          <w:bCs/>
          <w:sz w:val="24"/>
          <w:szCs w:val="24"/>
          <w:lang w:val="fr-FR"/>
        </w:rPr>
        <w:t>ée par les participants lors du dernier</w:t>
      </w:r>
      <w:r w:rsidR="00AB1189">
        <w:rPr>
          <w:rFonts w:ascii="Times New Roman" w:hAnsi="Times New Roman" w:cs="Times New Roman"/>
          <w:bCs/>
          <w:sz w:val="24"/>
          <w:szCs w:val="24"/>
          <w:lang w:val="fr-FR"/>
        </w:rPr>
        <w:t xml:space="preserve"> comité national de p</w:t>
      </w:r>
      <w:r w:rsidR="0004702D" w:rsidRPr="0004702D">
        <w:rPr>
          <w:rFonts w:ascii="Times New Roman" w:hAnsi="Times New Roman" w:cs="Times New Roman"/>
          <w:bCs/>
          <w:sz w:val="24"/>
          <w:szCs w:val="24"/>
          <w:lang w:val="fr-FR"/>
        </w:rPr>
        <w:t>ilotage</w:t>
      </w:r>
      <w:r w:rsidR="009600E0">
        <w:rPr>
          <w:rFonts w:ascii="Times New Roman" w:hAnsi="Times New Roman" w:cs="Times New Roman"/>
          <w:bCs/>
          <w:sz w:val="24"/>
          <w:szCs w:val="24"/>
          <w:lang w:val="fr-FR"/>
        </w:rPr>
        <w:t>, en novembre 2013</w:t>
      </w:r>
      <w:r w:rsidR="0004702D" w:rsidRPr="0004702D">
        <w:rPr>
          <w:rFonts w:ascii="Times New Roman" w:hAnsi="Times New Roman" w:cs="Times New Roman"/>
          <w:bCs/>
          <w:sz w:val="24"/>
          <w:szCs w:val="24"/>
          <w:lang w:val="fr-FR"/>
        </w:rPr>
        <w:t>.</w:t>
      </w:r>
    </w:p>
    <w:p w:rsidR="0004702D" w:rsidRPr="0004702D" w:rsidRDefault="0004702D" w:rsidP="004C14C0">
      <w:pPr>
        <w:pStyle w:val="BodyText"/>
        <w:tabs>
          <w:tab w:val="left" w:pos="0"/>
        </w:tabs>
        <w:rPr>
          <w:rFonts w:ascii="Times New Roman" w:hAnsi="Times New Roman" w:cs="Times New Roman"/>
          <w:bCs/>
          <w:sz w:val="24"/>
          <w:szCs w:val="24"/>
          <w:lang w:val="fr-FR"/>
        </w:rPr>
      </w:pPr>
    </w:p>
    <w:p w:rsidR="0004702D" w:rsidRPr="0004702D" w:rsidRDefault="009600E0" w:rsidP="004C14C0">
      <w:pPr>
        <w:pStyle w:val="BodyText"/>
        <w:tabs>
          <w:tab w:val="left" w:pos="0"/>
        </w:tabs>
        <w:rPr>
          <w:rFonts w:ascii="Times New Roman" w:hAnsi="Times New Roman" w:cs="Times New Roman"/>
          <w:bCs/>
          <w:sz w:val="24"/>
          <w:szCs w:val="24"/>
          <w:lang w:val="fr-FR"/>
        </w:rPr>
      </w:pPr>
      <w:r>
        <w:rPr>
          <w:rFonts w:ascii="Times New Roman" w:hAnsi="Times New Roman" w:cs="Times New Roman"/>
          <w:bCs/>
          <w:sz w:val="24"/>
          <w:szCs w:val="24"/>
          <w:lang w:val="fr-FR"/>
        </w:rPr>
        <w:t xml:space="preserve">L’ensemble </w:t>
      </w:r>
      <w:r w:rsidR="00040C93">
        <w:rPr>
          <w:rFonts w:ascii="Times New Roman" w:hAnsi="Times New Roman" w:cs="Times New Roman"/>
          <w:bCs/>
          <w:sz w:val="24"/>
          <w:szCs w:val="24"/>
          <w:lang w:val="fr-FR"/>
        </w:rPr>
        <w:t>de révisions apportées</w:t>
      </w:r>
      <w:r>
        <w:rPr>
          <w:rFonts w:ascii="Times New Roman" w:hAnsi="Times New Roman" w:cs="Times New Roman"/>
          <w:bCs/>
          <w:sz w:val="24"/>
          <w:szCs w:val="24"/>
          <w:lang w:val="fr-FR"/>
        </w:rPr>
        <w:t xml:space="preserve"> au projet peut être résumé comme suit</w:t>
      </w:r>
      <w:r w:rsidR="0004702D" w:rsidRPr="0004702D">
        <w:rPr>
          <w:rFonts w:ascii="Times New Roman" w:hAnsi="Times New Roman" w:cs="Times New Roman"/>
          <w:bCs/>
          <w:sz w:val="24"/>
          <w:szCs w:val="24"/>
          <w:lang w:val="fr-FR"/>
        </w:rPr>
        <w:t xml:space="preserve">: </w:t>
      </w:r>
    </w:p>
    <w:p w:rsidR="0004702D" w:rsidRPr="0004702D" w:rsidRDefault="0004702D" w:rsidP="0004702D">
      <w:pPr>
        <w:pStyle w:val="BodyText"/>
        <w:rPr>
          <w:rFonts w:ascii="Times New Roman" w:hAnsi="Times New Roman" w:cs="Times New Roman"/>
          <w:bCs/>
          <w:sz w:val="24"/>
          <w:szCs w:val="24"/>
          <w:lang w:val="fr-FR"/>
        </w:rPr>
      </w:pPr>
    </w:p>
    <w:tbl>
      <w:tblPr>
        <w:tblW w:w="1008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60"/>
        <w:gridCol w:w="5220"/>
      </w:tblGrid>
      <w:tr w:rsidR="0004702D" w:rsidRPr="0004702D" w:rsidTr="00165525">
        <w:trPr>
          <w:trHeight w:val="458"/>
        </w:trPr>
        <w:tc>
          <w:tcPr>
            <w:tcW w:w="4860" w:type="dxa"/>
            <w:vAlign w:val="center"/>
          </w:tcPr>
          <w:p w:rsidR="0004702D" w:rsidRPr="0004702D" w:rsidRDefault="0004702D" w:rsidP="00165525">
            <w:pPr>
              <w:pStyle w:val="BodyText"/>
              <w:jc w:val="center"/>
              <w:rPr>
                <w:rFonts w:ascii="Times New Roman" w:hAnsi="Times New Roman" w:cs="Times New Roman"/>
                <w:b/>
                <w:bCs/>
                <w:sz w:val="24"/>
                <w:szCs w:val="24"/>
                <w:lang w:val="fr-FR"/>
              </w:rPr>
            </w:pPr>
            <w:r w:rsidRPr="0004702D">
              <w:rPr>
                <w:rFonts w:ascii="Times New Roman" w:hAnsi="Times New Roman" w:cs="Times New Roman"/>
                <w:b/>
                <w:bCs/>
                <w:sz w:val="24"/>
                <w:szCs w:val="24"/>
                <w:lang w:val="fr-FR"/>
              </w:rPr>
              <w:t>Résultats Originaux</w:t>
            </w:r>
          </w:p>
        </w:tc>
        <w:tc>
          <w:tcPr>
            <w:tcW w:w="5220" w:type="dxa"/>
            <w:vAlign w:val="center"/>
          </w:tcPr>
          <w:p w:rsidR="0004702D" w:rsidRPr="0004702D" w:rsidRDefault="0004702D" w:rsidP="00165525">
            <w:pPr>
              <w:pStyle w:val="BodyText"/>
              <w:jc w:val="center"/>
              <w:rPr>
                <w:rFonts w:ascii="Times New Roman" w:hAnsi="Times New Roman" w:cs="Times New Roman"/>
                <w:b/>
                <w:bCs/>
                <w:sz w:val="24"/>
                <w:szCs w:val="24"/>
                <w:lang w:val="fr-FR"/>
              </w:rPr>
            </w:pPr>
            <w:r w:rsidRPr="0004702D">
              <w:rPr>
                <w:rFonts w:ascii="Times New Roman" w:hAnsi="Times New Roman" w:cs="Times New Roman"/>
                <w:b/>
                <w:bCs/>
                <w:sz w:val="24"/>
                <w:szCs w:val="24"/>
                <w:lang w:val="fr-FR"/>
              </w:rPr>
              <w:t>Révisions Proposées</w:t>
            </w:r>
          </w:p>
        </w:tc>
      </w:tr>
      <w:tr w:rsidR="0004702D" w:rsidRPr="00C122A6" w:rsidTr="00AF0E0E">
        <w:trPr>
          <w:trHeight w:val="2226"/>
        </w:trPr>
        <w:tc>
          <w:tcPr>
            <w:tcW w:w="4860" w:type="dxa"/>
          </w:tcPr>
          <w:p w:rsidR="0004702D" w:rsidRPr="0004702D" w:rsidRDefault="0004702D" w:rsidP="00AF0E0E">
            <w:pPr>
              <w:pStyle w:val="BodyText"/>
              <w:numPr>
                <w:ilvl w:val="0"/>
                <w:numId w:val="23"/>
              </w:numPr>
              <w:tabs>
                <w:tab w:val="clear" w:pos="1080"/>
                <w:tab w:val="num" w:pos="342"/>
              </w:tabs>
              <w:ind w:left="342" w:hanging="180"/>
              <w:rPr>
                <w:rFonts w:ascii="Times New Roman" w:hAnsi="Times New Roman" w:cs="Times New Roman"/>
                <w:bCs/>
                <w:sz w:val="24"/>
                <w:szCs w:val="24"/>
                <w:lang w:val="fr-FR"/>
              </w:rPr>
            </w:pPr>
            <w:r w:rsidRPr="0004702D">
              <w:rPr>
                <w:rFonts w:ascii="Times New Roman" w:hAnsi="Times New Roman" w:cs="Times New Roman"/>
                <w:bCs/>
                <w:sz w:val="24"/>
                <w:szCs w:val="24"/>
                <w:lang w:val="fr-FR"/>
              </w:rPr>
              <w:t>Dénombrement complété et publié</w:t>
            </w:r>
          </w:p>
          <w:p w:rsidR="0004702D" w:rsidRPr="0004702D" w:rsidRDefault="0004702D" w:rsidP="00AF0E0E">
            <w:pPr>
              <w:pStyle w:val="BodyText"/>
              <w:numPr>
                <w:ilvl w:val="0"/>
                <w:numId w:val="23"/>
              </w:numPr>
              <w:tabs>
                <w:tab w:val="clear" w:pos="1080"/>
                <w:tab w:val="num" w:pos="342"/>
              </w:tabs>
              <w:ind w:left="342" w:hanging="180"/>
              <w:rPr>
                <w:rFonts w:ascii="Times New Roman" w:hAnsi="Times New Roman" w:cs="Times New Roman"/>
                <w:bCs/>
                <w:sz w:val="24"/>
                <w:szCs w:val="24"/>
                <w:lang w:val="fr-FR"/>
              </w:rPr>
            </w:pPr>
            <w:r w:rsidRPr="0004702D">
              <w:rPr>
                <w:rFonts w:ascii="Times New Roman" w:hAnsi="Times New Roman" w:cs="Times New Roman"/>
                <w:bCs/>
                <w:sz w:val="24"/>
                <w:szCs w:val="24"/>
                <w:lang w:val="fr-FR"/>
              </w:rPr>
              <w:t>Cartographie des zones affectées mise à jour</w:t>
            </w:r>
          </w:p>
          <w:p w:rsidR="0004702D" w:rsidRPr="0004702D" w:rsidRDefault="0004702D" w:rsidP="00AF0E0E">
            <w:pPr>
              <w:pStyle w:val="BodyText"/>
              <w:numPr>
                <w:ilvl w:val="0"/>
                <w:numId w:val="23"/>
              </w:numPr>
              <w:tabs>
                <w:tab w:val="clear" w:pos="1080"/>
                <w:tab w:val="num" w:pos="342"/>
              </w:tabs>
              <w:ind w:left="342" w:hanging="180"/>
              <w:rPr>
                <w:rFonts w:ascii="Times New Roman" w:hAnsi="Times New Roman" w:cs="Times New Roman"/>
                <w:bCs/>
                <w:sz w:val="24"/>
                <w:szCs w:val="24"/>
                <w:lang w:val="fr-FR"/>
              </w:rPr>
            </w:pPr>
            <w:r w:rsidRPr="0004702D">
              <w:rPr>
                <w:rFonts w:ascii="Times New Roman" w:hAnsi="Times New Roman" w:cs="Times New Roman"/>
                <w:bCs/>
                <w:sz w:val="24"/>
                <w:szCs w:val="24"/>
                <w:lang w:val="fr-FR"/>
              </w:rPr>
              <w:t>Données sur l’emplacement des services de base et des infrastructures communautaires collectées et disponibles</w:t>
            </w:r>
          </w:p>
          <w:p w:rsidR="0004702D" w:rsidRPr="0004702D" w:rsidRDefault="0004702D" w:rsidP="00AF0E0E">
            <w:pPr>
              <w:pStyle w:val="BodyText"/>
              <w:numPr>
                <w:ilvl w:val="0"/>
                <w:numId w:val="23"/>
              </w:numPr>
              <w:tabs>
                <w:tab w:val="clear" w:pos="1080"/>
                <w:tab w:val="num" w:pos="342"/>
              </w:tabs>
              <w:ind w:left="342" w:hanging="180"/>
              <w:rPr>
                <w:rFonts w:ascii="Times New Roman" w:hAnsi="Times New Roman" w:cs="Times New Roman"/>
                <w:bCs/>
                <w:sz w:val="24"/>
                <w:szCs w:val="24"/>
                <w:lang w:val="fr-FR"/>
              </w:rPr>
            </w:pPr>
            <w:r w:rsidRPr="0004702D">
              <w:rPr>
                <w:rFonts w:ascii="Times New Roman" w:hAnsi="Times New Roman" w:cs="Times New Roman"/>
                <w:bCs/>
                <w:sz w:val="24"/>
                <w:szCs w:val="24"/>
                <w:lang w:val="fr-FR"/>
              </w:rPr>
              <w:t>Collectes des données agrégées par SDE sur la population rendues disponibles</w:t>
            </w:r>
          </w:p>
        </w:tc>
        <w:tc>
          <w:tcPr>
            <w:tcW w:w="5220" w:type="dxa"/>
          </w:tcPr>
          <w:p w:rsidR="0004702D" w:rsidRPr="0004702D" w:rsidRDefault="0004702D" w:rsidP="00AF0E0E">
            <w:pPr>
              <w:pStyle w:val="BodyText"/>
              <w:numPr>
                <w:ilvl w:val="0"/>
                <w:numId w:val="23"/>
              </w:numPr>
              <w:tabs>
                <w:tab w:val="clear" w:pos="1080"/>
                <w:tab w:val="num" w:pos="342"/>
              </w:tabs>
              <w:ind w:left="342" w:hanging="180"/>
              <w:rPr>
                <w:rFonts w:ascii="Times New Roman" w:hAnsi="Times New Roman" w:cs="Times New Roman"/>
                <w:bCs/>
                <w:sz w:val="24"/>
                <w:szCs w:val="24"/>
                <w:lang w:val="fr-FR"/>
              </w:rPr>
            </w:pPr>
            <w:r>
              <w:rPr>
                <w:rFonts w:ascii="Times New Roman" w:hAnsi="Times New Roman" w:cs="Times New Roman"/>
                <w:bCs/>
                <w:sz w:val="24"/>
                <w:szCs w:val="24"/>
                <w:lang w:val="fr-FR"/>
              </w:rPr>
              <w:t>C</w:t>
            </w:r>
            <w:r w:rsidRPr="0004702D">
              <w:rPr>
                <w:rFonts w:ascii="Times New Roman" w:hAnsi="Times New Roman" w:cs="Times New Roman"/>
                <w:bCs/>
                <w:sz w:val="24"/>
                <w:szCs w:val="24"/>
                <w:lang w:val="fr-FR"/>
              </w:rPr>
              <w:t>artographie et inventaire de bâtiment mis à jour, y compris, les données sur les services de bases dans les zones affectées rendues disponibles</w:t>
            </w:r>
            <w:r w:rsidRPr="0004702D">
              <w:rPr>
                <w:rStyle w:val="FootnoteReference"/>
                <w:rFonts w:ascii="Times New Roman" w:hAnsi="Times New Roman" w:cs="Times New Roman"/>
                <w:bCs/>
                <w:sz w:val="24"/>
                <w:szCs w:val="24"/>
                <w:lang w:val="fr-FR"/>
              </w:rPr>
              <w:footnoteReference w:id="6"/>
            </w:r>
            <w:r w:rsidRPr="0004702D">
              <w:rPr>
                <w:rFonts w:ascii="Times New Roman" w:hAnsi="Times New Roman" w:cs="Times New Roman"/>
                <w:bCs/>
                <w:sz w:val="24"/>
                <w:szCs w:val="24"/>
                <w:lang w:val="fr-FR"/>
              </w:rPr>
              <w:t>.</w:t>
            </w:r>
          </w:p>
          <w:p w:rsidR="0004702D" w:rsidRPr="0002647D" w:rsidRDefault="0004702D" w:rsidP="00AF0E0E">
            <w:pPr>
              <w:pStyle w:val="BodyText"/>
              <w:numPr>
                <w:ilvl w:val="0"/>
                <w:numId w:val="23"/>
              </w:numPr>
              <w:tabs>
                <w:tab w:val="clear" w:pos="1080"/>
                <w:tab w:val="num" w:pos="342"/>
              </w:tabs>
              <w:ind w:left="342" w:hanging="180"/>
              <w:rPr>
                <w:rFonts w:ascii="Times New Roman" w:hAnsi="Times New Roman" w:cs="Times New Roman"/>
                <w:bCs/>
                <w:sz w:val="24"/>
                <w:szCs w:val="24"/>
                <w:lang w:val="fr-FR"/>
              </w:rPr>
            </w:pPr>
            <w:r w:rsidRPr="0004702D">
              <w:rPr>
                <w:rFonts w:ascii="Times New Roman" w:hAnsi="Times New Roman" w:cs="Times New Roman"/>
                <w:bCs/>
                <w:sz w:val="24"/>
                <w:szCs w:val="24"/>
                <w:lang w:val="fr-FR"/>
              </w:rPr>
              <w:t xml:space="preserve">Information sur la population (recensement) dans des zones ciblées sélectionnées, collectée et rendue disponible.  </w:t>
            </w:r>
          </w:p>
        </w:tc>
      </w:tr>
      <w:tr w:rsidR="0004702D" w:rsidRPr="00C122A6" w:rsidTr="00AF0E0E">
        <w:trPr>
          <w:trHeight w:val="1316"/>
        </w:trPr>
        <w:tc>
          <w:tcPr>
            <w:tcW w:w="4860" w:type="dxa"/>
          </w:tcPr>
          <w:p w:rsidR="0004702D" w:rsidRPr="0004702D" w:rsidRDefault="0004702D" w:rsidP="00AF0E0E">
            <w:pPr>
              <w:pStyle w:val="BodyText"/>
              <w:numPr>
                <w:ilvl w:val="0"/>
                <w:numId w:val="23"/>
              </w:numPr>
              <w:tabs>
                <w:tab w:val="clear" w:pos="1080"/>
                <w:tab w:val="num" w:pos="342"/>
              </w:tabs>
              <w:ind w:left="342" w:hanging="180"/>
              <w:rPr>
                <w:rFonts w:ascii="Times New Roman" w:hAnsi="Times New Roman" w:cs="Times New Roman"/>
                <w:bCs/>
                <w:sz w:val="24"/>
                <w:szCs w:val="24"/>
                <w:lang w:val="fr-FR"/>
              </w:rPr>
            </w:pPr>
            <w:r w:rsidRPr="0004702D">
              <w:rPr>
                <w:rFonts w:ascii="Times New Roman" w:hAnsi="Times New Roman" w:cs="Times New Roman"/>
                <w:bCs/>
                <w:sz w:val="24"/>
                <w:szCs w:val="24"/>
                <w:lang w:val="fr-FR"/>
              </w:rPr>
              <w:t>Base de données développée</w:t>
            </w:r>
          </w:p>
        </w:tc>
        <w:tc>
          <w:tcPr>
            <w:tcW w:w="5220" w:type="dxa"/>
          </w:tcPr>
          <w:p w:rsidR="0004702D" w:rsidRPr="0004702D" w:rsidRDefault="0004702D" w:rsidP="00AF0E0E">
            <w:pPr>
              <w:pStyle w:val="BodyText"/>
              <w:numPr>
                <w:ilvl w:val="0"/>
                <w:numId w:val="23"/>
              </w:numPr>
              <w:tabs>
                <w:tab w:val="clear" w:pos="1080"/>
                <w:tab w:val="num" w:pos="342"/>
              </w:tabs>
              <w:ind w:left="342" w:hanging="180"/>
              <w:rPr>
                <w:rFonts w:ascii="Times New Roman" w:hAnsi="Times New Roman" w:cs="Times New Roman"/>
                <w:bCs/>
                <w:sz w:val="24"/>
                <w:szCs w:val="24"/>
                <w:lang w:val="fr-FR"/>
              </w:rPr>
            </w:pPr>
            <w:r w:rsidRPr="0004702D">
              <w:rPr>
                <w:rFonts w:ascii="Times New Roman" w:hAnsi="Times New Roman" w:cs="Times New Roman"/>
                <w:bCs/>
                <w:sz w:val="24"/>
                <w:szCs w:val="24"/>
                <w:lang w:val="fr-FR"/>
              </w:rPr>
              <w:t xml:space="preserve">Base de données pour les données de la cartographie, inventaire de bâtiment et recensement développée et hébergée à l’IHSI. </w:t>
            </w:r>
          </w:p>
          <w:p w:rsidR="0004702D" w:rsidRPr="0004702D" w:rsidRDefault="0004702D" w:rsidP="00AF0E0E">
            <w:pPr>
              <w:pStyle w:val="BodyText"/>
              <w:numPr>
                <w:ilvl w:val="0"/>
                <w:numId w:val="23"/>
              </w:numPr>
              <w:tabs>
                <w:tab w:val="clear" w:pos="1080"/>
                <w:tab w:val="num" w:pos="342"/>
              </w:tabs>
              <w:ind w:left="342" w:hanging="180"/>
              <w:rPr>
                <w:rFonts w:ascii="Times New Roman" w:hAnsi="Times New Roman" w:cs="Times New Roman"/>
                <w:bCs/>
                <w:sz w:val="24"/>
                <w:szCs w:val="24"/>
                <w:lang w:val="fr-FR"/>
              </w:rPr>
            </w:pPr>
            <w:r w:rsidRPr="0004702D">
              <w:rPr>
                <w:rFonts w:ascii="Times New Roman" w:hAnsi="Times New Roman" w:cs="Times New Roman"/>
                <w:bCs/>
                <w:sz w:val="24"/>
                <w:szCs w:val="24"/>
                <w:lang w:val="fr-FR"/>
              </w:rPr>
              <w:t xml:space="preserve">Les établissements de l’IHSI ont été rénovés de façon à faciliter une mise en œuvre efficace et une gestion durable des données et des équipements tout en améliorant aussi la capacité de l’Institut à effectuer d’autres activités. </w:t>
            </w:r>
          </w:p>
          <w:p w:rsidR="0004702D" w:rsidRPr="0004702D" w:rsidRDefault="0004702D" w:rsidP="00AF0E0E">
            <w:pPr>
              <w:pStyle w:val="BodyText"/>
              <w:numPr>
                <w:ilvl w:val="0"/>
                <w:numId w:val="23"/>
              </w:numPr>
              <w:tabs>
                <w:tab w:val="clear" w:pos="1080"/>
                <w:tab w:val="num" w:pos="342"/>
              </w:tabs>
              <w:ind w:left="342" w:hanging="180"/>
              <w:rPr>
                <w:rFonts w:ascii="Times New Roman" w:hAnsi="Times New Roman" w:cs="Times New Roman"/>
                <w:bCs/>
                <w:sz w:val="24"/>
                <w:szCs w:val="24"/>
                <w:lang w:val="fr-FR"/>
              </w:rPr>
            </w:pPr>
            <w:r w:rsidRPr="0004702D">
              <w:rPr>
                <w:rFonts w:ascii="Times New Roman" w:hAnsi="Times New Roman" w:cs="Times New Roman"/>
                <w:bCs/>
                <w:sz w:val="24"/>
                <w:szCs w:val="24"/>
                <w:lang w:val="fr-FR"/>
              </w:rPr>
              <w:t>Création d’un système unique liant les bases de do</w:t>
            </w:r>
            <w:r w:rsidR="009600E0">
              <w:rPr>
                <w:rFonts w:ascii="Times New Roman" w:hAnsi="Times New Roman" w:cs="Times New Roman"/>
                <w:bCs/>
                <w:sz w:val="24"/>
                <w:szCs w:val="24"/>
                <w:lang w:val="fr-FR"/>
              </w:rPr>
              <w:t xml:space="preserve">nnées cartographiques,   </w:t>
            </w:r>
            <w:r w:rsidRPr="0004702D">
              <w:rPr>
                <w:rFonts w:ascii="Times New Roman" w:hAnsi="Times New Roman" w:cs="Times New Roman"/>
                <w:bCs/>
                <w:sz w:val="24"/>
                <w:szCs w:val="24"/>
                <w:lang w:val="fr-FR"/>
              </w:rPr>
              <w:t>d’inventaire des bâtiments et du recensement des ménages en une seule base de données harmonisée</w:t>
            </w:r>
            <w:r w:rsidRPr="0004702D">
              <w:rPr>
                <w:rFonts w:ascii="Times New Roman" w:hAnsi="Times New Roman" w:cs="Times New Roman"/>
                <w:sz w:val="24"/>
                <w:szCs w:val="24"/>
                <w:lang w:val="fr-FR"/>
              </w:rPr>
              <w:t xml:space="preserve">, et intégrant </w:t>
            </w:r>
            <w:r w:rsidRPr="0004702D">
              <w:rPr>
                <w:rFonts w:ascii="Times New Roman" w:hAnsi="Times New Roman" w:cs="Times New Roman"/>
                <w:bCs/>
                <w:sz w:val="24"/>
                <w:szCs w:val="24"/>
                <w:lang w:val="fr-FR"/>
              </w:rPr>
              <w:t>les données d’autres initiatives d’énumérations participatives (quand possible).</w:t>
            </w:r>
          </w:p>
        </w:tc>
      </w:tr>
      <w:tr w:rsidR="0004702D" w:rsidRPr="00C122A6" w:rsidTr="00AF0E0E">
        <w:trPr>
          <w:trHeight w:val="1076"/>
        </w:trPr>
        <w:tc>
          <w:tcPr>
            <w:tcW w:w="4860" w:type="dxa"/>
          </w:tcPr>
          <w:p w:rsidR="0004702D" w:rsidRPr="0004702D" w:rsidRDefault="0004702D" w:rsidP="00AF0E0E">
            <w:pPr>
              <w:pStyle w:val="BodyText"/>
              <w:numPr>
                <w:ilvl w:val="0"/>
                <w:numId w:val="23"/>
              </w:numPr>
              <w:tabs>
                <w:tab w:val="clear" w:pos="1080"/>
                <w:tab w:val="num" w:pos="342"/>
              </w:tabs>
              <w:ind w:left="342" w:hanging="180"/>
              <w:rPr>
                <w:rFonts w:ascii="Times New Roman" w:hAnsi="Times New Roman" w:cs="Times New Roman"/>
                <w:bCs/>
                <w:sz w:val="24"/>
                <w:szCs w:val="24"/>
                <w:lang w:val="fr-FR"/>
              </w:rPr>
            </w:pPr>
            <w:r w:rsidRPr="0004702D">
              <w:rPr>
                <w:rFonts w:ascii="Times New Roman" w:hAnsi="Times New Roman" w:cs="Times New Roman"/>
                <w:bCs/>
                <w:sz w:val="24"/>
                <w:szCs w:val="24"/>
                <w:lang w:val="fr-FR"/>
              </w:rPr>
              <w:t xml:space="preserve">Base de données SSIS disponible </w:t>
            </w:r>
          </w:p>
          <w:p w:rsidR="0004702D" w:rsidRPr="0004702D" w:rsidRDefault="0004702D" w:rsidP="00AF0E0E">
            <w:pPr>
              <w:pStyle w:val="BodyText"/>
              <w:rPr>
                <w:rFonts w:ascii="Times New Roman" w:hAnsi="Times New Roman" w:cs="Times New Roman"/>
                <w:bCs/>
                <w:sz w:val="24"/>
                <w:szCs w:val="24"/>
                <w:lang w:val="fr-FR"/>
              </w:rPr>
            </w:pPr>
          </w:p>
        </w:tc>
        <w:tc>
          <w:tcPr>
            <w:tcW w:w="5220" w:type="dxa"/>
          </w:tcPr>
          <w:p w:rsidR="0004702D" w:rsidRPr="0004702D" w:rsidRDefault="0004702D" w:rsidP="00AF0E0E">
            <w:pPr>
              <w:pStyle w:val="BodyText"/>
              <w:numPr>
                <w:ilvl w:val="0"/>
                <w:numId w:val="23"/>
              </w:numPr>
              <w:tabs>
                <w:tab w:val="clear" w:pos="1080"/>
                <w:tab w:val="num" w:pos="342"/>
              </w:tabs>
              <w:ind w:left="342" w:hanging="180"/>
              <w:rPr>
                <w:rFonts w:ascii="Times New Roman" w:hAnsi="Times New Roman" w:cs="Times New Roman"/>
                <w:bCs/>
                <w:sz w:val="24"/>
                <w:szCs w:val="24"/>
                <w:lang w:val="fr-FR"/>
              </w:rPr>
            </w:pPr>
            <w:r w:rsidRPr="0004702D">
              <w:rPr>
                <w:rFonts w:ascii="Times New Roman" w:hAnsi="Times New Roman" w:cs="Times New Roman"/>
                <w:bCs/>
                <w:sz w:val="24"/>
                <w:szCs w:val="24"/>
                <w:lang w:val="fr-FR"/>
              </w:rPr>
              <w:t>Données disponibles et facilement intégrées dans la base de données du SILQ</w:t>
            </w:r>
            <w:r w:rsidRPr="0004702D">
              <w:rPr>
                <w:rStyle w:val="FootnoteReference"/>
                <w:rFonts w:ascii="Times New Roman" w:hAnsi="Times New Roman" w:cs="Times New Roman"/>
                <w:bCs/>
                <w:sz w:val="24"/>
                <w:szCs w:val="24"/>
                <w:lang w:val="fr-FR"/>
              </w:rPr>
              <w:footnoteReference w:id="7"/>
            </w:r>
            <w:r w:rsidRPr="0004702D">
              <w:rPr>
                <w:rFonts w:ascii="Times New Roman" w:hAnsi="Times New Roman" w:cs="Times New Roman"/>
                <w:bCs/>
                <w:sz w:val="24"/>
                <w:szCs w:val="24"/>
                <w:lang w:val="fr-FR"/>
              </w:rPr>
              <w:t xml:space="preserve">  pour partage avec les partenaires de la reconstruction. </w:t>
            </w:r>
          </w:p>
        </w:tc>
      </w:tr>
    </w:tbl>
    <w:p w:rsidR="0004702D" w:rsidRDefault="0004702D" w:rsidP="0004702D">
      <w:pPr>
        <w:pStyle w:val="BodyText"/>
        <w:ind w:left="360"/>
        <w:rPr>
          <w:b/>
          <w:bCs/>
          <w:lang w:val="fr-FR"/>
        </w:rPr>
      </w:pPr>
    </w:p>
    <w:p w:rsidR="003E2682" w:rsidRPr="00AF0E0E" w:rsidRDefault="00AF0E0E" w:rsidP="003E2682">
      <w:pPr>
        <w:pStyle w:val="BodyText"/>
        <w:jc w:val="both"/>
        <w:rPr>
          <w:rFonts w:ascii="Times New Roman" w:hAnsi="Times New Roman"/>
          <w:sz w:val="24"/>
          <w:lang w:val="fr-FR"/>
        </w:rPr>
      </w:pPr>
      <w:r w:rsidRPr="00AF0E0E">
        <w:rPr>
          <w:rFonts w:ascii="Times New Roman" w:hAnsi="Times New Roman"/>
          <w:sz w:val="24"/>
          <w:lang w:val="fr-FR"/>
        </w:rPr>
        <w:t xml:space="preserve">Les activités de la composante ont </w:t>
      </w:r>
      <w:r w:rsidR="004E021D">
        <w:rPr>
          <w:rFonts w:ascii="Times New Roman" w:hAnsi="Times New Roman"/>
          <w:sz w:val="24"/>
          <w:lang w:val="fr-FR"/>
        </w:rPr>
        <w:t>pris</w:t>
      </w:r>
      <w:r w:rsidRPr="00AF0E0E">
        <w:rPr>
          <w:rFonts w:ascii="Times New Roman" w:hAnsi="Times New Roman"/>
          <w:sz w:val="24"/>
          <w:lang w:val="fr-FR"/>
        </w:rPr>
        <w:t xml:space="preserve"> fin </w:t>
      </w:r>
      <w:r w:rsidR="004E021D">
        <w:rPr>
          <w:rFonts w:ascii="Times New Roman" w:hAnsi="Times New Roman"/>
          <w:sz w:val="24"/>
          <w:lang w:val="fr-FR"/>
        </w:rPr>
        <w:t>le 31 décembre</w:t>
      </w:r>
      <w:r w:rsidRPr="00AF0E0E">
        <w:rPr>
          <w:rFonts w:ascii="Times New Roman" w:hAnsi="Times New Roman"/>
          <w:sz w:val="24"/>
          <w:lang w:val="fr-FR"/>
        </w:rPr>
        <w:t xml:space="preserve"> 2013</w:t>
      </w:r>
      <w:r w:rsidR="00AB1189">
        <w:rPr>
          <w:rFonts w:ascii="Times New Roman" w:hAnsi="Times New Roman"/>
          <w:sz w:val="24"/>
          <w:lang w:val="fr-FR"/>
        </w:rPr>
        <w:t>.</w:t>
      </w:r>
    </w:p>
    <w:p w:rsidR="000E1B6F" w:rsidRDefault="000E1B6F" w:rsidP="003E2682">
      <w:pPr>
        <w:pStyle w:val="BodyText"/>
        <w:jc w:val="both"/>
        <w:rPr>
          <w:rFonts w:ascii="Times New Roman" w:hAnsi="Times New Roman"/>
          <w:sz w:val="24"/>
          <w:lang w:val="fr-FR"/>
        </w:rPr>
      </w:pPr>
    </w:p>
    <w:p w:rsidR="00AF0E0E" w:rsidRPr="00501027" w:rsidRDefault="00AF0E0E" w:rsidP="00AF0E0E">
      <w:pPr>
        <w:pStyle w:val="BodyText"/>
        <w:tabs>
          <w:tab w:val="left" w:pos="0"/>
        </w:tabs>
        <w:jc w:val="both"/>
        <w:rPr>
          <w:rStyle w:val="hps"/>
          <w:rFonts w:ascii="Times New Roman" w:hAnsi="Times New Roman"/>
          <w:b/>
          <w:sz w:val="24"/>
          <w:szCs w:val="24"/>
          <w:u w:val="single"/>
          <w:lang w:val="fr-FR"/>
        </w:rPr>
      </w:pPr>
      <w:r w:rsidRPr="00501027">
        <w:rPr>
          <w:rStyle w:val="hps"/>
          <w:rFonts w:ascii="Times New Roman" w:hAnsi="Times New Roman"/>
          <w:b/>
          <w:sz w:val="24"/>
          <w:szCs w:val="24"/>
          <w:u w:val="single"/>
          <w:lang w:val="fr-FR"/>
        </w:rPr>
        <w:t>Composante2</w:t>
      </w:r>
    </w:p>
    <w:p w:rsidR="00AF0E0E" w:rsidRDefault="00AF0E0E" w:rsidP="00AF0E0E">
      <w:pPr>
        <w:pStyle w:val="BodyText"/>
        <w:tabs>
          <w:tab w:val="left" w:pos="0"/>
        </w:tabs>
        <w:jc w:val="both"/>
        <w:rPr>
          <w:rStyle w:val="hps"/>
          <w:rFonts w:ascii="Times New Roman" w:hAnsi="Times New Roman"/>
          <w:sz w:val="24"/>
          <w:szCs w:val="24"/>
          <w:lang w:val="fr-FR"/>
        </w:rPr>
      </w:pPr>
    </w:p>
    <w:p w:rsidR="00901BEB" w:rsidRDefault="00901BEB" w:rsidP="00901BEB">
      <w:pPr>
        <w:pStyle w:val="BodyText"/>
        <w:tabs>
          <w:tab w:val="left" w:pos="0"/>
        </w:tabs>
        <w:jc w:val="both"/>
        <w:rPr>
          <w:rFonts w:ascii="Times New Roman" w:hAnsi="Times New Roman" w:cs="Times New Roman"/>
          <w:sz w:val="24"/>
          <w:szCs w:val="24"/>
          <w:lang w:val="fr-FR"/>
        </w:rPr>
      </w:pPr>
      <w:r>
        <w:rPr>
          <w:rFonts w:ascii="Times New Roman" w:hAnsi="Times New Roman" w:cs="Times New Roman"/>
          <w:sz w:val="24"/>
          <w:szCs w:val="24"/>
          <w:lang w:val="fr-FR"/>
        </w:rPr>
        <w:t>L</w:t>
      </w:r>
      <w:r w:rsidRPr="00671E6B">
        <w:rPr>
          <w:rFonts w:ascii="Times New Roman" w:hAnsi="Times New Roman" w:cs="Times New Roman"/>
          <w:sz w:val="24"/>
          <w:szCs w:val="24"/>
          <w:lang w:val="fr-FR"/>
        </w:rPr>
        <w:t>e</w:t>
      </w:r>
      <w:r>
        <w:rPr>
          <w:rFonts w:ascii="Times New Roman" w:hAnsi="Times New Roman" w:cs="Times New Roman"/>
          <w:sz w:val="24"/>
          <w:szCs w:val="24"/>
          <w:lang w:val="fr-FR"/>
        </w:rPr>
        <w:t xml:space="preserve">s changements institutionnels, particulièrement au sein de l’UCLBP, qui devient progressivement l’organisme public en charge du secteur du logement et de l’habitat, a rendu nécessaire la révision du </w:t>
      </w:r>
      <w:r w:rsidRPr="00671E6B">
        <w:rPr>
          <w:rFonts w:ascii="Times New Roman" w:hAnsi="Times New Roman" w:cs="Times New Roman"/>
          <w:sz w:val="24"/>
          <w:szCs w:val="24"/>
          <w:lang w:val="fr-FR"/>
        </w:rPr>
        <w:t xml:space="preserve"> fonctionnement de la composante et les attributions du CNIGS</w:t>
      </w:r>
      <w:r>
        <w:rPr>
          <w:rFonts w:ascii="Times New Roman" w:hAnsi="Times New Roman" w:cs="Times New Roman"/>
          <w:sz w:val="24"/>
          <w:szCs w:val="24"/>
          <w:lang w:val="fr-FR"/>
        </w:rPr>
        <w:t xml:space="preserve">. L’objectif est de faciliter l’articulation entre les deux institutions afin que UCLBP puisse utiliser le SILQ comme l’outil </w:t>
      </w:r>
      <w:r w:rsidR="00501027">
        <w:rPr>
          <w:rFonts w:ascii="Times New Roman" w:hAnsi="Times New Roman" w:cs="Times New Roman"/>
          <w:sz w:val="24"/>
          <w:szCs w:val="24"/>
          <w:lang w:val="fr-FR"/>
        </w:rPr>
        <w:t>privilégié</w:t>
      </w:r>
      <w:r>
        <w:rPr>
          <w:rFonts w:ascii="Times New Roman" w:hAnsi="Times New Roman" w:cs="Times New Roman"/>
          <w:sz w:val="24"/>
          <w:szCs w:val="24"/>
          <w:lang w:val="fr-FR"/>
        </w:rPr>
        <w:t xml:space="preserve"> dans le suivi et </w:t>
      </w:r>
      <w:r>
        <w:rPr>
          <w:rFonts w:ascii="Times New Roman" w:hAnsi="Times New Roman" w:cs="Times New Roman"/>
          <w:sz w:val="24"/>
          <w:szCs w:val="24"/>
          <w:lang w:val="fr-FR"/>
        </w:rPr>
        <w:lastRenderedPageBreak/>
        <w:t xml:space="preserve">l’évaluation de ses interventions et, </w:t>
      </w:r>
      <w:r w:rsidR="00501027">
        <w:rPr>
          <w:rFonts w:ascii="Times New Roman" w:hAnsi="Times New Roman" w:cs="Times New Roman"/>
          <w:sz w:val="24"/>
          <w:szCs w:val="24"/>
          <w:lang w:val="fr-FR"/>
        </w:rPr>
        <w:t>à</w:t>
      </w:r>
      <w:r>
        <w:rPr>
          <w:rFonts w:ascii="Times New Roman" w:hAnsi="Times New Roman" w:cs="Times New Roman"/>
          <w:sz w:val="24"/>
          <w:szCs w:val="24"/>
          <w:lang w:val="fr-FR"/>
        </w:rPr>
        <w:t xml:space="preserve"> terme, de la mise en œuvre de la Politique National du Logement et de l’Habitat tout en </w:t>
      </w:r>
      <w:r w:rsidR="00501027">
        <w:rPr>
          <w:rFonts w:ascii="Times New Roman" w:hAnsi="Times New Roman" w:cs="Times New Roman"/>
          <w:sz w:val="24"/>
          <w:szCs w:val="24"/>
          <w:lang w:val="fr-FR"/>
        </w:rPr>
        <w:t>assurant le portage technique du système par le CNIGS.</w:t>
      </w:r>
    </w:p>
    <w:p w:rsidR="00901BEB" w:rsidRDefault="00901BEB" w:rsidP="00901BEB">
      <w:pPr>
        <w:pStyle w:val="BodyText"/>
        <w:tabs>
          <w:tab w:val="left" w:pos="0"/>
        </w:tabs>
        <w:jc w:val="both"/>
        <w:rPr>
          <w:rFonts w:ascii="Times New Roman" w:hAnsi="Times New Roman" w:cs="Times New Roman"/>
          <w:sz w:val="24"/>
          <w:szCs w:val="24"/>
          <w:lang w:val="fr-FR"/>
        </w:rPr>
      </w:pPr>
    </w:p>
    <w:p w:rsidR="00901BEB" w:rsidRDefault="00901BEB" w:rsidP="00901BEB">
      <w:pPr>
        <w:pStyle w:val="BodyText"/>
        <w:tabs>
          <w:tab w:val="left" w:pos="0"/>
        </w:tabs>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Cet exercice, </w:t>
      </w:r>
      <w:r w:rsidR="00501027">
        <w:rPr>
          <w:rFonts w:ascii="Times New Roman" w:hAnsi="Times New Roman" w:cs="Times New Roman"/>
          <w:sz w:val="24"/>
          <w:szCs w:val="24"/>
          <w:lang w:val="fr-FR"/>
        </w:rPr>
        <w:t xml:space="preserve">recommandé </w:t>
      </w:r>
      <w:r>
        <w:rPr>
          <w:rFonts w:ascii="Times New Roman" w:hAnsi="Times New Roman" w:cs="Times New Roman"/>
          <w:sz w:val="24"/>
          <w:szCs w:val="24"/>
          <w:lang w:val="fr-FR"/>
        </w:rPr>
        <w:t>également sur la base par la mission d’évaluation annuelle indépendante</w:t>
      </w:r>
      <w:r w:rsidR="00501027">
        <w:rPr>
          <w:rFonts w:ascii="Times New Roman" w:hAnsi="Times New Roman" w:cs="Times New Roman"/>
          <w:sz w:val="24"/>
          <w:szCs w:val="24"/>
          <w:lang w:val="fr-FR"/>
        </w:rPr>
        <w:t xml:space="preserve"> du Programme conduite en 2012, à aboutie avec l’amendement de l’accord de coopération entre ONU-Habitat et le CNIGS. Ces modifications n’ont pas un impact sur la programmation générale du Programme.</w:t>
      </w:r>
    </w:p>
    <w:p w:rsidR="00AF0E0E" w:rsidRPr="00AF0E0E" w:rsidRDefault="00AF0E0E" w:rsidP="00AF0E0E">
      <w:pPr>
        <w:pStyle w:val="BodyText"/>
        <w:tabs>
          <w:tab w:val="left" w:pos="0"/>
        </w:tabs>
        <w:jc w:val="both"/>
        <w:rPr>
          <w:rStyle w:val="hps"/>
          <w:rFonts w:ascii="Times New Roman" w:hAnsi="Times New Roman"/>
          <w:sz w:val="24"/>
          <w:szCs w:val="24"/>
          <w:lang w:val="fr-FR"/>
        </w:rPr>
      </w:pPr>
    </w:p>
    <w:p w:rsidR="00C77D8F" w:rsidRPr="00AF0E0E" w:rsidRDefault="00C77D8F" w:rsidP="00AF0E0E">
      <w:pPr>
        <w:pStyle w:val="BodyText"/>
        <w:tabs>
          <w:tab w:val="left" w:pos="0"/>
        </w:tabs>
        <w:jc w:val="both"/>
        <w:rPr>
          <w:rFonts w:ascii="Times New Roman" w:hAnsi="Times New Roman" w:cs="Times New Roman"/>
          <w:bCs/>
          <w:sz w:val="24"/>
          <w:szCs w:val="24"/>
          <w:u w:val="single"/>
          <w:lang w:val="fr-FR"/>
        </w:rPr>
      </w:pPr>
      <w:r w:rsidRPr="00AF0E0E">
        <w:rPr>
          <w:rStyle w:val="hps"/>
          <w:rFonts w:ascii="Times New Roman" w:hAnsi="Times New Roman"/>
          <w:b/>
          <w:sz w:val="24"/>
          <w:szCs w:val="24"/>
          <w:u w:val="single"/>
          <w:lang w:val="fr-FR"/>
        </w:rPr>
        <w:t>Composante 3</w:t>
      </w:r>
    </w:p>
    <w:p w:rsidR="00C77D8F" w:rsidRDefault="00C77D8F" w:rsidP="00AF0E0E">
      <w:pPr>
        <w:pStyle w:val="BodyText"/>
        <w:tabs>
          <w:tab w:val="left" w:pos="0"/>
        </w:tabs>
        <w:rPr>
          <w:rFonts w:ascii="Times New Roman" w:hAnsi="Times New Roman" w:cs="Times New Roman"/>
          <w:sz w:val="24"/>
          <w:szCs w:val="24"/>
          <w:lang w:val="fr-FR"/>
        </w:rPr>
      </w:pPr>
    </w:p>
    <w:p w:rsidR="00C77D8F" w:rsidRPr="0001398E" w:rsidRDefault="00C77D8F" w:rsidP="00AF0E0E">
      <w:pPr>
        <w:tabs>
          <w:tab w:val="left" w:pos="0"/>
        </w:tabs>
        <w:jc w:val="both"/>
        <w:rPr>
          <w:lang w:val="fr-FR"/>
        </w:rPr>
      </w:pPr>
      <w:r w:rsidRPr="00C77D8F">
        <w:rPr>
          <w:lang w:val="fr-FR"/>
        </w:rPr>
        <w:t>En raison de difficulté d’obtention d’espace public de construction dans les quartiers pour le placement des Centres de Ressources Communautaires, la majorité des structures communautaires ont été placés aux proximités des locaux</w:t>
      </w:r>
      <w:r w:rsidR="00AB1189">
        <w:rPr>
          <w:lang w:val="fr-FR"/>
        </w:rPr>
        <w:t xml:space="preserve"> municipaux. En lieu et place du douzième</w:t>
      </w:r>
      <w:r w:rsidRPr="00C77D8F">
        <w:rPr>
          <w:lang w:val="fr-FR"/>
        </w:rPr>
        <w:t xml:space="preserve"> CRC, le Comité de Pilotage a </w:t>
      </w:r>
      <w:r w:rsidR="00AF0E0E">
        <w:rPr>
          <w:lang w:val="fr-FR"/>
        </w:rPr>
        <w:t>validé la proposition d</w:t>
      </w:r>
      <w:r w:rsidRPr="00C77D8F">
        <w:rPr>
          <w:lang w:val="fr-FR"/>
        </w:rPr>
        <w:t>’octroi du dernier local préfabriqué a la Commune de Port-au-Prince en manque d’espace bureaux.</w:t>
      </w:r>
    </w:p>
    <w:p w:rsidR="00AF0E0E" w:rsidRDefault="00AF0E0E" w:rsidP="00AF0E0E">
      <w:pPr>
        <w:pStyle w:val="BodyText"/>
        <w:tabs>
          <w:tab w:val="left" w:pos="0"/>
        </w:tabs>
        <w:jc w:val="both"/>
        <w:rPr>
          <w:rFonts w:ascii="Times New Roman" w:hAnsi="Times New Roman"/>
          <w:sz w:val="24"/>
          <w:lang w:val="fr-FR"/>
        </w:rPr>
      </w:pPr>
    </w:p>
    <w:p w:rsidR="002C013C" w:rsidRPr="00AF0E0E" w:rsidRDefault="002C013C" w:rsidP="00AF0E0E">
      <w:pPr>
        <w:pStyle w:val="BodyText"/>
        <w:tabs>
          <w:tab w:val="left" w:pos="0"/>
        </w:tabs>
        <w:rPr>
          <w:rFonts w:ascii="Times New Roman" w:hAnsi="Times New Roman" w:cs="Times New Roman"/>
          <w:b/>
          <w:bCs/>
          <w:sz w:val="24"/>
          <w:szCs w:val="24"/>
          <w:u w:val="single"/>
          <w:lang w:val="fr-FR"/>
        </w:rPr>
      </w:pPr>
      <w:r w:rsidRPr="00AF0E0E">
        <w:rPr>
          <w:rFonts w:ascii="Times New Roman" w:hAnsi="Times New Roman" w:cs="Times New Roman"/>
          <w:b/>
          <w:bCs/>
          <w:sz w:val="24"/>
          <w:szCs w:val="24"/>
          <w:u w:val="single"/>
          <w:lang w:val="fr-FR"/>
        </w:rPr>
        <w:t>Composante 4</w:t>
      </w:r>
    </w:p>
    <w:p w:rsidR="002C013C" w:rsidRDefault="002C013C" w:rsidP="00AF0E0E">
      <w:pPr>
        <w:pStyle w:val="BodyText"/>
        <w:tabs>
          <w:tab w:val="left" w:pos="0"/>
        </w:tabs>
        <w:rPr>
          <w:rFonts w:ascii="Times New Roman" w:hAnsi="Times New Roman" w:cs="Times New Roman"/>
          <w:b/>
          <w:bCs/>
          <w:sz w:val="24"/>
          <w:szCs w:val="24"/>
          <w:lang w:val="fr-FR"/>
        </w:rPr>
      </w:pPr>
    </w:p>
    <w:p w:rsidR="002C013C" w:rsidRPr="003D382A" w:rsidRDefault="002C013C" w:rsidP="00AF0E0E">
      <w:pPr>
        <w:pStyle w:val="BodyText"/>
        <w:tabs>
          <w:tab w:val="left" w:pos="0"/>
        </w:tabs>
        <w:jc w:val="both"/>
        <w:rPr>
          <w:rFonts w:ascii="Times New Roman" w:hAnsi="Times New Roman" w:cs="Times New Roman"/>
          <w:bCs/>
          <w:sz w:val="24"/>
          <w:szCs w:val="24"/>
          <w:lang w:val="fr-FR"/>
        </w:rPr>
      </w:pPr>
      <w:r w:rsidRPr="003D382A">
        <w:rPr>
          <w:rFonts w:ascii="Times New Roman" w:hAnsi="Times New Roman" w:cs="Times New Roman"/>
          <w:bCs/>
          <w:sz w:val="24"/>
          <w:szCs w:val="24"/>
          <w:lang w:val="fr-FR"/>
        </w:rPr>
        <w:t>Compte tenu des retards</w:t>
      </w:r>
      <w:r>
        <w:rPr>
          <w:rFonts w:ascii="Times New Roman" w:hAnsi="Times New Roman" w:cs="Times New Roman"/>
          <w:bCs/>
          <w:sz w:val="24"/>
          <w:szCs w:val="24"/>
          <w:lang w:val="fr-FR"/>
        </w:rPr>
        <w:t xml:space="preserve"> observés, il serait souhaitable de prolonger la durée du projet, sans coûts supplémentaires, jusqu’au 31 décembre 2014.</w:t>
      </w:r>
    </w:p>
    <w:p w:rsidR="002C013C" w:rsidRDefault="002C013C" w:rsidP="003E2682">
      <w:pPr>
        <w:pStyle w:val="BodyText"/>
        <w:jc w:val="both"/>
        <w:rPr>
          <w:rFonts w:ascii="Times New Roman" w:hAnsi="Times New Roman"/>
          <w:sz w:val="24"/>
          <w:lang w:val="fr-FR"/>
        </w:rPr>
      </w:pPr>
    </w:p>
    <w:p w:rsidR="00C77D8F" w:rsidRPr="00E3532D" w:rsidRDefault="00C77D8F" w:rsidP="003E2682">
      <w:pPr>
        <w:pStyle w:val="BodyText"/>
        <w:jc w:val="both"/>
        <w:rPr>
          <w:rFonts w:ascii="Times New Roman" w:hAnsi="Times New Roman"/>
          <w:sz w:val="24"/>
          <w:lang w:val="fr-FR"/>
        </w:rPr>
      </w:pPr>
    </w:p>
    <w:p w:rsidR="003E2682" w:rsidRDefault="003E2682" w:rsidP="003E2682">
      <w:pPr>
        <w:pStyle w:val="BodyText"/>
        <w:rPr>
          <w:rFonts w:ascii="Times New Roman" w:hAnsi="Times New Roman"/>
          <w:b/>
          <w:sz w:val="24"/>
          <w:lang w:val="fr-FR"/>
        </w:rPr>
      </w:pPr>
      <w:r w:rsidRPr="00E3532D">
        <w:rPr>
          <w:rFonts w:ascii="Times New Roman" w:hAnsi="Times New Roman"/>
          <w:b/>
          <w:sz w:val="24"/>
          <w:lang w:val="fr-FR"/>
        </w:rPr>
        <w:t xml:space="preserve">V. </w:t>
      </w:r>
      <w:r w:rsidRPr="00E3532D">
        <w:rPr>
          <w:rFonts w:ascii="Times New Roman" w:hAnsi="Times New Roman"/>
          <w:b/>
          <w:sz w:val="24"/>
          <w:lang w:val="fr-FR"/>
        </w:rPr>
        <w:tab/>
        <w:t>Res</w:t>
      </w:r>
      <w:r>
        <w:rPr>
          <w:rFonts w:ascii="Times New Roman" w:hAnsi="Times New Roman"/>
          <w:b/>
          <w:sz w:val="24"/>
          <w:lang w:val="fr-FR"/>
        </w:rPr>
        <w:t>sources (Optionne</w:t>
      </w:r>
      <w:r w:rsidRPr="00E3532D">
        <w:rPr>
          <w:rFonts w:ascii="Times New Roman" w:hAnsi="Times New Roman"/>
          <w:b/>
          <w:sz w:val="24"/>
          <w:lang w:val="fr-FR"/>
        </w:rPr>
        <w:t>l)</w:t>
      </w:r>
    </w:p>
    <w:p w:rsidR="003E2682" w:rsidRDefault="003E2682" w:rsidP="003E2682">
      <w:pPr>
        <w:pStyle w:val="BodyText"/>
        <w:ind w:firstLine="360"/>
        <w:rPr>
          <w:rFonts w:ascii="Times New Roman" w:hAnsi="Times New Roman"/>
          <w:sz w:val="24"/>
          <w:lang w:val="fr-FR"/>
        </w:rPr>
      </w:pPr>
    </w:p>
    <w:p w:rsidR="003504E1" w:rsidRPr="00AF0E0E" w:rsidRDefault="003504E1" w:rsidP="00EA455F">
      <w:pPr>
        <w:pStyle w:val="BodyText2"/>
        <w:tabs>
          <w:tab w:val="left" w:pos="270"/>
        </w:tabs>
        <w:rPr>
          <w:rFonts w:ascii="Times New Roman" w:hAnsi="Times New Roman" w:cs="Times New Roman"/>
          <w:b/>
          <w:sz w:val="24"/>
          <w:szCs w:val="24"/>
          <w:u w:val="single"/>
          <w:lang w:val="fr-FR"/>
        </w:rPr>
      </w:pPr>
      <w:r w:rsidRPr="00AF0E0E">
        <w:rPr>
          <w:rFonts w:ascii="Times New Roman" w:hAnsi="Times New Roman" w:cs="Times New Roman"/>
          <w:b/>
          <w:sz w:val="24"/>
          <w:szCs w:val="24"/>
          <w:u w:val="single"/>
          <w:lang w:val="fr-FR"/>
        </w:rPr>
        <w:t>Composante 1</w:t>
      </w:r>
    </w:p>
    <w:p w:rsidR="003504E1" w:rsidRPr="003504E1" w:rsidRDefault="003504E1" w:rsidP="00EA455F">
      <w:pPr>
        <w:pStyle w:val="BodyText2"/>
        <w:tabs>
          <w:tab w:val="left" w:pos="270"/>
        </w:tabs>
        <w:rPr>
          <w:rFonts w:ascii="Times New Roman" w:hAnsi="Times New Roman" w:cs="Times New Roman"/>
          <w:b/>
          <w:sz w:val="24"/>
          <w:szCs w:val="24"/>
          <w:lang w:val="fr-FR"/>
        </w:rPr>
      </w:pPr>
    </w:p>
    <w:p w:rsidR="003504E1" w:rsidRPr="003504E1" w:rsidRDefault="003504E1" w:rsidP="00EA455F">
      <w:pPr>
        <w:pStyle w:val="BodyText"/>
        <w:tabs>
          <w:tab w:val="left" w:pos="270"/>
        </w:tabs>
        <w:jc w:val="both"/>
        <w:rPr>
          <w:rFonts w:ascii="Times New Roman" w:hAnsi="Times New Roman" w:cs="Times New Roman"/>
          <w:sz w:val="24"/>
          <w:szCs w:val="24"/>
          <w:lang w:val="fr-FR"/>
        </w:rPr>
      </w:pPr>
      <w:r w:rsidRPr="003504E1">
        <w:rPr>
          <w:rFonts w:ascii="Times New Roman" w:hAnsi="Times New Roman" w:cs="Times New Roman"/>
          <w:b/>
          <w:sz w:val="24"/>
          <w:szCs w:val="24"/>
          <w:lang w:val="fr-FR"/>
        </w:rPr>
        <w:t xml:space="preserve">Gestion Financière: </w:t>
      </w:r>
      <w:r w:rsidRPr="003504E1">
        <w:rPr>
          <w:rFonts w:ascii="Times New Roman" w:hAnsi="Times New Roman" w:cs="Times New Roman"/>
          <w:sz w:val="24"/>
          <w:szCs w:val="24"/>
          <w:lang w:val="fr-FR"/>
        </w:rPr>
        <w:t>L’équipe du projet a fourni un support technique à l’IHSI en vue du développement du budget qui a été placé sous la gestion directe de l’IHSI</w:t>
      </w:r>
      <w:r w:rsidR="009600E0">
        <w:rPr>
          <w:rFonts w:ascii="Times New Roman" w:hAnsi="Times New Roman" w:cs="Times New Roman"/>
          <w:sz w:val="24"/>
          <w:szCs w:val="24"/>
          <w:lang w:val="fr-FR"/>
        </w:rPr>
        <w:t xml:space="preserve"> ; les </w:t>
      </w:r>
      <w:r w:rsidRPr="003504E1">
        <w:rPr>
          <w:rFonts w:ascii="Times New Roman" w:hAnsi="Times New Roman" w:cs="Times New Roman"/>
          <w:sz w:val="24"/>
          <w:szCs w:val="24"/>
          <w:lang w:val="fr-FR"/>
        </w:rPr>
        <w:t>équipements</w:t>
      </w:r>
      <w:r w:rsidR="004924A5">
        <w:rPr>
          <w:rFonts w:ascii="Times New Roman" w:hAnsi="Times New Roman" w:cs="Times New Roman"/>
          <w:sz w:val="24"/>
          <w:szCs w:val="24"/>
          <w:lang w:val="fr-FR"/>
        </w:rPr>
        <w:t>, ressources humaines, mécanismes de</w:t>
      </w:r>
      <w:r w:rsidRPr="003504E1">
        <w:rPr>
          <w:rFonts w:ascii="Times New Roman" w:hAnsi="Times New Roman" w:cs="Times New Roman"/>
          <w:sz w:val="24"/>
          <w:szCs w:val="24"/>
          <w:lang w:val="fr-FR"/>
        </w:rPr>
        <w:t xml:space="preserve"> renforcement des capacités, et autres coûts opérationnels liés au projet</w:t>
      </w:r>
      <w:r w:rsidR="004924A5">
        <w:rPr>
          <w:rFonts w:ascii="Times New Roman" w:hAnsi="Times New Roman" w:cs="Times New Roman"/>
          <w:sz w:val="24"/>
          <w:szCs w:val="24"/>
          <w:lang w:val="fr-FR"/>
        </w:rPr>
        <w:t xml:space="preserve"> ont été défini</w:t>
      </w:r>
      <w:r w:rsidR="00481613">
        <w:rPr>
          <w:rFonts w:ascii="Times New Roman" w:hAnsi="Times New Roman" w:cs="Times New Roman"/>
          <w:sz w:val="24"/>
          <w:szCs w:val="24"/>
          <w:lang w:val="fr-FR"/>
        </w:rPr>
        <w:t>s</w:t>
      </w:r>
      <w:r w:rsidR="004924A5">
        <w:rPr>
          <w:rFonts w:ascii="Times New Roman" w:hAnsi="Times New Roman" w:cs="Times New Roman"/>
          <w:sz w:val="24"/>
          <w:szCs w:val="24"/>
          <w:lang w:val="fr-FR"/>
        </w:rPr>
        <w:t xml:space="preserve"> par l’IHSI</w:t>
      </w:r>
      <w:r w:rsidRPr="003504E1">
        <w:rPr>
          <w:rFonts w:ascii="Times New Roman" w:hAnsi="Times New Roman" w:cs="Times New Roman"/>
          <w:sz w:val="24"/>
          <w:szCs w:val="24"/>
          <w:lang w:val="fr-FR"/>
        </w:rPr>
        <w:t>.</w:t>
      </w:r>
      <w:r w:rsidR="009600E0">
        <w:rPr>
          <w:rFonts w:ascii="Times New Roman" w:hAnsi="Times New Roman" w:cs="Times New Roman"/>
          <w:sz w:val="24"/>
          <w:szCs w:val="24"/>
          <w:lang w:val="fr-FR"/>
        </w:rPr>
        <w:t xml:space="preserve"> L’IHSI a effectué sur 2013</w:t>
      </w:r>
      <w:r w:rsidRPr="003504E1">
        <w:rPr>
          <w:rFonts w:ascii="Times New Roman" w:hAnsi="Times New Roman" w:cs="Times New Roman"/>
          <w:sz w:val="24"/>
          <w:szCs w:val="24"/>
          <w:lang w:val="fr-FR"/>
        </w:rPr>
        <w:t xml:space="preserve"> des dépenses conformes au budget convenu. De plus, OIM a </w:t>
      </w:r>
      <w:r w:rsidR="004924A5">
        <w:rPr>
          <w:rFonts w:ascii="Times New Roman" w:hAnsi="Times New Roman" w:cs="Times New Roman"/>
          <w:sz w:val="24"/>
          <w:szCs w:val="24"/>
          <w:lang w:val="fr-FR"/>
        </w:rPr>
        <w:t xml:space="preserve">continué à </w:t>
      </w:r>
      <w:r w:rsidRPr="003504E1">
        <w:rPr>
          <w:rFonts w:ascii="Times New Roman" w:hAnsi="Times New Roman" w:cs="Times New Roman"/>
          <w:sz w:val="24"/>
          <w:szCs w:val="24"/>
          <w:lang w:val="fr-FR"/>
        </w:rPr>
        <w:t>fourni</w:t>
      </w:r>
      <w:r w:rsidR="004924A5">
        <w:rPr>
          <w:rFonts w:ascii="Times New Roman" w:hAnsi="Times New Roman" w:cs="Times New Roman"/>
          <w:sz w:val="24"/>
          <w:szCs w:val="24"/>
          <w:lang w:val="fr-FR"/>
        </w:rPr>
        <w:t>r un appui administratif</w:t>
      </w:r>
      <w:r w:rsidRPr="003504E1">
        <w:rPr>
          <w:rFonts w:ascii="Times New Roman" w:hAnsi="Times New Roman" w:cs="Times New Roman"/>
          <w:sz w:val="24"/>
          <w:szCs w:val="24"/>
          <w:lang w:val="fr-FR"/>
        </w:rPr>
        <w:t xml:space="preserve"> pour garantir </w:t>
      </w:r>
      <w:r w:rsidR="004924A5">
        <w:rPr>
          <w:rFonts w:ascii="Times New Roman" w:hAnsi="Times New Roman" w:cs="Times New Roman"/>
          <w:sz w:val="24"/>
          <w:szCs w:val="24"/>
          <w:lang w:val="fr-FR"/>
        </w:rPr>
        <w:t>la soumission conforme et en temps opportuns des</w:t>
      </w:r>
      <w:r w:rsidRPr="003504E1">
        <w:rPr>
          <w:rFonts w:ascii="Times New Roman" w:hAnsi="Times New Roman" w:cs="Times New Roman"/>
          <w:sz w:val="24"/>
          <w:szCs w:val="24"/>
          <w:lang w:val="fr-FR"/>
        </w:rPr>
        <w:t xml:space="preserve"> reçus et autres documents financiers soumis à OIM pour consolidation</w:t>
      </w:r>
      <w:r w:rsidR="004924A5">
        <w:rPr>
          <w:rFonts w:ascii="Times New Roman" w:hAnsi="Times New Roman" w:cs="Times New Roman"/>
          <w:sz w:val="24"/>
          <w:szCs w:val="24"/>
          <w:lang w:val="fr-FR"/>
        </w:rPr>
        <w:t xml:space="preserve"> financière</w:t>
      </w:r>
      <w:r w:rsidRPr="003504E1">
        <w:rPr>
          <w:rFonts w:ascii="Times New Roman" w:hAnsi="Times New Roman" w:cs="Times New Roman"/>
          <w:sz w:val="24"/>
          <w:szCs w:val="24"/>
          <w:lang w:val="fr-FR"/>
        </w:rPr>
        <w:t xml:space="preserve"> et suivi du budget général du projet.  </w:t>
      </w:r>
    </w:p>
    <w:p w:rsidR="003504E1" w:rsidRPr="003504E1" w:rsidRDefault="003504E1" w:rsidP="00EA455F">
      <w:pPr>
        <w:pStyle w:val="BodyText"/>
        <w:tabs>
          <w:tab w:val="left" w:pos="270"/>
        </w:tabs>
        <w:jc w:val="both"/>
        <w:rPr>
          <w:rFonts w:ascii="Times New Roman" w:hAnsi="Times New Roman" w:cs="Times New Roman"/>
          <w:b/>
          <w:sz w:val="24"/>
          <w:szCs w:val="24"/>
          <w:lang w:val="fr-FR"/>
        </w:rPr>
      </w:pPr>
    </w:p>
    <w:p w:rsidR="004924A5" w:rsidRDefault="003504E1" w:rsidP="00EA455F">
      <w:pPr>
        <w:pStyle w:val="BodyText"/>
        <w:tabs>
          <w:tab w:val="left" w:pos="270"/>
        </w:tabs>
        <w:jc w:val="both"/>
        <w:rPr>
          <w:rFonts w:ascii="Times New Roman" w:hAnsi="Times New Roman" w:cs="Times New Roman"/>
          <w:sz w:val="24"/>
          <w:szCs w:val="24"/>
          <w:lang w:val="fr-FR"/>
        </w:rPr>
      </w:pPr>
      <w:r w:rsidRPr="003504E1">
        <w:rPr>
          <w:rFonts w:ascii="Times New Roman" w:hAnsi="Times New Roman" w:cs="Times New Roman"/>
          <w:b/>
          <w:sz w:val="24"/>
          <w:szCs w:val="24"/>
          <w:lang w:val="fr-FR"/>
        </w:rPr>
        <w:t xml:space="preserve">Autres ressources : </w:t>
      </w:r>
      <w:r w:rsidR="004924A5">
        <w:rPr>
          <w:rFonts w:ascii="Times New Roman" w:hAnsi="Times New Roman" w:cs="Times New Roman"/>
          <w:sz w:val="24"/>
          <w:szCs w:val="24"/>
          <w:lang w:val="fr-FR"/>
        </w:rPr>
        <w:t>Les ressources de l’</w:t>
      </w:r>
      <w:r w:rsidRPr="003504E1">
        <w:rPr>
          <w:rFonts w:ascii="Times New Roman" w:hAnsi="Times New Roman" w:cs="Times New Roman"/>
          <w:sz w:val="24"/>
          <w:szCs w:val="24"/>
          <w:lang w:val="fr-FR"/>
        </w:rPr>
        <w:t>OIM établies à travers différents projets</w:t>
      </w:r>
      <w:r w:rsidR="004924A5">
        <w:rPr>
          <w:rFonts w:ascii="Times New Roman" w:hAnsi="Times New Roman" w:cs="Times New Roman"/>
          <w:sz w:val="24"/>
          <w:szCs w:val="24"/>
          <w:lang w:val="fr-FR"/>
        </w:rPr>
        <w:t xml:space="preserve"> ont été utilisées de façon continue pour le bénéfice de cette composante. Par exemple :</w:t>
      </w:r>
    </w:p>
    <w:p w:rsidR="00EA455F" w:rsidRDefault="00EA455F" w:rsidP="00EA455F">
      <w:pPr>
        <w:pStyle w:val="BodyText"/>
        <w:tabs>
          <w:tab w:val="left" w:pos="270"/>
        </w:tabs>
        <w:jc w:val="both"/>
        <w:rPr>
          <w:rFonts w:ascii="Times New Roman" w:hAnsi="Times New Roman" w:cs="Times New Roman"/>
          <w:sz w:val="24"/>
          <w:szCs w:val="24"/>
          <w:lang w:val="fr-FR"/>
        </w:rPr>
      </w:pPr>
    </w:p>
    <w:p w:rsidR="004924A5" w:rsidRDefault="004924A5" w:rsidP="004924A5">
      <w:pPr>
        <w:pStyle w:val="BodyText"/>
        <w:numPr>
          <w:ilvl w:val="0"/>
          <w:numId w:val="44"/>
        </w:numPr>
        <w:tabs>
          <w:tab w:val="left" w:pos="270"/>
        </w:tabs>
        <w:jc w:val="both"/>
        <w:rPr>
          <w:rFonts w:ascii="Times New Roman" w:hAnsi="Times New Roman" w:cs="Times New Roman"/>
          <w:sz w:val="24"/>
          <w:szCs w:val="24"/>
          <w:lang w:val="fr-FR"/>
        </w:rPr>
      </w:pPr>
      <w:r>
        <w:rPr>
          <w:rFonts w:ascii="Times New Roman" w:hAnsi="Times New Roman" w:cs="Times New Roman"/>
          <w:sz w:val="24"/>
          <w:szCs w:val="24"/>
          <w:lang w:val="fr-FR"/>
        </w:rPr>
        <w:t>L</w:t>
      </w:r>
      <w:r w:rsidR="003504E1" w:rsidRPr="003504E1">
        <w:rPr>
          <w:rFonts w:ascii="Times New Roman" w:hAnsi="Times New Roman" w:cs="Times New Roman"/>
          <w:sz w:val="24"/>
          <w:szCs w:val="24"/>
          <w:lang w:val="fr-FR"/>
        </w:rPr>
        <w:t xml:space="preserve">a base de données utilisée pour accueillir les données du recensement est hébergée dans un server </w:t>
      </w:r>
      <w:r>
        <w:rPr>
          <w:rFonts w:ascii="Times New Roman" w:hAnsi="Times New Roman" w:cs="Times New Roman"/>
          <w:sz w:val="24"/>
          <w:szCs w:val="24"/>
          <w:lang w:val="fr-FR"/>
        </w:rPr>
        <w:t>OIM, sans qu’aucun frai imputé au budget ;</w:t>
      </w:r>
    </w:p>
    <w:p w:rsidR="004924A5" w:rsidRDefault="004924A5" w:rsidP="004924A5">
      <w:pPr>
        <w:pStyle w:val="BodyText"/>
        <w:numPr>
          <w:ilvl w:val="0"/>
          <w:numId w:val="44"/>
        </w:numPr>
        <w:tabs>
          <w:tab w:val="left" w:pos="270"/>
        </w:tabs>
        <w:jc w:val="both"/>
        <w:rPr>
          <w:rFonts w:ascii="Times New Roman" w:hAnsi="Times New Roman" w:cs="Times New Roman"/>
          <w:sz w:val="24"/>
          <w:szCs w:val="24"/>
          <w:lang w:val="fr-FR"/>
        </w:rPr>
      </w:pPr>
      <w:r>
        <w:rPr>
          <w:rFonts w:ascii="Times New Roman" w:hAnsi="Times New Roman" w:cs="Times New Roman"/>
          <w:sz w:val="24"/>
          <w:szCs w:val="24"/>
          <w:lang w:val="fr-FR"/>
        </w:rPr>
        <w:t>L</w:t>
      </w:r>
      <w:r w:rsidR="003504E1" w:rsidRPr="003504E1">
        <w:rPr>
          <w:rFonts w:ascii="Times New Roman" w:hAnsi="Times New Roman" w:cs="Times New Roman"/>
          <w:sz w:val="24"/>
          <w:szCs w:val="24"/>
          <w:lang w:val="fr-FR"/>
        </w:rPr>
        <w:t xml:space="preserve">es véhicules achetés pour cette initiative </w:t>
      </w:r>
      <w:r>
        <w:rPr>
          <w:rFonts w:ascii="Times New Roman" w:hAnsi="Times New Roman" w:cs="Times New Roman"/>
          <w:sz w:val="24"/>
          <w:szCs w:val="24"/>
          <w:lang w:val="fr-FR"/>
        </w:rPr>
        <w:t xml:space="preserve">et </w:t>
      </w:r>
      <w:r w:rsidR="003504E1" w:rsidRPr="003504E1">
        <w:rPr>
          <w:rFonts w:ascii="Times New Roman" w:hAnsi="Times New Roman" w:cs="Times New Roman"/>
          <w:sz w:val="24"/>
          <w:szCs w:val="24"/>
          <w:lang w:val="fr-FR"/>
        </w:rPr>
        <w:t xml:space="preserve">livrés à l’IHSI durant le premier trimestre de l’année 2012 et </w:t>
      </w:r>
      <w:r>
        <w:rPr>
          <w:rFonts w:ascii="Times New Roman" w:hAnsi="Times New Roman" w:cs="Times New Roman"/>
          <w:sz w:val="24"/>
          <w:szCs w:val="24"/>
          <w:lang w:val="fr-FR"/>
        </w:rPr>
        <w:t>le dernier trimestre de l’année 2013 une fois que leur utilisation par l’OIM dans le cadre de ce projet a pris fin</w:t>
      </w:r>
      <w:r w:rsidR="003504E1" w:rsidRPr="003504E1">
        <w:rPr>
          <w:rFonts w:ascii="Times New Roman" w:hAnsi="Times New Roman" w:cs="Times New Roman"/>
          <w:sz w:val="24"/>
          <w:szCs w:val="24"/>
          <w:lang w:val="fr-FR"/>
        </w:rPr>
        <w:t xml:space="preserve">. </w:t>
      </w:r>
    </w:p>
    <w:p w:rsidR="004924A5" w:rsidRDefault="004924A5" w:rsidP="004924A5">
      <w:pPr>
        <w:pStyle w:val="BodyText"/>
        <w:numPr>
          <w:ilvl w:val="0"/>
          <w:numId w:val="44"/>
        </w:numPr>
        <w:tabs>
          <w:tab w:val="left" w:pos="270"/>
        </w:tabs>
        <w:jc w:val="both"/>
        <w:rPr>
          <w:rFonts w:ascii="Times New Roman" w:hAnsi="Times New Roman" w:cs="Times New Roman"/>
          <w:sz w:val="24"/>
          <w:szCs w:val="24"/>
          <w:lang w:val="fr-FR"/>
        </w:rPr>
      </w:pPr>
      <w:r>
        <w:rPr>
          <w:rFonts w:ascii="Times New Roman" w:hAnsi="Times New Roman" w:cs="Times New Roman"/>
          <w:sz w:val="24"/>
          <w:szCs w:val="24"/>
          <w:lang w:val="fr-FR"/>
        </w:rPr>
        <w:t>L’utilisation sans frais additionnels du véhicule aérien non piloté (UAV) et des images de plus de 4 centimètres de précision.</w:t>
      </w:r>
    </w:p>
    <w:p w:rsidR="003504E1" w:rsidRPr="003504E1" w:rsidRDefault="003504E1" w:rsidP="004924A5">
      <w:pPr>
        <w:pStyle w:val="BodyText"/>
        <w:numPr>
          <w:ilvl w:val="0"/>
          <w:numId w:val="44"/>
        </w:numPr>
        <w:tabs>
          <w:tab w:val="left" w:pos="270"/>
        </w:tabs>
        <w:jc w:val="both"/>
        <w:rPr>
          <w:rFonts w:ascii="Times New Roman" w:hAnsi="Times New Roman" w:cs="Times New Roman"/>
          <w:sz w:val="24"/>
          <w:szCs w:val="24"/>
          <w:lang w:val="fr-FR"/>
        </w:rPr>
      </w:pPr>
      <w:r w:rsidRPr="003504E1">
        <w:rPr>
          <w:rFonts w:ascii="Times New Roman" w:hAnsi="Times New Roman" w:cs="Times New Roman"/>
          <w:sz w:val="24"/>
          <w:szCs w:val="24"/>
          <w:lang w:val="fr-FR"/>
        </w:rPr>
        <w:t>De plus, il faut souligner que le projet bénéficie aussi de l’expérience technique d’OI</w:t>
      </w:r>
      <w:r w:rsidR="004924A5">
        <w:rPr>
          <w:rFonts w:ascii="Times New Roman" w:hAnsi="Times New Roman" w:cs="Times New Roman"/>
          <w:sz w:val="24"/>
          <w:szCs w:val="24"/>
          <w:lang w:val="fr-FR"/>
        </w:rPr>
        <w:t>M et des leçons tirées des quatre (4</w:t>
      </w:r>
      <w:r w:rsidRPr="003504E1">
        <w:rPr>
          <w:rFonts w:ascii="Times New Roman" w:hAnsi="Times New Roman" w:cs="Times New Roman"/>
          <w:sz w:val="24"/>
          <w:szCs w:val="24"/>
          <w:lang w:val="fr-FR"/>
        </w:rPr>
        <w:t>) années de travail dans le domaine de la gestion des données dans le contexte Haïtien post-séisme. Les données recueillies à travers ce projet seront utilisées pour le recensement général, pré</w:t>
      </w:r>
      <w:r w:rsidR="004924A5">
        <w:rPr>
          <w:rFonts w:ascii="Times New Roman" w:hAnsi="Times New Roman" w:cs="Times New Roman"/>
          <w:sz w:val="24"/>
          <w:szCs w:val="24"/>
          <w:lang w:val="fr-FR"/>
        </w:rPr>
        <w:t>vu pour l’année 2014</w:t>
      </w:r>
      <w:r w:rsidRPr="003504E1">
        <w:rPr>
          <w:rFonts w:ascii="Times New Roman" w:hAnsi="Times New Roman" w:cs="Times New Roman"/>
          <w:sz w:val="24"/>
          <w:szCs w:val="24"/>
          <w:lang w:val="fr-FR"/>
        </w:rPr>
        <w:t xml:space="preserve">.  </w:t>
      </w:r>
      <w:r w:rsidRPr="003504E1">
        <w:rPr>
          <w:rFonts w:ascii="Times New Roman" w:hAnsi="Times New Roman" w:cs="Times New Roman"/>
          <w:b/>
          <w:sz w:val="24"/>
          <w:szCs w:val="24"/>
          <w:lang w:val="fr-FR"/>
        </w:rPr>
        <w:t xml:space="preserve"> </w:t>
      </w:r>
      <w:r w:rsidRPr="003504E1">
        <w:rPr>
          <w:rFonts w:ascii="Times New Roman" w:hAnsi="Times New Roman" w:cs="Times New Roman"/>
          <w:sz w:val="24"/>
          <w:szCs w:val="24"/>
          <w:lang w:val="fr-FR"/>
        </w:rPr>
        <w:t xml:space="preserve"> </w:t>
      </w:r>
    </w:p>
    <w:p w:rsidR="00AF0E0E" w:rsidRDefault="00AF0E0E" w:rsidP="00C77D8F">
      <w:pPr>
        <w:tabs>
          <w:tab w:val="left" w:pos="180"/>
        </w:tabs>
        <w:ind w:left="180"/>
        <w:jc w:val="both"/>
        <w:rPr>
          <w:b/>
          <w:lang w:val="fr-FR"/>
        </w:rPr>
      </w:pPr>
    </w:p>
    <w:p w:rsidR="00501027" w:rsidRDefault="00501027" w:rsidP="00901BEB">
      <w:pPr>
        <w:tabs>
          <w:tab w:val="left" w:pos="0"/>
        </w:tabs>
        <w:jc w:val="both"/>
        <w:rPr>
          <w:b/>
          <w:u w:val="single"/>
          <w:lang w:val="fr-FR"/>
        </w:rPr>
      </w:pPr>
      <w:r>
        <w:rPr>
          <w:b/>
          <w:u w:val="single"/>
          <w:lang w:val="fr-FR"/>
        </w:rPr>
        <w:t>Composante 2</w:t>
      </w:r>
    </w:p>
    <w:p w:rsidR="00501027" w:rsidRDefault="00501027" w:rsidP="00901BEB">
      <w:pPr>
        <w:tabs>
          <w:tab w:val="left" w:pos="0"/>
        </w:tabs>
        <w:jc w:val="both"/>
        <w:rPr>
          <w:b/>
          <w:u w:val="single"/>
          <w:lang w:val="fr-FR"/>
        </w:rPr>
      </w:pPr>
    </w:p>
    <w:p w:rsidR="00501027" w:rsidRPr="00501027" w:rsidRDefault="00501027" w:rsidP="00901BEB">
      <w:pPr>
        <w:tabs>
          <w:tab w:val="left" w:pos="0"/>
        </w:tabs>
        <w:jc w:val="both"/>
        <w:rPr>
          <w:lang w:val="fr-FR"/>
        </w:rPr>
      </w:pPr>
      <w:r w:rsidRPr="00501027">
        <w:rPr>
          <w:lang w:val="fr-FR"/>
        </w:rPr>
        <w:lastRenderedPageBreak/>
        <w:t xml:space="preserve">La révision de l’accord de coopération entre ONU-Habitat et le CNIGS </w:t>
      </w:r>
      <w:r>
        <w:rPr>
          <w:lang w:val="fr-FR"/>
        </w:rPr>
        <w:t xml:space="preserve">signe en juin 2013 </w:t>
      </w:r>
      <w:r w:rsidRPr="00501027">
        <w:rPr>
          <w:lang w:val="fr-FR"/>
        </w:rPr>
        <w:t xml:space="preserve">a </w:t>
      </w:r>
      <w:r>
        <w:rPr>
          <w:lang w:val="fr-FR"/>
        </w:rPr>
        <w:t>comporté une réduction dans le volume de ressources financières mises à disposition du CNIGS pour la mise en œuvre d’une partie des activités de la composante.</w:t>
      </w:r>
    </w:p>
    <w:p w:rsidR="00501027" w:rsidRDefault="00501027" w:rsidP="00901BEB">
      <w:pPr>
        <w:tabs>
          <w:tab w:val="left" w:pos="0"/>
        </w:tabs>
        <w:jc w:val="both"/>
        <w:rPr>
          <w:b/>
          <w:u w:val="single"/>
          <w:lang w:val="fr-FR"/>
        </w:rPr>
      </w:pPr>
    </w:p>
    <w:p w:rsidR="00C77D8F" w:rsidRPr="00AF0E0E" w:rsidRDefault="00C77D8F" w:rsidP="00901BEB">
      <w:pPr>
        <w:tabs>
          <w:tab w:val="left" w:pos="0"/>
        </w:tabs>
        <w:jc w:val="both"/>
        <w:rPr>
          <w:b/>
          <w:u w:val="single"/>
          <w:lang w:val="fr-FR"/>
        </w:rPr>
      </w:pPr>
      <w:r w:rsidRPr="00AF0E0E">
        <w:rPr>
          <w:b/>
          <w:u w:val="single"/>
          <w:lang w:val="fr-FR"/>
        </w:rPr>
        <w:t>Composante 3</w:t>
      </w:r>
    </w:p>
    <w:p w:rsidR="00C77D8F" w:rsidRDefault="00C77D8F" w:rsidP="00901BEB">
      <w:pPr>
        <w:tabs>
          <w:tab w:val="left" w:pos="0"/>
          <w:tab w:val="left" w:pos="284"/>
        </w:tabs>
        <w:jc w:val="both"/>
        <w:rPr>
          <w:b/>
          <w:color w:val="FF0000"/>
          <w:lang w:val="fr-FR"/>
        </w:rPr>
      </w:pPr>
    </w:p>
    <w:p w:rsidR="00C77D8F" w:rsidRPr="00901BEB" w:rsidRDefault="00C77D8F" w:rsidP="00901BEB">
      <w:pPr>
        <w:tabs>
          <w:tab w:val="left" w:pos="0"/>
        </w:tabs>
        <w:jc w:val="both"/>
        <w:rPr>
          <w:lang w:val="fr-FR"/>
        </w:rPr>
      </w:pPr>
      <w:r w:rsidRPr="00901BEB">
        <w:rPr>
          <w:lang w:val="fr-FR"/>
        </w:rPr>
        <w:t>Partant des Accords de Coopérations signés par ONU-Habitat et dix municipalités et le MICT, un deuxième décaissement de fonds en faveur des municipalités et du Ministère ont été réalisés durant l’année en plus du premier réalisé en</w:t>
      </w:r>
      <w:r w:rsidR="00901BEB">
        <w:rPr>
          <w:lang w:val="fr-FR"/>
        </w:rPr>
        <w:t xml:space="preserve"> 2012 après la signature des accords de coopération</w:t>
      </w:r>
      <w:r w:rsidRPr="00901BEB">
        <w:rPr>
          <w:lang w:val="fr-FR"/>
        </w:rPr>
        <w:t xml:space="preserve">. Les matériels roulants et informatiques ont été allouées également en raison d’une camionnette, 5 ordinateurs (Desk Top), 1 imprimante par commune alors que 2 camionnettes, 5 ordinateurs et 1 imprimante ont été alloues au MICT. </w:t>
      </w:r>
    </w:p>
    <w:p w:rsidR="00901BEB" w:rsidRPr="00901BEB" w:rsidRDefault="00901BEB" w:rsidP="00901BEB">
      <w:pPr>
        <w:tabs>
          <w:tab w:val="left" w:pos="0"/>
        </w:tabs>
        <w:jc w:val="both"/>
        <w:rPr>
          <w:lang w:val="fr-FR"/>
        </w:rPr>
      </w:pPr>
    </w:p>
    <w:p w:rsidR="003504E1" w:rsidRPr="008F30C4" w:rsidRDefault="00C77D8F" w:rsidP="00901BEB">
      <w:pPr>
        <w:tabs>
          <w:tab w:val="left" w:pos="0"/>
        </w:tabs>
        <w:jc w:val="both"/>
        <w:rPr>
          <w:lang w:val="fr-FR"/>
        </w:rPr>
      </w:pPr>
      <w:r w:rsidRPr="00901BEB">
        <w:rPr>
          <w:lang w:val="fr-FR"/>
        </w:rPr>
        <w:t>L’Ambassade de France a appuyé la séance d’échange d’expérience</w:t>
      </w:r>
      <w:r w:rsidR="00AF7AC6">
        <w:rPr>
          <w:lang w:val="fr-FR"/>
        </w:rPr>
        <w:t>s réalisé courant 2013 à Petit-</w:t>
      </w:r>
      <w:proofErr w:type="spellStart"/>
      <w:r w:rsidRPr="00901BEB">
        <w:rPr>
          <w:lang w:val="fr-FR"/>
        </w:rPr>
        <w:t>Goave</w:t>
      </w:r>
      <w:proofErr w:type="spellEnd"/>
      <w:r w:rsidRPr="00901BEB">
        <w:rPr>
          <w:lang w:val="fr-FR"/>
        </w:rPr>
        <w:t>, entre les staffs de</w:t>
      </w:r>
      <w:r w:rsidR="00AF7AC6">
        <w:rPr>
          <w:lang w:val="fr-FR"/>
        </w:rPr>
        <w:t xml:space="preserve">s </w:t>
      </w:r>
      <w:r w:rsidRPr="00901BEB">
        <w:rPr>
          <w:lang w:val="fr-FR"/>
        </w:rPr>
        <w:t>ATL et la DATIP</w:t>
      </w:r>
      <w:r w:rsidR="00AF7AC6">
        <w:rPr>
          <w:lang w:val="fr-FR"/>
        </w:rPr>
        <w:t>,</w:t>
      </w:r>
      <w:r w:rsidRPr="00901BEB">
        <w:rPr>
          <w:lang w:val="fr-FR"/>
        </w:rPr>
        <w:t xml:space="preserve"> agence te</w:t>
      </w:r>
      <w:r w:rsidR="00AF7AC6">
        <w:rPr>
          <w:lang w:val="fr-FR"/>
        </w:rPr>
        <w:t>chnique locale de la région des P</w:t>
      </w:r>
      <w:r w:rsidRPr="00901BEB">
        <w:rPr>
          <w:lang w:val="fr-FR"/>
        </w:rPr>
        <w:t>alme</w:t>
      </w:r>
      <w:r w:rsidR="00AF7AC6">
        <w:rPr>
          <w:lang w:val="fr-FR"/>
        </w:rPr>
        <w:t>s.</w:t>
      </w:r>
    </w:p>
    <w:p w:rsidR="002C013C" w:rsidRDefault="002C013C" w:rsidP="00AF7AC6">
      <w:pPr>
        <w:pStyle w:val="BodyText2"/>
        <w:tabs>
          <w:tab w:val="left" w:pos="180"/>
        </w:tabs>
        <w:rPr>
          <w:rFonts w:ascii="Times New Roman" w:hAnsi="Times New Roman" w:cs="Times New Roman"/>
          <w:sz w:val="24"/>
          <w:szCs w:val="24"/>
          <w:lang w:val="fr-FR"/>
        </w:rPr>
      </w:pPr>
    </w:p>
    <w:p w:rsidR="00544CD9" w:rsidRDefault="00544CD9" w:rsidP="00AF7AC6">
      <w:pPr>
        <w:pStyle w:val="BodyText2"/>
        <w:tabs>
          <w:tab w:val="left" w:pos="180"/>
        </w:tabs>
        <w:rPr>
          <w:rFonts w:ascii="Times New Roman" w:hAnsi="Times New Roman" w:cs="Times New Roman"/>
          <w:sz w:val="24"/>
          <w:szCs w:val="24"/>
          <w:lang w:val="fr-FR"/>
        </w:rPr>
      </w:pPr>
    </w:p>
    <w:p w:rsidR="00544CD9" w:rsidRDefault="00544CD9" w:rsidP="00AF7AC6">
      <w:pPr>
        <w:pStyle w:val="BodyText2"/>
        <w:tabs>
          <w:tab w:val="left" w:pos="180"/>
        </w:tabs>
        <w:rPr>
          <w:rFonts w:ascii="Times New Roman" w:hAnsi="Times New Roman" w:cs="Times New Roman"/>
          <w:sz w:val="24"/>
          <w:szCs w:val="24"/>
          <w:lang w:val="fr-FR"/>
        </w:rPr>
      </w:pPr>
    </w:p>
    <w:p w:rsidR="00AB1189" w:rsidRDefault="00AB1189" w:rsidP="00AF7AC6">
      <w:pPr>
        <w:pStyle w:val="BodyText2"/>
        <w:tabs>
          <w:tab w:val="left" w:pos="180"/>
        </w:tabs>
        <w:rPr>
          <w:rFonts w:ascii="Times New Roman" w:hAnsi="Times New Roman" w:cs="Times New Roman"/>
          <w:sz w:val="24"/>
          <w:szCs w:val="24"/>
          <w:lang w:val="fr-FR"/>
        </w:rPr>
      </w:pPr>
    </w:p>
    <w:p w:rsidR="00AB1189" w:rsidRDefault="00AB1189" w:rsidP="00AF7AC6">
      <w:pPr>
        <w:pStyle w:val="BodyText2"/>
        <w:tabs>
          <w:tab w:val="left" w:pos="180"/>
        </w:tabs>
        <w:rPr>
          <w:rFonts w:ascii="Times New Roman" w:hAnsi="Times New Roman" w:cs="Times New Roman"/>
          <w:sz w:val="24"/>
          <w:szCs w:val="24"/>
          <w:lang w:val="fr-FR"/>
        </w:rPr>
      </w:pPr>
    </w:p>
    <w:p w:rsidR="00AB1189" w:rsidRDefault="00AB1189" w:rsidP="00AF7AC6">
      <w:pPr>
        <w:pStyle w:val="BodyText2"/>
        <w:tabs>
          <w:tab w:val="left" w:pos="180"/>
        </w:tabs>
        <w:rPr>
          <w:rFonts w:ascii="Times New Roman" w:hAnsi="Times New Roman" w:cs="Times New Roman"/>
          <w:sz w:val="24"/>
          <w:szCs w:val="24"/>
          <w:lang w:val="fr-FR"/>
        </w:rPr>
      </w:pPr>
    </w:p>
    <w:p w:rsidR="00AB1189" w:rsidRDefault="00AB1189" w:rsidP="00AF7AC6">
      <w:pPr>
        <w:pStyle w:val="BodyText2"/>
        <w:tabs>
          <w:tab w:val="left" w:pos="180"/>
        </w:tabs>
        <w:rPr>
          <w:rFonts w:ascii="Times New Roman" w:hAnsi="Times New Roman" w:cs="Times New Roman"/>
          <w:sz w:val="24"/>
          <w:szCs w:val="24"/>
          <w:lang w:val="fr-FR"/>
        </w:rPr>
      </w:pPr>
    </w:p>
    <w:p w:rsidR="00AB1189" w:rsidRDefault="00AB1189" w:rsidP="00AF7AC6">
      <w:pPr>
        <w:pStyle w:val="BodyText2"/>
        <w:tabs>
          <w:tab w:val="left" w:pos="180"/>
        </w:tabs>
        <w:rPr>
          <w:rFonts w:ascii="Times New Roman" w:hAnsi="Times New Roman" w:cs="Times New Roman"/>
          <w:sz w:val="24"/>
          <w:szCs w:val="24"/>
          <w:lang w:val="fr-FR"/>
        </w:rPr>
      </w:pPr>
    </w:p>
    <w:p w:rsidR="00AB1189" w:rsidRDefault="00AB1189" w:rsidP="00AF7AC6">
      <w:pPr>
        <w:pStyle w:val="BodyText2"/>
        <w:tabs>
          <w:tab w:val="left" w:pos="180"/>
        </w:tabs>
        <w:rPr>
          <w:rFonts w:ascii="Times New Roman" w:hAnsi="Times New Roman" w:cs="Times New Roman"/>
          <w:sz w:val="24"/>
          <w:szCs w:val="24"/>
          <w:lang w:val="fr-FR"/>
        </w:rPr>
      </w:pPr>
    </w:p>
    <w:p w:rsidR="00544CD9" w:rsidRPr="00544CD9" w:rsidRDefault="00544CD9" w:rsidP="00AF7AC6">
      <w:pPr>
        <w:pStyle w:val="BodyText2"/>
        <w:tabs>
          <w:tab w:val="left" w:pos="180"/>
        </w:tabs>
        <w:rPr>
          <w:rFonts w:ascii="Times New Roman" w:hAnsi="Times New Roman" w:cs="Times New Roman"/>
          <w:b/>
          <w:sz w:val="24"/>
          <w:szCs w:val="24"/>
          <w:lang w:val="fr-FR"/>
        </w:rPr>
      </w:pPr>
      <w:r w:rsidRPr="00544CD9">
        <w:rPr>
          <w:rFonts w:ascii="Times New Roman" w:hAnsi="Times New Roman" w:cs="Times New Roman"/>
          <w:b/>
          <w:sz w:val="24"/>
          <w:szCs w:val="24"/>
          <w:lang w:val="fr-FR"/>
        </w:rPr>
        <w:t>Glossaire</w:t>
      </w:r>
    </w:p>
    <w:p w:rsidR="00544CD9" w:rsidRDefault="00544CD9" w:rsidP="00AF7AC6">
      <w:pPr>
        <w:pStyle w:val="BodyText2"/>
        <w:tabs>
          <w:tab w:val="left" w:pos="180"/>
        </w:tabs>
        <w:rPr>
          <w:rFonts w:ascii="Times New Roman" w:hAnsi="Times New Roman" w:cs="Times New Roman"/>
          <w:sz w:val="24"/>
          <w:szCs w:val="24"/>
          <w:lang w:val="fr-FR"/>
        </w:rPr>
      </w:pPr>
    </w:p>
    <w:p w:rsidR="00544CD9" w:rsidRPr="0008056E" w:rsidRDefault="00544CD9" w:rsidP="00544CD9">
      <w:pPr>
        <w:rPr>
          <w:lang w:val="fr-FR"/>
        </w:rPr>
      </w:pPr>
      <w:r w:rsidRPr="0008056E">
        <w:rPr>
          <w:lang w:val="fr-FR"/>
        </w:rPr>
        <w:t>AFD</w:t>
      </w:r>
      <w:r w:rsidRPr="0008056E">
        <w:rPr>
          <w:lang w:val="fr-FR"/>
        </w:rPr>
        <w:tab/>
      </w:r>
      <w:r w:rsidRPr="0008056E">
        <w:rPr>
          <w:lang w:val="fr-FR"/>
        </w:rPr>
        <w:tab/>
        <w:t>Agence Française</w:t>
      </w:r>
      <w:r>
        <w:rPr>
          <w:lang w:val="fr-FR"/>
        </w:rPr>
        <w:t xml:space="preserve"> de</w:t>
      </w:r>
      <w:r w:rsidRPr="0008056E">
        <w:rPr>
          <w:lang w:val="fr-FR"/>
        </w:rPr>
        <w:t xml:space="preserve"> Développement</w:t>
      </w:r>
    </w:p>
    <w:p w:rsidR="00544CD9" w:rsidRPr="0008056E" w:rsidRDefault="00544CD9" w:rsidP="00544CD9">
      <w:pPr>
        <w:rPr>
          <w:lang w:val="fr-FR"/>
        </w:rPr>
      </w:pPr>
      <w:r w:rsidRPr="0008056E">
        <w:rPr>
          <w:lang w:val="fr-FR"/>
        </w:rPr>
        <w:t>ATL</w:t>
      </w:r>
      <w:r w:rsidRPr="0008056E">
        <w:rPr>
          <w:lang w:val="fr-FR"/>
        </w:rPr>
        <w:tab/>
      </w:r>
      <w:r w:rsidRPr="0008056E">
        <w:rPr>
          <w:lang w:val="fr-FR"/>
        </w:rPr>
        <w:tab/>
        <w:t>Agence Technique Locale</w:t>
      </w:r>
    </w:p>
    <w:p w:rsidR="00544CD9" w:rsidRPr="0008056E" w:rsidRDefault="00544CD9" w:rsidP="00544CD9">
      <w:pPr>
        <w:rPr>
          <w:lang w:val="fr-FR"/>
        </w:rPr>
      </w:pPr>
      <w:r w:rsidRPr="0008056E">
        <w:rPr>
          <w:lang w:val="fr-FR"/>
        </w:rPr>
        <w:t>CIAT</w:t>
      </w:r>
      <w:r w:rsidRPr="0008056E">
        <w:rPr>
          <w:lang w:val="fr-FR"/>
        </w:rPr>
        <w:tab/>
      </w:r>
      <w:r w:rsidRPr="0008056E">
        <w:rPr>
          <w:lang w:val="fr-FR"/>
        </w:rPr>
        <w:tab/>
        <w:t>Conseil Interministériel</w:t>
      </w:r>
      <w:r>
        <w:rPr>
          <w:lang w:val="fr-FR"/>
        </w:rPr>
        <w:t xml:space="preserve"> d’</w:t>
      </w:r>
      <w:r w:rsidRPr="0008056E">
        <w:rPr>
          <w:lang w:val="fr-FR"/>
        </w:rPr>
        <w:t>Aménagement du Territoire</w:t>
      </w:r>
    </w:p>
    <w:p w:rsidR="00544CD9" w:rsidRPr="0008056E" w:rsidRDefault="00544CD9" w:rsidP="00544CD9">
      <w:pPr>
        <w:rPr>
          <w:lang w:val="fr-FR"/>
        </w:rPr>
      </w:pPr>
      <w:r w:rsidRPr="0008056E">
        <w:rPr>
          <w:lang w:val="fr-FR"/>
        </w:rPr>
        <w:t>CNIGS</w:t>
      </w:r>
      <w:r w:rsidRPr="0008056E">
        <w:rPr>
          <w:lang w:val="fr-FR"/>
        </w:rPr>
        <w:tab/>
      </w:r>
      <w:r w:rsidRPr="0008056E">
        <w:rPr>
          <w:lang w:val="fr-FR" w:eastAsia="x-none"/>
        </w:rPr>
        <w:t xml:space="preserve">Centre National d’Information </w:t>
      </w:r>
      <w:proofErr w:type="spellStart"/>
      <w:r w:rsidRPr="0008056E">
        <w:rPr>
          <w:lang w:val="fr-FR" w:eastAsia="x-none"/>
        </w:rPr>
        <w:t>Géospatial</w:t>
      </w:r>
      <w:proofErr w:type="spellEnd"/>
    </w:p>
    <w:p w:rsidR="00544CD9" w:rsidRPr="0008056E" w:rsidRDefault="00544CD9" w:rsidP="00544CD9">
      <w:pPr>
        <w:rPr>
          <w:lang w:val="fr-FR"/>
        </w:rPr>
      </w:pPr>
      <w:r w:rsidRPr="0008056E">
        <w:rPr>
          <w:lang w:val="fr-FR"/>
        </w:rPr>
        <w:t xml:space="preserve">CRC </w:t>
      </w:r>
      <w:r w:rsidRPr="0008056E">
        <w:rPr>
          <w:lang w:val="fr-FR"/>
        </w:rPr>
        <w:tab/>
      </w:r>
      <w:r w:rsidRPr="0008056E">
        <w:rPr>
          <w:lang w:val="fr-FR"/>
        </w:rPr>
        <w:tab/>
        <w:t>Centre de Ressources Communautaires</w:t>
      </w:r>
    </w:p>
    <w:p w:rsidR="00544CD9" w:rsidRPr="0008056E" w:rsidRDefault="00690C0C" w:rsidP="00544CD9">
      <w:pPr>
        <w:rPr>
          <w:lang w:val="fr-FR"/>
        </w:rPr>
      </w:pPr>
      <w:r>
        <w:rPr>
          <w:lang w:val="fr-FR"/>
        </w:rPr>
        <w:t xml:space="preserve">CSEC </w:t>
      </w:r>
      <w:r>
        <w:rPr>
          <w:lang w:val="fr-FR"/>
        </w:rPr>
        <w:tab/>
      </w:r>
      <w:r>
        <w:rPr>
          <w:lang w:val="fr-FR"/>
        </w:rPr>
        <w:tab/>
        <w:t>Cellule de Suivi, Evaluation et C</w:t>
      </w:r>
      <w:r w:rsidR="00544CD9" w:rsidRPr="0008056E">
        <w:rPr>
          <w:lang w:val="fr-FR"/>
        </w:rPr>
        <w:t>ommunication</w:t>
      </w:r>
    </w:p>
    <w:p w:rsidR="00544CD9" w:rsidRPr="00D831F7" w:rsidRDefault="00544CD9" w:rsidP="00544CD9">
      <w:pPr>
        <w:rPr>
          <w:lang w:val="fr-FR"/>
        </w:rPr>
      </w:pPr>
      <w:r w:rsidRPr="00D831F7">
        <w:rPr>
          <w:lang w:val="fr-FR"/>
        </w:rPr>
        <w:t>DATIP</w:t>
      </w:r>
      <w:r w:rsidRPr="00D831F7">
        <w:rPr>
          <w:lang w:val="fr-FR"/>
        </w:rPr>
        <w:tab/>
      </w:r>
      <w:r w:rsidRPr="00D831F7">
        <w:rPr>
          <w:lang w:val="fr-FR"/>
        </w:rPr>
        <w:tab/>
        <w:t>Direction Administrative et Technique de l’</w:t>
      </w:r>
      <w:r w:rsidR="00D831F7" w:rsidRPr="00D831F7">
        <w:rPr>
          <w:lang w:val="fr-FR"/>
        </w:rPr>
        <w:t>Intercommunalité</w:t>
      </w:r>
      <w:r w:rsidRPr="00D831F7">
        <w:rPr>
          <w:lang w:val="fr-FR"/>
        </w:rPr>
        <w:t xml:space="preserve"> des Palmes</w:t>
      </w:r>
    </w:p>
    <w:p w:rsidR="00544CD9" w:rsidRPr="0008056E" w:rsidRDefault="00544CD9" w:rsidP="00544CD9">
      <w:pPr>
        <w:rPr>
          <w:lang w:val="fr-FR"/>
        </w:rPr>
      </w:pPr>
      <w:r w:rsidRPr="0008056E">
        <w:rPr>
          <w:lang w:val="fr-FR"/>
        </w:rPr>
        <w:t>DCT</w:t>
      </w:r>
      <w:r w:rsidRPr="0008056E">
        <w:rPr>
          <w:lang w:val="fr-FR"/>
        </w:rPr>
        <w:tab/>
      </w:r>
      <w:r w:rsidRPr="0008056E">
        <w:rPr>
          <w:lang w:val="fr-FR"/>
        </w:rPr>
        <w:tab/>
        <w:t>Direction des Collectivités Territoriales du MICT</w:t>
      </w:r>
    </w:p>
    <w:p w:rsidR="00544CD9" w:rsidRPr="0008056E" w:rsidRDefault="00544CD9" w:rsidP="00544CD9">
      <w:pPr>
        <w:rPr>
          <w:bCs/>
          <w:lang w:val="fr-FR"/>
        </w:rPr>
      </w:pPr>
      <w:r w:rsidRPr="0008056E">
        <w:rPr>
          <w:bCs/>
          <w:lang w:val="fr-FR"/>
        </w:rPr>
        <w:t>FNUAP</w:t>
      </w:r>
      <w:r w:rsidRPr="0008056E">
        <w:rPr>
          <w:bCs/>
          <w:lang w:val="fr-FR"/>
        </w:rPr>
        <w:tab/>
        <w:t xml:space="preserve">Fond de Nations Unies </w:t>
      </w:r>
      <w:r w:rsidR="00690C0C">
        <w:rPr>
          <w:bCs/>
          <w:lang w:val="fr-FR"/>
        </w:rPr>
        <w:t>pour la Population</w:t>
      </w:r>
    </w:p>
    <w:p w:rsidR="00544CD9" w:rsidRPr="0008056E" w:rsidRDefault="00544CD9" w:rsidP="00544CD9">
      <w:pPr>
        <w:rPr>
          <w:bCs/>
          <w:lang w:val="fr-FR" w:eastAsia="x-none"/>
        </w:rPr>
      </w:pPr>
      <w:r w:rsidRPr="0008056E">
        <w:rPr>
          <w:bCs/>
          <w:lang w:val="fr-FR" w:eastAsia="x-none"/>
        </w:rPr>
        <w:t>IHSI</w:t>
      </w:r>
      <w:r w:rsidRPr="0008056E">
        <w:rPr>
          <w:bCs/>
          <w:lang w:val="fr-FR" w:eastAsia="x-none"/>
        </w:rPr>
        <w:tab/>
      </w:r>
      <w:r w:rsidRPr="0008056E">
        <w:rPr>
          <w:bCs/>
          <w:lang w:val="fr-FR" w:eastAsia="x-none"/>
        </w:rPr>
        <w:tab/>
        <w:t>Institut Haïtien des Statistiques et l’Informatique</w:t>
      </w:r>
    </w:p>
    <w:p w:rsidR="00544CD9" w:rsidRPr="0008056E" w:rsidRDefault="00544CD9" w:rsidP="00544CD9">
      <w:pPr>
        <w:rPr>
          <w:lang w:val="fr-FR"/>
        </w:rPr>
      </w:pPr>
      <w:r w:rsidRPr="0008056E">
        <w:rPr>
          <w:lang w:val="fr-FR"/>
        </w:rPr>
        <w:t>MICT</w:t>
      </w:r>
      <w:r w:rsidRPr="0008056E">
        <w:rPr>
          <w:lang w:val="fr-FR"/>
        </w:rPr>
        <w:tab/>
      </w:r>
      <w:r w:rsidRPr="0008056E">
        <w:rPr>
          <w:lang w:val="fr-FR"/>
        </w:rPr>
        <w:tab/>
        <w:t>Ministère de l’Intérieur et des Collectivités Territoriales</w:t>
      </w:r>
    </w:p>
    <w:p w:rsidR="00544CD9" w:rsidRPr="0008056E" w:rsidRDefault="00544CD9" w:rsidP="00544CD9">
      <w:pPr>
        <w:rPr>
          <w:lang w:val="fr-FR" w:eastAsia="x-none"/>
        </w:rPr>
      </w:pPr>
      <w:r w:rsidRPr="0008056E">
        <w:rPr>
          <w:lang w:val="fr-FR"/>
        </w:rPr>
        <w:t>MPCE</w:t>
      </w:r>
      <w:r w:rsidRPr="0008056E">
        <w:rPr>
          <w:lang w:val="fr-FR"/>
        </w:rPr>
        <w:tab/>
      </w:r>
      <w:r w:rsidRPr="0008056E">
        <w:rPr>
          <w:lang w:val="fr-FR"/>
        </w:rPr>
        <w:tab/>
      </w:r>
      <w:r w:rsidRPr="0008056E">
        <w:rPr>
          <w:lang w:val="fr-FR" w:eastAsia="x-none"/>
        </w:rPr>
        <w:t>Ministère de la Planification et la Coopération Externe</w:t>
      </w:r>
    </w:p>
    <w:p w:rsidR="00544CD9" w:rsidRPr="0008056E" w:rsidRDefault="00544CD9" w:rsidP="00544CD9">
      <w:pPr>
        <w:rPr>
          <w:lang w:val="fr-FR"/>
        </w:rPr>
      </w:pPr>
      <w:r w:rsidRPr="0008056E">
        <w:rPr>
          <w:lang w:val="fr-FR"/>
        </w:rPr>
        <w:t>MTPTC</w:t>
      </w:r>
      <w:r w:rsidRPr="0008056E">
        <w:rPr>
          <w:lang w:val="fr-FR"/>
        </w:rPr>
        <w:tab/>
        <w:t>Ministère de Travaux Publics, Transports et Communications</w:t>
      </w:r>
    </w:p>
    <w:p w:rsidR="00544CD9" w:rsidRPr="0008056E" w:rsidRDefault="00544CD9" w:rsidP="00544CD9">
      <w:pPr>
        <w:rPr>
          <w:lang w:val="fr-FR"/>
        </w:rPr>
      </w:pPr>
      <w:r w:rsidRPr="0008056E">
        <w:rPr>
          <w:lang w:val="fr-FR"/>
        </w:rPr>
        <w:t>OIM</w:t>
      </w:r>
      <w:r w:rsidRPr="0008056E">
        <w:rPr>
          <w:lang w:val="fr-FR"/>
        </w:rPr>
        <w:tab/>
      </w:r>
      <w:r w:rsidRPr="0008056E">
        <w:rPr>
          <w:lang w:val="fr-FR"/>
        </w:rPr>
        <w:tab/>
        <w:t>Organisation Internationale des Migrations</w:t>
      </w:r>
    </w:p>
    <w:p w:rsidR="00544CD9" w:rsidRPr="0008056E" w:rsidRDefault="00544CD9" w:rsidP="00544CD9">
      <w:pPr>
        <w:rPr>
          <w:lang w:val="fr-FR"/>
        </w:rPr>
      </w:pPr>
      <w:r w:rsidRPr="0008056E">
        <w:rPr>
          <w:lang w:val="fr-FR"/>
        </w:rPr>
        <w:t>OMRH</w:t>
      </w:r>
      <w:r w:rsidRPr="0008056E">
        <w:rPr>
          <w:lang w:val="fr-FR"/>
        </w:rPr>
        <w:tab/>
      </w:r>
      <w:r w:rsidR="00690C0C" w:rsidRPr="00690C0C">
        <w:rPr>
          <w:lang w:val="fr-FR"/>
        </w:rPr>
        <w:t>Office de Management et des Ressources Humaines</w:t>
      </w:r>
    </w:p>
    <w:p w:rsidR="00544CD9" w:rsidRPr="0008056E" w:rsidRDefault="00544CD9" w:rsidP="00544CD9">
      <w:pPr>
        <w:rPr>
          <w:lang w:val="fr-FR"/>
        </w:rPr>
      </w:pPr>
      <w:r w:rsidRPr="0008056E">
        <w:rPr>
          <w:lang w:val="fr-FR"/>
        </w:rPr>
        <w:t xml:space="preserve">PARLQ </w:t>
      </w:r>
      <w:r w:rsidRPr="0008056E">
        <w:rPr>
          <w:lang w:val="fr-FR"/>
        </w:rPr>
        <w:tab/>
        <w:t xml:space="preserve">Programme d’Appui à la Reconstruction du Logement et des Quartiers </w:t>
      </w:r>
    </w:p>
    <w:p w:rsidR="00544CD9" w:rsidRDefault="00544CD9" w:rsidP="00544CD9">
      <w:pPr>
        <w:rPr>
          <w:lang w:val="fr-FR"/>
        </w:rPr>
      </w:pPr>
      <w:r w:rsidRPr="0008056E">
        <w:rPr>
          <w:lang w:val="fr-FR"/>
        </w:rPr>
        <w:t>PNUD</w:t>
      </w:r>
      <w:r w:rsidRPr="0008056E">
        <w:rPr>
          <w:lang w:val="fr-FR"/>
        </w:rPr>
        <w:tab/>
      </w:r>
      <w:r w:rsidRPr="0008056E">
        <w:rPr>
          <w:lang w:val="fr-FR"/>
        </w:rPr>
        <w:tab/>
        <w:t>Programme des Nations Unies pour le Développement</w:t>
      </w:r>
    </w:p>
    <w:p w:rsidR="00677230" w:rsidRPr="00D831F7" w:rsidRDefault="00677230" w:rsidP="00544CD9">
      <w:pPr>
        <w:rPr>
          <w:lang w:val="fr-FR"/>
        </w:rPr>
      </w:pPr>
      <w:r>
        <w:rPr>
          <w:lang w:val="fr-FR"/>
        </w:rPr>
        <w:t>SDE</w:t>
      </w:r>
      <w:r>
        <w:rPr>
          <w:lang w:val="fr-FR"/>
        </w:rPr>
        <w:tab/>
      </w:r>
      <w:r>
        <w:rPr>
          <w:lang w:val="fr-FR"/>
        </w:rPr>
        <w:tab/>
      </w:r>
      <w:r w:rsidRPr="00677230">
        <w:rPr>
          <w:lang w:val="fr-FR"/>
        </w:rPr>
        <w:t xml:space="preserve">Section d’Énumération </w:t>
      </w:r>
    </w:p>
    <w:p w:rsidR="00544CD9" w:rsidRPr="0008056E" w:rsidRDefault="00544CD9" w:rsidP="00544CD9">
      <w:pPr>
        <w:rPr>
          <w:lang w:val="fr-FR"/>
        </w:rPr>
      </w:pPr>
      <w:r w:rsidRPr="0008056E">
        <w:rPr>
          <w:lang w:val="fr-FR"/>
        </w:rPr>
        <w:t>SIG</w:t>
      </w:r>
      <w:r w:rsidRPr="0008056E">
        <w:rPr>
          <w:lang w:val="fr-FR"/>
        </w:rPr>
        <w:tab/>
      </w:r>
      <w:r w:rsidRPr="0008056E">
        <w:rPr>
          <w:lang w:val="fr-FR"/>
        </w:rPr>
        <w:tab/>
        <w:t xml:space="preserve">Système d’Information Géographique </w:t>
      </w:r>
    </w:p>
    <w:p w:rsidR="00CF2F4F" w:rsidRDefault="00CF2F4F" w:rsidP="00544CD9">
      <w:pPr>
        <w:rPr>
          <w:lang w:val="fr-FR"/>
        </w:rPr>
      </w:pPr>
      <w:r>
        <w:rPr>
          <w:lang w:val="fr-FR"/>
        </w:rPr>
        <w:t>SILQ</w:t>
      </w:r>
      <w:r>
        <w:rPr>
          <w:lang w:val="fr-FR"/>
        </w:rPr>
        <w:tab/>
      </w:r>
      <w:r>
        <w:rPr>
          <w:lang w:val="fr-FR"/>
        </w:rPr>
        <w:tab/>
        <w:t>Système d’Information du Logement et des Quartiers</w:t>
      </w:r>
    </w:p>
    <w:p w:rsidR="00544CD9" w:rsidRPr="0008056E" w:rsidRDefault="00544CD9" w:rsidP="00544CD9">
      <w:pPr>
        <w:rPr>
          <w:lang w:val="fr-FR"/>
        </w:rPr>
      </w:pPr>
      <w:r w:rsidRPr="0008056E">
        <w:rPr>
          <w:lang w:val="fr-FR"/>
        </w:rPr>
        <w:t xml:space="preserve">UAT </w:t>
      </w:r>
      <w:r w:rsidRPr="0008056E">
        <w:rPr>
          <w:lang w:val="fr-FR"/>
        </w:rPr>
        <w:tab/>
      </w:r>
      <w:r w:rsidRPr="0008056E">
        <w:rPr>
          <w:lang w:val="fr-FR"/>
        </w:rPr>
        <w:tab/>
        <w:t>Unité d’Aménagement du Territoire du MPCE</w:t>
      </w:r>
    </w:p>
    <w:p w:rsidR="00544CD9" w:rsidRPr="0008056E" w:rsidRDefault="00544CD9" w:rsidP="00544CD9">
      <w:pPr>
        <w:rPr>
          <w:lang w:val="fr-FR"/>
        </w:rPr>
      </w:pPr>
      <w:r w:rsidRPr="0008056E">
        <w:rPr>
          <w:lang w:val="fr-FR"/>
        </w:rPr>
        <w:t>UCLBP</w:t>
      </w:r>
      <w:r w:rsidRPr="0008056E">
        <w:rPr>
          <w:lang w:val="fr-FR"/>
        </w:rPr>
        <w:tab/>
        <w:t>Unité de Construction des Logements et des Bâtiments Publics</w:t>
      </w:r>
    </w:p>
    <w:p w:rsidR="00544CD9" w:rsidRPr="003504E1" w:rsidRDefault="00544CD9" w:rsidP="00AF7AC6">
      <w:pPr>
        <w:pStyle w:val="BodyText2"/>
        <w:tabs>
          <w:tab w:val="left" w:pos="180"/>
        </w:tabs>
        <w:rPr>
          <w:rFonts w:ascii="Times New Roman" w:hAnsi="Times New Roman" w:cs="Times New Roman"/>
          <w:sz w:val="24"/>
          <w:szCs w:val="24"/>
          <w:lang w:val="fr-FR"/>
        </w:rPr>
      </w:pPr>
    </w:p>
    <w:sectPr w:rsidR="00544CD9" w:rsidRPr="003504E1" w:rsidSect="005268E7">
      <w:pgSz w:w="12240" w:h="15840" w:code="1"/>
      <w:pgMar w:top="806" w:right="806" w:bottom="1354" w:left="806" w:header="720" w:footer="41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F4E" w:rsidRDefault="00C23F4E">
      <w:r>
        <w:separator/>
      </w:r>
    </w:p>
  </w:endnote>
  <w:endnote w:type="continuationSeparator" w:id="0">
    <w:p w:rsidR="00C23F4E" w:rsidRDefault="00C23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832" w:rsidRDefault="00B95832">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ab/>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733AD0">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 xml:space="preserve"> of </w:t>
    </w:r>
    <w:r w:rsidR="00C23F4E">
      <w:fldChar w:fldCharType="begin"/>
    </w:r>
    <w:r w:rsidR="00C23F4E">
      <w:instrText xml:space="preserve"> NUMPAGES   \* MERGEFORMAT </w:instrText>
    </w:r>
    <w:r w:rsidR="00C23F4E">
      <w:fldChar w:fldCharType="separate"/>
    </w:r>
    <w:r w:rsidR="00733AD0" w:rsidRPr="00733AD0">
      <w:rPr>
        <w:rFonts w:ascii="Arial" w:hAnsi="Arial" w:cs="Arial"/>
        <w:noProof/>
        <w:sz w:val="18"/>
        <w:szCs w:val="18"/>
      </w:rPr>
      <w:t>26</w:t>
    </w:r>
    <w:r w:rsidR="00C23F4E">
      <w:rPr>
        <w:rFonts w:ascii="Arial" w:hAnsi="Arial" w:cs="Arial"/>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832" w:rsidRDefault="00B95832">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Sixth Six-Month Progress Report</w:t>
    </w:r>
    <w:r>
      <w:rPr>
        <w:rFonts w:ascii="Arial" w:hAnsi="Arial" w:cs="Arial"/>
        <w:sz w:val="18"/>
        <w:szCs w:val="18"/>
      </w:rPr>
      <w:tab/>
      <w:t>1 January – 30 June 2007</w:t>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5</w:t>
    </w:r>
    <w:r>
      <w:rPr>
        <w:rFonts w:ascii="Arial" w:hAnsi="Arial" w:cs="Arial"/>
        <w:sz w:val="18"/>
        <w:szCs w:val="18"/>
      </w:rPr>
      <w:fldChar w:fldCharType="end"/>
    </w:r>
    <w:r>
      <w:rPr>
        <w:rFonts w:ascii="Arial" w:hAnsi="Arial" w:cs="Arial"/>
        <w:sz w:val="18"/>
        <w:szCs w:val="18"/>
      </w:rPr>
      <w:t xml:space="preserve"> of </w:t>
    </w:r>
    <w:r w:rsidR="00C23F4E">
      <w:fldChar w:fldCharType="begin"/>
    </w:r>
    <w:r w:rsidR="00C23F4E">
      <w:instrText xml:space="preserve"> NUMPAGES   \* MERGEFORMAT </w:instrText>
    </w:r>
    <w:r w:rsidR="00C23F4E">
      <w:fldChar w:fldCharType="separate"/>
    </w:r>
    <w:r w:rsidR="00B307A8" w:rsidRPr="00B307A8">
      <w:rPr>
        <w:rFonts w:ascii="Arial" w:hAnsi="Arial" w:cs="Arial"/>
        <w:noProof/>
        <w:sz w:val="18"/>
        <w:szCs w:val="18"/>
      </w:rPr>
      <w:t>26</w:t>
    </w:r>
    <w:r w:rsidR="00C23F4E">
      <w:rPr>
        <w:rFonts w:ascii="Arial" w:hAnsi="Arial" w:cs="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F4E" w:rsidRDefault="00C23F4E">
      <w:r>
        <w:separator/>
      </w:r>
    </w:p>
  </w:footnote>
  <w:footnote w:type="continuationSeparator" w:id="0">
    <w:p w:rsidR="00C23F4E" w:rsidRDefault="00C23F4E">
      <w:r>
        <w:continuationSeparator/>
      </w:r>
    </w:p>
  </w:footnote>
  <w:footnote w:id="1">
    <w:p w:rsidR="00B95832" w:rsidRPr="00E3532D" w:rsidRDefault="00B95832">
      <w:pPr>
        <w:pStyle w:val="FootnoteText"/>
        <w:rPr>
          <w:lang w:val="fr-FR"/>
        </w:rPr>
      </w:pPr>
      <w:r w:rsidRPr="00E3532D">
        <w:rPr>
          <w:rStyle w:val="FootnoteReference"/>
          <w:lang w:val="fr-FR"/>
        </w:rPr>
        <w:footnoteRef/>
      </w:r>
      <w:r w:rsidRPr="00E3532D">
        <w:rPr>
          <w:lang w:val="fr-FR"/>
        </w:rPr>
        <w:t xml:space="preserve"> Le terme “programme” est utilisé pour les projets, programmes et programmes conjoints.</w:t>
      </w:r>
    </w:p>
  </w:footnote>
  <w:footnote w:id="2">
    <w:p w:rsidR="00B95832" w:rsidRPr="00BA0D23" w:rsidRDefault="00B95832">
      <w:pPr>
        <w:pStyle w:val="FootnoteText"/>
        <w:rPr>
          <w:lang w:val="fr-FR"/>
        </w:rPr>
      </w:pPr>
      <w:r>
        <w:rPr>
          <w:rStyle w:val="FootnoteReference"/>
        </w:rPr>
        <w:footnoteRef/>
      </w:r>
      <w:r w:rsidRPr="00BA0D23">
        <w:rPr>
          <w:lang w:val="fr-FR"/>
        </w:rPr>
        <w:t xml:space="preserve"> Il est important de noter que le nombre de 1,800 SDE avait été établi entre OIM et l’IHSI de façon approximative comme simples indicateurs internes</w:t>
      </w:r>
      <w:r>
        <w:rPr>
          <w:lang w:val="fr-FR"/>
        </w:rPr>
        <w:t>.</w:t>
      </w:r>
    </w:p>
  </w:footnote>
  <w:footnote w:id="3">
    <w:p w:rsidR="00B95832" w:rsidRPr="00F94A85" w:rsidRDefault="00B95832" w:rsidP="003E2682">
      <w:pPr>
        <w:pStyle w:val="FootnoteText"/>
        <w:rPr>
          <w:lang w:val="fr-FR"/>
        </w:rPr>
      </w:pPr>
      <w:r w:rsidRPr="00E3532D">
        <w:rPr>
          <w:rStyle w:val="FootnoteReference"/>
          <w:lang w:val="fr-FR"/>
        </w:rPr>
        <w:footnoteRef/>
      </w:r>
      <w:r w:rsidRPr="00E3532D">
        <w:rPr>
          <w:lang w:val="fr-FR"/>
        </w:rPr>
        <w:t xml:space="preserve"> Note: </w:t>
      </w:r>
      <w:r w:rsidRPr="00F94A85">
        <w:rPr>
          <w:lang w:val="fr-FR"/>
        </w:rPr>
        <w:t xml:space="preserve">Les résultats, les </w:t>
      </w:r>
      <w:r w:rsidRPr="003E0D6A">
        <w:rPr>
          <w:lang w:val="fr-FR"/>
        </w:rPr>
        <w:t>produits</w:t>
      </w:r>
      <w:r w:rsidRPr="00F94A85">
        <w:rPr>
          <w:lang w:val="fr-FR"/>
        </w:rPr>
        <w:t xml:space="preserve">, les indicateurs et les cibles devront être présentés </w:t>
      </w:r>
      <w:r w:rsidRPr="00F94A85">
        <w:rPr>
          <w:rFonts w:ascii="Times New Roman Bold" w:hAnsi="Times New Roman Bold"/>
          <w:b/>
          <w:lang w:val="fr-FR"/>
        </w:rPr>
        <w:t>tels qu’ils apparaissent sur</w:t>
      </w:r>
      <w:r>
        <w:rPr>
          <w:rFonts w:ascii="Times New Roman Bold" w:hAnsi="Times New Roman Bold"/>
          <w:b/>
          <w:lang w:val="fr-FR"/>
        </w:rPr>
        <w:t xml:space="preserve"> le document du</w:t>
      </w:r>
      <w:r w:rsidRPr="00F94A85">
        <w:rPr>
          <w:rFonts w:ascii="Times New Roman Bold" w:hAnsi="Times New Roman Bold"/>
          <w:b/>
          <w:lang w:val="fr-FR"/>
        </w:rPr>
        <w:t xml:space="preserve"> projet</w:t>
      </w:r>
      <w:r w:rsidRPr="00F94A85">
        <w:rPr>
          <w:lang w:val="fr-FR"/>
        </w:rPr>
        <w:t xml:space="preserve"> de sorte que vous rendrez compte de vos accomplissements par rapport aux objectifs prévus. Veuillez ajouter des lignes si nécessaires pour les résultats 2, 3, etc.</w:t>
      </w:r>
    </w:p>
    <w:p w:rsidR="00B95832" w:rsidRPr="00E3532D" w:rsidRDefault="00B95832">
      <w:pPr>
        <w:pStyle w:val="FootnoteText"/>
        <w:rPr>
          <w:lang w:val="fr-FR"/>
        </w:rPr>
      </w:pPr>
    </w:p>
  </w:footnote>
  <w:footnote w:id="4">
    <w:p w:rsidR="00B95832" w:rsidRDefault="00B95832" w:rsidP="00C458CE">
      <w:pPr>
        <w:pStyle w:val="FootnoteText"/>
        <w:rPr>
          <w:lang w:val="fr-FR"/>
        </w:rPr>
      </w:pPr>
      <w:r>
        <w:rPr>
          <w:rStyle w:val="FootnoteReference"/>
        </w:rPr>
        <w:footnoteRef/>
      </w:r>
      <w:r>
        <w:rPr>
          <w:lang w:val="fr-FR"/>
        </w:rPr>
        <w:t xml:space="preserve"> Les 10% d’équipements restants étaient utilisés par l’OIM pour effectuer les activités du projet qui lui étaient spécifiques.</w:t>
      </w:r>
    </w:p>
  </w:footnote>
  <w:footnote w:id="5">
    <w:p w:rsidR="00B95832" w:rsidRPr="00136FDC" w:rsidRDefault="00B95832" w:rsidP="003F424C">
      <w:pPr>
        <w:pStyle w:val="FootnoteText"/>
        <w:jc w:val="both"/>
        <w:rPr>
          <w:lang w:val="fr-FR"/>
        </w:rPr>
      </w:pPr>
      <w:r>
        <w:rPr>
          <w:rStyle w:val="FootnoteReference"/>
        </w:rPr>
        <w:footnoteRef/>
      </w:r>
      <w:r w:rsidRPr="007368D0">
        <w:rPr>
          <w:lang w:val="fr-FR"/>
        </w:rPr>
        <w:t xml:space="preserve"> </w:t>
      </w:r>
      <w:r w:rsidRPr="0002050E">
        <w:rPr>
          <w:lang w:val="fr-FR"/>
        </w:rPr>
        <w:t>La base de données SSIS a été renommé</w:t>
      </w:r>
      <w:r>
        <w:rPr>
          <w:lang w:val="fr-FR"/>
        </w:rPr>
        <w:t>e base de données SILQ</w:t>
      </w:r>
      <w:r w:rsidRPr="0002050E">
        <w:rPr>
          <w:lang w:val="fr-FR"/>
        </w:rPr>
        <w:t xml:space="preserve"> (Système d’Information du Logement et des Quartiers</w:t>
      </w:r>
      <w:r>
        <w:rPr>
          <w:lang w:val="fr-FR"/>
        </w:rPr>
        <w:t>)</w:t>
      </w:r>
      <w:r w:rsidRPr="0002050E">
        <w:rPr>
          <w:lang w:val="fr-FR"/>
        </w:rPr>
        <w:t>.</w:t>
      </w:r>
      <w:r>
        <w:rPr>
          <w:lang w:val="fr-FR"/>
        </w:rPr>
        <w:t xml:space="preserve"> Le développement de la base de données est effectué dans la composante du Programme d’appui à la reconstruction du logement et des quartiers ». </w:t>
      </w:r>
      <w:r w:rsidRPr="0002050E">
        <w:rPr>
          <w:lang w:val="fr-FR"/>
        </w:rPr>
        <w:t>Donc l’objectif de la composante 1 est d’assurer que les données recueillies sont complémentaires et peuvent être facilement intégrées dans la base de données SILQ pour faciliter le partage des données avec les partenaires de la</w:t>
      </w:r>
      <w:r>
        <w:rPr>
          <w:lang w:val="fr-FR"/>
        </w:rPr>
        <w:t xml:space="preserve"> reconstruction</w:t>
      </w:r>
      <w:r w:rsidRPr="007368D0">
        <w:rPr>
          <w:lang w:val="fr-FR"/>
        </w:rPr>
        <w:t xml:space="preserve">.  </w:t>
      </w:r>
    </w:p>
  </w:footnote>
  <w:footnote w:id="6">
    <w:p w:rsidR="00B95832" w:rsidRPr="0002050E" w:rsidRDefault="00B95832" w:rsidP="0004702D">
      <w:pPr>
        <w:pStyle w:val="FootnoteText"/>
        <w:rPr>
          <w:lang w:val="fr-FR"/>
        </w:rPr>
      </w:pPr>
      <w:r>
        <w:rPr>
          <w:rStyle w:val="FootnoteReference"/>
        </w:rPr>
        <w:footnoteRef/>
      </w:r>
      <w:r w:rsidRPr="0002050E">
        <w:rPr>
          <w:lang w:val="fr-FR"/>
        </w:rPr>
        <w:t xml:space="preserve"> Notez que ceci inclut les infrastructures privés et publiques comme les écoles et hôpitaux etc. </w:t>
      </w:r>
    </w:p>
  </w:footnote>
  <w:footnote w:id="7">
    <w:p w:rsidR="00B95832" w:rsidRPr="0002050E" w:rsidRDefault="00B95832" w:rsidP="0004702D">
      <w:pPr>
        <w:pStyle w:val="FootnoteText"/>
        <w:rPr>
          <w:lang w:val="fr-FR"/>
        </w:rPr>
      </w:pPr>
      <w:r>
        <w:rPr>
          <w:rStyle w:val="FootnoteReference"/>
        </w:rPr>
        <w:footnoteRef/>
      </w:r>
      <w:r w:rsidRPr="0002050E">
        <w:rPr>
          <w:lang w:val="fr-FR"/>
        </w:rPr>
        <w:t xml:space="preserve"> La base de données SSIS a été renommé</w:t>
      </w:r>
      <w:r>
        <w:rPr>
          <w:lang w:val="fr-FR"/>
        </w:rPr>
        <w:t>e base de données</w:t>
      </w:r>
      <w:r w:rsidRPr="0002050E">
        <w:rPr>
          <w:lang w:val="fr-FR"/>
        </w:rPr>
        <w:t xml:space="preserve"> SILQ (Système d’Information du Logement et des Quartiers</w:t>
      </w:r>
      <w:r>
        <w:rPr>
          <w:lang w:val="fr-FR"/>
        </w:rPr>
        <w:t>)</w:t>
      </w:r>
      <w:r w:rsidRPr="0002050E">
        <w:rPr>
          <w:lang w:val="fr-FR"/>
        </w:rPr>
        <w:t>.</w:t>
      </w:r>
      <w:r>
        <w:rPr>
          <w:lang w:val="fr-FR"/>
        </w:rPr>
        <w:t xml:space="preserve"> Le développement de la base de données est effectué dans la composante du Programme d’appui à la reconstruction du logement et des quartiers ». </w:t>
      </w:r>
      <w:r w:rsidRPr="0002050E">
        <w:rPr>
          <w:lang w:val="fr-FR"/>
        </w:rPr>
        <w:t>Donc l’objectif de la composante 1 est d’assurer que les données recueillies sont complémentaires et peuvent être facilement intégrées dans la base de données SILQ pour faciliter le partage des données avec les partenaires de la reconstruction.</w:t>
      </w:r>
      <w:r>
        <w:rPr>
          <w:lang w:val="fr-FR"/>
        </w:rPr>
        <w:t xml:space="preserve"> </w:t>
      </w:r>
      <w:r w:rsidRPr="0002050E">
        <w:rPr>
          <w:lang w:val="fr-F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4.5pt;height:4.5pt" o:bullet="t">
        <v:imagedata r:id="rId1" o:title="bullet"/>
      </v:shape>
    </w:pict>
  </w:numPicBullet>
  <w:numPicBullet w:numPicBulletId="1">
    <w:pict>
      <v:shape id="_x0000_i1087" type="#_x0000_t75" style="width:3in;height:3in" o:bullet="t"/>
    </w:pict>
  </w:numPicBullet>
  <w:numPicBullet w:numPicBulletId="2">
    <w:pict>
      <v:shape id="_x0000_i1088" type="#_x0000_t75" style="width:3in;height:3in" o:bullet="t"/>
    </w:pict>
  </w:numPicBullet>
  <w:numPicBullet w:numPicBulletId="3">
    <w:pict>
      <v:shape id="_x0000_i1089" type="#_x0000_t75" style="width:3in;height:3in" o:bullet="t"/>
    </w:pict>
  </w:numPicBullet>
  <w:numPicBullet w:numPicBulletId="4">
    <w:pict>
      <v:shape id="_x0000_i1090" type="#_x0000_t75" style="width:3in;height:3in" o:bullet="t"/>
    </w:pict>
  </w:numPicBullet>
  <w:numPicBullet w:numPicBulletId="5">
    <w:pict>
      <v:shape id="_x0000_i1091" type="#_x0000_t75" style="width:3in;height:3in" o:bullet="t"/>
    </w:pict>
  </w:numPicBullet>
  <w:numPicBullet w:numPicBulletId="6">
    <w:pict>
      <v:shape id="_x0000_i1092" type="#_x0000_t75" style="width:3in;height:3in" o:bullet="t"/>
    </w:pict>
  </w:numPicBullet>
  <w:numPicBullet w:numPicBulletId="7">
    <w:pict>
      <v:shape id="_x0000_i1093" type="#_x0000_t75" style="width:3in;height:3in" o:bullet="t"/>
    </w:pict>
  </w:numPicBullet>
  <w:numPicBullet w:numPicBulletId="8">
    <w:pict>
      <v:shape id="_x0000_i1094" type="#_x0000_t75" style="width:3in;height:3in" o:bullet="t"/>
    </w:pict>
  </w:numPicBullet>
  <w:numPicBullet w:numPicBulletId="9">
    <w:pict>
      <v:shape id="_x0000_i1095" type="#_x0000_t75" style="width:3in;height:3in" o:bullet="t"/>
    </w:pict>
  </w:numPicBullet>
  <w:numPicBullet w:numPicBulletId="10">
    <w:pict>
      <v:shape id="_x0000_i1096" type="#_x0000_t75" style="width:3in;height:3in" o:bullet="t"/>
    </w:pict>
  </w:numPicBullet>
  <w:numPicBullet w:numPicBulletId="11">
    <w:pict>
      <v:shape id="_x0000_i1097" type="#_x0000_t75" style="width:3in;height:3in" o:bullet="t"/>
    </w:pict>
  </w:numPicBullet>
  <w:numPicBullet w:numPicBulletId="12">
    <w:pict>
      <v:shape id="_x0000_i1098" type="#_x0000_t75" style="width:3in;height:3in" o:bullet="t"/>
    </w:pict>
  </w:numPicBullet>
  <w:numPicBullet w:numPicBulletId="13">
    <w:pict>
      <v:shape id="_x0000_i1099" type="#_x0000_t75" style="width:3in;height:3in" o:bullet="t"/>
    </w:pict>
  </w:numPicBullet>
  <w:numPicBullet w:numPicBulletId="14">
    <w:pict>
      <v:shape id="_x0000_i1100" type="#_x0000_t75" style="width:3in;height:3in" o:bullet="t"/>
    </w:pict>
  </w:numPicBullet>
  <w:abstractNum w:abstractNumId="0">
    <w:nsid w:val="01A53394"/>
    <w:multiLevelType w:val="hybridMultilevel"/>
    <w:tmpl w:val="4D5083FC"/>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62DE7"/>
    <w:multiLevelType w:val="hybridMultilevel"/>
    <w:tmpl w:val="F9A84EA6"/>
    <w:lvl w:ilvl="0" w:tplc="04F0CAA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AE6678"/>
    <w:multiLevelType w:val="hybridMultilevel"/>
    <w:tmpl w:val="A246C3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E7089E"/>
    <w:multiLevelType w:val="hybridMultilevel"/>
    <w:tmpl w:val="7902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EB5570"/>
    <w:multiLevelType w:val="hybridMultilevel"/>
    <w:tmpl w:val="012092BC"/>
    <w:lvl w:ilvl="0" w:tplc="A0624842">
      <w:start w:val="1"/>
      <w:numFmt w:val="upperRoman"/>
      <w:lvlText w:val="%1."/>
      <w:lvlJc w:val="left"/>
      <w:pPr>
        <w:tabs>
          <w:tab w:val="num" w:pos="1080"/>
        </w:tabs>
        <w:ind w:left="1080" w:hanging="720"/>
      </w:pPr>
      <w:rPr>
        <w:rFonts w:hint="default"/>
      </w:rPr>
    </w:lvl>
    <w:lvl w:ilvl="1" w:tplc="862A952A">
      <w:numFmt w:val="none"/>
      <w:lvlText w:val=""/>
      <w:lvlJc w:val="left"/>
      <w:pPr>
        <w:tabs>
          <w:tab w:val="num" w:pos="360"/>
        </w:tabs>
      </w:pPr>
    </w:lvl>
    <w:lvl w:ilvl="2" w:tplc="E7485428">
      <w:numFmt w:val="none"/>
      <w:lvlText w:val=""/>
      <w:lvlJc w:val="left"/>
      <w:pPr>
        <w:tabs>
          <w:tab w:val="num" w:pos="360"/>
        </w:tabs>
      </w:pPr>
    </w:lvl>
    <w:lvl w:ilvl="3" w:tplc="FD789764">
      <w:numFmt w:val="none"/>
      <w:lvlText w:val=""/>
      <w:lvlJc w:val="left"/>
      <w:pPr>
        <w:tabs>
          <w:tab w:val="num" w:pos="360"/>
        </w:tabs>
      </w:pPr>
    </w:lvl>
    <w:lvl w:ilvl="4" w:tplc="5EFA0FBC">
      <w:numFmt w:val="none"/>
      <w:lvlText w:val=""/>
      <w:lvlJc w:val="left"/>
      <w:pPr>
        <w:tabs>
          <w:tab w:val="num" w:pos="360"/>
        </w:tabs>
      </w:pPr>
    </w:lvl>
    <w:lvl w:ilvl="5" w:tplc="1336440C">
      <w:numFmt w:val="none"/>
      <w:lvlText w:val=""/>
      <w:lvlJc w:val="left"/>
      <w:pPr>
        <w:tabs>
          <w:tab w:val="num" w:pos="360"/>
        </w:tabs>
      </w:pPr>
    </w:lvl>
    <w:lvl w:ilvl="6" w:tplc="D87228D2">
      <w:numFmt w:val="none"/>
      <w:lvlText w:val=""/>
      <w:lvlJc w:val="left"/>
      <w:pPr>
        <w:tabs>
          <w:tab w:val="num" w:pos="360"/>
        </w:tabs>
      </w:pPr>
    </w:lvl>
    <w:lvl w:ilvl="7" w:tplc="49E6716E">
      <w:numFmt w:val="none"/>
      <w:lvlText w:val=""/>
      <w:lvlJc w:val="left"/>
      <w:pPr>
        <w:tabs>
          <w:tab w:val="num" w:pos="360"/>
        </w:tabs>
      </w:pPr>
    </w:lvl>
    <w:lvl w:ilvl="8" w:tplc="035EA2D6">
      <w:numFmt w:val="none"/>
      <w:lvlText w:val=""/>
      <w:lvlJc w:val="left"/>
      <w:pPr>
        <w:tabs>
          <w:tab w:val="num" w:pos="360"/>
        </w:tabs>
      </w:pPr>
    </w:lvl>
  </w:abstractNum>
  <w:abstractNum w:abstractNumId="5">
    <w:nsid w:val="114C4A8E"/>
    <w:multiLevelType w:val="hybridMultilevel"/>
    <w:tmpl w:val="C1880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4233868"/>
    <w:multiLevelType w:val="hybridMultilevel"/>
    <w:tmpl w:val="B50C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0D3758"/>
    <w:multiLevelType w:val="hybridMultilevel"/>
    <w:tmpl w:val="F710C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1238A3"/>
    <w:multiLevelType w:val="hybridMultilevel"/>
    <w:tmpl w:val="22B6105C"/>
    <w:lvl w:ilvl="0" w:tplc="A04AA2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196C77"/>
    <w:multiLevelType w:val="hybridMultilevel"/>
    <w:tmpl w:val="A564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F96AC1"/>
    <w:multiLevelType w:val="hybridMultilevel"/>
    <w:tmpl w:val="2FC4F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B97E39"/>
    <w:multiLevelType w:val="hybridMultilevel"/>
    <w:tmpl w:val="3E90A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25F47CB"/>
    <w:multiLevelType w:val="hybridMultilevel"/>
    <w:tmpl w:val="DC04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8F4D32"/>
    <w:multiLevelType w:val="hybridMultilevel"/>
    <w:tmpl w:val="69E6F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EE3C30"/>
    <w:multiLevelType w:val="hybridMultilevel"/>
    <w:tmpl w:val="64EC1F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6602F6"/>
    <w:multiLevelType w:val="hybridMultilevel"/>
    <w:tmpl w:val="4B9E6CB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nsid w:val="2CAB66B1"/>
    <w:multiLevelType w:val="hybridMultilevel"/>
    <w:tmpl w:val="09BE18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DAB2CE6"/>
    <w:multiLevelType w:val="hybridMultilevel"/>
    <w:tmpl w:val="747C1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B332D8"/>
    <w:multiLevelType w:val="hybridMultilevel"/>
    <w:tmpl w:val="9216EB8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0">
    <w:nsid w:val="356404C8"/>
    <w:multiLevelType w:val="hybridMultilevel"/>
    <w:tmpl w:val="144CF00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5358D7"/>
    <w:multiLevelType w:val="hybridMultilevel"/>
    <w:tmpl w:val="44086BF8"/>
    <w:lvl w:ilvl="0" w:tplc="ACC8FE52">
      <w:start w:val="15"/>
      <w:numFmt w:val="bullet"/>
      <w:lvlText w:val="-"/>
      <w:lvlJc w:val="left"/>
      <w:pPr>
        <w:ind w:left="720" w:hanging="360"/>
      </w:pPr>
      <w:rPr>
        <w:rFonts w:ascii="Sylfaen" w:eastAsia="MS Mincho"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B31D86"/>
    <w:multiLevelType w:val="hybridMultilevel"/>
    <w:tmpl w:val="BB9CE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ADE2036"/>
    <w:multiLevelType w:val="hybridMultilevel"/>
    <w:tmpl w:val="E8E2C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4C7510"/>
    <w:multiLevelType w:val="hybridMultilevel"/>
    <w:tmpl w:val="8F4E4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0011D73"/>
    <w:multiLevelType w:val="hybridMultilevel"/>
    <w:tmpl w:val="FC141A60"/>
    <w:lvl w:ilvl="0" w:tplc="040C000F">
      <w:start w:val="1"/>
      <w:numFmt w:val="decimal"/>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7">
    <w:nsid w:val="41244E11"/>
    <w:multiLevelType w:val="hybridMultilevel"/>
    <w:tmpl w:val="0CC8C3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41C96C5D"/>
    <w:multiLevelType w:val="hybridMultilevel"/>
    <w:tmpl w:val="13BEA530"/>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8B19BC"/>
    <w:multiLevelType w:val="hybridMultilevel"/>
    <w:tmpl w:val="A66282D0"/>
    <w:lvl w:ilvl="0" w:tplc="46C087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F12454"/>
    <w:multiLevelType w:val="hybridMultilevel"/>
    <w:tmpl w:val="63B0AE10"/>
    <w:lvl w:ilvl="0" w:tplc="F2926B28">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9CA0543"/>
    <w:multiLevelType w:val="hybridMultilevel"/>
    <w:tmpl w:val="20D6F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075673C"/>
    <w:multiLevelType w:val="hybridMultilevel"/>
    <w:tmpl w:val="8D0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5B102B"/>
    <w:multiLevelType w:val="hybridMultilevel"/>
    <w:tmpl w:val="C674C35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63A43E4"/>
    <w:multiLevelType w:val="hybridMultilevel"/>
    <w:tmpl w:val="97948C28"/>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B51D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nsid w:val="583537C0"/>
    <w:multiLevelType w:val="hybridMultilevel"/>
    <w:tmpl w:val="159A2F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5F4E0282"/>
    <w:multiLevelType w:val="hybridMultilevel"/>
    <w:tmpl w:val="C57E05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24D7F43"/>
    <w:multiLevelType w:val="hybridMultilevel"/>
    <w:tmpl w:val="ED2EA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29E0EBB"/>
    <w:multiLevelType w:val="hybridMultilevel"/>
    <w:tmpl w:val="87F8B9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276BE0"/>
    <w:multiLevelType w:val="hybridMultilevel"/>
    <w:tmpl w:val="15EECFBE"/>
    <w:lvl w:ilvl="0" w:tplc="A04AA2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0AC4EC3"/>
    <w:multiLevelType w:val="hybridMultilevel"/>
    <w:tmpl w:val="1A5C8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015AB3"/>
    <w:multiLevelType w:val="hybridMultilevel"/>
    <w:tmpl w:val="A6B2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4C044A9"/>
    <w:multiLevelType w:val="hybridMultilevel"/>
    <w:tmpl w:val="B690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4D4C07"/>
    <w:multiLevelType w:val="multilevel"/>
    <w:tmpl w:val="CF98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D23F82"/>
    <w:multiLevelType w:val="hybridMultilevel"/>
    <w:tmpl w:val="53E6F2E2"/>
    <w:lvl w:ilvl="0" w:tplc="04090003">
      <w:start w:val="1"/>
      <w:numFmt w:val="bullet"/>
      <w:lvlText w:val="o"/>
      <w:lvlJc w:val="left"/>
      <w:pPr>
        <w:ind w:left="720" w:hanging="360"/>
      </w:pPr>
      <w:rPr>
        <w:rFonts w:ascii="Courier New" w:hAnsi="Courier New" w:cs="Wingdings" w:hint="default"/>
      </w:rPr>
    </w:lvl>
    <w:lvl w:ilvl="1" w:tplc="92E25912">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0"/>
  </w:num>
  <w:num w:numId="4">
    <w:abstractNumId w:val="28"/>
  </w:num>
  <w:num w:numId="5">
    <w:abstractNumId w:val="35"/>
  </w:num>
  <w:num w:numId="6">
    <w:abstractNumId w:val="29"/>
  </w:num>
  <w:num w:numId="7">
    <w:abstractNumId w:val="44"/>
  </w:num>
  <w:num w:numId="8">
    <w:abstractNumId w:val="10"/>
  </w:num>
  <w:num w:numId="9">
    <w:abstractNumId w:val="21"/>
  </w:num>
  <w:num w:numId="10">
    <w:abstractNumId w:val="47"/>
  </w:num>
  <w:num w:numId="11">
    <w:abstractNumId w:val="17"/>
  </w:num>
  <w:num w:numId="12">
    <w:abstractNumId w:val="30"/>
  </w:num>
  <w:num w:numId="13">
    <w:abstractNumId w:val="6"/>
  </w:num>
  <w:num w:numId="14">
    <w:abstractNumId w:val="45"/>
  </w:num>
  <w:num w:numId="15">
    <w:abstractNumId w:val="9"/>
  </w:num>
  <w:num w:numId="16">
    <w:abstractNumId w:val="16"/>
  </w:num>
  <w:num w:numId="17">
    <w:abstractNumId w:val="24"/>
  </w:num>
  <w:num w:numId="18">
    <w:abstractNumId w:val="36"/>
  </w:num>
  <w:num w:numId="19">
    <w:abstractNumId w:val="18"/>
  </w:num>
  <w:num w:numId="20">
    <w:abstractNumId w:val="39"/>
  </w:num>
  <w:num w:numId="21">
    <w:abstractNumId w:val="7"/>
  </w:num>
  <w:num w:numId="22">
    <w:abstractNumId w:val="20"/>
  </w:num>
  <w:num w:numId="23">
    <w:abstractNumId w:val="27"/>
  </w:num>
  <w:num w:numId="24">
    <w:abstractNumId w:val="13"/>
  </w:num>
  <w:num w:numId="25">
    <w:abstractNumId w:val="26"/>
  </w:num>
  <w:num w:numId="26">
    <w:abstractNumId w:val="33"/>
  </w:num>
  <w:num w:numId="27">
    <w:abstractNumId w:val="3"/>
  </w:num>
  <w:num w:numId="28">
    <w:abstractNumId w:val="42"/>
  </w:num>
  <w:num w:numId="29">
    <w:abstractNumId w:val="38"/>
  </w:num>
  <w:num w:numId="30">
    <w:abstractNumId w:val="15"/>
  </w:num>
  <w:num w:numId="31">
    <w:abstractNumId w:val="1"/>
  </w:num>
  <w:num w:numId="32">
    <w:abstractNumId w:val="32"/>
  </w:num>
  <w:num w:numId="33">
    <w:abstractNumId w:val="22"/>
  </w:num>
  <w:num w:numId="34">
    <w:abstractNumId w:val="5"/>
  </w:num>
  <w:num w:numId="35">
    <w:abstractNumId w:val="37"/>
  </w:num>
  <w:num w:numId="36">
    <w:abstractNumId w:val="2"/>
  </w:num>
  <w:num w:numId="37">
    <w:abstractNumId w:val="14"/>
  </w:num>
  <w:num w:numId="38">
    <w:abstractNumId w:val="31"/>
  </w:num>
  <w:num w:numId="39">
    <w:abstractNumId w:val="12"/>
  </w:num>
  <w:num w:numId="40">
    <w:abstractNumId w:val="46"/>
  </w:num>
  <w:num w:numId="41">
    <w:abstractNumId w:val="34"/>
  </w:num>
  <w:num w:numId="42">
    <w:abstractNumId w:val="40"/>
  </w:num>
  <w:num w:numId="43">
    <w:abstractNumId w:val="19"/>
  </w:num>
  <w:num w:numId="44">
    <w:abstractNumId w:val="43"/>
  </w:num>
  <w:num w:numId="45">
    <w:abstractNumId w:val="41"/>
  </w:num>
  <w:num w:numId="46">
    <w:abstractNumId w:val="8"/>
  </w:num>
  <w:num w:numId="47">
    <w:abstractNumId w:val="23"/>
  </w:num>
  <w:num w:numId="48">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AC2"/>
    <w:rsid w:val="0001398E"/>
    <w:rsid w:val="00017589"/>
    <w:rsid w:val="0002647D"/>
    <w:rsid w:val="00040C93"/>
    <w:rsid w:val="000466C8"/>
    <w:rsid w:val="0004702D"/>
    <w:rsid w:val="00067488"/>
    <w:rsid w:val="00092910"/>
    <w:rsid w:val="00095A16"/>
    <w:rsid w:val="00095A2F"/>
    <w:rsid w:val="000A0666"/>
    <w:rsid w:val="000B332C"/>
    <w:rsid w:val="000C3EF1"/>
    <w:rsid w:val="000C5FBD"/>
    <w:rsid w:val="000E1B6F"/>
    <w:rsid w:val="000F43FF"/>
    <w:rsid w:val="00101608"/>
    <w:rsid w:val="0011468F"/>
    <w:rsid w:val="00121E4E"/>
    <w:rsid w:val="00127B62"/>
    <w:rsid w:val="00131277"/>
    <w:rsid w:val="00136466"/>
    <w:rsid w:val="001365D1"/>
    <w:rsid w:val="00165525"/>
    <w:rsid w:val="00165847"/>
    <w:rsid w:val="00166825"/>
    <w:rsid w:val="001812C1"/>
    <w:rsid w:val="001B2FDA"/>
    <w:rsid w:val="001D2F1A"/>
    <w:rsid w:val="001D61A3"/>
    <w:rsid w:val="00206EFC"/>
    <w:rsid w:val="002309EB"/>
    <w:rsid w:val="00255953"/>
    <w:rsid w:val="002A6116"/>
    <w:rsid w:val="002B351A"/>
    <w:rsid w:val="002B5E10"/>
    <w:rsid w:val="002C013C"/>
    <w:rsid w:val="002C2201"/>
    <w:rsid w:val="002D3591"/>
    <w:rsid w:val="002D3993"/>
    <w:rsid w:val="002D633D"/>
    <w:rsid w:val="002F6C15"/>
    <w:rsid w:val="00311774"/>
    <w:rsid w:val="003504E1"/>
    <w:rsid w:val="00361ACD"/>
    <w:rsid w:val="0037735F"/>
    <w:rsid w:val="003849E7"/>
    <w:rsid w:val="00386752"/>
    <w:rsid w:val="003B29B9"/>
    <w:rsid w:val="003B7292"/>
    <w:rsid w:val="003D4B7E"/>
    <w:rsid w:val="003D76C0"/>
    <w:rsid w:val="003E2682"/>
    <w:rsid w:val="003F17CA"/>
    <w:rsid w:val="003F424C"/>
    <w:rsid w:val="00416147"/>
    <w:rsid w:val="00422669"/>
    <w:rsid w:val="00433BE3"/>
    <w:rsid w:val="00435EDF"/>
    <w:rsid w:val="00441F3D"/>
    <w:rsid w:val="0044461F"/>
    <w:rsid w:val="004525B4"/>
    <w:rsid w:val="00477A15"/>
    <w:rsid w:val="00481613"/>
    <w:rsid w:val="004820EE"/>
    <w:rsid w:val="004924A5"/>
    <w:rsid w:val="004C14C0"/>
    <w:rsid w:val="004E021D"/>
    <w:rsid w:val="004E511D"/>
    <w:rsid w:val="00501027"/>
    <w:rsid w:val="00513FA6"/>
    <w:rsid w:val="005268E7"/>
    <w:rsid w:val="005372CF"/>
    <w:rsid w:val="00544CD9"/>
    <w:rsid w:val="00546263"/>
    <w:rsid w:val="00560307"/>
    <w:rsid w:val="0056447A"/>
    <w:rsid w:val="00584BE3"/>
    <w:rsid w:val="005B1F90"/>
    <w:rsid w:val="005D0BEE"/>
    <w:rsid w:val="005D52A5"/>
    <w:rsid w:val="005F1B5C"/>
    <w:rsid w:val="005F7DF3"/>
    <w:rsid w:val="006064BE"/>
    <w:rsid w:val="00624DE7"/>
    <w:rsid w:val="00635359"/>
    <w:rsid w:val="00651C5F"/>
    <w:rsid w:val="0065365E"/>
    <w:rsid w:val="006558B8"/>
    <w:rsid w:val="00662BAD"/>
    <w:rsid w:val="0066391B"/>
    <w:rsid w:val="00667C7C"/>
    <w:rsid w:val="00671E6B"/>
    <w:rsid w:val="00677230"/>
    <w:rsid w:val="00677B9A"/>
    <w:rsid w:val="00687F3A"/>
    <w:rsid w:val="00690C0C"/>
    <w:rsid w:val="006A1358"/>
    <w:rsid w:val="006A47C7"/>
    <w:rsid w:val="006C2FF0"/>
    <w:rsid w:val="006C37CB"/>
    <w:rsid w:val="006E35F7"/>
    <w:rsid w:val="0072435E"/>
    <w:rsid w:val="00727213"/>
    <w:rsid w:val="00733AD0"/>
    <w:rsid w:val="00760D2B"/>
    <w:rsid w:val="00766D5C"/>
    <w:rsid w:val="00777906"/>
    <w:rsid w:val="00784899"/>
    <w:rsid w:val="007A5EB0"/>
    <w:rsid w:val="007A7240"/>
    <w:rsid w:val="007B4692"/>
    <w:rsid w:val="007C0CE2"/>
    <w:rsid w:val="007C4D8E"/>
    <w:rsid w:val="007C7F58"/>
    <w:rsid w:val="007D2DAA"/>
    <w:rsid w:val="007E68BB"/>
    <w:rsid w:val="00807E95"/>
    <w:rsid w:val="00834A9E"/>
    <w:rsid w:val="00843BF5"/>
    <w:rsid w:val="00863841"/>
    <w:rsid w:val="00885144"/>
    <w:rsid w:val="00892A21"/>
    <w:rsid w:val="008B65E2"/>
    <w:rsid w:val="008C054A"/>
    <w:rsid w:val="008C38A2"/>
    <w:rsid w:val="008C723F"/>
    <w:rsid w:val="008E747B"/>
    <w:rsid w:val="008F2AC2"/>
    <w:rsid w:val="00901BEB"/>
    <w:rsid w:val="00921C8D"/>
    <w:rsid w:val="009241BD"/>
    <w:rsid w:val="00943BAC"/>
    <w:rsid w:val="00950A6F"/>
    <w:rsid w:val="00951B5F"/>
    <w:rsid w:val="009600E0"/>
    <w:rsid w:val="00972174"/>
    <w:rsid w:val="009B6ABE"/>
    <w:rsid w:val="009C04E8"/>
    <w:rsid w:val="009C1A6A"/>
    <w:rsid w:val="009C2EF0"/>
    <w:rsid w:val="009D3141"/>
    <w:rsid w:val="009E0A33"/>
    <w:rsid w:val="009E5A85"/>
    <w:rsid w:val="009F0418"/>
    <w:rsid w:val="00A01209"/>
    <w:rsid w:val="00A2278A"/>
    <w:rsid w:val="00A420A7"/>
    <w:rsid w:val="00A50B53"/>
    <w:rsid w:val="00A749B9"/>
    <w:rsid w:val="00A777C3"/>
    <w:rsid w:val="00A850F1"/>
    <w:rsid w:val="00AB1189"/>
    <w:rsid w:val="00AC6617"/>
    <w:rsid w:val="00AF0E0E"/>
    <w:rsid w:val="00AF14C0"/>
    <w:rsid w:val="00AF2036"/>
    <w:rsid w:val="00AF7AC6"/>
    <w:rsid w:val="00B039F6"/>
    <w:rsid w:val="00B307A8"/>
    <w:rsid w:val="00B538BD"/>
    <w:rsid w:val="00B556DA"/>
    <w:rsid w:val="00B72963"/>
    <w:rsid w:val="00B871E7"/>
    <w:rsid w:val="00B95832"/>
    <w:rsid w:val="00BA0D23"/>
    <w:rsid w:val="00BB0907"/>
    <w:rsid w:val="00BC7B73"/>
    <w:rsid w:val="00BE3831"/>
    <w:rsid w:val="00C04BDB"/>
    <w:rsid w:val="00C122A6"/>
    <w:rsid w:val="00C12E34"/>
    <w:rsid w:val="00C22A9F"/>
    <w:rsid w:val="00C23F4E"/>
    <w:rsid w:val="00C3328D"/>
    <w:rsid w:val="00C37977"/>
    <w:rsid w:val="00C4575D"/>
    <w:rsid w:val="00C458CE"/>
    <w:rsid w:val="00C53D87"/>
    <w:rsid w:val="00C641F4"/>
    <w:rsid w:val="00C77213"/>
    <w:rsid w:val="00C77D8F"/>
    <w:rsid w:val="00C868EA"/>
    <w:rsid w:val="00C8726B"/>
    <w:rsid w:val="00CB4D2B"/>
    <w:rsid w:val="00CB6078"/>
    <w:rsid w:val="00CD2CDC"/>
    <w:rsid w:val="00CF2C85"/>
    <w:rsid w:val="00CF2F4F"/>
    <w:rsid w:val="00D128DD"/>
    <w:rsid w:val="00D43C48"/>
    <w:rsid w:val="00D45762"/>
    <w:rsid w:val="00D458E9"/>
    <w:rsid w:val="00D45F77"/>
    <w:rsid w:val="00D55CDE"/>
    <w:rsid w:val="00D831F7"/>
    <w:rsid w:val="00DB4413"/>
    <w:rsid w:val="00DD4430"/>
    <w:rsid w:val="00DD4856"/>
    <w:rsid w:val="00DF0D28"/>
    <w:rsid w:val="00E14B67"/>
    <w:rsid w:val="00E15810"/>
    <w:rsid w:val="00E15B9B"/>
    <w:rsid w:val="00E3277E"/>
    <w:rsid w:val="00E56785"/>
    <w:rsid w:val="00E6044E"/>
    <w:rsid w:val="00E92CC2"/>
    <w:rsid w:val="00EA24FA"/>
    <w:rsid w:val="00EA39CA"/>
    <w:rsid w:val="00EA455F"/>
    <w:rsid w:val="00ED2B6C"/>
    <w:rsid w:val="00EE4D43"/>
    <w:rsid w:val="00F07CFE"/>
    <w:rsid w:val="00F25E33"/>
    <w:rsid w:val="00F303C2"/>
    <w:rsid w:val="00F47AC2"/>
    <w:rsid w:val="00F554F4"/>
    <w:rsid w:val="00F61DFF"/>
    <w:rsid w:val="00F7475C"/>
    <w:rsid w:val="00F961B6"/>
    <w:rsid w:val="00FB3C98"/>
    <w:rsid w:val="00FB6510"/>
    <w:rsid w:val="00FD05DA"/>
    <w:rsid w:val="00FD112D"/>
    <w:rsid w:val="00FD4F03"/>
    <w:rsid w:val="00FD7D5F"/>
    <w:rsid w:val="00FE473D"/>
    <w:rsid w:val="00FE797B"/>
    <w:rsid w:val="00FF07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A5801"/>
    <w:rPr>
      <w:sz w:val="24"/>
      <w:szCs w:val="24"/>
      <w:lang w:val="en-US" w:eastAsia="en-US"/>
    </w:rPr>
  </w:style>
  <w:style w:type="paragraph" w:styleId="Heading1">
    <w:name w:val="heading 1"/>
    <w:basedOn w:val="Normal"/>
    <w:next w:val="Normal"/>
    <w:link w:val="Heading1Char"/>
    <w:qFormat/>
    <w:rsid w:val="001A5801"/>
    <w:pPr>
      <w:keepNext/>
      <w:ind w:left="4320"/>
      <w:jc w:val="both"/>
      <w:outlineLvl w:val="0"/>
    </w:pPr>
    <w:rPr>
      <w:rFonts w:ascii="Arial" w:hAnsi="Arial"/>
      <w:b/>
      <w:bCs/>
      <w:sz w:val="20"/>
      <w:szCs w:val="20"/>
      <w:lang w:val="x-none" w:eastAsia="x-none"/>
    </w:rPr>
  </w:style>
  <w:style w:type="paragraph" w:styleId="Heading2">
    <w:name w:val="heading 2"/>
    <w:basedOn w:val="Normal"/>
    <w:next w:val="Normal"/>
    <w:link w:val="Heading2Char"/>
    <w:qFormat/>
    <w:rsid w:val="00E72340"/>
    <w:pPr>
      <w:keepNext/>
      <w:outlineLvl w:val="1"/>
    </w:pPr>
    <w:rPr>
      <w:b/>
      <w:bCs/>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A5801"/>
    <w:rPr>
      <w:color w:val="0000FF"/>
      <w:u w:val="single"/>
    </w:rPr>
  </w:style>
  <w:style w:type="paragraph" w:styleId="BodyText">
    <w:name w:val="Body Text"/>
    <w:basedOn w:val="Normal"/>
    <w:link w:val="BodyTextChar"/>
    <w:rsid w:val="001A5801"/>
    <w:rPr>
      <w:rFonts w:ascii="Arial" w:hAnsi="Arial" w:cs="Arial"/>
      <w:sz w:val="20"/>
      <w:szCs w:val="20"/>
    </w:rPr>
  </w:style>
  <w:style w:type="paragraph" w:styleId="Header">
    <w:name w:val="header"/>
    <w:basedOn w:val="Normal"/>
    <w:link w:val="HeaderChar"/>
    <w:rsid w:val="001A5801"/>
    <w:pPr>
      <w:tabs>
        <w:tab w:val="center" w:pos="4320"/>
        <w:tab w:val="right" w:pos="8640"/>
      </w:tabs>
    </w:pPr>
  </w:style>
  <w:style w:type="paragraph" w:styleId="Footer">
    <w:name w:val="footer"/>
    <w:basedOn w:val="Normal"/>
    <w:link w:val="FooterChar"/>
    <w:uiPriority w:val="99"/>
    <w:rsid w:val="001A5801"/>
    <w:pPr>
      <w:tabs>
        <w:tab w:val="center" w:pos="4320"/>
        <w:tab w:val="right" w:pos="8640"/>
      </w:tabs>
    </w:pPr>
    <w:rPr>
      <w:lang w:val="x-none" w:eastAsia="x-none"/>
    </w:rPr>
  </w:style>
  <w:style w:type="paragraph" w:styleId="BodyTextIndent">
    <w:name w:val="Body Text Indent"/>
    <w:basedOn w:val="Normal"/>
    <w:rsid w:val="001A5801"/>
    <w:pPr>
      <w:ind w:left="1440" w:hanging="1440"/>
    </w:pPr>
    <w:rPr>
      <w:rFonts w:ascii="Arial" w:hAnsi="Arial" w:cs="Arial"/>
      <w:b/>
      <w:bCs/>
      <w:sz w:val="20"/>
      <w:szCs w:val="20"/>
    </w:rPr>
  </w:style>
  <w:style w:type="paragraph" w:styleId="BodyText2">
    <w:name w:val="Body Text 2"/>
    <w:basedOn w:val="Normal"/>
    <w:rsid w:val="001A5801"/>
    <w:pPr>
      <w:jc w:val="both"/>
    </w:pPr>
    <w:rPr>
      <w:rFonts w:ascii="Arial" w:hAnsi="Arial" w:cs="Arial"/>
      <w:sz w:val="20"/>
      <w:szCs w:val="20"/>
    </w:rPr>
  </w:style>
  <w:style w:type="paragraph" w:styleId="BalloonText">
    <w:name w:val="Balloon Text"/>
    <w:basedOn w:val="Normal"/>
    <w:semiHidden/>
    <w:rsid w:val="001A5801"/>
    <w:rPr>
      <w:rFonts w:ascii="Tahoma" w:hAnsi="Tahoma" w:cs="Tahoma"/>
      <w:sz w:val="16"/>
      <w:szCs w:val="16"/>
    </w:rPr>
  </w:style>
  <w:style w:type="paragraph" w:styleId="DocumentMap">
    <w:name w:val="Document Map"/>
    <w:basedOn w:val="Normal"/>
    <w:semiHidden/>
    <w:rsid w:val="001A5801"/>
    <w:pPr>
      <w:shd w:val="clear" w:color="auto" w:fill="000080"/>
    </w:pPr>
    <w:rPr>
      <w:rFonts w:ascii="Tahoma" w:hAnsi="Tahoma" w:cs="Tahoma"/>
      <w:sz w:val="20"/>
      <w:szCs w:val="20"/>
    </w:rPr>
  </w:style>
  <w:style w:type="paragraph" w:styleId="PlainText">
    <w:name w:val="Plain Text"/>
    <w:basedOn w:val="Normal"/>
    <w:link w:val="PlainTextChar"/>
    <w:uiPriority w:val="99"/>
    <w:rsid w:val="00CC6E5F"/>
    <w:pPr>
      <w:spacing w:before="100" w:beforeAutospacing="1" w:after="100" w:afterAutospacing="1"/>
    </w:pPr>
    <w:rPr>
      <w:lang w:val="x-none" w:eastAsia="x-none"/>
    </w:rPr>
  </w:style>
  <w:style w:type="paragraph" w:styleId="NormalWeb">
    <w:name w:val="Normal (Web)"/>
    <w:basedOn w:val="Normal"/>
    <w:uiPriority w:val="99"/>
    <w:rsid w:val="001854AB"/>
    <w:pPr>
      <w:spacing w:before="100" w:beforeAutospacing="1" w:after="100" w:afterAutospacing="1"/>
    </w:pPr>
  </w:style>
  <w:style w:type="paragraph" w:customStyle="1" w:styleId="MediumGrid1-Accent21">
    <w:name w:val="Medium Grid 1 - Accent 21"/>
    <w:basedOn w:val="Normal"/>
    <w:uiPriority w:val="34"/>
    <w:qFormat/>
    <w:rsid w:val="00396D76"/>
    <w:pPr>
      <w:ind w:left="720"/>
      <w:contextualSpacing/>
    </w:pPr>
  </w:style>
  <w:style w:type="character" w:customStyle="1" w:styleId="PlainTextChar">
    <w:name w:val="Plain Text Char"/>
    <w:link w:val="PlainText"/>
    <w:uiPriority w:val="99"/>
    <w:rsid w:val="003879DF"/>
    <w:rPr>
      <w:sz w:val="24"/>
      <w:szCs w:val="24"/>
    </w:rPr>
  </w:style>
  <w:style w:type="character" w:styleId="CommentReference">
    <w:name w:val="annotation reference"/>
    <w:rsid w:val="00B36B8A"/>
    <w:rPr>
      <w:sz w:val="16"/>
      <w:szCs w:val="16"/>
    </w:rPr>
  </w:style>
  <w:style w:type="paragraph" w:styleId="CommentText">
    <w:name w:val="annotation text"/>
    <w:basedOn w:val="Normal"/>
    <w:link w:val="CommentTextChar"/>
    <w:rsid w:val="00B36B8A"/>
    <w:rPr>
      <w:sz w:val="20"/>
      <w:szCs w:val="20"/>
    </w:rPr>
  </w:style>
  <w:style w:type="character" w:customStyle="1" w:styleId="CommentTextChar">
    <w:name w:val="Comment Text Char"/>
    <w:basedOn w:val="DefaultParagraphFont"/>
    <w:link w:val="CommentText"/>
    <w:rsid w:val="00B36B8A"/>
  </w:style>
  <w:style w:type="paragraph" w:styleId="CommentSubject">
    <w:name w:val="annotation subject"/>
    <w:basedOn w:val="CommentText"/>
    <w:next w:val="CommentText"/>
    <w:link w:val="CommentSubjectChar"/>
    <w:rsid w:val="00B36B8A"/>
    <w:rPr>
      <w:b/>
      <w:bCs/>
      <w:lang w:val="x-none" w:eastAsia="x-none"/>
    </w:rPr>
  </w:style>
  <w:style w:type="character" w:customStyle="1" w:styleId="CommentSubjectChar">
    <w:name w:val="Comment Subject Char"/>
    <w:link w:val="CommentSubject"/>
    <w:rsid w:val="00B36B8A"/>
    <w:rPr>
      <w:b/>
      <w:bCs/>
    </w:rPr>
  </w:style>
  <w:style w:type="paragraph" w:styleId="FootnoteText">
    <w:name w:val="footnote text"/>
    <w:basedOn w:val="Normal"/>
    <w:link w:val="FootnoteTextChar"/>
    <w:uiPriority w:val="99"/>
    <w:rsid w:val="00967129"/>
    <w:rPr>
      <w:sz w:val="20"/>
      <w:szCs w:val="20"/>
    </w:rPr>
  </w:style>
  <w:style w:type="character" w:customStyle="1" w:styleId="FootnoteTextChar">
    <w:name w:val="Footnote Text Char"/>
    <w:basedOn w:val="DefaultParagraphFont"/>
    <w:link w:val="FootnoteText"/>
    <w:uiPriority w:val="99"/>
    <w:rsid w:val="00967129"/>
  </w:style>
  <w:style w:type="character" w:styleId="FootnoteReference">
    <w:name w:val="footnote reference"/>
    <w:rsid w:val="00967129"/>
    <w:rPr>
      <w:vertAlign w:val="superscript"/>
    </w:rPr>
  </w:style>
  <w:style w:type="character" w:styleId="Strong">
    <w:name w:val="Strong"/>
    <w:uiPriority w:val="22"/>
    <w:qFormat/>
    <w:rsid w:val="00092501"/>
    <w:rPr>
      <w:b/>
      <w:bCs/>
    </w:rPr>
  </w:style>
  <w:style w:type="table" w:styleId="TableGrid">
    <w:name w:val="Table Grid"/>
    <w:basedOn w:val="TableNormal"/>
    <w:rsid w:val="00F33E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link w:val="Footer"/>
    <w:uiPriority w:val="99"/>
    <w:rsid w:val="00843477"/>
    <w:rPr>
      <w:sz w:val="24"/>
      <w:szCs w:val="24"/>
    </w:rPr>
  </w:style>
  <w:style w:type="paragraph" w:customStyle="1" w:styleId="NormalArial">
    <w:name w:val="Normal + Arial"/>
    <w:aliases w:val="Right:  -2.64 cm"/>
    <w:basedOn w:val="Normal"/>
    <w:uiPriority w:val="99"/>
    <w:rsid w:val="00312685"/>
    <w:pPr>
      <w:overflowPunct w:val="0"/>
      <w:autoSpaceDE w:val="0"/>
      <w:autoSpaceDN w:val="0"/>
      <w:adjustRightInd w:val="0"/>
      <w:ind w:right="-1497"/>
      <w:jc w:val="both"/>
      <w:textAlignment w:val="baseline"/>
    </w:pPr>
    <w:rPr>
      <w:rFonts w:ascii="Arial" w:hAnsi="Arial" w:cs="Arial"/>
      <w:sz w:val="20"/>
    </w:rPr>
  </w:style>
  <w:style w:type="paragraph" w:customStyle="1" w:styleId="TOCHeading1">
    <w:name w:val="TOC Heading1"/>
    <w:basedOn w:val="Heading1"/>
    <w:next w:val="Normal"/>
    <w:uiPriority w:val="99"/>
    <w:qFormat/>
    <w:rsid w:val="00312685"/>
    <w:pPr>
      <w:keepLines/>
      <w:spacing w:before="480" w:line="276" w:lineRule="auto"/>
      <w:ind w:left="0"/>
      <w:jc w:val="left"/>
      <w:outlineLvl w:val="9"/>
    </w:pPr>
    <w:rPr>
      <w:rFonts w:ascii="Cambria" w:hAnsi="Cambria"/>
      <w:color w:val="365F91"/>
      <w:sz w:val="28"/>
      <w:szCs w:val="28"/>
    </w:rPr>
  </w:style>
  <w:style w:type="paragraph" w:styleId="TOC2">
    <w:name w:val="toc 2"/>
    <w:basedOn w:val="Normal"/>
    <w:next w:val="Normal"/>
    <w:autoRedefine/>
    <w:uiPriority w:val="39"/>
    <w:rsid w:val="00312685"/>
    <w:pPr>
      <w:tabs>
        <w:tab w:val="left" w:pos="660"/>
        <w:tab w:val="right" w:leader="dot" w:pos="9350"/>
      </w:tabs>
      <w:spacing w:after="240"/>
      <w:ind w:left="200"/>
    </w:pPr>
    <w:rPr>
      <w:b/>
      <w:noProof/>
      <w:sz w:val="20"/>
      <w:szCs w:val="20"/>
    </w:rPr>
  </w:style>
  <w:style w:type="character" w:customStyle="1" w:styleId="Heading1Char">
    <w:name w:val="Heading 1 Char"/>
    <w:link w:val="Heading1"/>
    <w:rsid w:val="00F755E7"/>
    <w:rPr>
      <w:rFonts w:ascii="Arial" w:hAnsi="Arial" w:cs="Arial"/>
      <w:b/>
      <w:bCs/>
    </w:rPr>
  </w:style>
  <w:style w:type="character" w:customStyle="1" w:styleId="Heading2Char">
    <w:name w:val="Heading 2 Char"/>
    <w:link w:val="Heading2"/>
    <w:uiPriority w:val="99"/>
    <w:rsid w:val="00F755E7"/>
    <w:rPr>
      <w:b/>
      <w:bCs/>
      <w:sz w:val="26"/>
      <w:szCs w:val="24"/>
    </w:rPr>
  </w:style>
  <w:style w:type="paragraph" w:styleId="TOC1">
    <w:name w:val="toc 1"/>
    <w:basedOn w:val="Normal"/>
    <w:next w:val="Normal"/>
    <w:autoRedefine/>
    <w:uiPriority w:val="39"/>
    <w:rsid w:val="00DE6E89"/>
  </w:style>
  <w:style w:type="paragraph" w:styleId="EndnoteText">
    <w:name w:val="endnote text"/>
    <w:basedOn w:val="Normal"/>
    <w:link w:val="EndnoteTextChar"/>
    <w:uiPriority w:val="99"/>
    <w:semiHidden/>
    <w:unhideWhenUsed/>
    <w:rsid w:val="00090D90"/>
    <w:rPr>
      <w:sz w:val="20"/>
      <w:szCs w:val="20"/>
    </w:rPr>
  </w:style>
  <w:style w:type="character" w:customStyle="1" w:styleId="EndnoteTextChar">
    <w:name w:val="Endnote Text Char"/>
    <w:basedOn w:val="DefaultParagraphFont"/>
    <w:link w:val="EndnoteText"/>
    <w:uiPriority w:val="99"/>
    <w:semiHidden/>
    <w:rsid w:val="00090D90"/>
  </w:style>
  <w:style w:type="character" w:styleId="EndnoteReference">
    <w:name w:val="endnote reference"/>
    <w:uiPriority w:val="99"/>
    <w:semiHidden/>
    <w:unhideWhenUsed/>
    <w:rsid w:val="00090D90"/>
    <w:rPr>
      <w:vertAlign w:val="superscript"/>
    </w:rPr>
  </w:style>
  <w:style w:type="character" w:styleId="FollowedHyperlink">
    <w:name w:val="FollowedHyperlink"/>
    <w:uiPriority w:val="99"/>
    <w:semiHidden/>
    <w:unhideWhenUsed/>
    <w:rsid w:val="00976E29"/>
    <w:rPr>
      <w:color w:val="800080"/>
      <w:u w:val="single"/>
    </w:rPr>
  </w:style>
  <w:style w:type="paragraph" w:customStyle="1" w:styleId="H1">
    <w:name w:val="H1"/>
    <w:uiPriority w:val="99"/>
    <w:rsid w:val="000134CC"/>
    <w:pPr>
      <w:spacing w:before="60" w:after="60"/>
    </w:pPr>
    <w:rPr>
      <w:rFonts w:cs="Arial"/>
      <w:b/>
      <w:bCs/>
      <w:snapToGrid w:val="0"/>
      <w:kern w:val="32"/>
      <w:sz w:val="24"/>
      <w:szCs w:val="32"/>
      <w:lang w:val="en-GB" w:eastAsia="en-US"/>
    </w:rPr>
  </w:style>
  <w:style w:type="paragraph" w:customStyle="1" w:styleId="H2">
    <w:name w:val="H2"/>
    <w:uiPriority w:val="99"/>
    <w:rsid w:val="000134CC"/>
    <w:rPr>
      <w:rFonts w:cs="Arial"/>
      <w:b/>
      <w:bCs/>
      <w:iCs/>
      <w:snapToGrid w:val="0"/>
      <w:sz w:val="22"/>
      <w:szCs w:val="28"/>
      <w:lang w:val="en-GB" w:eastAsia="en-US"/>
    </w:rPr>
  </w:style>
  <w:style w:type="paragraph" w:styleId="ListParagraph">
    <w:name w:val="List Paragraph"/>
    <w:basedOn w:val="Normal"/>
    <w:uiPriority w:val="34"/>
    <w:qFormat/>
    <w:rsid w:val="00422669"/>
    <w:pPr>
      <w:ind w:left="720"/>
      <w:contextualSpacing/>
    </w:pPr>
  </w:style>
  <w:style w:type="paragraph" w:styleId="BodyTextIndent2">
    <w:name w:val="Body Text Indent 2"/>
    <w:basedOn w:val="Normal"/>
    <w:link w:val="BodyTextIndent2Char"/>
    <w:rsid w:val="00422669"/>
    <w:pPr>
      <w:spacing w:after="120" w:line="480" w:lineRule="auto"/>
      <w:ind w:left="360"/>
    </w:pPr>
  </w:style>
  <w:style w:type="character" w:customStyle="1" w:styleId="BodyTextIndent2Char">
    <w:name w:val="Body Text Indent 2 Char"/>
    <w:link w:val="BodyTextIndent2"/>
    <w:uiPriority w:val="99"/>
    <w:rsid w:val="00422669"/>
    <w:rPr>
      <w:sz w:val="24"/>
      <w:szCs w:val="24"/>
    </w:rPr>
  </w:style>
  <w:style w:type="character" w:customStyle="1" w:styleId="hps">
    <w:name w:val="hps"/>
    <w:uiPriority w:val="99"/>
    <w:rsid w:val="005268E7"/>
    <w:rPr>
      <w:rFonts w:cs="Times New Roman"/>
    </w:rPr>
  </w:style>
  <w:style w:type="paragraph" w:customStyle="1" w:styleId="Normal1">
    <w:name w:val="Normal1"/>
    <w:basedOn w:val="Normal"/>
    <w:rsid w:val="00921C8D"/>
    <w:rPr>
      <w:rFonts w:eastAsia="MS Mincho"/>
      <w:lang w:eastAsia="ja-JP"/>
    </w:rPr>
  </w:style>
  <w:style w:type="paragraph" w:customStyle="1" w:styleId="body0020text00202">
    <w:name w:val="body_0020text_00202"/>
    <w:basedOn w:val="Normal"/>
    <w:rsid w:val="00921C8D"/>
    <w:pPr>
      <w:spacing w:after="120" w:line="480" w:lineRule="atLeast"/>
    </w:pPr>
    <w:rPr>
      <w:rFonts w:eastAsia="MS Mincho"/>
      <w:lang w:eastAsia="ja-JP"/>
    </w:rPr>
  </w:style>
  <w:style w:type="character" w:customStyle="1" w:styleId="normalchar1">
    <w:name w:val="normal__char1"/>
    <w:rsid w:val="00921C8D"/>
    <w:rPr>
      <w:rFonts w:ascii="Times New Roman" w:hAnsi="Times New Roman" w:cs="Times New Roman" w:hint="default"/>
      <w:sz w:val="24"/>
      <w:szCs w:val="24"/>
    </w:rPr>
  </w:style>
  <w:style w:type="character" w:customStyle="1" w:styleId="HeaderChar">
    <w:name w:val="Header Char"/>
    <w:link w:val="Header"/>
    <w:locked/>
    <w:rsid w:val="00311774"/>
    <w:rPr>
      <w:sz w:val="24"/>
      <w:szCs w:val="24"/>
    </w:rPr>
  </w:style>
  <w:style w:type="character" w:customStyle="1" w:styleId="FootnoteTextChar1">
    <w:name w:val="Footnote Text Char1"/>
    <w:basedOn w:val="DefaultParagraphFont"/>
    <w:rsid w:val="00311774"/>
  </w:style>
  <w:style w:type="character" w:customStyle="1" w:styleId="BodyTextChar">
    <w:name w:val="Body Text Char"/>
    <w:link w:val="BodyText"/>
    <w:rsid w:val="00040C93"/>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A5801"/>
    <w:rPr>
      <w:sz w:val="24"/>
      <w:szCs w:val="24"/>
      <w:lang w:val="en-US" w:eastAsia="en-US"/>
    </w:rPr>
  </w:style>
  <w:style w:type="paragraph" w:styleId="Heading1">
    <w:name w:val="heading 1"/>
    <w:basedOn w:val="Normal"/>
    <w:next w:val="Normal"/>
    <w:link w:val="Heading1Char"/>
    <w:qFormat/>
    <w:rsid w:val="001A5801"/>
    <w:pPr>
      <w:keepNext/>
      <w:ind w:left="4320"/>
      <w:jc w:val="both"/>
      <w:outlineLvl w:val="0"/>
    </w:pPr>
    <w:rPr>
      <w:rFonts w:ascii="Arial" w:hAnsi="Arial"/>
      <w:b/>
      <w:bCs/>
      <w:sz w:val="20"/>
      <w:szCs w:val="20"/>
      <w:lang w:val="x-none" w:eastAsia="x-none"/>
    </w:rPr>
  </w:style>
  <w:style w:type="paragraph" w:styleId="Heading2">
    <w:name w:val="heading 2"/>
    <w:basedOn w:val="Normal"/>
    <w:next w:val="Normal"/>
    <w:link w:val="Heading2Char"/>
    <w:qFormat/>
    <w:rsid w:val="00E72340"/>
    <w:pPr>
      <w:keepNext/>
      <w:outlineLvl w:val="1"/>
    </w:pPr>
    <w:rPr>
      <w:b/>
      <w:bCs/>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A5801"/>
    <w:rPr>
      <w:color w:val="0000FF"/>
      <w:u w:val="single"/>
    </w:rPr>
  </w:style>
  <w:style w:type="paragraph" w:styleId="BodyText">
    <w:name w:val="Body Text"/>
    <w:basedOn w:val="Normal"/>
    <w:link w:val="BodyTextChar"/>
    <w:rsid w:val="001A5801"/>
    <w:rPr>
      <w:rFonts w:ascii="Arial" w:hAnsi="Arial" w:cs="Arial"/>
      <w:sz w:val="20"/>
      <w:szCs w:val="20"/>
    </w:rPr>
  </w:style>
  <w:style w:type="paragraph" w:styleId="Header">
    <w:name w:val="header"/>
    <w:basedOn w:val="Normal"/>
    <w:link w:val="HeaderChar"/>
    <w:rsid w:val="001A5801"/>
    <w:pPr>
      <w:tabs>
        <w:tab w:val="center" w:pos="4320"/>
        <w:tab w:val="right" w:pos="8640"/>
      </w:tabs>
    </w:pPr>
  </w:style>
  <w:style w:type="paragraph" w:styleId="Footer">
    <w:name w:val="footer"/>
    <w:basedOn w:val="Normal"/>
    <w:link w:val="FooterChar"/>
    <w:uiPriority w:val="99"/>
    <w:rsid w:val="001A5801"/>
    <w:pPr>
      <w:tabs>
        <w:tab w:val="center" w:pos="4320"/>
        <w:tab w:val="right" w:pos="8640"/>
      </w:tabs>
    </w:pPr>
    <w:rPr>
      <w:lang w:val="x-none" w:eastAsia="x-none"/>
    </w:rPr>
  </w:style>
  <w:style w:type="paragraph" w:styleId="BodyTextIndent">
    <w:name w:val="Body Text Indent"/>
    <w:basedOn w:val="Normal"/>
    <w:rsid w:val="001A5801"/>
    <w:pPr>
      <w:ind w:left="1440" w:hanging="1440"/>
    </w:pPr>
    <w:rPr>
      <w:rFonts w:ascii="Arial" w:hAnsi="Arial" w:cs="Arial"/>
      <w:b/>
      <w:bCs/>
      <w:sz w:val="20"/>
      <w:szCs w:val="20"/>
    </w:rPr>
  </w:style>
  <w:style w:type="paragraph" w:styleId="BodyText2">
    <w:name w:val="Body Text 2"/>
    <w:basedOn w:val="Normal"/>
    <w:rsid w:val="001A5801"/>
    <w:pPr>
      <w:jc w:val="both"/>
    </w:pPr>
    <w:rPr>
      <w:rFonts w:ascii="Arial" w:hAnsi="Arial" w:cs="Arial"/>
      <w:sz w:val="20"/>
      <w:szCs w:val="20"/>
    </w:rPr>
  </w:style>
  <w:style w:type="paragraph" w:styleId="BalloonText">
    <w:name w:val="Balloon Text"/>
    <w:basedOn w:val="Normal"/>
    <w:semiHidden/>
    <w:rsid w:val="001A5801"/>
    <w:rPr>
      <w:rFonts w:ascii="Tahoma" w:hAnsi="Tahoma" w:cs="Tahoma"/>
      <w:sz w:val="16"/>
      <w:szCs w:val="16"/>
    </w:rPr>
  </w:style>
  <w:style w:type="paragraph" w:styleId="DocumentMap">
    <w:name w:val="Document Map"/>
    <w:basedOn w:val="Normal"/>
    <w:semiHidden/>
    <w:rsid w:val="001A5801"/>
    <w:pPr>
      <w:shd w:val="clear" w:color="auto" w:fill="000080"/>
    </w:pPr>
    <w:rPr>
      <w:rFonts w:ascii="Tahoma" w:hAnsi="Tahoma" w:cs="Tahoma"/>
      <w:sz w:val="20"/>
      <w:szCs w:val="20"/>
    </w:rPr>
  </w:style>
  <w:style w:type="paragraph" w:styleId="PlainText">
    <w:name w:val="Plain Text"/>
    <w:basedOn w:val="Normal"/>
    <w:link w:val="PlainTextChar"/>
    <w:uiPriority w:val="99"/>
    <w:rsid w:val="00CC6E5F"/>
    <w:pPr>
      <w:spacing w:before="100" w:beforeAutospacing="1" w:after="100" w:afterAutospacing="1"/>
    </w:pPr>
    <w:rPr>
      <w:lang w:val="x-none" w:eastAsia="x-none"/>
    </w:rPr>
  </w:style>
  <w:style w:type="paragraph" w:styleId="NormalWeb">
    <w:name w:val="Normal (Web)"/>
    <w:basedOn w:val="Normal"/>
    <w:uiPriority w:val="99"/>
    <w:rsid w:val="001854AB"/>
    <w:pPr>
      <w:spacing w:before="100" w:beforeAutospacing="1" w:after="100" w:afterAutospacing="1"/>
    </w:pPr>
  </w:style>
  <w:style w:type="paragraph" w:customStyle="1" w:styleId="MediumGrid1-Accent21">
    <w:name w:val="Medium Grid 1 - Accent 21"/>
    <w:basedOn w:val="Normal"/>
    <w:uiPriority w:val="34"/>
    <w:qFormat/>
    <w:rsid w:val="00396D76"/>
    <w:pPr>
      <w:ind w:left="720"/>
      <w:contextualSpacing/>
    </w:pPr>
  </w:style>
  <w:style w:type="character" w:customStyle="1" w:styleId="PlainTextChar">
    <w:name w:val="Plain Text Char"/>
    <w:link w:val="PlainText"/>
    <w:uiPriority w:val="99"/>
    <w:rsid w:val="003879DF"/>
    <w:rPr>
      <w:sz w:val="24"/>
      <w:szCs w:val="24"/>
    </w:rPr>
  </w:style>
  <w:style w:type="character" w:styleId="CommentReference">
    <w:name w:val="annotation reference"/>
    <w:rsid w:val="00B36B8A"/>
    <w:rPr>
      <w:sz w:val="16"/>
      <w:szCs w:val="16"/>
    </w:rPr>
  </w:style>
  <w:style w:type="paragraph" w:styleId="CommentText">
    <w:name w:val="annotation text"/>
    <w:basedOn w:val="Normal"/>
    <w:link w:val="CommentTextChar"/>
    <w:rsid w:val="00B36B8A"/>
    <w:rPr>
      <w:sz w:val="20"/>
      <w:szCs w:val="20"/>
    </w:rPr>
  </w:style>
  <w:style w:type="character" w:customStyle="1" w:styleId="CommentTextChar">
    <w:name w:val="Comment Text Char"/>
    <w:basedOn w:val="DefaultParagraphFont"/>
    <w:link w:val="CommentText"/>
    <w:rsid w:val="00B36B8A"/>
  </w:style>
  <w:style w:type="paragraph" w:styleId="CommentSubject">
    <w:name w:val="annotation subject"/>
    <w:basedOn w:val="CommentText"/>
    <w:next w:val="CommentText"/>
    <w:link w:val="CommentSubjectChar"/>
    <w:rsid w:val="00B36B8A"/>
    <w:rPr>
      <w:b/>
      <w:bCs/>
      <w:lang w:val="x-none" w:eastAsia="x-none"/>
    </w:rPr>
  </w:style>
  <w:style w:type="character" w:customStyle="1" w:styleId="CommentSubjectChar">
    <w:name w:val="Comment Subject Char"/>
    <w:link w:val="CommentSubject"/>
    <w:rsid w:val="00B36B8A"/>
    <w:rPr>
      <w:b/>
      <w:bCs/>
    </w:rPr>
  </w:style>
  <w:style w:type="paragraph" w:styleId="FootnoteText">
    <w:name w:val="footnote text"/>
    <w:basedOn w:val="Normal"/>
    <w:link w:val="FootnoteTextChar"/>
    <w:uiPriority w:val="99"/>
    <w:rsid w:val="00967129"/>
    <w:rPr>
      <w:sz w:val="20"/>
      <w:szCs w:val="20"/>
    </w:rPr>
  </w:style>
  <w:style w:type="character" w:customStyle="1" w:styleId="FootnoteTextChar">
    <w:name w:val="Footnote Text Char"/>
    <w:basedOn w:val="DefaultParagraphFont"/>
    <w:link w:val="FootnoteText"/>
    <w:uiPriority w:val="99"/>
    <w:rsid w:val="00967129"/>
  </w:style>
  <w:style w:type="character" w:styleId="FootnoteReference">
    <w:name w:val="footnote reference"/>
    <w:rsid w:val="00967129"/>
    <w:rPr>
      <w:vertAlign w:val="superscript"/>
    </w:rPr>
  </w:style>
  <w:style w:type="character" w:styleId="Strong">
    <w:name w:val="Strong"/>
    <w:uiPriority w:val="22"/>
    <w:qFormat/>
    <w:rsid w:val="00092501"/>
    <w:rPr>
      <w:b/>
      <w:bCs/>
    </w:rPr>
  </w:style>
  <w:style w:type="table" w:styleId="TableGrid">
    <w:name w:val="Table Grid"/>
    <w:basedOn w:val="TableNormal"/>
    <w:rsid w:val="00F33E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link w:val="Footer"/>
    <w:uiPriority w:val="99"/>
    <w:rsid w:val="00843477"/>
    <w:rPr>
      <w:sz w:val="24"/>
      <w:szCs w:val="24"/>
    </w:rPr>
  </w:style>
  <w:style w:type="paragraph" w:customStyle="1" w:styleId="NormalArial">
    <w:name w:val="Normal + Arial"/>
    <w:aliases w:val="Right:  -2.64 cm"/>
    <w:basedOn w:val="Normal"/>
    <w:uiPriority w:val="99"/>
    <w:rsid w:val="00312685"/>
    <w:pPr>
      <w:overflowPunct w:val="0"/>
      <w:autoSpaceDE w:val="0"/>
      <w:autoSpaceDN w:val="0"/>
      <w:adjustRightInd w:val="0"/>
      <w:ind w:right="-1497"/>
      <w:jc w:val="both"/>
      <w:textAlignment w:val="baseline"/>
    </w:pPr>
    <w:rPr>
      <w:rFonts w:ascii="Arial" w:hAnsi="Arial" w:cs="Arial"/>
      <w:sz w:val="20"/>
    </w:rPr>
  </w:style>
  <w:style w:type="paragraph" w:customStyle="1" w:styleId="TOCHeading1">
    <w:name w:val="TOC Heading1"/>
    <w:basedOn w:val="Heading1"/>
    <w:next w:val="Normal"/>
    <w:uiPriority w:val="99"/>
    <w:qFormat/>
    <w:rsid w:val="00312685"/>
    <w:pPr>
      <w:keepLines/>
      <w:spacing w:before="480" w:line="276" w:lineRule="auto"/>
      <w:ind w:left="0"/>
      <w:jc w:val="left"/>
      <w:outlineLvl w:val="9"/>
    </w:pPr>
    <w:rPr>
      <w:rFonts w:ascii="Cambria" w:hAnsi="Cambria"/>
      <w:color w:val="365F91"/>
      <w:sz w:val="28"/>
      <w:szCs w:val="28"/>
    </w:rPr>
  </w:style>
  <w:style w:type="paragraph" w:styleId="TOC2">
    <w:name w:val="toc 2"/>
    <w:basedOn w:val="Normal"/>
    <w:next w:val="Normal"/>
    <w:autoRedefine/>
    <w:uiPriority w:val="39"/>
    <w:rsid w:val="00312685"/>
    <w:pPr>
      <w:tabs>
        <w:tab w:val="left" w:pos="660"/>
        <w:tab w:val="right" w:leader="dot" w:pos="9350"/>
      </w:tabs>
      <w:spacing w:after="240"/>
      <w:ind w:left="200"/>
    </w:pPr>
    <w:rPr>
      <w:b/>
      <w:noProof/>
      <w:sz w:val="20"/>
      <w:szCs w:val="20"/>
    </w:rPr>
  </w:style>
  <w:style w:type="character" w:customStyle="1" w:styleId="Heading1Char">
    <w:name w:val="Heading 1 Char"/>
    <w:link w:val="Heading1"/>
    <w:rsid w:val="00F755E7"/>
    <w:rPr>
      <w:rFonts w:ascii="Arial" w:hAnsi="Arial" w:cs="Arial"/>
      <w:b/>
      <w:bCs/>
    </w:rPr>
  </w:style>
  <w:style w:type="character" w:customStyle="1" w:styleId="Heading2Char">
    <w:name w:val="Heading 2 Char"/>
    <w:link w:val="Heading2"/>
    <w:uiPriority w:val="99"/>
    <w:rsid w:val="00F755E7"/>
    <w:rPr>
      <w:b/>
      <w:bCs/>
      <w:sz w:val="26"/>
      <w:szCs w:val="24"/>
    </w:rPr>
  </w:style>
  <w:style w:type="paragraph" w:styleId="TOC1">
    <w:name w:val="toc 1"/>
    <w:basedOn w:val="Normal"/>
    <w:next w:val="Normal"/>
    <w:autoRedefine/>
    <w:uiPriority w:val="39"/>
    <w:rsid w:val="00DE6E89"/>
  </w:style>
  <w:style w:type="paragraph" w:styleId="EndnoteText">
    <w:name w:val="endnote text"/>
    <w:basedOn w:val="Normal"/>
    <w:link w:val="EndnoteTextChar"/>
    <w:uiPriority w:val="99"/>
    <w:semiHidden/>
    <w:unhideWhenUsed/>
    <w:rsid w:val="00090D90"/>
    <w:rPr>
      <w:sz w:val="20"/>
      <w:szCs w:val="20"/>
    </w:rPr>
  </w:style>
  <w:style w:type="character" w:customStyle="1" w:styleId="EndnoteTextChar">
    <w:name w:val="Endnote Text Char"/>
    <w:basedOn w:val="DefaultParagraphFont"/>
    <w:link w:val="EndnoteText"/>
    <w:uiPriority w:val="99"/>
    <w:semiHidden/>
    <w:rsid w:val="00090D90"/>
  </w:style>
  <w:style w:type="character" w:styleId="EndnoteReference">
    <w:name w:val="endnote reference"/>
    <w:uiPriority w:val="99"/>
    <w:semiHidden/>
    <w:unhideWhenUsed/>
    <w:rsid w:val="00090D90"/>
    <w:rPr>
      <w:vertAlign w:val="superscript"/>
    </w:rPr>
  </w:style>
  <w:style w:type="character" w:styleId="FollowedHyperlink">
    <w:name w:val="FollowedHyperlink"/>
    <w:uiPriority w:val="99"/>
    <w:semiHidden/>
    <w:unhideWhenUsed/>
    <w:rsid w:val="00976E29"/>
    <w:rPr>
      <w:color w:val="800080"/>
      <w:u w:val="single"/>
    </w:rPr>
  </w:style>
  <w:style w:type="paragraph" w:customStyle="1" w:styleId="H1">
    <w:name w:val="H1"/>
    <w:uiPriority w:val="99"/>
    <w:rsid w:val="000134CC"/>
    <w:pPr>
      <w:spacing w:before="60" w:after="60"/>
    </w:pPr>
    <w:rPr>
      <w:rFonts w:cs="Arial"/>
      <w:b/>
      <w:bCs/>
      <w:snapToGrid w:val="0"/>
      <w:kern w:val="32"/>
      <w:sz w:val="24"/>
      <w:szCs w:val="32"/>
      <w:lang w:val="en-GB" w:eastAsia="en-US"/>
    </w:rPr>
  </w:style>
  <w:style w:type="paragraph" w:customStyle="1" w:styleId="H2">
    <w:name w:val="H2"/>
    <w:uiPriority w:val="99"/>
    <w:rsid w:val="000134CC"/>
    <w:rPr>
      <w:rFonts w:cs="Arial"/>
      <w:b/>
      <w:bCs/>
      <w:iCs/>
      <w:snapToGrid w:val="0"/>
      <w:sz w:val="22"/>
      <w:szCs w:val="28"/>
      <w:lang w:val="en-GB" w:eastAsia="en-US"/>
    </w:rPr>
  </w:style>
  <w:style w:type="paragraph" w:styleId="ListParagraph">
    <w:name w:val="List Paragraph"/>
    <w:basedOn w:val="Normal"/>
    <w:uiPriority w:val="34"/>
    <w:qFormat/>
    <w:rsid w:val="00422669"/>
    <w:pPr>
      <w:ind w:left="720"/>
      <w:contextualSpacing/>
    </w:pPr>
  </w:style>
  <w:style w:type="paragraph" w:styleId="BodyTextIndent2">
    <w:name w:val="Body Text Indent 2"/>
    <w:basedOn w:val="Normal"/>
    <w:link w:val="BodyTextIndent2Char"/>
    <w:rsid w:val="00422669"/>
    <w:pPr>
      <w:spacing w:after="120" w:line="480" w:lineRule="auto"/>
      <w:ind w:left="360"/>
    </w:pPr>
  </w:style>
  <w:style w:type="character" w:customStyle="1" w:styleId="BodyTextIndent2Char">
    <w:name w:val="Body Text Indent 2 Char"/>
    <w:link w:val="BodyTextIndent2"/>
    <w:uiPriority w:val="99"/>
    <w:rsid w:val="00422669"/>
    <w:rPr>
      <w:sz w:val="24"/>
      <w:szCs w:val="24"/>
    </w:rPr>
  </w:style>
  <w:style w:type="character" w:customStyle="1" w:styleId="hps">
    <w:name w:val="hps"/>
    <w:uiPriority w:val="99"/>
    <w:rsid w:val="005268E7"/>
    <w:rPr>
      <w:rFonts w:cs="Times New Roman"/>
    </w:rPr>
  </w:style>
  <w:style w:type="paragraph" w:customStyle="1" w:styleId="Normal1">
    <w:name w:val="Normal1"/>
    <w:basedOn w:val="Normal"/>
    <w:rsid w:val="00921C8D"/>
    <w:rPr>
      <w:rFonts w:eastAsia="MS Mincho"/>
      <w:lang w:eastAsia="ja-JP"/>
    </w:rPr>
  </w:style>
  <w:style w:type="paragraph" w:customStyle="1" w:styleId="body0020text00202">
    <w:name w:val="body_0020text_00202"/>
    <w:basedOn w:val="Normal"/>
    <w:rsid w:val="00921C8D"/>
    <w:pPr>
      <w:spacing w:after="120" w:line="480" w:lineRule="atLeast"/>
    </w:pPr>
    <w:rPr>
      <w:rFonts w:eastAsia="MS Mincho"/>
      <w:lang w:eastAsia="ja-JP"/>
    </w:rPr>
  </w:style>
  <w:style w:type="character" w:customStyle="1" w:styleId="normalchar1">
    <w:name w:val="normal__char1"/>
    <w:rsid w:val="00921C8D"/>
    <w:rPr>
      <w:rFonts w:ascii="Times New Roman" w:hAnsi="Times New Roman" w:cs="Times New Roman" w:hint="default"/>
      <w:sz w:val="24"/>
      <w:szCs w:val="24"/>
    </w:rPr>
  </w:style>
  <w:style w:type="character" w:customStyle="1" w:styleId="HeaderChar">
    <w:name w:val="Header Char"/>
    <w:link w:val="Header"/>
    <w:locked/>
    <w:rsid w:val="00311774"/>
    <w:rPr>
      <w:sz w:val="24"/>
      <w:szCs w:val="24"/>
    </w:rPr>
  </w:style>
  <w:style w:type="character" w:customStyle="1" w:styleId="FootnoteTextChar1">
    <w:name w:val="Footnote Text Char1"/>
    <w:basedOn w:val="DefaultParagraphFont"/>
    <w:rsid w:val="00311774"/>
  </w:style>
  <w:style w:type="character" w:customStyle="1" w:styleId="BodyTextChar">
    <w:name w:val="Body Text Char"/>
    <w:link w:val="BodyText"/>
    <w:rsid w:val="00040C9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99638">
      <w:bodyDiv w:val="1"/>
      <w:marLeft w:val="0"/>
      <w:marRight w:val="0"/>
      <w:marTop w:val="0"/>
      <w:marBottom w:val="0"/>
      <w:divBdr>
        <w:top w:val="none" w:sz="0" w:space="0" w:color="auto"/>
        <w:left w:val="none" w:sz="0" w:space="0" w:color="auto"/>
        <w:bottom w:val="none" w:sz="0" w:space="0" w:color="auto"/>
        <w:right w:val="none" w:sz="0" w:space="0" w:color="auto"/>
      </w:divBdr>
    </w:div>
    <w:div w:id="410277288">
      <w:bodyDiv w:val="1"/>
      <w:marLeft w:val="0"/>
      <w:marRight w:val="0"/>
      <w:marTop w:val="0"/>
      <w:marBottom w:val="0"/>
      <w:divBdr>
        <w:top w:val="none" w:sz="0" w:space="0" w:color="auto"/>
        <w:left w:val="none" w:sz="0" w:space="0" w:color="auto"/>
        <w:bottom w:val="none" w:sz="0" w:space="0" w:color="auto"/>
        <w:right w:val="none" w:sz="0" w:space="0" w:color="auto"/>
      </w:divBdr>
    </w:div>
    <w:div w:id="1291473889">
      <w:bodyDiv w:val="1"/>
      <w:marLeft w:val="0"/>
      <w:marRight w:val="0"/>
      <w:marTop w:val="0"/>
      <w:marBottom w:val="0"/>
      <w:divBdr>
        <w:top w:val="none" w:sz="0" w:space="0" w:color="auto"/>
        <w:left w:val="none" w:sz="0" w:space="0" w:color="auto"/>
        <w:bottom w:val="none" w:sz="0" w:space="0" w:color="auto"/>
        <w:right w:val="none" w:sz="0" w:space="0" w:color="auto"/>
      </w:divBdr>
      <w:divsChild>
        <w:div w:id="1693417213">
          <w:marLeft w:val="0"/>
          <w:marRight w:val="0"/>
          <w:marTop w:val="0"/>
          <w:marBottom w:val="360"/>
          <w:divBdr>
            <w:top w:val="none" w:sz="0" w:space="0" w:color="auto"/>
            <w:left w:val="none" w:sz="0" w:space="0" w:color="auto"/>
            <w:bottom w:val="none" w:sz="0" w:space="0" w:color="auto"/>
            <w:right w:val="none" w:sz="0" w:space="0" w:color="auto"/>
          </w:divBdr>
        </w:div>
      </w:divsChild>
    </w:div>
    <w:div w:id="1608392018">
      <w:bodyDiv w:val="1"/>
      <w:marLeft w:val="0"/>
      <w:marRight w:val="0"/>
      <w:marTop w:val="0"/>
      <w:marBottom w:val="0"/>
      <w:divBdr>
        <w:top w:val="none" w:sz="0" w:space="0" w:color="auto"/>
        <w:left w:val="none" w:sz="0" w:space="0" w:color="auto"/>
        <w:bottom w:val="none" w:sz="0" w:space="0" w:color="auto"/>
        <w:right w:val="none" w:sz="0" w:space="0" w:color="auto"/>
      </w:divBdr>
      <w:divsChild>
        <w:div w:id="1654872997">
          <w:marLeft w:val="0"/>
          <w:marRight w:val="0"/>
          <w:marTop w:val="0"/>
          <w:marBottom w:val="360"/>
          <w:divBdr>
            <w:top w:val="none" w:sz="0" w:space="0" w:color="auto"/>
            <w:left w:val="none" w:sz="0" w:space="0" w:color="auto"/>
            <w:bottom w:val="none" w:sz="0" w:space="0" w:color="auto"/>
            <w:right w:val="none" w:sz="0" w:space="0" w:color="auto"/>
          </w:divBdr>
        </w:div>
      </w:divsChild>
    </w:div>
    <w:div w:id="1751806115">
      <w:bodyDiv w:val="1"/>
      <w:marLeft w:val="0"/>
      <w:marRight w:val="0"/>
      <w:marTop w:val="0"/>
      <w:marBottom w:val="0"/>
      <w:divBdr>
        <w:top w:val="none" w:sz="0" w:space="0" w:color="auto"/>
        <w:left w:val="none" w:sz="0" w:space="0" w:color="auto"/>
        <w:bottom w:val="none" w:sz="0" w:space="0" w:color="auto"/>
        <w:right w:val="none" w:sz="0" w:space="0" w:color="auto"/>
      </w:divBdr>
    </w:div>
    <w:div w:id="1796019748">
      <w:bodyDiv w:val="1"/>
      <w:marLeft w:val="0"/>
      <w:marRight w:val="0"/>
      <w:marTop w:val="0"/>
      <w:marBottom w:val="0"/>
      <w:divBdr>
        <w:top w:val="none" w:sz="0" w:space="0" w:color="auto"/>
        <w:left w:val="none" w:sz="0" w:space="0" w:color="auto"/>
        <w:bottom w:val="none" w:sz="0" w:space="0" w:color="auto"/>
        <w:right w:val="none" w:sz="0" w:space="0" w:color="auto"/>
      </w:divBdr>
      <w:divsChild>
        <w:div w:id="1269388967">
          <w:marLeft w:val="0"/>
          <w:marRight w:val="0"/>
          <w:marTop w:val="0"/>
          <w:marBottom w:val="360"/>
          <w:divBdr>
            <w:top w:val="none" w:sz="0" w:space="0" w:color="auto"/>
            <w:left w:val="none" w:sz="0" w:space="0" w:color="auto"/>
            <w:bottom w:val="none" w:sz="0" w:space="0" w:color="auto"/>
            <w:right w:val="none" w:sz="0" w:space="0" w:color="auto"/>
          </w:divBdr>
        </w:div>
      </w:divsChild>
    </w:div>
    <w:div w:id="1798255927">
      <w:bodyDiv w:val="1"/>
      <w:marLeft w:val="0"/>
      <w:marRight w:val="0"/>
      <w:marTop w:val="0"/>
      <w:marBottom w:val="0"/>
      <w:divBdr>
        <w:top w:val="none" w:sz="0" w:space="0" w:color="auto"/>
        <w:left w:val="none" w:sz="0" w:space="0" w:color="auto"/>
        <w:bottom w:val="none" w:sz="0" w:space="0" w:color="auto"/>
        <w:right w:val="none" w:sz="0" w:space="0" w:color="auto"/>
      </w:divBdr>
      <w:divsChild>
        <w:div w:id="1134103472">
          <w:marLeft w:val="0"/>
          <w:marRight w:val="0"/>
          <w:marTop w:val="0"/>
          <w:marBottom w:val="360"/>
          <w:divBdr>
            <w:top w:val="none" w:sz="0" w:space="0" w:color="auto"/>
            <w:left w:val="none" w:sz="0" w:space="0" w:color="auto"/>
            <w:bottom w:val="none" w:sz="0" w:space="0" w:color="auto"/>
            <w:right w:val="none" w:sz="0" w:space="0" w:color="auto"/>
          </w:divBdr>
        </w:div>
      </w:divsChild>
    </w:div>
    <w:div w:id="1818959356">
      <w:bodyDiv w:val="1"/>
      <w:marLeft w:val="0"/>
      <w:marRight w:val="0"/>
      <w:marTop w:val="0"/>
      <w:marBottom w:val="0"/>
      <w:divBdr>
        <w:top w:val="none" w:sz="0" w:space="0" w:color="auto"/>
        <w:left w:val="none" w:sz="0" w:space="0" w:color="auto"/>
        <w:bottom w:val="none" w:sz="0" w:space="0" w:color="auto"/>
        <w:right w:val="none" w:sz="0" w:space="0" w:color="auto"/>
      </w:divBdr>
      <w:divsChild>
        <w:div w:id="1032455938">
          <w:marLeft w:val="0"/>
          <w:marRight w:val="0"/>
          <w:marTop w:val="0"/>
          <w:marBottom w:val="0"/>
          <w:divBdr>
            <w:top w:val="none" w:sz="0" w:space="0" w:color="auto"/>
            <w:left w:val="none" w:sz="0" w:space="0" w:color="auto"/>
            <w:bottom w:val="none" w:sz="0" w:space="0" w:color="auto"/>
            <w:right w:val="none" w:sz="0" w:space="0" w:color="auto"/>
          </w:divBdr>
        </w:div>
      </w:divsChild>
    </w:div>
    <w:div w:id="1949772186">
      <w:bodyDiv w:val="1"/>
      <w:marLeft w:val="0"/>
      <w:marRight w:val="0"/>
      <w:marTop w:val="0"/>
      <w:marBottom w:val="0"/>
      <w:divBdr>
        <w:top w:val="none" w:sz="0" w:space="0" w:color="auto"/>
        <w:left w:val="none" w:sz="0" w:space="0" w:color="auto"/>
        <w:bottom w:val="none" w:sz="0" w:space="0" w:color="auto"/>
        <w:right w:val="none" w:sz="0" w:space="0" w:color="auto"/>
      </w:divBdr>
      <w:divsChild>
        <w:div w:id="22461177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CED85-8465-41D1-8362-B6C46BEBE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9711</Words>
  <Characters>55357</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64939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dc:creator>
  <cp:lastModifiedBy>Emmanuel Calixte</cp:lastModifiedBy>
  <cp:revision>2</cp:revision>
  <cp:lastPrinted>2014-03-28T15:38:00Z</cp:lastPrinted>
  <dcterms:created xsi:type="dcterms:W3CDTF">2014-03-31T14:45:00Z</dcterms:created>
  <dcterms:modified xsi:type="dcterms:W3CDTF">2014-03-31T14:45:00Z</dcterms:modified>
</cp:coreProperties>
</file>