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53"/>
        <w:gridCol w:w="5105"/>
        <w:gridCol w:w="1710"/>
      </w:tblGrid>
      <w:tr w:rsidR="001114B2" w:rsidRPr="00D8339C" w:rsidTr="00C5660F">
        <w:trPr>
          <w:trHeight w:val="1745"/>
        </w:trPr>
        <w:tc>
          <w:tcPr>
            <w:tcW w:w="3553" w:type="dxa"/>
            <w:shd w:val="clear" w:color="auto" w:fill="auto"/>
          </w:tcPr>
          <w:p w:rsidR="001114B2" w:rsidRPr="00D8339C" w:rsidRDefault="001114B2" w:rsidP="00F923BC">
            <w:pPr>
              <w:jc w:val="right"/>
            </w:pPr>
          </w:p>
          <w:p w:rsidR="001114B2" w:rsidRPr="00D8339C" w:rsidRDefault="001A2F79" w:rsidP="00F923BC">
            <w:r>
              <w:rPr>
                <w:noProof/>
              </w:rPr>
              <w:drawing>
                <wp:inline distT="0" distB="0" distL="0" distR="0">
                  <wp:extent cx="1638300" cy="304800"/>
                  <wp:effectExtent l="19050" t="0" r="0"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8"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5105" w:type="dxa"/>
            <w:shd w:val="clear" w:color="auto" w:fill="auto"/>
          </w:tcPr>
          <w:p w:rsidR="001114B2" w:rsidRPr="00D8339C" w:rsidRDefault="001114B2" w:rsidP="00F923BC">
            <w:pPr>
              <w:jc w:val="right"/>
              <w:rPr>
                <w:noProof/>
              </w:rPr>
            </w:pPr>
          </w:p>
          <w:p w:rsidR="001114B2" w:rsidRPr="00D8339C" w:rsidRDefault="001114B2" w:rsidP="00F923BC">
            <w:pPr>
              <w:jc w:val="right"/>
              <w:rPr>
                <w:noProof/>
              </w:rPr>
            </w:pPr>
          </w:p>
          <w:p w:rsidR="001114B2" w:rsidRPr="00D8339C" w:rsidRDefault="001114B2" w:rsidP="00F923BC">
            <w:pPr>
              <w:jc w:val="right"/>
              <w:rPr>
                <w:b/>
                <w:u w:val="single"/>
              </w:rPr>
            </w:pPr>
          </w:p>
        </w:tc>
        <w:tc>
          <w:tcPr>
            <w:tcW w:w="1710" w:type="dxa"/>
            <w:shd w:val="clear" w:color="auto" w:fill="auto"/>
          </w:tcPr>
          <w:p w:rsidR="001114B2" w:rsidRPr="00D8339C" w:rsidRDefault="001A2F79" w:rsidP="00F923BC">
            <w:pPr>
              <w:jc w:val="right"/>
              <w:rPr>
                <w:b/>
                <w:u w:val="single"/>
              </w:rPr>
            </w:pPr>
            <w:r>
              <w:rPr>
                <w:b/>
                <w:iCs/>
                <w:noProof/>
                <w:color w:val="333399"/>
              </w:rPr>
              <w:drawing>
                <wp:inline distT="0" distB="0" distL="0" distR="0">
                  <wp:extent cx="562610" cy="1059815"/>
                  <wp:effectExtent l="19050" t="0" r="889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62610" cy="1059815"/>
                          </a:xfrm>
                          <a:prstGeom prst="rect">
                            <a:avLst/>
                          </a:prstGeom>
                          <a:noFill/>
                        </pic:spPr>
                      </pic:pic>
                    </a:graphicData>
                  </a:graphic>
                </wp:inline>
              </w:drawing>
            </w:r>
          </w:p>
        </w:tc>
      </w:tr>
    </w:tbl>
    <w:p w:rsidR="00875706" w:rsidRPr="00D8339C" w:rsidRDefault="00B314B8" w:rsidP="00F923BC">
      <w:pPr>
        <w:jc w:val="center"/>
        <w:rPr>
          <w:b/>
        </w:rPr>
      </w:pPr>
      <w:r w:rsidRPr="00D8339C">
        <w:rPr>
          <w:b/>
        </w:rPr>
        <w:t>Lebanon Recovery Fund</w:t>
      </w:r>
    </w:p>
    <w:p w:rsidR="00875706" w:rsidRPr="00D8339C" w:rsidRDefault="00875706" w:rsidP="00F923BC">
      <w:pPr>
        <w:jc w:val="center"/>
        <w:rPr>
          <w:b/>
          <w:bCs/>
          <w:caps/>
        </w:rPr>
      </w:pPr>
      <w:r w:rsidRPr="00D8339C">
        <w:rPr>
          <w:b/>
          <w:bCs/>
          <w:caps/>
        </w:rPr>
        <w:t xml:space="preserve">MPTF OFfice GENERIC </w:t>
      </w:r>
      <w:r w:rsidR="003C115A" w:rsidRPr="00D8339C">
        <w:rPr>
          <w:b/>
          <w:bCs/>
          <w:caps/>
        </w:rPr>
        <w:t>final</w:t>
      </w:r>
      <w:r w:rsidR="00B314B8" w:rsidRPr="00D8339C">
        <w:rPr>
          <w:b/>
          <w:bCs/>
          <w:caps/>
        </w:rPr>
        <w:t xml:space="preserve"> </w:t>
      </w:r>
      <w:r w:rsidRPr="00D8339C">
        <w:rPr>
          <w:b/>
          <w:bCs/>
          <w:caps/>
        </w:rPr>
        <w:t>programme</w:t>
      </w:r>
      <w:r w:rsidRPr="00D8339C">
        <w:rPr>
          <w:rStyle w:val="FootnoteReference"/>
          <w:b/>
          <w:bCs/>
          <w:caps/>
        </w:rPr>
        <w:footnoteReference w:id="1"/>
      </w:r>
      <w:r w:rsidR="003C115A" w:rsidRPr="00D8339C">
        <w:rPr>
          <w:b/>
          <w:bCs/>
          <w:caps/>
        </w:rPr>
        <w:t xml:space="preserve"> NARRATIVE </w:t>
      </w:r>
      <w:r w:rsidRPr="00D8339C">
        <w:rPr>
          <w:b/>
          <w:bCs/>
          <w:caps/>
        </w:rPr>
        <w:t xml:space="preserve">report </w:t>
      </w:r>
    </w:p>
    <w:p w:rsidR="00875706" w:rsidRPr="00D8339C" w:rsidRDefault="00875706" w:rsidP="00F923BC">
      <w:pPr>
        <w:jc w:val="center"/>
        <w:rPr>
          <w:b/>
          <w:bCs/>
          <w:i/>
        </w:rPr>
      </w:pPr>
      <w:r w:rsidRPr="00D8339C">
        <w:rPr>
          <w:b/>
          <w:bCs/>
          <w:caps/>
        </w:rPr>
        <w:t xml:space="preserve">REPORTING PERIOD: </w:t>
      </w:r>
      <w:r w:rsidR="00416A74" w:rsidRPr="00D8339C">
        <w:rPr>
          <w:b/>
          <w:bCs/>
          <w:caps/>
        </w:rPr>
        <w:t xml:space="preserve">from </w:t>
      </w:r>
      <w:r w:rsidR="00E96AB6" w:rsidRPr="00D8339C">
        <w:rPr>
          <w:b/>
          <w:bCs/>
          <w:caps/>
        </w:rPr>
        <w:t>20</w:t>
      </w:r>
      <w:r w:rsidR="00914178" w:rsidRPr="00D8339C">
        <w:rPr>
          <w:b/>
          <w:bCs/>
        </w:rPr>
        <w:t>.</w:t>
      </w:r>
      <w:r w:rsidR="00E96AB6" w:rsidRPr="00D8339C">
        <w:rPr>
          <w:b/>
          <w:bCs/>
        </w:rPr>
        <w:t>08.2009</w:t>
      </w:r>
      <w:r w:rsidR="00914178" w:rsidRPr="00D8339C">
        <w:rPr>
          <w:b/>
          <w:bCs/>
          <w:caps/>
        </w:rPr>
        <w:t xml:space="preserve"> </w:t>
      </w:r>
      <w:r w:rsidR="00416A74" w:rsidRPr="00D8339C">
        <w:rPr>
          <w:b/>
          <w:bCs/>
          <w:caps/>
        </w:rPr>
        <w:t xml:space="preserve">to </w:t>
      </w:r>
      <w:r w:rsidR="00E96AB6" w:rsidRPr="00D8339C">
        <w:rPr>
          <w:b/>
          <w:bCs/>
          <w:caps/>
        </w:rPr>
        <w:t>30</w:t>
      </w:r>
      <w:r w:rsidR="00914178" w:rsidRPr="00D8339C">
        <w:rPr>
          <w:b/>
          <w:bCs/>
        </w:rPr>
        <w:t>.</w:t>
      </w:r>
      <w:r w:rsidR="00E96AB6" w:rsidRPr="00D8339C">
        <w:rPr>
          <w:b/>
          <w:bCs/>
        </w:rPr>
        <w:t>09.2013</w:t>
      </w:r>
    </w:p>
    <w:p w:rsidR="00D07807" w:rsidRPr="00D8339C" w:rsidRDefault="00D07807" w:rsidP="00F923BC">
      <w:pPr>
        <w:jc w:val="center"/>
        <w:rPr>
          <w:b/>
          <w:bCs/>
          <w:caps/>
        </w:rPr>
      </w:pPr>
    </w:p>
    <w:tbl>
      <w:tblPr>
        <w:tblW w:w="10732" w:type="dxa"/>
        <w:tblInd w:w="-72" w:type="dxa"/>
        <w:tblLayout w:type="fixed"/>
        <w:tblLook w:val="01E0"/>
      </w:tblPr>
      <w:tblGrid>
        <w:gridCol w:w="2970"/>
        <w:gridCol w:w="2172"/>
        <w:gridCol w:w="258"/>
        <w:gridCol w:w="5332"/>
      </w:tblGrid>
      <w:tr w:rsidR="00875706" w:rsidRPr="00D8339C" w:rsidTr="00C850A3">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D8339C" w:rsidRDefault="00875706" w:rsidP="00F923BC">
            <w:pPr>
              <w:pStyle w:val="H1"/>
              <w:jc w:val="center"/>
              <w:rPr>
                <w:rFonts w:cs="Times New Roman"/>
                <w:szCs w:val="24"/>
              </w:rPr>
            </w:pPr>
            <w:r w:rsidRPr="00D8339C">
              <w:rPr>
                <w:rFonts w:cs="Times New Roman"/>
                <w:szCs w:val="24"/>
              </w:rPr>
              <w:t>Programme Title &amp; Project Number</w:t>
            </w:r>
          </w:p>
        </w:tc>
        <w:tc>
          <w:tcPr>
            <w:tcW w:w="258" w:type="dxa"/>
            <w:vMerge w:val="restart"/>
            <w:tcBorders>
              <w:left w:val="single" w:sz="4" w:space="0" w:color="auto"/>
              <w:right w:val="single" w:sz="4" w:space="0" w:color="auto"/>
            </w:tcBorders>
            <w:vAlign w:val="center"/>
          </w:tcPr>
          <w:p w:rsidR="00875706" w:rsidRPr="00D8339C" w:rsidRDefault="00875706" w:rsidP="00F923BC">
            <w:pPr>
              <w:jc w:val="center"/>
            </w:pPr>
          </w:p>
        </w:tc>
        <w:tc>
          <w:tcPr>
            <w:tcW w:w="5332" w:type="dxa"/>
            <w:tcBorders>
              <w:top w:val="single" w:sz="4" w:space="0" w:color="auto"/>
              <w:left w:val="single" w:sz="4" w:space="0" w:color="auto"/>
              <w:right w:val="single" w:sz="4" w:space="0" w:color="auto"/>
            </w:tcBorders>
            <w:shd w:val="clear" w:color="auto" w:fill="F3F3F3"/>
            <w:vAlign w:val="center"/>
          </w:tcPr>
          <w:p w:rsidR="00875706" w:rsidRPr="00D8339C" w:rsidRDefault="00875706" w:rsidP="00F923BC">
            <w:pPr>
              <w:pStyle w:val="H1"/>
              <w:jc w:val="center"/>
              <w:rPr>
                <w:rFonts w:cs="Times New Roman"/>
                <w:szCs w:val="24"/>
              </w:rPr>
            </w:pPr>
            <w:r w:rsidRPr="00D8339C">
              <w:rPr>
                <w:rFonts w:cs="Times New Roman"/>
                <w:szCs w:val="24"/>
              </w:rPr>
              <w:t>Country, Locality(s), Priority Area(s) / Strategic Results</w:t>
            </w:r>
            <w:r w:rsidRPr="00D8339C">
              <w:rPr>
                <w:rStyle w:val="FootnoteReference"/>
                <w:rFonts w:cs="Times New Roman"/>
                <w:szCs w:val="24"/>
              </w:rPr>
              <w:footnoteReference w:id="2"/>
            </w:r>
          </w:p>
        </w:tc>
      </w:tr>
      <w:tr w:rsidR="00130AA4" w:rsidRPr="00D8339C" w:rsidTr="00C97A55">
        <w:tblPrEx>
          <w:tblCellMar>
            <w:top w:w="0" w:type="dxa"/>
            <w:bottom w:w="0" w:type="dxa"/>
          </w:tblCellMar>
        </w:tblPrEx>
        <w:trPr>
          <w:trHeight w:val="300"/>
        </w:trPr>
        <w:tc>
          <w:tcPr>
            <w:tcW w:w="5142" w:type="dxa"/>
            <w:gridSpan w:val="2"/>
            <w:vMerge w:val="restart"/>
            <w:tcBorders>
              <w:left w:val="single" w:sz="4" w:space="0" w:color="auto"/>
              <w:right w:val="single" w:sz="4" w:space="0" w:color="auto"/>
            </w:tcBorders>
          </w:tcPr>
          <w:p w:rsidR="00130AA4" w:rsidRPr="00D8339C" w:rsidRDefault="00130AA4" w:rsidP="005200C0">
            <w:pPr>
              <w:pStyle w:val="BodyText"/>
              <w:numPr>
                <w:ilvl w:val="0"/>
                <w:numId w:val="2"/>
              </w:numPr>
              <w:spacing w:before="60" w:after="60"/>
              <w:ind w:left="342"/>
              <w:rPr>
                <w:rFonts w:ascii="Times New Roman" w:hAnsi="Times New Roman" w:cs="Times New Roman"/>
                <w:b/>
                <w:iCs/>
                <w:snapToGrid w:val="0"/>
                <w:sz w:val="24"/>
                <w:szCs w:val="24"/>
              </w:rPr>
            </w:pPr>
            <w:r w:rsidRPr="00D8339C">
              <w:rPr>
                <w:rFonts w:ascii="Times New Roman" w:hAnsi="Times New Roman" w:cs="Times New Roman"/>
                <w:bCs/>
                <w:iCs/>
                <w:snapToGrid w:val="0"/>
                <w:sz w:val="24"/>
                <w:szCs w:val="24"/>
              </w:rPr>
              <w:t>Programme Title:</w:t>
            </w:r>
            <w:r w:rsidRPr="00D8339C">
              <w:rPr>
                <w:rFonts w:ascii="Times New Roman" w:hAnsi="Times New Roman" w:cs="Times New Roman"/>
                <w:b/>
                <w:iCs/>
                <w:snapToGrid w:val="0"/>
                <w:sz w:val="24"/>
                <w:szCs w:val="24"/>
              </w:rPr>
              <w:t xml:space="preserve"> Recovery of Nahr el Bared </w:t>
            </w:r>
            <w:r w:rsidR="00007035" w:rsidRPr="00D8339C">
              <w:rPr>
                <w:rFonts w:ascii="Times New Roman" w:hAnsi="Times New Roman" w:cs="Times New Roman"/>
                <w:b/>
                <w:iCs/>
                <w:snapToGrid w:val="0"/>
                <w:sz w:val="24"/>
                <w:szCs w:val="24"/>
              </w:rPr>
              <w:t>Surrounding Lebanese Communities Affected by 2006 and 2007 C</w:t>
            </w:r>
            <w:r w:rsidRPr="00D8339C">
              <w:rPr>
                <w:rFonts w:ascii="Times New Roman" w:hAnsi="Times New Roman" w:cs="Times New Roman"/>
                <w:b/>
                <w:iCs/>
                <w:snapToGrid w:val="0"/>
                <w:sz w:val="24"/>
                <w:szCs w:val="24"/>
              </w:rPr>
              <w:t>onflicts</w:t>
            </w:r>
          </w:p>
          <w:p w:rsidR="00130AA4" w:rsidRPr="00D8339C" w:rsidRDefault="00130AA4" w:rsidP="005200C0">
            <w:pPr>
              <w:pStyle w:val="BodyText"/>
              <w:numPr>
                <w:ilvl w:val="0"/>
                <w:numId w:val="2"/>
              </w:numPr>
              <w:spacing w:before="60" w:after="60"/>
              <w:ind w:left="342"/>
              <w:rPr>
                <w:rFonts w:ascii="Times New Roman" w:hAnsi="Times New Roman" w:cs="Times New Roman"/>
                <w:b/>
                <w:snapToGrid w:val="0"/>
                <w:sz w:val="24"/>
                <w:szCs w:val="24"/>
                <w:lang w:val="en-GB"/>
              </w:rPr>
            </w:pPr>
            <w:r w:rsidRPr="00D8339C">
              <w:rPr>
                <w:rFonts w:ascii="Times New Roman" w:hAnsi="Times New Roman" w:cs="Times New Roman"/>
                <w:bCs/>
                <w:iCs/>
                <w:snapToGrid w:val="0"/>
                <w:sz w:val="24"/>
                <w:szCs w:val="24"/>
              </w:rPr>
              <w:t xml:space="preserve">Programme Number: </w:t>
            </w:r>
            <w:r w:rsidRPr="00D8339C">
              <w:rPr>
                <w:rFonts w:ascii="Times New Roman" w:hAnsi="Times New Roman" w:cs="Times New Roman"/>
                <w:b/>
                <w:snapToGrid w:val="0"/>
                <w:sz w:val="24"/>
                <w:szCs w:val="24"/>
                <w:lang w:val="en-GB"/>
              </w:rPr>
              <w:t>00072768 – LRF 24</w:t>
            </w:r>
          </w:p>
          <w:p w:rsidR="00130AA4" w:rsidRPr="00D8339C" w:rsidRDefault="00130AA4" w:rsidP="005200C0">
            <w:pPr>
              <w:pStyle w:val="BodyText"/>
              <w:numPr>
                <w:ilvl w:val="0"/>
                <w:numId w:val="2"/>
              </w:numPr>
              <w:spacing w:before="60" w:after="60"/>
              <w:ind w:left="342"/>
              <w:jc w:val="both"/>
              <w:rPr>
                <w:rFonts w:ascii="Times New Roman" w:hAnsi="Times New Roman" w:cs="Times New Roman"/>
                <w:i/>
                <w:sz w:val="24"/>
                <w:szCs w:val="24"/>
              </w:rPr>
            </w:pPr>
            <w:r w:rsidRPr="00D8339C">
              <w:rPr>
                <w:rFonts w:ascii="Times New Roman" w:hAnsi="Times New Roman" w:cs="Times New Roman"/>
                <w:bCs/>
                <w:iCs/>
                <w:snapToGrid w:val="0"/>
                <w:sz w:val="24"/>
                <w:szCs w:val="24"/>
              </w:rPr>
              <w:t>MPTF Office Project Reference Number:</w:t>
            </w:r>
            <w:r w:rsidRPr="00D8339C">
              <w:rPr>
                <w:rStyle w:val="FootnoteReference"/>
                <w:rFonts w:ascii="Times New Roman" w:hAnsi="Times New Roman" w:cs="Times New Roman"/>
                <w:bCs/>
                <w:iCs/>
                <w:snapToGrid w:val="0"/>
                <w:sz w:val="24"/>
                <w:szCs w:val="24"/>
              </w:rPr>
              <w:footnoteReference w:id="3"/>
            </w:r>
            <w:r w:rsidRPr="00D8339C">
              <w:rPr>
                <w:rFonts w:ascii="Times New Roman" w:hAnsi="Times New Roman" w:cs="Times New Roman"/>
                <w:i/>
                <w:sz w:val="24"/>
                <w:szCs w:val="24"/>
              </w:rPr>
              <w:t xml:space="preserve"> </w:t>
            </w:r>
            <w:r w:rsidRPr="00D8339C">
              <w:rPr>
                <w:rFonts w:ascii="Times New Roman" w:hAnsi="Times New Roman" w:cs="Times New Roman"/>
                <w:b/>
                <w:bCs/>
                <w:iCs/>
                <w:sz w:val="24"/>
                <w:szCs w:val="24"/>
              </w:rPr>
              <w:t>00072096</w:t>
            </w:r>
            <w:r w:rsidRPr="00D8339C">
              <w:rPr>
                <w:rFonts w:ascii="Times New Roman" w:hAnsi="Times New Roman" w:cs="Times New Roman"/>
                <w:i/>
                <w:sz w:val="24"/>
                <w:szCs w:val="24"/>
              </w:rPr>
              <w:t xml:space="preserve"> </w:t>
            </w:r>
          </w:p>
        </w:tc>
        <w:tc>
          <w:tcPr>
            <w:tcW w:w="258" w:type="dxa"/>
            <w:vMerge/>
            <w:tcBorders>
              <w:left w:val="single" w:sz="4" w:space="0" w:color="auto"/>
              <w:right w:val="single" w:sz="4" w:space="0" w:color="auto"/>
            </w:tcBorders>
          </w:tcPr>
          <w:p w:rsidR="00130AA4" w:rsidRPr="00D8339C" w:rsidRDefault="00130AA4" w:rsidP="00F923BC">
            <w:pPr>
              <w:pStyle w:val="BodyText"/>
              <w:rPr>
                <w:rFonts w:ascii="Times New Roman" w:hAnsi="Times New Roman" w:cs="Times New Roman"/>
                <w:sz w:val="24"/>
                <w:szCs w:val="24"/>
              </w:rPr>
            </w:pPr>
          </w:p>
        </w:tc>
        <w:tc>
          <w:tcPr>
            <w:tcW w:w="5332" w:type="dxa"/>
            <w:tcBorders>
              <w:left w:val="single" w:sz="4" w:space="0" w:color="auto"/>
              <w:bottom w:val="single" w:sz="4" w:space="0" w:color="auto"/>
              <w:right w:val="single" w:sz="4" w:space="0" w:color="auto"/>
            </w:tcBorders>
            <w:vAlign w:val="center"/>
          </w:tcPr>
          <w:p w:rsidR="00130AA4" w:rsidRPr="00D8339C" w:rsidRDefault="00130AA4" w:rsidP="00F923BC">
            <w:pPr>
              <w:pStyle w:val="BodyText"/>
              <w:rPr>
                <w:rFonts w:ascii="Times New Roman" w:hAnsi="Times New Roman" w:cs="Times New Roman"/>
                <w:bCs/>
                <w:snapToGrid w:val="0"/>
                <w:sz w:val="24"/>
                <w:szCs w:val="24"/>
              </w:rPr>
            </w:pPr>
            <w:r w:rsidRPr="00D8339C">
              <w:rPr>
                <w:rFonts w:ascii="Times New Roman" w:hAnsi="Times New Roman" w:cs="Times New Roman"/>
                <w:bCs/>
                <w:i/>
                <w:iCs/>
                <w:snapToGrid w:val="0"/>
                <w:sz w:val="24"/>
                <w:szCs w:val="24"/>
              </w:rPr>
              <w:t xml:space="preserve">Country/Region: </w:t>
            </w:r>
            <w:r w:rsidRPr="00D8339C">
              <w:rPr>
                <w:rFonts w:ascii="Times New Roman" w:hAnsi="Times New Roman" w:cs="Times New Roman"/>
                <w:b/>
                <w:snapToGrid w:val="0"/>
                <w:sz w:val="24"/>
                <w:szCs w:val="24"/>
              </w:rPr>
              <w:t>Lebanon/North-Lebanon</w:t>
            </w:r>
          </w:p>
        </w:tc>
      </w:tr>
      <w:tr w:rsidR="00130AA4" w:rsidRPr="00D8339C" w:rsidTr="00C97A55">
        <w:tblPrEx>
          <w:tblCellMar>
            <w:top w:w="0" w:type="dxa"/>
            <w:bottom w:w="0" w:type="dxa"/>
          </w:tblCellMar>
        </w:tblPrEx>
        <w:trPr>
          <w:trHeight w:val="426"/>
        </w:trPr>
        <w:tc>
          <w:tcPr>
            <w:tcW w:w="5142" w:type="dxa"/>
            <w:gridSpan w:val="2"/>
            <w:vMerge/>
            <w:tcBorders>
              <w:left w:val="single" w:sz="4" w:space="0" w:color="auto"/>
              <w:bottom w:val="single" w:sz="4" w:space="0" w:color="auto"/>
              <w:right w:val="single" w:sz="4" w:space="0" w:color="auto"/>
            </w:tcBorders>
          </w:tcPr>
          <w:p w:rsidR="00130AA4" w:rsidRPr="00D8339C" w:rsidRDefault="00130AA4" w:rsidP="005200C0">
            <w:pPr>
              <w:pStyle w:val="BodyText"/>
              <w:numPr>
                <w:ilvl w:val="0"/>
                <w:numId w:val="2"/>
              </w:numPr>
              <w:spacing w:before="60" w:after="60"/>
              <w:ind w:left="342"/>
              <w:jc w:val="both"/>
              <w:rPr>
                <w:rFonts w:ascii="Times New Roman" w:hAnsi="Times New Roman" w:cs="Times New Roman"/>
                <w:bCs/>
                <w:iCs/>
                <w:snapToGrid w:val="0"/>
                <w:sz w:val="24"/>
                <w:szCs w:val="24"/>
              </w:rPr>
            </w:pPr>
          </w:p>
        </w:tc>
        <w:tc>
          <w:tcPr>
            <w:tcW w:w="258" w:type="dxa"/>
            <w:vMerge/>
            <w:tcBorders>
              <w:left w:val="single" w:sz="4" w:space="0" w:color="auto"/>
              <w:right w:val="single" w:sz="4" w:space="0" w:color="auto"/>
            </w:tcBorders>
          </w:tcPr>
          <w:p w:rsidR="00130AA4" w:rsidRPr="00D8339C" w:rsidRDefault="00130AA4" w:rsidP="00F923BC">
            <w:pPr>
              <w:pStyle w:val="BodyText"/>
              <w:rPr>
                <w:rFonts w:ascii="Times New Roman" w:hAnsi="Times New Roman" w:cs="Times New Roman"/>
                <w:sz w:val="24"/>
                <w:szCs w:val="24"/>
              </w:rPr>
            </w:pPr>
          </w:p>
        </w:tc>
        <w:tc>
          <w:tcPr>
            <w:tcW w:w="5332" w:type="dxa"/>
            <w:tcBorders>
              <w:top w:val="single" w:sz="4" w:space="0" w:color="auto"/>
              <w:left w:val="single" w:sz="4" w:space="0" w:color="auto"/>
              <w:bottom w:val="single" w:sz="4" w:space="0" w:color="auto"/>
              <w:right w:val="single" w:sz="4" w:space="0" w:color="auto"/>
            </w:tcBorders>
            <w:vAlign w:val="center"/>
          </w:tcPr>
          <w:p w:rsidR="00130AA4" w:rsidRPr="00D8339C" w:rsidRDefault="00130AA4" w:rsidP="00F923BC">
            <w:pPr>
              <w:pStyle w:val="BodyText"/>
              <w:rPr>
                <w:rFonts w:ascii="Times New Roman" w:hAnsi="Times New Roman" w:cs="Times New Roman"/>
                <w:bCs/>
                <w:i/>
                <w:iCs/>
                <w:snapToGrid w:val="0"/>
                <w:sz w:val="24"/>
                <w:szCs w:val="24"/>
              </w:rPr>
            </w:pPr>
            <w:r w:rsidRPr="00D8339C">
              <w:rPr>
                <w:rFonts w:ascii="Times New Roman" w:hAnsi="Times New Roman" w:cs="Times New Roman"/>
                <w:bCs/>
                <w:i/>
                <w:iCs/>
                <w:snapToGrid w:val="0"/>
                <w:sz w:val="24"/>
                <w:szCs w:val="24"/>
              </w:rPr>
              <w:t xml:space="preserve">Priority area/ strategic results: </w:t>
            </w:r>
          </w:p>
          <w:p w:rsidR="00130AA4" w:rsidRPr="00D8339C" w:rsidRDefault="00130AA4" w:rsidP="00854226">
            <w:pPr>
              <w:pStyle w:val="BodyText"/>
              <w:numPr>
                <w:ilvl w:val="0"/>
                <w:numId w:val="7"/>
              </w:numPr>
              <w:rPr>
                <w:rFonts w:ascii="Times New Roman" w:hAnsi="Times New Roman" w:cs="Times New Roman"/>
                <w:b/>
                <w:snapToGrid w:val="0"/>
                <w:sz w:val="24"/>
                <w:szCs w:val="24"/>
              </w:rPr>
            </w:pPr>
            <w:r w:rsidRPr="00D8339C">
              <w:rPr>
                <w:rFonts w:ascii="Times New Roman" w:hAnsi="Times New Roman" w:cs="Times New Roman"/>
                <w:b/>
                <w:snapToGrid w:val="0"/>
                <w:sz w:val="24"/>
                <w:szCs w:val="24"/>
              </w:rPr>
              <w:t>Crisis prevention and recovery</w:t>
            </w:r>
          </w:p>
          <w:p w:rsidR="00130AA4" w:rsidRPr="00D8339C" w:rsidRDefault="00130AA4" w:rsidP="00854226">
            <w:pPr>
              <w:pStyle w:val="BodyText"/>
              <w:numPr>
                <w:ilvl w:val="0"/>
                <w:numId w:val="7"/>
              </w:numPr>
              <w:rPr>
                <w:rFonts w:ascii="Times New Roman" w:hAnsi="Times New Roman" w:cs="Times New Roman"/>
                <w:bCs/>
                <w:i/>
                <w:iCs/>
                <w:snapToGrid w:val="0"/>
                <w:sz w:val="24"/>
                <w:szCs w:val="24"/>
              </w:rPr>
            </w:pPr>
            <w:r w:rsidRPr="00D8339C">
              <w:rPr>
                <w:rFonts w:ascii="Times New Roman" w:hAnsi="Times New Roman" w:cs="Times New Roman"/>
                <w:b/>
                <w:snapToGrid w:val="0"/>
                <w:sz w:val="24"/>
                <w:szCs w:val="24"/>
              </w:rPr>
              <w:t>Socio-economic development/regional disparities</w:t>
            </w:r>
            <w:r w:rsidRPr="00D8339C">
              <w:rPr>
                <w:rFonts w:ascii="Times New Roman" w:hAnsi="Times New Roman" w:cs="Times New Roman"/>
                <w:bCs/>
                <w:i/>
                <w:iCs/>
                <w:snapToGrid w:val="0"/>
                <w:sz w:val="24"/>
                <w:szCs w:val="24"/>
              </w:rPr>
              <w:t xml:space="preserve"> </w:t>
            </w:r>
          </w:p>
        </w:tc>
      </w:tr>
      <w:tr w:rsidR="00875706" w:rsidRPr="00D8339C" w:rsidTr="00C850A3">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D8339C" w:rsidRDefault="00875706" w:rsidP="00F923BC">
            <w:pPr>
              <w:pStyle w:val="H1"/>
              <w:jc w:val="center"/>
              <w:rPr>
                <w:rFonts w:cs="Times New Roman"/>
                <w:szCs w:val="24"/>
              </w:rPr>
            </w:pPr>
            <w:r w:rsidRPr="00D8339C">
              <w:rPr>
                <w:rFonts w:cs="Times New Roman"/>
                <w:szCs w:val="24"/>
              </w:rPr>
              <w:t>Participating Organization(s)</w:t>
            </w:r>
          </w:p>
        </w:tc>
        <w:tc>
          <w:tcPr>
            <w:tcW w:w="258" w:type="dxa"/>
            <w:vMerge w:val="restart"/>
            <w:tcBorders>
              <w:left w:val="single" w:sz="4" w:space="0" w:color="auto"/>
              <w:right w:val="single" w:sz="4" w:space="0" w:color="auto"/>
            </w:tcBorders>
            <w:vAlign w:val="center"/>
          </w:tcPr>
          <w:p w:rsidR="00875706" w:rsidRPr="00D8339C" w:rsidRDefault="00875706" w:rsidP="00F923BC">
            <w:pPr>
              <w:jc w:val="center"/>
            </w:pPr>
          </w:p>
        </w:tc>
        <w:tc>
          <w:tcPr>
            <w:tcW w:w="5332" w:type="dxa"/>
            <w:tcBorders>
              <w:top w:val="single" w:sz="4" w:space="0" w:color="auto"/>
              <w:left w:val="single" w:sz="4" w:space="0" w:color="auto"/>
              <w:right w:val="single" w:sz="4" w:space="0" w:color="auto"/>
            </w:tcBorders>
            <w:shd w:val="clear" w:color="auto" w:fill="F3F3F3"/>
            <w:vAlign w:val="center"/>
          </w:tcPr>
          <w:p w:rsidR="00875706" w:rsidRPr="00D8339C" w:rsidRDefault="00875706" w:rsidP="00F923BC">
            <w:pPr>
              <w:pStyle w:val="H1"/>
              <w:jc w:val="center"/>
              <w:rPr>
                <w:rFonts w:cs="Times New Roman"/>
                <w:szCs w:val="24"/>
              </w:rPr>
            </w:pPr>
            <w:r w:rsidRPr="00D8339C">
              <w:rPr>
                <w:rFonts w:cs="Times New Roman"/>
                <w:szCs w:val="24"/>
              </w:rPr>
              <w:t>Implementing Partners</w:t>
            </w:r>
          </w:p>
        </w:tc>
      </w:tr>
      <w:tr w:rsidR="00875706" w:rsidRPr="00D8339C" w:rsidTr="00C850A3">
        <w:tblPrEx>
          <w:tblCellMar>
            <w:top w:w="0" w:type="dxa"/>
            <w:bottom w:w="0" w:type="dxa"/>
          </w:tblCellMar>
        </w:tblPrEx>
        <w:trPr>
          <w:trHeight w:val="495"/>
        </w:trPr>
        <w:tc>
          <w:tcPr>
            <w:tcW w:w="5142" w:type="dxa"/>
            <w:gridSpan w:val="2"/>
            <w:tcBorders>
              <w:left w:val="single" w:sz="4" w:space="0" w:color="auto"/>
              <w:bottom w:val="single" w:sz="4" w:space="0" w:color="auto"/>
              <w:right w:val="single" w:sz="4" w:space="0" w:color="auto"/>
            </w:tcBorders>
          </w:tcPr>
          <w:p w:rsidR="00875706" w:rsidRPr="00D8339C" w:rsidRDefault="00B3748E" w:rsidP="00854226">
            <w:pPr>
              <w:pStyle w:val="BodyText"/>
              <w:numPr>
                <w:ilvl w:val="0"/>
                <w:numId w:val="8"/>
              </w:numPr>
              <w:rPr>
                <w:rFonts w:ascii="Times New Roman" w:hAnsi="Times New Roman" w:cs="Times New Roman"/>
                <w:i/>
                <w:sz w:val="24"/>
                <w:szCs w:val="24"/>
              </w:rPr>
            </w:pPr>
            <w:r w:rsidRPr="00D8339C">
              <w:rPr>
                <w:rFonts w:ascii="Times New Roman" w:hAnsi="Times New Roman" w:cs="Times New Roman"/>
                <w:bCs/>
                <w:iCs/>
                <w:snapToGrid w:val="0"/>
                <w:sz w:val="24"/>
                <w:szCs w:val="24"/>
              </w:rPr>
              <w:t>UNDP</w:t>
            </w:r>
          </w:p>
        </w:tc>
        <w:tc>
          <w:tcPr>
            <w:tcW w:w="258" w:type="dxa"/>
            <w:vMerge/>
            <w:tcBorders>
              <w:left w:val="single" w:sz="4" w:space="0" w:color="auto"/>
              <w:right w:val="single" w:sz="4" w:space="0" w:color="auto"/>
            </w:tcBorders>
          </w:tcPr>
          <w:p w:rsidR="00875706" w:rsidRPr="00D8339C" w:rsidRDefault="00875706" w:rsidP="00F923BC">
            <w:pPr>
              <w:pStyle w:val="BodyText"/>
              <w:rPr>
                <w:rFonts w:ascii="Times New Roman" w:hAnsi="Times New Roman" w:cs="Times New Roman"/>
                <w:sz w:val="24"/>
                <w:szCs w:val="24"/>
              </w:rPr>
            </w:pPr>
          </w:p>
        </w:tc>
        <w:tc>
          <w:tcPr>
            <w:tcW w:w="5332" w:type="dxa"/>
            <w:tcBorders>
              <w:left w:val="single" w:sz="4" w:space="0" w:color="auto"/>
              <w:bottom w:val="single" w:sz="4" w:space="0" w:color="auto"/>
              <w:right w:val="single" w:sz="4" w:space="0" w:color="auto"/>
            </w:tcBorders>
          </w:tcPr>
          <w:p w:rsidR="00371DF1" w:rsidRPr="00D8339C" w:rsidRDefault="00371DF1" w:rsidP="005200C0">
            <w:pPr>
              <w:pStyle w:val="BodyText"/>
              <w:numPr>
                <w:ilvl w:val="0"/>
                <w:numId w:val="3"/>
              </w:numPr>
              <w:spacing w:before="60" w:after="60"/>
              <w:ind w:left="376"/>
              <w:rPr>
                <w:rFonts w:ascii="Times New Roman" w:hAnsi="Times New Roman" w:cs="Times New Roman"/>
                <w:bCs/>
                <w:iCs/>
                <w:snapToGrid w:val="0"/>
                <w:color w:val="000000"/>
                <w:sz w:val="24"/>
                <w:szCs w:val="24"/>
              </w:rPr>
            </w:pPr>
            <w:r w:rsidRPr="00D8339C">
              <w:rPr>
                <w:rFonts w:ascii="Times New Roman" w:hAnsi="Times New Roman" w:cs="Times New Roman"/>
                <w:bCs/>
                <w:iCs/>
                <w:snapToGrid w:val="0"/>
                <w:color w:val="000000"/>
                <w:sz w:val="24"/>
                <w:szCs w:val="24"/>
              </w:rPr>
              <w:t>FAO and ILO</w:t>
            </w:r>
          </w:p>
          <w:p w:rsidR="00371DF1" w:rsidRPr="00D8339C" w:rsidRDefault="00371DF1" w:rsidP="005200C0">
            <w:pPr>
              <w:pStyle w:val="BodyText"/>
              <w:numPr>
                <w:ilvl w:val="0"/>
                <w:numId w:val="3"/>
              </w:numPr>
              <w:spacing w:before="60" w:after="60"/>
              <w:ind w:left="376"/>
              <w:rPr>
                <w:rFonts w:ascii="Times New Roman" w:hAnsi="Times New Roman" w:cs="Times New Roman"/>
                <w:bCs/>
                <w:iCs/>
                <w:snapToGrid w:val="0"/>
                <w:color w:val="000000"/>
                <w:sz w:val="24"/>
                <w:szCs w:val="24"/>
              </w:rPr>
            </w:pPr>
            <w:r w:rsidRPr="00D8339C">
              <w:rPr>
                <w:rFonts w:ascii="Times New Roman" w:hAnsi="Times New Roman" w:cs="Times New Roman"/>
                <w:bCs/>
                <w:iCs/>
                <w:snapToGrid w:val="0"/>
                <w:color w:val="000000"/>
                <w:sz w:val="24"/>
                <w:szCs w:val="24"/>
              </w:rPr>
              <w:t xml:space="preserve">Al-Majmoua </w:t>
            </w:r>
          </w:p>
          <w:p w:rsidR="00371DF1" w:rsidRPr="00D8339C" w:rsidRDefault="00371DF1" w:rsidP="005200C0">
            <w:pPr>
              <w:pStyle w:val="BodyText"/>
              <w:numPr>
                <w:ilvl w:val="0"/>
                <w:numId w:val="3"/>
              </w:numPr>
              <w:spacing w:before="60" w:after="60"/>
              <w:ind w:left="376"/>
              <w:rPr>
                <w:rFonts w:ascii="Times New Roman" w:hAnsi="Times New Roman" w:cs="Times New Roman"/>
                <w:bCs/>
                <w:iCs/>
                <w:snapToGrid w:val="0"/>
                <w:color w:val="000000"/>
                <w:sz w:val="24"/>
                <w:szCs w:val="24"/>
              </w:rPr>
            </w:pPr>
            <w:r w:rsidRPr="00D8339C">
              <w:rPr>
                <w:rFonts w:ascii="Times New Roman" w:hAnsi="Times New Roman" w:cs="Times New Roman"/>
                <w:bCs/>
                <w:iCs/>
                <w:snapToGrid w:val="0"/>
                <w:color w:val="000000"/>
                <w:sz w:val="24"/>
                <w:szCs w:val="24"/>
              </w:rPr>
              <w:t>Ministry of Agriculture</w:t>
            </w:r>
          </w:p>
          <w:p w:rsidR="00875706" w:rsidRPr="00D8339C" w:rsidRDefault="00371DF1" w:rsidP="005200C0">
            <w:pPr>
              <w:pStyle w:val="BodyText"/>
              <w:numPr>
                <w:ilvl w:val="0"/>
                <w:numId w:val="3"/>
              </w:numPr>
              <w:spacing w:before="60" w:after="60"/>
              <w:ind w:left="376"/>
              <w:rPr>
                <w:rFonts w:ascii="Times New Roman" w:hAnsi="Times New Roman" w:cs="Times New Roman"/>
                <w:bCs/>
                <w:iCs/>
                <w:snapToGrid w:val="0"/>
                <w:color w:val="000000"/>
                <w:sz w:val="24"/>
                <w:szCs w:val="24"/>
              </w:rPr>
            </w:pPr>
            <w:r w:rsidRPr="00D8339C">
              <w:rPr>
                <w:rFonts w:ascii="Times New Roman" w:hAnsi="Times New Roman" w:cs="Times New Roman"/>
                <w:bCs/>
                <w:iCs/>
                <w:snapToGrid w:val="0"/>
                <w:color w:val="000000"/>
                <w:sz w:val="24"/>
                <w:szCs w:val="24"/>
              </w:rPr>
              <w:t>Municipalit</w:t>
            </w:r>
            <w:r w:rsidR="003F2116" w:rsidRPr="00D8339C">
              <w:rPr>
                <w:rFonts w:ascii="Times New Roman" w:hAnsi="Times New Roman" w:cs="Times New Roman"/>
                <w:bCs/>
                <w:iCs/>
                <w:snapToGrid w:val="0"/>
                <w:color w:val="000000"/>
                <w:sz w:val="24"/>
                <w:szCs w:val="24"/>
              </w:rPr>
              <w:t>ies of Karkaf, Wadi el-Jamous, K</w:t>
            </w:r>
            <w:r w:rsidRPr="00D8339C">
              <w:rPr>
                <w:rFonts w:ascii="Times New Roman" w:hAnsi="Times New Roman" w:cs="Times New Roman"/>
                <w:bCs/>
                <w:iCs/>
                <w:snapToGrid w:val="0"/>
                <w:color w:val="000000"/>
                <w:sz w:val="24"/>
                <w:szCs w:val="24"/>
              </w:rPr>
              <w:t>obbet Bchamra, Hmaira, Borj el-Arab, Halba, Bkarzla, Bebnine, Muhammara, Min</w:t>
            </w:r>
            <w:r w:rsidR="003F2116" w:rsidRPr="00D8339C">
              <w:rPr>
                <w:rFonts w:ascii="Times New Roman" w:hAnsi="Times New Roman" w:cs="Times New Roman"/>
                <w:bCs/>
                <w:iCs/>
                <w:snapToGrid w:val="0"/>
                <w:color w:val="000000"/>
                <w:sz w:val="24"/>
                <w:szCs w:val="24"/>
              </w:rPr>
              <w:t>y</w:t>
            </w:r>
            <w:r w:rsidRPr="00D8339C">
              <w:rPr>
                <w:rFonts w:ascii="Times New Roman" w:hAnsi="Times New Roman" w:cs="Times New Roman"/>
                <w:bCs/>
                <w:iCs/>
                <w:snapToGrid w:val="0"/>
                <w:color w:val="000000"/>
                <w:sz w:val="24"/>
                <w:szCs w:val="24"/>
              </w:rPr>
              <w:t xml:space="preserve">eh and Bhanine </w:t>
            </w:r>
          </w:p>
        </w:tc>
      </w:tr>
      <w:tr w:rsidR="00875706" w:rsidRPr="00D8339C"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D8339C" w:rsidRDefault="00875706" w:rsidP="00F923BC">
            <w:pPr>
              <w:pStyle w:val="H1"/>
              <w:jc w:val="center"/>
              <w:rPr>
                <w:rFonts w:cs="Times New Roman"/>
                <w:szCs w:val="24"/>
              </w:rPr>
            </w:pPr>
            <w:r w:rsidRPr="00D8339C">
              <w:rPr>
                <w:rFonts w:cs="Times New Roman"/>
                <w:szCs w:val="24"/>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875706" w:rsidRPr="00D8339C" w:rsidRDefault="00875706" w:rsidP="00F923BC">
            <w:pPr>
              <w:pStyle w:val="H1"/>
              <w:jc w:val="center"/>
              <w:rPr>
                <w:rFonts w:cs="Times New Roman"/>
                <w:szCs w:val="24"/>
              </w:rPr>
            </w:pPr>
          </w:p>
        </w:tc>
        <w:tc>
          <w:tcPr>
            <w:tcW w:w="5332" w:type="dxa"/>
            <w:tcBorders>
              <w:top w:val="single" w:sz="4" w:space="0" w:color="auto"/>
              <w:left w:val="single" w:sz="4" w:space="0" w:color="auto"/>
              <w:bottom w:val="nil"/>
              <w:right w:val="single" w:sz="4" w:space="0" w:color="auto"/>
            </w:tcBorders>
            <w:shd w:val="clear" w:color="auto" w:fill="F2F2F2"/>
            <w:vAlign w:val="center"/>
          </w:tcPr>
          <w:p w:rsidR="00875706" w:rsidRPr="00D8339C" w:rsidRDefault="00875706" w:rsidP="00F923BC">
            <w:pPr>
              <w:pStyle w:val="H1"/>
              <w:jc w:val="center"/>
              <w:rPr>
                <w:rFonts w:cs="Times New Roman"/>
                <w:szCs w:val="24"/>
              </w:rPr>
            </w:pPr>
            <w:r w:rsidRPr="00D8339C">
              <w:rPr>
                <w:rFonts w:cs="Times New Roman"/>
                <w:szCs w:val="24"/>
              </w:rPr>
              <w:t>Programme Duration</w:t>
            </w:r>
          </w:p>
        </w:tc>
      </w:tr>
      <w:tr w:rsidR="00BC3533" w:rsidRPr="00D8339C" w:rsidTr="00C97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2970" w:type="dxa"/>
            <w:tcBorders>
              <w:top w:val="nil"/>
              <w:left w:val="single" w:sz="4" w:space="0" w:color="auto"/>
              <w:bottom w:val="nil"/>
              <w:right w:val="nil"/>
            </w:tcBorders>
            <w:shd w:val="clear" w:color="auto" w:fill="auto"/>
            <w:vAlign w:val="center"/>
          </w:tcPr>
          <w:p w:rsidR="00BC3533" w:rsidRPr="00D8339C" w:rsidRDefault="00BC3533" w:rsidP="00F923BC">
            <w:pPr>
              <w:pStyle w:val="H2"/>
              <w:rPr>
                <w:rFonts w:cs="Times New Roman"/>
                <w:b w:val="0"/>
                <w:sz w:val="24"/>
                <w:szCs w:val="24"/>
              </w:rPr>
            </w:pPr>
            <w:r w:rsidRPr="00D8339C">
              <w:rPr>
                <w:rFonts w:cs="Times New Roman"/>
                <w:b w:val="0"/>
                <w:sz w:val="24"/>
                <w:szCs w:val="24"/>
              </w:rPr>
              <w:t xml:space="preserve">Total approved budget as per project document: </w:t>
            </w:r>
            <w:r w:rsidRPr="00D8339C">
              <w:rPr>
                <w:rFonts w:cs="Times New Roman"/>
                <w:bCs w:val="0"/>
                <w:sz w:val="24"/>
                <w:szCs w:val="24"/>
              </w:rPr>
              <w:t>2,500,000</w:t>
            </w:r>
          </w:p>
          <w:p w:rsidR="00BC3533" w:rsidRPr="00D8339C" w:rsidRDefault="00BC3533" w:rsidP="00F923BC">
            <w:pPr>
              <w:pStyle w:val="H2"/>
              <w:rPr>
                <w:rFonts w:cs="Times New Roman"/>
                <w:bCs w:val="0"/>
                <w:sz w:val="24"/>
                <w:szCs w:val="24"/>
              </w:rPr>
            </w:pPr>
            <w:r w:rsidRPr="00D8339C">
              <w:rPr>
                <w:rFonts w:cs="Times New Roman"/>
                <w:b w:val="0"/>
                <w:sz w:val="24"/>
                <w:szCs w:val="24"/>
              </w:rPr>
              <w:t>MPTF /JP Contribution</w:t>
            </w:r>
            <w:r w:rsidRPr="00D8339C">
              <w:rPr>
                <w:rStyle w:val="FootnoteReference"/>
                <w:rFonts w:cs="Times New Roman"/>
                <w:b w:val="0"/>
                <w:sz w:val="24"/>
                <w:szCs w:val="24"/>
              </w:rPr>
              <w:footnoteReference w:id="4"/>
            </w:r>
            <w:r w:rsidRPr="00D8339C">
              <w:rPr>
                <w:rFonts w:cs="Times New Roman"/>
                <w:b w:val="0"/>
                <w:sz w:val="24"/>
                <w:szCs w:val="24"/>
              </w:rPr>
              <w:t xml:space="preserve">: </w:t>
            </w:r>
            <w:r w:rsidRPr="00D8339C">
              <w:rPr>
                <w:rFonts w:cs="Times New Roman"/>
                <w:bCs w:val="0"/>
                <w:sz w:val="24"/>
                <w:szCs w:val="24"/>
              </w:rPr>
              <w:t>2,500,000</w:t>
            </w:r>
          </w:p>
          <w:p w:rsidR="00BC3533" w:rsidRPr="00D8339C" w:rsidRDefault="00BC3533" w:rsidP="00F923BC">
            <w:pPr>
              <w:pStyle w:val="H2"/>
              <w:rPr>
                <w:rFonts w:cs="Times New Roman"/>
                <w:bCs w:val="0"/>
                <w:i/>
                <w:sz w:val="24"/>
                <w:szCs w:val="24"/>
              </w:rPr>
            </w:pPr>
          </w:p>
          <w:p w:rsidR="00BC3533" w:rsidRPr="00D8339C" w:rsidRDefault="00BC3533" w:rsidP="00F923BC">
            <w:pPr>
              <w:pStyle w:val="H2"/>
              <w:rPr>
                <w:rFonts w:cs="Times New Roman"/>
                <w:bCs w:val="0"/>
                <w:iCs w:val="0"/>
                <w:sz w:val="24"/>
                <w:szCs w:val="24"/>
              </w:rPr>
            </w:pPr>
            <w:r w:rsidRPr="00D8339C">
              <w:rPr>
                <w:rFonts w:cs="Times New Roman"/>
                <w:bCs w:val="0"/>
                <w:iCs w:val="0"/>
                <w:sz w:val="24"/>
                <w:szCs w:val="24"/>
              </w:rPr>
              <w:t>TOTAL: 2,500,000</w:t>
            </w:r>
          </w:p>
        </w:tc>
        <w:tc>
          <w:tcPr>
            <w:tcW w:w="2172" w:type="dxa"/>
            <w:tcBorders>
              <w:top w:val="nil"/>
              <w:left w:val="nil"/>
              <w:bottom w:val="nil"/>
              <w:right w:val="single" w:sz="4" w:space="0" w:color="auto"/>
            </w:tcBorders>
            <w:shd w:val="clear" w:color="auto" w:fill="auto"/>
            <w:vAlign w:val="center"/>
          </w:tcPr>
          <w:p w:rsidR="00BC3533" w:rsidRPr="00D8339C" w:rsidRDefault="00BC3533" w:rsidP="00F923BC">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BC3533" w:rsidRPr="00D8339C" w:rsidRDefault="00BC3533" w:rsidP="00F923BC">
            <w:pPr>
              <w:pStyle w:val="BodyText"/>
              <w:rPr>
                <w:rFonts w:ascii="Times New Roman" w:hAnsi="Times New Roman" w:cs="Times New Roman"/>
                <w:sz w:val="24"/>
                <w:szCs w:val="24"/>
              </w:rPr>
            </w:pPr>
          </w:p>
        </w:tc>
        <w:tc>
          <w:tcPr>
            <w:tcW w:w="5332" w:type="dxa"/>
            <w:vMerge w:val="restart"/>
            <w:tcBorders>
              <w:top w:val="nil"/>
              <w:left w:val="single" w:sz="4" w:space="0" w:color="auto"/>
              <w:right w:val="single" w:sz="4" w:space="0" w:color="auto"/>
            </w:tcBorders>
            <w:shd w:val="clear" w:color="auto" w:fill="auto"/>
            <w:vAlign w:val="center"/>
          </w:tcPr>
          <w:p w:rsidR="00BC3533" w:rsidRPr="00D8339C" w:rsidRDefault="00BC3533" w:rsidP="00F923BC">
            <w:pPr>
              <w:pStyle w:val="BodyText"/>
              <w:rPr>
                <w:rFonts w:ascii="Times New Roman" w:hAnsi="Times New Roman" w:cs="Times New Roman"/>
                <w:iCs/>
                <w:sz w:val="24"/>
                <w:szCs w:val="24"/>
              </w:rPr>
            </w:pPr>
            <w:r w:rsidRPr="00D8339C">
              <w:rPr>
                <w:rFonts w:ascii="Times New Roman" w:hAnsi="Times New Roman" w:cs="Times New Roman"/>
                <w:sz w:val="24"/>
                <w:szCs w:val="24"/>
              </w:rPr>
              <w:t xml:space="preserve">Overall Duration: </w:t>
            </w:r>
            <w:r w:rsidRPr="00D8339C">
              <w:rPr>
                <w:rFonts w:ascii="Times New Roman" w:hAnsi="Times New Roman" w:cs="Times New Roman"/>
                <w:b/>
                <w:bCs/>
                <w:iCs/>
                <w:sz w:val="24"/>
                <w:szCs w:val="24"/>
              </w:rPr>
              <w:t>43 months</w:t>
            </w:r>
          </w:p>
          <w:p w:rsidR="00BC3533" w:rsidRPr="00D8339C" w:rsidRDefault="00BC3533" w:rsidP="00F923BC">
            <w:pPr>
              <w:pStyle w:val="BodyText"/>
              <w:rPr>
                <w:rFonts w:ascii="Times New Roman" w:hAnsi="Times New Roman" w:cs="Times New Roman"/>
                <w:i/>
                <w:sz w:val="24"/>
                <w:szCs w:val="24"/>
              </w:rPr>
            </w:pPr>
            <w:r w:rsidRPr="00D8339C">
              <w:rPr>
                <w:rFonts w:ascii="Times New Roman" w:hAnsi="Times New Roman" w:cs="Times New Roman"/>
                <w:sz w:val="24"/>
                <w:szCs w:val="24"/>
              </w:rPr>
              <w:t>Start Date</w:t>
            </w:r>
            <w:r w:rsidRPr="00D8339C">
              <w:rPr>
                <w:rStyle w:val="FootnoteReference"/>
                <w:rFonts w:ascii="Times New Roman" w:hAnsi="Times New Roman" w:cs="Times New Roman"/>
                <w:sz w:val="24"/>
                <w:szCs w:val="24"/>
              </w:rPr>
              <w:footnoteReference w:id="5"/>
            </w:r>
            <w:r w:rsidRPr="00D8339C">
              <w:rPr>
                <w:rFonts w:ascii="Times New Roman" w:hAnsi="Times New Roman" w:cs="Times New Roman"/>
                <w:sz w:val="24"/>
                <w:szCs w:val="24"/>
              </w:rPr>
              <w:t xml:space="preserve">: </w:t>
            </w:r>
            <w:r w:rsidRPr="00D8339C">
              <w:rPr>
                <w:rFonts w:ascii="Times New Roman" w:hAnsi="Times New Roman" w:cs="Times New Roman"/>
                <w:b/>
                <w:bCs/>
                <w:iCs/>
                <w:sz w:val="24"/>
                <w:szCs w:val="24"/>
              </w:rPr>
              <w:t>20.08.2009</w:t>
            </w:r>
          </w:p>
          <w:p w:rsidR="00BC3533" w:rsidRPr="00D8339C" w:rsidRDefault="00BC3533" w:rsidP="00F923BC">
            <w:pPr>
              <w:pStyle w:val="BodyText"/>
              <w:rPr>
                <w:rFonts w:ascii="Times New Roman" w:hAnsi="Times New Roman" w:cs="Times New Roman"/>
                <w:sz w:val="24"/>
                <w:szCs w:val="24"/>
              </w:rPr>
            </w:pPr>
            <w:r w:rsidRPr="00D8339C">
              <w:rPr>
                <w:rFonts w:ascii="Times New Roman" w:hAnsi="Times New Roman" w:cs="Times New Roman"/>
                <w:sz w:val="24"/>
                <w:szCs w:val="24"/>
              </w:rPr>
              <w:t>Original End Date</w:t>
            </w:r>
            <w:r w:rsidRPr="00D8339C">
              <w:rPr>
                <w:rStyle w:val="FootnoteReference"/>
                <w:rFonts w:ascii="Times New Roman" w:hAnsi="Times New Roman" w:cs="Times New Roman"/>
                <w:bCs/>
                <w:snapToGrid w:val="0"/>
                <w:sz w:val="24"/>
                <w:szCs w:val="24"/>
              </w:rPr>
              <w:footnoteReference w:id="6"/>
            </w:r>
            <w:r w:rsidRPr="00D8339C">
              <w:rPr>
                <w:rFonts w:ascii="Times New Roman" w:hAnsi="Times New Roman" w:cs="Times New Roman"/>
                <w:sz w:val="24"/>
                <w:szCs w:val="24"/>
              </w:rPr>
              <w:t xml:space="preserve">: </w:t>
            </w:r>
            <w:r w:rsidR="00210D57" w:rsidRPr="00D8339C">
              <w:rPr>
                <w:rFonts w:ascii="Times New Roman" w:hAnsi="Times New Roman" w:cs="Times New Roman"/>
                <w:b/>
                <w:bCs/>
                <w:sz w:val="24"/>
                <w:szCs w:val="24"/>
              </w:rPr>
              <w:t>28.02.2011</w:t>
            </w:r>
            <w:r w:rsidR="00210D57" w:rsidRPr="00D8339C">
              <w:rPr>
                <w:rFonts w:ascii="Times New Roman" w:hAnsi="Times New Roman" w:cs="Times New Roman"/>
                <w:sz w:val="24"/>
                <w:szCs w:val="24"/>
              </w:rPr>
              <w:t xml:space="preserve"> </w:t>
            </w:r>
          </w:p>
          <w:p w:rsidR="00BC3533" w:rsidRPr="00D8339C" w:rsidRDefault="00BC3533" w:rsidP="00F923BC">
            <w:pPr>
              <w:pStyle w:val="BodyText"/>
              <w:rPr>
                <w:rFonts w:ascii="Times New Roman" w:hAnsi="Times New Roman" w:cs="Times New Roman"/>
                <w:iCs/>
                <w:sz w:val="24"/>
                <w:szCs w:val="24"/>
              </w:rPr>
            </w:pPr>
            <w:r w:rsidRPr="00D8339C">
              <w:rPr>
                <w:rFonts w:ascii="Times New Roman" w:hAnsi="Times New Roman" w:cs="Times New Roman"/>
                <w:sz w:val="24"/>
                <w:szCs w:val="24"/>
              </w:rPr>
              <w:t>Actual End date</w:t>
            </w:r>
            <w:r w:rsidRPr="00D8339C">
              <w:rPr>
                <w:rStyle w:val="FootnoteReference"/>
                <w:rFonts w:ascii="Times New Roman" w:hAnsi="Times New Roman" w:cs="Times New Roman"/>
                <w:sz w:val="24"/>
                <w:szCs w:val="24"/>
              </w:rPr>
              <w:footnoteReference w:id="7"/>
            </w:r>
            <w:r w:rsidRPr="00D8339C">
              <w:rPr>
                <w:rFonts w:ascii="Times New Roman" w:hAnsi="Times New Roman" w:cs="Times New Roman"/>
                <w:sz w:val="24"/>
                <w:szCs w:val="24"/>
              </w:rPr>
              <w:t xml:space="preserve">: </w:t>
            </w:r>
            <w:r w:rsidRPr="00D8339C">
              <w:rPr>
                <w:rFonts w:ascii="Times New Roman" w:hAnsi="Times New Roman" w:cs="Times New Roman"/>
                <w:b/>
                <w:bCs/>
                <w:sz w:val="24"/>
                <w:szCs w:val="24"/>
              </w:rPr>
              <w:t xml:space="preserve">30.09.2013 </w:t>
            </w:r>
            <w:r w:rsidRPr="00D8339C">
              <w:rPr>
                <w:rFonts w:ascii="Times New Roman" w:hAnsi="Times New Roman" w:cs="Times New Roman"/>
                <w:iCs/>
                <w:sz w:val="24"/>
                <w:szCs w:val="24"/>
              </w:rPr>
              <w:t>(extension until March 2012 then from October 2012 to September 2013)</w:t>
            </w:r>
          </w:p>
          <w:p w:rsidR="00BC3533" w:rsidRPr="00D8339C" w:rsidRDefault="00BC3533" w:rsidP="00F923BC">
            <w:pPr>
              <w:pStyle w:val="BodyText"/>
              <w:rPr>
                <w:rFonts w:ascii="Times New Roman" w:hAnsi="Times New Roman" w:cs="Times New Roman"/>
                <w:sz w:val="24"/>
                <w:szCs w:val="24"/>
              </w:rPr>
            </w:pPr>
          </w:p>
          <w:p w:rsidR="00EF788A" w:rsidRDefault="00BC3533" w:rsidP="00EF788A">
            <w:pPr>
              <w:pStyle w:val="BodyText"/>
              <w:rPr>
                <w:rFonts w:ascii="Times New Roman" w:hAnsi="Times New Roman" w:cs="Times New Roman"/>
                <w:sz w:val="24"/>
                <w:szCs w:val="24"/>
              </w:rPr>
            </w:pPr>
            <w:r w:rsidRPr="00B453C5">
              <w:rPr>
                <w:rFonts w:ascii="Times New Roman" w:hAnsi="Times New Roman" w:cs="Times New Roman"/>
                <w:sz w:val="24"/>
                <w:szCs w:val="24"/>
              </w:rPr>
              <w:t xml:space="preserve">Have agency(ies) operationally closed the Programme in its(their) system?  Yes  </w:t>
            </w:r>
          </w:p>
          <w:p w:rsidR="00BC3533" w:rsidRPr="00D8339C" w:rsidRDefault="00BC3533" w:rsidP="00EF788A">
            <w:pPr>
              <w:pStyle w:val="BodyText"/>
              <w:rPr>
                <w:rFonts w:ascii="Times New Roman" w:hAnsi="Times New Roman" w:cs="Times New Roman"/>
                <w:sz w:val="24"/>
                <w:szCs w:val="24"/>
              </w:rPr>
            </w:pPr>
            <w:r w:rsidRPr="00B453C5">
              <w:rPr>
                <w:rFonts w:ascii="Times New Roman" w:hAnsi="Times New Roman" w:cs="Times New Roman"/>
                <w:sz w:val="24"/>
                <w:szCs w:val="24"/>
              </w:rPr>
              <w:t>Expected Financial Closure date</w:t>
            </w:r>
            <w:r w:rsidRPr="00B453C5">
              <w:rPr>
                <w:rStyle w:val="FootnoteReference"/>
                <w:rFonts w:ascii="Times New Roman" w:hAnsi="Times New Roman" w:cs="Times New Roman"/>
                <w:sz w:val="24"/>
                <w:szCs w:val="24"/>
              </w:rPr>
              <w:footnoteReference w:id="8"/>
            </w:r>
            <w:r w:rsidRPr="00B453C5">
              <w:rPr>
                <w:rFonts w:ascii="Times New Roman" w:hAnsi="Times New Roman" w:cs="Times New Roman"/>
                <w:sz w:val="24"/>
                <w:szCs w:val="24"/>
              </w:rPr>
              <w:t xml:space="preserve">: </w:t>
            </w:r>
          </w:p>
        </w:tc>
      </w:tr>
      <w:tr w:rsidR="00BC3533" w:rsidRPr="00D8339C" w:rsidTr="004E0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BC3533" w:rsidRPr="00D8339C" w:rsidRDefault="00BC3533" w:rsidP="00F923BC">
            <w:pPr>
              <w:pStyle w:val="H2"/>
              <w:rPr>
                <w:rFonts w:cs="Times New Roman"/>
                <w:sz w:val="24"/>
                <w:szCs w:val="24"/>
              </w:rPr>
            </w:pPr>
          </w:p>
        </w:tc>
        <w:tc>
          <w:tcPr>
            <w:tcW w:w="2172" w:type="dxa"/>
            <w:tcBorders>
              <w:top w:val="nil"/>
              <w:left w:val="nil"/>
              <w:bottom w:val="single" w:sz="4" w:space="0" w:color="auto"/>
              <w:right w:val="single" w:sz="4" w:space="0" w:color="auto"/>
            </w:tcBorders>
            <w:shd w:val="clear" w:color="auto" w:fill="auto"/>
            <w:vAlign w:val="center"/>
          </w:tcPr>
          <w:p w:rsidR="00BC3533" w:rsidRPr="00D8339C" w:rsidRDefault="00BC3533" w:rsidP="00F923BC">
            <w:pPr>
              <w:pStyle w:val="BodyText"/>
              <w:rPr>
                <w:rFonts w:ascii="Times New Roman" w:hAnsi="Times New Roman" w:cs="Times New Roman"/>
                <w:color w:val="000000"/>
                <w:sz w:val="24"/>
                <w:szCs w:val="24"/>
              </w:rPr>
            </w:pPr>
          </w:p>
        </w:tc>
        <w:tc>
          <w:tcPr>
            <w:tcW w:w="258" w:type="dxa"/>
            <w:tcBorders>
              <w:top w:val="nil"/>
              <w:left w:val="single" w:sz="4" w:space="0" w:color="auto"/>
              <w:bottom w:val="single" w:sz="4" w:space="0" w:color="auto"/>
              <w:right w:val="single" w:sz="4" w:space="0" w:color="auto"/>
            </w:tcBorders>
            <w:shd w:val="clear" w:color="auto" w:fill="auto"/>
            <w:vAlign w:val="center"/>
          </w:tcPr>
          <w:p w:rsidR="00BC3533" w:rsidRPr="00D8339C" w:rsidRDefault="00BC3533" w:rsidP="00F923BC">
            <w:pPr>
              <w:pStyle w:val="BodyText"/>
              <w:rPr>
                <w:rFonts w:ascii="Times New Roman" w:hAnsi="Times New Roman" w:cs="Times New Roman"/>
                <w:sz w:val="24"/>
                <w:szCs w:val="24"/>
              </w:rPr>
            </w:pPr>
          </w:p>
        </w:tc>
        <w:tc>
          <w:tcPr>
            <w:tcW w:w="5332" w:type="dxa"/>
            <w:vMerge/>
            <w:tcBorders>
              <w:left w:val="single" w:sz="4" w:space="0" w:color="auto"/>
              <w:right w:val="single" w:sz="4" w:space="0" w:color="auto"/>
            </w:tcBorders>
            <w:shd w:val="clear" w:color="auto" w:fill="auto"/>
            <w:vAlign w:val="center"/>
          </w:tcPr>
          <w:p w:rsidR="00BC3533" w:rsidRPr="00D8339C" w:rsidRDefault="00BC3533" w:rsidP="00F923BC">
            <w:pPr>
              <w:pStyle w:val="BodyText"/>
              <w:rPr>
                <w:rFonts w:ascii="Times New Roman" w:hAnsi="Times New Roman" w:cs="Times New Roman"/>
                <w:sz w:val="24"/>
                <w:szCs w:val="24"/>
              </w:rPr>
            </w:pPr>
          </w:p>
        </w:tc>
      </w:tr>
      <w:tr w:rsidR="00875706" w:rsidRPr="00D8339C" w:rsidTr="00C850A3">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D8339C" w:rsidRDefault="00875706" w:rsidP="00F923BC">
            <w:pPr>
              <w:pStyle w:val="H1"/>
              <w:ind w:right="-120" w:hanging="70"/>
              <w:jc w:val="center"/>
              <w:rPr>
                <w:rFonts w:cs="Times New Roman"/>
                <w:szCs w:val="24"/>
              </w:rPr>
            </w:pPr>
            <w:r w:rsidRPr="00D8339C">
              <w:rPr>
                <w:rFonts w:cs="Times New Roman"/>
                <w:szCs w:val="24"/>
              </w:rPr>
              <w:lastRenderedPageBreak/>
              <w:t>Programme Assessment/Review/Mid-Term Eval.</w:t>
            </w:r>
          </w:p>
        </w:tc>
        <w:tc>
          <w:tcPr>
            <w:tcW w:w="258" w:type="dxa"/>
            <w:vMerge w:val="restart"/>
            <w:tcBorders>
              <w:left w:val="single" w:sz="4" w:space="0" w:color="auto"/>
              <w:right w:val="single" w:sz="4" w:space="0" w:color="auto"/>
            </w:tcBorders>
          </w:tcPr>
          <w:p w:rsidR="00875706" w:rsidRPr="00D8339C" w:rsidRDefault="00875706" w:rsidP="00F923BC"/>
        </w:tc>
        <w:tc>
          <w:tcPr>
            <w:tcW w:w="5332" w:type="dxa"/>
            <w:tcBorders>
              <w:top w:val="single" w:sz="4" w:space="0" w:color="auto"/>
              <w:left w:val="single" w:sz="4" w:space="0" w:color="auto"/>
              <w:right w:val="single" w:sz="4" w:space="0" w:color="auto"/>
            </w:tcBorders>
            <w:shd w:val="clear" w:color="auto" w:fill="F3F3F3"/>
          </w:tcPr>
          <w:p w:rsidR="00875706" w:rsidRPr="00D8339C" w:rsidRDefault="00875706" w:rsidP="00F923BC">
            <w:pPr>
              <w:pStyle w:val="H1"/>
              <w:jc w:val="center"/>
              <w:rPr>
                <w:rFonts w:cs="Times New Roman"/>
                <w:szCs w:val="24"/>
              </w:rPr>
            </w:pPr>
            <w:r w:rsidRPr="00D8339C">
              <w:rPr>
                <w:rFonts w:cs="Times New Roman"/>
                <w:bCs w:val="0"/>
                <w:szCs w:val="24"/>
              </w:rPr>
              <w:t>Report Submitted By</w:t>
            </w:r>
          </w:p>
        </w:tc>
      </w:tr>
      <w:tr w:rsidR="00875706" w:rsidRPr="00D8339C" w:rsidTr="00C850A3">
        <w:tblPrEx>
          <w:tblCellMar>
            <w:top w:w="0" w:type="dxa"/>
            <w:bottom w:w="0" w:type="dxa"/>
          </w:tblCellMar>
        </w:tblPrEx>
        <w:trPr>
          <w:trHeight w:val="285"/>
        </w:trPr>
        <w:tc>
          <w:tcPr>
            <w:tcW w:w="5142" w:type="dxa"/>
            <w:gridSpan w:val="2"/>
            <w:tcBorders>
              <w:left w:val="single" w:sz="4" w:space="0" w:color="auto"/>
              <w:bottom w:val="single" w:sz="4" w:space="0" w:color="auto"/>
              <w:right w:val="single" w:sz="4" w:space="0" w:color="auto"/>
            </w:tcBorders>
          </w:tcPr>
          <w:p w:rsidR="00875706" w:rsidRPr="00B453C5" w:rsidRDefault="00416A74" w:rsidP="00F923BC">
            <w:pPr>
              <w:pStyle w:val="BodyText"/>
              <w:rPr>
                <w:rFonts w:ascii="Times New Roman" w:hAnsi="Times New Roman" w:cs="Times New Roman"/>
                <w:bCs/>
                <w:i/>
                <w:iCs/>
                <w:snapToGrid w:val="0"/>
                <w:sz w:val="24"/>
                <w:szCs w:val="24"/>
                <w:lang w:val="en-GB"/>
              </w:rPr>
            </w:pPr>
            <w:r w:rsidRPr="00B453C5">
              <w:rPr>
                <w:rFonts w:ascii="Times New Roman" w:hAnsi="Times New Roman" w:cs="Times New Roman"/>
                <w:sz w:val="24"/>
                <w:szCs w:val="24"/>
              </w:rPr>
              <w:t>Evaluation Completed</w:t>
            </w:r>
          </w:p>
          <w:p w:rsidR="00875706" w:rsidRPr="00B453C5" w:rsidRDefault="00B453C5" w:rsidP="00EF788A">
            <w:pPr>
              <w:pStyle w:val="BodyText"/>
              <w:rPr>
                <w:rFonts w:ascii="Times New Roman" w:hAnsi="Times New Roman" w:cs="Times New Roman"/>
                <w:sz w:val="24"/>
                <w:szCs w:val="24"/>
              </w:rPr>
            </w:pPr>
            <w:r w:rsidRPr="00B453C5">
              <w:rPr>
                <w:rFonts w:ascii="Times New Roman" w:hAnsi="Times New Roman" w:cs="Times New Roman"/>
                <w:sz w:val="24"/>
                <w:szCs w:val="24"/>
              </w:rPr>
              <w:t xml:space="preserve"> </w:t>
            </w:r>
            <w:r w:rsidR="00875706" w:rsidRPr="00B453C5">
              <w:rPr>
                <w:rFonts w:ascii="Times New Roman" w:hAnsi="Times New Roman" w:cs="Times New Roman"/>
                <w:sz w:val="24"/>
                <w:szCs w:val="24"/>
              </w:rPr>
              <w:t xml:space="preserve">No    </w:t>
            </w:r>
          </w:p>
          <w:p w:rsidR="00875706" w:rsidRPr="00B453C5" w:rsidRDefault="00C850A3" w:rsidP="00F923BC">
            <w:pPr>
              <w:pStyle w:val="BodyText"/>
              <w:rPr>
                <w:rFonts w:ascii="Times New Roman" w:hAnsi="Times New Roman" w:cs="Times New Roman"/>
                <w:sz w:val="24"/>
                <w:szCs w:val="24"/>
              </w:rPr>
            </w:pPr>
            <w:r w:rsidRPr="00B453C5">
              <w:rPr>
                <w:rFonts w:ascii="Times New Roman" w:hAnsi="Times New Roman" w:cs="Times New Roman"/>
                <w:sz w:val="24"/>
                <w:szCs w:val="24"/>
              </w:rPr>
              <w:t>E</w:t>
            </w:r>
            <w:r w:rsidR="00875706" w:rsidRPr="00B453C5">
              <w:rPr>
                <w:rFonts w:ascii="Times New Roman" w:hAnsi="Times New Roman" w:cs="Times New Roman"/>
                <w:sz w:val="24"/>
                <w:szCs w:val="24"/>
              </w:rPr>
              <w:t xml:space="preserve">valuation Report </w:t>
            </w:r>
            <w:r w:rsidR="00416A74" w:rsidRPr="00B453C5">
              <w:rPr>
                <w:rFonts w:ascii="Times New Roman" w:hAnsi="Times New Roman" w:cs="Times New Roman"/>
                <w:bCs/>
                <w:iCs/>
                <w:snapToGrid w:val="0"/>
                <w:sz w:val="24"/>
                <w:szCs w:val="24"/>
                <w:lang w:val="en-GB"/>
              </w:rPr>
              <w:t>- Attached</w:t>
            </w:r>
            <w:r w:rsidR="00875706" w:rsidRPr="00B453C5">
              <w:rPr>
                <w:rFonts w:ascii="Times New Roman" w:hAnsi="Times New Roman" w:cs="Times New Roman"/>
                <w:b/>
                <w:sz w:val="24"/>
                <w:szCs w:val="24"/>
              </w:rPr>
              <w:t xml:space="preserve">          </w:t>
            </w:r>
          </w:p>
          <w:p w:rsidR="00875706" w:rsidRPr="00D8339C" w:rsidRDefault="00875706" w:rsidP="00EF788A">
            <w:pPr>
              <w:pStyle w:val="BodyText"/>
              <w:rPr>
                <w:rFonts w:ascii="Times New Roman" w:hAnsi="Times New Roman" w:cs="Times New Roman"/>
                <w:sz w:val="24"/>
                <w:szCs w:val="24"/>
              </w:rPr>
            </w:pPr>
            <w:r w:rsidRPr="00B453C5">
              <w:rPr>
                <w:rFonts w:ascii="Times New Roman" w:hAnsi="Times New Roman" w:cs="Times New Roman"/>
                <w:sz w:val="24"/>
                <w:szCs w:val="24"/>
              </w:rPr>
              <w:t xml:space="preserve">No    </w:t>
            </w:r>
          </w:p>
        </w:tc>
        <w:tc>
          <w:tcPr>
            <w:tcW w:w="258" w:type="dxa"/>
            <w:vMerge/>
            <w:tcBorders>
              <w:left w:val="single" w:sz="4" w:space="0" w:color="auto"/>
              <w:right w:val="single" w:sz="4" w:space="0" w:color="auto"/>
            </w:tcBorders>
          </w:tcPr>
          <w:p w:rsidR="00875706" w:rsidRPr="00D8339C" w:rsidRDefault="00875706" w:rsidP="00F923BC">
            <w:pPr>
              <w:pStyle w:val="BodyText"/>
              <w:rPr>
                <w:rFonts w:ascii="Times New Roman" w:hAnsi="Times New Roman" w:cs="Times New Roman"/>
                <w:sz w:val="24"/>
                <w:szCs w:val="24"/>
              </w:rPr>
            </w:pPr>
          </w:p>
        </w:tc>
        <w:tc>
          <w:tcPr>
            <w:tcW w:w="5332" w:type="dxa"/>
            <w:tcBorders>
              <w:left w:val="single" w:sz="4" w:space="0" w:color="auto"/>
              <w:bottom w:val="single" w:sz="4" w:space="0" w:color="auto"/>
              <w:right w:val="single" w:sz="4" w:space="0" w:color="auto"/>
            </w:tcBorders>
          </w:tcPr>
          <w:p w:rsidR="00875706" w:rsidRPr="00D8339C" w:rsidRDefault="00875706" w:rsidP="005200C0">
            <w:pPr>
              <w:numPr>
                <w:ilvl w:val="0"/>
                <w:numId w:val="4"/>
              </w:numPr>
              <w:ind w:left="342"/>
              <w:rPr>
                <w:lang w:val="en-GB"/>
              </w:rPr>
            </w:pPr>
            <w:r w:rsidRPr="00D8339C">
              <w:rPr>
                <w:lang w:val="en-GB"/>
              </w:rPr>
              <w:t>Name:</w:t>
            </w:r>
            <w:r w:rsidR="00E705A5" w:rsidRPr="00D8339C">
              <w:rPr>
                <w:lang w:val="en-GB"/>
              </w:rPr>
              <w:t xml:space="preserve"> </w:t>
            </w:r>
            <w:r w:rsidR="00EA5461" w:rsidRPr="00D8339C">
              <w:rPr>
                <w:b/>
                <w:bCs/>
                <w:lang w:val="en-GB"/>
              </w:rPr>
              <w:t>Fadi Abilmona</w:t>
            </w:r>
          </w:p>
          <w:p w:rsidR="00875706" w:rsidRPr="00D8339C" w:rsidRDefault="00875706" w:rsidP="005200C0">
            <w:pPr>
              <w:numPr>
                <w:ilvl w:val="0"/>
                <w:numId w:val="4"/>
              </w:numPr>
              <w:ind w:left="342"/>
              <w:rPr>
                <w:lang w:val="en-GB"/>
              </w:rPr>
            </w:pPr>
            <w:r w:rsidRPr="00D8339C">
              <w:rPr>
                <w:lang w:val="en-GB"/>
              </w:rPr>
              <w:t>Title:</w:t>
            </w:r>
            <w:r w:rsidR="00EA5461" w:rsidRPr="00D8339C">
              <w:rPr>
                <w:lang w:val="en-GB"/>
              </w:rPr>
              <w:t xml:space="preserve"> </w:t>
            </w:r>
            <w:r w:rsidR="00EA5461" w:rsidRPr="00D8339C">
              <w:rPr>
                <w:b/>
                <w:bCs/>
                <w:lang w:val="en-GB"/>
              </w:rPr>
              <w:t>UNDP Programme Analyst</w:t>
            </w:r>
          </w:p>
          <w:p w:rsidR="00875706" w:rsidRPr="00D8339C" w:rsidRDefault="00875706" w:rsidP="005200C0">
            <w:pPr>
              <w:numPr>
                <w:ilvl w:val="0"/>
                <w:numId w:val="4"/>
              </w:numPr>
              <w:ind w:left="342"/>
              <w:rPr>
                <w:b/>
                <w:bCs/>
                <w:lang w:val="en-GB"/>
              </w:rPr>
            </w:pPr>
            <w:r w:rsidRPr="00D8339C">
              <w:rPr>
                <w:lang w:val="en-GB"/>
              </w:rPr>
              <w:t>Participating Organization (Lead):</w:t>
            </w:r>
            <w:r w:rsidR="00216C84" w:rsidRPr="00D8339C">
              <w:rPr>
                <w:lang w:val="en-GB"/>
              </w:rPr>
              <w:t xml:space="preserve"> </w:t>
            </w:r>
            <w:r w:rsidR="00216C84" w:rsidRPr="00D8339C">
              <w:rPr>
                <w:b/>
                <w:bCs/>
                <w:lang w:val="en-GB"/>
              </w:rPr>
              <w:t>UNDP</w:t>
            </w:r>
          </w:p>
          <w:p w:rsidR="00875706" w:rsidRPr="00D8339C" w:rsidRDefault="00875706" w:rsidP="005200C0">
            <w:pPr>
              <w:pStyle w:val="BodyText"/>
              <w:numPr>
                <w:ilvl w:val="0"/>
                <w:numId w:val="4"/>
              </w:numPr>
              <w:spacing w:after="120"/>
              <w:ind w:left="342"/>
              <w:jc w:val="both"/>
              <w:rPr>
                <w:rFonts w:ascii="Times New Roman" w:hAnsi="Times New Roman" w:cs="Times New Roman"/>
                <w:b/>
                <w:bCs/>
                <w:snapToGrid w:val="0"/>
                <w:kern w:val="32"/>
                <w:sz w:val="24"/>
                <w:szCs w:val="24"/>
              </w:rPr>
            </w:pPr>
            <w:r w:rsidRPr="00D8339C">
              <w:rPr>
                <w:rFonts w:ascii="Times New Roman" w:hAnsi="Times New Roman" w:cs="Times New Roman"/>
                <w:sz w:val="24"/>
                <w:szCs w:val="24"/>
              </w:rPr>
              <w:t>Email address:</w:t>
            </w:r>
            <w:r w:rsidR="00EA5461" w:rsidRPr="00D8339C">
              <w:rPr>
                <w:rFonts w:ascii="Times New Roman" w:hAnsi="Times New Roman" w:cs="Times New Roman"/>
                <w:sz w:val="24"/>
                <w:szCs w:val="24"/>
              </w:rPr>
              <w:t xml:space="preserve"> </w:t>
            </w:r>
            <w:r w:rsidR="00EA5461" w:rsidRPr="00D8339C">
              <w:rPr>
                <w:rFonts w:ascii="Times New Roman" w:hAnsi="Times New Roman" w:cs="Times New Roman"/>
                <w:b/>
                <w:bCs/>
                <w:sz w:val="24"/>
                <w:szCs w:val="24"/>
              </w:rPr>
              <w:t>fadi.abilmona@undp.org</w:t>
            </w:r>
          </w:p>
        </w:tc>
      </w:tr>
    </w:tbl>
    <w:p w:rsidR="003F3726" w:rsidRPr="00D8339C" w:rsidRDefault="003F3726" w:rsidP="00F923BC">
      <w:pPr>
        <w:rPr>
          <w:b/>
          <w:bCs/>
          <w:caps/>
        </w:rPr>
      </w:pPr>
    </w:p>
    <w:p w:rsidR="003F3726" w:rsidRPr="00D8339C" w:rsidRDefault="003F3726" w:rsidP="00F923BC">
      <w:pPr>
        <w:rPr>
          <w:b/>
          <w:bCs/>
          <w:caps/>
        </w:rPr>
      </w:pPr>
    </w:p>
    <w:p w:rsidR="003022CB" w:rsidRPr="00D8339C" w:rsidRDefault="003022CB" w:rsidP="00F923BC">
      <w:pPr>
        <w:rPr>
          <w:b/>
          <w:bCs/>
        </w:rPr>
      </w:pPr>
    </w:p>
    <w:p w:rsidR="003022CB" w:rsidRPr="00D8339C" w:rsidRDefault="003022CB" w:rsidP="00F923BC">
      <w:pPr>
        <w:rPr>
          <w:b/>
          <w:bCs/>
        </w:rPr>
      </w:pPr>
    </w:p>
    <w:p w:rsidR="003022CB" w:rsidRPr="00D8339C" w:rsidRDefault="003022CB" w:rsidP="00F923BC">
      <w:pPr>
        <w:rPr>
          <w:b/>
          <w:bCs/>
        </w:rPr>
      </w:pPr>
    </w:p>
    <w:p w:rsidR="003022CB" w:rsidRPr="00D8339C" w:rsidRDefault="003022CB" w:rsidP="00F923BC">
      <w:pPr>
        <w:rPr>
          <w:b/>
          <w:bCs/>
        </w:rPr>
      </w:pPr>
    </w:p>
    <w:p w:rsidR="00117939" w:rsidRPr="00D8339C" w:rsidRDefault="00007035" w:rsidP="00F923BC">
      <w:pPr>
        <w:rPr>
          <w:b/>
          <w:bCs/>
        </w:rPr>
      </w:pPr>
      <w:r w:rsidRPr="00D8339C">
        <w:rPr>
          <w:b/>
          <w:bCs/>
        </w:rPr>
        <w:br w:type="page"/>
      </w:r>
      <w:r w:rsidR="00117939" w:rsidRPr="00D8339C">
        <w:rPr>
          <w:b/>
          <w:bCs/>
        </w:rPr>
        <w:lastRenderedPageBreak/>
        <w:t>List of abbreviations and acronyms</w:t>
      </w:r>
    </w:p>
    <w:p w:rsidR="00117939" w:rsidRPr="00D8339C" w:rsidRDefault="00117939" w:rsidP="00F923BC">
      <w:pPr>
        <w:rPr>
          <w:b/>
          <w:bCs/>
          <w:color w:val="FF0000"/>
        </w:rPr>
      </w:pPr>
    </w:p>
    <w:p w:rsidR="00117939" w:rsidRPr="00E3386E" w:rsidRDefault="00CC46D0" w:rsidP="00854226">
      <w:pPr>
        <w:numPr>
          <w:ilvl w:val="0"/>
          <w:numId w:val="9"/>
        </w:numPr>
      </w:pPr>
      <w:r w:rsidRPr="00E3386E">
        <w:t xml:space="preserve">BOQ </w:t>
      </w:r>
      <w:r w:rsidRPr="00E3386E">
        <w:tab/>
      </w:r>
      <w:r w:rsidRPr="00E3386E">
        <w:tab/>
      </w:r>
      <w:r w:rsidRPr="00E3386E">
        <w:tab/>
      </w:r>
      <w:r w:rsidR="00117939" w:rsidRPr="00E3386E">
        <w:t>Bill of quantities</w:t>
      </w:r>
    </w:p>
    <w:p w:rsidR="00117939" w:rsidRPr="00E3386E" w:rsidRDefault="00117939" w:rsidP="00854226">
      <w:pPr>
        <w:numPr>
          <w:ilvl w:val="0"/>
          <w:numId w:val="9"/>
        </w:numPr>
      </w:pPr>
      <w:r w:rsidRPr="00E3386E">
        <w:t>Coop</w:t>
      </w:r>
      <w:r w:rsidRPr="00E3386E">
        <w:tab/>
      </w:r>
      <w:r w:rsidRPr="00E3386E">
        <w:tab/>
      </w:r>
      <w:r w:rsidRPr="00E3386E">
        <w:tab/>
        <w:t>Cooperative</w:t>
      </w:r>
    </w:p>
    <w:p w:rsidR="00117939" w:rsidRPr="00E3386E" w:rsidRDefault="00117939" w:rsidP="00854226">
      <w:pPr>
        <w:numPr>
          <w:ilvl w:val="0"/>
          <w:numId w:val="9"/>
        </w:numPr>
      </w:pPr>
      <w:r w:rsidRPr="00E3386E">
        <w:t>FAO</w:t>
      </w:r>
      <w:r w:rsidRPr="00E3386E">
        <w:tab/>
      </w:r>
      <w:r w:rsidRPr="00E3386E">
        <w:tab/>
      </w:r>
      <w:r w:rsidRPr="00E3386E">
        <w:tab/>
        <w:t>Food and Agriculture Organization</w:t>
      </w:r>
      <w:r w:rsidRPr="00E3386E">
        <w:rPr>
          <w:rStyle w:val="nobr"/>
        </w:rPr>
        <w:t xml:space="preserve"> of the United Nations</w:t>
      </w:r>
    </w:p>
    <w:p w:rsidR="00B817EC" w:rsidRDefault="00B817EC" w:rsidP="00B817EC">
      <w:pPr>
        <w:ind w:left="720"/>
        <w:rPr>
          <w:color w:val="FF0000"/>
        </w:rPr>
      </w:pPr>
      <w:r>
        <w:rPr>
          <w:rFonts w:eastAsia="Calibri"/>
        </w:rPr>
        <w:t>HUG</w:t>
      </w:r>
      <w:r>
        <w:rPr>
          <w:rFonts w:eastAsia="Calibri"/>
        </w:rPr>
        <w:tab/>
      </w:r>
      <w:r>
        <w:rPr>
          <w:rFonts w:eastAsia="Calibri"/>
        </w:rPr>
        <w:tab/>
      </w:r>
      <w:r>
        <w:rPr>
          <w:rFonts w:eastAsia="Calibri"/>
        </w:rPr>
        <w:tab/>
      </w:r>
      <w:r w:rsidRPr="00383291">
        <w:rPr>
          <w:rFonts w:eastAsia="Calibri"/>
        </w:rPr>
        <w:t>Hôpitaux Universitaires de Genève</w:t>
      </w:r>
    </w:p>
    <w:p w:rsidR="00117939" w:rsidRPr="00E3386E" w:rsidRDefault="00117939" w:rsidP="00854226">
      <w:pPr>
        <w:numPr>
          <w:ilvl w:val="0"/>
          <w:numId w:val="9"/>
        </w:numPr>
      </w:pPr>
      <w:r w:rsidRPr="00E3386E">
        <w:t>ILO</w:t>
      </w:r>
      <w:r w:rsidRPr="00E3386E">
        <w:tab/>
      </w:r>
      <w:r w:rsidRPr="00E3386E">
        <w:tab/>
      </w:r>
      <w:r w:rsidRPr="00E3386E">
        <w:tab/>
        <w:t>International Labour Organization</w:t>
      </w:r>
    </w:p>
    <w:p w:rsidR="00247D67" w:rsidRPr="00E3386E" w:rsidRDefault="00247D67" w:rsidP="00854226">
      <w:pPr>
        <w:numPr>
          <w:ilvl w:val="0"/>
          <w:numId w:val="9"/>
        </w:numPr>
      </w:pPr>
      <w:r w:rsidRPr="00E3386E">
        <w:t>IT</w:t>
      </w:r>
      <w:r w:rsidR="00D5105D" w:rsidRPr="00E3386E">
        <w:tab/>
      </w:r>
      <w:r w:rsidR="00D5105D" w:rsidRPr="00E3386E">
        <w:tab/>
      </w:r>
      <w:r w:rsidR="00D5105D" w:rsidRPr="00E3386E">
        <w:tab/>
        <w:t>Information Technology</w:t>
      </w:r>
    </w:p>
    <w:p w:rsidR="00117939" w:rsidRPr="00E3386E" w:rsidRDefault="00117939" w:rsidP="00854226">
      <w:pPr>
        <w:numPr>
          <w:ilvl w:val="0"/>
          <w:numId w:val="9"/>
        </w:numPr>
      </w:pPr>
      <w:r w:rsidRPr="00E3386E">
        <w:t>LRF</w:t>
      </w:r>
      <w:r w:rsidRPr="00E3386E">
        <w:tab/>
      </w:r>
      <w:r w:rsidRPr="00E3386E">
        <w:tab/>
      </w:r>
      <w:r w:rsidRPr="00E3386E">
        <w:tab/>
        <w:t>Lebanon Recovery Fund</w:t>
      </w:r>
    </w:p>
    <w:p w:rsidR="00117939" w:rsidRPr="00E3386E" w:rsidRDefault="00117939" w:rsidP="00854226">
      <w:pPr>
        <w:numPr>
          <w:ilvl w:val="0"/>
          <w:numId w:val="9"/>
        </w:numPr>
      </w:pPr>
      <w:r w:rsidRPr="00E3386E">
        <w:t>M&amp;E</w:t>
      </w:r>
      <w:r w:rsidRPr="00E3386E">
        <w:tab/>
      </w:r>
      <w:r w:rsidRPr="00E3386E">
        <w:tab/>
      </w:r>
      <w:r w:rsidRPr="00E3386E">
        <w:tab/>
        <w:t>Monitoring and Evaluation</w:t>
      </w:r>
    </w:p>
    <w:p w:rsidR="00117939" w:rsidRPr="00E3386E" w:rsidRDefault="00117939" w:rsidP="00854226">
      <w:pPr>
        <w:numPr>
          <w:ilvl w:val="0"/>
          <w:numId w:val="9"/>
        </w:numPr>
      </w:pPr>
      <w:r w:rsidRPr="00E3386E">
        <w:t>MoA</w:t>
      </w:r>
      <w:r w:rsidRPr="00E3386E">
        <w:tab/>
      </w:r>
      <w:r w:rsidRPr="00E3386E">
        <w:tab/>
      </w:r>
      <w:r w:rsidRPr="00E3386E">
        <w:tab/>
        <w:t>Ministry of Agriculture</w:t>
      </w:r>
    </w:p>
    <w:p w:rsidR="00117939" w:rsidRPr="00E3386E" w:rsidRDefault="00117939" w:rsidP="00F923BC">
      <w:pPr>
        <w:pStyle w:val="UN-59Abbreviationscopy"/>
        <w:tabs>
          <w:tab w:val="left" w:pos="1890"/>
        </w:tabs>
        <w:ind w:left="720"/>
        <w:rPr>
          <w:rStyle w:val="nobr"/>
          <w:rFonts w:ascii="Times New Roman" w:hAnsi="Times New Roman"/>
          <w:sz w:val="24"/>
          <w:szCs w:val="24"/>
        </w:rPr>
      </w:pPr>
      <w:r w:rsidRPr="00E3386E">
        <w:rPr>
          <w:rStyle w:val="nobr"/>
          <w:rFonts w:ascii="Times New Roman" w:hAnsi="Times New Roman"/>
          <w:sz w:val="24"/>
          <w:szCs w:val="24"/>
        </w:rPr>
        <w:t>MOU</w:t>
      </w:r>
      <w:r w:rsidRPr="00E3386E">
        <w:rPr>
          <w:rStyle w:val="nobr"/>
          <w:rFonts w:ascii="Times New Roman" w:hAnsi="Times New Roman"/>
          <w:sz w:val="24"/>
          <w:szCs w:val="24"/>
        </w:rPr>
        <w:tab/>
      </w:r>
      <w:r w:rsidR="00CC46D0" w:rsidRPr="00E3386E">
        <w:rPr>
          <w:rStyle w:val="nobr"/>
          <w:rFonts w:ascii="Times New Roman" w:hAnsi="Times New Roman"/>
          <w:sz w:val="24"/>
          <w:szCs w:val="24"/>
        </w:rPr>
        <w:tab/>
      </w:r>
      <w:r w:rsidR="00CC46D0" w:rsidRPr="00E3386E">
        <w:rPr>
          <w:rStyle w:val="nobr"/>
          <w:rFonts w:ascii="Times New Roman" w:hAnsi="Times New Roman"/>
          <w:sz w:val="24"/>
          <w:szCs w:val="24"/>
        </w:rPr>
        <w:tab/>
      </w:r>
      <w:r w:rsidRPr="00E3386E">
        <w:rPr>
          <w:rStyle w:val="nobr"/>
          <w:rFonts w:ascii="Times New Roman" w:hAnsi="Times New Roman"/>
          <w:sz w:val="24"/>
          <w:szCs w:val="24"/>
        </w:rPr>
        <w:t>Memorandum of Understanding</w:t>
      </w:r>
    </w:p>
    <w:p w:rsidR="00117939" w:rsidRPr="00E3386E" w:rsidRDefault="00117939" w:rsidP="00F923BC">
      <w:pPr>
        <w:pStyle w:val="UN-59Abbreviationscopy"/>
        <w:tabs>
          <w:tab w:val="left" w:pos="1890"/>
        </w:tabs>
        <w:ind w:left="720"/>
        <w:rPr>
          <w:rStyle w:val="nobr"/>
          <w:rFonts w:ascii="Times New Roman" w:hAnsi="Times New Roman"/>
          <w:sz w:val="24"/>
          <w:szCs w:val="24"/>
        </w:rPr>
      </w:pPr>
      <w:r w:rsidRPr="00E3386E">
        <w:rPr>
          <w:rStyle w:val="nobr"/>
          <w:rFonts w:ascii="Times New Roman" w:hAnsi="Times New Roman"/>
          <w:sz w:val="24"/>
          <w:szCs w:val="24"/>
        </w:rPr>
        <w:t>MPTF Office</w:t>
      </w:r>
      <w:r w:rsidRPr="00E3386E">
        <w:rPr>
          <w:rStyle w:val="nobr"/>
          <w:rFonts w:ascii="Times New Roman" w:hAnsi="Times New Roman"/>
          <w:sz w:val="24"/>
          <w:szCs w:val="24"/>
        </w:rPr>
        <w:tab/>
      </w:r>
      <w:r w:rsidR="00CC46D0" w:rsidRPr="00E3386E">
        <w:rPr>
          <w:rStyle w:val="nobr"/>
          <w:rFonts w:ascii="Times New Roman" w:hAnsi="Times New Roman"/>
          <w:sz w:val="24"/>
          <w:szCs w:val="24"/>
        </w:rPr>
        <w:tab/>
      </w:r>
      <w:r w:rsidRPr="00E3386E">
        <w:rPr>
          <w:rStyle w:val="nobr"/>
          <w:rFonts w:ascii="Times New Roman" w:hAnsi="Times New Roman"/>
          <w:sz w:val="24"/>
          <w:szCs w:val="24"/>
        </w:rPr>
        <w:t>Multi-Partner Trust Fund Office (Administrative Agent of the LRF)</w:t>
      </w:r>
    </w:p>
    <w:p w:rsidR="00117939" w:rsidRPr="00E3386E" w:rsidRDefault="00117939" w:rsidP="00854226">
      <w:pPr>
        <w:numPr>
          <w:ilvl w:val="0"/>
          <w:numId w:val="9"/>
        </w:numPr>
      </w:pPr>
      <w:r w:rsidRPr="00E3386E">
        <w:t>NBC</w:t>
      </w:r>
      <w:r w:rsidRPr="00E3386E">
        <w:tab/>
      </w:r>
      <w:r w:rsidRPr="00E3386E">
        <w:tab/>
      </w:r>
      <w:r w:rsidRPr="00E3386E">
        <w:tab/>
        <w:t>Nahr el Bared camp</w:t>
      </w:r>
    </w:p>
    <w:p w:rsidR="00AA6F17" w:rsidRPr="00E3386E" w:rsidRDefault="00AA6F17" w:rsidP="00F923BC">
      <w:pPr>
        <w:pStyle w:val="UN-59Abbreviationscopy"/>
        <w:tabs>
          <w:tab w:val="left" w:pos="1890"/>
        </w:tabs>
        <w:ind w:left="720"/>
        <w:rPr>
          <w:rStyle w:val="nobr"/>
          <w:rFonts w:ascii="Times New Roman" w:hAnsi="Times New Roman"/>
          <w:sz w:val="24"/>
          <w:szCs w:val="24"/>
        </w:rPr>
      </w:pPr>
      <w:r w:rsidRPr="00E3386E">
        <w:rPr>
          <w:rStyle w:val="nobr"/>
          <w:rFonts w:ascii="Times New Roman" w:hAnsi="Times New Roman"/>
          <w:sz w:val="24"/>
          <w:szCs w:val="24"/>
        </w:rPr>
        <w:t>OSWCF</w:t>
      </w:r>
      <w:r w:rsidRPr="00E3386E">
        <w:rPr>
          <w:rStyle w:val="nobr"/>
          <w:rFonts w:ascii="Times New Roman" w:hAnsi="Times New Roman"/>
          <w:sz w:val="24"/>
          <w:szCs w:val="24"/>
        </w:rPr>
        <w:tab/>
      </w:r>
      <w:r w:rsidRPr="00E3386E">
        <w:rPr>
          <w:rStyle w:val="nobr"/>
          <w:rFonts w:ascii="Times New Roman" w:hAnsi="Times New Roman"/>
          <w:sz w:val="24"/>
          <w:szCs w:val="24"/>
        </w:rPr>
        <w:tab/>
      </w:r>
      <w:r w:rsidRPr="00E3386E">
        <w:rPr>
          <w:rStyle w:val="nobr"/>
          <w:rFonts w:ascii="Times New Roman" w:hAnsi="Times New Roman"/>
          <w:sz w:val="24"/>
          <w:szCs w:val="24"/>
        </w:rPr>
        <w:tab/>
        <w:t>Olive Solid Waste Composting Facility</w:t>
      </w:r>
    </w:p>
    <w:p w:rsidR="0057557C" w:rsidRPr="00E3386E" w:rsidRDefault="0057557C" w:rsidP="00F923BC">
      <w:pPr>
        <w:pStyle w:val="UN-59Abbreviationscopy"/>
        <w:tabs>
          <w:tab w:val="left" w:pos="1890"/>
        </w:tabs>
        <w:ind w:left="720"/>
        <w:rPr>
          <w:rStyle w:val="nobr"/>
          <w:rFonts w:ascii="Times New Roman" w:hAnsi="Times New Roman"/>
          <w:sz w:val="24"/>
          <w:szCs w:val="24"/>
        </w:rPr>
      </w:pPr>
      <w:r w:rsidRPr="00E3386E">
        <w:rPr>
          <w:rStyle w:val="nobr"/>
          <w:rFonts w:ascii="Times New Roman" w:hAnsi="Times New Roman"/>
          <w:sz w:val="24"/>
          <w:szCs w:val="24"/>
        </w:rPr>
        <w:t>SME</w:t>
      </w:r>
      <w:r w:rsidRPr="00E3386E">
        <w:rPr>
          <w:rStyle w:val="nobr"/>
          <w:rFonts w:ascii="Times New Roman" w:hAnsi="Times New Roman"/>
          <w:sz w:val="24"/>
          <w:szCs w:val="24"/>
        </w:rPr>
        <w:tab/>
      </w:r>
      <w:r w:rsidRPr="00E3386E">
        <w:rPr>
          <w:rStyle w:val="nobr"/>
          <w:rFonts w:ascii="Times New Roman" w:hAnsi="Times New Roman"/>
          <w:sz w:val="24"/>
          <w:szCs w:val="24"/>
        </w:rPr>
        <w:tab/>
      </w:r>
      <w:r w:rsidRPr="00E3386E">
        <w:rPr>
          <w:rStyle w:val="nobr"/>
          <w:rFonts w:ascii="Times New Roman" w:hAnsi="Times New Roman"/>
          <w:sz w:val="24"/>
          <w:szCs w:val="24"/>
        </w:rPr>
        <w:tab/>
      </w:r>
      <w:r w:rsidR="006316C6" w:rsidRPr="00E3386E">
        <w:rPr>
          <w:rStyle w:val="nobr"/>
          <w:rFonts w:ascii="Times New Roman" w:hAnsi="Times New Roman"/>
          <w:sz w:val="24"/>
          <w:szCs w:val="24"/>
        </w:rPr>
        <w:t>Small and M</w:t>
      </w:r>
      <w:r w:rsidRPr="00E3386E">
        <w:rPr>
          <w:rStyle w:val="nobr"/>
          <w:rFonts w:ascii="Times New Roman" w:hAnsi="Times New Roman"/>
          <w:sz w:val="24"/>
          <w:szCs w:val="24"/>
        </w:rPr>
        <w:t xml:space="preserve">edium </w:t>
      </w:r>
      <w:r w:rsidR="006316C6" w:rsidRPr="00E3386E">
        <w:rPr>
          <w:rStyle w:val="nobr"/>
          <w:rFonts w:ascii="Times New Roman" w:hAnsi="Times New Roman"/>
          <w:sz w:val="24"/>
          <w:szCs w:val="24"/>
        </w:rPr>
        <w:t>Enterprises</w:t>
      </w:r>
    </w:p>
    <w:p w:rsidR="00117939" w:rsidRPr="00E3386E" w:rsidRDefault="00117939" w:rsidP="00F923BC">
      <w:pPr>
        <w:pStyle w:val="UN-59Abbreviationscopy"/>
        <w:tabs>
          <w:tab w:val="left" w:pos="1890"/>
        </w:tabs>
        <w:ind w:left="720"/>
        <w:rPr>
          <w:rStyle w:val="nobr"/>
          <w:rFonts w:ascii="Times New Roman" w:hAnsi="Times New Roman"/>
          <w:sz w:val="24"/>
          <w:szCs w:val="24"/>
        </w:rPr>
      </w:pPr>
      <w:r w:rsidRPr="00E3386E">
        <w:rPr>
          <w:rStyle w:val="nobr"/>
          <w:rFonts w:ascii="Times New Roman" w:hAnsi="Times New Roman"/>
          <w:sz w:val="24"/>
          <w:szCs w:val="24"/>
        </w:rPr>
        <w:t>UN</w:t>
      </w:r>
      <w:r w:rsidRPr="00E3386E">
        <w:rPr>
          <w:rStyle w:val="nobr"/>
          <w:rFonts w:ascii="Times New Roman" w:hAnsi="Times New Roman"/>
          <w:sz w:val="24"/>
          <w:szCs w:val="24"/>
        </w:rPr>
        <w:tab/>
      </w:r>
      <w:r w:rsidR="00CC46D0" w:rsidRPr="00E3386E">
        <w:rPr>
          <w:rStyle w:val="nobr"/>
          <w:rFonts w:ascii="Times New Roman" w:hAnsi="Times New Roman"/>
          <w:sz w:val="24"/>
          <w:szCs w:val="24"/>
        </w:rPr>
        <w:tab/>
      </w:r>
      <w:r w:rsidR="00CC46D0" w:rsidRPr="00E3386E">
        <w:rPr>
          <w:rStyle w:val="nobr"/>
          <w:rFonts w:ascii="Times New Roman" w:hAnsi="Times New Roman"/>
          <w:sz w:val="24"/>
          <w:szCs w:val="24"/>
        </w:rPr>
        <w:tab/>
      </w:r>
      <w:r w:rsidRPr="00E3386E">
        <w:rPr>
          <w:rStyle w:val="nobr"/>
          <w:rFonts w:ascii="Times New Roman" w:hAnsi="Times New Roman"/>
          <w:sz w:val="24"/>
          <w:szCs w:val="24"/>
        </w:rPr>
        <w:t>United Nations</w:t>
      </w:r>
    </w:p>
    <w:p w:rsidR="00117939" w:rsidRPr="00E3386E" w:rsidRDefault="00117939" w:rsidP="00854226">
      <w:pPr>
        <w:numPr>
          <w:ilvl w:val="0"/>
          <w:numId w:val="9"/>
        </w:numPr>
      </w:pPr>
      <w:r w:rsidRPr="00E3386E">
        <w:t>UNDAF</w:t>
      </w:r>
      <w:r w:rsidRPr="00E3386E">
        <w:tab/>
      </w:r>
      <w:r w:rsidRPr="00E3386E">
        <w:tab/>
        <w:t>United Nations Development Assistance Framework</w:t>
      </w:r>
    </w:p>
    <w:p w:rsidR="00117939" w:rsidRPr="00E3386E" w:rsidRDefault="00117939" w:rsidP="00854226">
      <w:pPr>
        <w:numPr>
          <w:ilvl w:val="0"/>
          <w:numId w:val="9"/>
        </w:numPr>
      </w:pPr>
      <w:r w:rsidRPr="00E3386E">
        <w:t>UNDP</w:t>
      </w:r>
      <w:r w:rsidRPr="00E3386E">
        <w:tab/>
      </w:r>
      <w:r w:rsidRPr="00E3386E">
        <w:tab/>
      </w:r>
      <w:r w:rsidRPr="00E3386E">
        <w:tab/>
        <w:t>United Nations Development Programmme</w:t>
      </w:r>
    </w:p>
    <w:p w:rsidR="00925CA4" w:rsidRPr="00E3386E" w:rsidRDefault="00925CA4" w:rsidP="00854226">
      <w:pPr>
        <w:numPr>
          <w:ilvl w:val="0"/>
          <w:numId w:val="9"/>
        </w:numPr>
      </w:pPr>
      <w:r w:rsidRPr="00E3386E">
        <w:t>UNRCO</w:t>
      </w:r>
      <w:r w:rsidRPr="00E3386E">
        <w:tab/>
      </w:r>
      <w:r w:rsidRPr="00E3386E">
        <w:tab/>
        <w:t>United Nations Resident Coordinator Office</w:t>
      </w:r>
    </w:p>
    <w:p w:rsidR="00117939" w:rsidRPr="00D8339C" w:rsidRDefault="00117939" w:rsidP="00F923BC">
      <w:pPr>
        <w:rPr>
          <w:lang w:val="en-GB"/>
        </w:rPr>
      </w:pPr>
    </w:p>
    <w:p w:rsidR="00117939" w:rsidRPr="00D8339C" w:rsidRDefault="00117939" w:rsidP="00F923BC">
      <w:pPr>
        <w:rPr>
          <w:lang w:val="en-GB"/>
        </w:rPr>
      </w:pPr>
    </w:p>
    <w:p w:rsidR="00D07807" w:rsidRPr="00D8339C" w:rsidRDefault="00D07807" w:rsidP="00F923BC">
      <w:pPr>
        <w:pStyle w:val="Heading1"/>
        <w:tabs>
          <w:tab w:val="left" w:pos="360"/>
        </w:tabs>
        <w:ind w:left="0"/>
        <w:jc w:val="center"/>
        <w:rPr>
          <w:rFonts w:ascii="Times New Roman" w:hAnsi="Times New Roman"/>
          <w:sz w:val="24"/>
          <w:szCs w:val="24"/>
          <w:u w:val="single"/>
          <w:lang w:val="en-US"/>
        </w:rPr>
      </w:pPr>
    </w:p>
    <w:p w:rsidR="00D07807" w:rsidRPr="00D8339C" w:rsidRDefault="00D07807" w:rsidP="00F923BC">
      <w:pPr>
        <w:pStyle w:val="Heading1"/>
        <w:tabs>
          <w:tab w:val="left" w:pos="360"/>
        </w:tabs>
        <w:ind w:left="0"/>
        <w:jc w:val="center"/>
        <w:rPr>
          <w:rFonts w:ascii="Times New Roman" w:hAnsi="Times New Roman"/>
          <w:sz w:val="24"/>
          <w:szCs w:val="24"/>
          <w:u w:val="single"/>
          <w:lang w:val="en-US"/>
        </w:rPr>
      </w:pPr>
    </w:p>
    <w:p w:rsidR="00D07807" w:rsidRPr="00D8339C" w:rsidRDefault="00D07807" w:rsidP="00F923BC">
      <w:pPr>
        <w:pStyle w:val="Heading1"/>
        <w:tabs>
          <w:tab w:val="left" w:pos="360"/>
        </w:tabs>
        <w:ind w:left="0"/>
        <w:jc w:val="center"/>
        <w:rPr>
          <w:rFonts w:ascii="Times New Roman" w:hAnsi="Times New Roman"/>
          <w:sz w:val="24"/>
          <w:szCs w:val="24"/>
          <w:u w:val="single"/>
          <w:lang w:val="en-US"/>
        </w:rPr>
      </w:pPr>
    </w:p>
    <w:p w:rsidR="00D07807" w:rsidRPr="00D8339C" w:rsidRDefault="00D07807" w:rsidP="00F923BC">
      <w:pPr>
        <w:pStyle w:val="Heading1"/>
        <w:tabs>
          <w:tab w:val="left" w:pos="360"/>
        </w:tabs>
        <w:ind w:left="0"/>
        <w:jc w:val="center"/>
        <w:rPr>
          <w:rFonts w:ascii="Times New Roman" w:hAnsi="Times New Roman"/>
          <w:sz w:val="24"/>
          <w:szCs w:val="24"/>
          <w:u w:val="single"/>
          <w:lang w:val="en-US"/>
        </w:rPr>
      </w:pPr>
    </w:p>
    <w:p w:rsidR="00D07807" w:rsidRPr="00D8339C" w:rsidRDefault="00D07807" w:rsidP="00F923BC">
      <w:pPr>
        <w:pStyle w:val="Heading1"/>
        <w:tabs>
          <w:tab w:val="left" w:pos="360"/>
        </w:tabs>
        <w:ind w:left="0"/>
        <w:jc w:val="center"/>
        <w:rPr>
          <w:rFonts w:ascii="Times New Roman" w:hAnsi="Times New Roman"/>
          <w:sz w:val="24"/>
          <w:szCs w:val="24"/>
          <w:u w:val="single"/>
          <w:lang w:val="en-US"/>
        </w:rPr>
      </w:pPr>
    </w:p>
    <w:p w:rsidR="00AB0274" w:rsidRPr="00D8339C" w:rsidRDefault="007626D9" w:rsidP="00F923BC">
      <w:pPr>
        <w:pStyle w:val="Heading1"/>
        <w:tabs>
          <w:tab w:val="left" w:pos="360"/>
        </w:tabs>
        <w:ind w:left="0"/>
        <w:jc w:val="center"/>
        <w:rPr>
          <w:rFonts w:ascii="Times New Roman" w:hAnsi="Times New Roman"/>
          <w:sz w:val="24"/>
          <w:szCs w:val="24"/>
          <w:u w:val="single"/>
        </w:rPr>
      </w:pPr>
      <w:r w:rsidRPr="00D8339C">
        <w:rPr>
          <w:rFonts w:ascii="Times New Roman" w:hAnsi="Times New Roman"/>
          <w:sz w:val="24"/>
          <w:szCs w:val="24"/>
          <w:u w:val="single"/>
        </w:rPr>
        <w:br w:type="page"/>
      </w:r>
      <w:bookmarkStart w:id="0" w:name="_Toc249364482"/>
      <w:r w:rsidR="00CC7264" w:rsidRPr="00D8339C">
        <w:rPr>
          <w:rFonts w:ascii="Times New Roman" w:hAnsi="Times New Roman"/>
          <w:sz w:val="24"/>
          <w:szCs w:val="24"/>
          <w:u w:val="single"/>
          <w:lang w:val="en-US"/>
        </w:rPr>
        <w:lastRenderedPageBreak/>
        <w:t xml:space="preserve">FINAL PROGRAMME </w:t>
      </w:r>
      <w:r w:rsidR="00AB0274" w:rsidRPr="00D8339C">
        <w:rPr>
          <w:rFonts w:ascii="Times New Roman" w:hAnsi="Times New Roman"/>
          <w:sz w:val="24"/>
          <w:szCs w:val="24"/>
          <w:u w:val="single"/>
        </w:rPr>
        <w:t>REPORT FORMAT</w:t>
      </w:r>
      <w:bookmarkEnd w:id="0"/>
    </w:p>
    <w:p w:rsidR="00AB0274" w:rsidRPr="00D8339C" w:rsidRDefault="00AB0274" w:rsidP="00F923BC"/>
    <w:p w:rsidR="003B1DFF" w:rsidRPr="00D8339C" w:rsidRDefault="000803A0" w:rsidP="00F923BC">
      <w:pPr>
        <w:pStyle w:val="Heading1"/>
        <w:tabs>
          <w:tab w:val="left" w:pos="360"/>
        </w:tabs>
        <w:ind w:left="0"/>
        <w:jc w:val="left"/>
        <w:rPr>
          <w:rFonts w:ascii="Times New Roman" w:hAnsi="Times New Roman"/>
          <w:sz w:val="24"/>
          <w:szCs w:val="24"/>
          <w:lang w:val="en-US"/>
        </w:rPr>
      </w:pPr>
      <w:bookmarkStart w:id="1" w:name="_Toc249364483"/>
      <w:r w:rsidRPr="00D8339C">
        <w:rPr>
          <w:rFonts w:ascii="Times New Roman" w:hAnsi="Times New Roman"/>
          <w:sz w:val="24"/>
          <w:szCs w:val="24"/>
          <w:lang w:val="en-US"/>
        </w:rPr>
        <w:t xml:space="preserve">EXECUTIVE </w:t>
      </w:r>
      <w:r w:rsidR="003B1DFF" w:rsidRPr="00D8339C">
        <w:rPr>
          <w:rFonts w:ascii="Times New Roman" w:hAnsi="Times New Roman"/>
          <w:sz w:val="24"/>
          <w:szCs w:val="24"/>
          <w:lang w:val="en-US"/>
        </w:rPr>
        <w:t xml:space="preserve">SUMMARY </w:t>
      </w:r>
    </w:p>
    <w:p w:rsidR="00A027B1" w:rsidRPr="00D8339C" w:rsidRDefault="00A027B1" w:rsidP="00F923BC">
      <w:pPr>
        <w:jc w:val="both"/>
        <w:rPr>
          <w:highlight w:val="cyan"/>
          <w:lang/>
        </w:rPr>
      </w:pPr>
    </w:p>
    <w:p w:rsidR="00007035" w:rsidRPr="00093AF7" w:rsidRDefault="006C5EC4" w:rsidP="00F923BC">
      <w:r w:rsidRPr="00093AF7">
        <w:t>This r</w:t>
      </w:r>
      <w:r w:rsidR="005A0495" w:rsidRPr="00093AF7">
        <w:t>eport</w:t>
      </w:r>
      <w:r w:rsidR="00FE20F4" w:rsidRPr="00093AF7">
        <w:t xml:space="preserve"> presented to the Multi-Partner Trust Fund Office of the United Nations Development Programme </w:t>
      </w:r>
      <w:r w:rsidR="005A0495" w:rsidRPr="00093AF7">
        <w:t xml:space="preserve"> </w:t>
      </w:r>
      <w:r w:rsidR="00FE20F4" w:rsidRPr="00093AF7">
        <w:t xml:space="preserve">covers </w:t>
      </w:r>
      <w:r w:rsidR="001D0E1B" w:rsidRPr="00093AF7">
        <w:t xml:space="preserve">all the activities implemented under the </w:t>
      </w:r>
      <w:r w:rsidRPr="00093AF7">
        <w:t xml:space="preserve">“Recovery of Nahr el Bared Surrounding Lebanese Communities Affected by 2006 and 2007 Conflicts” project, </w:t>
      </w:r>
      <w:r w:rsidR="00E06F81" w:rsidRPr="00093AF7">
        <w:t>between A</w:t>
      </w:r>
      <w:r w:rsidRPr="00093AF7">
        <w:t xml:space="preserve">ugust 2009 </w:t>
      </w:r>
      <w:r w:rsidR="00E06F81" w:rsidRPr="00093AF7">
        <w:t>and</w:t>
      </w:r>
      <w:r w:rsidRPr="00093AF7">
        <w:t xml:space="preserve"> September 2013.</w:t>
      </w:r>
    </w:p>
    <w:p w:rsidR="00007035" w:rsidRPr="00093AF7" w:rsidRDefault="00007035" w:rsidP="00F923BC">
      <w:pPr>
        <w:jc w:val="both"/>
        <w:rPr>
          <w:lang/>
        </w:rPr>
      </w:pPr>
    </w:p>
    <w:p w:rsidR="00FC43C6" w:rsidRDefault="005D79D4" w:rsidP="000147B1">
      <w:pPr>
        <w:jc w:val="both"/>
        <w:rPr>
          <w:lang w:val="en-GB"/>
        </w:rPr>
      </w:pPr>
      <w:r w:rsidRPr="00093AF7">
        <w:t>One of the most significant achievements of the</w:t>
      </w:r>
      <w:r w:rsidR="000F4814" w:rsidRPr="00093AF7">
        <w:t xml:space="preserve"> </w:t>
      </w:r>
      <w:r w:rsidR="00115290" w:rsidRPr="00093AF7">
        <w:t>project</w:t>
      </w:r>
      <w:r w:rsidR="000F4814" w:rsidRPr="00093AF7">
        <w:t xml:space="preserve"> is the completion of the installation of 102 greenhouses </w:t>
      </w:r>
      <w:r w:rsidR="00093AF7" w:rsidRPr="00093AF7">
        <w:t xml:space="preserve">followed by </w:t>
      </w:r>
      <w:r w:rsidR="00FC43C6">
        <w:t>a</w:t>
      </w:r>
      <w:r w:rsidR="00FC43C6" w:rsidRPr="00D8339C">
        <w:rPr>
          <w:lang w:val="en-GB"/>
        </w:rPr>
        <w:t xml:space="preserve"> technical and managerial training in each of the 6 concerned villages</w:t>
      </w:r>
      <w:r w:rsidR="00FC43C6" w:rsidRPr="00FC43C6">
        <w:t xml:space="preserve"> </w:t>
      </w:r>
      <w:r w:rsidR="00FC43C6">
        <w:t xml:space="preserve">surrounding Nahr el Bared </w:t>
      </w:r>
      <w:r w:rsidR="00FC43C6" w:rsidRPr="00093AF7">
        <w:t>camp.</w:t>
      </w:r>
      <w:r w:rsidR="00FC43C6" w:rsidRPr="00D8339C">
        <w:rPr>
          <w:lang w:val="en-GB"/>
        </w:rPr>
        <w:t xml:space="preserve"> The</w:t>
      </w:r>
      <w:r w:rsidR="00FC43C6">
        <w:rPr>
          <w:lang w:val="en-GB"/>
        </w:rPr>
        <w:t xml:space="preserve"> training sessions </w:t>
      </w:r>
      <w:r w:rsidR="00FC43C6" w:rsidRPr="00D8339C">
        <w:rPr>
          <w:lang w:val="en-GB"/>
        </w:rPr>
        <w:t xml:space="preserve">contributed </w:t>
      </w:r>
      <w:r w:rsidR="00FC43C6">
        <w:rPr>
          <w:lang w:val="en-GB"/>
        </w:rPr>
        <w:t>to raising</w:t>
      </w:r>
      <w:r w:rsidR="00FC43C6" w:rsidRPr="00D8339C">
        <w:rPr>
          <w:lang w:val="en-GB"/>
        </w:rPr>
        <w:t xml:space="preserve"> </w:t>
      </w:r>
      <w:r w:rsidR="003E33B1">
        <w:rPr>
          <w:lang w:val="en-GB"/>
        </w:rPr>
        <w:t xml:space="preserve">the farmers’ </w:t>
      </w:r>
      <w:r w:rsidR="00FC43C6" w:rsidRPr="00D8339C">
        <w:rPr>
          <w:lang w:val="en-GB"/>
        </w:rPr>
        <w:t xml:space="preserve">awareness on efficient agricultural techniques </w:t>
      </w:r>
      <w:r w:rsidR="00FC43C6">
        <w:rPr>
          <w:lang w:val="en-GB"/>
        </w:rPr>
        <w:t>and increasing the</w:t>
      </w:r>
      <w:r w:rsidR="003E33B1">
        <w:rPr>
          <w:lang w:val="en-GB"/>
        </w:rPr>
        <w:t>ir</w:t>
      </w:r>
      <w:r w:rsidR="00FC43C6">
        <w:rPr>
          <w:lang w:val="en-GB"/>
        </w:rPr>
        <w:t xml:space="preserve"> </w:t>
      </w:r>
      <w:r w:rsidR="003E33B1">
        <w:rPr>
          <w:lang w:val="en-GB"/>
        </w:rPr>
        <w:t xml:space="preserve">agricultural </w:t>
      </w:r>
      <w:r w:rsidR="00FC43C6">
        <w:rPr>
          <w:lang w:val="en-GB"/>
        </w:rPr>
        <w:t>knowledge</w:t>
      </w:r>
      <w:r w:rsidR="00FC43C6" w:rsidRPr="00FC43C6">
        <w:t xml:space="preserve"> </w:t>
      </w:r>
      <w:r w:rsidR="00FC43C6" w:rsidRPr="00093AF7">
        <w:t>and expertise</w:t>
      </w:r>
      <w:r w:rsidR="00B8074F">
        <w:rPr>
          <w:lang w:val="en-GB"/>
        </w:rPr>
        <w:t>.</w:t>
      </w:r>
    </w:p>
    <w:p w:rsidR="00FC43C6" w:rsidRDefault="00FC43C6" w:rsidP="00FC43C6">
      <w:pPr>
        <w:jc w:val="both"/>
        <w:rPr>
          <w:lang w:val="en-GB"/>
        </w:rPr>
      </w:pPr>
    </w:p>
    <w:p w:rsidR="00951540" w:rsidRPr="00951540" w:rsidRDefault="00115290" w:rsidP="00FC43C6">
      <w:pPr>
        <w:jc w:val="both"/>
        <w:rPr>
          <w:lang/>
        </w:rPr>
      </w:pPr>
      <w:r w:rsidRPr="00093AF7">
        <w:rPr>
          <w:lang/>
        </w:rPr>
        <w:t xml:space="preserve">Another </w:t>
      </w:r>
      <w:r w:rsidR="00093AF7">
        <w:rPr>
          <w:lang/>
        </w:rPr>
        <w:t xml:space="preserve">achievement </w:t>
      </w:r>
      <w:r w:rsidR="00951540">
        <w:rPr>
          <w:lang/>
        </w:rPr>
        <w:t>is</w:t>
      </w:r>
      <w:r w:rsidRPr="00093AF7">
        <w:rPr>
          <w:lang/>
        </w:rPr>
        <w:t xml:space="preserve"> the completion of the Olive Solid</w:t>
      </w:r>
      <w:r w:rsidR="00093AF7" w:rsidRPr="00093AF7">
        <w:rPr>
          <w:lang/>
        </w:rPr>
        <w:t xml:space="preserve"> Waste Composting Facility and the successful finalization of the first batch of olive compost. The impact of this activity </w:t>
      </w:r>
      <w:r w:rsidR="00951540">
        <w:rPr>
          <w:lang/>
        </w:rPr>
        <w:t>should</w:t>
      </w:r>
      <w:r w:rsidR="00093AF7" w:rsidRPr="00093AF7">
        <w:t xml:space="preserve"> be far reaching in the North </w:t>
      </w:r>
      <w:r w:rsidR="00093AF7" w:rsidRPr="00951540">
        <w:t xml:space="preserve">since all farmers could purchase </w:t>
      </w:r>
      <w:r w:rsidR="00951540" w:rsidRPr="00951540">
        <w:t xml:space="preserve">the final product and </w:t>
      </w:r>
      <w:r w:rsidR="00093AF7" w:rsidRPr="00951540">
        <w:t>all oli</w:t>
      </w:r>
      <w:r w:rsidR="00951540" w:rsidRPr="00951540">
        <w:t>ve growers could benefit from the composting process at the facility.</w:t>
      </w:r>
    </w:p>
    <w:p w:rsidR="00951540" w:rsidRPr="00951540" w:rsidRDefault="00951540" w:rsidP="00951540">
      <w:pPr>
        <w:jc w:val="both"/>
      </w:pPr>
    </w:p>
    <w:p w:rsidR="00115290" w:rsidRPr="00951540" w:rsidRDefault="005D79D4" w:rsidP="00D1690D">
      <w:pPr>
        <w:jc w:val="both"/>
      </w:pPr>
      <w:r w:rsidRPr="00951540">
        <w:t xml:space="preserve">At a more local level, infrastructure projects </w:t>
      </w:r>
      <w:r w:rsidR="00D1690D">
        <w:t>like the construction and</w:t>
      </w:r>
      <w:r w:rsidR="00D1690D" w:rsidRPr="00951540">
        <w:t xml:space="preserve"> asphalting of agricultural roads</w:t>
      </w:r>
      <w:r w:rsidR="00D1690D">
        <w:t xml:space="preserve"> </w:t>
      </w:r>
      <w:r w:rsidR="00574D63">
        <w:t xml:space="preserve">were </w:t>
      </w:r>
      <w:r w:rsidR="00574D63" w:rsidRPr="00951540">
        <w:t xml:space="preserve">successfully implemented </w:t>
      </w:r>
      <w:r w:rsidR="00115290" w:rsidRPr="00951540">
        <w:t>in NBC surrounding municipalities. Th</w:t>
      </w:r>
      <w:r w:rsidR="00D1690D">
        <w:t>e upgrading of agricultural roads</w:t>
      </w:r>
      <w:r w:rsidR="00115290" w:rsidRPr="00951540">
        <w:t xml:space="preserve"> ha</w:t>
      </w:r>
      <w:r w:rsidR="00951540" w:rsidRPr="00951540">
        <w:t>d</w:t>
      </w:r>
      <w:r w:rsidR="00115290" w:rsidRPr="00951540">
        <w:t xml:space="preserve"> a very positiv</w:t>
      </w:r>
      <w:r w:rsidR="00951540" w:rsidRPr="00951540">
        <w:t>e impact on farmers in the area, improving their access to the fields and to the market.</w:t>
      </w:r>
    </w:p>
    <w:p w:rsidR="00115290" w:rsidRPr="00951540" w:rsidRDefault="00115290" w:rsidP="00115290">
      <w:pPr>
        <w:jc w:val="both"/>
      </w:pPr>
    </w:p>
    <w:p w:rsidR="00115290" w:rsidRPr="00951540" w:rsidRDefault="00115290" w:rsidP="00115290">
      <w:pPr>
        <w:jc w:val="both"/>
        <w:rPr>
          <w:highlight w:val="yellow"/>
        </w:rPr>
      </w:pPr>
    </w:p>
    <w:p w:rsidR="00AB0274" w:rsidRPr="00D8339C" w:rsidRDefault="00AB0274" w:rsidP="00F923BC">
      <w:pPr>
        <w:pStyle w:val="Heading1"/>
        <w:numPr>
          <w:ilvl w:val="0"/>
          <w:numId w:val="1"/>
        </w:numPr>
        <w:tabs>
          <w:tab w:val="left" w:pos="360"/>
        </w:tabs>
        <w:ind w:left="360" w:hanging="360"/>
        <w:jc w:val="left"/>
        <w:rPr>
          <w:rFonts w:ascii="Times New Roman" w:hAnsi="Times New Roman"/>
          <w:sz w:val="24"/>
          <w:szCs w:val="24"/>
        </w:rPr>
      </w:pPr>
      <w:r w:rsidRPr="00D8339C">
        <w:rPr>
          <w:rFonts w:ascii="Times New Roman" w:hAnsi="Times New Roman"/>
          <w:sz w:val="24"/>
          <w:szCs w:val="24"/>
        </w:rPr>
        <w:t>Purpose</w:t>
      </w:r>
      <w:bookmarkEnd w:id="1"/>
    </w:p>
    <w:p w:rsidR="00D6269B" w:rsidRPr="00D8339C" w:rsidRDefault="00D6269B" w:rsidP="00F923BC">
      <w:pPr>
        <w:pStyle w:val="BodyText"/>
        <w:jc w:val="both"/>
        <w:rPr>
          <w:rFonts w:ascii="Times New Roman" w:hAnsi="Times New Roman" w:cs="Times New Roman"/>
          <w:sz w:val="24"/>
          <w:szCs w:val="24"/>
        </w:rPr>
      </w:pPr>
    </w:p>
    <w:p w:rsidR="00D6269B" w:rsidRPr="00D8339C" w:rsidRDefault="00D6269B" w:rsidP="00F923BC">
      <w:r w:rsidRPr="00D8339C">
        <w:t>Introduction</w:t>
      </w:r>
      <w:r w:rsidR="002D4F60">
        <w:t>:</w:t>
      </w:r>
    </w:p>
    <w:p w:rsidR="00F923BC" w:rsidRPr="00D8339C" w:rsidRDefault="00F923BC" w:rsidP="00F923BC"/>
    <w:p w:rsidR="00F923BC" w:rsidRPr="00D8339C" w:rsidRDefault="00A641DA" w:rsidP="004C0FA1">
      <w:r w:rsidRPr="00D8339C">
        <w:t>Less than one year after the July-August 2006 war in Lebanon, violent clashes erupted between the Lebanese Army and militants from the Fath El Islam radical group in the Nahr el Bared camp. Three months of heavy fighting took place including aerial and artillery bombardment, leaving the camp in utter destruction with the Palestinian population displaced. Similarly, the residents of the surrounding area found themselves partially displaced.</w:t>
      </w:r>
      <w:r w:rsidR="00E06F81" w:rsidRPr="00D8339C">
        <w:t xml:space="preserve"> The situation of poverty in the area was also aggravated and it intensified existing tensions between Lebanese and Palestinians. </w:t>
      </w:r>
      <w:r w:rsidR="00F923BC" w:rsidRPr="00D8339C">
        <w:t xml:space="preserve">The instability of the political and security situation in Tripoli also had a negative impact on the livelihood opportunities for the local population. </w:t>
      </w:r>
    </w:p>
    <w:p w:rsidR="00F923BC" w:rsidRPr="00D8339C" w:rsidRDefault="00F923BC" w:rsidP="00F923BC"/>
    <w:p w:rsidR="00A641DA" w:rsidRPr="00D8339C" w:rsidRDefault="00A641DA" w:rsidP="007F703D">
      <w:r w:rsidRPr="00D8339C">
        <w:t xml:space="preserve">In January 2008, UNDP launched the “Early recovery of Nahr El Bared surrounding municipalities” project aiming to reduce </w:t>
      </w:r>
      <w:r w:rsidR="00E06F81" w:rsidRPr="00D8339C">
        <w:t>tensions</w:t>
      </w:r>
      <w:r w:rsidRPr="00D8339C">
        <w:t xml:space="preserve"> that may have emerged between Lebanese and Palestinian communities following the NBC crisis</w:t>
      </w:r>
      <w:r w:rsidR="00E06F81" w:rsidRPr="00D8339C">
        <w:t xml:space="preserve"> and to promote </w:t>
      </w:r>
      <w:r w:rsidR="00D6269B" w:rsidRPr="00D8339C">
        <w:t xml:space="preserve">early recovery in </w:t>
      </w:r>
      <w:r w:rsidR="0030748C" w:rsidRPr="00D8339C">
        <w:t xml:space="preserve">the </w:t>
      </w:r>
      <w:r w:rsidR="0021044F" w:rsidRPr="00D8339C">
        <w:t>6</w:t>
      </w:r>
      <w:r w:rsidRPr="00D8339C">
        <w:t xml:space="preserve"> municipalities surrounding </w:t>
      </w:r>
      <w:r w:rsidR="007F703D">
        <w:t>the camp</w:t>
      </w:r>
      <w:r w:rsidRPr="00D8339C">
        <w:t>, namely Muhammara, Bebnine, Bhanine, Minieh, Beddawi and Deir Amar. Within a similar framework and context of promoting social cohesion</w:t>
      </w:r>
      <w:r w:rsidR="00E06F81" w:rsidRPr="00D8339C">
        <w:t xml:space="preserve"> and economic recovery</w:t>
      </w:r>
      <w:r w:rsidRPr="00D8339C">
        <w:t xml:space="preserve">, UNDP expanded its efforts to include additional </w:t>
      </w:r>
      <w:r w:rsidR="0021044F" w:rsidRPr="00D8339C">
        <w:t>22</w:t>
      </w:r>
      <w:r w:rsidRPr="00D8339C">
        <w:t xml:space="preserve"> </w:t>
      </w:r>
      <w:r w:rsidR="00E06F81" w:rsidRPr="00D8339C">
        <w:t xml:space="preserve">NBC </w:t>
      </w:r>
      <w:r w:rsidRPr="00D8339C">
        <w:t xml:space="preserve">surrounding villages that </w:t>
      </w:r>
      <w:r w:rsidR="00E06F81" w:rsidRPr="00D8339C">
        <w:t>were</w:t>
      </w:r>
      <w:r w:rsidRPr="00D8339C">
        <w:t xml:space="preserve"> identified by the Lebanese government to be indirectly affected by the July-August 2006 war and/or the Nahr el Bared conflict in 2007</w:t>
      </w:r>
      <w:r w:rsidR="00F923BC" w:rsidRPr="00D8339C">
        <w:t xml:space="preserve"> (</w:t>
      </w:r>
      <w:r w:rsidR="00840D89">
        <w:t xml:space="preserve">the </w:t>
      </w:r>
      <w:r w:rsidR="00F923BC" w:rsidRPr="00D8339C">
        <w:t>third ring</w:t>
      </w:r>
      <w:r w:rsidR="00840D89">
        <w:t xml:space="preserve"> villages</w:t>
      </w:r>
      <w:r w:rsidR="00F923BC" w:rsidRPr="00D8339C">
        <w:t>)</w:t>
      </w:r>
      <w:r w:rsidRPr="00D8339C">
        <w:t xml:space="preserve">. </w:t>
      </w:r>
    </w:p>
    <w:p w:rsidR="00590772" w:rsidRPr="00D8339C" w:rsidRDefault="00590772" w:rsidP="00F923BC">
      <w:pPr>
        <w:jc w:val="both"/>
        <w:rPr>
          <w:i/>
          <w:color w:val="FF0000"/>
        </w:rPr>
      </w:pPr>
    </w:p>
    <w:p w:rsidR="00F923BC" w:rsidRPr="00D8339C" w:rsidRDefault="00F923BC" w:rsidP="00F923BC">
      <w:pPr>
        <w:jc w:val="both"/>
      </w:pPr>
      <w:r w:rsidRPr="00D8339C">
        <w:t>Main objectives</w:t>
      </w:r>
      <w:r w:rsidR="001E2757" w:rsidRPr="00D8339C">
        <w:t xml:space="preserve"> and expected outcomes</w:t>
      </w:r>
      <w:r w:rsidR="002D4F60">
        <w:t>:</w:t>
      </w:r>
    </w:p>
    <w:p w:rsidR="00F923BC" w:rsidRPr="00D8339C" w:rsidRDefault="00F923BC" w:rsidP="00F923BC">
      <w:pPr>
        <w:jc w:val="both"/>
      </w:pPr>
    </w:p>
    <w:p w:rsidR="00F923BC" w:rsidRPr="00D8339C" w:rsidRDefault="00F923BC" w:rsidP="00E1118D">
      <w:pPr>
        <w:jc w:val="both"/>
      </w:pPr>
      <w:r w:rsidRPr="00D8339C">
        <w:t xml:space="preserve">The main objective of the project </w:t>
      </w:r>
      <w:r w:rsidR="000A5C5A">
        <w:t>was</w:t>
      </w:r>
      <w:r w:rsidRPr="00D8339C">
        <w:t xml:space="preserve"> to promote recovery and social cohesion. It </w:t>
      </w:r>
      <w:r w:rsidR="000A5C5A">
        <w:t>was</w:t>
      </w:r>
      <w:r w:rsidRPr="00D8339C">
        <w:t xml:space="preserve"> designed to restore livelihoods of 2,000 vulnerable households (13,400 individuals) in 28 communities of North-Lebanon who ha</w:t>
      </w:r>
      <w:r w:rsidR="00E1118D">
        <w:t>d</w:t>
      </w:r>
      <w:r w:rsidRPr="00D8339C">
        <w:t xml:space="preserve"> sustained significant direct or indirect losses related to the conflict of July - August 2006 and/or the NBC conflict in 2007. Additionally, the project aim</w:t>
      </w:r>
      <w:r w:rsidR="000A5C5A">
        <w:t>ed</w:t>
      </w:r>
      <w:r w:rsidRPr="00D8339C">
        <w:t xml:space="preserve"> to provide a solid platform for development efforts in the area by increasing local capacities of participatory planning, management and implementation of development programmes, as well as promoting local level dialogue.</w:t>
      </w:r>
    </w:p>
    <w:p w:rsidR="00F923BC" w:rsidRPr="00D8339C" w:rsidRDefault="00F923BC" w:rsidP="00F923BC">
      <w:pPr>
        <w:jc w:val="both"/>
      </w:pPr>
    </w:p>
    <w:p w:rsidR="001E2757" w:rsidRDefault="00DB4C04" w:rsidP="00E1118D">
      <w:pPr>
        <w:jc w:val="both"/>
      </w:pPr>
      <w:r w:rsidRPr="00D8339C">
        <w:t xml:space="preserve">The project </w:t>
      </w:r>
      <w:r w:rsidR="00E1118D">
        <w:t>has contributed</w:t>
      </w:r>
      <w:r w:rsidR="001E2757" w:rsidRPr="00D8339C">
        <w:t xml:space="preserve"> to the achievement of two national priorities of the UNDP Country Programme Document for 2010-2014: </w:t>
      </w:r>
    </w:p>
    <w:p w:rsidR="003E33B1" w:rsidRPr="00D8339C" w:rsidRDefault="003E33B1" w:rsidP="00E1118D">
      <w:pPr>
        <w:jc w:val="both"/>
      </w:pPr>
    </w:p>
    <w:p w:rsidR="001E2757" w:rsidRPr="00D8339C" w:rsidRDefault="00E1118D" w:rsidP="00854226">
      <w:pPr>
        <w:numPr>
          <w:ilvl w:val="0"/>
          <w:numId w:val="18"/>
        </w:numPr>
        <w:jc w:val="both"/>
      </w:pPr>
      <w:r>
        <w:t xml:space="preserve"> </w:t>
      </w:r>
      <w:r w:rsidR="001E2757" w:rsidRPr="00D8339C">
        <w:t xml:space="preserve">The increase of growth performance and improvement of social indicators </w:t>
      </w:r>
    </w:p>
    <w:p w:rsidR="001E2757" w:rsidRDefault="001E2757" w:rsidP="00854226">
      <w:pPr>
        <w:numPr>
          <w:ilvl w:val="0"/>
          <w:numId w:val="18"/>
        </w:numPr>
        <w:jc w:val="both"/>
      </w:pPr>
      <w:r w:rsidRPr="00D8339C">
        <w:t xml:space="preserve">The enhancement of national capacities for crisis prevention and recovery </w:t>
      </w:r>
    </w:p>
    <w:p w:rsidR="00337E7A" w:rsidRPr="00D8339C" w:rsidRDefault="00337E7A" w:rsidP="00337E7A">
      <w:pPr>
        <w:ind w:left="720"/>
        <w:jc w:val="both"/>
      </w:pPr>
    </w:p>
    <w:p w:rsidR="00DB4C04" w:rsidRPr="00D8339C" w:rsidRDefault="00E1118D" w:rsidP="002041C6">
      <w:pPr>
        <w:jc w:val="both"/>
      </w:pPr>
      <w:r>
        <w:t xml:space="preserve">More </w:t>
      </w:r>
      <w:r w:rsidR="00DB4C04" w:rsidRPr="00D8339C">
        <w:t>specifically</w:t>
      </w:r>
      <w:r>
        <w:t>, it</w:t>
      </w:r>
      <w:r w:rsidR="00DB4C04" w:rsidRPr="00D8339C">
        <w:t xml:space="preserve"> </w:t>
      </w:r>
      <w:r>
        <w:t>promoted</w:t>
      </w:r>
      <w:r w:rsidR="002041C6" w:rsidRPr="00D8339C">
        <w:t xml:space="preserve"> </w:t>
      </w:r>
      <w:r w:rsidR="00DB4C04" w:rsidRPr="00D8339C">
        <w:t>strengthen</w:t>
      </w:r>
      <w:r w:rsidR="002041C6" w:rsidRPr="00D8339C">
        <w:t>ing</w:t>
      </w:r>
      <w:r w:rsidR="00DB4C04" w:rsidRPr="00D8339C">
        <w:t xml:space="preserve"> local governance structures in target under-served regions for better representation, participation, and</w:t>
      </w:r>
      <w:r w:rsidR="002041C6" w:rsidRPr="00D8339C">
        <w:t xml:space="preserve"> basic local services delivery as well as improving </w:t>
      </w:r>
      <w:r w:rsidR="00DB4C04" w:rsidRPr="00D8339C">
        <w:t>living conditions and trust in Palestinian and Lebanese surrounding communities.</w:t>
      </w:r>
    </w:p>
    <w:p w:rsidR="00DB4C04" w:rsidRPr="00D8339C" w:rsidRDefault="00DB4C04" w:rsidP="00F923BC">
      <w:pPr>
        <w:jc w:val="both"/>
      </w:pPr>
    </w:p>
    <w:p w:rsidR="00DB4C04" w:rsidRPr="00D8339C" w:rsidRDefault="00DB4C04" w:rsidP="00C75AF0">
      <w:pPr>
        <w:autoSpaceDE w:val="0"/>
        <w:autoSpaceDN w:val="0"/>
        <w:adjustRightInd w:val="0"/>
        <w:jc w:val="both"/>
      </w:pPr>
      <w:r w:rsidRPr="00D8339C">
        <w:t xml:space="preserve">The project also </w:t>
      </w:r>
      <w:r w:rsidR="007742AB" w:rsidRPr="00D8339C">
        <w:t>contribute</w:t>
      </w:r>
      <w:r w:rsidR="00C75AF0">
        <w:t>d</w:t>
      </w:r>
      <w:r w:rsidR="007742AB" w:rsidRPr="00D8339C">
        <w:t xml:space="preserve"> to the achievement of outcomes 1 and 4 of the 2010-2014 UNDAF through strengthening the capacity of civil society groups to foster peace, reconciliation, and conflict prevention (outcome 1) and the capacity of institutions and community groups to formulate and implement regional and local development plans effectively (outcome 4). </w:t>
      </w:r>
      <w:r w:rsidR="00592BD3" w:rsidRPr="00D8339C">
        <w:t xml:space="preserve">In addition, </w:t>
      </w:r>
      <w:r w:rsidR="007742AB" w:rsidRPr="00D8339C">
        <w:t>the project help</w:t>
      </w:r>
      <w:r w:rsidR="00C75AF0">
        <w:t>ed</w:t>
      </w:r>
      <w:r w:rsidR="007742AB" w:rsidRPr="00D8339C">
        <w:t xml:space="preserve"> improving </w:t>
      </w:r>
      <w:r w:rsidRPr="00D8339C">
        <w:t>the availability and access to support services for the development of micro, small and medium enterprises, cooperatives and other underserved population (outcome 4) and the development of the capacity for production and marketing of quality, safe, competitive industrial, agricultural and handicraft products (outcome 4).</w:t>
      </w:r>
    </w:p>
    <w:p w:rsidR="005D79D4" w:rsidRPr="00D8339C" w:rsidRDefault="005D79D4" w:rsidP="00F923BC">
      <w:pPr>
        <w:pStyle w:val="BodyText"/>
        <w:jc w:val="both"/>
        <w:rPr>
          <w:rFonts w:ascii="Times New Roman" w:hAnsi="Times New Roman" w:cs="Times New Roman"/>
          <w:sz w:val="24"/>
          <w:szCs w:val="24"/>
          <w:highlight w:val="yellow"/>
        </w:rPr>
      </w:pPr>
    </w:p>
    <w:p w:rsidR="001E2757" w:rsidRPr="00D8339C" w:rsidRDefault="001E2757" w:rsidP="00964A42">
      <w:pPr>
        <w:pStyle w:val="ListParagraph"/>
        <w:ind w:left="0"/>
        <w:jc w:val="both"/>
        <w:rPr>
          <w:bCs/>
          <w:spacing w:val="-2"/>
        </w:rPr>
      </w:pPr>
      <w:r w:rsidRPr="00D8339C">
        <w:rPr>
          <w:bCs/>
        </w:rPr>
        <w:t xml:space="preserve">As per the project document, some activities </w:t>
      </w:r>
      <w:r w:rsidR="000A5C5A">
        <w:rPr>
          <w:bCs/>
        </w:rPr>
        <w:t>were</w:t>
      </w:r>
      <w:r w:rsidRPr="00D8339C">
        <w:rPr>
          <w:bCs/>
        </w:rPr>
        <w:t xml:space="preserve"> implemented in partnership with the ILO and FAO. In particular, both UN agencies </w:t>
      </w:r>
      <w:r w:rsidR="000A5C5A">
        <w:rPr>
          <w:bCs/>
        </w:rPr>
        <w:t>were</w:t>
      </w:r>
      <w:r w:rsidRPr="00D8339C">
        <w:rPr>
          <w:bCs/>
        </w:rPr>
        <w:t xml:space="preserve"> engaged in the implementation of project output 1: “</w:t>
      </w:r>
      <w:r w:rsidRPr="00D8339C">
        <w:rPr>
          <w:bCs/>
          <w:spacing w:val="-2"/>
        </w:rPr>
        <w:t>Livelihoods of farmers, fishermen and SME owners improved through socio-economic interventions targeting training, technical and asset needs”. In this respect, FAO provided technical support and assistance to the design and implementation of the agricultural-related aspects of the project, including capacity building</w:t>
      </w:r>
      <w:r w:rsidR="00964A42">
        <w:rPr>
          <w:bCs/>
          <w:spacing w:val="-2"/>
        </w:rPr>
        <w:t>. As for the ILO, it</w:t>
      </w:r>
      <w:r w:rsidRPr="00D8339C">
        <w:rPr>
          <w:bCs/>
          <w:spacing w:val="-2"/>
        </w:rPr>
        <w:t xml:space="preserve"> supported the implementati</w:t>
      </w:r>
      <w:r w:rsidR="000A5C5A">
        <w:rPr>
          <w:bCs/>
          <w:spacing w:val="-2"/>
        </w:rPr>
        <w:t>on of the micro grant component</w:t>
      </w:r>
      <w:r w:rsidRPr="00D8339C">
        <w:rPr>
          <w:bCs/>
          <w:spacing w:val="-2"/>
        </w:rPr>
        <w:t xml:space="preserve"> through its partnership with the local micro f</w:t>
      </w:r>
      <w:r w:rsidR="00773BC6" w:rsidRPr="00D8339C">
        <w:rPr>
          <w:bCs/>
          <w:spacing w:val="-2"/>
        </w:rPr>
        <w:t>inance institution known as Al-</w:t>
      </w:r>
      <w:r w:rsidRPr="00D8339C">
        <w:rPr>
          <w:bCs/>
          <w:spacing w:val="-2"/>
        </w:rPr>
        <w:t>Majmoua</w:t>
      </w:r>
      <w:r w:rsidR="00964A42">
        <w:rPr>
          <w:bCs/>
          <w:spacing w:val="-2"/>
        </w:rPr>
        <w:t xml:space="preserve">, which was </w:t>
      </w:r>
      <w:r w:rsidR="00C75AF0">
        <w:rPr>
          <w:bCs/>
          <w:spacing w:val="-2"/>
        </w:rPr>
        <w:t xml:space="preserve">also an </w:t>
      </w:r>
      <w:r w:rsidRPr="00D8339C">
        <w:rPr>
          <w:bCs/>
          <w:spacing w:val="-2"/>
        </w:rPr>
        <w:t xml:space="preserve">implementing partner. </w:t>
      </w:r>
    </w:p>
    <w:p w:rsidR="001E2757" w:rsidRPr="00D8339C" w:rsidRDefault="001E2757" w:rsidP="001E2757">
      <w:pPr>
        <w:pStyle w:val="ListParagraph"/>
        <w:ind w:left="0"/>
        <w:jc w:val="both"/>
        <w:rPr>
          <w:bCs/>
          <w:spacing w:val="-2"/>
        </w:rPr>
      </w:pPr>
    </w:p>
    <w:p w:rsidR="001E2757" w:rsidRPr="00D8339C" w:rsidRDefault="001E2757" w:rsidP="001E2757">
      <w:pPr>
        <w:pStyle w:val="ListParagraph"/>
        <w:ind w:left="0"/>
        <w:jc w:val="both"/>
        <w:rPr>
          <w:bCs/>
          <w:spacing w:val="-2"/>
        </w:rPr>
      </w:pPr>
      <w:r w:rsidRPr="00D8339C">
        <w:rPr>
          <w:bCs/>
          <w:spacing w:val="-2"/>
        </w:rPr>
        <w:t xml:space="preserve">Other implementing partners include: the </w:t>
      </w:r>
      <w:r w:rsidRPr="00D8339C">
        <w:rPr>
          <w:bCs/>
          <w:iCs/>
          <w:color w:val="000000"/>
        </w:rPr>
        <w:t>M</w:t>
      </w:r>
      <w:r w:rsidR="0007619C" w:rsidRPr="00D8339C">
        <w:rPr>
          <w:bCs/>
          <w:iCs/>
          <w:color w:val="000000"/>
        </w:rPr>
        <w:t>inistry of Agriculture and the m</w:t>
      </w:r>
      <w:r w:rsidRPr="00D8339C">
        <w:rPr>
          <w:bCs/>
          <w:iCs/>
          <w:color w:val="000000"/>
        </w:rPr>
        <w:t>unicipalities of Karkaf, Wadi el-Jamous, Kobbet Bchamra, Hmaira, Borj el-Arab, Halba, Bkarzla, Bebnine, Muhammara, Minyeh and Bhanine.</w:t>
      </w:r>
    </w:p>
    <w:p w:rsidR="00DE6E89" w:rsidRPr="00D8339C" w:rsidRDefault="00DE6E89" w:rsidP="00F923BC">
      <w:pPr>
        <w:pStyle w:val="BodyText"/>
        <w:ind w:left="720"/>
        <w:jc w:val="both"/>
        <w:rPr>
          <w:rFonts w:ascii="Times New Roman" w:hAnsi="Times New Roman" w:cs="Times New Roman"/>
          <w:sz w:val="24"/>
          <w:szCs w:val="24"/>
        </w:rPr>
      </w:pPr>
    </w:p>
    <w:p w:rsidR="00AB0274" w:rsidRPr="00D8339C" w:rsidRDefault="00CC7264" w:rsidP="00F923BC">
      <w:pPr>
        <w:pStyle w:val="Heading1"/>
        <w:numPr>
          <w:ilvl w:val="0"/>
          <w:numId w:val="1"/>
        </w:numPr>
        <w:tabs>
          <w:tab w:val="left" w:pos="360"/>
        </w:tabs>
        <w:ind w:left="360" w:hanging="360"/>
        <w:jc w:val="left"/>
        <w:rPr>
          <w:rFonts w:ascii="Times New Roman" w:hAnsi="Times New Roman"/>
          <w:sz w:val="24"/>
          <w:szCs w:val="24"/>
          <w:lang w:val="en-US"/>
        </w:rPr>
      </w:pPr>
      <w:bookmarkStart w:id="2" w:name="_Toc249364486"/>
      <w:r w:rsidRPr="00D8339C">
        <w:rPr>
          <w:rFonts w:ascii="Times New Roman" w:hAnsi="Times New Roman"/>
          <w:sz w:val="24"/>
          <w:szCs w:val="24"/>
          <w:lang w:val="en-US"/>
        </w:rPr>
        <w:t xml:space="preserve">Assessment of Programme </w:t>
      </w:r>
      <w:r w:rsidR="00AB0274" w:rsidRPr="00D8339C">
        <w:rPr>
          <w:rFonts w:ascii="Times New Roman" w:hAnsi="Times New Roman"/>
          <w:sz w:val="24"/>
          <w:szCs w:val="24"/>
        </w:rPr>
        <w:t>Results</w:t>
      </w:r>
      <w:bookmarkEnd w:id="2"/>
      <w:r w:rsidR="00AB0274" w:rsidRPr="00D8339C">
        <w:rPr>
          <w:rFonts w:ascii="Times New Roman" w:hAnsi="Times New Roman"/>
          <w:sz w:val="24"/>
          <w:szCs w:val="24"/>
        </w:rPr>
        <w:t xml:space="preserve"> </w:t>
      </w:r>
    </w:p>
    <w:p w:rsidR="0091521A" w:rsidRPr="00D8339C" w:rsidRDefault="0091521A" w:rsidP="0091521A">
      <w:pPr>
        <w:jc w:val="both"/>
        <w:rPr>
          <w:lang/>
        </w:rPr>
      </w:pPr>
    </w:p>
    <w:p w:rsidR="00DD2243" w:rsidRPr="00D8339C" w:rsidRDefault="00337E7A" w:rsidP="005200C0">
      <w:pPr>
        <w:numPr>
          <w:ilvl w:val="0"/>
          <w:numId w:val="5"/>
        </w:numPr>
        <w:rPr>
          <w:b/>
          <w:lang/>
        </w:rPr>
      </w:pPr>
      <w:r>
        <w:rPr>
          <w:b/>
          <w:lang/>
        </w:rPr>
        <w:t>Narrative reporting on results</w:t>
      </w:r>
    </w:p>
    <w:p w:rsidR="0091521A" w:rsidRPr="00D8339C" w:rsidRDefault="0091521A" w:rsidP="0091521A">
      <w:pPr>
        <w:jc w:val="both"/>
        <w:rPr>
          <w:lang/>
        </w:rPr>
      </w:pPr>
    </w:p>
    <w:p w:rsidR="005D79D4" w:rsidRPr="00D8339C" w:rsidRDefault="00AF70E1" w:rsidP="00AF70E1">
      <w:r w:rsidRPr="00D8339C">
        <w:rPr>
          <w:b/>
          <w:bCs/>
        </w:rPr>
        <w:t>Project outcome:</w:t>
      </w:r>
      <w:r w:rsidRPr="00D8339C">
        <w:t xml:space="preserve"> Promoting economic recovery and social cohesion in NBC surrounding communities affected by the 2006 and 2007 conflicts</w:t>
      </w:r>
    </w:p>
    <w:p w:rsidR="005D79D4" w:rsidRPr="00D8339C" w:rsidRDefault="005D79D4" w:rsidP="00F923BC">
      <w:pPr>
        <w:pStyle w:val="BodyText"/>
        <w:jc w:val="both"/>
        <w:rPr>
          <w:rFonts w:ascii="Times New Roman" w:hAnsi="Times New Roman" w:cs="Times New Roman"/>
          <w:b/>
          <w:bCs/>
          <w:sz w:val="24"/>
          <w:szCs w:val="24"/>
        </w:rPr>
      </w:pPr>
    </w:p>
    <w:p w:rsidR="00F908B7" w:rsidRPr="00D8339C" w:rsidRDefault="005D79D4" w:rsidP="008F6F55">
      <w:pPr>
        <w:jc w:val="both"/>
      </w:pPr>
      <w:r w:rsidRPr="00D8339C">
        <w:t>In order to realize the project</w:t>
      </w:r>
      <w:r w:rsidR="000350A1" w:rsidRPr="00D8339C">
        <w:t>’s</w:t>
      </w:r>
      <w:r w:rsidRPr="00D8339C">
        <w:t xml:space="preserve"> outcome to </w:t>
      </w:r>
      <w:r w:rsidR="000350A1" w:rsidRPr="00D8339C">
        <w:t xml:space="preserve">promote economic recovery and social cohesion in 28 </w:t>
      </w:r>
      <w:r w:rsidR="0007619C" w:rsidRPr="00D8339C">
        <w:t>NBC surrounding m</w:t>
      </w:r>
      <w:r w:rsidR="000350A1" w:rsidRPr="00D8339C">
        <w:t>unicipalities</w:t>
      </w:r>
      <w:r w:rsidR="00F908B7" w:rsidRPr="00D8339C">
        <w:t>,</w:t>
      </w:r>
      <w:r w:rsidRPr="00D8339C">
        <w:t xml:space="preserve"> </w:t>
      </w:r>
      <w:r w:rsidR="00F908B7" w:rsidRPr="00D8339C">
        <w:t xml:space="preserve">several </w:t>
      </w:r>
      <w:r w:rsidRPr="00D8339C">
        <w:t xml:space="preserve">activities </w:t>
      </w:r>
      <w:r w:rsidR="00F908B7" w:rsidRPr="00D8339C">
        <w:t>were</w:t>
      </w:r>
      <w:r w:rsidRPr="00D8339C">
        <w:t xml:space="preserve"> </w:t>
      </w:r>
      <w:r w:rsidR="00F908B7" w:rsidRPr="00D8339C">
        <w:t>directly implemented while others were achieved by national and local partners with the support of the project. A number of pilot initiatives which could be used for experience sharing and replication were implemented between August 2009 and September 2013.</w:t>
      </w:r>
    </w:p>
    <w:p w:rsidR="005D79D4" w:rsidRPr="00D8339C" w:rsidRDefault="005D79D4" w:rsidP="00F908B7">
      <w:pPr>
        <w:jc w:val="both"/>
        <w:rPr>
          <w:i/>
          <w:iCs/>
        </w:rPr>
      </w:pPr>
    </w:p>
    <w:p w:rsidR="009572AB" w:rsidRPr="00D8339C" w:rsidRDefault="009572AB" w:rsidP="009572AB">
      <w:pPr>
        <w:jc w:val="both"/>
        <w:rPr>
          <w:u w:val="single"/>
        </w:rPr>
      </w:pPr>
      <w:r w:rsidRPr="00D8339C">
        <w:rPr>
          <w:u w:val="single"/>
        </w:rPr>
        <w:t>Output 1: Livelihoods of farmers, fishermen and SME owners improved through socio-economic interventions targeting training</w:t>
      </w:r>
      <w:r w:rsidRPr="00B453C5">
        <w:rPr>
          <w:u w:val="single"/>
        </w:rPr>
        <w:t>, technical and asset needs</w:t>
      </w:r>
    </w:p>
    <w:p w:rsidR="009572AB" w:rsidRPr="00D8339C" w:rsidRDefault="009572AB" w:rsidP="009572AB">
      <w:pPr>
        <w:jc w:val="both"/>
      </w:pPr>
    </w:p>
    <w:p w:rsidR="009572AB" w:rsidRPr="00D8339C" w:rsidRDefault="009572AB" w:rsidP="00854226">
      <w:pPr>
        <w:numPr>
          <w:ilvl w:val="0"/>
          <w:numId w:val="19"/>
        </w:numPr>
        <w:jc w:val="both"/>
        <w:rPr>
          <w:i/>
          <w:iCs/>
        </w:rPr>
      </w:pPr>
      <w:r w:rsidRPr="00D8339C">
        <w:rPr>
          <w:i/>
          <w:iCs/>
        </w:rPr>
        <w:t>Improvement of</w:t>
      </w:r>
      <w:r w:rsidR="00C321C6" w:rsidRPr="00D8339C">
        <w:rPr>
          <w:i/>
          <w:iCs/>
        </w:rPr>
        <w:t xml:space="preserve"> the livelihoods of SME owners</w:t>
      </w:r>
    </w:p>
    <w:p w:rsidR="009572AB" w:rsidRPr="00D8339C" w:rsidRDefault="009572AB" w:rsidP="009572AB">
      <w:pPr>
        <w:pStyle w:val="BodyText2"/>
        <w:rPr>
          <w:rFonts w:ascii="Times New Roman" w:hAnsi="Times New Roman" w:cs="Times New Roman"/>
          <w:noProof/>
          <w:sz w:val="24"/>
          <w:szCs w:val="24"/>
        </w:rPr>
      </w:pPr>
    </w:p>
    <w:p w:rsidR="009572AB" w:rsidRPr="00D8339C" w:rsidRDefault="009572AB" w:rsidP="003F2116">
      <w:pPr>
        <w:pStyle w:val="BodyText2"/>
        <w:rPr>
          <w:rFonts w:ascii="Times New Roman" w:hAnsi="Times New Roman" w:cs="Times New Roman"/>
          <w:noProof/>
          <w:sz w:val="24"/>
          <w:szCs w:val="24"/>
        </w:rPr>
      </w:pPr>
      <w:r w:rsidRPr="00D8339C">
        <w:rPr>
          <w:rFonts w:ascii="Times New Roman" w:hAnsi="Times New Roman" w:cs="Times New Roman"/>
          <w:noProof/>
          <w:sz w:val="24"/>
          <w:szCs w:val="24"/>
        </w:rPr>
        <w:t xml:space="preserve">Following the NBC crisis, large numbers of businesses were totally or partially destroyed, thereby severely affecting all social and economic activities. </w:t>
      </w:r>
      <w:r w:rsidR="003F2116" w:rsidRPr="00D8339C">
        <w:rPr>
          <w:rFonts w:ascii="Times New Roman" w:hAnsi="Times New Roman" w:cs="Times New Roman"/>
          <w:noProof/>
          <w:sz w:val="24"/>
          <w:szCs w:val="24"/>
        </w:rPr>
        <w:t>M</w:t>
      </w:r>
      <w:r w:rsidRPr="00D8339C">
        <w:rPr>
          <w:rFonts w:ascii="Times New Roman" w:hAnsi="Times New Roman" w:cs="Times New Roman"/>
          <w:noProof/>
          <w:sz w:val="24"/>
          <w:szCs w:val="24"/>
        </w:rPr>
        <w:t xml:space="preserve">any Lebanese businesses operating in the surrouding areas of NBC suffered from the loss of income resulting from lack of access to the main trade routes and the </w:t>
      </w:r>
      <w:r w:rsidRPr="00D8339C">
        <w:rPr>
          <w:rFonts w:ascii="Times New Roman" w:hAnsi="Times New Roman" w:cs="Times New Roman"/>
          <w:noProof/>
          <w:sz w:val="24"/>
          <w:szCs w:val="24"/>
        </w:rPr>
        <w:lastRenderedPageBreak/>
        <w:t xml:space="preserve">interruption of labor supply, the collateral damage from the crisis extended far beyond the immediate direct destruction. </w:t>
      </w:r>
    </w:p>
    <w:p w:rsidR="009572AB" w:rsidRPr="00D8339C" w:rsidRDefault="009572AB" w:rsidP="009572AB">
      <w:pPr>
        <w:jc w:val="both"/>
      </w:pPr>
    </w:p>
    <w:p w:rsidR="009572AB" w:rsidRPr="00D8339C" w:rsidRDefault="009572AB" w:rsidP="009572AB">
      <w:pPr>
        <w:pStyle w:val="BodyText2"/>
        <w:rPr>
          <w:rFonts w:ascii="Times New Roman" w:hAnsi="Times New Roman" w:cs="Times New Roman"/>
          <w:noProof/>
          <w:sz w:val="24"/>
          <w:szCs w:val="24"/>
        </w:rPr>
      </w:pPr>
      <w:r w:rsidRPr="00D8339C">
        <w:rPr>
          <w:rFonts w:ascii="Times New Roman" w:hAnsi="Times New Roman" w:cs="Times New Roman"/>
          <w:noProof/>
          <w:sz w:val="24"/>
          <w:szCs w:val="24"/>
        </w:rPr>
        <w:t>In response to impact of the crisis on the livelihood of the Lebanese of the camp surrounding area, UNDP i</w:t>
      </w:r>
      <w:r w:rsidR="00773BC6" w:rsidRPr="00D8339C">
        <w:rPr>
          <w:rFonts w:ascii="Times New Roman" w:hAnsi="Times New Roman" w:cs="Times New Roman"/>
          <w:noProof/>
          <w:sz w:val="24"/>
          <w:szCs w:val="24"/>
        </w:rPr>
        <w:t xml:space="preserve">n collaboration with </w:t>
      </w:r>
      <w:r w:rsidR="00162DEF">
        <w:rPr>
          <w:rFonts w:ascii="Times New Roman" w:hAnsi="Times New Roman" w:cs="Times New Roman"/>
          <w:noProof/>
          <w:sz w:val="24"/>
          <w:szCs w:val="24"/>
        </w:rPr>
        <w:t xml:space="preserve">the </w:t>
      </w:r>
      <w:r w:rsidR="00773BC6" w:rsidRPr="00D8339C">
        <w:rPr>
          <w:rFonts w:ascii="Times New Roman" w:hAnsi="Times New Roman" w:cs="Times New Roman"/>
          <w:noProof/>
          <w:sz w:val="24"/>
          <w:szCs w:val="24"/>
        </w:rPr>
        <w:t>ILO and Al-</w:t>
      </w:r>
      <w:r w:rsidRPr="00D8339C">
        <w:rPr>
          <w:rFonts w:ascii="Times New Roman" w:hAnsi="Times New Roman" w:cs="Times New Roman"/>
          <w:noProof/>
          <w:sz w:val="24"/>
          <w:szCs w:val="24"/>
        </w:rPr>
        <w:t>Majmoua provided micro loans to small business owners affected by the crisis in an effort to recover their incomes.</w:t>
      </w:r>
    </w:p>
    <w:p w:rsidR="009572AB" w:rsidRPr="00D8339C" w:rsidRDefault="009572AB" w:rsidP="009572AB">
      <w:pPr>
        <w:pStyle w:val="BodyText2"/>
        <w:rPr>
          <w:rFonts w:ascii="Times New Roman" w:hAnsi="Times New Roman" w:cs="Times New Roman"/>
          <w:noProof/>
          <w:sz w:val="24"/>
          <w:szCs w:val="24"/>
        </w:rPr>
      </w:pPr>
    </w:p>
    <w:p w:rsidR="009572AB" w:rsidRPr="00D8339C" w:rsidRDefault="009572AB" w:rsidP="0096703E">
      <w:pPr>
        <w:pStyle w:val="BodyText2"/>
        <w:rPr>
          <w:rFonts w:ascii="Times New Roman" w:hAnsi="Times New Roman" w:cs="Times New Roman"/>
          <w:noProof/>
          <w:sz w:val="24"/>
          <w:szCs w:val="24"/>
        </w:rPr>
      </w:pPr>
      <w:r w:rsidRPr="00D8339C">
        <w:rPr>
          <w:rFonts w:ascii="Times New Roman" w:hAnsi="Times New Roman" w:cs="Times New Roman"/>
          <w:noProof/>
          <w:sz w:val="24"/>
          <w:szCs w:val="24"/>
        </w:rPr>
        <w:t xml:space="preserve">At the end of April 2011, 106 SME business owners had been supported through this project, to recover businesses directly or indirectly impacted by </w:t>
      </w:r>
      <w:r w:rsidR="00162DEF">
        <w:rPr>
          <w:rFonts w:ascii="Times New Roman" w:hAnsi="Times New Roman" w:cs="Times New Roman"/>
          <w:noProof/>
          <w:sz w:val="24"/>
          <w:szCs w:val="24"/>
        </w:rPr>
        <w:t>the NBC</w:t>
      </w:r>
      <w:r w:rsidRPr="00D8339C">
        <w:rPr>
          <w:rFonts w:ascii="Times New Roman" w:hAnsi="Times New Roman" w:cs="Times New Roman"/>
          <w:noProof/>
          <w:sz w:val="24"/>
          <w:szCs w:val="24"/>
        </w:rPr>
        <w:t xml:space="preserve"> crisis, as per the selection crit</w:t>
      </w:r>
      <w:r w:rsidR="003F2116" w:rsidRPr="00D8339C">
        <w:rPr>
          <w:rFonts w:ascii="Times New Roman" w:hAnsi="Times New Roman" w:cs="Times New Roman"/>
          <w:noProof/>
          <w:sz w:val="24"/>
          <w:szCs w:val="24"/>
        </w:rPr>
        <w:t>eria outlined below. The loans were</w:t>
      </w:r>
      <w:r w:rsidRPr="00D8339C">
        <w:rPr>
          <w:rFonts w:ascii="Times New Roman" w:hAnsi="Times New Roman" w:cs="Times New Roman"/>
          <w:noProof/>
          <w:sz w:val="24"/>
          <w:szCs w:val="24"/>
        </w:rPr>
        <w:t xml:space="preserve"> provided to small businesses varying from photography to farming, with the most supported businesses being grocery stores, car painting and gas stations, carpentry and fishing. The loans were </w:t>
      </w:r>
      <w:r w:rsidR="00162DEF" w:rsidRPr="00D8339C">
        <w:rPr>
          <w:rFonts w:ascii="Times New Roman" w:hAnsi="Times New Roman" w:cs="Times New Roman"/>
          <w:noProof/>
          <w:sz w:val="24"/>
          <w:szCs w:val="24"/>
        </w:rPr>
        <w:t xml:space="preserve">mainly </w:t>
      </w:r>
      <w:r w:rsidRPr="00D8339C">
        <w:rPr>
          <w:rFonts w:ascii="Times New Roman" w:hAnsi="Times New Roman" w:cs="Times New Roman"/>
          <w:noProof/>
          <w:sz w:val="24"/>
          <w:szCs w:val="24"/>
        </w:rPr>
        <w:t>provided to recover incomes of existing businesses</w:t>
      </w:r>
      <w:r w:rsidR="00162DEF">
        <w:rPr>
          <w:rFonts w:ascii="Times New Roman" w:hAnsi="Times New Roman" w:cs="Times New Roman"/>
          <w:noProof/>
          <w:sz w:val="24"/>
          <w:szCs w:val="24"/>
        </w:rPr>
        <w:t>,</w:t>
      </w:r>
      <w:r w:rsidRPr="00D8339C">
        <w:rPr>
          <w:rFonts w:ascii="Times New Roman" w:hAnsi="Times New Roman" w:cs="Times New Roman"/>
          <w:noProof/>
          <w:sz w:val="24"/>
          <w:szCs w:val="24"/>
        </w:rPr>
        <w:t xml:space="preserve"> although 20 loans were also given to establish new businesses. The loans have helped create 20 new jobs while sustaining 250 existing jobs. In an effort to target the most vulnerable groups, 49% of the loans </w:t>
      </w:r>
      <w:r w:rsidR="00FE7567">
        <w:rPr>
          <w:rFonts w:ascii="Times New Roman" w:hAnsi="Times New Roman" w:cs="Times New Roman"/>
          <w:noProof/>
          <w:sz w:val="24"/>
          <w:szCs w:val="24"/>
        </w:rPr>
        <w:t>were</w:t>
      </w:r>
      <w:r w:rsidRPr="00D8339C">
        <w:rPr>
          <w:rFonts w:ascii="Times New Roman" w:hAnsi="Times New Roman" w:cs="Times New Roman"/>
          <w:noProof/>
          <w:sz w:val="24"/>
          <w:szCs w:val="24"/>
        </w:rPr>
        <w:t xml:space="preserve"> provided to youth </w:t>
      </w:r>
      <w:r w:rsidR="0096703E">
        <w:rPr>
          <w:rFonts w:ascii="Times New Roman" w:hAnsi="Times New Roman" w:cs="Times New Roman"/>
          <w:noProof/>
          <w:sz w:val="24"/>
          <w:szCs w:val="24"/>
        </w:rPr>
        <w:t>who</w:t>
      </w:r>
      <w:r w:rsidRPr="00D8339C">
        <w:rPr>
          <w:rFonts w:ascii="Times New Roman" w:hAnsi="Times New Roman" w:cs="Times New Roman"/>
          <w:noProof/>
          <w:sz w:val="24"/>
          <w:szCs w:val="24"/>
        </w:rPr>
        <w:t xml:space="preserve"> were negatively affected by the crisis. </w:t>
      </w:r>
    </w:p>
    <w:p w:rsidR="003F2116" w:rsidRPr="00D8339C" w:rsidRDefault="003F2116" w:rsidP="003F2116">
      <w:pPr>
        <w:pStyle w:val="BodyText2"/>
        <w:rPr>
          <w:rFonts w:ascii="Times New Roman" w:hAnsi="Times New Roman" w:cs="Times New Roman"/>
          <w:noProof/>
          <w:sz w:val="24"/>
          <w:szCs w:val="24"/>
        </w:rPr>
      </w:pPr>
    </w:p>
    <w:p w:rsidR="009572AB" w:rsidRPr="00D8339C" w:rsidRDefault="009572AB" w:rsidP="009572AB">
      <w:pPr>
        <w:pStyle w:val="BodyText2"/>
        <w:rPr>
          <w:rFonts w:ascii="Times New Roman" w:hAnsi="Times New Roman" w:cs="Times New Roman"/>
          <w:noProof/>
          <w:sz w:val="24"/>
          <w:szCs w:val="24"/>
        </w:rPr>
      </w:pPr>
      <w:r w:rsidRPr="00D8339C">
        <w:rPr>
          <w:rFonts w:ascii="Times New Roman" w:hAnsi="Times New Roman" w:cs="Times New Roman"/>
          <w:noProof/>
          <w:sz w:val="24"/>
          <w:szCs w:val="24"/>
        </w:rPr>
        <w:t xml:space="preserve">The selection criteria for the beneficiaries of the micro loans </w:t>
      </w:r>
      <w:r w:rsidR="00E3259A">
        <w:rPr>
          <w:rFonts w:ascii="Times New Roman" w:hAnsi="Times New Roman" w:cs="Times New Roman"/>
          <w:noProof/>
          <w:sz w:val="24"/>
          <w:szCs w:val="24"/>
        </w:rPr>
        <w:t xml:space="preserve">(either individual or collective) </w:t>
      </w:r>
      <w:r w:rsidRPr="00D8339C">
        <w:rPr>
          <w:rFonts w:ascii="Times New Roman" w:hAnsi="Times New Roman" w:cs="Times New Roman"/>
          <w:noProof/>
          <w:sz w:val="24"/>
          <w:szCs w:val="24"/>
        </w:rPr>
        <w:t>were defined as follows:</w:t>
      </w:r>
    </w:p>
    <w:p w:rsidR="00E3259A" w:rsidRPr="00D8339C" w:rsidRDefault="00E3259A" w:rsidP="00854226">
      <w:pPr>
        <w:numPr>
          <w:ilvl w:val="0"/>
          <w:numId w:val="11"/>
        </w:numPr>
        <w:autoSpaceDE w:val="0"/>
        <w:autoSpaceDN w:val="0"/>
      </w:pPr>
      <w:r w:rsidRPr="00D8339C">
        <w:t>Lebanese entrepreneurs;</w:t>
      </w:r>
    </w:p>
    <w:p w:rsidR="009572AB" w:rsidRPr="00D8339C" w:rsidRDefault="009572AB" w:rsidP="00854226">
      <w:pPr>
        <w:numPr>
          <w:ilvl w:val="0"/>
          <w:numId w:val="11"/>
        </w:numPr>
        <w:autoSpaceDE w:val="0"/>
        <w:autoSpaceDN w:val="0"/>
      </w:pPr>
      <w:r w:rsidRPr="00D8339C">
        <w:t xml:space="preserve">Residents of </w:t>
      </w:r>
      <w:r w:rsidR="003F2116" w:rsidRPr="00D8339C">
        <w:t xml:space="preserve"> the </w:t>
      </w:r>
      <w:r w:rsidRPr="00D8339C">
        <w:t>28 communities targeted by the project;</w:t>
      </w:r>
    </w:p>
    <w:p w:rsidR="00E3259A" w:rsidRPr="00D8339C" w:rsidRDefault="00E3259A" w:rsidP="00854226">
      <w:pPr>
        <w:numPr>
          <w:ilvl w:val="0"/>
          <w:numId w:val="11"/>
        </w:numPr>
        <w:autoSpaceDE w:val="0"/>
        <w:autoSpaceDN w:val="0"/>
        <w:jc w:val="both"/>
      </w:pPr>
      <w:r>
        <w:t>Owners of b</w:t>
      </w:r>
      <w:r w:rsidRPr="00D8339C">
        <w:t xml:space="preserve">usinesses sustaining direct or indirect damages from the 2007 Nahr el Bared crisis, that could be divided into the three following categories: i) business completely destroyed, ii) businesses requiring additional support to sustainably recover after the crisis and iii) SMEs whose business practices and approaches may help improve Lebanese/ Palestinian relationships. </w:t>
      </w:r>
    </w:p>
    <w:p w:rsidR="00E3259A" w:rsidRPr="00D8339C" w:rsidRDefault="00E3259A" w:rsidP="00854226">
      <w:pPr>
        <w:numPr>
          <w:ilvl w:val="0"/>
          <w:numId w:val="11"/>
        </w:numPr>
        <w:autoSpaceDE w:val="0"/>
        <w:autoSpaceDN w:val="0"/>
        <w:jc w:val="both"/>
      </w:pPr>
      <w:r>
        <w:t xml:space="preserve">Owners of </w:t>
      </w:r>
      <w:r w:rsidRPr="00D8339C">
        <w:t>businesses supported in the context of early recovery interventions through grants;</w:t>
      </w:r>
    </w:p>
    <w:p w:rsidR="00E3259A" w:rsidRPr="00D8339C" w:rsidRDefault="00E3259A" w:rsidP="00854226">
      <w:pPr>
        <w:numPr>
          <w:ilvl w:val="0"/>
          <w:numId w:val="11"/>
        </w:numPr>
        <w:autoSpaceDE w:val="0"/>
        <w:autoSpaceDN w:val="0"/>
        <w:jc w:val="both"/>
      </w:pPr>
      <w:r>
        <w:t>Owners of businesses in t</w:t>
      </w:r>
      <w:r w:rsidRPr="00D8339C">
        <w:t>he following sectors</w:t>
      </w:r>
      <w:r>
        <w:t xml:space="preserve"> (but not exclusively)</w:t>
      </w:r>
      <w:r w:rsidRPr="00D8339C">
        <w:t xml:space="preserve">: construction, furniture, car maintenance and food processing. </w:t>
      </w:r>
    </w:p>
    <w:p w:rsidR="00E3259A" w:rsidRPr="00D8339C" w:rsidRDefault="00E3259A" w:rsidP="00854226">
      <w:pPr>
        <w:numPr>
          <w:ilvl w:val="0"/>
          <w:numId w:val="11"/>
        </w:numPr>
        <w:autoSpaceDE w:val="0"/>
        <w:autoSpaceDN w:val="0"/>
      </w:pPr>
      <w:r>
        <w:t>30 to 35% of beneficiaries to be women</w:t>
      </w:r>
      <w:r w:rsidRPr="00D8339C">
        <w:t xml:space="preserve">; </w:t>
      </w:r>
    </w:p>
    <w:p w:rsidR="00E3259A" w:rsidRPr="00D8339C" w:rsidRDefault="00E3259A" w:rsidP="00854226">
      <w:pPr>
        <w:numPr>
          <w:ilvl w:val="0"/>
          <w:numId w:val="11"/>
        </w:numPr>
        <w:autoSpaceDE w:val="0"/>
        <w:autoSpaceDN w:val="0"/>
      </w:pPr>
      <w:r w:rsidRPr="00D8339C">
        <w:t>20 to 33% of</w:t>
      </w:r>
      <w:r>
        <w:t xml:space="preserve"> beneficiaries to be </w:t>
      </w:r>
      <w:r w:rsidRPr="00D8339C">
        <w:t>youth;</w:t>
      </w:r>
    </w:p>
    <w:p w:rsidR="00E3259A" w:rsidRPr="00D8339C" w:rsidRDefault="00E3259A" w:rsidP="00854226">
      <w:pPr>
        <w:numPr>
          <w:ilvl w:val="0"/>
          <w:numId w:val="11"/>
        </w:numPr>
        <w:autoSpaceDE w:val="0"/>
        <w:autoSpaceDN w:val="0"/>
      </w:pPr>
      <w:r>
        <w:t>N</w:t>
      </w:r>
      <w:r w:rsidRPr="00D8339C">
        <w:t>ew businesses</w:t>
      </w:r>
      <w:r>
        <w:t xml:space="preserve"> to benefit from 5% of loans</w:t>
      </w:r>
      <w:r w:rsidRPr="00D8339C">
        <w:t>;</w:t>
      </w:r>
    </w:p>
    <w:p w:rsidR="009572AB" w:rsidRPr="00D8339C" w:rsidRDefault="009572AB" w:rsidP="009572AB">
      <w:pPr>
        <w:shd w:val="clear" w:color="auto" w:fill="FFFFFF"/>
        <w:rPr>
          <w:color w:val="FF0000"/>
          <w:lang w:eastAsia="zh-CN"/>
        </w:rPr>
      </w:pPr>
    </w:p>
    <w:p w:rsidR="009572AB" w:rsidRPr="00D8339C" w:rsidRDefault="009572AB" w:rsidP="00691250">
      <w:pPr>
        <w:shd w:val="clear" w:color="auto" w:fill="FFFFFF"/>
        <w:rPr>
          <w:lang w:eastAsia="zh-CN"/>
        </w:rPr>
      </w:pPr>
      <w:r w:rsidRPr="00D8339C">
        <w:rPr>
          <w:lang w:eastAsia="zh-CN"/>
        </w:rPr>
        <w:t>The selected beneficiaries were negatively affected by the 2007 conflict</w:t>
      </w:r>
      <w:r w:rsidR="00691250">
        <w:rPr>
          <w:lang w:eastAsia="zh-CN"/>
        </w:rPr>
        <w:t>:</w:t>
      </w:r>
      <w:r w:rsidRPr="00D8339C">
        <w:rPr>
          <w:lang w:eastAsia="zh-CN"/>
        </w:rPr>
        <w:t xml:space="preserve"> 11 out of the 106 persons were displaced out of their homes; 33 of them had to close their businesses completely </w:t>
      </w:r>
      <w:r w:rsidR="00E3259A">
        <w:rPr>
          <w:lang w:eastAsia="zh-CN"/>
        </w:rPr>
        <w:t xml:space="preserve">during the war; and 62 of them </w:t>
      </w:r>
      <w:r w:rsidRPr="00D8339C">
        <w:rPr>
          <w:lang w:eastAsia="zh-CN"/>
        </w:rPr>
        <w:t>incurred financial losses during the war because they were forced to partially close their businesses.</w:t>
      </w:r>
    </w:p>
    <w:p w:rsidR="009572AB" w:rsidRPr="00D8339C" w:rsidRDefault="009572AB" w:rsidP="009572AB">
      <w:pPr>
        <w:shd w:val="clear" w:color="auto" w:fill="FFFFFF"/>
        <w:rPr>
          <w:highlight w:val="yellow"/>
          <w:lang w:eastAsia="zh-CN"/>
        </w:rPr>
      </w:pPr>
    </w:p>
    <w:p w:rsidR="009572AB" w:rsidRPr="00D8339C" w:rsidRDefault="009572AB" w:rsidP="00691250">
      <w:pPr>
        <w:autoSpaceDE w:val="0"/>
        <w:autoSpaceDN w:val="0"/>
        <w:rPr>
          <w:lang w:eastAsia="zh-CN"/>
        </w:rPr>
      </w:pPr>
      <w:r w:rsidRPr="00D8339C">
        <w:rPr>
          <w:lang w:eastAsia="zh-CN"/>
        </w:rPr>
        <w:t xml:space="preserve">The beneficiaries </w:t>
      </w:r>
      <w:r w:rsidR="00691250">
        <w:rPr>
          <w:lang w:eastAsia="zh-CN"/>
        </w:rPr>
        <w:t xml:space="preserve">were </w:t>
      </w:r>
      <w:r w:rsidRPr="00D8339C">
        <w:rPr>
          <w:lang w:eastAsia="zh-CN"/>
        </w:rPr>
        <w:t xml:space="preserve">owners of a variety of businesses: </w:t>
      </w:r>
    </w:p>
    <w:p w:rsidR="009572AB" w:rsidRPr="00D8339C" w:rsidRDefault="009572AB" w:rsidP="00854226">
      <w:pPr>
        <w:numPr>
          <w:ilvl w:val="0"/>
          <w:numId w:val="12"/>
        </w:numPr>
        <w:autoSpaceDE w:val="0"/>
        <w:autoSpaceDN w:val="0"/>
      </w:pPr>
      <w:r w:rsidRPr="00D8339C">
        <w:rPr>
          <w:lang w:eastAsia="zh-CN"/>
        </w:rPr>
        <w:t>36% work</w:t>
      </w:r>
      <w:r w:rsidR="00691250">
        <w:rPr>
          <w:lang w:eastAsia="zh-CN"/>
        </w:rPr>
        <w:t>ed</w:t>
      </w:r>
      <w:r w:rsidRPr="00D8339C">
        <w:rPr>
          <w:lang w:eastAsia="zh-CN"/>
        </w:rPr>
        <w:t xml:space="preserve"> in the trade and services sectors;</w:t>
      </w:r>
    </w:p>
    <w:p w:rsidR="009572AB" w:rsidRPr="00D8339C" w:rsidRDefault="009572AB" w:rsidP="00854226">
      <w:pPr>
        <w:numPr>
          <w:ilvl w:val="0"/>
          <w:numId w:val="12"/>
        </w:numPr>
        <w:autoSpaceDE w:val="0"/>
        <w:autoSpaceDN w:val="0"/>
      </w:pPr>
      <w:r w:rsidRPr="00D8339C">
        <w:rPr>
          <w:lang w:eastAsia="zh-CN"/>
        </w:rPr>
        <w:t>25% work</w:t>
      </w:r>
      <w:r w:rsidR="00691250">
        <w:rPr>
          <w:lang w:eastAsia="zh-CN"/>
        </w:rPr>
        <w:t>ed</w:t>
      </w:r>
      <w:r w:rsidRPr="00D8339C">
        <w:rPr>
          <w:lang w:eastAsia="zh-CN"/>
        </w:rPr>
        <w:t xml:space="preserve"> in the food processing sector and equivalent;</w:t>
      </w:r>
    </w:p>
    <w:p w:rsidR="009572AB" w:rsidRPr="00D8339C" w:rsidRDefault="009572AB" w:rsidP="00854226">
      <w:pPr>
        <w:numPr>
          <w:ilvl w:val="0"/>
          <w:numId w:val="12"/>
        </w:numPr>
        <w:autoSpaceDE w:val="0"/>
        <w:autoSpaceDN w:val="0"/>
      </w:pPr>
      <w:r w:rsidRPr="00D8339C">
        <w:rPr>
          <w:lang w:eastAsia="zh-CN"/>
        </w:rPr>
        <w:t>15% work</w:t>
      </w:r>
      <w:r w:rsidR="00691250">
        <w:rPr>
          <w:lang w:eastAsia="zh-CN"/>
        </w:rPr>
        <w:t>ed</w:t>
      </w:r>
      <w:r w:rsidRPr="00D8339C">
        <w:rPr>
          <w:lang w:eastAsia="zh-CN"/>
        </w:rPr>
        <w:t xml:space="preserve"> in the construction sector;</w:t>
      </w:r>
    </w:p>
    <w:p w:rsidR="009572AB" w:rsidRPr="00D8339C" w:rsidRDefault="009572AB" w:rsidP="00854226">
      <w:pPr>
        <w:numPr>
          <w:ilvl w:val="0"/>
          <w:numId w:val="12"/>
        </w:numPr>
        <w:autoSpaceDE w:val="0"/>
        <w:autoSpaceDN w:val="0"/>
      </w:pPr>
      <w:r w:rsidRPr="00D8339C">
        <w:rPr>
          <w:lang w:eastAsia="zh-CN"/>
        </w:rPr>
        <w:t xml:space="preserve">9% </w:t>
      </w:r>
      <w:r w:rsidR="007F3AEE" w:rsidRPr="00D8339C">
        <w:rPr>
          <w:lang w:eastAsia="zh-CN"/>
        </w:rPr>
        <w:t>work</w:t>
      </w:r>
      <w:r w:rsidR="00691250">
        <w:rPr>
          <w:lang w:eastAsia="zh-CN"/>
        </w:rPr>
        <w:t>ed</w:t>
      </w:r>
      <w:r w:rsidR="007F3AEE" w:rsidRPr="00D8339C">
        <w:rPr>
          <w:lang w:eastAsia="zh-CN"/>
        </w:rPr>
        <w:t xml:space="preserve"> </w:t>
      </w:r>
      <w:r w:rsidRPr="00D8339C">
        <w:rPr>
          <w:lang w:eastAsia="zh-CN"/>
        </w:rPr>
        <w:t>in furniture manufacturing;</w:t>
      </w:r>
    </w:p>
    <w:p w:rsidR="009572AB" w:rsidRPr="00D8339C" w:rsidRDefault="009572AB" w:rsidP="00854226">
      <w:pPr>
        <w:numPr>
          <w:ilvl w:val="0"/>
          <w:numId w:val="12"/>
        </w:numPr>
        <w:autoSpaceDE w:val="0"/>
        <w:autoSpaceDN w:val="0"/>
      </w:pPr>
      <w:r w:rsidRPr="00D8339C">
        <w:rPr>
          <w:lang w:eastAsia="zh-CN"/>
        </w:rPr>
        <w:t xml:space="preserve">9% </w:t>
      </w:r>
      <w:r w:rsidR="007F3AEE" w:rsidRPr="00D8339C">
        <w:rPr>
          <w:lang w:eastAsia="zh-CN"/>
        </w:rPr>
        <w:t>work</w:t>
      </w:r>
      <w:r w:rsidR="00691250">
        <w:rPr>
          <w:lang w:eastAsia="zh-CN"/>
        </w:rPr>
        <w:t>ed</w:t>
      </w:r>
      <w:r w:rsidR="007F3AEE" w:rsidRPr="00D8339C">
        <w:rPr>
          <w:lang w:eastAsia="zh-CN"/>
        </w:rPr>
        <w:t xml:space="preserve"> </w:t>
      </w:r>
      <w:r w:rsidRPr="00D8339C">
        <w:rPr>
          <w:lang w:eastAsia="zh-CN"/>
        </w:rPr>
        <w:t>in car repair and maintenance;</w:t>
      </w:r>
    </w:p>
    <w:p w:rsidR="009572AB" w:rsidRPr="00D8339C" w:rsidRDefault="009572AB" w:rsidP="00854226">
      <w:pPr>
        <w:numPr>
          <w:ilvl w:val="0"/>
          <w:numId w:val="12"/>
        </w:numPr>
        <w:autoSpaceDE w:val="0"/>
        <w:autoSpaceDN w:val="0"/>
      </w:pPr>
      <w:r w:rsidRPr="00D8339C">
        <w:rPr>
          <w:lang w:eastAsia="zh-CN"/>
        </w:rPr>
        <w:t xml:space="preserve">6% </w:t>
      </w:r>
      <w:r w:rsidR="007F3AEE" w:rsidRPr="00D8339C">
        <w:rPr>
          <w:lang w:eastAsia="zh-CN"/>
        </w:rPr>
        <w:t>work</w:t>
      </w:r>
      <w:r w:rsidR="00691250">
        <w:rPr>
          <w:lang w:eastAsia="zh-CN"/>
        </w:rPr>
        <w:t>ed</w:t>
      </w:r>
      <w:r w:rsidR="007F3AEE" w:rsidRPr="00D8339C">
        <w:rPr>
          <w:lang w:eastAsia="zh-CN"/>
        </w:rPr>
        <w:t xml:space="preserve"> </w:t>
      </w:r>
      <w:r w:rsidRPr="00D8339C">
        <w:rPr>
          <w:lang w:eastAsia="zh-CN"/>
        </w:rPr>
        <w:t>in the IT sector, technology and equivalent.</w:t>
      </w:r>
    </w:p>
    <w:p w:rsidR="009572AB" w:rsidRPr="00D8339C" w:rsidRDefault="009572AB" w:rsidP="009572AB">
      <w:pPr>
        <w:shd w:val="clear" w:color="auto" w:fill="FFFFFF"/>
        <w:rPr>
          <w:color w:val="FF0000"/>
          <w:lang w:eastAsia="zh-CN"/>
        </w:rPr>
      </w:pPr>
    </w:p>
    <w:p w:rsidR="00F75485" w:rsidRDefault="009572AB" w:rsidP="00F75485">
      <w:pPr>
        <w:shd w:val="clear" w:color="auto" w:fill="FFFFFF"/>
        <w:jc w:val="both"/>
        <w:rPr>
          <w:lang w:eastAsia="zh-CN"/>
        </w:rPr>
      </w:pPr>
      <w:r w:rsidRPr="00D8339C">
        <w:rPr>
          <w:lang w:eastAsia="zh-CN"/>
        </w:rPr>
        <w:t xml:space="preserve">The results of the microloans were positive for 92 out of the 106 beneficiaries (87%) who used their loans </w:t>
      </w:r>
      <w:r w:rsidR="007F3AEE" w:rsidRPr="00D8339C">
        <w:rPr>
          <w:lang w:eastAsia="zh-CN"/>
        </w:rPr>
        <w:t xml:space="preserve">to </w:t>
      </w:r>
      <w:r w:rsidR="00F75485">
        <w:rPr>
          <w:lang w:eastAsia="zh-CN"/>
        </w:rPr>
        <w:t xml:space="preserve">either </w:t>
      </w:r>
      <w:r w:rsidR="007F3AEE" w:rsidRPr="00D8339C">
        <w:rPr>
          <w:lang w:eastAsia="zh-CN"/>
        </w:rPr>
        <w:t>improve</w:t>
      </w:r>
      <w:r w:rsidR="00F75485">
        <w:rPr>
          <w:lang w:eastAsia="zh-CN"/>
        </w:rPr>
        <w:t xml:space="preserve"> their working capital </w:t>
      </w:r>
      <w:r w:rsidRPr="00D8339C">
        <w:rPr>
          <w:lang w:eastAsia="zh-CN"/>
        </w:rPr>
        <w:t xml:space="preserve">such as </w:t>
      </w:r>
      <w:r w:rsidR="007F3AEE" w:rsidRPr="00D8339C">
        <w:rPr>
          <w:lang w:eastAsia="zh-CN"/>
        </w:rPr>
        <w:t xml:space="preserve">purchase of </w:t>
      </w:r>
      <w:r w:rsidR="00F75485">
        <w:rPr>
          <w:lang w:eastAsia="zh-CN"/>
        </w:rPr>
        <w:t>goods or raw material (48 people), purchase or</w:t>
      </w:r>
      <w:r w:rsidRPr="00D8339C">
        <w:rPr>
          <w:lang w:eastAsia="zh-CN"/>
        </w:rPr>
        <w:t xml:space="preserve"> repair fixed assets in their business</w:t>
      </w:r>
      <w:r w:rsidR="00F75485">
        <w:rPr>
          <w:lang w:eastAsia="zh-CN"/>
        </w:rPr>
        <w:t xml:space="preserve">, </w:t>
      </w:r>
      <w:r w:rsidRPr="00D8339C">
        <w:rPr>
          <w:lang w:eastAsia="zh-CN"/>
        </w:rPr>
        <w:t>for instance a vehicle or a machine</w:t>
      </w:r>
      <w:r w:rsidR="00F75485">
        <w:rPr>
          <w:lang w:eastAsia="zh-CN"/>
        </w:rPr>
        <w:t xml:space="preserve"> (34 people</w:t>
      </w:r>
      <w:r w:rsidRPr="00D8339C">
        <w:rPr>
          <w:lang w:eastAsia="zh-CN"/>
        </w:rPr>
        <w:t>), or renovat</w:t>
      </w:r>
      <w:r w:rsidR="00F75485">
        <w:rPr>
          <w:lang w:eastAsia="zh-CN"/>
        </w:rPr>
        <w:t>e/</w:t>
      </w:r>
      <w:r w:rsidRPr="00D8339C">
        <w:rPr>
          <w:lang w:eastAsia="zh-CN"/>
        </w:rPr>
        <w:t>upgrad</w:t>
      </w:r>
      <w:r w:rsidR="00F75485">
        <w:rPr>
          <w:lang w:eastAsia="zh-CN"/>
        </w:rPr>
        <w:t>e their workplace (10 people).</w:t>
      </w:r>
      <w:r w:rsidRPr="00D8339C">
        <w:rPr>
          <w:lang w:eastAsia="zh-CN"/>
        </w:rPr>
        <w:t xml:space="preserve"> </w:t>
      </w:r>
      <w:r w:rsidR="00F75485">
        <w:rPr>
          <w:lang w:eastAsia="zh-CN"/>
        </w:rPr>
        <w:t xml:space="preserve">The results were </w:t>
      </w:r>
      <w:r w:rsidR="00F75485" w:rsidRPr="00D8339C">
        <w:rPr>
          <w:lang w:eastAsia="zh-CN"/>
        </w:rPr>
        <w:t xml:space="preserve">increased </w:t>
      </w:r>
      <w:r w:rsidR="00F75485">
        <w:rPr>
          <w:lang w:eastAsia="zh-CN"/>
        </w:rPr>
        <w:t>productivity</w:t>
      </w:r>
      <w:r w:rsidR="00F75485" w:rsidRPr="00D8339C">
        <w:rPr>
          <w:lang w:eastAsia="zh-CN"/>
        </w:rPr>
        <w:t xml:space="preserve"> </w:t>
      </w:r>
      <w:r w:rsidR="00F75485">
        <w:rPr>
          <w:lang w:eastAsia="zh-CN"/>
        </w:rPr>
        <w:t>and profits</w:t>
      </w:r>
      <w:r w:rsidR="00602F94">
        <w:rPr>
          <w:lang w:eastAsia="zh-CN"/>
        </w:rPr>
        <w:t>.</w:t>
      </w:r>
    </w:p>
    <w:p w:rsidR="009572AB" w:rsidRPr="00D8339C" w:rsidRDefault="009572AB" w:rsidP="009572AB">
      <w:pPr>
        <w:autoSpaceDE w:val="0"/>
        <w:autoSpaceDN w:val="0"/>
        <w:jc w:val="both"/>
      </w:pPr>
    </w:p>
    <w:p w:rsidR="009572AB" w:rsidRPr="00D8339C" w:rsidRDefault="009572AB" w:rsidP="00602F94">
      <w:pPr>
        <w:autoSpaceDE w:val="0"/>
        <w:autoSpaceDN w:val="0"/>
        <w:jc w:val="both"/>
        <w:rPr>
          <w:lang w:eastAsia="zh-CN"/>
        </w:rPr>
      </w:pPr>
      <w:r w:rsidRPr="00D8339C">
        <w:rPr>
          <w:lang w:eastAsia="zh-CN"/>
        </w:rPr>
        <w:t xml:space="preserve">The partnership agreement signed </w:t>
      </w:r>
      <w:r w:rsidR="00773BC6" w:rsidRPr="00D8339C">
        <w:rPr>
          <w:lang w:eastAsia="zh-CN"/>
        </w:rPr>
        <w:t>between</w:t>
      </w:r>
      <w:r w:rsidRPr="00D8339C">
        <w:rPr>
          <w:lang w:eastAsia="zh-CN"/>
        </w:rPr>
        <w:t xml:space="preserve"> Al</w:t>
      </w:r>
      <w:r w:rsidR="00773BC6" w:rsidRPr="00D8339C">
        <w:rPr>
          <w:lang w:eastAsia="zh-CN"/>
        </w:rPr>
        <w:t>-M</w:t>
      </w:r>
      <w:r w:rsidRPr="00D8339C">
        <w:rPr>
          <w:lang w:eastAsia="zh-CN"/>
        </w:rPr>
        <w:t xml:space="preserve">ajmoua </w:t>
      </w:r>
      <w:r w:rsidR="00773BC6" w:rsidRPr="00D8339C">
        <w:rPr>
          <w:lang w:eastAsia="zh-CN"/>
        </w:rPr>
        <w:t>and the</w:t>
      </w:r>
      <w:r w:rsidRPr="00D8339C">
        <w:rPr>
          <w:lang w:eastAsia="zh-CN"/>
        </w:rPr>
        <w:t xml:space="preserve"> ILO included an in-kind contribution on behalf of the micro-loan institution, in the form of revolving funds amounting to 80.000</w:t>
      </w:r>
      <w:r w:rsidR="00773BC6" w:rsidRPr="00D8339C">
        <w:rPr>
          <w:lang w:eastAsia="zh-CN"/>
        </w:rPr>
        <w:t xml:space="preserve"> US$</w:t>
      </w:r>
      <w:r w:rsidRPr="00D8339C">
        <w:rPr>
          <w:lang w:eastAsia="zh-CN"/>
        </w:rPr>
        <w:t xml:space="preserve"> over 5 years. </w:t>
      </w:r>
      <w:r w:rsidR="00074556" w:rsidRPr="00D8339C">
        <w:rPr>
          <w:lang w:eastAsia="zh-CN"/>
        </w:rPr>
        <w:t>I</w:t>
      </w:r>
      <w:r w:rsidRPr="00D8339C">
        <w:rPr>
          <w:lang w:eastAsia="zh-CN"/>
        </w:rPr>
        <w:t xml:space="preserve">t </w:t>
      </w:r>
      <w:r w:rsidRPr="00D8339C">
        <w:rPr>
          <w:lang w:eastAsia="zh-CN"/>
        </w:rPr>
        <w:lastRenderedPageBreak/>
        <w:t xml:space="preserve">is important to </w:t>
      </w:r>
      <w:r w:rsidR="00602F94">
        <w:rPr>
          <w:lang w:eastAsia="zh-CN"/>
        </w:rPr>
        <w:t>mention</w:t>
      </w:r>
      <w:r w:rsidRPr="00D8339C">
        <w:rPr>
          <w:lang w:eastAsia="zh-CN"/>
        </w:rPr>
        <w:t xml:space="preserve"> that a number of beneficiaries </w:t>
      </w:r>
      <w:r w:rsidR="00074556" w:rsidRPr="00D8339C">
        <w:rPr>
          <w:lang w:eastAsia="zh-CN"/>
        </w:rPr>
        <w:t xml:space="preserve">showed interest in renewing their loans </w:t>
      </w:r>
      <w:r w:rsidRPr="00D8339C">
        <w:rPr>
          <w:lang w:eastAsia="zh-CN"/>
        </w:rPr>
        <w:t xml:space="preserve">because of the </w:t>
      </w:r>
      <w:r w:rsidR="00074556" w:rsidRPr="00D8339C">
        <w:rPr>
          <w:lang w:eastAsia="zh-CN"/>
        </w:rPr>
        <w:t xml:space="preserve">rapid </w:t>
      </w:r>
      <w:r w:rsidRPr="00D8339C">
        <w:rPr>
          <w:lang w:eastAsia="zh-CN"/>
        </w:rPr>
        <w:t xml:space="preserve">positive impact </w:t>
      </w:r>
      <w:r w:rsidR="00074556" w:rsidRPr="00D8339C">
        <w:rPr>
          <w:lang w:eastAsia="zh-CN"/>
        </w:rPr>
        <w:t>it had on their business</w:t>
      </w:r>
      <w:r w:rsidRPr="00D8339C">
        <w:rPr>
          <w:lang w:eastAsia="zh-CN"/>
        </w:rPr>
        <w:t xml:space="preserve">. </w:t>
      </w:r>
    </w:p>
    <w:p w:rsidR="009572AB" w:rsidRPr="00D8339C" w:rsidRDefault="009572AB" w:rsidP="009572AB">
      <w:pPr>
        <w:pStyle w:val="BodyText2"/>
        <w:rPr>
          <w:rFonts w:ascii="Times New Roman" w:hAnsi="Times New Roman" w:cs="Times New Roman"/>
          <w:noProof/>
          <w:color w:val="FF0000"/>
          <w:sz w:val="24"/>
          <w:szCs w:val="24"/>
        </w:rPr>
      </w:pPr>
    </w:p>
    <w:p w:rsidR="009572AB" w:rsidRPr="00D8339C" w:rsidRDefault="009572AB" w:rsidP="00854226">
      <w:pPr>
        <w:numPr>
          <w:ilvl w:val="0"/>
          <w:numId w:val="19"/>
        </w:numPr>
        <w:jc w:val="both"/>
        <w:rPr>
          <w:i/>
          <w:iCs/>
        </w:rPr>
      </w:pPr>
      <w:r w:rsidRPr="00D8339C">
        <w:rPr>
          <w:i/>
          <w:iCs/>
        </w:rPr>
        <w:t>Improvement of the livelihoods of farmers</w:t>
      </w:r>
    </w:p>
    <w:p w:rsidR="009572AB" w:rsidRPr="00D8339C" w:rsidRDefault="009572AB" w:rsidP="009572AB">
      <w:pPr>
        <w:jc w:val="both"/>
        <w:rPr>
          <w:b/>
          <w:bCs/>
          <w:i/>
          <w:iCs/>
        </w:rPr>
      </w:pPr>
    </w:p>
    <w:p w:rsidR="009572AB" w:rsidRPr="00D8339C" w:rsidRDefault="009572AB" w:rsidP="003F0CB6">
      <w:pPr>
        <w:jc w:val="both"/>
        <w:rPr>
          <w:highlight w:val="yellow"/>
        </w:rPr>
      </w:pPr>
      <w:r w:rsidRPr="00D8339C">
        <w:t xml:space="preserve">UNDP, in collaboration with FAO, launched an in-depth assessment to evaluate the impact of </w:t>
      </w:r>
      <w:r w:rsidR="00507876" w:rsidRPr="00D8339C">
        <w:t xml:space="preserve">the </w:t>
      </w:r>
      <w:r w:rsidR="009B7843" w:rsidRPr="00D8339C">
        <w:t xml:space="preserve">NBC crisis on the agricultural </w:t>
      </w:r>
      <w:r w:rsidRPr="00D8339C">
        <w:t xml:space="preserve">sector in the 28 targeted villages surrounding NBC. </w:t>
      </w:r>
      <w:r w:rsidR="00507876" w:rsidRPr="00D8339C">
        <w:t xml:space="preserve">An Inter-Agency Agreement was signed between both agencies for that purpose. </w:t>
      </w:r>
      <w:r w:rsidRPr="00D8339C">
        <w:t>The results of the ass</w:t>
      </w:r>
      <w:r w:rsidR="00507876" w:rsidRPr="00D8339C">
        <w:t xml:space="preserve">essment led to the selection of </w:t>
      </w:r>
      <w:r w:rsidRPr="00D8339C">
        <w:t>the Olive and Green</w:t>
      </w:r>
      <w:r w:rsidR="00507876" w:rsidRPr="00D8339C">
        <w:t>h</w:t>
      </w:r>
      <w:r w:rsidRPr="00D8339C">
        <w:t xml:space="preserve">ouses </w:t>
      </w:r>
      <w:r w:rsidR="00507876" w:rsidRPr="00D8339C">
        <w:t xml:space="preserve">agricultural </w:t>
      </w:r>
      <w:r w:rsidRPr="00D8339C">
        <w:t xml:space="preserve">sub-sectors </w:t>
      </w:r>
      <w:r w:rsidR="00507876" w:rsidRPr="00D8339C">
        <w:t>to benefit from UNDP and FAO support since they were the most</w:t>
      </w:r>
      <w:r w:rsidRPr="00D8339C">
        <w:t xml:space="preserve"> affected by </w:t>
      </w:r>
      <w:r w:rsidR="00507876" w:rsidRPr="00D8339C">
        <w:t xml:space="preserve">the </w:t>
      </w:r>
      <w:r w:rsidRPr="00D8339C">
        <w:t xml:space="preserve">crisis. </w:t>
      </w:r>
    </w:p>
    <w:p w:rsidR="009572AB" w:rsidRPr="00D8339C" w:rsidRDefault="009572AB" w:rsidP="009572AB">
      <w:pPr>
        <w:jc w:val="both"/>
        <w:rPr>
          <w:highlight w:val="yellow"/>
        </w:rPr>
      </w:pPr>
    </w:p>
    <w:p w:rsidR="009572AB" w:rsidRPr="00D8339C" w:rsidRDefault="009572AB" w:rsidP="009B7843">
      <w:pPr>
        <w:jc w:val="both"/>
      </w:pPr>
      <w:r w:rsidRPr="00D8339C">
        <w:t xml:space="preserve">The support to farmers </w:t>
      </w:r>
      <w:r w:rsidR="009B7843" w:rsidRPr="00D8339C">
        <w:t>was</w:t>
      </w:r>
      <w:r w:rsidRPr="00D8339C">
        <w:t xml:space="preserve"> provided through the main following activities:</w:t>
      </w:r>
    </w:p>
    <w:p w:rsidR="009B7843" w:rsidRPr="00D8339C" w:rsidRDefault="009B7843" w:rsidP="00854226">
      <w:pPr>
        <w:numPr>
          <w:ilvl w:val="0"/>
          <w:numId w:val="10"/>
        </w:numPr>
        <w:jc w:val="both"/>
        <w:rPr>
          <w:b/>
          <w:bCs/>
        </w:rPr>
      </w:pPr>
      <w:r w:rsidRPr="00D8339C">
        <w:t xml:space="preserve">Provision of </w:t>
      </w:r>
      <w:r w:rsidR="003F1836" w:rsidRPr="00D8339C">
        <w:t xml:space="preserve">olive harvesters and </w:t>
      </w:r>
      <w:r w:rsidR="009572AB" w:rsidRPr="00D8339C">
        <w:t>greenhouses</w:t>
      </w:r>
      <w:r w:rsidRPr="00D8339C">
        <w:t xml:space="preserve"> </w:t>
      </w:r>
      <w:r w:rsidR="003F1836" w:rsidRPr="00D8339C">
        <w:t>to farmers</w:t>
      </w:r>
      <w:r w:rsidR="000A7859" w:rsidRPr="00D8339C">
        <w:t xml:space="preserve"> and agricultural cooperatives</w:t>
      </w:r>
    </w:p>
    <w:p w:rsidR="000A7859" w:rsidRPr="00D8339C" w:rsidRDefault="006E302D" w:rsidP="00854226">
      <w:pPr>
        <w:numPr>
          <w:ilvl w:val="0"/>
          <w:numId w:val="8"/>
        </w:numPr>
        <w:jc w:val="both"/>
        <w:rPr>
          <w:color w:val="FF0000"/>
        </w:rPr>
      </w:pPr>
      <w:r>
        <w:t xml:space="preserve">Construction </w:t>
      </w:r>
      <w:r w:rsidR="003F1836" w:rsidRPr="00D8339C">
        <w:t xml:space="preserve">of </w:t>
      </w:r>
      <w:r w:rsidR="000A7859" w:rsidRPr="00D8339C">
        <w:t xml:space="preserve">an OSWCF and </w:t>
      </w:r>
      <w:r>
        <w:t>provision of t</w:t>
      </w:r>
      <w:r w:rsidR="000A7859" w:rsidRPr="00D8339C">
        <w:t>raining sessions to a group of agricultural cooperatives</w:t>
      </w:r>
    </w:p>
    <w:p w:rsidR="009572AB" w:rsidRPr="00D8339C" w:rsidRDefault="008F6F55" w:rsidP="00854226">
      <w:pPr>
        <w:numPr>
          <w:ilvl w:val="0"/>
          <w:numId w:val="10"/>
        </w:numPr>
        <w:jc w:val="both"/>
      </w:pPr>
      <w:r w:rsidRPr="00D8339C">
        <w:t xml:space="preserve">Provision of capacity building trainings </w:t>
      </w:r>
      <w:r w:rsidR="003F1836" w:rsidRPr="00D8339C">
        <w:t xml:space="preserve">targeting MoA extension agents </w:t>
      </w:r>
      <w:r w:rsidRPr="00D8339C">
        <w:t>as well as o</w:t>
      </w:r>
      <w:r w:rsidR="003F1836" w:rsidRPr="00D8339C">
        <w:t>live and greenhouses farmers</w:t>
      </w:r>
    </w:p>
    <w:p w:rsidR="009572AB" w:rsidRPr="00D8339C" w:rsidRDefault="009572AB" w:rsidP="009572AB">
      <w:pPr>
        <w:jc w:val="both"/>
        <w:rPr>
          <w:color w:val="FF0000"/>
        </w:rPr>
      </w:pPr>
    </w:p>
    <w:p w:rsidR="00FB004B" w:rsidRPr="00D8339C" w:rsidRDefault="00FB004B" w:rsidP="00854226">
      <w:pPr>
        <w:pStyle w:val="ListParagraph"/>
        <w:numPr>
          <w:ilvl w:val="0"/>
          <w:numId w:val="23"/>
        </w:numPr>
        <w:contextualSpacing w:val="0"/>
        <w:jc w:val="both"/>
        <w:rPr>
          <w:i/>
        </w:rPr>
      </w:pPr>
      <w:r w:rsidRPr="00D8339C">
        <w:rPr>
          <w:i/>
        </w:rPr>
        <w:t>Provision of Olive Harvest</w:t>
      </w:r>
      <w:r w:rsidR="004A7B5A">
        <w:rPr>
          <w:i/>
        </w:rPr>
        <w:t>ers</w:t>
      </w:r>
    </w:p>
    <w:p w:rsidR="00FB004B" w:rsidRPr="00D8339C" w:rsidRDefault="00FB004B" w:rsidP="00FB004B">
      <w:pPr>
        <w:pStyle w:val="ListParagraph"/>
        <w:ind w:left="0"/>
        <w:contextualSpacing w:val="0"/>
        <w:jc w:val="both"/>
        <w:rPr>
          <w:lang w:val="en-GB"/>
        </w:rPr>
      </w:pPr>
    </w:p>
    <w:p w:rsidR="00783FEC" w:rsidRPr="00D8339C" w:rsidRDefault="00783FEC" w:rsidP="007C6961">
      <w:pPr>
        <w:jc w:val="both"/>
        <w:rPr>
          <w:lang w:val="en-GB"/>
        </w:rPr>
      </w:pPr>
      <w:r w:rsidRPr="00D8339C">
        <w:rPr>
          <w:lang w:val="en-GB"/>
        </w:rPr>
        <w:t xml:space="preserve">Based on the in-depth assessment organised with </w:t>
      </w:r>
      <w:r w:rsidR="00FB004B" w:rsidRPr="00D8339C">
        <w:rPr>
          <w:lang w:val="en-GB"/>
        </w:rPr>
        <w:t xml:space="preserve">technical support from FAO, </w:t>
      </w:r>
      <w:r w:rsidRPr="00D8339C">
        <w:rPr>
          <w:lang w:val="en-GB"/>
        </w:rPr>
        <w:t xml:space="preserve">UNDP </w:t>
      </w:r>
      <w:r w:rsidR="00FB004B" w:rsidRPr="00D8339C">
        <w:rPr>
          <w:lang w:val="en-GB"/>
        </w:rPr>
        <w:t>selected</w:t>
      </w:r>
      <w:r w:rsidRPr="00D8339C">
        <w:rPr>
          <w:lang w:val="en-GB"/>
        </w:rPr>
        <w:t xml:space="preserve"> 2 agricultural cooperatives with more than 80 active members to benefit from the olive harvesters. </w:t>
      </w:r>
    </w:p>
    <w:p w:rsidR="00783FEC" w:rsidRPr="00D8339C" w:rsidRDefault="00783FEC" w:rsidP="00783FEC">
      <w:pPr>
        <w:jc w:val="both"/>
        <w:rPr>
          <w:lang w:val="en-GB"/>
        </w:rPr>
      </w:pPr>
    </w:p>
    <w:p w:rsidR="00783FEC" w:rsidRPr="00D8339C" w:rsidRDefault="00783FEC" w:rsidP="00783FEC">
      <w:pPr>
        <w:jc w:val="both"/>
        <w:rPr>
          <w:lang w:val="en-GB"/>
        </w:rPr>
      </w:pPr>
      <w:r w:rsidRPr="00D8339C">
        <w:rPr>
          <w:lang w:val="en-GB"/>
        </w:rPr>
        <w:t>The selection was based on the following criteria:</w:t>
      </w:r>
    </w:p>
    <w:p w:rsidR="00783FEC" w:rsidRPr="00D8339C" w:rsidRDefault="00783FEC" w:rsidP="00854226">
      <w:pPr>
        <w:pStyle w:val="ListParagraph"/>
        <w:numPr>
          <w:ilvl w:val="1"/>
          <w:numId w:val="13"/>
        </w:numPr>
        <w:contextualSpacing w:val="0"/>
        <w:rPr>
          <w:lang w:val="en-GB"/>
        </w:rPr>
      </w:pPr>
      <w:r w:rsidRPr="00D8339C">
        <w:rPr>
          <w:lang w:val="en-GB"/>
        </w:rPr>
        <w:t>The cooperative is active;</w:t>
      </w:r>
    </w:p>
    <w:p w:rsidR="00783FEC" w:rsidRPr="00D8339C" w:rsidRDefault="00783FEC" w:rsidP="00854226">
      <w:pPr>
        <w:pStyle w:val="ListParagraph"/>
        <w:numPr>
          <w:ilvl w:val="1"/>
          <w:numId w:val="13"/>
        </w:numPr>
        <w:contextualSpacing w:val="0"/>
        <w:rPr>
          <w:lang w:val="en-GB"/>
        </w:rPr>
      </w:pPr>
      <w:r w:rsidRPr="00D8339C">
        <w:rPr>
          <w:lang w:val="en-GB"/>
        </w:rPr>
        <w:t>The cooperative is already providing services to its members;</w:t>
      </w:r>
    </w:p>
    <w:p w:rsidR="00783FEC" w:rsidRPr="00D8339C" w:rsidRDefault="00783FEC" w:rsidP="00854226">
      <w:pPr>
        <w:pStyle w:val="ListParagraph"/>
        <w:numPr>
          <w:ilvl w:val="1"/>
          <w:numId w:val="13"/>
        </w:numPr>
        <w:contextualSpacing w:val="0"/>
        <w:rPr>
          <w:lang w:val="en-GB"/>
        </w:rPr>
      </w:pPr>
      <w:r w:rsidRPr="00D8339C">
        <w:rPr>
          <w:lang w:val="en-GB"/>
        </w:rPr>
        <w:t>The cooperative has the potential of increasing the membership;</w:t>
      </w:r>
    </w:p>
    <w:p w:rsidR="00A25BE2" w:rsidRDefault="00A25BE2" w:rsidP="00854226">
      <w:pPr>
        <w:pStyle w:val="ListParagraph"/>
        <w:numPr>
          <w:ilvl w:val="1"/>
          <w:numId w:val="13"/>
        </w:numPr>
        <w:contextualSpacing w:val="0"/>
        <w:rPr>
          <w:lang w:val="en-GB"/>
        </w:rPr>
      </w:pPr>
      <w:r w:rsidRPr="00DB1357">
        <w:rPr>
          <w:lang w:val="en-GB"/>
        </w:rPr>
        <w:t xml:space="preserve">The cooperative’s board </w:t>
      </w:r>
      <w:r>
        <w:rPr>
          <w:lang w:val="en-GB"/>
        </w:rPr>
        <w:t>needs</w:t>
      </w:r>
      <w:r w:rsidRPr="00D8339C">
        <w:rPr>
          <w:lang w:val="en-GB"/>
        </w:rPr>
        <w:t xml:space="preserve"> minimal training on organizational/managerial skills;</w:t>
      </w:r>
    </w:p>
    <w:p w:rsidR="00783FEC" w:rsidRPr="00D8339C" w:rsidRDefault="00783FEC" w:rsidP="00854226">
      <w:pPr>
        <w:pStyle w:val="ListParagraph"/>
        <w:numPr>
          <w:ilvl w:val="1"/>
          <w:numId w:val="13"/>
        </w:numPr>
        <w:contextualSpacing w:val="0"/>
        <w:rPr>
          <w:lang w:val="en-GB"/>
        </w:rPr>
      </w:pPr>
      <w:r w:rsidRPr="00D8339C">
        <w:rPr>
          <w:lang w:val="en-GB"/>
        </w:rPr>
        <w:t>The cooperative works with olive farmers.</w:t>
      </w:r>
    </w:p>
    <w:p w:rsidR="00783FEC" w:rsidRPr="00D8339C" w:rsidRDefault="00783FEC" w:rsidP="00783FEC">
      <w:pPr>
        <w:jc w:val="both"/>
        <w:rPr>
          <w:color w:val="FF0000"/>
          <w:lang w:val="en-GB"/>
        </w:rPr>
      </w:pPr>
    </w:p>
    <w:p w:rsidR="00FB004B" w:rsidRPr="00D8339C" w:rsidRDefault="00FB004B" w:rsidP="003F0CB6">
      <w:pPr>
        <w:pStyle w:val="BodyText2"/>
        <w:rPr>
          <w:rFonts w:ascii="Times New Roman" w:hAnsi="Times New Roman" w:cs="Times New Roman"/>
          <w:sz w:val="24"/>
          <w:szCs w:val="24"/>
        </w:rPr>
      </w:pPr>
      <w:r w:rsidRPr="00D8339C">
        <w:rPr>
          <w:rFonts w:ascii="Times New Roman" w:hAnsi="Times New Roman" w:cs="Times New Roman"/>
          <w:sz w:val="24"/>
          <w:szCs w:val="24"/>
        </w:rPr>
        <w:t xml:space="preserve">In May 2011, 28 harvesters (10 electric harvesters and </w:t>
      </w:r>
      <w:r w:rsidR="007C6961" w:rsidRPr="00D8339C">
        <w:rPr>
          <w:rFonts w:ascii="Times New Roman" w:hAnsi="Times New Roman" w:cs="Times New Roman"/>
          <w:sz w:val="24"/>
          <w:szCs w:val="24"/>
        </w:rPr>
        <w:t xml:space="preserve">4 </w:t>
      </w:r>
      <w:r w:rsidRPr="00D8339C">
        <w:rPr>
          <w:rFonts w:ascii="Times New Roman" w:hAnsi="Times New Roman" w:cs="Times New Roman"/>
          <w:sz w:val="24"/>
          <w:szCs w:val="24"/>
        </w:rPr>
        <w:t xml:space="preserve">pneumatic harvesters for each coop) were delivered to the </w:t>
      </w:r>
      <w:r w:rsidR="00B17988" w:rsidRPr="00D8339C">
        <w:rPr>
          <w:rFonts w:ascii="Times New Roman" w:hAnsi="Times New Roman" w:cs="Times New Roman"/>
          <w:sz w:val="24"/>
          <w:szCs w:val="24"/>
        </w:rPr>
        <w:t>Karkaf and Halba c</w:t>
      </w:r>
      <w:r w:rsidRPr="00D8339C">
        <w:rPr>
          <w:rFonts w:ascii="Times New Roman" w:hAnsi="Times New Roman" w:cs="Times New Roman"/>
          <w:sz w:val="24"/>
          <w:szCs w:val="24"/>
        </w:rPr>
        <w:t xml:space="preserve">ooperatives benefiting a cluster of villages with approximately 250 active farmers in the olive sector. Technical training sessions on the use of the harvesters were </w:t>
      </w:r>
      <w:r w:rsidR="00B17988" w:rsidRPr="00D8339C">
        <w:rPr>
          <w:rFonts w:ascii="Times New Roman" w:hAnsi="Times New Roman" w:cs="Times New Roman"/>
          <w:sz w:val="24"/>
          <w:szCs w:val="24"/>
        </w:rPr>
        <w:t>then provided to the c</w:t>
      </w:r>
      <w:r w:rsidRPr="00D8339C">
        <w:rPr>
          <w:rFonts w:ascii="Times New Roman" w:hAnsi="Times New Roman" w:cs="Times New Roman"/>
          <w:sz w:val="24"/>
          <w:szCs w:val="24"/>
        </w:rPr>
        <w:t>oop members</w:t>
      </w:r>
      <w:r w:rsidR="00B17988" w:rsidRPr="00D8339C">
        <w:rPr>
          <w:rFonts w:ascii="Times New Roman" w:hAnsi="Times New Roman" w:cs="Times New Roman"/>
          <w:sz w:val="24"/>
          <w:szCs w:val="24"/>
        </w:rPr>
        <w:t xml:space="preserve"> </w:t>
      </w:r>
      <w:r w:rsidRPr="00D8339C">
        <w:rPr>
          <w:rFonts w:ascii="Times New Roman" w:hAnsi="Times New Roman" w:cs="Times New Roman"/>
          <w:sz w:val="24"/>
          <w:szCs w:val="24"/>
        </w:rPr>
        <w:t xml:space="preserve">and specific tools were developed with </w:t>
      </w:r>
      <w:r w:rsidR="00B17988" w:rsidRPr="00D8339C">
        <w:rPr>
          <w:rFonts w:ascii="Times New Roman" w:hAnsi="Times New Roman" w:cs="Times New Roman"/>
          <w:sz w:val="24"/>
          <w:szCs w:val="24"/>
        </w:rPr>
        <w:t xml:space="preserve">each </w:t>
      </w:r>
      <w:r w:rsidRPr="00D8339C">
        <w:rPr>
          <w:rFonts w:ascii="Times New Roman" w:hAnsi="Times New Roman" w:cs="Times New Roman"/>
          <w:sz w:val="24"/>
          <w:szCs w:val="24"/>
        </w:rPr>
        <w:t xml:space="preserve">cooperative </w:t>
      </w:r>
      <w:r w:rsidR="00B17988" w:rsidRPr="00D8339C">
        <w:rPr>
          <w:rFonts w:ascii="Times New Roman" w:hAnsi="Times New Roman" w:cs="Times New Roman"/>
          <w:sz w:val="24"/>
          <w:szCs w:val="24"/>
        </w:rPr>
        <w:t xml:space="preserve">for </w:t>
      </w:r>
      <w:r w:rsidR="002845D5" w:rsidRPr="00D8339C">
        <w:rPr>
          <w:rFonts w:ascii="Times New Roman" w:hAnsi="Times New Roman" w:cs="Times New Roman"/>
          <w:sz w:val="24"/>
          <w:szCs w:val="24"/>
        </w:rPr>
        <w:t>improved</w:t>
      </w:r>
      <w:r w:rsidR="00B17988" w:rsidRPr="00D8339C">
        <w:rPr>
          <w:rFonts w:ascii="Times New Roman" w:hAnsi="Times New Roman" w:cs="Times New Roman"/>
          <w:sz w:val="24"/>
          <w:szCs w:val="24"/>
        </w:rPr>
        <w:t xml:space="preserve"> administrative and financial management. </w:t>
      </w:r>
      <w:r w:rsidRPr="00D8339C">
        <w:rPr>
          <w:rFonts w:ascii="Times New Roman" w:hAnsi="Times New Roman" w:cs="Times New Roman"/>
          <w:sz w:val="24"/>
          <w:szCs w:val="24"/>
        </w:rPr>
        <w:t xml:space="preserve"> </w:t>
      </w:r>
    </w:p>
    <w:p w:rsidR="00FB004B" w:rsidRPr="00D8339C" w:rsidRDefault="00FB004B" w:rsidP="00FB004B">
      <w:pPr>
        <w:pStyle w:val="BodyText2"/>
        <w:rPr>
          <w:rFonts w:ascii="Times New Roman" w:hAnsi="Times New Roman" w:cs="Times New Roman"/>
          <w:sz w:val="24"/>
          <w:szCs w:val="24"/>
        </w:rPr>
      </w:pPr>
    </w:p>
    <w:p w:rsidR="00FB004B" w:rsidRPr="00D8339C" w:rsidRDefault="00FB004B" w:rsidP="003F0CB6">
      <w:pPr>
        <w:pStyle w:val="ListParagraph"/>
        <w:ind w:left="0"/>
        <w:contextualSpacing w:val="0"/>
        <w:jc w:val="both"/>
      </w:pPr>
      <w:r w:rsidRPr="00D8339C">
        <w:t xml:space="preserve">During the harvesting period from October to December 2011, the farmers successfully used the olive harvesters </w:t>
      </w:r>
      <w:r w:rsidR="003F0CB6">
        <w:t xml:space="preserve">which reduced </w:t>
      </w:r>
      <w:r w:rsidRPr="00D8339C">
        <w:t>their harvesting costs by 30</w:t>
      </w:r>
      <w:r w:rsidR="003F0CB6">
        <w:t xml:space="preserve"> </w:t>
      </w:r>
      <w:r w:rsidR="00B17988" w:rsidRPr="00D8339C">
        <w:t xml:space="preserve">to </w:t>
      </w:r>
      <w:r w:rsidRPr="00D8339C">
        <w:t>40</w:t>
      </w:r>
      <w:r w:rsidR="00B17988" w:rsidRPr="00D8339C">
        <w:t>%</w:t>
      </w:r>
      <w:r w:rsidRPr="00D8339C">
        <w:t>.  The approximate net profit of each cooperative was</w:t>
      </w:r>
      <w:r w:rsidR="00B17988" w:rsidRPr="00D8339C">
        <w:t xml:space="preserve"> </w:t>
      </w:r>
      <w:r w:rsidRPr="00D8339C">
        <w:t xml:space="preserve">6,000 </w:t>
      </w:r>
      <w:r w:rsidR="00B17988" w:rsidRPr="00D8339C">
        <w:t xml:space="preserve">US$ </w:t>
      </w:r>
      <w:r w:rsidRPr="00D8339C">
        <w:t xml:space="preserve">during this first harvesting season. </w:t>
      </w:r>
    </w:p>
    <w:p w:rsidR="00160E64" w:rsidRPr="00D8339C" w:rsidRDefault="00160E64" w:rsidP="009572AB">
      <w:pPr>
        <w:jc w:val="both"/>
        <w:rPr>
          <w:b/>
          <w:bCs/>
          <w:i/>
          <w:iCs/>
          <w:color w:val="FF0000"/>
        </w:rPr>
      </w:pPr>
    </w:p>
    <w:p w:rsidR="009572AB" w:rsidRPr="00D8339C" w:rsidRDefault="009572AB" w:rsidP="00854226">
      <w:pPr>
        <w:numPr>
          <w:ilvl w:val="0"/>
          <w:numId w:val="23"/>
        </w:numPr>
        <w:jc w:val="both"/>
        <w:rPr>
          <w:i/>
          <w:iCs/>
        </w:rPr>
      </w:pPr>
      <w:r w:rsidRPr="00D8339C">
        <w:rPr>
          <w:i/>
          <w:iCs/>
        </w:rPr>
        <w:t xml:space="preserve">Provision of Greenhouses </w:t>
      </w:r>
    </w:p>
    <w:p w:rsidR="009572AB" w:rsidRPr="00D8339C" w:rsidRDefault="009572AB" w:rsidP="009572AB">
      <w:pPr>
        <w:jc w:val="both"/>
        <w:rPr>
          <w:color w:val="FF0000"/>
        </w:rPr>
      </w:pPr>
    </w:p>
    <w:p w:rsidR="008D587A" w:rsidRPr="00D8339C" w:rsidRDefault="008D587A" w:rsidP="0083358D">
      <w:pPr>
        <w:pStyle w:val="UN-10Bodycopy"/>
        <w:spacing w:line="240" w:lineRule="auto"/>
        <w:rPr>
          <w:rFonts w:ascii="Times New Roman" w:hAnsi="Times New Roman"/>
          <w:sz w:val="24"/>
          <w:szCs w:val="24"/>
        </w:rPr>
      </w:pPr>
      <w:r w:rsidRPr="00D8339C">
        <w:rPr>
          <w:rFonts w:ascii="Times New Roman" w:hAnsi="Times New Roman"/>
          <w:sz w:val="24"/>
          <w:szCs w:val="24"/>
        </w:rPr>
        <w:t xml:space="preserve">With technical support from FAO, a field study conducted in 2011 revealed which farmers were in most need of support in the six </w:t>
      </w:r>
      <w:r w:rsidR="00D8339C" w:rsidRPr="00D8339C">
        <w:rPr>
          <w:rFonts w:ascii="Times New Roman" w:hAnsi="Times New Roman"/>
          <w:sz w:val="24"/>
          <w:szCs w:val="24"/>
        </w:rPr>
        <w:t>most vulnerable m</w:t>
      </w:r>
      <w:r w:rsidRPr="00D8339C">
        <w:rPr>
          <w:rFonts w:ascii="Times New Roman" w:hAnsi="Times New Roman"/>
          <w:sz w:val="24"/>
          <w:szCs w:val="24"/>
        </w:rPr>
        <w:t xml:space="preserve">unicipalities </w:t>
      </w:r>
      <w:r w:rsidR="0083358D">
        <w:rPr>
          <w:rFonts w:ascii="Times New Roman" w:hAnsi="Times New Roman"/>
          <w:sz w:val="24"/>
          <w:szCs w:val="24"/>
        </w:rPr>
        <w:t>(</w:t>
      </w:r>
      <w:r w:rsidR="0083358D" w:rsidRPr="00D8339C">
        <w:rPr>
          <w:rFonts w:ascii="Times New Roman" w:hAnsi="Times New Roman"/>
          <w:sz w:val="24"/>
          <w:szCs w:val="24"/>
        </w:rPr>
        <w:t>Wadi el-Jamous, Muhammara, Bebnine, Halba, Minyeh and Bhanine</w:t>
      </w:r>
      <w:r w:rsidR="0083358D">
        <w:rPr>
          <w:rFonts w:ascii="Times New Roman" w:hAnsi="Times New Roman"/>
          <w:sz w:val="24"/>
          <w:szCs w:val="24"/>
        </w:rPr>
        <w:t>) with</w:t>
      </w:r>
      <w:r w:rsidRPr="00D8339C">
        <w:rPr>
          <w:rFonts w:ascii="Times New Roman" w:hAnsi="Times New Roman"/>
          <w:sz w:val="24"/>
          <w:szCs w:val="24"/>
        </w:rPr>
        <w:t xml:space="preserve"> </w:t>
      </w:r>
      <w:r w:rsidR="00D8339C">
        <w:rPr>
          <w:rFonts w:ascii="Times New Roman" w:hAnsi="Times New Roman"/>
          <w:sz w:val="24"/>
          <w:szCs w:val="24"/>
        </w:rPr>
        <w:t xml:space="preserve">regards to </w:t>
      </w:r>
      <w:r w:rsidR="00D8339C" w:rsidRPr="00D8339C">
        <w:rPr>
          <w:rFonts w:ascii="Times New Roman" w:hAnsi="Times New Roman"/>
          <w:sz w:val="24"/>
          <w:szCs w:val="24"/>
        </w:rPr>
        <w:t>greenhouses crop production</w:t>
      </w:r>
      <w:r w:rsidRPr="00D8339C">
        <w:rPr>
          <w:rFonts w:ascii="Times New Roman" w:hAnsi="Times New Roman"/>
          <w:sz w:val="24"/>
          <w:szCs w:val="24"/>
        </w:rPr>
        <w:t>. A total of 102 farmers</w:t>
      </w:r>
      <w:r w:rsidR="00B856B0">
        <w:rPr>
          <w:rFonts w:ascii="Times New Roman" w:hAnsi="Times New Roman"/>
          <w:sz w:val="24"/>
          <w:szCs w:val="24"/>
        </w:rPr>
        <w:t xml:space="preserve"> were selected as beneficiaries.</w:t>
      </w:r>
    </w:p>
    <w:p w:rsidR="008D587A" w:rsidRPr="00D8339C" w:rsidRDefault="008D587A" w:rsidP="008D587A">
      <w:pPr>
        <w:pStyle w:val="UN-10Bodycopy"/>
        <w:spacing w:line="240" w:lineRule="auto"/>
        <w:rPr>
          <w:rFonts w:ascii="Times New Roman" w:hAnsi="Times New Roman"/>
          <w:sz w:val="24"/>
          <w:szCs w:val="24"/>
        </w:rPr>
      </w:pPr>
      <w:r w:rsidRPr="00D8339C">
        <w:rPr>
          <w:rFonts w:ascii="Times New Roman" w:hAnsi="Times New Roman"/>
          <w:sz w:val="24"/>
          <w:szCs w:val="24"/>
        </w:rPr>
        <w:t>The installation of the greenhouses started in January 2012 in Minyeh but the first sample greenhouse constructed by the contractor failed to comply with the required specifications. The sample was modified based on UNDP recommendations and was accepted as compliant in June</w:t>
      </w:r>
      <w:r w:rsidR="004E18AE">
        <w:rPr>
          <w:rFonts w:ascii="Times New Roman" w:hAnsi="Times New Roman"/>
          <w:sz w:val="24"/>
          <w:szCs w:val="24"/>
        </w:rPr>
        <w:t xml:space="preserve"> 2013</w:t>
      </w:r>
      <w:r w:rsidRPr="00D8339C">
        <w:rPr>
          <w:rFonts w:ascii="Times New Roman" w:hAnsi="Times New Roman"/>
          <w:sz w:val="24"/>
          <w:szCs w:val="24"/>
        </w:rPr>
        <w:t xml:space="preserve"> but by then the contractor was unable to continue the installation of the greenhouses, especially due to the security situation in North-Lebanon. </w:t>
      </w:r>
    </w:p>
    <w:p w:rsidR="008D587A" w:rsidRPr="00D8339C" w:rsidRDefault="008D587A" w:rsidP="00B856B0">
      <w:pPr>
        <w:pStyle w:val="UN-10Bodycopy"/>
        <w:spacing w:line="240" w:lineRule="auto"/>
        <w:rPr>
          <w:rFonts w:ascii="Times New Roman" w:hAnsi="Times New Roman"/>
          <w:sz w:val="24"/>
          <w:szCs w:val="24"/>
          <w:lang w:val="en-GB"/>
        </w:rPr>
      </w:pPr>
      <w:r w:rsidRPr="00D8339C">
        <w:rPr>
          <w:rFonts w:ascii="Times New Roman" w:hAnsi="Times New Roman"/>
          <w:sz w:val="24"/>
          <w:szCs w:val="24"/>
        </w:rPr>
        <w:lastRenderedPageBreak/>
        <w:t xml:space="preserve">UNDP initiated a negotiation process to amend the contract of the awarded company to include only the supply of materials </w:t>
      </w:r>
      <w:r w:rsidR="00B856B0">
        <w:rPr>
          <w:rFonts w:ascii="Times New Roman" w:hAnsi="Times New Roman"/>
          <w:sz w:val="24"/>
          <w:szCs w:val="24"/>
        </w:rPr>
        <w:t>in order t</w:t>
      </w:r>
      <w:r w:rsidRPr="00D8339C">
        <w:rPr>
          <w:rFonts w:ascii="Times New Roman" w:hAnsi="Times New Roman"/>
          <w:sz w:val="24"/>
          <w:szCs w:val="24"/>
        </w:rPr>
        <w:t xml:space="preserve">o sign a new contract with a local company for the execution of the installation works. </w:t>
      </w:r>
      <w:r w:rsidRPr="00D8339C">
        <w:rPr>
          <w:rFonts w:ascii="Times New Roman" w:hAnsi="Times New Roman"/>
          <w:sz w:val="24"/>
          <w:szCs w:val="24"/>
          <w:lang w:val="en-GB"/>
        </w:rPr>
        <w:t xml:space="preserve">The two new contracts were signed and an agricultural engineer was recruited to supervise the inventory of materials and ensure smooth implementation and coordination between the company </w:t>
      </w:r>
      <w:r w:rsidR="00576509" w:rsidRPr="00D8339C">
        <w:rPr>
          <w:rFonts w:ascii="Times New Roman" w:hAnsi="Times New Roman"/>
          <w:sz w:val="24"/>
          <w:szCs w:val="24"/>
          <w:lang w:val="en-GB"/>
        </w:rPr>
        <w:t>supply</w:t>
      </w:r>
      <w:r w:rsidR="00576509">
        <w:rPr>
          <w:rFonts w:ascii="Times New Roman" w:hAnsi="Times New Roman"/>
          <w:sz w:val="24"/>
          <w:szCs w:val="24"/>
          <w:lang w:val="en-GB"/>
        </w:rPr>
        <w:t>ing the goods</w:t>
      </w:r>
      <w:r w:rsidR="00576509" w:rsidRPr="00D8339C">
        <w:rPr>
          <w:rFonts w:ascii="Times New Roman" w:hAnsi="Times New Roman"/>
          <w:sz w:val="24"/>
          <w:szCs w:val="24"/>
          <w:lang w:val="en-GB"/>
        </w:rPr>
        <w:t xml:space="preserve"> </w:t>
      </w:r>
      <w:r w:rsidRPr="00D8339C">
        <w:rPr>
          <w:rFonts w:ascii="Times New Roman" w:hAnsi="Times New Roman"/>
          <w:sz w:val="24"/>
          <w:szCs w:val="24"/>
          <w:lang w:val="en-GB"/>
        </w:rPr>
        <w:t>and the contractor.</w:t>
      </w:r>
    </w:p>
    <w:p w:rsidR="008D587A" w:rsidRPr="00D8339C" w:rsidRDefault="008D587A" w:rsidP="008D587A">
      <w:pPr>
        <w:jc w:val="both"/>
        <w:rPr>
          <w:lang w:val="en-GB"/>
        </w:rPr>
      </w:pPr>
      <w:r w:rsidRPr="00D8339C">
        <w:rPr>
          <w:lang w:val="en-GB"/>
        </w:rPr>
        <w:t xml:space="preserve">A meeting between UNDP, the six municipalities and the company in charge of the installation works was held in early January </w:t>
      </w:r>
      <w:r w:rsidR="00DB7A83">
        <w:rPr>
          <w:lang w:val="en-GB"/>
        </w:rPr>
        <w:t xml:space="preserve">2013 </w:t>
      </w:r>
      <w:r w:rsidRPr="00D8339C">
        <w:rPr>
          <w:lang w:val="en-GB"/>
        </w:rPr>
        <w:t>to re-launch the activity and inform the local stakeholders about the methodology of works. Separate meetings with each municipality and farmers were then held to finalize the schedule of works according to the availability of lands and readiness of farmers in each village.</w:t>
      </w:r>
    </w:p>
    <w:p w:rsidR="008D587A" w:rsidRPr="00D8339C" w:rsidRDefault="008D587A" w:rsidP="008D587A">
      <w:pPr>
        <w:jc w:val="both"/>
        <w:rPr>
          <w:lang w:val="en-GB"/>
        </w:rPr>
      </w:pPr>
    </w:p>
    <w:p w:rsidR="008D587A" w:rsidRPr="00D8339C" w:rsidRDefault="008D587A" w:rsidP="00DB7A83">
      <w:pPr>
        <w:pStyle w:val="NoSpacing"/>
        <w:jc w:val="both"/>
      </w:pPr>
      <w:r w:rsidRPr="00D8339C">
        <w:rPr>
          <w:lang w:val="en-GB"/>
        </w:rPr>
        <w:t xml:space="preserve">After the finalization of the installation plan, </w:t>
      </w:r>
      <w:r w:rsidRPr="00D8339C">
        <w:t xml:space="preserve">a full physical inventory of </w:t>
      </w:r>
      <w:r w:rsidRPr="00D8339C">
        <w:rPr>
          <w:lang w:val="en-GB"/>
        </w:rPr>
        <w:t>greenhouse materials</w:t>
      </w:r>
      <w:r w:rsidRPr="00D8339C">
        <w:t xml:space="preserve"> was conducted over 15 working days between January and February </w:t>
      </w:r>
      <w:r w:rsidR="00DB7A83">
        <w:t xml:space="preserve">2013 </w:t>
      </w:r>
      <w:r w:rsidRPr="00D8339C">
        <w:t xml:space="preserve">by the </w:t>
      </w:r>
      <w:r w:rsidRPr="00D8339C">
        <w:rPr>
          <w:lang w:val="en-GB"/>
        </w:rPr>
        <w:t>consultant in coordination with the supplier and the contracted company</w:t>
      </w:r>
      <w:r w:rsidRPr="00D8339C">
        <w:t xml:space="preserve">. The purpose was to identify both the quality and the quantity of materials </w:t>
      </w:r>
      <w:r w:rsidR="00DB7A83">
        <w:t>s</w:t>
      </w:r>
      <w:r w:rsidRPr="00D8339C">
        <w:t xml:space="preserve">upplied and available in the Minyeh Warehouse and to verify their compliance with tender specifications. </w:t>
      </w:r>
    </w:p>
    <w:p w:rsidR="008D587A" w:rsidRPr="00D8339C" w:rsidRDefault="008D587A" w:rsidP="008D587A">
      <w:pPr>
        <w:pStyle w:val="NoSpacing"/>
        <w:jc w:val="both"/>
      </w:pPr>
    </w:p>
    <w:p w:rsidR="008D587A" w:rsidRDefault="008D587A" w:rsidP="00B856B0">
      <w:pPr>
        <w:pStyle w:val="NoSpacing"/>
        <w:jc w:val="both"/>
        <w:rPr>
          <w:lang w:val="en-GB"/>
        </w:rPr>
      </w:pPr>
      <w:r w:rsidRPr="00D8339C">
        <w:rPr>
          <w:lang w:val="en-GB"/>
        </w:rPr>
        <w:t>The installation works started as soon as the inventory was completed. The contracted company divided the works into 3 phases in each</w:t>
      </w:r>
      <w:r w:rsidR="00B856B0">
        <w:rPr>
          <w:lang w:val="en-GB"/>
        </w:rPr>
        <w:t xml:space="preserve"> of the 6</w:t>
      </w:r>
      <w:r w:rsidRPr="00D8339C">
        <w:rPr>
          <w:lang w:val="en-GB"/>
        </w:rPr>
        <w:t xml:space="preserve"> village</w:t>
      </w:r>
      <w:r w:rsidR="00B856B0">
        <w:rPr>
          <w:lang w:val="en-GB"/>
        </w:rPr>
        <w:t>s</w:t>
      </w:r>
      <w:r w:rsidRPr="00D8339C">
        <w:rPr>
          <w:lang w:val="en-GB"/>
        </w:rPr>
        <w:t>:</w:t>
      </w:r>
    </w:p>
    <w:p w:rsidR="004E18AE" w:rsidRPr="00D8339C" w:rsidRDefault="004E18AE" w:rsidP="00B856B0">
      <w:pPr>
        <w:pStyle w:val="NoSpacing"/>
        <w:jc w:val="both"/>
        <w:rPr>
          <w:lang w:val="en-GB"/>
        </w:rPr>
      </w:pPr>
    </w:p>
    <w:p w:rsidR="008D587A" w:rsidRPr="00D8339C" w:rsidRDefault="008D587A" w:rsidP="00576509">
      <w:pPr>
        <w:pStyle w:val="NoSpacing"/>
        <w:ind w:left="360"/>
        <w:jc w:val="both"/>
        <w:rPr>
          <w:lang w:val="en-GB"/>
        </w:rPr>
      </w:pPr>
      <w:r w:rsidRPr="00D8339C">
        <w:rPr>
          <w:lang w:val="en-GB"/>
        </w:rPr>
        <w:t>1</w:t>
      </w:r>
      <w:r w:rsidR="00576509">
        <w:rPr>
          <w:lang w:val="en-GB"/>
        </w:rPr>
        <w:t>-</w:t>
      </w:r>
      <w:r w:rsidRPr="00D8339C">
        <w:rPr>
          <w:lang w:val="en-GB"/>
        </w:rPr>
        <w:t>Installation of the concrete bases</w:t>
      </w:r>
    </w:p>
    <w:p w:rsidR="008D587A" w:rsidRPr="00D8339C" w:rsidRDefault="00576509" w:rsidP="00576509">
      <w:pPr>
        <w:pStyle w:val="NoSpacing"/>
        <w:ind w:left="360"/>
        <w:jc w:val="both"/>
        <w:rPr>
          <w:lang w:val="en-GB"/>
        </w:rPr>
      </w:pPr>
      <w:r>
        <w:rPr>
          <w:lang w:val="en-GB"/>
        </w:rPr>
        <w:t>2-</w:t>
      </w:r>
      <w:r w:rsidR="008D587A" w:rsidRPr="00D8339C">
        <w:rPr>
          <w:lang w:val="en-GB"/>
        </w:rPr>
        <w:t xml:space="preserve">Installation of the steel structure </w:t>
      </w:r>
    </w:p>
    <w:p w:rsidR="008D587A" w:rsidRPr="00D8339C" w:rsidRDefault="00576509" w:rsidP="00576509">
      <w:pPr>
        <w:pStyle w:val="NoSpacing"/>
        <w:ind w:left="360"/>
        <w:jc w:val="both"/>
        <w:rPr>
          <w:lang w:val="en-GB"/>
        </w:rPr>
      </w:pPr>
      <w:r>
        <w:rPr>
          <w:lang w:val="en-GB"/>
        </w:rPr>
        <w:t>3-</w:t>
      </w:r>
      <w:r w:rsidR="008D587A" w:rsidRPr="00D8339C">
        <w:rPr>
          <w:lang w:val="en-GB"/>
        </w:rPr>
        <w:t>Installation of the plastic cover and irrigation system</w:t>
      </w:r>
    </w:p>
    <w:p w:rsidR="008D587A" w:rsidRPr="00D8339C" w:rsidRDefault="008D587A" w:rsidP="008D587A">
      <w:pPr>
        <w:pStyle w:val="NoSpacing"/>
        <w:jc w:val="both"/>
        <w:rPr>
          <w:lang w:val="en-GB"/>
        </w:rPr>
      </w:pPr>
    </w:p>
    <w:p w:rsidR="000153AF" w:rsidRPr="00D8339C" w:rsidRDefault="008D587A" w:rsidP="004C6331">
      <w:pPr>
        <w:jc w:val="both"/>
        <w:rPr>
          <w:lang w:val="en-GB"/>
        </w:rPr>
      </w:pPr>
      <w:r w:rsidRPr="00D8339C">
        <w:rPr>
          <w:lang w:val="en-GB"/>
        </w:rPr>
        <w:t>All greenhouses were successfully installed and trans</w:t>
      </w:r>
      <w:r w:rsidR="004C6331">
        <w:rPr>
          <w:lang w:val="en-GB"/>
        </w:rPr>
        <w:t xml:space="preserve">ferred to the 102 beneficiaries </w:t>
      </w:r>
      <w:r w:rsidRPr="00D8339C">
        <w:rPr>
          <w:lang w:val="en-GB"/>
        </w:rPr>
        <w:t>between February and August 2013</w:t>
      </w:r>
      <w:r w:rsidR="000153AF">
        <w:rPr>
          <w:lang w:val="en-GB"/>
        </w:rPr>
        <w:t>.</w:t>
      </w:r>
      <w:r w:rsidR="000153AF" w:rsidRPr="000153AF">
        <w:rPr>
          <w:lang w:val="en-GB"/>
        </w:rPr>
        <w:t xml:space="preserve"> </w:t>
      </w:r>
      <w:r w:rsidR="000153AF" w:rsidRPr="00D8339C">
        <w:rPr>
          <w:lang w:val="en-GB"/>
        </w:rPr>
        <w:t>A</w:t>
      </w:r>
      <w:r w:rsidR="000153AF">
        <w:rPr>
          <w:lang w:val="en-GB"/>
        </w:rPr>
        <w:t xml:space="preserve"> </w:t>
      </w:r>
      <w:r w:rsidR="000153AF" w:rsidRPr="00D8339C">
        <w:rPr>
          <w:lang w:val="en-GB"/>
        </w:rPr>
        <w:t xml:space="preserve">company was then selected to supply 300 kg of organic fertilizers and 1000 pulley hooks to each farmer to be used in the newly installed greenhouses. </w:t>
      </w:r>
    </w:p>
    <w:p w:rsidR="000153AF" w:rsidRDefault="000153AF" w:rsidP="008D587A">
      <w:pPr>
        <w:jc w:val="both"/>
        <w:rPr>
          <w:lang w:val="en-GB"/>
        </w:rPr>
      </w:pPr>
    </w:p>
    <w:p w:rsidR="000153AF" w:rsidRDefault="000153AF" w:rsidP="004C6331">
      <w:pPr>
        <w:jc w:val="both"/>
        <w:rPr>
          <w:lang w:val="en-GB"/>
        </w:rPr>
      </w:pPr>
      <w:r>
        <w:rPr>
          <w:lang w:val="en-GB"/>
        </w:rPr>
        <w:t>A</w:t>
      </w:r>
      <w:r w:rsidRPr="00D8339C">
        <w:rPr>
          <w:lang w:val="en-GB"/>
        </w:rPr>
        <w:t xml:space="preserve"> technical and managerial training was </w:t>
      </w:r>
      <w:r>
        <w:rPr>
          <w:lang w:val="en-GB"/>
        </w:rPr>
        <w:t xml:space="preserve">also </w:t>
      </w:r>
      <w:r w:rsidRPr="00D8339C">
        <w:rPr>
          <w:lang w:val="en-GB"/>
        </w:rPr>
        <w:t xml:space="preserve">conducted in each of the 6 concerned villages targeting all the beneficiaries of the greenhouses project. The training sessions </w:t>
      </w:r>
      <w:r w:rsidR="004C6331">
        <w:rPr>
          <w:lang w:val="en-GB"/>
        </w:rPr>
        <w:t xml:space="preserve">which </w:t>
      </w:r>
      <w:r w:rsidRPr="00D8339C">
        <w:rPr>
          <w:lang w:val="en-GB"/>
        </w:rPr>
        <w:t xml:space="preserve">were completed by the end of September 2013 contributed to building the capacities </w:t>
      </w:r>
      <w:r w:rsidR="004C6331">
        <w:rPr>
          <w:lang w:val="en-GB"/>
        </w:rPr>
        <w:t xml:space="preserve">and managerial skills </w:t>
      </w:r>
      <w:r w:rsidRPr="00D8339C">
        <w:rPr>
          <w:lang w:val="en-GB"/>
        </w:rPr>
        <w:t xml:space="preserve">of the farmers </w:t>
      </w:r>
      <w:r w:rsidR="004C6331">
        <w:rPr>
          <w:lang w:val="en-GB"/>
        </w:rPr>
        <w:t>and to raising</w:t>
      </w:r>
      <w:r w:rsidRPr="00D8339C">
        <w:rPr>
          <w:lang w:val="en-GB"/>
        </w:rPr>
        <w:t xml:space="preserve"> their awareness on efficient agricultural techniques. The following topics</w:t>
      </w:r>
      <w:r>
        <w:rPr>
          <w:lang w:val="en-GB"/>
        </w:rPr>
        <w:t xml:space="preserve"> were addressed during the training</w:t>
      </w:r>
      <w:r w:rsidR="00546BE2">
        <w:rPr>
          <w:lang w:val="en-GB"/>
        </w:rPr>
        <w:t xml:space="preserve"> sessions</w:t>
      </w:r>
      <w:r w:rsidRPr="00D8339C">
        <w:rPr>
          <w:lang w:val="en-GB"/>
        </w:rPr>
        <w:t>:</w:t>
      </w:r>
    </w:p>
    <w:p w:rsidR="00422680" w:rsidRPr="00D8339C" w:rsidRDefault="00422680" w:rsidP="004C6331">
      <w:pPr>
        <w:jc w:val="both"/>
        <w:rPr>
          <w:lang w:val="en-GB"/>
        </w:rPr>
      </w:pPr>
    </w:p>
    <w:p w:rsidR="000153AF" w:rsidRPr="000153AF" w:rsidRDefault="004C6331" w:rsidP="00854226">
      <w:pPr>
        <w:pStyle w:val="NoSpacing"/>
        <w:numPr>
          <w:ilvl w:val="0"/>
          <w:numId w:val="20"/>
        </w:numPr>
      </w:pPr>
      <w:r>
        <w:t>Topic 1: Organic fertilizers</w:t>
      </w:r>
    </w:p>
    <w:p w:rsidR="000153AF" w:rsidRPr="000153AF" w:rsidRDefault="000153AF" w:rsidP="00854226">
      <w:pPr>
        <w:pStyle w:val="NoSpacing"/>
        <w:numPr>
          <w:ilvl w:val="0"/>
          <w:numId w:val="20"/>
        </w:numPr>
      </w:pPr>
      <w:r w:rsidRPr="000153AF">
        <w:t>Topic 2: Chemical fertilizers</w:t>
      </w:r>
    </w:p>
    <w:p w:rsidR="000153AF" w:rsidRPr="000153AF" w:rsidRDefault="000153AF" w:rsidP="00854226">
      <w:pPr>
        <w:pStyle w:val="NoSpacing"/>
        <w:numPr>
          <w:ilvl w:val="0"/>
          <w:numId w:val="20"/>
        </w:numPr>
      </w:pPr>
      <w:r w:rsidRPr="000153AF">
        <w:t>Topic 3: Best Agricultural Practices</w:t>
      </w:r>
    </w:p>
    <w:p w:rsidR="000153AF" w:rsidRPr="000153AF" w:rsidRDefault="000153AF" w:rsidP="00854226">
      <w:pPr>
        <w:pStyle w:val="NoSpacing"/>
        <w:numPr>
          <w:ilvl w:val="0"/>
          <w:numId w:val="20"/>
        </w:numPr>
      </w:pPr>
      <w:r w:rsidRPr="000153AF">
        <w:t>Topic 4: Pulleys</w:t>
      </w:r>
    </w:p>
    <w:p w:rsidR="000153AF" w:rsidRPr="000153AF" w:rsidRDefault="000153AF" w:rsidP="00854226">
      <w:pPr>
        <w:pStyle w:val="NoSpacing"/>
        <w:numPr>
          <w:ilvl w:val="0"/>
          <w:numId w:val="20"/>
        </w:numPr>
      </w:pPr>
      <w:r w:rsidRPr="000153AF">
        <w:t>Topic 5: Importance of farmers’ association</w:t>
      </w:r>
      <w:r w:rsidR="004C6331">
        <w:t>s</w:t>
      </w:r>
      <w:r w:rsidRPr="000153AF">
        <w:t xml:space="preserve"> or cooperatives</w:t>
      </w:r>
    </w:p>
    <w:p w:rsidR="000153AF" w:rsidRPr="00D8339C" w:rsidRDefault="000153AF" w:rsidP="00854226">
      <w:pPr>
        <w:pStyle w:val="NoSpacing"/>
        <w:numPr>
          <w:ilvl w:val="0"/>
          <w:numId w:val="20"/>
        </w:numPr>
        <w:ind w:left="1440" w:hanging="1080"/>
      </w:pPr>
      <w:r w:rsidRPr="000153AF">
        <w:t>Topic 6:</w:t>
      </w:r>
      <w:r w:rsidRPr="00D8339C">
        <w:t xml:space="preserve"> </w:t>
      </w:r>
      <w:r w:rsidR="004C6331">
        <w:t>Transforming</w:t>
      </w:r>
      <w:r w:rsidRPr="00D8339C">
        <w:t xml:space="preserve"> traditional agricultur</w:t>
      </w:r>
      <w:r w:rsidR="004C6331">
        <w:t>e into modern</w:t>
      </w:r>
      <w:r w:rsidRPr="00D8339C">
        <w:t xml:space="preserve"> agro-business </w:t>
      </w:r>
    </w:p>
    <w:p w:rsidR="000153AF" w:rsidRDefault="000153AF" w:rsidP="008D587A">
      <w:pPr>
        <w:jc w:val="both"/>
        <w:rPr>
          <w:lang w:val="en-GB"/>
        </w:rPr>
      </w:pPr>
    </w:p>
    <w:p w:rsidR="008D587A" w:rsidRPr="00275925" w:rsidRDefault="000153AF" w:rsidP="002B6C78">
      <w:pPr>
        <w:jc w:val="both"/>
        <w:rPr>
          <w:lang w:val="en-GB"/>
        </w:rPr>
      </w:pPr>
      <w:r w:rsidRPr="00275925">
        <w:rPr>
          <w:lang w:val="en-GB"/>
        </w:rPr>
        <w:t xml:space="preserve">Finally, </w:t>
      </w:r>
      <w:r w:rsidR="008D587A" w:rsidRPr="00275925">
        <w:rPr>
          <w:lang w:val="en-GB"/>
        </w:rPr>
        <w:t>a ceremony was organized in September with the beneficia</w:t>
      </w:r>
      <w:r w:rsidRPr="00275925">
        <w:rPr>
          <w:lang w:val="en-GB"/>
        </w:rPr>
        <w:t>ries and the local s</w:t>
      </w:r>
      <w:r w:rsidR="002B6C78">
        <w:rPr>
          <w:lang w:val="en-GB"/>
        </w:rPr>
        <w:t>takeholders as a conclusion to the successful greenhouses</w:t>
      </w:r>
      <w:r w:rsidRPr="00275925">
        <w:rPr>
          <w:lang w:val="en-GB"/>
        </w:rPr>
        <w:t xml:space="preserve"> project.</w:t>
      </w:r>
    </w:p>
    <w:p w:rsidR="00275925" w:rsidRPr="0014724C" w:rsidRDefault="00275925" w:rsidP="000153AF">
      <w:pPr>
        <w:jc w:val="both"/>
        <w:rPr>
          <w:lang w:val="en-GB"/>
        </w:rPr>
      </w:pPr>
    </w:p>
    <w:p w:rsidR="00275925" w:rsidRPr="0014724C" w:rsidRDefault="00275925" w:rsidP="00275925">
      <w:pPr>
        <w:jc w:val="both"/>
        <w:rPr>
          <w:lang w:val="en-GB"/>
        </w:rPr>
      </w:pPr>
      <w:r w:rsidRPr="0014724C">
        <w:rPr>
          <w:lang w:val="en-GB"/>
        </w:rPr>
        <w:t>Photographs of completed and cultivated greenhouses:</w:t>
      </w:r>
    </w:p>
    <w:p w:rsidR="00275925" w:rsidRPr="00275925" w:rsidRDefault="00275925" w:rsidP="00275925">
      <w:pPr>
        <w:jc w:val="both"/>
        <w:rPr>
          <w:lang w:val="en-GB"/>
        </w:rPr>
      </w:pPr>
    </w:p>
    <w:p w:rsidR="003E3394" w:rsidRDefault="001A2F79" w:rsidP="006F4FA9">
      <w:pPr>
        <w:jc w:val="center"/>
        <w:rPr>
          <w:lang w:val="en-GB"/>
        </w:rPr>
      </w:pPr>
      <w:r>
        <w:rPr>
          <w:noProof/>
        </w:rPr>
        <w:lastRenderedPageBreak/>
        <w:drawing>
          <wp:inline distT="0" distB="0" distL="0" distR="0">
            <wp:extent cx="3971925" cy="2981325"/>
            <wp:effectExtent l="19050" t="0" r="9525" b="0"/>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1)"/>
                    <pic:cNvPicPr>
                      <a:picLocks noChangeAspect="1" noChangeArrowheads="1"/>
                    </pic:cNvPicPr>
                  </pic:nvPicPr>
                  <pic:blipFill>
                    <a:blip r:embed="rId10" cstate="print"/>
                    <a:srcRect/>
                    <a:stretch>
                      <a:fillRect/>
                    </a:stretch>
                  </pic:blipFill>
                  <pic:spPr bwMode="auto">
                    <a:xfrm>
                      <a:off x="0" y="0"/>
                      <a:ext cx="3971925" cy="2981325"/>
                    </a:xfrm>
                    <a:prstGeom prst="rect">
                      <a:avLst/>
                    </a:prstGeom>
                    <a:noFill/>
                    <a:ln w="9525">
                      <a:noFill/>
                      <a:miter lim="800000"/>
                      <a:headEnd/>
                      <a:tailEnd/>
                    </a:ln>
                  </pic:spPr>
                </pic:pic>
              </a:graphicData>
            </a:graphic>
          </wp:inline>
        </w:drawing>
      </w:r>
    </w:p>
    <w:p w:rsidR="003E3394" w:rsidRDefault="003E3394" w:rsidP="006F4FA9">
      <w:pPr>
        <w:jc w:val="center"/>
        <w:rPr>
          <w:lang w:val="en-GB"/>
        </w:rPr>
      </w:pPr>
    </w:p>
    <w:p w:rsidR="00275925" w:rsidRPr="00275925" w:rsidRDefault="001A2F79" w:rsidP="006F4FA9">
      <w:pPr>
        <w:jc w:val="center"/>
        <w:rPr>
          <w:lang w:val="en-GB"/>
        </w:rPr>
      </w:pPr>
      <w:r>
        <w:rPr>
          <w:noProof/>
        </w:rPr>
        <w:drawing>
          <wp:inline distT="0" distB="0" distL="0" distR="0">
            <wp:extent cx="3962400" cy="2981325"/>
            <wp:effectExtent l="19050" t="0" r="0" b="0"/>
            <wp:docPr id="4" name="Picture 4"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2)"/>
                    <pic:cNvPicPr>
                      <a:picLocks noChangeAspect="1" noChangeArrowheads="1"/>
                    </pic:cNvPicPr>
                  </pic:nvPicPr>
                  <pic:blipFill>
                    <a:blip r:embed="rId11" cstate="print"/>
                    <a:srcRect/>
                    <a:stretch>
                      <a:fillRect/>
                    </a:stretch>
                  </pic:blipFill>
                  <pic:spPr bwMode="auto">
                    <a:xfrm>
                      <a:off x="0" y="0"/>
                      <a:ext cx="3962400" cy="2981325"/>
                    </a:xfrm>
                    <a:prstGeom prst="rect">
                      <a:avLst/>
                    </a:prstGeom>
                    <a:noFill/>
                    <a:ln w="9525">
                      <a:noFill/>
                      <a:miter lim="800000"/>
                      <a:headEnd/>
                      <a:tailEnd/>
                    </a:ln>
                  </pic:spPr>
                </pic:pic>
              </a:graphicData>
            </a:graphic>
          </wp:inline>
        </w:drawing>
      </w:r>
    </w:p>
    <w:p w:rsidR="00275925" w:rsidRPr="00275925" w:rsidRDefault="00275925" w:rsidP="00275925">
      <w:pPr>
        <w:jc w:val="both"/>
        <w:rPr>
          <w:lang w:val="en-GB"/>
        </w:rPr>
      </w:pPr>
    </w:p>
    <w:p w:rsidR="00275925" w:rsidRPr="00275925" w:rsidRDefault="00275925" w:rsidP="006F4FA9">
      <w:pPr>
        <w:jc w:val="center"/>
        <w:rPr>
          <w:lang w:val="en-GB"/>
        </w:rPr>
      </w:pPr>
    </w:p>
    <w:p w:rsidR="00275925" w:rsidRPr="00275925" w:rsidRDefault="00275925" w:rsidP="00275925">
      <w:pPr>
        <w:jc w:val="both"/>
        <w:rPr>
          <w:lang w:val="en-GB"/>
        </w:rPr>
      </w:pPr>
    </w:p>
    <w:p w:rsidR="00275925" w:rsidRPr="0014724C" w:rsidRDefault="00275925" w:rsidP="00854226">
      <w:pPr>
        <w:numPr>
          <w:ilvl w:val="0"/>
          <w:numId w:val="23"/>
        </w:numPr>
        <w:jc w:val="both"/>
        <w:rPr>
          <w:i/>
          <w:iCs/>
        </w:rPr>
      </w:pPr>
      <w:r w:rsidRPr="0014724C">
        <w:rPr>
          <w:i/>
          <w:iCs/>
        </w:rPr>
        <w:t>Construction of an olive solid waste composting facility and provision of technical and managerial training to three agricultura</w:t>
      </w:r>
      <w:r w:rsidR="004A7B5A">
        <w:rPr>
          <w:i/>
          <w:iCs/>
        </w:rPr>
        <w:t>l cooperatives in North-Lebanon</w:t>
      </w:r>
    </w:p>
    <w:p w:rsidR="00275925" w:rsidRPr="0014724C" w:rsidRDefault="00275925" w:rsidP="00275925">
      <w:pPr>
        <w:jc w:val="both"/>
        <w:rPr>
          <w:i/>
          <w:iCs/>
        </w:rPr>
      </w:pPr>
    </w:p>
    <w:p w:rsidR="00275925" w:rsidRDefault="00275925" w:rsidP="00F44BE7">
      <w:pPr>
        <w:pStyle w:val="UN-10Bodycopy"/>
        <w:spacing w:line="240" w:lineRule="auto"/>
        <w:rPr>
          <w:rFonts w:ascii="Times New Roman" w:hAnsi="Times New Roman"/>
          <w:sz w:val="24"/>
          <w:szCs w:val="24"/>
        </w:rPr>
      </w:pPr>
      <w:r w:rsidRPr="00275925">
        <w:rPr>
          <w:rFonts w:ascii="Times New Roman" w:hAnsi="Times New Roman"/>
          <w:sz w:val="24"/>
          <w:szCs w:val="24"/>
        </w:rPr>
        <w:t>In coordination with FAO and the Directorate of cooperatives</w:t>
      </w:r>
      <w:r w:rsidR="00EF5E71">
        <w:rPr>
          <w:rFonts w:ascii="Times New Roman" w:hAnsi="Times New Roman"/>
          <w:sz w:val="24"/>
          <w:szCs w:val="24"/>
        </w:rPr>
        <w:t xml:space="preserve"> and based on the agricultural in-depth assessment organized with technical support from FAO,</w:t>
      </w:r>
      <w:r w:rsidRPr="00275925">
        <w:rPr>
          <w:rFonts w:ascii="Times New Roman" w:hAnsi="Times New Roman"/>
          <w:sz w:val="24"/>
          <w:szCs w:val="24"/>
        </w:rPr>
        <w:t xml:space="preserve"> meetings were organized </w:t>
      </w:r>
      <w:r w:rsidR="00EF5E71">
        <w:rPr>
          <w:rFonts w:ascii="Times New Roman" w:hAnsi="Times New Roman"/>
          <w:sz w:val="24"/>
          <w:szCs w:val="24"/>
        </w:rPr>
        <w:t xml:space="preserve">in 2011 </w:t>
      </w:r>
      <w:r w:rsidRPr="00275925">
        <w:rPr>
          <w:rFonts w:ascii="Times New Roman" w:hAnsi="Times New Roman"/>
          <w:sz w:val="24"/>
          <w:szCs w:val="24"/>
        </w:rPr>
        <w:t xml:space="preserve">with eight cooperatives and farmers </w:t>
      </w:r>
      <w:r w:rsidR="00F44BE7">
        <w:rPr>
          <w:rFonts w:ascii="Times New Roman" w:hAnsi="Times New Roman"/>
          <w:sz w:val="24"/>
          <w:szCs w:val="24"/>
        </w:rPr>
        <w:t xml:space="preserve">associations </w:t>
      </w:r>
      <w:r w:rsidRPr="00275925">
        <w:rPr>
          <w:rFonts w:ascii="Times New Roman" w:hAnsi="Times New Roman"/>
          <w:sz w:val="24"/>
          <w:szCs w:val="24"/>
        </w:rPr>
        <w:t>working in the olive sector</w:t>
      </w:r>
      <w:r w:rsidR="00DB1357">
        <w:rPr>
          <w:rFonts w:ascii="Times New Roman" w:hAnsi="Times New Roman"/>
          <w:sz w:val="24"/>
          <w:szCs w:val="24"/>
        </w:rPr>
        <w:t xml:space="preserve"> within</w:t>
      </w:r>
      <w:r w:rsidRPr="00275925">
        <w:rPr>
          <w:rFonts w:ascii="Times New Roman" w:hAnsi="Times New Roman"/>
          <w:sz w:val="24"/>
          <w:szCs w:val="24"/>
        </w:rPr>
        <w:t xml:space="preserve"> the targeted area. </w:t>
      </w:r>
      <w:r w:rsidR="00EF5E71">
        <w:rPr>
          <w:rFonts w:ascii="Times New Roman" w:hAnsi="Times New Roman"/>
          <w:sz w:val="24"/>
          <w:szCs w:val="24"/>
        </w:rPr>
        <w:t>The</w:t>
      </w:r>
      <w:r w:rsidRPr="00275925">
        <w:rPr>
          <w:rFonts w:ascii="Times New Roman" w:hAnsi="Times New Roman"/>
          <w:sz w:val="24"/>
          <w:szCs w:val="24"/>
        </w:rPr>
        <w:t xml:space="preserve"> Bkarzla, Hosniyeh and Deir Dalloum cooperatives </w:t>
      </w:r>
      <w:r w:rsidR="00EF5E71">
        <w:rPr>
          <w:rFonts w:ascii="Times New Roman" w:hAnsi="Times New Roman"/>
          <w:sz w:val="24"/>
          <w:szCs w:val="24"/>
        </w:rPr>
        <w:t xml:space="preserve">were selected </w:t>
      </w:r>
      <w:r w:rsidRPr="00275925">
        <w:rPr>
          <w:rFonts w:ascii="Times New Roman" w:hAnsi="Times New Roman"/>
          <w:sz w:val="24"/>
          <w:szCs w:val="24"/>
        </w:rPr>
        <w:t xml:space="preserve">as primary beneficiaries of the olive waste composting initiative. </w:t>
      </w:r>
    </w:p>
    <w:p w:rsidR="00DB1357" w:rsidRDefault="00DB1357" w:rsidP="00DB1357">
      <w:pPr>
        <w:pStyle w:val="BodyText2"/>
        <w:rPr>
          <w:rFonts w:ascii="Times New Roman" w:hAnsi="Times New Roman" w:cs="Times New Roman"/>
          <w:sz w:val="24"/>
          <w:szCs w:val="24"/>
        </w:rPr>
      </w:pPr>
      <w:r w:rsidRPr="00DB1357">
        <w:rPr>
          <w:rFonts w:ascii="Times New Roman" w:hAnsi="Times New Roman" w:cs="Times New Roman"/>
          <w:sz w:val="24"/>
          <w:szCs w:val="24"/>
        </w:rPr>
        <w:t>The selection was based on the below criteria:</w:t>
      </w:r>
    </w:p>
    <w:p w:rsidR="00107D3C" w:rsidRPr="00DB1357" w:rsidRDefault="00107D3C" w:rsidP="00DB1357">
      <w:pPr>
        <w:pStyle w:val="BodyText2"/>
        <w:rPr>
          <w:rFonts w:ascii="Times New Roman" w:hAnsi="Times New Roman" w:cs="Times New Roman"/>
          <w:sz w:val="24"/>
          <w:szCs w:val="24"/>
        </w:rPr>
      </w:pPr>
    </w:p>
    <w:p w:rsidR="00DB1357" w:rsidRPr="00DB1357" w:rsidRDefault="00DB1357" w:rsidP="00854226">
      <w:pPr>
        <w:pStyle w:val="ListParagraph"/>
        <w:numPr>
          <w:ilvl w:val="1"/>
          <w:numId w:val="14"/>
        </w:numPr>
        <w:contextualSpacing w:val="0"/>
        <w:rPr>
          <w:lang w:val="en-GB"/>
        </w:rPr>
      </w:pPr>
      <w:r w:rsidRPr="00DB1357">
        <w:rPr>
          <w:lang w:val="en-GB"/>
        </w:rPr>
        <w:t>The cooperative is active;</w:t>
      </w:r>
    </w:p>
    <w:p w:rsidR="00DB1357" w:rsidRPr="00DB1357" w:rsidRDefault="00DB1357" w:rsidP="00854226">
      <w:pPr>
        <w:pStyle w:val="ListParagraph"/>
        <w:numPr>
          <w:ilvl w:val="1"/>
          <w:numId w:val="14"/>
        </w:numPr>
        <w:contextualSpacing w:val="0"/>
        <w:rPr>
          <w:lang w:val="en-GB"/>
        </w:rPr>
      </w:pPr>
      <w:r w:rsidRPr="00DB1357">
        <w:rPr>
          <w:lang w:val="en-GB"/>
        </w:rPr>
        <w:t>The cooperative already provides</w:t>
      </w:r>
      <w:r w:rsidR="00F44BE7">
        <w:rPr>
          <w:lang w:val="en-GB"/>
        </w:rPr>
        <w:t xml:space="preserve"> services</w:t>
      </w:r>
      <w:r w:rsidRPr="00DB1357">
        <w:rPr>
          <w:lang w:val="en-GB"/>
        </w:rPr>
        <w:t xml:space="preserve"> to </w:t>
      </w:r>
      <w:r w:rsidR="00F44BE7">
        <w:rPr>
          <w:lang w:val="en-GB"/>
        </w:rPr>
        <w:t>its</w:t>
      </w:r>
      <w:r w:rsidRPr="00DB1357">
        <w:rPr>
          <w:lang w:val="en-GB"/>
        </w:rPr>
        <w:t xml:space="preserve"> members; </w:t>
      </w:r>
    </w:p>
    <w:p w:rsidR="00DB1357" w:rsidRPr="00DB1357" w:rsidRDefault="00DB1357" w:rsidP="00854226">
      <w:pPr>
        <w:pStyle w:val="ListParagraph"/>
        <w:numPr>
          <w:ilvl w:val="1"/>
          <w:numId w:val="14"/>
        </w:numPr>
        <w:contextualSpacing w:val="0"/>
        <w:rPr>
          <w:lang w:val="en-GB"/>
        </w:rPr>
      </w:pPr>
      <w:r w:rsidRPr="00DB1357">
        <w:rPr>
          <w:lang w:val="en-GB"/>
        </w:rPr>
        <w:t xml:space="preserve">The cooperative has the potential of increasing the membership; </w:t>
      </w:r>
    </w:p>
    <w:p w:rsidR="00F44BE7" w:rsidRDefault="00DB1357" w:rsidP="00854226">
      <w:pPr>
        <w:pStyle w:val="ListParagraph"/>
        <w:numPr>
          <w:ilvl w:val="1"/>
          <w:numId w:val="14"/>
        </w:numPr>
        <w:contextualSpacing w:val="0"/>
        <w:rPr>
          <w:lang w:val="en-GB"/>
        </w:rPr>
      </w:pPr>
      <w:r w:rsidRPr="00DB1357">
        <w:rPr>
          <w:lang w:val="en-GB"/>
        </w:rPr>
        <w:lastRenderedPageBreak/>
        <w:t xml:space="preserve">The cooperative’s board </w:t>
      </w:r>
      <w:r w:rsidR="00F44BE7">
        <w:rPr>
          <w:lang w:val="en-GB"/>
        </w:rPr>
        <w:t>needs</w:t>
      </w:r>
      <w:r w:rsidR="00F44BE7" w:rsidRPr="00D8339C">
        <w:rPr>
          <w:lang w:val="en-GB"/>
        </w:rPr>
        <w:t xml:space="preserve"> minimal training on organizational/managerial skills;</w:t>
      </w:r>
    </w:p>
    <w:p w:rsidR="00DB1357" w:rsidRPr="00DB1357" w:rsidRDefault="00DB1357" w:rsidP="00854226">
      <w:pPr>
        <w:pStyle w:val="ListParagraph"/>
        <w:numPr>
          <w:ilvl w:val="1"/>
          <w:numId w:val="14"/>
        </w:numPr>
        <w:contextualSpacing w:val="0"/>
        <w:rPr>
          <w:lang w:val="en-GB"/>
        </w:rPr>
      </w:pPr>
      <w:r w:rsidRPr="00DB1357">
        <w:rPr>
          <w:lang w:val="en-GB"/>
        </w:rPr>
        <w:t>The cooperative works with olive farmers;</w:t>
      </w:r>
    </w:p>
    <w:p w:rsidR="00F44BE7" w:rsidRPr="00DB1357" w:rsidRDefault="00F44BE7" w:rsidP="00854226">
      <w:pPr>
        <w:pStyle w:val="ListParagraph"/>
        <w:numPr>
          <w:ilvl w:val="1"/>
          <w:numId w:val="14"/>
        </w:numPr>
        <w:contextualSpacing w:val="0"/>
        <w:rPr>
          <w:lang w:val="en-GB"/>
        </w:rPr>
      </w:pPr>
      <w:r>
        <w:rPr>
          <w:lang w:val="en-GB"/>
        </w:rPr>
        <w:t xml:space="preserve">The </w:t>
      </w:r>
      <w:r w:rsidRPr="00DB1357">
        <w:rPr>
          <w:lang w:val="en-GB"/>
        </w:rPr>
        <w:t xml:space="preserve">members </w:t>
      </w:r>
      <w:r>
        <w:rPr>
          <w:lang w:val="en-GB"/>
        </w:rPr>
        <w:t xml:space="preserve">of the cooperative </w:t>
      </w:r>
      <w:r w:rsidRPr="00DB1357">
        <w:rPr>
          <w:lang w:val="en-GB"/>
        </w:rPr>
        <w:t>are willing</w:t>
      </w:r>
      <w:r>
        <w:rPr>
          <w:lang w:val="en-GB"/>
        </w:rPr>
        <w:t xml:space="preserve"> to use compost in their fields;</w:t>
      </w:r>
    </w:p>
    <w:p w:rsidR="00DB1357" w:rsidRPr="00DB1357" w:rsidRDefault="00F44BE7" w:rsidP="00854226">
      <w:pPr>
        <w:pStyle w:val="ListParagraph"/>
        <w:numPr>
          <w:ilvl w:val="1"/>
          <w:numId w:val="14"/>
        </w:numPr>
        <w:contextualSpacing w:val="0"/>
        <w:rPr>
          <w:lang w:val="en-GB"/>
        </w:rPr>
      </w:pPr>
      <w:r>
        <w:rPr>
          <w:lang w:val="en-GB"/>
        </w:rPr>
        <w:t>The beneficiaries work</w:t>
      </w:r>
      <w:r w:rsidR="00DB1357" w:rsidRPr="00DB1357">
        <w:rPr>
          <w:lang w:val="en-GB"/>
        </w:rPr>
        <w:t xml:space="preserve"> with</w:t>
      </w:r>
      <w:r>
        <w:rPr>
          <w:lang w:val="en-GB"/>
        </w:rPr>
        <w:t>in the same cluster of villages.</w:t>
      </w:r>
    </w:p>
    <w:p w:rsidR="00DB1357" w:rsidRPr="00D8339C" w:rsidRDefault="00DB1357" w:rsidP="00DB1357">
      <w:pPr>
        <w:jc w:val="both"/>
        <w:rPr>
          <w:color w:val="FF0000"/>
          <w:lang w:val="en-GB"/>
        </w:rPr>
      </w:pPr>
    </w:p>
    <w:p w:rsidR="002E3FE3" w:rsidRPr="002E3FE3" w:rsidRDefault="002E3FE3" w:rsidP="002E3FE3">
      <w:pPr>
        <w:jc w:val="both"/>
      </w:pPr>
      <w:r w:rsidRPr="002E3FE3">
        <w:t>A comprehensive Environmental Impact Assessment was then undertaken to design and implement the OSWCF. A workshop was also organized for the three cooperatives in November 2010 to discuss the production and use of olive compost</w:t>
      </w:r>
      <w:r w:rsidR="00C823E9">
        <w:t xml:space="preserve"> by farmers.</w:t>
      </w:r>
    </w:p>
    <w:p w:rsidR="002E3FE3" w:rsidRDefault="002E3FE3" w:rsidP="002E3FE3">
      <w:pPr>
        <w:jc w:val="both"/>
        <w:rPr>
          <w:color w:val="FF0000"/>
        </w:rPr>
      </w:pPr>
    </w:p>
    <w:p w:rsidR="00275925" w:rsidRPr="00275925" w:rsidRDefault="004E680C" w:rsidP="004E680C">
      <w:pPr>
        <w:pStyle w:val="UN-10Bodycopy"/>
        <w:spacing w:line="240" w:lineRule="auto"/>
        <w:rPr>
          <w:rFonts w:ascii="Times New Roman" w:hAnsi="Times New Roman"/>
          <w:sz w:val="24"/>
          <w:szCs w:val="24"/>
        </w:rPr>
      </w:pPr>
      <w:r>
        <w:rPr>
          <w:rFonts w:ascii="Times New Roman" w:hAnsi="Times New Roman"/>
          <w:sz w:val="24"/>
          <w:szCs w:val="24"/>
        </w:rPr>
        <w:t xml:space="preserve">In 2011, the beneficiaries agreed that the </w:t>
      </w:r>
      <w:r w:rsidR="00EF5E71">
        <w:rPr>
          <w:rFonts w:ascii="Times New Roman" w:hAnsi="Times New Roman"/>
          <w:sz w:val="24"/>
          <w:szCs w:val="24"/>
        </w:rPr>
        <w:t xml:space="preserve">OSWCF </w:t>
      </w:r>
      <w:r>
        <w:rPr>
          <w:rFonts w:ascii="Times New Roman" w:hAnsi="Times New Roman"/>
          <w:sz w:val="24"/>
          <w:szCs w:val="24"/>
        </w:rPr>
        <w:t xml:space="preserve">should </w:t>
      </w:r>
      <w:r w:rsidR="00EF5E71">
        <w:rPr>
          <w:rFonts w:ascii="Times New Roman" w:hAnsi="Times New Roman"/>
          <w:sz w:val="24"/>
          <w:szCs w:val="24"/>
        </w:rPr>
        <w:t>be constructed in Bkarzla</w:t>
      </w:r>
      <w:r>
        <w:rPr>
          <w:rFonts w:ascii="Times New Roman" w:hAnsi="Times New Roman"/>
          <w:sz w:val="24"/>
          <w:szCs w:val="24"/>
        </w:rPr>
        <w:t xml:space="preserve"> and the works started shortly afterwards</w:t>
      </w:r>
      <w:r w:rsidR="00C823E9">
        <w:rPr>
          <w:rFonts w:ascii="Times New Roman" w:hAnsi="Times New Roman"/>
          <w:sz w:val="24"/>
          <w:szCs w:val="24"/>
        </w:rPr>
        <w:t xml:space="preserve">. </w:t>
      </w:r>
      <w:r>
        <w:rPr>
          <w:rFonts w:ascii="Times New Roman" w:hAnsi="Times New Roman"/>
          <w:sz w:val="24"/>
          <w:szCs w:val="24"/>
        </w:rPr>
        <w:t xml:space="preserve">However, they </w:t>
      </w:r>
      <w:r w:rsidR="00C823E9">
        <w:rPr>
          <w:rFonts w:ascii="Times New Roman" w:hAnsi="Times New Roman"/>
          <w:sz w:val="24"/>
          <w:szCs w:val="24"/>
        </w:rPr>
        <w:t>were delayed due to several factors including the security issues in North Lebanon</w:t>
      </w:r>
      <w:r>
        <w:rPr>
          <w:rFonts w:ascii="Times New Roman" w:hAnsi="Times New Roman"/>
          <w:sz w:val="24"/>
          <w:szCs w:val="24"/>
        </w:rPr>
        <w:t>. In addition, d</w:t>
      </w:r>
      <w:r w:rsidR="00275925" w:rsidRPr="00275925">
        <w:rPr>
          <w:rFonts w:ascii="Times New Roman" w:hAnsi="Times New Roman"/>
          <w:sz w:val="24"/>
          <w:szCs w:val="24"/>
        </w:rPr>
        <w:t xml:space="preserve">uring the execution of </w:t>
      </w:r>
      <w:r w:rsidRPr="00275925">
        <w:rPr>
          <w:rFonts w:ascii="Times New Roman" w:hAnsi="Times New Roman"/>
          <w:sz w:val="24"/>
          <w:szCs w:val="24"/>
        </w:rPr>
        <w:t>works</w:t>
      </w:r>
      <w:r>
        <w:rPr>
          <w:rFonts w:ascii="Times New Roman" w:hAnsi="Times New Roman"/>
          <w:sz w:val="24"/>
          <w:szCs w:val="24"/>
        </w:rPr>
        <w:t xml:space="preserve"> in 2012,</w:t>
      </w:r>
      <w:r w:rsidR="00275925" w:rsidRPr="00275925">
        <w:rPr>
          <w:rFonts w:ascii="Times New Roman" w:hAnsi="Times New Roman"/>
          <w:sz w:val="24"/>
          <w:szCs w:val="24"/>
        </w:rPr>
        <w:t xml:space="preserve"> the risk of erosion was </w:t>
      </w:r>
      <w:r w:rsidR="00C823E9">
        <w:rPr>
          <w:rFonts w:ascii="Times New Roman" w:hAnsi="Times New Roman"/>
          <w:sz w:val="24"/>
          <w:szCs w:val="24"/>
        </w:rPr>
        <w:t xml:space="preserve">also </w:t>
      </w:r>
      <w:r w:rsidR="00275925" w:rsidRPr="00275925">
        <w:rPr>
          <w:rFonts w:ascii="Times New Roman" w:hAnsi="Times New Roman"/>
          <w:sz w:val="24"/>
          <w:szCs w:val="24"/>
        </w:rPr>
        <w:t xml:space="preserve">identified as a threat to the facility. </w:t>
      </w:r>
      <w:r w:rsidR="00C823E9">
        <w:rPr>
          <w:rFonts w:ascii="Times New Roman" w:hAnsi="Times New Roman"/>
          <w:sz w:val="24"/>
          <w:szCs w:val="24"/>
        </w:rPr>
        <w:t>T</w:t>
      </w:r>
      <w:r w:rsidR="00275925" w:rsidRPr="00275925">
        <w:rPr>
          <w:rFonts w:ascii="Times New Roman" w:hAnsi="Times New Roman"/>
          <w:sz w:val="24"/>
          <w:szCs w:val="24"/>
          <w:lang w:val="en-GB"/>
        </w:rPr>
        <w:t xml:space="preserve">he contract of the construction company was amended </w:t>
      </w:r>
      <w:r w:rsidR="00C823E9">
        <w:rPr>
          <w:rFonts w:ascii="Times New Roman" w:hAnsi="Times New Roman"/>
          <w:sz w:val="24"/>
          <w:szCs w:val="24"/>
          <w:lang w:val="en-GB"/>
        </w:rPr>
        <w:t xml:space="preserve">accordingly </w:t>
      </w:r>
      <w:r w:rsidR="00275925" w:rsidRPr="00275925">
        <w:rPr>
          <w:rFonts w:ascii="Times New Roman" w:hAnsi="Times New Roman"/>
          <w:sz w:val="24"/>
          <w:szCs w:val="24"/>
          <w:lang w:val="en-GB"/>
        </w:rPr>
        <w:t xml:space="preserve">to include the execution of cyclopean concrete that would retain and consolidate the soil and the implementation of a storm water drainage canal that would retain all extra liquids and store them in a tank. </w:t>
      </w:r>
      <w:r w:rsidR="00C823E9">
        <w:rPr>
          <w:rFonts w:ascii="Times New Roman" w:hAnsi="Times New Roman"/>
          <w:sz w:val="24"/>
          <w:szCs w:val="24"/>
          <w:lang w:val="en-GB"/>
        </w:rPr>
        <w:t>All</w:t>
      </w:r>
      <w:r w:rsidR="00275925" w:rsidRPr="00275925">
        <w:rPr>
          <w:rFonts w:ascii="Times New Roman" w:hAnsi="Times New Roman"/>
          <w:sz w:val="24"/>
          <w:szCs w:val="24"/>
          <w:lang w:val="en-GB"/>
        </w:rPr>
        <w:t xml:space="preserve"> construction works were completed in December 2012.  </w:t>
      </w:r>
    </w:p>
    <w:p w:rsidR="00EF5E71" w:rsidRPr="00275925" w:rsidRDefault="00275925" w:rsidP="000F4817">
      <w:pPr>
        <w:jc w:val="both"/>
        <w:rPr>
          <w:lang w:val="en-GB"/>
        </w:rPr>
      </w:pPr>
      <w:r w:rsidRPr="00275925">
        <w:t xml:space="preserve">A legal consultancy firm was then recruited in </w:t>
      </w:r>
      <w:r w:rsidR="00EF5E71">
        <w:t xml:space="preserve">2013 in </w:t>
      </w:r>
      <w:r w:rsidRPr="00275925">
        <w:t xml:space="preserve">order to ensure a proper </w:t>
      </w:r>
      <w:r w:rsidRPr="00275925">
        <w:rPr>
          <w:lang w:val="en-GB"/>
        </w:rPr>
        <w:t xml:space="preserve">handover </w:t>
      </w:r>
      <w:r w:rsidR="00EF5E71">
        <w:rPr>
          <w:lang w:val="en-GB"/>
        </w:rPr>
        <w:t xml:space="preserve">and guarantee the rights of the </w:t>
      </w:r>
      <w:r w:rsidRPr="00275925">
        <w:rPr>
          <w:lang w:val="en-GB"/>
        </w:rPr>
        <w:t xml:space="preserve">beneficiaries within a legally sound framework. </w:t>
      </w:r>
      <w:r w:rsidR="00EF5E71" w:rsidRPr="00275925">
        <w:rPr>
          <w:lang w:val="en-GB"/>
        </w:rPr>
        <w:t xml:space="preserve">The </w:t>
      </w:r>
      <w:r w:rsidR="00EF5E71">
        <w:rPr>
          <w:lang w:val="en-GB"/>
        </w:rPr>
        <w:t xml:space="preserve">possible </w:t>
      </w:r>
      <w:r w:rsidR="00EF5E71" w:rsidRPr="00275925">
        <w:rPr>
          <w:lang w:val="en-GB"/>
        </w:rPr>
        <w:t>solutions</w:t>
      </w:r>
      <w:r w:rsidR="00EF5E71" w:rsidRPr="00EF5E71">
        <w:rPr>
          <w:lang w:val="en-GB"/>
        </w:rPr>
        <w:t xml:space="preserve"> </w:t>
      </w:r>
      <w:r w:rsidR="00EF5E71">
        <w:rPr>
          <w:lang w:val="en-GB"/>
        </w:rPr>
        <w:t xml:space="preserve">for the </w:t>
      </w:r>
      <w:r w:rsidR="00EF5E71" w:rsidRPr="00275925">
        <w:rPr>
          <w:lang w:val="en-GB"/>
        </w:rPr>
        <w:t>creation of a legal entity with a permit to produce compost while guaranteeing the rights of all beneficiaries</w:t>
      </w:r>
      <w:r w:rsidR="00EF5E71">
        <w:rPr>
          <w:lang w:val="en-GB"/>
        </w:rPr>
        <w:t xml:space="preserve"> were </w:t>
      </w:r>
      <w:r w:rsidR="00EF5E71" w:rsidRPr="00275925">
        <w:rPr>
          <w:lang w:val="en-GB"/>
        </w:rPr>
        <w:t>discussed with the beneficiaries and they chose the creation of a union of cooperatives. The consultancy firm provided support in the preparation of the needed documents for each cooperative as well as for the union of cooperatives that will bring together all beneficiaries</w:t>
      </w:r>
      <w:r w:rsidR="000F4817">
        <w:rPr>
          <w:lang w:val="en-GB"/>
        </w:rPr>
        <w:t>. The OSWCF was accordingly handed over to the beneficiaries</w:t>
      </w:r>
      <w:r w:rsidR="00EF5E71" w:rsidRPr="00275925">
        <w:rPr>
          <w:lang w:val="en-GB"/>
        </w:rPr>
        <w:t xml:space="preserve">. </w:t>
      </w:r>
    </w:p>
    <w:p w:rsidR="000F4817" w:rsidRDefault="000F4817" w:rsidP="00275925">
      <w:pPr>
        <w:jc w:val="both"/>
        <w:rPr>
          <w:lang w:val="en-GB"/>
        </w:rPr>
      </w:pPr>
    </w:p>
    <w:p w:rsidR="00275925" w:rsidRPr="002E3FE3" w:rsidRDefault="00275925" w:rsidP="00F2452C">
      <w:pPr>
        <w:jc w:val="both"/>
        <w:rPr>
          <w:lang w:val="en-GB"/>
        </w:rPr>
      </w:pPr>
      <w:r w:rsidRPr="00275925">
        <w:rPr>
          <w:lang w:val="en-GB"/>
        </w:rPr>
        <w:t xml:space="preserve">A consultant was </w:t>
      </w:r>
      <w:r w:rsidR="009F08F5">
        <w:rPr>
          <w:lang w:val="en-GB"/>
        </w:rPr>
        <w:t>also</w:t>
      </w:r>
      <w:r w:rsidRPr="00275925">
        <w:rPr>
          <w:lang w:val="en-GB"/>
        </w:rPr>
        <w:t xml:space="preserve"> recruited </w:t>
      </w:r>
      <w:r w:rsidR="009F08F5">
        <w:rPr>
          <w:lang w:val="en-GB"/>
        </w:rPr>
        <w:t xml:space="preserve">in 2013 </w:t>
      </w:r>
      <w:r w:rsidRPr="00275925">
        <w:rPr>
          <w:lang w:val="en-GB"/>
        </w:rPr>
        <w:t xml:space="preserve">to train the beneficiaries on the management of the unit and on the olive solid waste composting process. The </w:t>
      </w:r>
      <w:r w:rsidR="00890385">
        <w:rPr>
          <w:lang w:val="en-GB"/>
        </w:rPr>
        <w:t xml:space="preserve">aim of the </w:t>
      </w:r>
      <w:r w:rsidRPr="00275925">
        <w:rPr>
          <w:lang w:val="en-GB"/>
        </w:rPr>
        <w:t xml:space="preserve">management training </w:t>
      </w:r>
      <w:r w:rsidR="00890385">
        <w:rPr>
          <w:lang w:val="en-GB"/>
        </w:rPr>
        <w:t>was t</w:t>
      </w:r>
      <w:r w:rsidR="007144CE">
        <w:rPr>
          <w:lang w:val="en-GB"/>
        </w:rPr>
        <w:t xml:space="preserve">o </w:t>
      </w:r>
      <w:r w:rsidRPr="00275925">
        <w:rPr>
          <w:lang w:val="en-GB"/>
        </w:rPr>
        <w:t>help the beneficiaries develop</w:t>
      </w:r>
      <w:r w:rsidR="007144CE">
        <w:rPr>
          <w:lang w:val="en-GB"/>
        </w:rPr>
        <w:t xml:space="preserve"> and implement </w:t>
      </w:r>
      <w:r w:rsidRPr="00275925">
        <w:rPr>
          <w:lang w:val="en-GB"/>
        </w:rPr>
        <w:t>a management and a marketing plan</w:t>
      </w:r>
      <w:r w:rsidR="00890385">
        <w:rPr>
          <w:lang w:val="en-GB"/>
        </w:rPr>
        <w:t xml:space="preserve">. As for the </w:t>
      </w:r>
      <w:r w:rsidRPr="00275925">
        <w:rPr>
          <w:lang w:val="en-GB"/>
        </w:rPr>
        <w:t>technical training</w:t>
      </w:r>
      <w:r w:rsidR="00F2452C">
        <w:rPr>
          <w:lang w:val="en-GB"/>
        </w:rPr>
        <w:t>,</w:t>
      </w:r>
      <w:r w:rsidRPr="00275925">
        <w:rPr>
          <w:lang w:val="en-GB"/>
        </w:rPr>
        <w:t xml:space="preserve"> </w:t>
      </w:r>
      <w:r w:rsidR="00890385">
        <w:rPr>
          <w:lang w:val="en-GB"/>
        </w:rPr>
        <w:t>it</w:t>
      </w:r>
      <w:r w:rsidR="007144CE">
        <w:rPr>
          <w:lang w:val="en-GB"/>
        </w:rPr>
        <w:t xml:space="preserve"> </w:t>
      </w:r>
      <w:r w:rsidRPr="00275925">
        <w:rPr>
          <w:lang w:val="en-GB"/>
        </w:rPr>
        <w:t>consolidate</w:t>
      </w:r>
      <w:r w:rsidR="00890385">
        <w:rPr>
          <w:lang w:val="en-GB"/>
        </w:rPr>
        <w:t>d</w:t>
      </w:r>
      <w:r w:rsidRPr="00275925">
        <w:rPr>
          <w:lang w:val="en-GB"/>
        </w:rPr>
        <w:t xml:space="preserve"> their knowledge and expertise in olive solid waste composting</w:t>
      </w:r>
      <w:r w:rsidR="00890385">
        <w:rPr>
          <w:lang w:val="en-GB"/>
        </w:rPr>
        <w:t xml:space="preserve"> and supported them in producing the first batch of compost. The stock </w:t>
      </w:r>
      <w:r w:rsidRPr="00275925">
        <w:rPr>
          <w:lang w:val="en-GB"/>
        </w:rPr>
        <w:t xml:space="preserve">of olive pomace and cow manure (150 tons of olive pomace and 75 tons </w:t>
      </w:r>
      <w:r w:rsidRPr="002E3FE3">
        <w:rPr>
          <w:lang w:val="en-GB"/>
        </w:rPr>
        <w:t>of cow manure) needed for th</w:t>
      </w:r>
      <w:r w:rsidR="00F2452C">
        <w:rPr>
          <w:lang w:val="en-GB"/>
        </w:rPr>
        <w:t>is</w:t>
      </w:r>
      <w:r w:rsidRPr="002E3FE3">
        <w:rPr>
          <w:lang w:val="en-GB"/>
        </w:rPr>
        <w:t xml:space="preserve"> </w:t>
      </w:r>
      <w:r w:rsidR="00890385" w:rsidRPr="002E3FE3">
        <w:rPr>
          <w:lang w:val="en-GB"/>
        </w:rPr>
        <w:t xml:space="preserve">first </w:t>
      </w:r>
      <w:r w:rsidR="00890385">
        <w:rPr>
          <w:lang w:val="en-GB"/>
        </w:rPr>
        <w:t xml:space="preserve">batch </w:t>
      </w:r>
      <w:r w:rsidRPr="002E3FE3">
        <w:rPr>
          <w:lang w:val="en-GB"/>
        </w:rPr>
        <w:t>were purchased and donated by UNDP.</w:t>
      </w:r>
    </w:p>
    <w:p w:rsidR="002E3FE3" w:rsidRPr="002E3FE3" w:rsidRDefault="002E3FE3" w:rsidP="007144CE">
      <w:pPr>
        <w:jc w:val="both"/>
        <w:rPr>
          <w:lang w:val="en-GB"/>
        </w:rPr>
      </w:pPr>
    </w:p>
    <w:p w:rsidR="002E3FE3" w:rsidRDefault="002E3FE3" w:rsidP="005A27FA">
      <w:pPr>
        <w:jc w:val="both"/>
      </w:pPr>
      <w:r w:rsidRPr="002E3FE3">
        <w:t xml:space="preserve">The olive compost will </w:t>
      </w:r>
      <w:r w:rsidR="00F2452C">
        <w:t xml:space="preserve">cost less than the composts being sold on the market </w:t>
      </w:r>
      <w:r w:rsidR="00F2452C" w:rsidRPr="002E3FE3">
        <w:t>and there is already a high demand for such organic products in the North</w:t>
      </w:r>
      <w:r w:rsidR="00F2452C">
        <w:t xml:space="preserve"> which should allow good returns. Selling the first compost batch should </w:t>
      </w:r>
      <w:r w:rsidRPr="002E3FE3">
        <w:t>be sufficient to cover human resource and maintenance cost at least for the first year</w:t>
      </w:r>
      <w:r w:rsidR="005A27FA">
        <w:t>,</w:t>
      </w:r>
      <w:r w:rsidRPr="002E3FE3">
        <w:t xml:space="preserve"> which will ensure the sustainability of the project. </w:t>
      </w:r>
    </w:p>
    <w:p w:rsidR="00B52649" w:rsidRDefault="00B52649" w:rsidP="005A27FA">
      <w:pPr>
        <w:jc w:val="both"/>
      </w:pPr>
      <w:r>
        <w:t>Photographs of the first piles of compost:</w:t>
      </w:r>
    </w:p>
    <w:p w:rsidR="00630AA7" w:rsidRDefault="00630AA7" w:rsidP="005A27FA">
      <w:pPr>
        <w:jc w:val="both"/>
      </w:pPr>
    </w:p>
    <w:p w:rsidR="00630AA7" w:rsidRDefault="001A2F79" w:rsidP="00630AA7">
      <w:pPr>
        <w:jc w:val="center"/>
      </w:pPr>
      <w:r>
        <w:rPr>
          <w:noProof/>
        </w:rPr>
        <w:drawing>
          <wp:inline distT="0" distB="0" distL="0" distR="0">
            <wp:extent cx="3238500" cy="2419350"/>
            <wp:effectExtent l="19050" t="0" r="0" b="0"/>
            <wp:docPr id="5" name="Picture 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2" cstate="print"/>
                    <a:srcRect/>
                    <a:stretch>
                      <a:fillRect/>
                    </a:stretch>
                  </pic:blipFill>
                  <pic:spPr bwMode="auto">
                    <a:xfrm>
                      <a:off x="0" y="0"/>
                      <a:ext cx="3238500" cy="2419350"/>
                    </a:xfrm>
                    <a:prstGeom prst="rect">
                      <a:avLst/>
                    </a:prstGeom>
                    <a:noFill/>
                    <a:ln w="9525">
                      <a:noFill/>
                      <a:miter lim="800000"/>
                      <a:headEnd/>
                      <a:tailEnd/>
                    </a:ln>
                  </pic:spPr>
                </pic:pic>
              </a:graphicData>
            </a:graphic>
          </wp:inline>
        </w:drawing>
      </w:r>
      <w:r w:rsidR="00630AA7">
        <w:t xml:space="preserve"> </w:t>
      </w:r>
      <w:r>
        <w:rPr>
          <w:noProof/>
        </w:rPr>
        <w:drawing>
          <wp:inline distT="0" distB="0" distL="0" distR="0">
            <wp:extent cx="3248025" cy="2438400"/>
            <wp:effectExtent l="19050" t="0" r="9525" b="0"/>
            <wp:docPr id="6" name="Picture 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1)"/>
                    <pic:cNvPicPr>
                      <a:picLocks noChangeAspect="1" noChangeArrowheads="1"/>
                    </pic:cNvPicPr>
                  </pic:nvPicPr>
                  <pic:blipFill>
                    <a:blip r:embed="rId13"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p w:rsidR="00B52649" w:rsidRDefault="00B52649" w:rsidP="005A27FA">
      <w:pPr>
        <w:jc w:val="both"/>
      </w:pPr>
    </w:p>
    <w:p w:rsidR="00B52649" w:rsidRDefault="00B52649" w:rsidP="00B52649">
      <w:pPr>
        <w:jc w:val="center"/>
      </w:pPr>
    </w:p>
    <w:p w:rsidR="00B52649" w:rsidRDefault="001A2F79" w:rsidP="00B52649">
      <w:pPr>
        <w:jc w:val="center"/>
      </w:pPr>
      <w:r>
        <w:rPr>
          <w:noProof/>
        </w:rPr>
        <w:drawing>
          <wp:inline distT="0" distB="0" distL="0" distR="0">
            <wp:extent cx="4400550" cy="3305175"/>
            <wp:effectExtent l="19050" t="0" r="0" b="0"/>
            <wp:docPr id="7" name="Picture 7"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2)"/>
                    <pic:cNvPicPr>
                      <a:picLocks noChangeAspect="1" noChangeArrowheads="1"/>
                    </pic:cNvPicPr>
                  </pic:nvPicPr>
                  <pic:blipFill>
                    <a:blip r:embed="rId14" cstate="print"/>
                    <a:srcRect/>
                    <a:stretch>
                      <a:fillRect/>
                    </a:stretch>
                  </pic:blipFill>
                  <pic:spPr bwMode="auto">
                    <a:xfrm>
                      <a:off x="0" y="0"/>
                      <a:ext cx="4400550" cy="3305175"/>
                    </a:xfrm>
                    <a:prstGeom prst="rect">
                      <a:avLst/>
                    </a:prstGeom>
                    <a:noFill/>
                    <a:ln w="9525">
                      <a:noFill/>
                      <a:miter lim="800000"/>
                      <a:headEnd/>
                      <a:tailEnd/>
                    </a:ln>
                  </pic:spPr>
                </pic:pic>
              </a:graphicData>
            </a:graphic>
          </wp:inline>
        </w:drawing>
      </w:r>
    </w:p>
    <w:p w:rsidR="00B52649" w:rsidRDefault="00B52649" w:rsidP="00B52649">
      <w:pPr>
        <w:jc w:val="center"/>
      </w:pPr>
    </w:p>
    <w:p w:rsidR="00B52649" w:rsidRDefault="00B52649" w:rsidP="00B52649">
      <w:pPr>
        <w:jc w:val="center"/>
      </w:pPr>
    </w:p>
    <w:p w:rsidR="0014724C" w:rsidRPr="00C87B13" w:rsidRDefault="0014724C" w:rsidP="00854226">
      <w:pPr>
        <w:numPr>
          <w:ilvl w:val="0"/>
          <w:numId w:val="23"/>
        </w:numPr>
        <w:jc w:val="both"/>
        <w:rPr>
          <w:i/>
          <w:iCs/>
        </w:rPr>
      </w:pPr>
      <w:r w:rsidRPr="00C87B13">
        <w:rPr>
          <w:i/>
          <w:iCs/>
        </w:rPr>
        <w:t>Capacity Building for</w:t>
      </w:r>
      <w:r w:rsidR="004A7B5A">
        <w:rPr>
          <w:i/>
          <w:iCs/>
        </w:rPr>
        <w:t xml:space="preserve"> farmers and</w:t>
      </w:r>
      <w:r w:rsidRPr="00C87B13">
        <w:rPr>
          <w:i/>
          <w:iCs/>
        </w:rPr>
        <w:t xml:space="preserve"> MoA extension agents</w:t>
      </w:r>
    </w:p>
    <w:p w:rsidR="006E302D" w:rsidRPr="00EF4784" w:rsidRDefault="005F2B71" w:rsidP="009572AB">
      <w:pPr>
        <w:pStyle w:val="ListParagraph"/>
        <w:ind w:left="0"/>
        <w:contextualSpacing w:val="0"/>
        <w:jc w:val="both"/>
        <w:rPr>
          <w:i/>
          <w:iCs/>
        </w:rPr>
      </w:pPr>
      <w:r w:rsidRPr="00EF4784">
        <w:rPr>
          <w:i/>
          <w:iCs/>
        </w:rPr>
        <w:t xml:space="preserve"> </w:t>
      </w:r>
    </w:p>
    <w:p w:rsidR="002F4893" w:rsidRPr="00EF4784" w:rsidRDefault="002F4893" w:rsidP="00023BDA">
      <w:pPr>
        <w:jc w:val="both"/>
      </w:pPr>
      <w:r w:rsidRPr="00EF4784">
        <w:t xml:space="preserve">Based on consultations with the Ministry of Agriculture and with technical support from FAO, </w:t>
      </w:r>
      <w:r w:rsidR="009572AB" w:rsidRPr="00EF4784">
        <w:t xml:space="preserve">a capacity </w:t>
      </w:r>
      <w:r w:rsidRPr="00EF4784">
        <w:t xml:space="preserve">building program was developed for 16 extension agents of the MoA in North Lebanon and </w:t>
      </w:r>
      <w:r w:rsidR="00DC01D3" w:rsidRPr="00EF4784">
        <w:t xml:space="preserve">more than </w:t>
      </w:r>
      <w:r w:rsidRPr="00EF4784">
        <w:t>200 farmers from the third ring area</w:t>
      </w:r>
      <w:r w:rsidR="00DC01D3" w:rsidRPr="00EF4784">
        <w:t>, including farmers from Karkaf and Halba cooperatives</w:t>
      </w:r>
      <w:r w:rsidRPr="00EF4784">
        <w:t>. The training session</w:t>
      </w:r>
      <w:r w:rsidR="0017228B" w:rsidRPr="00EF4784">
        <w:t>s</w:t>
      </w:r>
      <w:r w:rsidR="00CB6642" w:rsidRPr="00EF4784">
        <w:t xml:space="preserve"> took place between February and </w:t>
      </w:r>
      <w:r w:rsidR="00BC7BFA" w:rsidRPr="00EF4784">
        <w:t>May</w:t>
      </w:r>
      <w:r w:rsidR="009572AB" w:rsidRPr="00EF4784">
        <w:t xml:space="preserve"> 2011. </w:t>
      </w:r>
    </w:p>
    <w:p w:rsidR="009572AB" w:rsidRPr="00EF4784" w:rsidRDefault="009572AB" w:rsidP="009572AB">
      <w:pPr>
        <w:pStyle w:val="BodyText2"/>
        <w:rPr>
          <w:rFonts w:ascii="Times New Roman" w:hAnsi="Times New Roman" w:cs="Times New Roman"/>
          <w:sz w:val="24"/>
          <w:szCs w:val="24"/>
          <w:lang w:bidi="ar-LB"/>
        </w:rPr>
      </w:pPr>
    </w:p>
    <w:p w:rsidR="00DC01D3" w:rsidRPr="00EF4784" w:rsidRDefault="00610A2D" w:rsidP="00F323FB">
      <w:pPr>
        <w:jc w:val="both"/>
      </w:pPr>
      <w:r w:rsidRPr="00EF4784">
        <w:rPr>
          <w:lang w:bidi="ar-LB"/>
        </w:rPr>
        <w:t>The e</w:t>
      </w:r>
      <w:r w:rsidR="009572AB" w:rsidRPr="00EF4784">
        <w:rPr>
          <w:lang w:bidi="ar-LB"/>
        </w:rPr>
        <w:t xml:space="preserve">xtension service agents from the Ministry of Agriculture participated in a Training of Trainers </w:t>
      </w:r>
      <w:r w:rsidRPr="00EF4784">
        <w:rPr>
          <w:lang w:bidi="ar-LB"/>
        </w:rPr>
        <w:t xml:space="preserve">program </w:t>
      </w:r>
      <w:r w:rsidR="009572AB" w:rsidRPr="00EF4784">
        <w:rPr>
          <w:lang w:bidi="ar-LB"/>
        </w:rPr>
        <w:t xml:space="preserve">on </w:t>
      </w:r>
      <w:r w:rsidRPr="00EF4784">
        <w:rPr>
          <w:lang w:bidi="ar-LB"/>
        </w:rPr>
        <w:t>“</w:t>
      </w:r>
      <w:r w:rsidRPr="00EF4784">
        <w:t xml:space="preserve">integrated pest management” </w:t>
      </w:r>
      <w:r w:rsidR="009572AB" w:rsidRPr="00EF4784">
        <w:t xml:space="preserve">and </w:t>
      </w:r>
      <w:r w:rsidRPr="00EF4784">
        <w:t>“</w:t>
      </w:r>
      <w:r w:rsidR="009572AB" w:rsidRPr="00EF4784">
        <w:t>sustainable soil management</w:t>
      </w:r>
      <w:r w:rsidRPr="00EF4784">
        <w:t>”</w:t>
      </w:r>
      <w:r w:rsidR="00CB6642" w:rsidRPr="00EF4784">
        <w:t xml:space="preserve"> as well as on communication and outreach skills. </w:t>
      </w:r>
      <w:r w:rsidR="00DC01D3" w:rsidRPr="00EF4784">
        <w:t xml:space="preserve">The aim of the training sessions was to ensure the sustainability of the extension services provided to the farmers in the area. More than </w:t>
      </w:r>
      <w:r w:rsidR="00CB6642" w:rsidRPr="00EF4784">
        <w:rPr>
          <w:lang w:bidi="ar-LB"/>
        </w:rPr>
        <w:t xml:space="preserve">100 </w:t>
      </w:r>
      <w:r w:rsidR="00DC01D3" w:rsidRPr="00EF4784">
        <w:rPr>
          <w:lang w:bidi="ar-LB"/>
        </w:rPr>
        <w:t>greenhouse farmers</w:t>
      </w:r>
      <w:r w:rsidR="00DC01D3" w:rsidRPr="00EF4784">
        <w:t xml:space="preserve"> also </w:t>
      </w:r>
      <w:r w:rsidR="00F323FB">
        <w:t>received a</w:t>
      </w:r>
      <w:r w:rsidR="00DC01D3" w:rsidRPr="00EF4784">
        <w:t xml:space="preserve"> training on agricultural practices. </w:t>
      </w:r>
    </w:p>
    <w:p w:rsidR="00DC01D3" w:rsidRPr="00EF4784" w:rsidRDefault="00DC01D3" w:rsidP="00DC01D3">
      <w:pPr>
        <w:jc w:val="both"/>
      </w:pPr>
    </w:p>
    <w:p w:rsidR="009572AB" w:rsidRPr="00F323FB" w:rsidRDefault="00DC01D3" w:rsidP="00F323FB">
      <w:pPr>
        <w:jc w:val="both"/>
        <w:rPr>
          <w:lang w:val="en-GB"/>
        </w:rPr>
      </w:pPr>
      <w:r w:rsidRPr="00EF4784">
        <w:t>As for the cooperatives of Halba and Karkaf, they both rece</w:t>
      </w:r>
      <w:r w:rsidR="00F323FB">
        <w:t xml:space="preserve">ived technical training </w:t>
      </w:r>
      <w:r w:rsidR="00F323FB" w:rsidRPr="00EF4784">
        <w:rPr>
          <w:lang w:val="en-GB"/>
        </w:rPr>
        <w:t>on management and accounting skills</w:t>
      </w:r>
      <w:r w:rsidR="00F323FB">
        <w:rPr>
          <w:lang w:val="en-GB"/>
        </w:rPr>
        <w:t xml:space="preserve"> as well as training </w:t>
      </w:r>
      <w:r w:rsidR="00F323FB" w:rsidRPr="00EF4784">
        <w:rPr>
          <w:lang w:bidi="ar-LB"/>
        </w:rPr>
        <w:t>on the management and organization of harvesters use</w:t>
      </w:r>
      <w:r w:rsidR="00F323FB">
        <w:rPr>
          <w:lang w:bidi="ar-LB"/>
        </w:rPr>
        <w:t xml:space="preserve"> and </w:t>
      </w:r>
      <w:r w:rsidRPr="00EF4784">
        <w:t>o</w:t>
      </w:r>
      <w:r w:rsidR="009572AB" w:rsidRPr="00EF4784">
        <w:rPr>
          <w:lang w:bidi="ar-LB"/>
        </w:rPr>
        <w:t xml:space="preserve">n cooperative </w:t>
      </w:r>
      <w:r w:rsidR="00D07415" w:rsidRPr="00EF4784">
        <w:rPr>
          <w:lang w:bidi="ar-LB"/>
        </w:rPr>
        <w:t>work</w:t>
      </w:r>
      <w:r w:rsidRPr="00EF4784">
        <w:rPr>
          <w:lang w:bidi="ar-LB"/>
        </w:rPr>
        <w:t xml:space="preserve">, </w:t>
      </w:r>
      <w:r w:rsidR="00D07415" w:rsidRPr="00EF4784">
        <w:rPr>
          <w:lang w:bidi="ar-LB"/>
        </w:rPr>
        <w:t>laws, rights and duties.</w:t>
      </w:r>
      <w:r w:rsidR="00D07415" w:rsidRPr="00EF4784">
        <w:rPr>
          <w:lang w:val="en-GB"/>
        </w:rPr>
        <w:t xml:space="preserve"> The </w:t>
      </w:r>
      <w:r w:rsidR="00F323FB">
        <w:rPr>
          <w:lang w:val="en-GB"/>
        </w:rPr>
        <w:t>third</w:t>
      </w:r>
      <w:r w:rsidR="00D07415" w:rsidRPr="00EF4784">
        <w:rPr>
          <w:lang w:val="en-GB"/>
        </w:rPr>
        <w:t xml:space="preserve"> tr</w:t>
      </w:r>
      <w:r w:rsidR="00F323FB">
        <w:rPr>
          <w:lang w:val="en-GB"/>
        </w:rPr>
        <w:t>aining included a section on</w:t>
      </w:r>
      <w:r w:rsidR="00D07415" w:rsidRPr="00EF4784">
        <w:rPr>
          <w:lang w:val="en-GB"/>
        </w:rPr>
        <w:t xml:space="preserve"> the duties and responsibilities of each cooperative </w:t>
      </w:r>
      <w:r w:rsidR="00F323FB" w:rsidRPr="00EF4784">
        <w:rPr>
          <w:lang w:val="en-GB"/>
        </w:rPr>
        <w:t xml:space="preserve">committee </w:t>
      </w:r>
      <w:r w:rsidR="00D07415" w:rsidRPr="00EF4784">
        <w:rPr>
          <w:lang w:val="en-GB"/>
        </w:rPr>
        <w:t>and the rights of the members</w:t>
      </w:r>
      <w:r w:rsidR="00F323FB">
        <w:rPr>
          <w:lang w:val="en-GB"/>
        </w:rPr>
        <w:t xml:space="preserve"> of each cooperative</w:t>
      </w:r>
      <w:r w:rsidR="00D07415" w:rsidRPr="00EF4784">
        <w:rPr>
          <w:lang w:val="en-GB"/>
        </w:rPr>
        <w:t xml:space="preserve">. </w:t>
      </w:r>
    </w:p>
    <w:p w:rsidR="009572AB" w:rsidRPr="00D8339C" w:rsidRDefault="009572AB" w:rsidP="009572AB">
      <w:pPr>
        <w:pStyle w:val="BodyText2"/>
        <w:ind w:left="360"/>
        <w:rPr>
          <w:rFonts w:ascii="Times New Roman" w:hAnsi="Times New Roman" w:cs="Times New Roman"/>
          <w:color w:val="FF0000"/>
          <w:sz w:val="24"/>
          <w:szCs w:val="24"/>
          <w:lang w:bidi="ar-LB"/>
        </w:rPr>
      </w:pPr>
    </w:p>
    <w:p w:rsidR="009572AB" w:rsidRPr="00C438B3" w:rsidRDefault="00F01F32" w:rsidP="00854226">
      <w:pPr>
        <w:numPr>
          <w:ilvl w:val="0"/>
          <w:numId w:val="19"/>
        </w:numPr>
        <w:jc w:val="both"/>
        <w:rPr>
          <w:i/>
          <w:iCs/>
        </w:rPr>
      </w:pPr>
      <w:r w:rsidRPr="00C438B3">
        <w:rPr>
          <w:i/>
          <w:iCs/>
        </w:rPr>
        <w:t xml:space="preserve">Improvement of the livelihoods </w:t>
      </w:r>
      <w:r w:rsidR="009572AB" w:rsidRPr="00C438B3">
        <w:rPr>
          <w:i/>
          <w:iCs/>
        </w:rPr>
        <w:t xml:space="preserve">of fishermen and women working in the fishing nets rehabilitation </w:t>
      </w:r>
    </w:p>
    <w:p w:rsidR="009572AB" w:rsidRPr="00C438B3" w:rsidRDefault="009572AB" w:rsidP="009572AB">
      <w:pPr>
        <w:jc w:val="both"/>
      </w:pPr>
    </w:p>
    <w:p w:rsidR="009572AB" w:rsidRPr="004B2CC3" w:rsidRDefault="009572AB" w:rsidP="00854226">
      <w:pPr>
        <w:numPr>
          <w:ilvl w:val="0"/>
          <w:numId w:val="24"/>
        </w:numPr>
        <w:jc w:val="both"/>
        <w:rPr>
          <w:i/>
          <w:iCs/>
        </w:rPr>
      </w:pPr>
      <w:r w:rsidRPr="004B2CC3">
        <w:rPr>
          <w:i/>
          <w:iCs/>
        </w:rPr>
        <w:t>Bebnine Fishermen</w:t>
      </w:r>
    </w:p>
    <w:p w:rsidR="009572AB" w:rsidRPr="004B2CC3" w:rsidRDefault="009572AB" w:rsidP="009572AB">
      <w:pPr>
        <w:jc w:val="both"/>
      </w:pPr>
    </w:p>
    <w:p w:rsidR="009572AB" w:rsidRPr="004B2CC3" w:rsidRDefault="009572AB" w:rsidP="004B2CC3">
      <w:pPr>
        <w:pStyle w:val="Default"/>
        <w:jc w:val="both"/>
        <w:rPr>
          <w:rFonts w:eastAsia="Calibri"/>
          <w:color w:val="auto"/>
        </w:rPr>
      </w:pPr>
      <w:r w:rsidRPr="004B2CC3">
        <w:rPr>
          <w:rFonts w:eastAsia="Calibri"/>
          <w:color w:val="auto"/>
        </w:rPr>
        <w:t>Within the framework of the capacity building programme initiated in 2010 by UNDP, 135 fi</w:t>
      </w:r>
      <w:r w:rsidR="00316767" w:rsidRPr="004B2CC3">
        <w:rPr>
          <w:rFonts w:eastAsia="Calibri"/>
          <w:color w:val="auto"/>
        </w:rPr>
        <w:t xml:space="preserve">shermen </w:t>
      </w:r>
      <w:r w:rsidR="00C438B3" w:rsidRPr="004B2CC3">
        <w:rPr>
          <w:rFonts w:eastAsia="Calibri"/>
          <w:color w:val="auto"/>
        </w:rPr>
        <w:t xml:space="preserve">and </w:t>
      </w:r>
      <w:r w:rsidR="00316767" w:rsidRPr="004B2CC3">
        <w:rPr>
          <w:rFonts w:eastAsia="Calibri"/>
          <w:color w:val="auto"/>
        </w:rPr>
        <w:t xml:space="preserve">members of the Bebnine </w:t>
      </w:r>
      <w:r w:rsidRPr="004B2CC3">
        <w:rPr>
          <w:rFonts w:eastAsia="Calibri"/>
          <w:color w:val="auto"/>
        </w:rPr>
        <w:t xml:space="preserve">cooperative were trained on </w:t>
      </w:r>
      <w:r w:rsidR="00C438B3" w:rsidRPr="004B2CC3">
        <w:rPr>
          <w:rFonts w:eastAsia="Calibri"/>
          <w:color w:val="auto"/>
        </w:rPr>
        <w:t>the</w:t>
      </w:r>
      <w:r w:rsidRPr="004B2CC3">
        <w:rPr>
          <w:rFonts w:eastAsia="Calibri"/>
          <w:color w:val="auto"/>
        </w:rPr>
        <w:t xml:space="preserve"> </w:t>
      </w:r>
      <w:r w:rsidR="00C438B3" w:rsidRPr="004B2CC3">
        <w:rPr>
          <w:rFonts w:eastAsia="Calibri"/>
          <w:color w:val="auto"/>
        </w:rPr>
        <w:t xml:space="preserve">objectives, </w:t>
      </w:r>
      <w:r w:rsidRPr="004B2CC3">
        <w:rPr>
          <w:rFonts w:eastAsia="Calibri"/>
          <w:color w:val="auto"/>
        </w:rPr>
        <w:t>principles and values of cooperative enterprises</w:t>
      </w:r>
      <w:r w:rsidR="00C438B3" w:rsidRPr="004B2CC3">
        <w:rPr>
          <w:rFonts w:eastAsia="Calibri"/>
          <w:color w:val="auto"/>
        </w:rPr>
        <w:t xml:space="preserve">, which included the legal process </w:t>
      </w:r>
      <w:r w:rsidRPr="004B2CC3">
        <w:rPr>
          <w:rFonts w:eastAsia="Calibri"/>
          <w:color w:val="auto"/>
        </w:rPr>
        <w:t>to complain about the board</w:t>
      </w:r>
      <w:r w:rsidR="00C438B3" w:rsidRPr="004B2CC3">
        <w:rPr>
          <w:rFonts w:eastAsia="Calibri"/>
          <w:color w:val="auto"/>
        </w:rPr>
        <w:t xml:space="preserve">’s activity </w:t>
      </w:r>
      <w:r w:rsidRPr="004B2CC3">
        <w:rPr>
          <w:rFonts w:eastAsia="Calibri"/>
          <w:color w:val="auto"/>
        </w:rPr>
        <w:t xml:space="preserve">in case </w:t>
      </w:r>
      <w:r w:rsidR="00C438B3" w:rsidRPr="004B2CC3">
        <w:rPr>
          <w:rFonts w:eastAsia="Calibri"/>
          <w:color w:val="auto"/>
        </w:rPr>
        <w:t>it doesn’t</w:t>
      </w:r>
      <w:r w:rsidRPr="004B2CC3">
        <w:rPr>
          <w:rFonts w:eastAsia="Calibri"/>
          <w:color w:val="auto"/>
        </w:rPr>
        <w:t xml:space="preserve"> respond to their needs. Members </w:t>
      </w:r>
      <w:r w:rsidR="00C438B3" w:rsidRPr="004B2CC3">
        <w:rPr>
          <w:rFonts w:eastAsia="Calibri"/>
          <w:color w:val="auto"/>
        </w:rPr>
        <w:t xml:space="preserve">were provided with a copy of the law of cooperatives and they </w:t>
      </w:r>
      <w:r w:rsidRPr="004B2CC3">
        <w:rPr>
          <w:rFonts w:eastAsia="Calibri"/>
          <w:color w:val="auto"/>
        </w:rPr>
        <w:t xml:space="preserve">became aware </w:t>
      </w:r>
      <w:r w:rsidR="00C438B3" w:rsidRPr="004B2CC3">
        <w:rPr>
          <w:rFonts w:eastAsia="Calibri"/>
          <w:color w:val="auto"/>
        </w:rPr>
        <w:t>of the</w:t>
      </w:r>
      <w:r w:rsidRPr="004B2CC3">
        <w:rPr>
          <w:rFonts w:eastAsia="Calibri"/>
          <w:color w:val="auto"/>
        </w:rPr>
        <w:t xml:space="preserve"> roles and rights of each actor i</w:t>
      </w:r>
      <w:r w:rsidR="00C438B3" w:rsidRPr="004B2CC3">
        <w:rPr>
          <w:rFonts w:eastAsia="Calibri"/>
          <w:color w:val="auto"/>
        </w:rPr>
        <w:t xml:space="preserve">n the cooperative structure. </w:t>
      </w:r>
      <w:r w:rsidRPr="004B2CC3">
        <w:rPr>
          <w:rFonts w:eastAsia="Calibri"/>
          <w:color w:val="auto"/>
        </w:rPr>
        <w:t>UNDP</w:t>
      </w:r>
      <w:r w:rsidR="002B7422" w:rsidRPr="004B2CC3">
        <w:rPr>
          <w:rFonts w:eastAsia="Calibri"/>
          <w:color w:val="auto"/>
        </w:rPr>
        <w:t xml:space="preserve"> also</w:t>
      </w:r>
      <w:r w:rsidRPr="004B2CC3">
        <w:rPr>
          <w:rFonts w:eastAsia="Calibri"/>
          <w:color w:val="auto"/>
        </w:rPr>
        <w:t xml:space="preserve"> supported the </w:t>
      </w:r>
      <w:r w:rsidR="002B7422" w:rsidRPr="004B2CC3">
        <w:rPr>
          <w:rFonts w:eastAsia="Calibri"/>
          <w:color w:val="auto"/>
        </w:rPr>
        <w:t>fishermen</w:t>
      </w:r>
      <w:r w:rsidRPr="004B2CC3">
        <w:rPr>
          <w:rFonts w:eastAsia="Calibri"/>
          <w:color w:val="auto"/>
        </w:rPr>
        <w:t xml:space="preserve"> in developing a job description for the </w:t>
      </w:r>
      <w:r w:rsidR="002B7422" w:rsidRPr="004B2CC3">
        <w:rPr>
          <w:rFonts w:eastAsia="Calibri"/>
          <w:color w:val="auto"/>
        </w:rPr>
        <w:t xml:space="preserve">coop </w:t>
      </w:r>
      <w:r w:rsidRPr="004B2CC3">
        <w:rPr>
          <w:rFonts w:eastAsia="Calibri"/>
          <w:color w:val="auto"/>
        </w:rPr>
        <w:t xml:space="preserve">manager which was adopted by the board of directors. </w:t>
      </w:r>
      <w:r w:rsidR="002B7422" w:rsidRPr="004B2CC3">
        <w:rPr>
          <w:rFonts w:eastAsia="Calibri"/>
          <w:color w:val="auto"/>
        </w:rPr>
        <w:t>The capacity building programme was</w:t>
      </w:r>
      <w:r w:rsidRPr="004B2CC3">
        <w:rPr>
          <w:rFonts w:eastAsia="Calibri"/>
          <w:color w:val="auto"/>
        </w:rPr>
        <w:t xml:space="preserve"> closely coordinated with the Munici</w:t>
      </w:r>
      <w:r w:rsidR="002B7422" w:rsidRPr="004B2CC3">
        <w:rPr>
          <w:rFonts w:eastAsia="Calibri"/>
          <w:color w:val="auto"/>
        </w:rPr>
        <w:t>pality of Beb</w:t>
      </w:r>
      <w:r w:rsidRPr="004B2CC3">
        <w:rPr>
          <w:rFonts w:eastAsia="Calibri"/>
          <w:color w:val="auto"/>
        </w:rPr>
        <w:t xml:space="preserve">nine. </w:t>
      </w:r>
    </w:p>
    <w:p w:rsidR="004B2CC3" w:rsidRPr="004B2CC3" w:rsidRDefault="004B2CC3" w:rsidP="004B2CC3">
      <w:pPr>
        <w:jc w:val="both"/>
        <w:rPr>
          <w:rFonts w:eastAsia="Calibri"/>
        </w:rPr>
      </w:pPr>
    </w:p>
    <w:p w:rsidR="009572AB" w:rsidRPr="004B2CC3" w:rsidRDefault="009572AB" w:rsidP="00854226">
      <w:pPr>
        <w:numPr>
          <w:ilvl w:val="0"/>
          <w:numId w:val="24"/>
        </w:numPr>
        <w:jc w:val="both"/>
        <w:rPr>
          <w:i/>
          <w:iCs/>
        </w:rPr>
      </w:pPr>
      <w:r w:rsidRPr="004B2CC3">
        <w:rPr>
          <w:i/>
          <w:iCs/>
        </w:rPr>
        <w:t xml:space="preserve">Bebnine Women cooperative </w:t>
      </w:r>
    </w:p>
    <w:p w:rsidR="009572AB" w:rsidRPr="00475F3F" w:rsidRDefault="009572AB" w:rsidP="009572AB">
      <w:pPr>
        <w:jc w:val="both"/>
      </w:pPr>
    </w:p>
    <w:p w:rsidR="00664096" w:rsidRPr="00475F3F" w:rsidRDefault="009572AB" w:rsidP="00062422">
      <w:pPr>
        <w:pStyle w:val="BodyText2"/>
        <w:rPr>
          <w:rFonts w:ascii="Times New Roman" w:hAnsi="Times New Roman" w:cs="Times New Roman"/>
          <w:sz w:val="24"/>
          <w:szCs w:val="24"/>
        </w:rPr>
      </w:pPr>
      <w:r w:rsidRPr="00475F3F">
        <w:rPr>
          <w:rFonts w:ascii="Times New Roman" w:hAnsi="Times New Roman" w:cs="Times New Roman"/>
          <w:sz w:val="24"/>
          <w:szCs w:val="24"/>
        </w:rPr>
        <w:t xml:space="preserve">The establishment of the </w:t>
      </w:r>
      <w:r w:rsidR="00664096" w:rsidRPr="00475F3F">
        <w:rPr>
          <w:rFonts w:ascii="Times New Roman" w:hAnsi="Times New Roman" w:cs="Times New Roman"/>
          <w:sz w:val="24"/>
          <w:szCs w:val="24"/>
        </w:rPr>
        <w:t xml:space="preserve">Bebnine Women Cooperative </w:t>
      </w:r>
      <w:r w:rsidR="00062422">
        <w:rPr>
          <w:rFonts w:ascii="Times New Roman" w:hAnsi="Times New Roman" w:cs="Times New Roman"/>
          <w:sz w:val="24"/>
          <w:szCs w:val="24"/>
        </w:rPr>
        <w:t>came in response to the</w:t>
      </w:r>
      <w:r w:rsidRPr="00475F3F">
        <w:rPr>
          <w:rFonts w:ascii="Times New Roman" w:hAnsi="Times New Roman" w:cs="Times New Roman"/>
          <w:sz w:val="24"/>
          <w:szCs w:val="24"/>
        </w:rPr>
        <w:t xml:space="preserve"> </w:t>
      </w:r>
      <w:r w:rsidR="00664096" w:rsidRPr="00475F3F">
        <w:rPr>
          <w:rFonts w:ascii="Times New Roman" w:hAnsi="Times New Roman" w:cs="Times New Roman"/>
          <w:sz w:val="24"/>
          <w:szCs w:val="24"/>
        </w:rPr>
        <w:t xml:space="preserve">assessment </w:t>
      </w:r>
      <w:r w:rsidR="00062422">
        <w:rPr>
          <w:rFonts w:ascii="Times New Roman" w:hAnsi="Times New Roman" w:cs="Times New Roman"/>
          <w:sz w:val="24"/>
          <w:szCs w:val="24"/>
        </w:rPr>
        <w:t>organized by UNDP which revealed</w:t>
      </w:r>
      <w:r w:rsidR="00664096" w:rsidRPr="00475F3F">
        <w:rPr>
          <w:rFonts w:ascii="Times New Roman" w:hAnsi="Times New Roman" w:cs="Times New Roman"/>
          <w:sz w:val="24"/>
          <w:szCs w:val="24"/>
        </w:rPr>
        <w:t xml:space="preserve"> that the women who mend fishing nets in Bebnine earn</w:t>
      </w:r>
      <w:r w:rsidR="00EA38AA" w:rsidRPr="00475F3F">
        <w:rPr>
          <w:rFonts w:ascii="Times New Roman" w:hAnsi="Times New Roman" w:cs="Times New Roman"/>
          <w:sz w:val="24"/>
          <w:szCs w:val="24"/>
        </w:rPr>
        <w:t>ed</w:t>
      </w:r>
      <w:r w:rsidR="00664096" w:rsidRPr="00475F3F">
        <w:rPr>
          <w:rFonts w:ascii="Times New Roman" w:hAnsi="Times New Roman" w:cs="Times New Roman"/>
          <w:sz w:val="24"/>
          <w:szCs w:val="24"/>
        </w:rPr>
        <w:t xml:space="preserve"> less than 1$/hour</w:t>
      </w:r>
      <w:r w:rsidR="00EA38AA" w:rsidRPr="00475F3F">
        <w:rPr>
          <w:rFonts w:ascii="Times New Roman" w:hAnsi="Times New Roman" w:cs="Times New Roman"/>
          <w:sz w:val="24"/>
          <w:szCs w:val="24"/>
        </w:rPr>
        <w:t>. These low wages were</w:t>
      </w:r>
      <w:r w:rsidR="00664096" w:rsidRPr="00475F3F">
        <w:rPr>
          <w:rFonts w:ascii="Times New Roman" w:hAnsi="Times New Roman" w:cs="Times New Roman"/>
          <w:sz w:val="24"/>
          <w:szCs w:val="24"/>
        </w:rPr>
        <w:t xml:space="preserve"> due </w:t>
      </w:r>
      <w:r w:rsidR="00823E81">
        <w:rPr>
          <w:rFonts w:ascii="Times New Roman" w:hAnsi="Times New Roman" w:cs="Times New Roman"/>
          <w:sz w:val="24"/>
          <w:szCs w:val="24"/>
        </w:rPr>
        <w:t xml:space="preserve">to </w:t>
      </w:r>
      <w:r w:rsidR="00B30E77" w:rsidRPr="00475F3F">
        <w:rPr>
          <w:rFonts w:ascii="Times New Roman" w:hAnsi="Times New Roman" w:cs="Times New Roman"/>
          <w:sz w:val="24"/>
          <w:szCs w:val="24"/>
        </w:rPr>
        <w:t>the presence of middlemen</w:t>
      </w:r>
      <w:r w:rsidRPr="00475F3F">
        <w:rPr>
          <w:rFonts w:ascii="Times New Roman" w:hAnsi="Times New Roman" w:cs="Times New Roman"/>
          <w:sz w:val="24"/>
          <w:szCs w:val="24"/>
        </w:rPr>
        <w:t xml:space="preserve"> </w:t>
      </w:r>
      <w:r w:rsidR="00664096" w:rsidRPr="00475F3F">
        <w:rPr>
          <w:rFonts w:ascii="Times New Roman" w:hAnsi="Times New Roman" w:cs="Times New Roman"/>
          <w:sz w:val="24"/>
          <w:szCs w:val="24"/>
        </w:rPr>
        <w:t xml:space="preserve">and the fact that </w:t>
      </w:r>
      <w:r w:rsidR="00EA38AA" w:rsidRPr="00475F3F">
        <w:rPr>
          <w:rFonts w:ascii="Times New Roman" w:hAnsi="Times New Roman" w:cs="Times New Roman"/>
          <w:sz w:val="24"/>
          <w:szCs w:val="24"/>
        </w:rPr>
        <w:t>they</w:t>
      </w:r>
      <w:r w:rsidR="00664096" w:rsidRPr="00475F3F">
        <w:rPr>
          <w:rFonts w:ascii="Times New Roman" w:hAnsi="Times New Roman" w:cs="Times New Roman"/>
          <w:sz w:val="24"/>
          <w:szCs w:val="24"/>
        </w:rPr>
        <w:t xml:space="preserve"> often </w:t>
      </w:r>
      <w:r w:rsidR="00062422">
        <w:rPr>
          <w:rFonts w:ascii="Times New Roman" w:hAnsi="Times New Roman" w:cs="Times New Roman"/>
          <w:sz w:val="24"/>
          <w:szCs w:val="24"/>
        </w:rPr>
        <w:t xml:space="preserve">received </w:t>
      </w:r>
      <w:r w:rsidRPr="00475F3F">
        <w:rPr>
          <w:rFonts w:ascii="Times New Roman" w:hAnsi="Times New Roman" w:cs="Times New Roman"/>
          <w:sz w:val="24"/>
          <w:szCs w:val="24"/>
        </w:rPr>
        <w:t xml:space="preserve">food and clothes in lieu of higher value cash payments. </w:t>
      </w:r>
    </w:p>
    <w:p w:rsidR="00664096" w:rsidRPr="00475F3F" w:rsidRDefault="00664096" w:rsidP="00664096">
      <w:pPr>
        <w:pStyle w:val="BodyText2"/>
        <w:rPr>
          <w:rFonts w:ascii="Times New Roman" w:hAnsi="Times New Roman" w:cs="Times New Roman"/>
          <w:sz w:val="24"/>
          <w:szCs w:val="24"/>
        </w:rPr>
      </w:pPr>
    </w:p>
    <w:p w:rsidR="00613606" w:rsidRPr="00A174EE" w:rsidRDefault="00613606" w:rsidP="00B26265">
      <w:pPr>
        <w:pStyle w:val="BodyText2"/>
        <w:rPr>
          <w:rFonts w:ascii="Times New Roman" w:hAnsi="Times New Roman" w:cs="Times New Roman"/>
          <w:sz w:val="24"/>
          <w:szCs w:val="24"/>
        </w:rPr>
      </w:pPr>
      <w:r w:rsidRPr="00A174EE">
        <w:rPr>
          <w:rFonts w:ascii="Times New Roman" w:hAnsi="Times New Roman" w:cs="Times New Roman"/>
          <w:sz w:val="24"/>
          <w:szCs w:val="24"/>
        </w:rPr>
        <w:t xml:space="preserve">150 women were selected as beneficiaries of this project </w:t>
      </w:r>
      <w:r w:rsidR="00B26265">
        <w:rPr>
          <w:rFonts w:ascii="Times New Roman" w:hAnsi="Times New Roman" w:cs="Times New Roman"/>
          <w:sz w:val="24"/>
          <w:szCs w:val="24"/>
        </w:rPr>
        <w:t>based on</w:t>
      </w:r>
      <w:r w:rsidRPr="00A174EE">
        <w:rPr>
          <w:rFonts w:ascii="Times New Roman" w:hAnsi="Times New Roman" w:cs="Times New Roman"/>
          <w:sz w:val="24"/>
          <w:szCs w:val="24"/>
        </w:rPr>
        <w:t xml:space="preserve"> the following criteria: </w:t>
      </w:r>
    </w:p>
    <w:p w:rsidR="00613606" w:rsidRPr="00A174EE" w:rsidRDefault="00613606" w:rsidP="00854226">
      <w:pPr>
        <w:pStyle w:val="NoSpacing"/>
        <w:numPr>
          <w:ilvl w:val="0"/>
          <w:numId w:val="15"/>
        </w:numPr>
        <w:tabs>
          <w:tab w:val="left" w:pos="720"/>
        </w:tabs>
        <w:ind w:left="1440"/>
        <w:jc w:val="both"/>
      </w:pPr>
      <w:r w:rsidRPr="00A174EE">
        <w:rPr>
          <w:lang w:val="en-GB"/>
        </w:rPr>
        <w:t>Women a</w:t>
      </w:r>
      <w:r w:rsidRPr="00A174EE">
        <w:t xml:space="preserve">ged 18 </w:t>
      </w:r>
      <w:r w:rsidR="0091621F">
        <w:t xml:space="preserve">who knit and repair  fishing nets </w:t>
      </w:r>
      <w:r w:rsidRPr="00A174EE">
        <w:t>in Bebnine;</w:t>
      </w:r>
    </w:p>
    <w:p w:rsidR="00613606" w:rsidRPr="00A174EE" w:rsidRDefault="00613606" w:rsidP="00854226">
      <w:pPr>
        <w:pStyle w:val="NoSpacing"/>
        <w:numPr>
          <w:ilvl w:val="0"/>
          <w:numId w:val="15"/>
        </w:numPr>
        <w:tabs>
          <w:tab w:val="left" w:pos="720"/>
        </w:tabs>
        <w:ind w:left="1440"/>
        <w:jc w:val="both"/>
      </w:pPr>
      <w:r w:rsidRPr="00A174EE">
        <w:t xml:space="preserve">Residents of </w:t>
      </w:r>
      <w:r w:rsidR="00825F8F">
        <w:t>Bebnine</w:t>
      </w:r>
      <w:r w:rsidRPr="00A174EE">
        <w:t>;</w:t>
      </w:r>
    </w:p>
    <w:p w:rsidR="00613606" w:rsidRPr="00A174EE" w:rsidRDefault="00B26265" w:rsidP="00854226">
      <w:pPr>
        <w:pStyle w:val="NoSpacing"/>
        <w:numPr>
          <w:ilvl w:val="0"/>
          <w:numId w:val="15"/>
        </w:numPr>
        <w:tabs>
          <w:tab w:val="left" w:pos="720"/>
        </w:tabs>
        <w:ind w:left="1440"/>
        <w:jc w:val="both"/>
      </w:pPr>
      <w:r>
        <w:t xml:space="preserve">Their only economic activity is knitting and </w:t>
      </w:r>
      <w:r w:rsidR="00613606" w:rsidRPr="00A174EE">
        <w:t>repairing fishing nets;</w:t>
      </w:r>
    </w:p>
    <w:p w:rsidR="00613606" w:rsidRPr="00A174EE" w:rsidRDefault="00B26265" w:rsidP="00854226">
      <w:pPr>
        <w:pStyle w:val="NoSpacing"/>
        <w:numPr>
          <w:ilvl w:val="0"/>
          <w:numId w:val="15"/>
        </w:numPr>
        <w:tabs>
          <w:tab w:val="left" w:pos="720"/>
        </w:tabs>
        <w:ind w:left="1440"/>
        <w:jc w:val="both"/>
      </w:pPr>
      <w:r>
        <w:t>They a</w:t>
      </w:r>
      <w:r w:rsidR="00613606" w:rsidRPr="00A174EE">
        <w:t>re mainly family members of local fishermen;</w:t>
      </w:r>
    </w:p>
    <w:p w:rsidR="00613606" w:rsidRPr="00A174EE" w:rsidRDefault="00613606" w:rsidP="00613606">
      <w:pPr>
        <w:pStyle w:val="NoSpacing"/>
        <w:tabs>
          <w:tab w:val="left" w:pos="720"/>
        </w:tabs>
        <w:ind w:left="360"/>
        <w:jc w:val="both"/>
      </w:pPr>
    </w:p>
    <w:p w:rsidR="00475F3F" w:rsidRPr="00383291" w:rsidRDefault="00475F3F" w:rsidP="003D2233">
      <w:pPr>
        <w:pStyle w:val="BodyText2"/>
        <w:rPr>
          <w:rFonts w:ascii="Times New Roman" w:hAnsi="Times New Roman" w:cs="Times New Roman"/>
          <w:sz w:val="24"/>
          <w:szCs w:val="24"/>
        </w:rPr>
      </w:pPr>
      <w:r w:rsidRPr="00FD1F96">
        <w:rPr>
          <w:rFonts w:ascii="Times New Roman" w:hAnsi="Times New Roman" w:cs="Times New Roman"/>
          <w:sz w:val="24"/>
          <w:szCs w:val="24"/>
        </w:rPr>
        <w:t xml:space="preserve">At the end of 2010, </w:t>
      </w:r>
      <w:r w:rsidR="008D0B2E">
        <w:rPr>
          <w:rFonts w:ascii="Times New Roman" w:hAnsi="Times New Roman" w:cs="Times New Roman"/>
          <w:sz w:val="24"/>
          <w:szCs w:val="24"/>
        </w:rPr>
        <w:t xml:space="preserve">after the </w:t>
      </w:r>
      <w:r w:rsidRPr="00FD1F96">
        <w:rPr>
          <w:rFonts w:ascii="Times New Roman" w:hAnsi="Times New Roman" w:cs="Times New Roman"/>
          <w:sz w:val="24"/>
          <w:szCs w:val="24"/>
        </w:rPr>
        <w:t>f</w:t>
      </w:r>
      <w:r w:rsidR="009572AB" w:rsidRPr="00FD1F96">
        <w:rPr>
          <w:rFonts w:ascii="Times New Roman" w:hAnsi="Times New Roman" w:cs="Times New Roman"/>
          <w:sz w:val="24"/>
          <w:szCs w:val="24"/>
        </w:rPr>
        <w:t xml:space="preserve">ive board members and the President of the </w:t>
      </w:r>
      <w:r w:rsidR="008D0B2E">
        <w:rPr>
          <w:rFonts w:ascii="Times New Roman" w:hAnsi="Times New Roman" w:cs="Times New Roman"/>
          <w:sz w:val="24"/>
          <w:szCs w:val="24"/>
        </w:rPr>
        <w:t>c</w:t>
      </w:r>
      <w:r w:rsidR="009572AB" w:rsidRPr="00FD1F96">
        <w:rPr>
          <w:rFonts w:ascii="Times New Roman" w:hAnsi="Times New Roman" w:cs="Times New Roman"/>
          <w:sz w:val="24"/>
          <w:szCs w:val="24"/>
        </w:rPr>
        <w:t>oope</w:t>
      </w:r>
      <w:r w:rsidRPr="00FD1F96">
        <w:rPr>
          <w:rFonts w:ascii="Times New Roman" w:hAnsi="Times New Roman" w:cs="Times New Roman"/>
          <w:sz w:val="24"/>
          <w:szCs w:val="24"/>
        </w:rPr>
        <w:t>rative were elected</w:t>
      </w:r>
      <w:r w:rsidR="008D0B2E">
        <w:rPr>
          <w:rFonts w:ascii="Times New Roman" w:hAnsi="Times New Roman" w:cs="Times New Roman"/>
          <w:sz w:val="24"/>
          <w:szCs w:val="24"/>
        </w:rPr>
        <w:t xml:space="preserve">, a training program </w:t>
      </w:r>
      <w:r w:rsidR="009572AB" w:rsidRPr="00FD1F96">
        <w:rPr>
          <w:rFonts w:ascii="Times New Roman" w:hAnsi="Times New Roman" w:cs="Times New Roman"/>
          <w:sz w:val="24"/>
          <w:szCs w:val="24"/>
        </w:rPr>
        <w:t>on cooperative management</w:t>
      </w:r>
      <w:r w:rsidR="008D0B2E">
        <w:rPr>
          <w:rFonts w:ascii="Times New Roman" w:hAnsi="Times New Roman" w:cs="Times New Roman"/>
          <w:sz w:val="24"/>
          <w:szCs w:val="24"/>
        </w:rPr>
        <w:t xml:space="preserve"> was organized. It included</w:t>
      </w:r>
      <w:r w:rsidR="003D2233">
        <w:rPr>
          <w:rFonts w:ascii="Times New Roman" w:hAnsi="Times New Roman" w:cs="Times New Roman"/>
          <w:sz w:val="24"/>
          <w:szCs w:val="24"/>
        </w:rPr>
        <w:t xml:space="preserve"> the </w:t>
      </w:r>
      <w:r w:rsidR="009572AB" w:rsidRPr="00FD1F96">
        <w:rPr>
          <w:rFonts w:ascii="Times New Roman" w:hAnsi="Times New Roman" w:cs="Times New Roman"/>
          <w:sz w:val="24"/>
          <w:szCs w:val="24"/>
        </w:rPr>
        <w:t>preparation of the annual report to the government, accounting requirements and procedures as well as member</w:t>
      </w:r>
      <w:r w:rsidRPr="00FD1F96">
        <w:rPr>
          <w:rFonts w:ascii="Times New Roman" w:hAnsi="Times New Roman" w:cs="Times New Roman"/>
          <w:sz w:val="24"/>
          <w:szCs w:val="24"/>
        </w:rPr>
        <w:t>ship</w:t>
      </w:r>
      <w:r w:rsidR="009572AB" w:rsidRPr="00FD1F96">
        <w:rPr>
          <w:rFonts w:ascii="Times New Roman" w:hAnsi="Times New Roman" w:cs="Times New Roman"/>
          <w:sz w:val="24"/>
          <w:szCs w:val="24"/>
        </w:rPr>
        <w:t xml:space="preserve"> and </w:t>
      </w:r>
      <w:r w:rsidRPr="00FD1F96">
        <w:rPr>
          <w:rFonts w:ascii="Times New Roman" w:hAnsi="Times New Roman" w:cs="Times New Roman"/>
          <w:sz w:val="24"/>
          <w:szCs w:val="24"/>
        </w:rPr>
        <w:t>volunteers’</w:t>
      </w:r>
      <w:r w:rsidR="009572AB" w:rsidRPr="00FD1F96">
        <w:rPr>
          <w:rFonts w:ascii="Times New Roman" w:hAnsi="Times New Roman" w:cs="Times New Roman"/>
          <w:sz w:val="24"/>
          <w:szCs w:val="24"/>
        </w:rPr>
        <w:t xml:space="preserve"> mobilization. </w:t>
      </w:r>
      <w:r w:rsidR="00FD1F96" w:rsidRPr="00FD1F96">
        <w:rPr>
          <w:rFonts w:ascii="Times New Roman" w:hAnsi="Times New Roman" w:cs="Times New Roman"/>
          <w:sz w:val="24"/>
          <w:szCs w:val="24"/>
        </w:rPr>
        <w:t xml:space="preserve">All the </w:t>
      </w:r>
      <w:r w:rsidR="00A174EE">
        <w:rPr>
          <w:rFonts w:ascii="Times New Roman" w:hAnsi="Times New Roman" w:cs="Times New Roman"/>
          <w:sz w:val="24"/>
          <w:szCs w:val="24"/>
        </w:rPr>
        <w:t>beneficiaries</w:t>
      </w:r>
      <w:r w:rsidR="00FD1F96" w:rsidRPr="00FD1F96">
        <w:rPr>
          <w:rFonts w:ascii="Times New Roman" w:hAnsi="Times New Roman" w:cs="Times New Roman"/>
          <w:sz w:val="24"/>
          <w:szCs w:val="24"/>
        </w:rPr>
        <w:t xml:space="preserve"> attended the training sessions and participated in the debates that followed.</w:t>
      </w:r>
      <w:r w:rsidR="00FD1F96">
        <w:rPr>
          <w:rFonts w:ascii="Times New Roman" w:hAnsi="Times New Roman" w:cs="Times New Roman"/>
          <w:sz w:val="24"/>
          <w:szCs w:val="24"/>
        </w:rPr>
        <w:t xml:space="preserve"> </w:t>
      </w:r>
      <w:r w:rsidR="009572AB" w:rsidRPr="00FD1F96">
        <w:rPr>
          <w:rFonts w:ascii="Times New Roman" w:hAnsi="Times New Roman" w:cs="Times New Roman"/>
          <w:sz w:val="24"/>
          <w:szCs w:val="24"/>
        </w:rPr>
        <w:t xml:space="preserve">Weekly </w:t>
      </w:r>
      <w:r w:rsidR="009572AB" w:rsidRPr="00383291">
        <w:rPr>
          <w:rFonts w:ascii="Times New Roman" w:hAnsi="Times New Roman" w:cs="Times New Roman"/>
          <w:sz w:val="24"/>
          <w:szCs w:val="24"/>
        </w:rPr>
        <w:t>meetings were</w:t>
      </w:r>
      <w:r w:rsidR="00FD1F96" w:rsidRPr="00383291">
        <w:rPr>
          <w:rFonts w:ascii="Times New Roman" w:hAnsi="Times New Roman" w:cs="Times New Roman"/>
          <w:sz w:val="24"/>
          <w:szCs w:val="24"/>
        </w:rPr>
        <w:t xml:space="preserve"> also</w:t>
      </w:r>
      <w:r w:rsidR="009572AB" w:rsidRPr="00383291">
        <w:rPr>
          <w:rFonts w:ascii="Times New Roman" w:hAnsi="Times New Roman" w:cs="Times New Roman"/>
          <w:sz w:val="24"/>
          <w:szCs w:val="24"/>
        </w:rPr>
        <w:t xml:space="preserve"> held with </w:t>
      </w:r>
      <w:r w:rsidRPr="00383291">
        <w:rPr>
          <w:rFonts w:ascii="Times New Roman" w:hAnsi="Times New Roman" w:cs="Times New Roman"/>
          <w:sz w:val="24"/>
          <w:szCs w:val="24"/>
        </w:rPr>
        <w:t>the</w:t>
      </w:r>
      <w:r w:rsidR="00A174EE" w:rsidRPr="00383291">
        <w:rPr>
          <w:rFonts w:ascii="Times New Roman" w:hAnsi="Times New Roman" w:cs="Times New Roman"/>
          <w:sz w:val="24"/>
          <w:szCs w:val="24"/>
        </w:rPr>
        <w:t>m</w:t>
      </w:r>
      <w:r w:rsidR="009572AB" w:rsidRPr="00383291">
        <w:rPr>
          <w:rFonts w:ascii="Times New Roman" w:hAnsi="Times New Roman" w:cs="Times New Roman"/>
          <w:sz w:val="24"/>
          <w:szCs w:val="24"/>
        </w:rPr>
        <w:t xml:space="preserve"> to follow-up on </w:t>
      </w:r>
      <w:r w:rsidRPr="00383291">
        <w:rPr>
          <w:rFonts w:ascii="Times New Roman" w:hAnsi="Times New Roman" w:cs="Times New Roman"/>
          <w:sz w:val="24"/>
          <w:szCs w:val="24"/>
        </w:rPr>
        <w:t>the</w:t>
      </w:r>
      <w:r w:rsidR="009572AB" w:rsidRPr="00383291">
        <w:rPr>
          <w:rFonts w:ascii="Times New Roman" w:hAnsi="Times New Roman" w:cs="Times New Roman"/>
          <w:sz w:val="24"/>
          <w:szCs w:val="24"/>
        </w:rPr>
        <w:t xml:space="preserve"> establishment of </w:t>
      </w:r>
      <w:r w:rsidRPr="00383291">
        <w:rPr>
          <w:rFonts w:ascii="Times New Roman" w:hAnsi="Times New Roman" w:cs="Times New Roman"/>
          <w:sz w:val="24"/>
          <w:szCs w:val="24"/>
        </w:rPr>
        <w:t xml:space="preserve">the </w:t>
      </w:r>
      <w:r w:rsidR="009572AB" w:rsidRPr="00383291">
        <w:rPr>
          <w:rFonts w:ascii="Times New Roman" w:hAnsi="Times New Roman" w:cs="Times New Roman"/>
          <w:sz w:val="24"/>
          <w:szCs w:val="24"/>
        </w:rPr>
        <w:t>cooperative</w:t>
      </w:r>
      <w:r w:rsidRPr="00383291">
        <w:rPr>
          <w:rFonts w:ascii="Times New Roman" w:hAnsi="Times New Roman" w:cs="Times New Roman"/>
          <w:sz w:val="24"/>
          <w:szCs w:val="24"/>
        </w:rPr>
        <w:t xml:space="preserve"> and the issues they face</w:t>
      </w:r>
      <w:r w:rsidR="00FD1F96" w:rsidRPr="00383291">
        <w:rPr>
          <w:rFonts w:ascii="Times New Roman" w:hAnsi="Times New Roman" w:cs="Times New Roman"/>
          <w:sz w:val="24"/>
          <w:szCs w:val="24"/>
        </w:rPr>
        <w:t>d</w:t>
      </w:r>
      <w:r w:rsidR="009572AB" w:rsidRPr="00383291">
        <w:rPr>
          <w:rFonts w:ascii="Times New Roman" w:hAnsi="Times New Roman" w:cs="Times New Roman"/>
          <w:sz w:val="24"/>
          <w:szCs w:val="24"/>
        </w:rPr>
        <w:t xml:space="preserve">. </w:t>
      </w:r>
    </w:p>
    <w:p w:rsidR="00613606" w:rsidRPr="00383291" w:rsidRDefault="00613606" w:rsidP="00FD1F96">
      <w:pPr>
        <w:pStyle w:val="BodyText2"/>
        <w:rPr>
          <w:rFonts w:ascii="Times New Roman" w:hAnsi="Times New Roman" w:cs="Times New Roman"/>
          <w:sz w:val="24"/>
          <w:szCs w:val="24"/>
        </w:rPr>
      </w:pPr>
    </w:p>
    <w:p w:rsidR="00383291" w:rsidRPr="00383291" w:rsidRDefault="00B17031" w:rsidP="00B817EC">
      <w:pPr>
        <w:pStyle w:val="BodyText2"/>
        <w:rPr>
          <w:rFonts w:ascii="Times New Roman" w:eastAsia="Calibri" w:hAnsi="Times New Roman" w:cs="Times New Roman"/>
          <w:sz w:val="24"/>
          <w:szCs w:val="24"/>
        </w:rPr>
      </w:pPr>
      <w:r>
        <w:rPr>
          <w:rFonts w:ascii="Times New Roman" w:hAnsi="Times New Roman" w:cs="Times New Roman"/>
          <w:sz w:val="24"/>
          <w:szCs w:val="24"/>
        </w:rPr>
        <w:t>In 2011, a</w:t>
      </w:r>
      <w:r w:rsidR="00613606" w:rsidRPr="00383291">
        <w:rPr>
          <w:rFonts w:ascii="Times New Roman" w:hAnsi="Times New Roman" w:cs="Times New Roman"/>
          <w:sz w:val="24"/>
          <w:szCs w:val="24"/>
        </w:rPr>
        <w:t xml:space="preserve"> technical on-the-job training was </w:t>
      </w:r>
      <w:r w:rsidR="00131EFE" w:rsidRPr="00383291">
        <w:rPr>
          <w:rFonts w:ascii="Times New Roman" w:hAnsi="Times New Roman" w:cs="Times New Roman"/>
          <w:sz w:val="24"/>
          <w:szCs w:val="24"/>
        </w:rPr>
        <w:t>organized</w:t>
      </w:r>
      <w:r w:rsidR="00613606" w:rsidRPr="00383291">
        <w:rPr>
          <w:rFonts w:ascii="Times New Roman" w:hAnsi="Times New Roman" w:cs="Times New Roman"/>
          <w:sz w:val="24"/>
          <w:szCs w:val="24"/>
        </w:rPr>
        <w:t xml:space="preserve"> for the cooperative members </w:t>
      </w:r>
      <w:r w:rsidR="00A174EE" w:rsidRPr="00383291">
        <w:rPr>
          <w:rFonts w:ascii="Times New Roman" w:hAnsi="Times New Roman" w:cs="Times New Roman"/>
          <w:sz w:val="24"/>
          <w:szCs w:val="24"/>
        </w:rPr>
        <w:t xml:space="preserve">based on the instruments and tools designed </w:t>
      </w:r>
      <w:r w:rsidR="00A174EE" w:rsidRPr="00383291">
        <w:rPr>
          <w:rFonts w:ascii="Times New Roman" w:eastAsia="Calibri" w:hAnsi="Times New Roman" w:cs="Times New Roman"/>
          <w:sz w:val="24"/>
          <w:szCs w:val="24"/>
        </w:rPr>
        <w:t xml:space="preserve">by </w:t>
      </w:r>
      <w:r w:rsidR="00B817EC">
        <w:rPr>
          <w:rFonts w:ascii="Times New Roman" w:eastAsia="Calibri" w:hAnsi="Times New Roman" w:cs="Times New Roman"/>
          <w:sz w:val="24"/>
          <w:szCs w:val="24"/>
        </w:rPr>
        <w:t xml:space="preserve">the </w:t>
      </w:r>
      <w:r w:rsidR="00A174EE" w:rsidRPr="00383291">
        <w:rPr>
          <w:rFonts w:ascii="Times New Roman" w:eastAsia="Calibri" w:hAnsi="Times New Roman" w:cs="Times New Roman"/>
          <w:sz w:val="24"/>
          <w:szCs w:val="24"/>
        </w:rPr>
        <w:t xml:space="preserve">Hôpitaux Universitaires de Genève to </w:t>
      </w:r>
      <w:r w:rsidR="00383291" w:rsidRPr="00383291">
        <w:rPr>
          <w:rFonts w:ascii="Times New Roman" w:eastAsia="Calibri" w:hAnsi="Times New Roman" w:cs="Times New Roman"/>
          <w:sz w:val="24"/>
          <w:szCs w:val="24"/>
        </w:rPr>
        <w:t>enable a more efficient production while reducing the strain on knitters’ vision and allowing better posture. In order to ensure the sustainability of the project, each b</w:t>
      </w:r>
      <w:r w:rsidR="00A174EE" w:rsidRPr="00383291">
        <w:rPr>
          <w:rFonts w:ascii="Times New Roman" w:eastAsia="Calibri" w:hAnsi="Times New Roman" w:cs="Times New Roman"/>
          <w:sz w:val="24"/>
          <w:szCs w:val="24"/>
        </w:rPr>
        <w:t xml:space="preserve">eneficiary received </w:t>
      </w:r>
      <w:r w:rsidR="00131EFE" w:rsidRPr="00383291">
        <w:rPr>
          <w:rFonts w:ascii="Times New Roman" w:eastAsia="Calibri" w:hAnsi="Times New Roman" w:cs="Times New Roman"/>
          <w:sz w:val="24"/>
          <w:szCs w:val="24"/>
        </w:rPr>
        <w:t>her own instrument and tools</w:t>
      </w:r>
      <w:r w:rsidR="00383291" w:rsidRPr="00383291">
        <w:rPr>
          <w:rFonts w:ascii="Times New Roman" w:eastAsia="Calibri" w:hAnsi="Times New Roman" w:cs="Times New Roman"/>
          <w:sz w:val="24"/>
          <w:szCs w:val="24"/>
        </w:rPr>
        <w:t xml:space="preserve"> which were composed of: a customized metal stands designed for hanging the nets while knitting, a customized seat and an adapted lighting.</w:t>
      </w:r>
    </w:p>
    <w:p w:rsidR="00383291" w:rsidRPr="00383291" w:rsidRDefault="00383291" w:rsidP="00383291">
      <w:pPr>
        <w:pStyle w:val="BodyText2"/>
        <w:rPr>
          <w:rFonts w:ascii="Times New Roman" w:eastAsia="Calibri" w:hAnsi="Times New Roman" w:cs="Times New Roman"/>
          <w:sz w:val="24"/>
          <w:szCs w:val="24"/>
        </w:rPr>
      </w:pPr>
    </w:p>
    <w:p w:rsidR="009572AB" w:rsidRPr="00383291" w:rsidRDefault="00383291" w:rsidP="00B817EC">
      <w:pPr>
        <w:pStyle w:val="BodyText2"/>
        <w:rPr>
          <w:rFonts w:ascii="Times New Roman" w:eastAsia="Calibri" w:hAnsi="Times New Roman" w:cs="Times New Roman"/>
          <w:sz w:val="24"/>
          <w:szCs w:val="24"/>
        </w:rPr>
      </w:pPr>
      <w:r w:rsidRPr="00383291">
        <w:rPr>
          <w:rFonts w:ascii="Times New Roman" w:eastAsia="Calibri" w:hAnsi="Times New Roman" w:cs="Times New Roman"/>
          <w:sz w:val="24"/>
          <w:szCs w:val="24"/>
        </w:rPr>
        <w:t>Several exercises were organized for the ben</w:t>
      </w:r>
      <w:r w:rsidR="00B817EC">
        <w:rPr>
          <w:rFonts w:ascii="Times New Roman" w:eastAsia="Calibri" w:hAnsi="Times New Roman" w:cs="Times New Roman"/>
          <w:sz w:val="24"/>
          <w:szCs w:val="24"/>
        </w:rPr>
        <w:t>eficiaries in cooperation with</w:t>
      </w:r>
      <w:r w:rsidRPr="00383291">
        <w:rPr>
          <w:rFonts w:ascii="Times New Roman" w:eastAsia="Calibri" w:hAnsi="Times New Roman" w:cs="Times New Roman"/>
          <w:sz w:val="24"/>
          <w:szCs w:val="24"/>
        </w:rPr>
        <w:t xml:space="preserve"> </w:t>
      </w:r>
      <w:r w:rsidR="00B817EC">
        <w:rPr>
          <w:rFonts w:ascii="Times New Roman" w:eastAsia="Calibri" w:hAnsi="Times New Roman" w:cs="Times New Roman"/>
          <w:sz w:val="24"/>
          <w:szCs w:val="24"/>
        </w:rPr>
        <w:t xml:space="preserve">the </w:t>
      </w:r>
      <w:r w:rsidRPr="00383291">
        <w:rPr>
          <w:rFonts w:ascii="Times New Roman" w:eastAsia="Calibri" w:hAnsi="Times New Roman" w:cs="Times New Roman"/>
          <w:sz w:val="24"/>
          <w:szCs w:val="24"/>
        </w:rPr>
        <w:t>HUG and a</w:t>
      </w:r>
      <w:r w:rsidR="009572AB" w:rsidRPr="00383291">
        <w:rPr>
          <w:rFonts w:ascii="Times New Roman" w:eastAsia="Calibri" w:hAnsi="Times New Roman" w:cs="Times New Roman"/>
          <w:sz w:val="24"/>
          <w:szCs w:val="24"/>
        </w:rPr>
        <w:t xml:space="preserve"> brochure outlining best practices and exercises to improve the </w:t>
      </w:r>
      <w:r w:rsidRPr="00383291">
        <w:rPr>
          <w:rFonts w:ascii="Times New Roman" w:eastAsia="Calibri" w:hAnsi="Times New Roman" w:cs="Times New Roman"/>
          <w:sz w:val="24"/>
          <w:szCs w:val="24"/>
        </w:rPr>
        <w:t xml:space="preserve">working </w:t>
      </w:r>
      <w:r w:rsidR="009572AB" w:rsidRPr="00383291">
        <w:rPr>
          <w:rFonts w:ascii="Times New Roman" w:eastAsia="Calibri" w:hAnsi="Times New Roman" w:cs="Times New Roman"/>
          <w:sz w:val="24"/>
          <w:szCs w:val="24"/>
        </w:rPr>
        <w:t xml:space="preserve">conditions of the targeted women was designed and distributed </w:t>
      </w:r>
      <w:r w:rsidR="00B746C6">
        <w:rPr>
          <w:rFonts w:ascii="Times New Roman" w:eastAsia="Calibri" w:hAnsi="Times New Roman" w:cs="Times New Roman"/>
          <w:sz w:val="24"/>
          <w:szCs w:val="24"/>
        </w:rPr>
        <w:t>in</w:t>
      </w:r>
      <w:r w:rsidR="009572AB" w:rsidRPr="00383291">
        <w:rPr>
          <w:rFonts w:ascii="Times New Roman" w:eastAsia="Calibri" w:hAnsi="Times New Roman" w:cs="Times New Roman"/>
          <w:sz w:val="24"/>
          <w:szCs w:val="24"/>
        </w:rPr>
        <w:t xml:space="preserve"> May 2011. </w:t>
      </w:r>
    </w:p>
    <w:p w:rsidR="009572AB" w:rsidRPr="00D8339C" w:rsidRDefault="009572AB" w:rsidP="009572AB">
      <w:pPr>
        <w:pStyle w:val="NoSpacing"/>
        <w:jc w:val="both"/>
        <w:rPr>
          <w:color w:val="FF0000"/>
        </w:rPr>
      </w:pPr>
    </w:p>
    <w:p w:rsidR="009572AB" w:rsidRPr="00383291" w:rsidRDefault="00383291" w:rsidP="00B746C6">
      <w:pPr>
        <w:pStyle w:val="NoSpacing"/>
        <w:tabs>
          <w:tab w:val="left" w:pos="720"/>
        </w:tabs>
        <w:jc w:val="both"/>
      </w:pPr>
      <w:r w:rsidRPr="00383291">
        <w:t xml:space="preserve">The </w:t>
      </w:r>
      <w:r w:rsidR="009572AB" w:rsidRPr="00383291">
        <w:t>Municipality</w:t>
      </w:r>
      <w:r w:rsidRPr="00383291">
        <w:t xml:space="preserve"> of Bebnine</w:t>
      </w:r>
      <w:r w:rsidR="009572AB" w:rsidRPr="00383291">
        <w:t xml:space="preserve"> was a key partner throughout the process</w:t>
      </w:r>
      <w:r w:rsidRPr="00383291">
        <w:t xml:space="preserve"> and</w:t>
      </w:r>
      <w:r w:rsidR="009572AB" w:rsidRPr="00383291">
        <w:t xml:space="preserve"> regular meetings were organized </w:t>
      </w:r>
      <w:r w:rsidRPr="00383291">
        <w:t>between UNDP and the municipality to discuss progress</w:t>
      </w:r>
      <w:r w:rsidR="006D7728">
        <w:t xml:space="preserve"> made by the cooperative</w:t>
      </w:r>
      <w:r w:rsidRPr="00383291">
        <w:t xml:space="preserve">. </w:t>
      </w:r>
      <w:r w:rsidR="006D7728">
        <w:t xml:space="preserve">The </w:t>
      </w:r>
      <w:r w:rsidR="009572AB" w:rsidRPr="00383291">
        <w:t xml:space="preserve">Municipality </w:t>
      </w:r>
      <w:r w:rsidR="006D7728">
        <w:t xml:space="preserve">also </w:t>
      </w:r>
      <w:r w:rsidR="009572AB" w:rsidRPr="00383291">
        <w:t xml:space="preserve">decided </w:t>
      </w:r>
      <w:r w:rsidR="00D61746">
        <w:t xml:space="preserve">to </w:t>
      </w:r>
      <w:r w:rsidR="00B746C6" w:rsidRPr="00383291">
        <w:t xml:space="preserve">appoint </w:t>
      </w:r>
      <w:r w:rsidR="00B746C6">
        <w:t>a</w:t>
      </w:r>
      <w:r w:rsidR="00B746C6" w:rsidRPr="00383291">
        <w:t xml:space="preserve"> focal person to provide support to the cooperative </w:t>
      </w:r>
      <w:r w:rsidR="00B746C6">
        <w:t xml:space="preserve">and </w:t>
      </w:r>
      <w:r w:rsidR="006D7728" w:rsidRPr="00383291">
        <w:t xml:space="preserve">to cover </w:t>
      </w:r>
      <w:r w:rsidR="00B746C6">
        <w:t>its</w:t>
      </w:r>
      <w:r w:rsidR="006D7728" w:rsidRPr="00383291">
        <w:t xml:space="preserve"> rent fees</w:t>
      </w:r>
      <w:r w:rsidR="009572AB" w:rsidRPr="00383291">
        <w:t xml:space="preserve">. </w:t>
      </w:r>
    </w:p>
    <w:p w:rsidR="009572AB" w:rsidRPr="00D8339C" w:rsidRDefault="009572AB" w:rsidP="009572AB">
      <w:pPr>
        <w:pStyle w:val="NoSpacing"/>
        <w:tabs>
          <w:tab w:val="left" w:pos="720"/>
        </w:tabs>
        <w:jc w:val="both"/>
        <w:rPr>
          <w:color w:val="FF0000"/>
        </w:rPr>
      </w:pPr>
      <w:r w:rsidRPr="00D8339C">
        <w:rPr>
          <w:color w:val="FF0000"/>
        </w:rPr>
        <w:t xml:space="preserve">  </w:t>
      </w:r>
    </w:p>
    <w:p w:rsidR="009572AB" w:rsidRPr="00941029" w:rsidRDefault="00941029" w:rsidP="00941029">
      <w:pPr>
        <w:pStyle w:val="BodyText2"/>
        <w:rPr>
          <w:rFonts w:ascii="Times New Roman" w:hAnsi="Times New Roman" w:cs="Times New Roman"/>
          <w:sz w:val="24"/>
          <w:szCs w:val="24"/>
        </w:rPr>
      </w:pPr>
      <w:r w:rsidRPr="00941029">
        <w:rPr>
          <w:rFonts w:ascii="Times New Roman" w:hAnsi="Times New Roman" w:cs="Times New Roman"/>
          <w:sz w:val="24"/>
          <w:szCs w:val="24"/>
        </w:rPr>
        <w:t xml:space="preserve">By the end of 2011, </w:t>
      </w:r>
      <w:r w:rsidR="009572AB" w:rsidRPr="00941029">
        <w:rPr>
          <w:rFonts w:ascii="Times New Roman" w:hAnsi="Times New Roman" w:cs="Times New Roman"/>
          <w:sz w:val="24"/>
          <w:szCs w:val="24"/>
        </w:rPr>
        <w:t xml:space="preserve">the </w:t>
      </w:r>
      <w:r w:rsidR="00383291" w:rsidRPr="00941029">
        <w:rPr>
          <w:rFonts w:ascii="Times New Roman" w:hAnsi="Times New Roman" w:cs="Times New Roman"/>
          <w:sz w:val="24"/>
          <w:szCs w:val="24"/>
        </w:rPr>
        <w:t xml:space="preserve">beneficiaries </w:t>
      </w:r>
      <w:r w:rsidR="009572AB" w:rsidRPr="00941029">
        <w:rPr>
          <w:rFonts w:ascii="Times New Roman" w:hAnsi="Times New Roman" w:cs="Times New Roman"/>
          <w:sz w:val="24"/>
          <w:szCs w:val="24"/>
        </w:rPr>
        <w:t>reported that their income</w:t>
      </w:r>
      <w:r w:rsidR="00383291" w:rsidRPr="00941029">
        <w:rPr>
          <w:rFonts w:ascii="Times New Roman" w:hAnsi="Times New Roman" w:cs="Times New Roman"/>
          <w:sz w:val="24"/>
          <w:szCs w:val="24"/>
        </w:rPr>
        <w:t xml:space="preserve"> was increasing </w:t>
      </w:r>
      <w:r w:rsidR="009572AB" w:rsidRPr="00941029">
        <w:rPr>
          <w:rFonts w:ascii="Times New Roman" w:hAnsi="Times New Roman" w:cs="Times New Roman"/>
          <w:sz w:val="24"/>
          <w:szCs w:val="24"/>
        </w:rPr>
        <w:t xml:space="preserve">as they </w:t>
      </w:r>
      <w:r w:rsidR="00383291" w:rsidRPr="00941029">
        <w:rPr>
          <w:rFonts w:ascii="Times New Roman" w:hAnsi="Times New Roman" w:cs="Times New Roman"/>
          <w:sz w:val="24"/>
          <w:szCs w:val="24"/>
        </w:rPr>
        <w:t>were</w:t>
      </w:r>
      <w:r w:rsidR="009572AB" w:rsidRPr="00941029">
        <w:rPr>
          <w:rFonts w:ascii="Times New Roman" w:hAnsi="Times New Roman" w:cs="Times New Roman"/>
          <w:sz w:val="24"/>
          <w:szCs w:val="24"/>
        </w:rPr>
        <w:t xml:space="preserve"> able to better manage their finances</w:t>
      </w:r>
      <w:r w:rsidR="00383291" w:rsidRPr="00941029">
        <w:rPr>
          <w:rFonts w:ascii="Times New Roman" w:hAnsi="Times New Roman" w:cs="Times New Roman"/>
          <w:sz w:val="24"/>
          <w:szCs w:val="24"/>
        </w:rPr>
        <w:t xml:space="preserve"> and</w:t>
      </w:r>
      <w:r w:rsidR="009572AB" w:rsidRPr="00941029">
        <w:rPr>
          <w:rFonts w:ascii="Times New Roman" w:hAnsi="Times New Roman" w:cs="Times New Roman"/>
          <w:sz w:val="24"/>
          <w:szCs w:val="24"/>
        </w:rPr>
        <w:t xml:space="preserve"> better market their products</w:t>
      </w:r>
      <w:r w:rsidR="00383291" w:rsidRPr="00941029">
        <w:rPr>
          <w:rFonts w:ascii="Times New Roman" w:hAnsi="Times New Roman" w:cs="Times New Roman"/>
          <w:sz w:val="24"/>
          <w:szCs w:val="24"/>
        </w:rPr>
        <w:t xml:space="preserve">. They were hence </w:t>
      </w:r>
      <w:r w:rsidR="009572AB" w:rsidRPr="00941029">
        <w:rPr>
          <w:rFonts w:ascii="Times New Roman" w:hAnsi="Times New Roman" w:cs="Times New Roman"/>
          <w:sz w:val="24"/>
          <w:szCs w:val="24"/>
        </w:rPr>
        <w:t xml:space="preserve">less vulnerable to middle-men activity. They also increased their client base and were better able to </w:t>
      </w:r>
      <w:r w:rsidR="00383291" w:rsidRPr="00941029">
        <w:rPr>
          <w:rFonts w:ascii="Times New Roman" w:hAnsi="Times New Roman" w:cs="Times New Roman"/>
          <w:sz w:val="24"/>
          <w:szCs w:val="24"/>
        </w:rPr>
        <w:t>respond to</w:t>
      </w:r>
      <w:r w:rsidR="009572AB" w:rsidRPr="00941029">
        <w:rPr>
          <w:rFonts w:ascii="Times New Roman" w:hAnsi="Times New Roman" w:cs="Times New Roman"/>
          <w:sz w:val="24"/>
          <w:szCs w:val="24"/>
        </w:rPr>
        <w:t xml:space="preserve"> larger orders</w:t>
      </w:r>
      <w:r w:rsidRPr="00941029">
        <w:rPr>
          <w:rFonts w:ascii="Times New Roman" w:hAnsi="Times New Roman" w:cs="Times New Roman"/>
          <w:sz w:val="24"/>
          <w:szCs w:val="24"/>
        </w:rPr>
        <w:t xml:space="preserve"> while benefitting from improved </w:t>
      </w:r>
      <w:r w:rsidR="009572AB" w:rsidRPr="00941029">
        <w:rPr>
          <w:rFonts w:ascii="Times New Roman" w:hAnsi="Times New Roman" w:cs="Times New Roman"/>
          <w:sz w:val="24"/>
          <w:szCs w:val="24"/>
        </w:rPr>
        <w:t xml:space="preserve">working conditions, which made knitting faster </w:t>
      </w:r>
      <w:r w:rsidRPr="00941029">
        <w:rPr>
          <w:rFonts w:ascii="Times New Roman" w:hAnsi="Times New Roman" w:cs="Times New Roman"/>
          <w:sz w:val="24"/>
          <w:szCs w:val="24"/>
        </w:rPr>
        <w:t>and more comfortable</w:t>
      </w:r>
      <w:r w:rsidR="009572AB" w:rsidRPr="00941029">
        <w:rPr>
          <w:rFonts w:ascii="Times New Roman" w:hAnsi="Times New Roman" w:cs="Times New Roman"/>
          <w:sz w:val="24"/>
          <w:szCs w:val="24"/>
        </w:rPr>
        <w:t>.</w:t>
      </w:r>
    </w:p>
    <w:p w:rsidR="009572AB" w:rsidRPr="00941029" w:rsidRDefault="009572AB" w:rsidP="009572AB">
      <w:pPr>
        <w:pStyle w:val="BodyText2"/>
        <w:rPr>
          <w:rFonts w:ascii="Times New Roman" w:hAnsi="Times New Roman" w:cs="Times New Roman"/>
          <w:sz w:val="24"/>
          <w:szCs w:val="24"/>
        </w:rPr>
      </w:pPr>
    </w:p>
    <w:p w:rsidR="009572AB" w:rsidRPr="00941029" w:rsidRDefault="009572AB" w:rsidP="00941029">
      <w:pPr>
        <w:pStyle w:val="NoSpacing"/>
        <w:tabs>
          <w:tab w:val="left" w:pos="720"/>
        </w:tabs>
        <w:jc w:val="both"/>
      </w:pPr>
      <w:r w:rsidRPr="00941029">
        <w:t>In December 2011, th</w:t>
      </w:r>
      <w:r w:rsidR="00941029">
        <w:t xml:space="preserve">e </w:t>
      </w:r>
      <w:r w:rsidR="00941029" w:rsidRPr="00941029">
        <w:t xml:space="preserve">UNRCO, LRF M&amp;E Unit and UNDP </w:t>
      </w:r>
      <w:r w:rsidRPr="00941029">
        <w:t xml:space="preserve">facilitated the production of a small documentary about the cooperative to promote </w:t>
      </w:r>
      <w:r w:rsidR="00941029" w:rsidRPr="00941029">
        <w:t xml:space="preserve">its activity </w:t>
      </w:r>
      <w:r w:rsidRPr="00941029">
        <w:t xml:space="preserve">and highlight </w:t>
      </w:r>
      <w:r w:rsidR="00941029" w:rsidRPr="00941029">
        <w:t>its importance</w:t>
      </w:r>
      <w:r w:rsidRPr="00941029">
        <w:t>.</w:t>
      </w:r>
    </w:p>
    <w:p w:rsidR="006014AA" w:rsidRPr="00941029" w:rsidRDefault="006014AA" w:rsidP="009572AB">
      <w:pPr>
        <w:pStyle w:val="NoSpacing"/>
        <w:tabs>
          <w:tab w:val="left" w:pos="720"/>
        </w:tabs>
        <w:jc w:val="both"/>
      </w:pPr>
    </w:p>
    <w:p w:rsidR="006014AA" w:rsidRPr="00941029" w:rsidRDefault="006014AA" w:rsidP="00941029">
      <w:pPr>
        <w:pStyle w:val="NoSpacing"/>
        <w:tabs>
          <w:tab w:val="left" w:pos="720"/>
        </w:tabs>
        <w:jc w:val="both"/>
      </w:pPr>
      <w:r w:rsidRPr="00941029">
        <w:t xml:space="preserve">Photographs of the </w:t>
      </w:r>
      <w:r w:rsidR="00941029" w:rsidRPr="00941029">
        <w:t>women</w:t>
      </w:r>
      <w:r w:rsidRPr="00941029">
        <w:t xml:space="preserve"> cooperative and the </w:t>
      </w:r>
      <w:r w:rsidR="00941029" w:rsidRPr="00941029">
        <w:t>technical</w:t>
      </w:r>
      <w:r w:rsidRPr="00941029">
        <w:t xml:space="preserve"> training:</w:t>
      </w:r>
    </w:p>
    <w:p w:rsidR="0057157F" w:rsidRPr="00941029" w:rsidRDefault="0057157F" w:rsidP="009572AB">
      <w:pPr>
        <w:pStyle w:val="NoSpacing"/>
        <w:tabs>
          <w:tab w:val="left" w:pos="720"/>
        </w:tabs>
        <w:jc w:val="both"/>
      </w:pPr>
    </w:p>
    <w:p w:rsidR="0057157F" w:rsidRPr="00D8339C" w:rsidRDefault="0057157F" w:rsidP="0057157F">
      <w:pPr>
        <w:pStyle w:val="NoSpacing"/>
        <w:tabs>
          <w:tab w:val="left" w:pos="720"/>
        </w:tabs>
        <w:jc w:val="center"/>
        <w:rPr>
          <w:color w:val="FF0000"/>
        </w:rPr>
      </w:pPr>
    </w:p>
    <w:p w:rsidR="00630AA7" w:rsidRDefault="001A2F79" w:rsidP="00630AA7">
      <w:pPr>
        <w:pStyle w:val="NoSpacing"/>
        <w:jc w:val="center"/>
        <w:rPr>
          <w:color w:val="7030A0"/>
        </w:rPr>
      </w:pPr>
      <w:r>
        <w:rPr>
          <w:noProof/>
          <w:color w:val="7030A0"/>
        </w:rPr>
        <w:lastRenderedPageBreak/>
        <w:drawing>
          <wp:inline distT="0" distB="0" distL="0" distR="0">
            <wp:extent cx="2790825" cy="4171950"/>
            <wp:effectExtent l="19050" t="0" r="9525" b="0"/>
            <wp:docPr id="8" name="Picture 8"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3)"/>
                    <pic:cNvPicPr>
                      <a:picLocks noChangeAspect="1" noChangeArrowheads="1"/>
                    </pic:cNvPicPr>
                  </pic:nvPicPr>
                  <pic:blipFill>
                    <a:blip r:embed="rId15" cstate="print"/>
                    <a:srcRect/>
                    <a:stretch>
                      <a:fillRect/>
                    </a:stretch>
                  </pic:blipFill>
                  <pic:spPr bwMode="auto">
                    <a:xfrm>
                      <a:off x="0" y="0"/>
                      <a:ext cx="2790825" cy="4171950"/>
                    </a:xfrm>
                    <a:prstGeom prst="rect">
                      <a:avLst/>
                    </a:prstGeom>
                    <a:noFill/>
                    <a:ln w="9525">
                      <a:noFill/>
                      <a:miter lim="800000"/>
                      <a:headEnd/>
                      <a:tailEnd/>
                    </a:ln>
                  </pic:spPr>
                </pic:pic>
              </a:graphicData>
            </a:graphic>
          </wp:inline>
        </w:drawing>
      </w:r>
    </w:p>
    <w:p w:rsidR="00630AA7" w:rsidRDefault="00630AA7" w:rsidP="00630AA7">
      <w:pPr>
        <w:pStyle w:val="NoSpacing"/>
        <w:jc w:val="center"/>
        <w:rPr>
          <w:color w:val="7030A0"/>
        </w:rPr>
      </w:pPr>
    </w:p>
    <w:p w:rsidR="009572AB" w:rsidRDefault="001A2F79" w:rsidP="00630AA7">
      <w:pPr>
        <w:pStyle w:val="NoSpacing"/>
        <w:jc w:val="center"/>
        <w:rPr>
          <w:color w:val="7030A0"/>
        </w:rPr>
      </w:pPr>
      <w:r>
        <w:rPr>
          <w:noProof/>
          <w:color w:val="7030A0"/>
        </w:rPr>
        <w:drawing>
          <wp:inline distT="0" distB="0" distL="0" distR="0">
            <wp:extent cx="3619500" cy="2400300"/>
            <wp:effectExtent l="19050" t="0" r="0" b="0"/>
            <wp:docPr id="9" name="Picture 9"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ture (4)"/>
                    <pic:cNvPicPr>
                      <a:picLocks noChangeAspect="1" noChangeArrowheads="1"/>
                    </pic:cNvPicPr>
                  </pic:nvPicPr>
                  <pic:blipFill>
                    <a:blip r:embed="rId16" cstate="print"/>
                    <a:srcRect/>
                    <a:stretch>
                      <a:fillRect/>
                    </a:stretch>
                  </pic:blipFill>
                  <pic:spPr bwMode="auto">
                    <a:xfrm>
                      <a:off x="0" y="0"/>
                      <a:ext cx="3619500" cy="2400300"/>
                    </a:xfrm>
                    <a:prstGeom prst="rect">
                      <a:avLst/>
                    </a:prstGeom>
                    <a:noFill/>
                    <a:ln w="9525">
                      <a:noFill/>
                      <a:miter lim="800000"/>
                      <a:headEnd/>
                      <a:tailEnd/>
                    </a:ln>
                  </pic:spPr>
                </pic:pic>
              </a:graphicData>
            </a:graphic>
          </wp:inline>
        </w:drawing>
      </w:r>
    </w:p>
    <w:p w:rsidR="004727DA" w:rsidRPr="00D8339C" w:rsidRDefault="004727DA" w:rsidP="004727DA">
      <w:pPr>
        <w:pStyle w:val="NoSpacing"/>
        <w:jc w:val="center"/>
        <w:rPr>
          <w:color w:val="7030A0"/>
        </w:rPr>
      </w:pPr>
    </w:p>
    <w:p w:rsidR="006012FA" w:rsidRDefault="006012FA" w:rsidP="006012FA">
      <w:pPr>
        <w:pStyle w:val="BodyText"/>
        <w:tabs>
          <w:tab w:val="left" w:pos="360"/>
        </w:tabs>
        <w:jc w:val="both"/>
        <w:rPr>
          <w:rFonts w:ascii="Times New Roman" w:hAnsi="Times New Roman" w:cs="Times New Roman"/>
          <w:bCs/>
          <w:color w:val="7030A0"/>
          <w:sz w:val="24"/>
          <w:szCs w:val="24"/>
        </w:rPr>
      </w:pPr>
    </w:p>
    <w:p w:rsidR="006012FA" w:rsidRDefault="006012FA" w:rsidP="006012FA">
      <w:pPr>
        <w:pStyle w:val="BodyText"/>
        <w:tabs>
          <w:tab w:val="left" w:pos="360"/>
        </w:tabs>
        <w:jc w:val="both"/>
        <w:rPr>
          <w:rFonts w:ascii="Times New Roman" w:hAnsi="Times New Roman" w:cs="Times New Roman"/>
          <w:bCs/>
          <w:color w:val="7030A0"/>
          <w:sz w:val="24"/>
          <w:szCs w:val="24"/>
        </w:rPr>
      </w:pPr>
    </w:p>
    <w:p w:rsidR="006012FA" w:rsidRDefault="006012FA" w:rsidP="006012FA">
      <w:pPr>
        <w:jc w:val="both"/>
        <w:rPr>
          <w:u w:val="single"/>
        </w:rPr>
      </w:pPr>
      <w:r w:rsidRPr="00D8339C">
        <w:rPr>
          <w:u w:val="single"/>
        </w:rPr>
        <w:t xml:space="preserve">Output </w:t>
      </w:r>
      <w:r>
        <w:rPr>
          <w:u w:val="single"/>
        </w:rPr>
        <w:t>2</w:t>
      </w:r>
      <w:r w:rsidRPr="00D8339C">
        <w:rPr>
          <w:u w:val="single"/>
        </w:rPr>
        <w:t xml:space="preserve">: </w:t>
      </w:r>
      <w:r>
        <w:rPr>
          <w:u w:val="single"/>
        </w:rPr>
        <w:t>Living conditions and l</w:t>
      </w:r>
      <w:r w:rsidRPr="00D8339C">
        <w:rPr>
          <w:u w:val="single"/>
        </w:rPr>
        <w:t xml:space="preserve">ivelihoods of </w:t>
      </w:r>
      <w:r>
        <w:rPr>
          <w:u w:val="single"/>
        </w:rPr>
        <w:t>communities improved through small scale infrastructure projects</w:t>
      </w:r>
    </w:p>
    <w:p w:rsidR="006012FA" w:rsidRDefault="006012FA" w:rsidP="006012FA">
      <w:pPr>
        <w:jc w:val="both"/>
        <w:rPr>
          <w:u w:val="single"/>
        </w:rPr>
      </w:pPr>
    </w:p>
    <w:p w:rsidR="006012FA" w:rsidRPr="002B20F3" w:rsidRDefault="006012FA" w:rsidP="00854226">
      <w:pPr>
        <w:numPr>
          <w:ilvl w:val="0"/>
          <w:numId w:val="25"/>
        </w:numPr>
        <w:jc w:val="both"/>
        <w:rPr>
          <w:i/>
          <w:iCs/>
        </w:rPr>
      </w:pPr>
      <w:r w:rsidRPr="002B20F3">
        <w:rPr>
          <w:i/>
          <w:iCs/>
        </w:rPr>
        <w:t>Construction of agricultural roads</w:t>
      </w:r>
    </w:p>
    <w:p w:rsidR="006012FA" w:rsidRPr="002B20F3" w:rsidRDefault="006012FA" w:rsidP="006012FA">
      <w:pPr>
        <w:pStyle w:val="BodyText2"/>
        <w:rPr>
          <w:rFonts w:ascii="Times New Roman" w:hAnsi="Times New Roman" w:cs="Times New Roman"/>
          <w:noProof/>
          <w:sz w:val="24"/>
          <w:szCs w:val="24"/>
        </w:rPr>
      </w:pPr>
    </w:p>
    <w:p w:rsidR="002B20F3" w:rsidRPr="002B20F3" w:rsidRDefault="000E0A83" w:rsidP="002B20F3">
      <w:pPr>
        <w:jc w:val="both"/>
      </w:pPr>
      <w:r w:rsidRPr="002B20F3">
        <w:t xml:space="preserve">In 2011, grant agreements were signed with five </w:t>
      </w:r>
      <w:r w:rsidR="00CB08CD" w:rsidRPr="002B20F3">
        <w:t xml:space="preserve">NBC surrounding </w:t>
      </w:r>
      <w:r w:rsidRPr="002B20F3">
        <w:t>municipalities</w:t>
      </w:r>
      <w:r w:rsidR="00E468C0" w:rsidRPr="002B20F3">
        <w:t xml:space="preserve"> for the renovation of six agricultural roads</w:t>
      </w:r>
      <w:r w:rsidR="00CB08CD" w:rsidRPr="002B20F3">
        <w:t xml:space="preserve">. The roads in Karkaf, </w:t>
      </w:r>
      <w:r w:rsidR="002B20F3" w:rsidRPr="002B20F3">
        <w:t>Wadi el-</w:t>
      </w:r>
      <w:r w:rsidR="00CB08CD" w:rsidRPr="002B20F3">
        <w:t xml:space="preserve">Jamous, </w:t>
      </w:r>
      <w:r w:rsidR="002B20F3" w:rsidRPr="002B20F3">
        <w:t>K</w:t>
      </w:r>
      <w:r w:rsidR="00CB08CD" w:rsidRPr="002B20F3">
        <w:t>obbet Bchamra, Hmaira</w:t>
      </w:r>
      <w:r w:rsidR="002B20F3" w:rsidRPr="002B20F3">
        <w:t xml:space="preserve"> and</w:t>
      </w:r>
      <w:r w:rsidR="00CB08CD" w:rsidRPr="002B20F3">
        <w:t xml:space="preserve"> </w:t>
      </w:r>
      <w:r w:rsidR="002B20F3" w:rsidRPr="002B20F3">
        <w:t>Borj el-</w:t>
      </w:r>
      <w:r w:rsidR="00CB08CD" w:rsidRPr="002B20F3">
        <w:t>Arab</w:t>
      </w:r>
      <w:r w:rsidR="002B20F3" w:rsidRPr="002B20F3">
        <w:t xml:space="preserve"> were completed in 2011 and aimed to improve the farmers' access to their land and to the markets. Until then, </w:t>
      </w:r>
      <w:r w:rsidR="002B20F3" w:rsidRPr="002B20F3">
        <w:lastRenderedPageBreak/>
        <w:t>most farmers had very limited access to their lands through roads they did not own a tractor to cut across fields</w:t>
      </w:r>
      <w:r w:rsidR="002B20F3" w:rsidRPr="002B20F3">
        <w:rPr>
          <w:rStyle w:val="FootnoteReference"/>
        </w:rPr>
        <w:footnoteReference w:id="9"/>
      </w:r>
      <w:r w:rsidR="002B20F3" w:rsidRPr="002B20F3">
        <w:t>.</w:t>
      </w:r>
    </w:p>
    <w:p w:rsidR="002B20F3" w:rsidRPr="002B20F3" w:rsidRDefault="002B20F3" w:rsidP="002B20F3">
      <w:pPr>
        <w:jc w:val="both"/>
      </w:pPr>
    </w:p>
    <w:p w:rsidR="002B20F3" w:rsidRDefault="009572AB" w:rsidP="002B20F3">
      <w:pPr>
        <w:pStyle w:val="BodyText2"/>
        <w:rPr>
          <w:rFonts w:ascii="Times New Roman" w:hAnsi="Times New Roman" w:cs="Times New Roman"/>
          <w:sz w:val="24"/>
          <w:szCs w:val="24"/>
        </w:rPr>
      </w:pPr>
      <w:r w:rsidRPr="002B20F3">
        <w:rPr>
          <w:rFonts w:ascii="Times New Roman" w:hAnsi="Times New Roman" w:cs="Times New Roman"/>
          <w:sz w:val="24"/>
          <w:szCs w:val="24"/>
        </w:rPr>
        <w:t xml:space="preserve">The new asphalted roads </w:t>
      </w:r>
      <w:r w:rsidR="002B20F3" w:rsidRPr="002B20F3">
        <w:rPr>
          <w:rFonts w:ascii="Times New Roman" w:hAnsi="Times New Roman" w:cs="Times New Roman"/>
          <w:sz w:val="24"/>
          <w:szCs w:val="24"/>
        </w:rPr>
        <w:t>increased the farmers’ income as the harvest became easier and the crops were more accessible to farmers and traders.</w:t>
      </w:r>
    </w:p>
    <w:p w:rsidR="00B529FE" w:rsidRDefault="00B529FE" w:rsidP="002B20F3">
      <w:pPr>
        <w:pStyle w:val="BodyText2"/>
        <w:rPr>
          <w:rFonts w:ascii="Times New Roman" w:hAnsi="Times New Roman" w:cs="Times New Roman"/>
          <w:sz w:val="24"/>
          <w:szCs w:val="24"/>
        </w:rPr>
      </w:pPr>
    </w:p>
    <w:p w:rsidR="00B529FE" w:rsidRDefault="00B529FE" w:rsidP="00B529FE">
      <w:pPr>
        <w:pStyle w:val="BodyText2"/>
        <w:rPr>
          <w:rFonts w:ascii="Times New Roman" w:hAnsi="Times New Roman" w:cs="Times New Roman"/>
          <w:sz w:val="24"/>
          <w:szCs w:val="24"/>
        </w:rPr>
      </w:pPr>
      <w:r>
        <w:rPr>
          <w:rFonts w:ascii="Times New Roman" w:hAnsi="Times New Roman" w:cs="Times New Roman"/>
          <w:sz w:val="24"/>
          <w:szCs w:val="24"/>
        </w:rPr>
        <w:t>Photographs of agricultural roads construction and asphalting:</w:t>
      </w:r>
    </w:p>
    <w:p w:rsidR="00B529FE" w:rsidRDefault="00B529FE" w:rsidP="002B20F3">
      <w:pPr>
        <w:pStyle w:val="BodyText2"/>
        <w:rPr>
          <w:rFonts w:ascii="Times New Roman" w:hAnsi="Times New Roman" w:cs="Times New Roman"/>
          <w:sz w:val="24"/>
          <w:szCs w:val="24"/>
        </w:rPr>
      </w:pPr>
    </w:p>
    <w:p w:rsidR="00566CE0" w:rsidRDefault="00CF079B" w:rsidP="002B20F3">
      <w:pPr>
        <w:pStyle w:val="BodyText2"/>
        <w:rPr>
          <w:rStyle w:val="Normal"/>
          <w:snapToGrid w:val="0"/>
          <w:color w:val="000000"/>
          <w:w w:val="0"/>
          <w:sz w:val="0"/>
          <w:szCs w:val="0"/>
          <w:u w:color="000000"/>
          <w:bdr w:val="none" w:sz="0" w:space="0" w:color="000000"/>
          <w:shd w:val="clear" w:color="000000" w:fill="000000"/>
          <w:lang/>
        </w:rPr>
      </w:pPr>
      <w:r>
        <w:rPr>
          <w:rStyle w:val="Normal"/>
          <w:snapToGrid w:val="0"/>
          <w:color w:val="000000"/>
          <w:w w:val="0"/>
          <w:sz w:val="0"/>
          <w:szCs w:val="0"/>
          <w:u w:color="000000"/>
          <w:bdr w:val="none" w:sz="0" w:space="0" w:color="000000"/>
          <w:shd w:val="clear" w:color="000000" w:fill="000000"/>
          <w:lang/>
        </w:rPr>
        <w:t xml:space="preserve"> </w:t>
      </w:r>
    </w:p>
    <w:p w:rsidR="00AD3F58" w:rsidRDefault="00CF079B" w:rsidP="00AD3F58">
      <w:pPr>
        <w:pStyle w:val="BodyText2"/>
        <w:rPr>
          <w:rFonts w:ascii="Calibri" w:hAnsi="Calibri"/>
          <w:sz w:val="22"/>
          <w:szCs w:val="22"/>
        </w:rPr>
      </w:pPr>
      <w:r>
        <w:rPr>
          <w:rStyle w:val="Normal"/>
          <w:snapToGrid w:val="0"/>
          <w:color w:val="000000"/>
          <w:w w:val="0"/>
          <w:sz w:val="0"/>
          <w:szCs w:val="0"/>
          <w:u w:color="000000"/>
          <w:bdr w:val="none" w:sz="0" w:space="0" w:color="000000"/>
          <w:shd w:val="clear" w:color="000000" w:fill="000000"/>
          <w:lang/>
        </w:rPr>
        <w:t xml:space="preserve"> </w:t>
      </w:r>
      <w:r w:rsidR="001A2F79">
        <w:rPr>
          <w:rFonts w:ascii="Calibri" w:hAnsi="Calibri"/>
          <w:noProof/>
          <w:sz w:val="22"/>
          <w:szCs w:val="22"/>
        </w:rPr>
        <w:drawing>
          <wp:inline distT="0" distB="0" distL="0" distR="0">
            <wp:extent cx="3248025" cy="2171700"/>
            <wp:effectExtent l="19050" t="0" r="9525" b="0"/>
            <wp:docPr id="10" name="Picture 10"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ture (5)"/>
                    <pic:cNvPicPr>
                      <a:picLocks noChangeAspect="1" noChangeArrowheads="1"/>
                    </pic:cNvPicPr>
                  </pic:nvPicPr>
                  <pic:blipFill>
                    <a:blip r:embed="rId17" cstate="print"/>
                    <a:srcRect/>
                    <a:stretch>
                      <a:fillRect/>
                    </a:stretch>
                  </pic:blipFill>
                  <pic:spPr bwMode="auto">
                    <a:xfrm>
                      <a:off x="0" y="0"/>
                      <a:ext cx="3248025" cy="2171700"/>
                    </a:xfrm>
                    <a:prstGeom prst="rect">
                      <a:avLst/>
                    </a:prstGeom>
                    <a:noFill/>
                    <a:ln w="9525">
                      <a:noFill/>
                      <a:miter lim="800000"/>
                      <a:headEnd/>
                      <a:tailEnd/>
                    </a:ln>
                  </pic:spPr>
                </pic:pic>
              </a:graphicData>
            </a:graphic>
          </wp:inline>
        </w:drawing>
      </w:r>
      <w:r w:rsidR="00AD3F58">
        <w:rPr>
          <w:rFonts w:ascii="Calibri" w:hAnsi="Calibri"/>
          <w:sz w:val="22"/>
          <w:szCs w:val="22"/>
        </w:rPr>
        <w:t xml:space="preserve"> </w:t>
      </w:r>
      <w:r w:rsidR="001A2F79">
        <w:rPr>
          <w:rFonts w:ascii="Calibri" w:hAnsi="Calibri"/>
          <w:noProof/>
          <w:sz w:val="22"/>
          <w:szCs w:val="22"/>
        </w:rPr>
        <w:drawing>
          <wp:inline distT="0" distB="0" distL="0" distR="0">
            <wp:extent cx="3257550" cy="2171700"/>
            <wp:effectExtent l="19050" t="0" r="0" b="0"/>
            <wp:docPr id="11" name="Picture 11" descr="New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Picture (7)"/>
                    <pic:cNvPicPr>
                      <a:picLocks noChangeAspect="1" noChangeArrowheads="1"/>
                    </pic:cNvPicPr>
                  </pic:nvPicPr>
                  <pic:blipFill>
                    <a:blip r:embed="rId18"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A50C94" w:rsidRDefault="00A50C94" w:rsidP="00AD3F58">
      <w:pPr>
        <w:pStyle w:val="BodyText2"/>
        <w:rPr>
          <w:rFonts w:ascii="Calibri" w:hAnsi="Calibri"/>
          <w:sz w:val="22"/>
          <w:szCs w:val="22"/>
        </w:rPr>
      </w:pPr>
    </w:p>
    <w:p w:rsidR="00AD3F58" w:rsidRDefault="001A2F79" w:rsidP="00AD3F58">
      <w:pPr>
        <w:pStyle w:val="ListParagraph"/>
        <w:autoSpaceDE w:val="0"/>
        <w:autoSpaceDN w:val="0"/>
        <w:adjustRightInd w:val="0"/>
        <w:ind w:left="0"/>
        <w:jc w:val="center"/>
        <w:rPr>
          <w:rFonts w:ascii="Calibri" w:hAnsi="Calibri" w:cs="Arial"/>
          <w:sz w:val="22"/>
          <w:szCs w:val="22"/>
          <w:u w:val="single"/>
        </w:rPr>
      </w:pPr>
      <w:r>
        <w:rPr>
          <w:rFonts w:ascii="Calibri" w:hAnsi="Calibri" w:cs="Arial"/>
          <w:noProof/>
          <w:sz w:val="22"/>
          <w:szCs w:val="22"/>
        </w:rPr>
        <w:drawing>
          <wp:inline distT="0" distB="0" distL="0" distR="0">
            <wp:extent cx="3810000" cy="2533650"/>
            <wp:effectExtent l="19050" t="0" r="0" b="0"/>
            <wp:docPr id="12" name="Picture 12" descr="N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Picture (6)"/>
                    <pic:cNvPicPr>
                      <a:picLocks noChangeAspect="1" noChangeArrowheads="1"/>
                    </pic:cNvPicPr>
                  </pic:nvPicPr>
                  <pic:blipFill>
                    <a:blip r:embed="rId19"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AD3F58" w:rsidRDefault="00AD3F58" w:rsidP="00CF5984">
      <w:pPr>
        <w:pStyle w:val="ListParagraph"/>
        <w:autoSpaceDE w:val="0"/>
        <w:autoSpaceDN w:val="0"/>
        <w:adjustRightInd w:val="0"/>
        <w:ind w:left="0"/>
        <w:jc w:val="both"/>
        <w:rPr>
          <w:rFonts w:ascii="Calibri" w:hAnsi="Calibri" w:cs="Arial"/>
          <w:sz w:val="22"/>
          <w:szCs w:val="22"/>
          <w:u w:val="single"/>
        </w:rPr>
      </w:pPr>
    </w:p>
    <w:p w:rsidR="00AD3F58" w:rsidRDefault="00AD3F58" w:rsidP="00CF5984">
      <w:pPr>
        <w:pStyle w:val="ListParagraph"/>
        <w:autoSpaceDE w:val="0"/>
        <w:autoSpaceDN w:val="0"/>
        <w:adjustRightInd w:val="0"/>
        <w:ind w:left="0"/>
        <w:jc w:val="both"/>
        <w:rPr>
          <w:rFonts w:ascii="Calibri" w:hAnsi="Calibri" w:cs="Arial"/>
          <w:sz w:val="22"/>
          <w:szCs w:val="22"/>
          <w:u w:val="single"/>
        </w:rPr>
      </w:pPr>
    </w:p>
    <w:p w:rsidR="00AD3F58" w:rsidRDefault="00AD3F58" w:rsidP="00CF5984">
      <w:pPr>
        <w:pStyle w:val="ListParagraph"/>
        <w:autoSpaceDE w:val="0"/>
        <w:autoSpaceDN w:val="0"/>
        <w:adjustRightInd w:val="0"/>
        <w:ind w:left="0"/>
        <w:jc w:val="both"/>
        <w:rPr>
          <w:rFonts w:ascii="Calibri" w:hAnsi="Calibri" w:cs="Arial"/>
          <w:sz w:val="22"/>
          <w:szCs w:val="22"/>
          <w:u w:val="single"/>
        </w:rPr>
      </w:pPr>
    </w:p>
    <w:p w:rsidR="00CF5984" w:rsidRPr="009B18B9" w:rsidRDefault="00CF5984" w:rsidP="00854226">
      <w:pPr>
        <w:pStyle w:val="ListParagraph"/>
        <w:numPr>
          <w:ilvl w:val="0"/>
          <w:numId w:val="25"/>
        </w:numPr>
        <w:autoSpaceDE w:val="0"/>
        <w:autoSpaceDN w:val="0"/>
        <w:adjustRightInd w:val="0"/>
        <w:jc w:val="both"/>
      </w:pPr>
      <w:r w:rsidRPr="009B18B9">
        <w:rPr>
          <w:i/>
          <w:iCs/>
        </w:rPr>
        <w:t>Upgrading the Halba slaughterhouse</w:t>
      </w:r>
    </w:p>
    <w:p w:rsidR="00CF5984" w:rsidRPr="009B18B9" w:rsidRDefault="00CF5984" w:rsidP="00CF5984">
      <w:pPr>
        <w:pStyle w:val="ListParagraph"/>
        <w:autoSpaceDE w:val="0"/>
        <w:autoSpaceDN w:val="0"/>
        <w:adjustRightInd w:val="0"/>
        <w:ind w:left="0"/>
        <w:jc w:val="both"/>
      </w:pPr>
    </w:p>
    <w:p w:rsidR="00CF5984" w:rsidRPr="009B18B9" w:rsidRDefault="00CF5984" w:rsidP="00CF5984">
      <w:pPr>
        <w:jc w:val="both"/>
      </w:pPr>
      <w:r w:rsidRPr="009B18B9">
        <w:t xml:space="preserve">In 2010, the Municipality of Halba decided to build its own slaughterhouse in order to prevent health hazards and limit the risks of contamination of the meat that exist in many illegal slaughterhouses and butcheries. </w:t>
      </w:r>
    </w:p>
    <w:p w:rsidR="00CF5984" w:rsidRPr="009B18B9" w:rsidRDefault="00CF5984" w:rsidP="00CF5984">
      <w:pPr>
        <w:jc w:val="both"/>
      </w:pPr>
    </w:p>
    <w:p w:rsidR="00CF5984" w:rsidRPr="009B18B9" w:rsidRDefault="00CF5984" w:rsidP="00CF5984">
      <w:pPr>
        <w:jc w:val="both"/>
      </w:pPr>
      <w:r w:rsidRPr="009B18B9">
        <w:t xml:space="preserve">The Halba slaughterhouse was meant to serve all 13 municipalities of the Shafat union of municipalities (around 50,000 residents). It was built close to the meat bazaar in Halba in a strategic effort to reinforce linkages with the Akkar community of butchers (starting with 25 butchers in Halba) and to strengthen the value chain of the meat market in the region. </w:t>
      </w:r>
    </w:p>
    <w:p w:rsidR="00CF5984" w:rsidRPr="009B18B9" w:rsidRDefault="00CF5984" w:rsidP="00CF5984">
      <w:pPr>
        <w:jc w:val="both"/>
      </w:pPr>
    </w:p>
    <w:p w:rsidR="00CF5984" w:rsidRPr="009B18B9" w:rsidRDefault="00CF5984" w:rsidP="00920C93">
      <w:pPr>
        <w:jc w:val="both"/>
      </w:pPr>
      <w:r w:rsidRPr="009B18B9">
        <w:lastRenderedPageBreak/>
        <w:t xml:space="preserve">Discussions and meetings were held with the Municipality to explore ways of supporting the constructed slaughterhouse. It was finally agreed, in coordination with FAO, that a grant will be given to the Municipality to support it in upgrading the structure of the slaughterhouse in order to improve the slaughtering process and in creating a laboratory for meat testing and quality control. All the construction works were completed in 2011 and </w:t>
      </w:r>
      <w:r w:rsidR="008716E9" w:rsidRPr="009B18B9">
        <w:t xml:space="preserve">the </w:t>
      </w:r>
      <w:r w:rsidRPr="009B18B9">
        <w:t>laboratory equipment for testing and food safety were bought to the Municipality.</w:t>
      </w:r>
    </w:p>
    <w:p w:rsidR="00CF5984" w:rsidRPr="009B18B9" w:rsidRDefault="00CF5984" w:rsidP="00920C93">
      <w:pPr>
        <w:jc w:val="both"/>
      </w:pPr>
    </w:p>
    <w:p w:rsidR="00CF5984" w:rsidRPr="009B18B9" w:rsidRDefault="00CF5984" w:rsidP="00920C93">
      <w:pPr>
        <w:jc w:val="both"/>
      </w:pPr>
      <w:r w:rsidRPr="009B18B9">
        <w:t>Upon the req</w:t>
      </w:r>
      <w:r w:rsidR="008716E9" w:rsidRPr="009B18B9">
        <w:t xml:space="preserve">uest of the Municipality, UNDP </w:t>
      </w:r>
      <w:r w:rsidRPr="009B18B9">
        <w:t>provided training to the slaughterhouse</w:t>
      </w:r>
      <w:r w:rsidR="008716E9" w:rsidRPr="009B18B9">
        <w:t xml:space="preserve"> staff members</w:t>
      </w:r>
      <w:r w:rsidRPr="009B18B9">
        <w:t xml:space="preserve"> to implement ante-mortem guidelines developed by FAO. An internal management system was also developed and put in place </w:t>
      </w:r>
      <w:r w:rsidR="008716E9" w:rsidRPr="009B18B9">
        <w:t xml:space="preserve">by UNDP </w:t>
      </w:r>
      <w:r w:rsidRPr="009B18B9">
        <w:t xml:space="preserve">through </w:t>
      </w:r>
      <w:r w:rsidR="008716E9" w:rsidRPr="009B18B9">
        <w:t xml:space="preserve">the </w:t>
      </w:r>
      <w:r w:rsidRPr="009B18B9">
        <w:t xml:space="preserve">provision of training to ensure the financial transparency in the management of the slaughterhouse and the monitoring of the services. </w:t>
      </w:r>
    </w:p>
    <w:p w:rsidR="00CF5984" w:rsidRPr="009B18B9" w:rsidRDefault="00CF5984" w:rsidP="00920C93">
      <w:pPr>
        <w:jc w:val="both"/>
      </w:pPr>
    </w:p>
    <w:p w:rsidR="00940C61" w:rsidRPr="009B18B9" w:rsidRDefault="00872B8D" w:rsidP="00940C61">
      <w:pPr>
        <w:jc w:val="both"/>
        <w:rPr>
          <w:lang w:val="en-GB"/>
        </w:rPr>
      </w:pPr>
      <w:r w:rsidRPr="009B18B9">
        <w:t>In October 2012, m</w:t>
      </w:r>
      <w:r w:rsidR="00920C93" w:rsidRPr="009B18B9">
        <w:t>ore than one year after the works and trainings were completed</w:t>
      </w:r>
      <w:r w:rsidRPr="009B18B9">
        <w:t>,</w:t>
      </w:r>
      <w:r w:rsidR="00940C61" w:rsidRPr="009B18B9">
        <w:t xml:space="preserve"> t</w:t>
      </w:r>
      <w:r w:rsidR="00CF5984" w:rsidRPr="009B18B9">
        <w:t>he L</w:t>
      </w:r>
      <w:r w:rsidR="00920C93" w:rsidRPr="009B18B9">
        <w:t xml:space="preserve">RF M&amp;E </w:t>
      </w:r>
      <w:r w:rsidR="00CF5984" w:rsidRPr="009B18B9">
        <w:t>committee recommended conducting an assessment of the situation and of the food safety system in the slaughterhouse.</w:t>
      </w:r>
      <w:r w:rsidR="00940C61" w:rsidRPr="009B18B9">
        <w:t xml:space="preserve"> A food safety expert was therefore recruited in January 2013 to conduct an analysis on needed equipment and training for the slaughterhouse to function according to good hygienic and manufacturing practices requirements. </w:t>
      </w:r>
      <w:r w:rsidR="00940C61" w:rsidRPr="009B18B9">
        <w:rPr>
          <w:lang w:val="en-GB"/>
        </w:rPr>
        <w:t xml:space="preserve">Through the on-site evaluation, the expert conducted an assessment of the slaughterhouse situation and recommended the required modifications to be undertaken. </w:t>
      </w:r>
    </w:p>
    <w:p w:rsidR="00CF5984" w:rsidRPr="009B18B9" w:rsidRDefault="00CF5984" w:rsidP="00940C61">
      <w:pPr>
        <w:jc w:val="both"/>
        <w:textAlignment w:val="top"/>
      </w:pPr>
    </w:p>
    <w:p w:rsidR="00CF5984" w:rsidRPr="009B18B9" w:rsidRDefault="00CF5984" w:rsidP="00CF5984">
      <w:pPr>
        <w:jc w:val="both"/>
      </w:pPr>
      <w:r w:rsidRPr="009B18B9">
        <w:rPr>
          <w:lang w:val="en-GB"/>
        </w:rPr>
        <w:t xml:space="preserve">According to the report, many modifications have to be made in order for the facility to meet the international GHP/GMP requirements. Only then the facility will be able to implement a HACCP plan to and ensure that a food safety system is in place. </w:t>
      </w:r>
    </w:p>
    <w:p w:rsidR="00CF5984" w:rsidRPr="009B18B9" w:rsidRDefault="00CF5984" w:rsidP="00CF5984">
      <w:pPr>
        <w:jc w:val="both"/>
      </w:pPr>
    </w:p>
    <w:p w:rsidR="00F467D7" w:rsidRPr="009B18B9" w:rsidRDefault="00CF5984" w:rsidP="009B18B9">
      <w:pPr>
        <w:jc w:val="both"/>
      </w:pPr>
      <w:r w:rsidRPr="009B18B9">
        <w:t xml:space="preserve">The report submitted by the expert was translated into Arabic and </w:t>
      </w:r>
      <w:r w:rsidR="00940C61" w:rsidRPr="009B18B9">
        <w:t>several copies of the report</w:t>
      </w:r>
      <w:r w:rsidR="00F467D7" w:rsidRPr="009B18B9">
        <w:t xml:space="preserve"> and its supporting documents</w:t>
      </w:r>
      <w:r w:rsidR="00940C61" w:rsidRPr="009B18B9">
        <w:t xml:space="preserve"> were shared with the Municipality of Halba to gather support for the slaughterhouse and make the needed improvements at the facility</w:t>
      </w:r>
      <w:r w:rsidR="00F467D7" w:rsidRPr="009B18B9">
        <w:t>.</w:t>
      </w:r>
    </w:p>
    <w:p w:rsidR="00940C61" w:rsidRPr="009B18B9" w:rsidRDefault="00940C61" w:rsidP="00CF5984">
      <w:pPr>
        <w:jc w:val="both"/>
      </w:pPr>
    </w:p>
    <w:p w:rsidR="00CF5984" w:rsidRPr="009B18B9" w:rsidRDefault="00CF5984" w:rsidP="00854226">
      <w:pPr>
        <w:pStyle w:val="ListParagraph"/>
        <w:numPr>
          <w:ilvl w:val="0"/>
          <w:numId w:val="25"/>
        </w:numPr>
        <w:autoSpaceDE w:val="0"/>
        <w:autoSpaceDN w:val="0"/>
        <w:adjustRightInd w:val="0"/>
        <w:jc w:val="both"/>
        <w:rPr>
          <w:i/>
          <w:iCs/>
        </w:rPr>
      </w:pPr>
      <w:r w:rsidRPr="009B18B9">
        <w:rPr>
          <w:i/>
          <w:iCs/>
        </w:rPr>
        <w:t>Supporting the Municipality of Bkarzla in upgrading the town’s sewerage system and mini-football field</w:t>
      </w:r>
    </w:p>
    <w:p w:rsidR="00CF5984" w:rsidRPr="009B18B9" w:rsidRDefault="00CF5984" w:rsidP="00CF5984">
      <w:pPr>
        <w:pStyle w:val="ListParagraph"/>
        <w:autoSpaceDE w:val="0"/>
        <w:autoSpaceDN w:val="0"/>
        <w:adjustRightInd w:val="0"/>
        <w:ind w:left="0"/>
        <w:jc w:val="both"/>
        <w:rPr>
          <w:u w:val="single"/>
        </w:rPr>
      </w:pPr>
    </w:p>
    <w:p w:rsidR="00CF5984" w:rsidRPr="009B18B9" w:rsidRDefault="00CF5984" w:rsidP="00427541">
      <w:pPr>
        <w:pStyle w:val="UN-10Bodycopy"/>
        <w:spacing w:line="240" w:lineRule="auto"/>
        <w:rPr>
          <w:rFonts w:ascii="Times New Roman" w:hAnsi="Times New Roman"/>
          <w:sz w:val="24"/>
          <w:szCs w:val="24"/>
        </w:rPr>
      </w:pPr>
      <w:r w:rsidRPr="009B18B9">
        <w:rPr>
          <w:rFonts w:ascii="Times New Roman" w:hAnsi="Times New Roman"/>
          <w:sz w:val="24"/>
          <w:szCs w:val="24"/>
          <w:lang w:val="en-GB"/>
        </w:rPr>
        <w:t xml:space="preserve">Based on discussions with UNDP, the </w:t>
      </w:r>
      <w:r w:rsidRPr="009B18B9">
        <w:rPr>
          <w:rFonts w:ascii="Times New Roman" w:hAnsi="Times New Roman"/>
          <w:sz w:val="24"/>
          <w:szCs w:val="24"/>
        </w:rPr>
        <w:t>Bkarzla</w:t>
      </w:r>
      <w:r w:rsidRPr="009B18B9">
        <w:rPr>
          <w:rFonts w:ascii="Times New Roman" w:hAnsi="Times New Roman"/>
          <w:sz w:val="24"/>
          <w:szCs w:val="24"/>
          <w:lang w:val="en-GB"/>
        </w:rPr>
        <w:t xml:space="preserve"> Municipality submitted a proposal to change the town’s 40-year old main sewerage pipeline and to rehabilitate its mini-football field in October 2012</w:t>
      </w:r>
      <w:r w:rsidR="00427541">
        <w:rPr>
          <w:rFonts w:ascii="Times New Roman" w:hAnsi="Times New Roman"/>
          <w:sz w:val="24"/>
          <w:szCs w:val="24"/>
          <w:lang w:val="en-GB"/>
        </w:rPr>
        <w:t xml:space="preserve"> </w:t>
      </w:r>
      <w:r w:rsidRPr="009B18B9">
        <w:rPr>
          <w:rFonts w:ascii="Times New Roman" w:hAnsi="Times New Roman"/>
          <w:sz w:val="24"/>
          <w:szCs w:val="24"/>
          <w:lang w:val="en-GB"/>
        </w:rPr>
        <w:t xml:space="preserve">to </w:t>
      </w:r>
      <w:r w:rsidRPr="009B18B9">
        <w:rPr>
          <w:rFonts w:ascii="Times New Roman" w:hAnsi="Times New Roman"/>
          <w:sz w:val="24"/>
          <w:szCs w:val="24"/>
        </w:rPr>
        <w:t>strengthen local governance structures for better basic services delivery and improvement of living conditions in the area.</w:t>
      </w:r>
    </w:p>
    <w:p w:rsidR="00CF5984" w:rsidRPr="009B18B9" w:rsidRDefault="00CF5984" w:rsidP="004A2B12">
      <w:pPr>
        <w:pStyle w:val="UN-10Bodycopy"/>
        <w:spacing w:line="240" w:lineRule="auto"/>
        <w:rPr>
          <w:rFonts w:ascii="Times New Roman" w:hAnsi="Times New Roman"/>
          <w:sz w:val="24"/>
          <w:szCs w:val="24"/>
          <w:lang w:val="en-GB"/>
        </w:rPr>
      </w:pPr>
      <w:r w:rsidRPr="009B18B9">
        <w:rPr>
          <w:rFonts w:ascii="Times New Roman" w:hAnsi="Times New Roman"/>
          <w:sz w:val="24"/>
          <w:szCs w:val="24"/>
          <w:lang w:val="en-GB"/>
        </w:rPr>
        <w:t xml:space="preserve">The Municipality was asked to prepare a detailed study including a </w:t>
      </w:r>
      <w:r w:rsidR="004A2B12">
        <w:rPr>
          <w:rFonts w:ascii="Times New Roman" w:hAnsi="Times New Roman"/>
          <w:sz w:val="24"/>
          <w:szCs w:val="24"/>
          <w:lang w:val="en-GB"/>
        </w:rPr>
        <w:t>bill of quantities</w:t>
      </w:r>
      <w:r w:rsidRPr="009B18B9">
        <w:rPr>
          <w:rFonts w:ascii="Times New Roman" w:hAnsi="Times New Roman"/>
          <w:sz w:val="24"/>
          <w:szCs w:val="24"/>
          <w:lang w:val="en-GB"/>
        </w:rPr>
        <w:t xml:space="preserve"> for both proje</w:t>
      </w:r>
      <w:r w:rsidR="00D173FC">
        <w:rPr>
          <w:rFonts w:ascii="Times New Roman" w:hAnsi="Times New Roman"/>
          <w:sz w:val="24"/>
          <w:szCs w:val="24"/>
          <w:lang w:val="en-GB"/>
        </w:rPr>
        <w:t xml:space="preserve">cts to be reviewed by UNDP. A </w:t>
      </w:r>
      <w:r w:rsidRPr="009B18B9">
        <w:rPr>
          <w:rFonts w:ascii="Times New Roman" w:hAnsi="Times New Roman"/>
          <w:sz w:val="24"/>
          <w:szCs w:val="24"/>
          <w:lang w:val="en-GB"/>
        </w:rPr>
        <w:t>civil engineer was</w:t>
      </w:r>
      <w:r w:rsidR="00D173FC">
        <w:rPr>
          <w:rFonts w:ascii="Times New Roman" w:hAnsi="Times New Roman"/>
          <w:sz w:val="24"/>
          <w:szCs w:val="24"/>
          <w:lang w:val="en-GB"/>
        </w:rPr>
        <w:t xml:space="preserve"> then</w:t>
      </w:r>
      <w:r w:rsidRPr="009B18B9">
        <w:rPr>
          <w:rFonts w:ascii="Times New Roman" w:hAnsi="Times New Roman"/>
          <w:sz w:val="24"/>
          <w:szCs w:val="24"/>
          <w:lang w:val="en-GB"/>
        </w:rPr>
        <w:t xml:space="preserve"> recruited to review the studies and supervise the works. </w:t>
      </w:r>
    </w:p>
    <w:p w:rsidR="004A2B12" w:rsidRDefault="00CF5984" w:rsidP="004A2B12">
      <w:pPr>
        <w:pStyle w:val="UN-10Bodycopy"/>
        <w:spacing w:line="240" w:lineRule="auto"/>
        <w:rPr>
          <w:rFonts w:ascii="Times New Roman" w:hAnsi="Times New Roman"/>
          <w:sz w:val="24"/>
          <w:szCs w:val="24"/>
          <w:lang w:val="en-GB"/>
        </w:rPr>
      </w:pPr>
      <w:r w:rsidRPr="009B18B9">
        <w:rPr>
          <w:rFonts w:ascii="Times New Roman" w:hAnsi="Times New Roman"/>
          <w:sz w:val="24"/>
          <w:szCs w:val="24"/>
          <w:lang w:val="en-GB"/>
        </w:rPr>
        <w:t xml:space="preserve">Upon the consultant’s request, the Municipality amended the studies, </w:t>
      </w:r>
      <w:r w:rsidRPr="009B18B9">
        <w:rPr>
          <w:rFonts w:ascii="Times New Roman" w:hAnsi="Times New Roman"/>
          <w:sz w:val="24"/>
          <w:szCs w:val="24"/>
        </w:rPr>
        <w:t>project plans</w:t>
      </w:r>
      <w:r w:rsidRPr="009B18B9">
        <w:rPr>
          <w:rFonts w:ascii="Times New Roman" w:hAnsi="Times New Roman"/>
          <w:sz w:val="24"/>
          <w:szCs w:val="24"/>
          <w:lang w:val="en-GB"/>
        </w:rPr>
        <w:t xml:space="preserve"> and BOQ</w:t>
      </w:r>
      <w:r w:rsidRPr="009B18B9">
        <w:rPr>
          <w:rFonts w:ascii="Times New Roman" w:hAnsi="Times New Roman"/>
          <w:sz w:val="24"/>
          <w:szCs w:val="24"/>
        </w:rPr>
        <w:t xml:space="preserve"> in January. After they were approved, the Municipality </w:t>
      </w:r>
      <w:r w:rsidRPr="009B18B9">
        <w:rPr>
          <w:rFonts w:ascii="Times New Roman" w:hAnsi="Times New Roman"/>
          <w:sz w:val="24"/>
          <w:szCs w:val="24"/>
          <w:lang w:val="en-GB"/>
        </w:rPr>
        <w:t>prepared the requests for quotation for the civil works needed with support from UNDP</w:t>
      </w:r>
      <w:r w:rsidR="004A2B12">
        <w:rPr>
          <w:rFonts w:ascii="Times New Roman" w:hAnsi="Times New Roman"/>
          <w:sz w:val="24"/>
          <w:szCs w:val="24"/>
          <w:lang w:val="en-GB"/>
        </w:rPr>
        <w:t xml:space="preserve"> and selected t</w:t>
      </w:r>
      <w:r w:rsidR="004A2B12" w:rsidRPr="009B18B9">
        <w:rPr>
          <w:rFonts w:ascii="Times New Roman" w:hAnsi="Times New Roman"/>
          <w:sz w:val="24"/>
          <w:szCs w:val="24"/>
        </w:rPr>
        <w:t xml:space="preserve">he best bidder </w:t>
      </w:r>
      <w:r w:rsidR="004A2B12">
        <w:rPr>
          <w:rFonts w:ascii="Times New Roman" w:hAnsi="Times New Roman"/>
          <w:sz w:val="24"/>
          <w:szCs w:val="24"/>
        </w:rPr>
        <w:t>for the implementation of the works.</w:t>
      </w:r>
    </w:p>
    <w:p w:rsidR="00CF5984" w:rsidRPr="009B18B9" w:rsidRDefault="00CF5984" w:rsidP="004A2B12">
      <w:pPr>
        <w:jc w:val="both"/>
        <w:rPr>
          <w:lang w:val="en-GB"/>
        </w:rPr>
      </w:pPr>
      <w:r w:rsidRPr="009B18B9">
        <w:rPr>
          <w:lang w:val="en-GB"/>
        </w:rPr>
        <w:t>Based on the selected offer, a grant agreement was signed between UNDP and</w:t>
      </w:r>
      <w:r w:rsidRPr="009B18B9">
        <w:t xml:space="preserve"> the Municipality </w:t>
      </w:r>
      <w:r w:rsidR="004A2B12">
        <w:t xml:space="preserve">in March 2013. </w:t>
      </w:r>
      <w:r w:rsidRPr="009B18B9">
        <w:t>T</w:t>
      </w:r>
      <w:r w:rsidRPr="009B18B9">
        <w:rPr>
          <w:lang w:val="en-GB"/>
        </w:rPr>
        <w:t xml:space="preserve">hree sewage lines and </w:t>
      </w:r>
      <w:r w:rsidR="004A2B12">
        <w:rPr>
          <w:lang w:val="en-GB"/>
        </w:rPr>
        <w:t>a</w:t>
      </w:r>
      <w:r w:rsidRPr="009B18B9">
        <w:rPr>
          <w:lang w:val="en-GB"/>
        </w:rPr>
        <w:t xml:space="preserve"> mini-football field were rehabilitated</w:t>
      </w:r>
      <w:r w:rsidR="004A2B12">
        <w:rPr>
          <w:lang w:val="en-GB"/>
        </w:rPr>
        <w:t xml:space="preserve"> between April and August  2013</w:t>
      </w:r>
      <w:r w:rsidRPr="009B18B9">
        <w:rPr>
          <w:lang w:val="en-GB"/>
        </w:rPr>
        <w:t xml:space="preserve"> under the supervision of the Municipality and UNDP.</w:t>
      </w:r>
    </w:p>
    <w:p w:rsidR="00CF5984" w:rsidRPr="009B18B9" w:rsidRDefault="00CF5984" w:rsidP="00CF5984">
      <w:pPr>
        <w:jc w:val="both"/>
        <w:rPr>
          <w:lang w:val="en-GB"/>
        </w:rPr>
      </w:pPr>
    </w:p>
    <w:p w:rsidR="00CF5984" w:rsidRPr="00BD5D68" w:rsidRDefault="00CF5984" w:rsidP="00CF5984">
      <w:pPr>
        <w:pStyle w:val="BodyText2"/>
        <w:rPr>
          <w:rFonts w:ascii="Times New Roman" w:hAnsi="Times New Roman" w:cs="Times New Roman"/>
          <w:sz w:val="24"/>
          <w:szCs w:val="24"/>
        </w:rPr>
      </w:pPr>
      <w:r w:rsidRPr="00BD5D68">
        <w:rPr>
          <w:rFonts w:ascii="Times New Roman" w:hAnsi="Times New Roman" w:cs="Times New Roman"/>
          <w:sz w:val="24"/>
          <w:szCs w:val="24"/>
        </w:rPr>
        <w:t>Photographs of the mini-football field</w:t>
      </w:r>
      <w:r w:rsidR="00F5225D">
        <w:rPr>
          <w:rFonts w:ascii="Times New Roman" w:hAnsi="Times New Roman" w:cs="Times New Roman"/>
          <w:sz w:val="24"/>
          <w:szCs w:val="24"/>
        </w:rPr>
        <w:t xml:space="preserve"> and the sewage networks’ rehabilitation:</w:t>
      </w:r>
    </w:p>
    <w:p w:rsidR="00803CC2" w:rsidRDefault="00803CC2" w:rsidP="00CF5984">
      <w:pPr>
        <w:pStyle w:val="BodyText2"/>
        <w:rPr>
          <w:rFonts w:ascii="Calibri" w:hAnsi="Calibri"/>
          <w:szCs w:val="22"/>
        </w:rPr>
      </w:pPr>
    </w:p>
    <w:p w:rsidR="00F5225D" w:rsidRDefault="00F5225D" w:rsidP="006B3A78">
      <w:pPr>
        <w:pStyle w:val="BodyText2"/>
        <w:jc w:val="center"/>
        <w:rPr>
          <w:rFonts w:ascii="Calibri" w:hAnsi="Calibri"/>
          <w:szCs w:val="22"/>
        </w:rPr>
      </w:pPr>
    </w:p>
    <w:p w:rsidR="00F5225D" w:rsidRDefault="00F5225D" w:rsidP="00CF5984">
      <w:pPr>
        <w:pStyle w:val="BodyText2"/>
        <w:rPr>
          <w:rFonts w:ascii="Calibri" w:hAnsi="Calibri"/>
          <w:szCs w:val="22"/>
        </w:rPr>
      </w:pPr>
    </w:p>
    <w:p w:rsidR="00F5225D" w:rsidRDefault="001A2F79" w:rsidP="00AE09E4">
      <w:pPr>
        <w:pStyle w:val="BodyText2"/>
        <w:jc w:val="center"/>
        <w:rPr>
          <w:rFonts w:ascii="Calibri" w:hAnsi="Calibri"/>
          <w:szCs w:val="22"/>
        </w:rPr>
      </w:pPr>
      <w:r>
        <w:rPr>
          <w:rFonts w:ascii="Calibri" w:hAnsi="Calibri"/>
          <w:noProof/>
          <w:szCs w:val="22"/>
        </w:rPr>
        <w:lastRenderedPageBreak/>
        <w:drawing>
          <wp:inline distT="0" distB="0" distL="0" distR="0">
            <wp:extent cx="4267200" cy="2924175"/>
            <wp:effectExtent l="19050" t="0" r="0" b="0"/>
            <wp:docPr id="13" name="Picture 13" descr="N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8)"/>
                    <pic:cNvPicPr>
                      <a:picLocks noChangeAspect="1" noChangeArrowheads="1"/>
                    </pic:cNvPicPr>
                  </pic:nvPicPr>
                  <pic:blipFill>
                    <a:blip r:embed="rId20" cstate="print"/>
                    <a:srcRect/>
                    <a:stretch>
                      <a:fillRect/>
                    </a:stretch>
                  </pic:blipFill>
                  <pic:spPr bwMode="auto">
                    <a:xfrm>
                      <a:off x="0" y="0"/>
                      <a:ext cx="4267200" cy="2924175"/>
                    </a:xfrm>
                    <a:prstGeom prst="rect">
                      <a:avLst/>
                    </a:prstGeom>
                    <a:noFill/>
                    <a:ln w="9525">
                      <a:noFill/>
                      <a:miter lim="800000"/>
                      <a:headEnd/>
                      <a:tailEnd/>
                    </a:ln>
                  </pic:spPr>
                </pic:pic>
              </a:graphicData>
            </a:graphic>
          </wp:inline>
        </w:drawing>
      </w:r>
    </w:p>
    <w:p w:rsidR="00F5225D" w:rsidRDefault="00F5225D" w:rsidP="00F5225D">
      <w:pPr>
        <w:pStyle w:val="BodyText2"/>
        <w:rPr>
          <w:rFonts w:ascii="Calibri" w:hAnsi="Calibri"/>
          <w:b/>
          <w:bCs/>
          <w:szCs w:val="22"/>
        </w:rPr>
      </w:pPr>
    </w:p>
    <w:p w:rsidR="00F5225D" w:rsidRDefault="00F5225D" w:rsidP="00F5225D">
      <w:pPr>
        <w:pStyle w:val="BodyText2"/>
        <w:rPr>
          <w:rFonts w:ascii="Calibri" w:hAnsi="Calibri"/>
          <w:b/>
          <w:bCs/>
          <w:szCs w:val="22"/>
        </w:rPr>
      </w:pPr>
    </w:p>
    <w:p w:rsidR="00F5225D" w:rsidRDefault="001A2F79" w:rsidP="00AC7147">
      <w:pPr>
        <w:pStyle w:val="BodyText2"/>
        <w:jc w:val="center"/>
        <w:rPr>
          <w:rFonts w:ascii="Calibri" w:hAnsi="Calibri"/>
          <w:b/>
          <w:bCs/>
          <w:szCs w:val="22"/>
        </w:rPr>
      </w:pPr>
      <w:r>
        <w:rPr>
          <w:rFonts w:ascii="Calibri" w:hAnsi="Calibri"/>
          <w:b/>
          <w:bCs/>
          <w:noProof/>
          <w:szCs w:val="22"/>
        </w:rPr>
        <w:drawing>
          <wp:inline distT="0" distB="0" distL="0" distR="0">
            <wp:extent cx="1676400" cy="3000375"/>
            <wp:effectExtent l="19050" t="0" r="0" b="0"/>
            <wp:docPr id="14" name="Picture 14" descr="New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Picture (10)"/>
                    <pic:cNvPicPr>
                      <a:picLocks noChangeAspect="1" noChangeArrowheads="1"/>
                    </pic:cNvPicPr>
                  </pic:nvPicPr>
                  <pic:blipFill>
                    <a:blip r:embed="rId21" cstate="print"/>
                    <a:srcRect/>
                    <a:stretch>
                      <a:fillRect/>
                    </a:stretch>
                  </pic:blipFill>
                  <pic:spPr bwMode="auto">
                    <a:xfrm>
                      <a:off x="0" y="0"/>
                      <a:ext cx="1676400" cy="3000375"/>
                    </a:xfrm>
                    <a:prstGeom prst="rect">
                      <a:avLst/>
                    </a:prstGeom>
                    <a:noFill/>
                    <a:ln w="9525">
                      <a:noFill/>
                      <a:miter lim="800000"/>
                      <a:headEnd/>
                      <a:tailEnd/>
                    </a:ln>
                  </pic:spPr>
                </pic:pic>
              </a:graphicData>
            </a:graphic>
          </wp:inline>
        </w:drawing>
      </w:r>
      <w:r>
        <w:rPr>
          <w:rFonts w:ascii="Calibri" w:hAnsi="Calibri"/>
          <w:b/>
          <w:bCs/>
          <w:noProof/>
          <w:szCs w:val="22"/>
        </w:rPr>
        <w:drawing>
          <wp:inline distT="0" distB="0" distL="0" distR="0">
            <wp:extent cx="2000250" cy="3000375"/>
            <wp:effectExtent l="19050" t="0" r="0" b="0"/>
            <wp:docPr id="15" name="Picture 15" descr="New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Picture (11)"/>
                    <pic:cNvPicPr>
                      <a:picLocks noChangeAspect="1" noChangeArrowheads="1"/>
                    </pic:cNvPicPr>
                  </pic:nvPicPr>
                  <pic:blipFill>
                    <a:blip r:embed="rId22" cstate="print"/>
                    <a:srcRect/>
                    <a:stretch>
                      <a:fillRect/>
                    </a:stretch>
                  </pic:blipFill>
                  <pic:spPr bwMode="auto">
                    <a:xfrm>
                      <a:off x="0" y="0"/>
                      <a:ext cx="2000250" cy="3000375"/>
                    </a:xfrm>
                    <a:prstGeom prst="rect">
                      <a:avLst/>
                    </a:prstGeom>
                    <a:noFill/>
                    <a:ln w="9525">
                      <a:noFill/>
                      <a:miter lim="800000"/>
                      <a:headEnd/>
                      <a:tailEnd/>
                    </a:ln>
                  </pic:spPr>
                </pic:pic>
              </a:graphicData>
            </a:graphic>
          </wp:inline>
        </w:drawing>
      </w:r>
      <w:r>
        <w:rPr>
          <w:rFonts w:ascii="Calibri" w:hAnsi="Calibri"/>
          <w:b/>
          <w:bCs/>
          <w:noProof/>
          <w:szCs w:val="22"/>
        </w:rPr>
        <w:drawing>
          <wp:inline distT="0" distB="0" distL="0" distR="0">
            <wp:extent cx="2009775" cy="3000375"/>
            <wp:effectExtent l="19050" t="0" r="9525" b="0"/>
            <wp:docPr id="16" name="Picture 16" descr="N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Picture (9)"/>
                    <pic:cNvPicPr>
                      <a:picLocks noChangeAspect="1" noChangeArrowheads="1"/>
                    </pic:cNvPicPr>
                  </pic:nvPicPr>
                  <pic:blipFill>
                    <a:blip r:embed="rId23" cstate="print"/>
                    <a:srcRect/>
                    <a:stretch>
                      <a:fillRect/>
                    </a:stretch>
                  </pic:blipFill>
                  <pic:spPr bwMode="auto">
                    <a:xfrm>
                      <a:off x="0" y="0"/>
                      <a:ext cx="2009775" cy="3000375"/>
                    </a:xfrm>
                    <a:prstGeom prst="rect">
                      <a:avLst/>
                    </a:prstGeom>
                    <a:noFill/>
                    <a:ln w="9525">
                      <a:noFill/>
                      <a:miter lim="800000"/>
                      <a:headEnd/>
                      <a:tailEnd/>
                    </a:ln>
                  </pic:spPr>
                </pic:pic>
              </a:graphicData>
            </a:graphic>
          </wp:inline>
        </w:drawing>
      </w:r>
    </w:p>
    <w:p w:rsidR="006B3A78" w:rsidRDefault="001A2F79" w:rsidP="007F019F">
      <w:pPr>
        <w:jc w:val="center"/>
        <w:rPr>
          <w:b/>
          <w:bCs/>
          <w:color w:val="FF0000"/>
        </w:rPr>
      </w:pPr>
      <w:r>
        <w:rPr>
          <w:b/>
          <w:bCs/>
          <w:noProof/>
          <w:color w:val="FF0000"/>
        </w:rPr>
        <w:lastRenderedPageBreak/>
        <w:drawing>
          <wp:inline distT="0" distB="0" distL="0" distR="0">
            <wp:extent cx="1743075" cy="3095625"/>
            <wp:effectExtent l="19050" t="0" r="9525" b="0"/>
            <wp:docPr id="17" name="Picture 17" descr="New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Picture (13)"/>
                    <pic:cNvPicPr>
                      <a:picLocks noChangeAspect="1" noChangeArrowheads="1"/>
                    </pic:cNvPicPr>
                  </pic:nvPicPr>
                  <pic:blipFill>
                    <a:blip r:embed="rId24" cstate="print"/>
                    <a:srcRect/>
                    <a:stretch>
                      <a:fillRect/>
                    </a:stretch>
                  </pic:blipFill>
                  <pic:spPr bwMode="auto">
                    <a:xfrm>
                      <a:off x="0" y="0"/>
                      <a:ext cx="1743075" cy="3095625"/>
                    </a:xfrm>
                    <a:prstGeom prst="rect">
                      <a:avLst/>
                    </a:prstGeom>
                    <a:noFill/>
                    <a:ln w="9525">
                      <a:noFill/>
                      <a:miter lim="800000"/>
                      <a:headEnd/>
                      <a:tailEnd/>
                    </a:ln>
                  </pic:spPr>
                </pic:pic>
              </a:graphicData>
            </a:graphic>
          </wp:inline>
        </w:drawing>
      </w:r>
      <w:r>
        <w:rPr>
          <w:b/>
          <w:bCs/>
          <w:noProof/>
          <w:color w:val="FF0000"/>
        </w:rPr>
        <w:drawing>
          <wp:inline distT="0" distB="0" distL="0" distR="0">
            <wp:extent cx="1743075" cy="3095625"/>
            <wp:effectExtent l="19050" t="0" r="9525" b="0"/>
            <wp:docPr id="18" name="Picture 18" descr="N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Picture (14)"/>
                    <pic:cNvPicPr>
                      <a:picLocks noChangeAspect="1" noChangeArrowheads="1"/>
                    </pic:cNvPicPr>
                  </pic:nvPicPr>
                  <pic:blipFill>
                    <a:blip r:embed="rId25" cstate="print"/>
                    <a:srcRect/>
                    <a:stretch>
                      <a:fillRect/>
                    </a:stretch>
                  </pic:blipFill>
                  <pic:spPr bwMode="auto">
                    <a:xfrm>
                      <a:off x="0" y="0"/>
                      <a:ext cx="1743075" cy="3095625"/>
                    </a:xfrm>
                    <a:prstGeom prst="rect">
                      <a:avLst/>
                    </a:prstGeom>
                    <a:noFill/>
                    <a:ln w="9525">
                      <a:noFill/>
                      <a:miter lim="800000"/>
                      <a:headEnd/>
                      <a:tailEnd/>
                    </a:ln>
                  </pic:spPr>
                </pic:pic>
              </a:graphicData>
            </a:graphic>
          </wp:inline>
        </w:drawing>
      </w:r>
      <w:r>
        <w:rPr>
          <w:b/>
          <w:bCs/>
          <w:noProof/>
          <w:color w:val="FF0000"/>
        </w:rPr>
        <w:drawing>
          <wp:inline distT="0" distB="0" distL="0" distR="0">
            <wp:extent cx="1743075" cy="3095625"/>
            <wp:effectExtent l="19050" t="0" r="9525" b="0"/>
            <wp:docPr id="19" name="Picture 19" descr="New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Picture (12)"/>
                    <pic:cNvPicPr>
                      <a:picLocks noChangeAspect="1" noChangeArrowheads="1"/>
                    </pic:cNvPicPr>
                  </pic:nvPicPr>
                  <pic:blipFill>
                    <a:blip r:embed="rId26" cstate="print"/>
                    <a:srcRect/>
                    <a:stretch>
                      <a:fillRect/>
                    </a:stretch>
                  </pic:blipFill>
                  <pic:spPr bwMode="auto">
                    <a:xfrm>
                      <a:off x="0" y="0"/>
                      <a:ext cx="1743075" cy="3095625"/>
                    </a:xfrm>
                    <a:prstGeom prst="rect">
                      <a:avLst/>
                    </a:prstGeom>
                    <a:noFill/>
                    <a:ln w="9525">
                      <a:noFill/>
                      <a:miter lim="800000"/>
                      <a:headEnd/>
                      <a:tailEnd/>
                    </a:ln>
                  </pic:spPr>
                </pic:pic>
              </a:graphicData>
            </a:graphic>
          </wp:inline>
        </w:drawing>
      </w:r>
    </w:p>
    <w:p w:rsidR="007F019F" w:rsidRPr="007F019F" w:rsidRDefault="007F019F" w:rsidP="007F019F">
      <w:pPr>
        <w:jc w:val="center"/>
        <w:rPr>
          <w:b/>
          <w:bCs/>
          <w:color w:val="FF0000"/>
        </w:rPr>
      </w:pPr>
    </w:p>
    <w:p w:rsidR="006B3A78" w:rsidRDefault="006B3A78" w:rsidP="007F019F">
      <w:pPr>
        <w:jc w:val="both"/>
        <w:rPr>
          <w:b/>
          <w:bCs/>
          <w:color w:val="FF0000"/>
          <w:u w:val="single"/>
        </w:rPr>
      </w:pPr>
    </w:p>
    <w:p w:rsidR="00D64B2B" w:rsidRPr="00D64B2B" w:rsidRDefault="00D64B2B" w:rsidP="00D64B2B">
      <w:pPr>
        <w:jc w:val="both"/>
        <w:rPr>
          <w:u w:val="single"/>
        </w:rPr>
      </w:pPr>
      <w:r w:rsidRPr="00D64B2B">
        <w:rPr>
          <w:u w:val="single"/>
        </w:rPr>
        <w:t>Output 3: Dialogue improved through local level interventions, particularly targeting youth</w:t>
      </w:r>
    </w:p>
    <w:p w:rsidR="00D64B2B" w:rsidRDefault="00D64B2B" w:rsidP="00D64B2B">
      <w:pPr>
        <w:jc w:val="both"/>
        <w:rPr>
          <w:b/>
          <w:bCs/>
          <w:color w:val="FF0000"/>
          <w:u w:val="single"/>
        </w:rPr>
      </w:pPr>
    </w:p>
    <w:p w:rsidR="00D64B2B" w:rsidRPr="00B46BD4" w:rsidRDefault="00D64B2B" w:rsidP="00690DF7">
      <w:pPr>
        <w:jc w:val="both"/>
        <w:rPr>
          <w:lang/>
        </w:rPr>
      </w:pPr>
      <w:r w:rsidRPr="00B46BD4">
        <w:rPr>
          <w:lang/>
        </w:rPr>
        <w:t xml:space="preserve">With regard to the youth component, aiming at promoting dialogue between Lebanese and Palestinian men and women, UNDP adopted an approach whereby structured spaces for dialogue were provided and continuous contact between youth </w:t>
      </w:r>
      <w:r w:rsidR="00690DF7">
        <w:rPr>
          <w:lang/>
        </w:rPr>
        <w:t xml:space="preserve">was </w:t>
      </w:r>
      <w:r w:rsidRPr="00B46BD4">
        <w:rPr>
          <w:lang/>
        </w:rPr>
        <w:t xml:space="preserve">ensured through several activities. </w:t>
      </w:r>
    </w:p>
    <w:p w:rsidR="00D64B2B" w:rsidRPr="00B46BD4" w:rsidRDefault="00D64B2B" w:rsidP="00D64B2B">
      <w:pPr>
        <w:jc w:val="both"/>
        <w:rPr>
          <w:lang/>
        </w:rPr>
      </w:pPr>
    </w:p>
    <w:p w:rsidR="00D64B2B" w:rsidRPr="00B46BD4" w:rsidRDefault="00D64B2B" w:rsidP="00D64B2B">
      <w:pPr>
        <w:jc w:val="both"/>
      </w:pPr>
      <w:r w:rsidRPr="00B46BD4">
        <w:t>The participating youth were selected on the basis of the following criteria:</w:t>
      </w:r>
    </w:p>
    <w:p w:rsidR="00D64B2B" w:rsidRPr="00B46BD4" w:rsidRDefault="00D64B2B" w:rsidP="00854226">
      <w:pPr>
        <w:pStyle w:val="ListParagraph"/>
        <w:numPr>
          <w:ilvl w:val="0"/>
          <w:numId w:val="22"/>
        </w:numPr>
        <w:ind w:left="1440"/>
        <w:jc w:val="both"/>
      </w:pPr>
      <w:r w:rsidRPr="00B46BD4">
        <w:t>Age between 15 and 25</w:t>
      </w:r>
      <w:r w:rsidR="006A5BD8">
        <w:t>;</w:t>
      </w:r>
      <w:r w:rsidRPr="00B46BD4">
        <w:t xml:space="preserve">  </w:t>
      </w:r>
    </w:p>
    <w:p w:rsidR="00D64B2B" w:rsidRPr="00B46BD4" w:rsidRDefault="00D64B2B" w:rsidP="00854226">
      <w:pPr>
        <w:pStyle w:val="ListParagraph"/>
        <w:numPr>
          <w:ilvl w:val="0"/>
          <w:numId w:val="22"/>
        </w:numPr>
        <w:ind w:left="1440"/>
        <w:jc w:val="both"/>
      </w:pPr>
      <w:r w:rsidRPr="00B46BD4">
        <w:t>Diverse educational background (school, university, t</w:t>
      </w:r>
      <w:r w:rsidR="006A5BD8">
        <w:t>echnical education, uneducated);</w:t>
      </w:r>
    </w:p>
    <w:p w:rsidR="00D64B2B" w:rsidRPr="00B46BD4" w:rsidRDefault="006A5BD8" w:rsidP="00854226">
      <w:pPr>
        <w:pStyle w:val="ListParagraph"/>
        <w:numPr>
          <w:ilvl w:val="0"/>
          <w:numId w:val="22"/>
        </w:numPr>
        <w:ind w:left="1440"/>
        <w:jc w:val="both"/>
      </w:pPr>
      <w:r>
        <w:t>Diverse employment status;</w:t>
      </w:r>
    </w:p>
    <w:p w:rsidR="00D64B2B" w:rsidRPr="00B46BD4" w:rsidRDefault="006A5BD8" w:rsidP="00854226">
      <w:pPr>
        <w:pStyle w:val="ListParagraph"/>
        <w:numPr>
          <w:ilvl w:val="0"/>
          <w:numId w:val="22"/>
        </w:numPr>
        <w:ind w:left="1440"/>
        <w:jc w:val="both"/>
      </w:pPr>
      <w:r>
        <w:t>Social activism;</w:t>
      </w:r>
    </w:p>
    <w:p w:rsidR="00D64B2B" w:rsidRPr="00B46BD4" w:rsidRDefault="00D64B2B" w:rsidP="00854226">
      <w:pPr>
        <w:pStyle w:val="ListParagraph"/>
        <w:numPr>
          <w:ilvl w:val="0"/>
          <w:numId w:val="22"/>
        </w:numPr>
        <w:ind w:left="1440"/>
        <w:jc w:val="both"/>
      </w:pPr>
      <w:r w:rsidRPr="00B46BD4">
        <w:t>Diverse religious background</w:t>
      </w:r>
      <w:r w:rsidR="006A5BD8">
        <w:t>;</w:t>
      </w:r>
      <w:r w:rsidRPr="00B46BD4">
        <w:t xml:space="preserve"> </w:t>
      </w:r>
    </w:p>
    <w:p w:rsidR="00D64B2B" w:rsidRPr="00B46BD4" w:rsidRDefault="00D64B2B" w:rsidP="00854226">
      <w:pPr>
        <w:pStyle w:val="ListParagraph"/>
        <w:numPr>
          <w:ilvl w:val="0"/>
          <w:numId w:val="22"/>
        </w:numPr>
        <w:ind w:left="1440"/>
        <w:jc w:val="both"/>
      </w:pPr>
      <w:r w:rsidRPr="00B46BD4">
        <w:t>Accepts differences and respects others</w:t>
      </w:r>
      <w:r w:rsidR="006A5BD8">
        <w:t>.</w:t>
      </w:r>
    </w:p>
    <w:p w:rsidR="00D64B2B" w:rsidRDefault="00D64B2B" w:rsidP="00D64B2B">
      <w:pPr>
        <w:jc w:val="both"/>
        <w:rPr>
          <w:color w:val="FF0000"/>
          <w:lang/>
        </w:rPr>
      </w:pPr>
    </w:p>
    <w:p w:rsidR="00D64B2B" w:rsidRPr="00663A3E" w:rsidRDefault="00D64B2B" w:rsidP="00D64B2B">
      <w:pPr>
        <w:jc w:val="both"/>
        <w:rPr>
          <w:lang/>
        </w:rPr>
      </w:pPr>
      <w:r w:rsidRPr="00B46BD4">
        <w:rPr>
          <w:lang/>
        </w:rPr>
        <w:t xml:space="preserve">In </w:t>
      </w:r>
      <w:r w:rsidRPr="00663A3E">
        <w:rPr>
          <w:lang/>
        </w:rPr>
        <w:t>this context, several activities were designed and implemented in 2</w:t>
      </w:r>
      <w:r w:rsidR="006A5BD8">
        <w:rPr>
          <w:lang/>
        </w:rPr>
        <w:t>0</w:t>
      </w:r>
      <w:r w:rsidRPr="00663A3E">
        <w:rPr>
          <w:lang/>
        </w:rPr>
        <w:t>10 and 2011:</w:t>
      </w:r>
    </w:p>
    <w:p w:rsidR="00D64B2B" w:rsidRPr="00663A3E" w:rsidRDefault="00D64B2B" w:rsidP="00D64B2B">
      <w:pPr>
        <w:jc w:val="both"/>
        <w:rPr>
          <w:lang/>
        </w:rPr>
      </w:pPr>
    </w:p>
    <w:p w:rsidR="001044BA" w:rsidRDefault="003F6DAF" w:rsidP="00854226">
      <w:pPr>
        <w:numPr>
          <w:ilvl w:val="0"/>
          <w:numId w:val="26"/>
        </w:numPr>
        <w:jc w:val="both"/>
      </w:pPr>
      <w:r>
        <w:rPr>
          <w:lang/>
        </w:rPr>
        <w:t>The</w:t>
      </w:r>
      <w:r w:rsidR="00D64B2B" w:rsidRPr="00663A3E">
        <w:rPr>
          <w:lang/>
        </w:rPr>
        <w:t xml:space="preserve"> </w:t>
      </w:r>
      <w:r>
        <w:rPr>
          <w:lang/>
        </w:rPr>
        <w:t>“</w:t>
      </w:r>
      <w:r w:rsidR="00D64B2B" w:rsidRPr="00663A3E">
        <w:rPr>
          <w:lang/>
        </w:rPr>
        <w:t>sport for peace camp</w:t>
      </w:r>
      <w:r>
        <w:rPr>
          <w:lang/>
        </w:rPr>
        <w:t>”</w:t>
      </w:r>
      <w:r w:rsidR="00D64B2B" w:rsidRPr="00663A3E">
        <w:rPr>
          <w:lang/>
        </w:rPr>
        <w:t xml:space="preserve"> bringing together 75 Lebanese and Palestinian youth was organized in 2010. The camp </w:t>
      </w:r>
      <w:r w:rsidR="00D2259F" w:rsidRPr="00663A3E">
        <w:rPr>
          <w:lang/>
        </w:rPr>
        <w:t>provided</w:t>
      </w:r>
      <w:r w:rsidR="00D64B2B" w:rsidRPr="00663A3E">
        <w:rPr>
          <w:lang/>
        </w:rPr>
        <w:t xml:space="preserve"> conflict prevention skills throu</w:t>
      </w:r>
      <w:r w:rsidR="002C60B8" w:rsidRPr="00663A3E">
        <w:rPr>
          <w:lang/>
        </w:rPr>
        <w:t xml:space="preserve">gh technical sports skills and </w:t>
      </w:r>
      <w:r w:rsidR="00D64B2B" w:rsidRPr="00663A3E">
        <w:t>mixed-L</w:t>
      </w:r>
      <w:r>
        <w:t>ebanese-</w:t>
      </w:r>
      <w:r w:rsidR="00D64B2B" w:rsidRPr="00663A3E">
        <w:t>Palestinian teams.</w:t>
      </w:r>
    </w:p>
    <w:p w:rsidR="00D64B2B" w:rsidRPr="00663A3E" w:rsidRDefault="00D64B2B" w:rsidP="001044BA">
      <w:pPr>
        <w:ind w:left="720"/>
        <w:jc w:val="both"/>
      </w:pPr>
      <w:r w:rsidRPr="00663A3E">
        <w:t xml:space="preserve"> </w:t>
      </w:r>
    </w:p>
    <w:p w:rsidR="00D64B2B" w:rsidRDefault="00D64B2B" w:rsidP="00854226">
      <w:pPr>
        <w:pStyle w:val="ListParagraph"/>
        <w:numPr>
          <w:ilvl w:val="0"/>
          <w:numId w:val="26"/>
        </w:numPr>
        <w:spacing w:after="200" w:line="276" w:lineRule="auto"/>
        <w:jc w:val="both"/>
      </w:pPr>
      <w:r w:rsidRPr="00663A3E">
        <w:t>A two-days sport tournament where mixed Lebanese and Palestinian football teams were created</w:t>
      </w:r>
      <w:r w:rsidR="00D2259F" w:rsidRPr="00663A3E">
        <w:t xml:space="preserve">, </w:t>
      </w:r>
      <w:r w:rsidR="002C60B8" w:rsidRPr="00663A3E">
        <w:t xml:space="preserve">also </w:t>
      </w:r>
      <w:r w:rsidR="00D2259F" w:rsidRPr="00663A3E">
        <w:t>brought together young men from very different backgrounds</w:t>
      </w:r>
      <w:r w:rsidR="002C60B8" w:rsidRPr="00663A3E">
        <w:t xml:space="preserve"> in 2010</w:t>
      </w:r>
      <w:r w:rsidR="001044BA">
        <w:t>.</w:t>
      </w:r>
    </w:p>
    <w:p w:rsidR="001044BA" w:rsidRDefault="001044BA" w:rsidP="001044BA">
      <w:pPr>
        <w:pStyle w:val="ListParagraph"/>
      </w:pPr>
    </w:p>
    <w:p w:rsidR="00D64B2B" w:rsidRDefault="00D64B2B" w:rsidP="00854226">
      <w:pPr>
        <w:pStyle w:val="ListParagraph"/>
        <w:numPr>
          <w:ilvl w:val="0"/>
          <w:numId w:val="26"/>
        </w:numPr>
        <w:spacing w:after="200" w:line="276" w:lineRule="auto"/>
        <w:jc w:val="both"/>
      </w:pPr>
      <w:r w:rsidRPr="00663A3E">
        <w:t xml:space="preserve">A two-day workshop for 22 Lebanese and Palestinian young men and women </w:t>
      </w:r>
      <w:r w:rsidR="00E95CC3">
        <w:t>took place</w:t>
      </w:r>
      <w:r w:rsidRPr="00663A3E">
        <w:t xml:space="preserve"> in 2010. The attendees </w:t>
      </w:r>
      <w:r w:rsidR="00D2259F" w:rsidRPr="00663A3E">
        <w:t>learned</w:t>
      </w:r>
      <w:r w:rsidRPr="00663A3E">
        <w:t xml:space="preserve"> conflict prevention </w:t>
      </w:r>
      <w:r w:rsidR="00D2259F" w:rsidRPr="00663A3E">
        <w:t xml:space="preserve">and peace building </w:t>
      </w:r>
      <w:r w:rsidR="001044BA">
        <w:t>skills.</w:t>
      </w:r>
    </w:p>
    <w:p w:rsidR="001044BA" w:rsidRPr="00663A3E" w:rsidRDefault="001044BA" w:rsidP="001044BA">
      <w:pPr>
        <w:pStyle w:val="ListParagraph"/>
        <w:spacing w:after="200" w:line="276" w:lineRule="auto"/>
        <w:jc w:val="both"/>
      </w:pPr>
    </w:p>
    <w:p w:rsidR="00D64B2B" w:rsidRDefault="002C60B8" w:rsidP="00854226">
      <w:pPr>
        <w:pStyle w:val="ListParagraph"/>
        <w:numPr>
          <w:ilvl w:val="0"/>
          <w:numId w:val="26"/>
        </w:numPr>
        <w:spacing w:after="200" w:line="276" w:lineRule="auto"/>
        <w:jc w:val="both"/>
      </w:pPr>
      <w:r w:rsidRPr="00663A3E">
        <w:t xml:space="preserve">A mountain trail activity with </w:t>
      </w:r>
      <w:r w:rsidR="00D64B2B" w:rsidRPr="00663A3E">
        <w:t>20 young Palestinian and Lebanese men and women was conducted</w:t>
      </w:r>
      <w:r w:rsidRPr="00663A3E">
        <w:t xml:space="preserve"> in 2010 </w:t>
      </w:r>
      <w:r w:rsidR="00D64B2B" w:rsidRPr="00663A3E">
        <w:t xml:space="preserve">to provide an agreeable environment for youth to exchange and be trained on conflict prevention and </w:t>
      </w:r>
      <w:r w:rsidR="00964525" w:rsidRPr="00663A3E">
        <w:t xml:space="preserve">conflict </w:t>
      </w:r>
      <w:r w:rsidR="00D64B2B" w:rsidRPr="00663A3E">
        <w:t>resolution skills.</w:t>
      </w:r>
    </w:p>
    <w:p w:rsidR="001044BA" w:rsidRDefault="001044BA" w:rsidP="001044BA">
      <w:pPr>
        <w:pStyle w:val="ListParagraph"/>
      </w:pPr>
    </w:p>
    <w:p w:rsidR="00224F98" w:rsidRDefault="00224F98" w:rsidP="00854226">
      <w:pPr>
        <w:pStyle w:val="ListParagraph"/>
        <w:numPr>
          <w:ilvl w:val="0"/>
          <w:numId w:val="26"/>
        </w:numPr>
        <w:spacing w:after="200" w:line="276" w:lineRule="auto"/>
        <w:jc w:val="both"/>
      </w:pPr>
      <w:r w:rsidRPr="00663A3E">
        <w:lastRenderedPageBreak/>
        <w:t xml:space="preserve">Through the LRF, UNDP was able to continue supporting the Lebanese/Palestinian cine club. A technical and organizational training was </w:t>
      </w:r>
      <w:r w:rsidR="00E95CC3">
        <w:t xml:space="preserve">thus </w:t>
      </w:r>
      <w:r w:rsidRPr="00663A3E">
        <w:t xml:space="preserve">provided </w:t>
      </w:r>
      <w:r w:rsidR="00663A3E">
        <w:t xml:space="preserve">in 2010 </w:t>
      </w:r>
      <w:r w:rsidRPr="00663A3E">
        <w:t>to its members in order to ensure the sustainability of this initiative</w:t>
      </w:r>
      <w:r w:rsidR="001044BA">
        <w:t>.</w:t>
      </w:r>
    </w:p>
    <w:p w:rsidR="001044BA" w:rsidRDefault="001044BA" w:rsidP="001044BA">
      <w:pPr>
        <w:pStyle w:val="ListParagraph"/>
      </w:pPr>
    </w:p>
    <w:p w:rsidR="00224F98" w:rsidRDefault="00224F98" w:rsidP="00854226">
      <w:pPr>
        <w:pStyle w:val="ListParagraph"/>
        <w:numPr>
          <w:ilvl w:val="0"/>
          <w:numId w:val="26"/>
        </w:numPr>
        <w:spacing w:after="200" w:line="276" w:lineRule="auto"/>
        <w:jc w:val="both"/>
      </w:pPr>
      <w:r w:rsidRPr="00663A3E">
        <w:t>The Lebanese Palestinian Choir composed of 35 Lebanese and Palestinian young men and women was also technically supported by the project in 2010.</w:t>
      </w:r>
    </w:p>
    <w:p w:rsidR="001044BA" w:rsidRDefault="001044BA" w:rsidP="001044BA">
      <w:pPr>
        <w:pStyle w:val="ListParagraph"/>
      </w:pPr>
    </w:p>
    <w:p w:rsidR="001044BA" w:rsidRDefault="00663A3E" w:rsidP="00854226">
      <w:pPr>
        <w:pStyle w:val="ListParagraph"/>
        <w:numPr>
          <w:ilvl w:val="0"/>
          <w:numId w:val="26"/>
        </w:numPr>
        <w:spacing w:after="200" w:line="276" w:lineRule="auto"/>
        <w:jc w:val="both"/>
      </w:pPr>
      <w:r w:rsidRPr="00B22F1C">
        <w:t>Finally, a</w:t>
      </w:r>
      <w:r w:rsidR="00224F98" w:rsidRPr="00B22F1C">
        <w:t xml:space="preserve"> you</w:t>
      </w:r>
      <w:r w:rsidR="00EA5026" w:rsidRPr="00B22F1C">
        <w:t>th perception study on Lebanese-</w:t>
      </w:r>
      <w:r w:rsidR="00224F98" w:rsidRPr="00B22F1C">
        <w:t>Pal</w:t>
      </w:r>
      <w:r w:rsidRPr="00B22F1C">
        <w:t xml:space="preserve">estinian relations was launched in 2010 and completed in 2011 by the </w:t>
      </w:r>
      <w:r w:rsidR="00647D16" w:rsidRPr="00B22F1C">
        <w:t>chosen</w:t>
      </w:r>
      <w:r w:rsidRPr="00B22F1C">
        <w:t xml:space="preserve"> consultant</w:t>
      </w:r>
      <w:r w:rsidR="00B22F1C" w:rsidRPr="00B22F1C">
        <w:t xml:space="preserve"> who </w:t>
      </w:r>
      <w:r w:rsidRPr="00B22F1C">
        <w:t xml:space="preserve">led the study, the </w:t>
      </w:r>
      <w:r w:rsidR="00224F98" w:rsidRPr="00B22F1C">
        <w:t>pooling</w:t>
      </w:r>
      <w:r w:rsidRPr="00B22F1C">
        <w:t xml:space="preserve"> and the administration of questionnaires to 1</w:t>
      </w:r>
      <w:r w:rsidR="00433051">
        <w:t>,</w:t>
      </w:r>
      <w:r w:rsidRPr="00B22F1C">
        <w:t>600 Lebanese and Palestinian young men and women</w:t>
      </w:r>
      <w:r w:rsidR="00B22F1C" w:rsidRPr="00B22F1C">
        <w:t xml:space="preserve">. </w:t>
      </w:r>
    </w:p>
    <w:p w:rsidR="00872945" w:rsidRDefault="00872945" w:rsidP="00872945">
      <w:pPr>
        <w:pStyle w:val="ListParagraph"/>
      </w:pPr>
    </w:p>
    <w:p w:rsidR="00DD091E" w:rsidRDefault="009572AB" w:rsidP="001044BA">
      <w:pPr>
        <w:pStyle w:val="ListParagraph"/>
        <w:spacing w:after="200" w:line="276" w:lineRule="auto"/>
        <w:jc w:val="both"/>
      </w:pPr>
      <w:r w:rsidRPr="00DD091E">
        <w:rPr>
          <w:lang w:val="en-GB"/>
        </w:rPr>
        <w:t>The survey targeted the</w:t>
      </w:r>
      <w:r w:rsidRPr="00B22F1C">
        <w:t xml:space="preserve"> Lebanese and Palestinian </w:t>
      </w:r>
      <w:r w:rsidR="00B22F1C" w:rsidRPr="00B22F1C">
        <w:t>youth from Beddawi camp, NBC and t</w:t>
      </w:r>
      <w:r w:rsidRPr="00B22F1C">
        <w:t>he surrounding 28 municipalities. It was undertaken to provide a baseline and a future guide to design</w:t>
      </w:r>
      <w:r w:rsidR="00E03752">
        <w:t>ing</w:t>
      </w:r>
      <w:r w:rsidRPr="00B22F1C">
        <w:t xml:space="preserve"> peace building interventions primarily targeting youth in the region. The survey therefore</w:t>
      </w:r>
      <w:r w:rsidR="00DD091E">
        <w:t>:</w:t>
      </w:r>
    </w:p>
    <w:p w:rsidR="00DD091E" w:rsidRDefault="009572AB" w:rsidP="00E03752">
      <w:pPr>
        <w:pStyle w:val="ListParagraph"/>
        <w:spacing w:after="200" w:line="276" w:lineRule="auto"/>
        <w:jc w:val="both"/>
      </w:pPr>
      <w:r w:rsidRPr="00B22F1C">
        <w:t xml:space="preserve">a) </w:t>
      </w:r>
      <w:r w:rsidR="00E03752">
        <w:t>P</w:t>
      </w:r>
      <w:r w:rsidRPr="00B22F1C">
        <w:t>rovide</w:t>
      </w:r>
      <w:r w:rsidR="00E03752">
        <w:t>d</w:t>
      </w:r>
      <w:r w:rsidRPr="00B22F1C">
        <w:t xml:space="preserve"> a quantitative description on intergroup perceptions and relations; </w:t>
      </w:r>
    </w:p>
    <w:p w:rsidR="00DD091E" w:rsidRDefault="009572AB" w:rsidP="00E03752">
      <w:pPr>
        <w:pStyle w:val="ListParagraph"/>
        <w:spacing w:after="200" w:line="276" w:lineRule="auto"/>
        <w:jc w:val="both"/>
      </w:pPr>
      <w:r w:rsidRPr="00B22F1C">
        <w:t xml:space="preserve">b) </w:t>
      </w:r>
      <w:r w:rsidR="00E03752" w:rsidRPr="00B22F1C">
        <w:t>Identified</w:t>
      </w:r>
      <w:r w:rsidRPr="00B22F1C">
        <w:t xml:space="preserve"> the variables that are most relevant to addressing negative intergroup perceptions; </w:t>
      </w:r>
    </w:p>
    <w:p w:rsidR="001044BA" w:rsidRDefault="009572AB" w:rsidP="00433051">
      <w:pPr>
        <w:pStyle w:val="ListParagraph"/>
        <w:spacing w:after="200" w:line="276" w:lineRule="auto"/>
        <w:jc w:val="both"/>
      </w:pPr>
      <w:r w:rsidRPr="00B22F1C">
        <w:t xml:space="preserve">c) </w:t>
      </w:r>
      <w:r w:rsidR="00E03752" w:rsidRPr="00B22F1C">
        <w:t>Identified</w:t>
      </w:r>
      <w:r w:rsidRPr="00B22F1C">
        <w:t xml:space="preserve"> the variables that are most likely to improve</w:t>
      </w:r>
      <w:r w:rsidR="001A64E3">
        <w:t>,</w:t>
      </w:r>
      <w:r w:rsidRPr="00B22F1C">
        <w:t xml:space="preserve"> life satisfaction in each community.</w:t>
      </w:r>
    </w:p>
    <w:p w:rsidR="00872945" w:rsidRDefault="00872945" w:rsidP="001044BA">
      <w:pPr>
        <w:pStyle w:val="ListParagraph"/>
        <w:spacing w:line="276" w:lineRule="auto"/>
        <w:jc w:val="both"/>
      </w:pPr>
    </w:p>
    <w:p w:rsidR="009572AB" w:rsidRPr="001044BA" w:rsidRDefault="009572AB" w:rsidP="001044BA">
      <w:pPr>
        <w:pStyle w:val="ListParagraph"/>
        <w:spacing w:line="276" w:lineRule="auto"/>
        <w:jc w:val="both"/>
      </w:pPr>
      <w:r w:rsidRPr="001044BA">
        <w:t>The main findings of the survey can be summarized as follows:</w:t>
      </w:r>
    </w:p>
    <w:p w:rsidR="009572AB" w:rsidRPr="001044BA" w:rsidRDefault="009572AB" w:rsidP="00854226">
      <w:pPr>
        <w:numPr>
          <w:ilvl w:val="0"/>
          <w:numId w:val="16"/>
        </w:numPr>
        <w:jc w:val="both"/>
      </w:pPr>
      <w:r w:rsidRPr="001044BA">
        <w:t xml:space="preserve">Contact in all its dimensions significantly contributed to perceptions of prejudice for both Lebanese and Palestinian youth surveyed;  </w:t>
      </w:r>
    </w:p>
    <w:p w:rsidR="009572AB" w:rsidRPr="001044BA" w:rsidRDefault="009572AB" w:rsidP="00854226">
      <w:pPr>
        <w:numPr>
          <w:ilvl w:val="0"/>
          <w:numId w:val="16"/>
        </w:numPr>
        <w:jc w:val="both"/>
      </w:pPr>
      <w:r w:rsidRPr="001044BA">
        <w:t xml:space="preserve">Positive contact emerged as the strongest predictor of prejudice reduction </w:t>
      </w:r>
      <w:r w:rsidR="00872945">
        <w:t>for</w:t>
      </w:r>
      <w:r w:rsidRPr="001044BA">
        <w:t xml:space="preserve"> both Lebanese and Palestinian youth surveyed;</w:t>
      </w:r>
    </w:p>
    <w:p w:rsidR="009572AB" w:rsidRPr="001044BA" w:rsidRDefault="009572AB" w:rsidP="00854226">
      <w:pPr>
        <w:pStyle w:val="ListParagraph"/>
        <w:numPr>
          <w:ilvl w:val="0"/>
          <w:numId w:val="16"/>
        </w:numPr>
        <w:jc w:val="both"/>
      </w:pPr>
      <w:r w:rsidRPr="001044BA">
        <w:t>Both Palestinian and Lebanese youth identified income satisfaction as the most prominent predictor of life satisfaction, closely followed by leisure satisfaction. None of the inter-community variables were significant, indicating that inter-community relations are not relevant to life satisfaction scores in both communities.</w:t>
      </w:r>
    </w:p>
    <w:p w:rsidR="00456E7F" w:rsidRPr="00D8339C" w:rsidRDefault="00456E7F" w:rsidP="00F923BC">
      <w:pPr>
        <w:jc w:val="both"/>
        <w:rPr>
          <w:b/>
          <w:bCs/>
          <w:highlight w:val="yellow"/>
        </w:rPr>
      </w:pPr>
    </w:p>
    <w:p w:rsidR="005D79D4" w:rsidRPr="00D8339C" w:rsidRDefault="005D79D4" w:rsidP="00F923BC">
      <w:pPr>
        <w:pStyle w:val="BodyText"/>
        <w:jc w:val="both"/>
        <w:rPr>
          <w:rFonts w:ascii="Times New Roman" w:hAnsi="Times New Roman" w:cs="Times New Roman"/>
          <w:sz w:val="24"/>
          <w:szCs w:val="24"/>
        </w:rPr>
      </w:pPr>
    </w:p>
    <w:p w:rsidR="00872945" w:rsidRPr="00872945" w:rsidRDefault="0070378C" w:rsidP="008676E6">
      <w:pPr>
        <w:pStyle w:val="BodyText"/>
        <w:jc w:val="both"/>
        <w:rPr>
          <w:rFonts w:ascii="Times New Roman" w:hAnsi="Times New Roman" w:cs="Times New Roman"/>
          <w:bCs/>
          <w:i/>
          <w:iCs/>
          <w:sz w:val="24"/>
          <w:szCs w:val="24"/>
        </w:rPr>
      </w:pPr>
      <w:r w:rsidRPr="00872945">
        <w:rPr>
          <w:rFonts w:ascii="Times New Roman" w:hAnsi="Times New Roman" w:cs="Times New Roman"/>
          <w:b/>
          <w:bCs/>
          <w:i/>
          <w:iCs/>
          <w:sz w:val="24"/>
          <w:szCs w:val="24"/>
        </w:rPr>
        <w:t>Qualitative assessment</w:t>
      </w:r>
      <w:r w:rsidR="00976DCC" w:rsidRPr="00872945">
        <w:rPr>
          <w:rFonts w:ascii="Times New Roman" w:hAnsi="Times New Roman" w:cs="Times New Roman"/>
          <w:b/>
          <w:bCs/>
          <w:i/>
          <w:iCs/>
          <w:sz w:val="24"/>
          <w:szCs w:val="24"/>
        </w:rPr>
        <w:t>:</w:t>
      </w:r>
      <w:r w:rsidR="00976DCC" w:rsidRPr="00872945">
        <w:rPr>
          <w:rFonts w:ascii="Times New Roman" w:hAnsi="Times New Roman" w:cs="Times New Roman"/>
          <w:bCs/>
          <w:i/>
          <w:iCs/>
          <w:sz w:val="24"/>
          <w:szCs w:val="24"/>
        </w:rPr>
        <w:t xml:space="preserve"> </w:t>
      </w:r>
    </w:p>
    <w:p w:rsidR="00872945" w:rsidRDefault="00872945" w:rsidP="008676E6">
      <w:pPr>
        <w:pStyle w:val="BodyText"/>
        <w:jc w:val="both"/>
        <w:rPr>
          <w:rFonts w:ascii="Times New Roman" w:hAnsi="Times New Roman" w:cs="Times New Roman"/>
          <w:bCs/>
          <w:i/>
          <w:iCs/>
          <w:sz w:val="24"/>
          <w:szCs w:val="24"/>
          <w:highlight w:val="cyan"/>
        </w:rPr>
      </w:pPr>
    </w:p>
    <w:p w:rsidR="0036438C" w:rsidRDefault="00B45AEB" w:rsidP="00A538F0">
      <w:pPr>
        <w:pStyle w:val="BodyText"/>
        <w:jc w:val="both"/>
        <w:rPr>
          <w:rFonts w:ascii="Times New Roman" w:hAnsi="Times New Roman" w:cs="Times New Roman"/>
          <w:bCs/>
          <w:sz w:val="24"/>
          <w:szCs w:val="24"/>
        </w:rPr>
      </w:pPr>
      <w:r w:rsidRPr="00BC6B1A">
        <w:rPr>
          <w:rFonts w:ascii="Times New Roman" w:hAnsi="Times New Roman" w:cs="Times New Roman"/>
          <w:bCs/>
          <w:sz w:val="24"/>
          <w:szCs w:val="24"/>
        </w:rPr>
        <w:t xml:space="preserve">Overall, the </w:t>
      </w:r>
      <w:r w:rsidR="00A84C6C" w:rsidRPr="00BC6B1A">
        <w:rPr>
          <w:rFonts w:ascii="Times New Roman" w:hAnsi="Times New Roman" w:cs="Times New Roman"/>
          <w:bCs/>
          <w:sz w:val="24"/>
          <w:szCs w:val="24"/>
        </w:rPr>
        <w:t xml:space="preserve">project </w:t>
      </w:r>
      <w:r w:rsidRPr="00433051">
        <w:rPr>
          <w:rFonts w:ascii="Times New Roman" w:hAnsi="Times New Roman" w:cs="Times New Roman"/>
          <w:bCs/>
          <w:sz w:val="24"/>
          <w:szCs w:val="24"/>
        </w:rPr>
        <w:t xml:space="preserve">has successfully contributed to </w:t>
      </w:r>
      <w:r w:rsidR="00BC6B1A" w:rsidRPr="00433051">
        <w:rPr>
          <w:rFonts w:ascii="Times New Roman" w:hAnsi="Times New Roman" w:cs="Times New Roman"/>
          <w:bCs/>
          <w:sz w:val="24"/>
          <w:szCs w:val="24"/>
        </w:rPr>
        <w:t xml:space="preserve">restoring livelihoods of a very large number of families, especially farmers and fishermen in the 28 </w:t>
      </w:r>
      <w:r w:rsidR="001719F7" w:rsidRPr="00433051">
        <w:rPr>
          <w:rFonts w:ascii="Times New Roman" w:hAnsi="Times New Roman" w:cs="Times New Roman"/>
          <w:bCs/>
          <w:sz w:val="24"/>
          <w:szCs w:val="24"/>
        </w:rPr>
        <w:t>surrounding municipalities</w:t>
      </w:r>
      <w:r w:rsidR="001719F7">
        <w:rPr>
          <w:rFonts w:ascii="Times New Roman" w:hAnsi="Times New Roman" w:cs="Times New Roman"/>
          <w:bCs/>
          <w:sz w:val="24"/>
          <w:szCs w:val="24"/>
        </w:rPr>
        <w:t xml:space="preserve"> of</w:t>
      </w:r>
      <w:r w:rsidR="001719F7" w:rsidRPr="00433051">
        <w:rPr>
          <w:rFonts w:ascii="Times New Roman" w:hAnsi="Times New Roman" w:cs="Times New Roman"/>
          <w:bCs/>
          <w:sz w:val="24"/>
          <w:szCs w:val="24"/>
        </w:rPr>
        <w:t xml:space="preserve"> </w:t>
      </w:r>
      <w:r w:rsidR="00BC6B1A" w:rsidRPr="00433051">
        <w:rPr>
          <w:rFonts w:ascii="Times New Roman" w:hAnsi="Times New Roman" w:cs="Times New Roman"/>
          <w:bCs/>
          <w:sz w:val="24"/>
          <w:szCs w:val="24"/>
        </w:rPr>
        <w:t>NBC</w:t>
      </w:r>
      <w:r w:rsidR="0036438C">
        <w:rPr>
          <w:rFonts w:ascii="Times New Roman" w:hAnsi="Times New Roman" w:cs="Times New Roman"/>
          <w:bCs/>
          <w:sz w:val="24"/>
          <w:szCs w:val="24"/>
        </w:rPr>
        <w:t xml:space="preserve"> which improved social indicators in the area.</w:t>
      </w:r>
    </w:p>
    <w:p w:rsidR="0036438C" w:rsidRDefault="0036438C" w:rsidP="00A538F0">
      <w:pPr>
        <w:pStyle w:val="BodyText"/>
        <w:jc w:val="both"/>
        <w:rPr>
          <w:rFonts w:ascii="Times New Roman" w:hAnsi="Times New Roman" w:cs="Times New Roman"/>
          <w:bCs/>
          <w:sz w:val="24"/>
          <w:szCs w:val="24"/>
        </w:rPr>
      </w:pPr>
    </w:p>
    <w:p w:rsidR="0036438C" w:rsidRDefault="00BC6B1A" w:rsidP="00A50A2F">
      <w:pPr>
        <w:pStyle w:val="BodyText"/>
        <w:jc w:val="both"/>
        <w:rPr>
          <w:rFonts w:ascii="Times New Roman" w:hAnsi="Times New Roman" w:cs="Times New Roman"/>
          <w:bCs/>
          <w:sz w:val="24"/>
          <w:szCs w:val="24"/>
        </w:rPr>
      </w:pPr>
      <w:r w:rsidRPr="00433051">
        <w:rPr>
          <w:rFonts w:ascii="Times New Roman" w:hAnsi="Times New Roman" w:cs="Times New Roman"/>
          <w:bCs/>
          <w:sz w:val="24"/>
          <w:szCs w:val="24"/>
        </w:rPr>
        <w:t>The activities</w:t>
      </w:r>
      <w:r w:rsidR="00A50A2F">
        <w:rPr>
          <w:rFonts w:ascii="Times New Roman" w:hAnsi="Times New Roman" w:cs="Times New Roman"/>
          <w:bCs/>
          <w:sz w:val="24"/>
          <w:szCs w:val="24"/>
        </w:rPr>
        <w:t xml:space="preserve">, </w:t>
      </w:r>
      <w:r w:rsidR="0036438C">
        <w:rPr>
          <w:rFonts w:ascii="Times New Roman" w:hAnsi="Times New Roman" w:cs="Times New Roman"/>
          <w:bCs/>
          <w:sz w:val="24"/>
          <w:szCs w:val="24"/>
        </w:rPr>
        <w:t xml:space="preserve">the training sessions and </w:t>
      </w:r>
      <w:r w:rsidR="00A50A2F">
        <w:rPr>
          <w:rFonts w:ascii="Times New Roman" w:hAnsi="Times New Roman" w:cs="Times New Roman"/>
          <w:bCs/>
          <w:sz w:val="24"/>
          <w:szCs w:val="24"/>
        </w:rPr>
        <w:t xml:space="preserve">the </w:t>
      </w:r>
      <w:r w:rsidR="0036438C">
        <w:rPr>
          <w:rFonts w:ascii="Times New Roman" w:hAnsi="Times New Roman" w:cs="Times New Roman"/>
          <w:bCs/>
          <w:sz w:val="24"/>
          <w:szCs w:val="24"/>
        </w:rPr>
        <w:t xml:space="preserve">capacity building programs organized by the project </w:t>
      </w:r>
      <w:r w:rsidR="0036438C" w:rsidRPr="00433051">
        <w:rPr>
          <w:rFonts w:ascii="Times New Roman" w:hAnsi="Times New Roman" w:cs="Times New Roman"/>
          <w:bCs/>
          <w:sz w:val="24"/>
          <w:szCs w:val="24"/>
        </w:rPr>
        <w:t xml:space="preserve">also increased technical and practical knowledge in several </w:t>
      </w:r>
      <w:r w:rsidR="0036438C">
        <w:rPr>
          <w:rFonts w:ascii="Times New Roman" w:hAnsi="Times New Roman" w:cs="Times New Roman"/>
          <w:bCs/>
          <w:sz w:val="24"/>
          <w:szCs w:val="24"/>
        </w:rPr>
        <w:t>fields, strengthened local governance structures and led to an improved access to local services as well as to enhanced capacities and knowledge of conflict prevention, reduction and peace building.</w:t>
      </w:r>
    </w:p>
    <w:p w:rsidR="0036438C" w:rsidRDefault="0036438C" w:rsidP="0036438C">
      <w:pPr>
        <w:pStyle w:val="BodyText"/>
        <w:jc w:val="both"/>
        <w:rPr>
          <w:rFonts w:ascii="Times New Roman" w:hAnsi="Times New Roman" w:cs="Times New Roman"/>
          <w:bCs/>
          <w:sz w:val="24"/>
          <w:szCs w:val="24"/>
        </w:rPr>
      </w:pPr>
    </w:p>
    <w:p w:rsidR="0036438C" w:rsidRDefault="0036438C" w:rsidP="00FE5835">
      <w:pPr>
        <w:pStyle w:val="BodyText"/>
        <w:jc w:val="both"/>
        <w:rPr>
          <w:rFonts w:ascii="Times New Roman" w:hAnsi="Times New Roman" w:cs="Times New Roman"/>
          <w:bCs/>
          <w:sz w:val="24"/>
          <w:szCs w:val="24"/>
        </w:rPr>
      </w:pPr>
      <w:r>
        <w:rPr>
          <w:rFonts w:ascii="Times New Roman" w:hAnsi="Times New Roman" w:cs="Times New Roman"/>
          <w:bCs/>
          <w:sz w:val="24"/>
          <w:szCs w:val="24"/>
        </w:rPr>
        <w:t xml:space="preserve">In this context, local dialogue platforms and groups were supported or put in place by the project and contributed to the development of the culture of </w:t>
      </w:r>
      <w:r w:rsidR="00FE5835">
        <w:rPr>
          <w:rFonts w:ascii="Times New Roman" w:hAnsi="Times New Roman" w:cs="Times New Roman"/>
          <w:bCs/>
          <w:sz w:val="24"/>
          <w:szCs w:val="24"/>
        </w:rPr>
        <w:t>reconciliation</w:t>
      </w:r>
      <w:r w:rsidR="00A50A2F">
        <w:rPr>
          <w:rFonts w:ascii="Times New Roman" w:hAnsi="Times New Roman" w:cs="Times New Roman"/>
          <w:bCs/>
          <w:sz w:val="24"/>
          <w:szCs w:val="24"/>
        </w:rPr>
        <w:t xml:space="preserve"> </w:t>
      </w:r>
      <w:r>
        <w:rPr>
          <w:rFonts w:ascii="Times New Roman" w:hAnsi="Times New Roman" w:cs="Times New Roman"/>
          <w:bCs/>
          <w:sz w:val="24"/>
          <w:szCs w:val="24"/>
        </w:rPr>
        <w:t>and cooperation.</w:t>
      </w:r>
      <w:r w:rsidRPr="0036438C">
        <w:rPr>
          <w:rFonts w:ascii="Times New Roman" w:hAnsi="Times New Roman" w:cs="Times New Roman"/>
          <w:bCs/>
          <w:sz w:val="24"/>
          <w:szCs w:val="24"/>
        </w:rPr>
        <w:t xml:space="preserve"> </w:t>
      </w:r>
      <w:r>
        <w:rPr>
          <w:rFonts w:ascii="Times New Roman" w:hAnsi="Times New Roman" w:cs="Times New Roman"/>
          <w:bCs/>
          <w:sz w:val="24"/>
          <w:szCs w:val="24"/>
        </w:rPr>
        <w:t>Channels for communication and coordination between Lebanese and Palestinians, municipalities and local communities and associations</w:t>
      </w:r>
      <w:r w:rsidR="00A50A2F">
        <w:rPr>
          <w:rFonts w:ascii="Times New Roman" w:hAnsi="Times New Roman" w:cs="Times New Roman"/>
          <w:bCs/>
          <w:sz w:val="24"/>
          <w:szCs w:val="24"/>
        </w:rPr>
        <w:t xml:space="preserve"> </w:t>
      </w:r>
      <w:r w:rsidR="00876BBF">
        <w:rPr>
          <w:rFonts w:ascii="Times New Roman" w:hAnsi="Times New Roman" w:cs="Times New Roman"/>
          <w:bCs/>
          <w:sz w:val="24"/>
          <w:szCs w:val="24"/>
        </w:rPr>
        <w:t>were</w:t>
      </w:r>
      <w:r>
        <w:rPr>
          <w:rFonts w:ascii="Times New Roman" w:hAnsi="Times New Roman" w:cs="Times New Roman"/>
          <w:bCs/>
          <w:sz w:val="24"/>
          <w:szCs w:val="24"/>
        </w:rPr>
        <w:t xml:space="preserve"> also established, in some cases for the first time.</w:t>
      </w:r>
    </w:p>
    <w:p w:rsidR="0036438C" w:rsidRPr="00FE5835" w:rsidRDefault="0036438C" w:rsidP="0036438C">
      <w:pPr>
        <w:pStyle w:val="BodyText"/>
        <w:jc w:val="both"/>
        <w:rPr>
          <w:rFonts w:ascii="Times New Roman" w:hAnsi="Times New Roman" w:cs="Times New Roman"/>
          <w:bCs/>
          <w:sz w:val="24"/>
          <w:szCs w:val="24"/>
        </w:rPr>
      </w:pPr>
    </w:p>
    <w:p w:rsidR="009C4BB7" w:rsidRPr="00FE5835" w:rsidRDefault="001719F7" w:rsidP="001227ED">
      <w:pPr>
        <w:pStyle w:val="BodyText"/>
        <w:jc w:val="both"/>
        <w:rPr>
          <w:rFonts w:ascii="Times New Roman" w:hAnsi="Times New Roman" w:cs="Times New Roman"/>
          <w:bCs/>
          <w:sz w:val="24"/>
          <w:szCs w:val="24"/>
        </w:rPr>
      </w:pPr>
      <w:r w:rsidRPr="00FE5835">
        <w:rPr>
          <w:rFonts w:ascii="Times New Roman" w:hAnsi="Times New Roman" w:cs="Times New Roman"/>
          <w:bCs/>
          <w:sz w:val="24"/>
          <w:szCs w:val="24"/>
        </w:rPr>
        <w:t xml:space="preserve">In addition, local structures were </w:t>
      </w:r>
      <w:r w:rsidR="0036438C" w:rsidRPr="00FE5835">
        <w:rPr>
          <w:rFonts w:ascii="Times New Roman" w:hAnsi="Times New Roman" w:cs="Times New Roman"/>
          <w:bCs/>
          <w:sz w:val="24"/>
          <w:szCs w:val="24"/>
        </w:rPr>
        <w:t>supported</w:t>
      </w:r>
      <w:r w:rsidRPr="00FE5835">
        <w:rPr>
          <w:rFonts w:ascii="Times New Roman" w:hAnsi="Times New Roman" w:cs="Times New Roman"/>
          <w:bCs/>
          <w:sz w:val="24"/>
          <w:szCs w:val="24"/>
        </w:rPr>
        <w:t xml:space="preserve"> by the project to promote recovery and increase local capacities and expertise. </w:t>
      </w:r>
      <w:r w:rsidR="00B45AEB" w:rsidRPr="00FE5835">
        <w:rPr>
          <w:rFonts w:ascii="Times New Roman" w:hAnsi="Times New Roman" w:cs="Times New Roman"/>
          <w:bCs/>
          <w:sz w:val="24"/>
          <w:szCs w:val="24"/>
        </w:rPr>
        <w:t>The active engagement of the key partners</w:t>
      </w:r>
      <w:r w:rsidRPr="00FE5835">
        <w:rPr>
          <w:rFonts w:ascii="Times New Roman" w:hAnsi="Times New Roman" w:cs="Times New Roman"/>
          <w:bCs/>
          <w:sz w:val="24"/>
          <w:szCs w:val="24"/>
        </w:rPr>
        <w:t xml:space="preserve">, especially the concerned municipalities, </w:t>
      </w:r>
      <w:r w:rsidR="00B45AEB" w:rsidRPr="00FE5835">
        <w:rPr>
          <w:rFonts w:ascii="Times New Roman" w:hAnsi="Times New Roman" w:cs="Times New Roman"/>
          <w:bCs/>
          <w:sz w:val="24"/>
          <w:szCs w:val="24"/>
        </w:rPr>
        <w:t>contributed to the</w:t>
      </w:r>
      <w:r w:rsidR="00A84C6C" w:rsidRPr="00FE5835">
        <w:rPr>
          <w:rFonts w:ascii="Times New Roman" w:hAnsi="Times New Roman" w:cs="Times New Roman"/>
          <w:bCs/>
          <w:sz w:val="24"/>
          <w:szCs w:val="24"/>
        </w:rPr>
        <w:t>se</w:t>
      </w:r>
      <w:r w:rsidR="00B45AEB" w:rsidRPr="00FE5835">
        <w:rPr>
          <w:rFonts w:ascii="Times New Roman" w:hAnsi="Times New Roman" w:cs="Times New Roman"/>
          <w:bCs/>
          <w:sz w:val="24"/>
          <w:szCs w:val="24"/>
        </w:rPr>
        <w:t xml:space="preserve"> achievement</w:t>
      </w:r>
      <w:r w:rsidRPr="00FE5835">
        <w:rPr>
          <w:rFonts w:ascii="Times New Roman" w:hAnsi="Times New Roman" w:cs="Times New Roman"/>
          <w:bCs/>
          <w:sz w:val="24"/>
          <w:szCs w:val="24"/>
        </w:rPr>
        <w:t>s</w:t>
      </w:r>
      <w:r w:rsidR="00B45AEB" w:rsidRPr="00FE5835">
        <w:rPr>
          <w:rFonts w:ascii="Times New Roman" w:hAnsi="Times New Roman" w:cs="Times New Roman"/>
          <w:bCs/>
          <w:sz w:val="24"/>
          <w:szCs w:val="24"/>
        </w:rPr>
        <w:t xml:space="preserve"> and to maximizing the effectiveness of </w:t>
      </w:r>
      <w:r w:rsidR="0036438C" w:rsidRPr="00FE5835">
        <w:rPr>
          <w:rFonts w:ascii="Times New Roman" w:hAnsi="Times New Roman" w:cs="Times New Roman"/>
          <w:bCs/>
          <w:sz w:val="24"/>
          <w:szCs w:val="24"/>
        </w:rPr>
        <w:t xml:space="preserve">the project activities and </w:t>
      </w:r>
      <w:r w:rsidR="00BC6B1A" w:rsidRPr="00FE5835">
        <w:rPr>
          <w:rFonts w:ascii="Times New Roman" w:hAnsi="Times New Roman" w:cs="Times New Roman"/>
          <w:bCs/>
          <w:sz w:val="24"/>
          <w:szCs w:val="24"/>
        </w:rPr>
        <w:lastRenderedPageBreak/>
        <w:t>interventions</w:t>
      </w:r>
      <w:r w:rsidR="0036438C" w:rsidRPr="00FE5835">
        <w:rPr>
          <w:rFonts w:ascii="Times New Roman" w:hAnsi="Times New Roman" w:cs="Times New Roman"/>
          <w:bCs/>
          <w:sz w:val="24"/>
          <w:szCs w:val="24"/>
        </w:rPr>
        <w:t>.</w:t>
      </w:r>
      <w:r w:rsidR="006F4FA9">
        <w:rPr>
          <w:rFonts w:ascii="Times New Roman" w:hAnsi="Times New Roman" w:cs="Times New Roman"/>
          <w:bCs/>
          <w:sz w:val="24"/>
          <w:szCs w:val="24"/>
        </w:rPr>
        <w:t xml:space="preserve"> </w:t>
      </w:r>
      <w:r w:rsidR="009C4BB7" w:rsidRPr="00FE5835">
        <w:rPr>
          <w:rFonts w:ascii="Times New Roman" w:hAnsi="Times New Roman" w:cs="Times New Roman"/>
          <w:bCs/>
          <w:sz w:val="24"/>
          <w:szCs w:val="24"/>
        </w:rPr>
        <w:t>The contribution and support of FAO and the ILO w</w:t>
      </w:r>
      <w:r w:rsidR="00A16282">
        <w:rPr>
          <w:rFonts w:ascii="Times New Roman" w:hAnsi="Times New Roman" w:cs="Times New Roman"/>
          <w:bCs/>
          <w:sz w:val="24"/>
          <w:szCs w:val="24"/>
        </w:rPr>
        <w:t>as</w:t>
      </w:r>
      <w:r w:rsidR="006F4FA9">
        <w:rPr>
          <w:rFonts w:ascii="Times New Roman" w:hAnsi="Times New Roman" w:cs="Times New Roman"/>
          <w:bCs/>
          <w:sz w:val="24"/>
          <w:szCs w:val="24"/>
        </w:rPr>
        <w:t xml:space="preserve"> also crucial for the success of the project’s activities</w:t>
      </w:r>
      <w:r w:rsidR="009C4BB7" w:rsidRPr="00FE5835">
        <w:rPr>
          <w:rFonts w:ascii="Times New Roman" w:hAnsi="Times New Roman" w:cs="Times New Roman"/>
          <w:bCs/>
          <w:sz w:val="24"/>
          <w:szCs w:val="24"/>
        </w:rPr>
        <w:t>.</w:t>
      </w:r>
    </w:p>
    <w:p w:rsidR="00BC6B1A" w:rsidRPr="00BC6B1A" w:rsidRDefault="00BC6B1A" w:rsidP="00BC6B1A">
      <w:pPr>
        <w:pStyle w:val="BodyText"/>
        <w:jc w:val="both"/>
        <w:rPr>
          <w:rFonts w:ascii="Times New Roman" w:hAnsi="Times New Roman" w:cs="Times New Roman"/>
          <w:sz w:val="24"/>
          <w:szCs w:val="24"/>
          <w:highlight w:val="cyan"/>
        </w:rPr>
      </w:pPr>
    </w:p>
    <w:p w:rsidR="00B45AEB" w:rsidRPr="00D8339C" w:rsidRDefault="00B45AEB" w:rsidP="00F923BC">
      <w:pPr>
        <w:pStyle w:val="BodyText"/>
        <w:tabs>
          <w:tab w:val="left" w:pos="360"/>
        </w:tabs>
        <w:ind w:left="720"/>
        <w:jc w:val="both"/>
        <w:rPr>
          <w:rFonts w:ascii="Times New Roman" w:hAnsi="Times New Roman" w:cs="Times New Roman"/>
          <w:bCs/>
          <w:sz w:val="24"/>
          <w:szCs w:val="24"/>
        </w:rPr>
        <w:sectPr w:rsidR="00B45AEB" w:rsidRPr="00D8339C" w:rsidSect="001114B2">
          <w:footerReference w:type="default" r:id="rId27"/>
          <w:footerReference w:type="first" r:id="rId28"/>
          <w:pgSz w:w="12240" w:h="15840" w:code="1"/>
          <w:pgMar w:top="540" w:right="990" w:bottom="851" w:left="806" w:header="720" w:footer="418" w:gutter="0"/>
          <w:cols w:space="720"/>
          <w:docGrid w:linePitch="360"/>
        </w:sectPr>
      </w:pPr>
    </w:p>
    <w:p w:rsidR="00C416C0" w:rsidRPr="00D8339C" w:rsidRDefault="000803A0" w:rsidP="00F923BC">
      <w:pPr>
        <w:pStyle w:val="BodyText"/>
        <w:tabs>
          <w:tab w:val="left" w:pos="360"/>
        </w:tabs>
        <w:ind w:left="720"/>
        <w:jc w:val="both"/>
        <w:rPr>
          <w:rFonts w:ascii="Times New Roman" w:hAnsi="Times New Roman" w:cs="Times New Roman"/>
          <w:bCs/>
          <w:sz w:val="24"/>
          <w:szCs w:val="24"/>
        </w:rPr>
      </w:pPr>
      <w:r w:rsidRPr="00D8339C">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left:0;text-align:left;margin-left:-40.8pt;margin-top:-14.05pt;width:743.8pt;height:22.95pt;z-index:251654144" fillcolor="#f2f2f2" strokecolor="#d8d8d8">
            <v:textbox style="mso-next-textbox:#_x0000_s1030">
              <w:txbxContent>
                <w:p w:rsidR="00773BC6" w:rsidRPr="001613F4" w:rsidRDefault="00773BC6" w:rsidP="00EF101E">
                  <w:pPr>
                    <w:jc w:val="center"/>
                    <w:rPr>
                      <w:b/>
                    </w:rPr>
                  </w:pPr>
                  <w:r>
                    <w:rPr>
                      <w:b/>
                    </w:rPr>
                    <w:t>ii) Indicator Based Performance Assessment:</w:t>
                  </w:r>
                </w:p>
              </w:txbxContent>
            </v:textbox>
          </v:shape>
        </w:pict>
      </w:r>
    </w:p>
    <w:p w:rsidR="000803A0" w:rsidRPr="00D8339C" w:rsidRDefault="000803A0" w:rsidP="00F923BC">
      <w:pPr>
        <w:pStyle w:val="BodyText"/>
        <w:jc w:val="both"/>
        <w:rPr>
          <w:rFonts w:ascii="Times New Roman" w:hAnsi="Times New Roman" w:cs="Times New Roman"/>
          <w:bCs/>
          <w:sz w:val="24"/>
          <w:szCs w:val="24"/>
        </w:rPr>
      </w:pPr>
      <w:r w:rsidRPr="00D8339C">
        <w:rPr>
          <w:rFonts w:ascii="Times New Roman" w:hAnsi="Times New Roman" w:cs="Times New Roman"/>
          <w:bCs/>
          <w:sz w:val="24"/>
          <w:szCs w:val="24"/>
        </w:rPr>
        <w:t xml:space="preserve">Using the </w:t>
      </w:r>
      <w:r w:rsidRPr="00D8339C">
        <w:rPr>
          <w:rFonts w:ascii="Times New Roman" w:hAnsi="Times New Roman" w:cs="Times New Roman"/>
          <w:b/>
          <w:bCs/>
          <w:sz w:val="24"/>
          <w:szCs w:val="24"/>
        </w:rPr>
        <w:t>Programme Results Framework from the Project Document</w:t>
      </w:r>
      <w:r w:rsidRPr="00D8339C">
        <w:rPr>
          <w:rFonts w:ascii="Times New Roman" w:hAnsi="Times New Roman" w:cs="Times New Roman"/>
          <w:bCs/>
          <w:sz w:val="24"/>
          <w:szCs w:val="24"/>
        </w:rPr>
        <w:t xml:space="preserve"> </w:t>
      </w:r>
      <w:r w:rsidR="004B3940" w:rsidRPr="00D8339C">
        <w:rPr>
          <w:rFonts w:ascii="Times New Roman" w:hAnsi="Times New Roman" w:cs="Times New Roman"/>
          <w:b/>
          <w:bCs/>
          <w:sz w:val="24"/>
          <w:szCs w:val="24"/>
        </w:rPr>
        <w:t>/ AWP</w:t>
      </w:r>
      <w:r w:rsidR="00914178" w:rsidRPr="00D8339C">
        <w:rPr>
          <w:rFonts w:ascii="Times New Roman" w:hAnsi="Times New Roman" w:cs="Times New Roman"/>
          <w:b/>
          <w:bCs/>
          <w:sz w:val="24"/>
          <w:szCs w:val="24"/>
        </w:rPr>
        <w:t>s</w:t>
      </w:r>
      <w:r w:rsidR="004B3940" w:rsidRPr="00D8339C">
        <w:rPr>
          <w:rFonts w:ascii="Times New Roman" w:hAnsi="Times New Roman" w:cs="Times New Roman"/>
          <w:bCs/>
          <w:sz w:val="24"/>
          <w:szCs w:val="24"/>
        </w:rPr>
        <w:t xml:space="preserve"> </w:t>
      </w:r>
      <w:r w:rsidRPr="00D8339C">
        <w:rPr>
          <w:rFonts w:ascii="Times New Roman" w:hAnsi="Times New Roman" w:cs="Times New Roman"/>
          <w:bCs/>
          <w:sz w:val="24"/>
          <w:szCs w:val="24"/>
        </w:rPr>
        <w:t xml:space="preserve">- provide </w:t>
      </w:r>
      <w:r w:rsidR="00A22D0C" w:rsidRPr="00D8339C">
        <w:rPr>
          <w:rFonts w:ascii="Times New Roman" w:hAnsi="Times New Roman" w:cs="Times New Roman"/>
          <w:bCs/>
          <w:sz w:val="24"/>
          <w:szCs w:val="24"/>
        </w:rPr>
        <w:t>details of</w:t>
      </w:r>
      <w:r w:rsidRPr="00D8339C">
        <w:rPr>
          <w:rFonts w:ascii="Times New Roman" w:hAnsi="Times New Roman" w:cs="Times New Roman"/>
          <w:bCs/>
          <w:sz w:val="24"/>
          <w:szCs w:val="24"/>
        </w:rPr>
        <w:t xml:space="preserve"> the achievement of indicators at both the output and outcome level in the table below. Where it has not been possible to collect data on indicators, clear explanation</w:t>
      </w:r>
      <w:r w:rsidR="00A22D0C" w:rsidRPr="00D8339C">
        <w:rPr>
          <w:rFonts w:ascii="Times New Roman" w:hAnsi="Times New Roman" w:cs="Times New Roman"/>
          <w:bCs/>
          <w:sz w:val="24"/>
          <w:szCs w:val="24"/>
        </w:rPr>
        <w:t xml:space="preserve"> should be given explaining why</w:t>
      </w:r>
      <w:r w:rsidRPr="00D8339C">
        <w:rPr>
          <w:rFonts w:ascii="Times New Roman" w:hAnsi="Times New Roman" w:cs="Times New Roman"/>
          <w:bCs/>
          <w:sz w:val="24"/>
          <w:szCs w:val="24"/>
        </w:rPr>
        <w:t xml:space="preserve">. </w:t>
      </w:r>
    </w:p>
    <w:p w:rsidR="0070645E" w:rsidRPr="00D8339C" w:rsidRDefault="0070645E" w:rsidP="00F923BC">
      <w:pPr>
        <w:pStyle w:val="BodyText"/>
        <w:jc w:val="both"/>
        <w:rPr>
          <w:rFonts w:ascii="Times New Roman" w:hAnsi="Times New Roman" w:cs="Times New Roman"/>
          <w:bCs/>
          <w:sz w:val="24"/>
          <w:szCs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3745"/>
        <w:gridCol w:w="3960"/>
        <w:gridCol w:w="3150"/>
      </w:tblGrid>
      <w:tr w:rsidR="0070645E" w:rsidRPr="00D8339C" w:rsidTr="008D685F">
        <w:tc>
          <w:tcPr>
            <w:tcW w:w="4265" w:type="dxa"/>
            <w:tcBorders>
              <w:bottom w:val="single" w:sz="4" w:space="0" w:color="000000"/>
            </w:tcBorders>
            <w:shd w:val="clear" w:color="auto" w:fill="auto"/>
          </w:tcPr>
          <w:p w:rsidR="0070645E" w:rsidRPr="00D8339C" w:rsidRDefault="0070645E" w:rsidP="00F923BC">
            <w:pPr>
              <w:pStyle w:val="BodyText"/>
              <w:jc w:val="both"/>
              <w:rPr>
                <w:rFonts w:ascii="Times New Roman" w:hAnsi="Times New Roman" w:cs="Times New Roman"/>
                <w:bCs/>
                <w:sz w:val="24"/>
                <w:szCs w:val="24"/>
              </w:rPr>
            </w:pPr>
          </w:p>
        </w:tc>
        <w:tc>
          <w:tcPr>
            <w:tcW w:w="3745" w:type="dxa"/>
            <w:tcBorders>
              <w:bottom w:val="single" w:sz="4" w:space="0" w:color="000000"/>
            </w:tcBorders>
            <w:shd w:val="clear" w:color="auto" w:fill="auto"/>
          </w:tcPr>
          <w:p w:rsidR="0070645E" w:rsidRPr="00D8339C" w:rsidRDefault="0070645E" w:rsidP="00F923BC">
            <w:pPr>
              <w:jc w:val="center"/>
              <w:rPr>
                <w:b/>
              </w:rPr>
            </w:pPr>
            <w:r w:rsidRPr="00D8339C">
              <w:rPr>
                <w:b/>
                <w:u w:val="single"/>
              </w:rPr>
              <w:t>Achieved</w:t>
            </w:r>
            <w:r w:rsidRPr="00D8339C">
              <w:rPr>
                <w:b/>
              </w:rPr>
              <w:t xml:space="preserve"> Indicator Targets</w:t>
            </w:r>
          </w:p>
        </w:tc>
        <w:tc>
          <w:tcPr>
            <w:tcW w:w="3960" w:type="dxa"/>
            <w:tcBorders>
              <w:bottom w:val="single" w:sz="4" w:space="0" w:color="000000"/>
            </w:tcBorders>
            <w:shd w:val="clear" w:color="auto" w:fill="auto"/>
          </w:tcPr>
          <w:p w:rsidR="0070645E" w:rsidRPr="00D8339C" w:rsidRDefault="0070645E" w:rsidP="00F923BC">
            <w:pPr>
              <w:jc w:val="center"/>
              <w:rPr>
                <w:b/>
              </w:rPr>
            </w:pPr>
            <w:r w:rsidRPr="00D8339C">
              <w:rPr>
                <w:b/>
              </w:rPr>
              <w:t>Reasons for Variance</w:t>
            </w:r>
            <w:r w:rsidR="0068496F" w:rsidRPr="00D8339C">
              <w:rPr>
                <w:b/>
              </w:rPr>
              <w:t xml:space="preserve"> with Planned Target </w:t>
            </w:r>
            <w:r w:rsidRPr="00D8339C">
              <w:rPr>
                <w:b/>
              </w:rPr>
              <w:t>(if any)</w:t>
            </w:r>
          </w:p>
        </w:tc>
        <w:tc>
          <w:tcPr>
            <w:tcW w:w="3150" w:type="dxa"/>
            <w:tcBorders>
              <w:bottom w:val="single" w:sz="4" w:space="0" w:color="000000"/>
            </w:tcBorders>
            <w:shd w:val="clear" w:color="auto" w:fill="auto"/>
          </w:tcPr>
          <w:p w:rsidR="0070645E" w:rsidRPr="00D8339C" w:rsidRDefault="0070645E" w:rsidP="00F923BC">
            <w:pPr>
              <w:jc w:val="center"/>
              <w:rPr>
                <w:b/>
              </w:rPr>
            </w:pPr>
            <w:r w:rsidRPr="00D8339C">
              <w:rPr>
                <w:b/>
              </w:rPr>
              <w:t>Source of Verification</w:t>
            </w:r>
          </w:p>
        </w:tc>
      </w:tr>
      <w:tr w:rsidR="00756E6C" w:rsidRPr="00D8339C" w:rsidTr="00560ABC">
        <w:tc>
          <w:tcPr>
            <w:tcW w:w="15120" w:type="dxa"/>
            <w:gridSpan w:val="4"/>
            <w:shd w:val="pct15" w:color="auto" w:fill="auto"/>
          </w:tcPr>
          <w:p w:rsidR="00756E6C" w:rsidRPr="00756E6C" w:rsidRDefault="00756E6C" w:rsidP="00F923BC">
            <w:pPr>
              <w:rPr>
                <w:b/>
              </w:rPr>
            </w:pPr>
            <w:r w:rsidRPr="00756E6C">
              <w:rPr>
                <w:b/>
              </w:rPr>
              <w:t>Outcome 1</w:t>
            </w:r>
            <w:r w:rsidRPr="00756E6C">
              <w:rPr>
                <w:rStyle w:val="FootnoteReference"/>
                <w:b/>
              </w:rPr>
              <w:footnoteReference w:id="10"/>
            </w:r>
          </w:p>
          <w:p w:rsidR="00756E6C" w:rsidRPr="00756E6C" w:rsidRDefault="00756E6C" w:rsidP="00756E6C">
            <w:pPr>
              <w:pStyle w:val="BodyText"/>
              <w:rPr>
                <w:rFonts w:ascii="Times New Roman" w:hAnsi="Times New Roman" w:cs="Times New Roman"/>
                <w:bCs/>
                <w:sz w:val="24"/>
                <w:szCs w:val="24"/>
              </w:rPr>
            </w:pPr>
            <w:r w:rsidRPr="00756E6C">
              <w:rPr>
                <w:rFonts w:ascii="Times New Roman" w:hAnsi="Times New Roman" w:cs="Times New Roman"/>
                <w:sz w:val="24"/>
                <w:szCs w:val="24"/>
              </w:rPr>
              <w:t>Promoting economic recovery and social cohesion in NBC surrounding communities affected by the 2006 and 2007 conflicts</w:t>
            </w:r>
          </w:p>
        </w:tc>
      </w:tr>
      <w:tr w:rsidR="00967ADD" w:rsidRPr="00D8339C" w:rsidTr="00416B2B">
        <w:trPr>
          <w:trHeight w:val="705"/>
        </w:trPr>
        <w:tc>
          <w:tcPr>
            <w:tcW w:w="4265" w:type="dxa"/>
            <w:vMerge w:val="restart"/>
            <w:shd w:val="clear" w:color="auto" w:fill="auto"/>
          </w:tcPr>
          <w:p w:rsidR="00967ADD" w:rsidRDefault="00967ADD" w:rsidP="00F923BC">
            <w:pPr>
              <w:rPr>
                <w:b/>
              </w:rPr>
            </w:pPr>
            <w:r w:rsidRPr="00D8339C">
              <w:rPr>
                <w:b/>
              </w:rPr>
              <w:t>Output 1.1</w:t>
            </w:r>
          </w:p>
          <w:p w:rsidR="00967ADD" w:rsidRPr="002F5FA6" w:rsidRDefault="00967ADD" w:rsidP="002F5FA6">
            <w:pPr>
              <w:jc w:val="both"/>
            </w:pPr>
            <w:r w:rsidRPr="002F5FA6">
              <w:t>Livelihoods of farmers, fishermen and SME owners improved through socio-economic interventions targeting training, technical and asset needs</w:t>
            </w:r>
          </w:p>
          <w:p w:rsidR="00967ADD" w:rsidRPr="00D8339C" w:rsidRDefault="00967ADD" w:rsidP="00F923BC">
            <w:pPr>
              <w:rPr>
                <w:b/>
              </w:rPr>
            </w:pPr>
          </w:p>
          <w:p w:rsidR="00E07796" w:rsidRDefault="00E07796" w:rsidP="00E07796">
            <w:pPr>
              <w:rPr>
                <w:bCs/>
              </w:rPr>
            </w:pPr>
            <w:r>
              <w:rPr>
                <w:b/>
              </w:rPr>
              <w:t>Indicator:</w:t>
            </w:r>
            <w:r w:rsidR="00496EB1">
              <w:rPr>
                <w:b/>
              </w:rPr>
              <w:t xml:space="preserve"> </w:t>
            </w:r>
            <w:r w:rsidR="00496EB1" w:rsidRPr="00496EB1">
              <w:rPr>
                <w:bCs/>
              </w:rPr>
              <w:t>Number of farmers, fishermen and SME owners benefitting from the interventions and trainings</w:t>
            </w:r>
          </w:p>
          <w:p w:rsidR="00496EB1" w:rsidRPr="00496EB1" w:rsidRDefault="00496EB1" w:rsidP="00E07796">
            <w:pPr>
              <w:rPr>
                <w:bCs/>
              </w:rPr>
            </w:pPr>
          </w:p>
          <w:p w:rsidR="00967ADD" w:rsidRPr="00D8339C" w:rsidRDefault="00967ADD" w:rsidP="00F923BC">
            <w:pPr>
              <w:rPr>
                <w:b/>
              </w:rPr>
            </w:pPr>
            <w:r w:rsidRPr="00D8339C">
              <w:rPr>
                <w:b/>
              </w:rPr>
              <w:t>Planned Target:</w:t>
            </w:r>
          </w:p>
          <w:p w:rsidR="00967ADD" w:rsidRDefault="00967ADD" w:rsidP="00854226">
            <w:pPr>
              <w:numPr>
                <w:ilvl w:val="0"/>
                <w:numId w:val="27"/>
              </w:numPr>
            </w:pPr>
            <w:r>
              <w:t>Socio-economic survey in the 28 communities surrounding NBC</w:t>
            </w:r>
          </w:p>
          <w:p w:rsidR="003216F1" w:rsidRDefault="00967ADD" w:rsidP="00854226">
            <w:pPr>
              <w:numPr>
                <w:ilvl w:val="0"/>
                <w:numId w:val="27"/>
              </w:numPr>
            </w:pPr>
            <w:r w:rsidRPr="00E12704">
              <w:t>Support to livelihoods restoration of 1,100 fishermen</w:t>
            </w:r>
          </w:p>
          <w:p w:rsidR="00967ADD" w:rsidRDefault="00967ADD" w:rsidP="00854226">
            <w:pPr>
              <w:numPr>
                <w:ilvl w:val="0"/>
                <w:numId w:val="27"/>
              </w:numPr>
            </w:pPr>
            <w:r w:rsidRPr="00E12704">
              <w:t>5 vocational and technical training session</w:t>
            </w:r>
            <w:r w:rsidR="009E46D9">
              <w:t>s</w:t>
            </w:r>
            <w:r w:rsidRPr="00E12704">
              <w:t xml:space="preserve"> for fishermen</w:t>
            </w:r>
          </w:p>
          <w:p w:rsidR="00967ADD" w:rsidRDefault="00967ADD" w:rsidP="00854226">
            <w:pPr>
              <w:numPr>
                <w:ilvl w:val="0"/>
                <w:numId w:val="27"/>
              </w:numPr>
            </w:pPr>
            <w:r w:rsidRPr="005744CD">
              <w:t>250 farmers supported with necessary assets for farming</w:t>
            </w:r>
          </w:p>
          <w:p w:rsidR="00967ADD" w:rsidRDefault="00967ADD" w:rsidP="00854226">
            <w:pPr>
              <w:numPr>
                <w:ilvl w:val="0"/>
                <w:numId w:val="27"/>
              </w:numPr>
            </w:pPr>
            <w:r w:rsidRPr="006E28D3">
              <w:t>10 vocational and technical training sessions for farmers</w:t>
            </w:r>
          </w:p>
          <w:p w:rsidR="00967ADD" w:rsidRDefault="00967ADD" w:rsidP="00854226">
            <w:pPr>
              <w:numPr>
                <w:ilvl w:val="0"/>
                <w:numId w:val="27"/>
              </w:numPr>
            </w:pPr>
            <w:r w:rsidRPr="004E5325">
              <w:t>350 households linked to cooperatives supported through assets</w:t>
            </w:r>
          </w:p>
          <w:p w:rsidR="00967ADD" w:rsidRDefault="00967ADD" w:rsidP="00854226">
            <w:pPr>
              <w:numPr>
                <w:ilvl w:val="0"/>
                <w:numId w:val="27"/>
              </w:numPr>
            </w:pPr>
            <w:r w:rsidRPr="005D63E1">
              <w:t xml:space="preserve">8 training sessions for SME </w:t>
            </w:r>
            <w:r w:rsidRPr="005D63E1">
              <w:lastRenderedPageBreak/>
              <w:t>owners on business management skills</w:t>
            </w:r>
          </w:p>
          <w:p w:rsidR="001155C0" w:rsidRDefault="00967ADD" w:rsidP="00854226">
            <w:pPr>
              <w:numPr>
                <w:ilvl w:val="0"/>
                <w:numId w:val="27"/>
              </w:numPr>
            </w:pPr>
            <w:r w:rsidRPr="00967ADD">
              <w:t>Women’s cooperative established &amp; functioning</w:t>
            </w:r>
          </w:p>
          <w:p w:rsidR="00612121" w:rsidRDefault="001155C0" w:rsidP="00854226">
            <w:pPr>
              <w:numPr>
                <w:ilvl w:val="0"/>
                <w:numId w:val="27"/>
              </w:numPr>
            </w:pPr>
            <w:r w:rsidRPr="001155C0">
              <w:t>150 people supported with micro-finance loans</w:t>
            </w:r>
          </w:p>
          <w:p w:rsidR="00612121" w:rsidRPr="00612121" w:rsidRDefault="00612121" w:rsidP="00854226">
            <w:pPr>
              <w:numPr>
                <w:ilvl w:val="0"/>
                <w:numId w:val="27"/>
              </w:numPr>
            </w:pPr>
            <w:r w:rsidRPr="00612121">
              <w:t>15 training sessions for cooperatives and / or  associations in the agriculture sector and business management skills</w:t>
            </w:r>
          </w:p>
          <w:p w:rsidR="00967ADD" w:rsidRPr="001155C0" w:rsidRDefault="00967ADD" w:rsidP="001155C0"/>
          <w:p w:rsidR="00967ADD" w:rsidRPr="00D8339C" w:rsidRDefault="00967ADD" w:rsidP="00967ADD">
            <w:pPr>
              <w:pStyle w:val="BodyText"/>
              <w:jc w:val="both"/>
              <w:rPr>
                <w:rFonts w:ascii="Times New Roman" w:hAnsi="Times New Roman" w:cs="Times New Roman"/>
                <w:bCs/>
                <w:sz w:val="24"/>
                <w:szCs w:val="24"/>
              </w:rPr>
            </w:pPr>
          </w:p>
        </w:tc>
        <w:tc>
          <w:tcPr>
            <w:tcW w:w="3745" w:type="dxa"/>
            <w:shd w:val="clear" w:color="auto" w:fill="auto"/>
          </w:tcPr>
          <w:p w:rsidR="00967ADD" w:rsidRPr="00E12704" w:rsidRDefault="00967ADD" w:rsidP="00F325AD">
            <w:r>
              <w:lastRenderedPageBreak/>
              <w:t>Results of s</w:t>
            </w:r>
            <w:r w:rsidRPr="00E12704">
              <w:t>ocio-economic survey in 28 communities</w:t>
            </w:r>
            <w:r w:rsidR="00FD3863">
              <w:t xml:space="preserve"> surrounding NBC</w:t>
            </w:r>
          </w:p>
        </w:tc>
        <w:tc>
          <w:tcPr>
            <w:tcW w:w="3960" w:type="dxa"/>
            <w:shd w:val="clear" w:color="auto" w:fill="auto"/>
          </w:tcPr>
          <w:p w:rsidR="00967ADD" w:rsidRPr="00E12704" w:rsidRDefault="00967ADD" w:rsidP="00F325AD">
            <w:pPr>
              <w:jc w:val="center"/>
            </w:pPr>
          </w:p>
        </w:tc>
        <w:tc>
          <w:tcPr>
            <w:tcW w:w="3150" w:type="dxa"/>
            <w:shd w:val="clear" w:color="auto" w:fill="auto"/>
          </w:tcPr>
          <w:p w:rsidR="00967ADD" w:rsidRPr="00E12704" w:rsidRDefault="00967ADD" w:rsidP="00E12704">
            <w:r w:rsidRPr="00E12704">
              <w:t>Completed survey</w:t>
            </w:r>
          </w:p>
        </w:tc>
      </w:tr>
      <w:tr w:rsidR="00967ADD" w:rsidRPr="00D8339C" w:rsidTr="00E500F2">
        <w:trPr>
          <w:trHeight w:val="615"/>
        </w:trPr>
        <w:tc>
          <w:tcPr>
            <w:tcW w:w="4265" w:type="dxa"/>
            <w:vMerge/>
            <w:shd w:val="clear" w:color="auto" w:fill="auto"/>
          </w:tcPr>
          <w:p w:rsidR="00967ADD" w:rsidRPr="00D8339C" w:rsidRDefault="00967ADD" w:rsidP="00F923BC">
            <w:pPr>
              <w:pStyle w:val="BodyText"/>
              <w:jc w:val="both"/>
              <w:rPr>
                <w:rFonts w:ascii="Times New Roman" w:hAnsi="Times New Roman" w:cs="Times New Roman"/>
                <w:bCs/>
                <w:sz w:val="24"/>
                <w:szCs w:val="24"/>
              </w:rPr>
            </w:pPr>
          </w:p>
        </w:tc>
        <w:tc>
          <w:tcPr>
            <w:tcW w:w="3745" w:type="dxa"/>
            <w:tcBorders>
              <w:bottom w:val="single" w:sz="4" w:space="0" w:color="auto"/>
            </w:tcBorders>
            <w:shd w:val="clear" w:color="auto" w:fill="auto"/>
          </w:tcPr>
          <w:p w:rsidR="00967ADD" w:rsidRPr="00E12704" w:rsidRDefault="00967ADD" w:rsidP="003216F1">
            <w:r w:rsidRPr="00E12704">
              <w:t>Livelihoods of fishermen working in Abdeh harbor supported</w:t>
            </w:r>
            <w:r>
              <w:t xml:space="preserve"> </w:t>
            </w:r>
          </w:p>
        </w:tc>
        <w:tc>
          <w:tcPr>
            <w:tcW w:w="3960" w:type="dxa"/>
            <w:tcBorders>
              <w:bottom w:val="single" w:sz="4" w:space="0" w:color="auto"/>
            </w:tcBorders>
            <w:shd w:val="clear" w:color="auto" w:fill="auto"/>
          </w:tcPr>
          <w:p w:rsidR="00967ADD" w:rsidRPr="00F325AD" w:rsidRDefault="00967ADD" w:rsidP="00F325AD"/>
        </w:tc>
        <w:tc>
          <w:tcPr>
            <w:tcW w:w="3150" w:type="dxa"/>
            <w:tcBorders>
              <w:bottom w:val="single" w:sz="4" w:space="0" w:color="auto"/>
            </w:tcBorders>
            <w:shd w:val="clear" w:color="auto" w:fill="auto"/>
          </w:tcPr>
          <w:p w:rsidR="00967ADD" w:rsidRPr="00E12704" w:rsidRDefault="00967ADD" w:rsidP="00E12704">
            <w:r w:rsidRPr="00E12704">
              <w:t xml:space="preserve">Final report of infrastructure works in Abdeh harbour </w:t>
            </w:r>
          </w:p>
        </w:tc>
      </w:tr>
      <w:tr w:rsidR="003216F1" w:rsidRPr="00D8339C" w:rsidTr="00936E68">
        <w:trPr>
          <w:trHeight w:val="1245"/>
        </w:trPr>
        <w:tc>
          <w:tcPr>
            <w:tcW w:w="4265" w:type="dxa"/>
            <w:vMerge/>
            <w:shd w:val="clear" w:color="auto" w:fill="auto"/>
          </w:tcPr>
          <w:p w:rsidR="003216F1" w:rsidRPr="00D8339C" w:rsidRDefault="003216F1" w:rsidP="00F923BC">
            <w:pPr>
              <w:pStyle w:val="BodyText"/>
              <w:jc w:val="both"/>
              <w:rPr>
                <w:rFonts w:ascii="Times New Roman" w:hAnsi="Times New Roman" w:cs="Times New Roman"/>
                <w:bCs/>
                <w:sz w:val="24"/>
                <w:szCs w:val="24"/>
              </w:rPr>
            </w:pPr>
          </w:p>
        </w:tc>
        <w:tc>
          <w:tcPr>
            <w:tcW w:w="3745" w:type="dxa"/>
            <w:tcBorders>
              <w:bottom w:val="single" w:sz="4" w:space="0" w:color="auto"/>
            </w:tcBorders>
            <w:shd w:val="clear" w:color="auto" w:fill="auto"/>
          </w:tcPr>
          <w:p w:rsidR="003216F1" w:rsidRPr="003216F1" w:rsidRDefault="003216F1" w:rsidP="00FD3863">
            <w:r w:rsidRPr="003216F1">
              <w:t>135 fishermen attended more than 5 training sessions on cooperative</w:t>
            </w:r>
            <w:r w:rsidR="00FD3863">
              <w:t>s, capacity building and planning</w:t>
            </w:r>
          </w:p>
        </w:tc>
        <w:tc>
          <w:tcPr>
            <w:tcW w:w="3960" w:type="dxa"/>
            <w:tcBorders>
              <w:bottom w:val="single" w:sz="4" w:space="0" w:color="auto"/>
            </w:tcBorders>
            <w:shd w:val="clear" w:color="auto" w:fill="auto"/>
          </w:tcPr>
          <w:p w:rsidR="003216F1" w:rsidRPr="00F325AD" w:rsidRDefault="003216F1" w:rsidP="00F325AD"/>
        </w:tc>
        <w:tc>
          <w:tcPr>
            <w:tcW w:w="3150" w:type="dxa"/>
            <w:tcBorders>
              <w:bottom w:val="single" w:sz="4" w:space="0" w:color="auto"/>
            </w:tcBorders>
            <w:shd w:val="clear" w:color="auto" w:fill="auto"/>
          </w:tcPr>
          <w:p w:rsidR="003216F1" w:rsidRPr="003216F1" w:rsidRDefault="003216F1" w:rsidP="00854226">
            <w:pPr>
              <w:numPr>
                <w:ilvl w:val="0"/>
                <w:numId w:val="30"/>
              </w:numPr>
            </w:pPr>
            <w:r w:rsidRPr="003216F1">
              <w:t>Documentation &amp; evaluation  of training sessions</w:t>
            </w:r>
          </w:p>
          <w:p w:rsidR="003216F1" w:rsidRPr="00E12704" w:rsidRDefault="003216F1" w:rsidP="00854226">
            <w:pPr>
              <w:numPr>
                <w:ilvl w:val="0"/>
                <w:numId w:val="30"/>
              </w:numPr>
            </w:pPr>
            <w:r w:rsidRPr="003216F1">
              <w:t>UNDP progress report</w:t>
            </w:r>
          </w:p>
        </w:tc>
      </w:tr>
      <w:tr w:rsidR="00ED4561" w:rsidRPr="00D8339C" w:rsidTr="00E500F2">
        <w:trPr>
          <w:trHeight w:val="903"/>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Default="00FD3863" w:rsidP="00492CD5">
            <w:pPr>
              <w:numPr>
                <w:ilvl w:val="0"/>
                <w:numId w:val="39"/>
              </w:numPr>
            </w:pPr>
            <w:r>
              <w:t xml:space="preserve">More than </w:t>
            </w:r>
            <w:r w:rsidR="00492CD5">
              <w:t>200</w:t>
            </w:r>
            <w:r>
              <w:t xml:space="preserve"> </w:t>
            </w:r>
            <w:r w:rsidR="00ED4561" w:rsidRPr="00ED4561">
              <w:t xml:space="preserve">olive farmers </w:t>
            </w:r>
            <w:r>
              <w:t xml:space="preserve">are </w:t>
            </w:r>
            <w:r w:rsidR="00ED4561" w:rsidRPr="00ED4561">
              <w:t xml:space="preserve">using the olive harvesters (granted </w:t>
            </w:r>
            <w:r w:rsidR="00E500F2">
              <w:t>to the cooperatives of Karkaf and Halba)</w:t>
            </w:r>
          </w:p>
          <w:p w:rsidR="00D53116" w:rsidRPr="00ED4561" w:rsidRDefault="00D53116" w:rsidP="00854226">
            <w:pPr>
              <w:numPr>
                <w:ilvl w:val="0"/>
                <w:numId w:val="39"/>
              </w:numPr>
            </w:pPr>
            <w:r>
              <w:t>102 farmers received fully installed greenhouses</w:t>
            </w:r>
          </w:p>
        </w:tc>
        <w:tc>
          <w:tcPr>
            <w:tcW w:w="3960" w:type="dxa"/>
            <w:tcBorders>
              <w:top w:val="single" w:sz="4" w:space="0" w:color="auto"/>
              <w:bottom w:val="single" w:sz="4" w:space="0" w:color="auto"/>
            </w:tcBorders>
            <w:shd w:val="clear" w:color="auto" w:fill="auto"/>
          </w:tcPr>
          <w:p w:rsidR="00ED4561" w:rsidRPr="00ED4561" w:rsidRDefault="00ED4561" w:rsidP="00ED4561"/>
        </w:tc>
        <w:tc>
          <w:tcPr>
            <w:tcW w:w="3150" w:type="dxa"/>
            <w:tcBorders>
              <w:top w:val="single" w:sz="4" w:space="0" w:color="auto"/>
              <w:bottom w:val="single" w:sz="4" w:space="0" w:color="auto"/>
            </w:tcBorders>
            <w:shd w:val="clear" w:color="auto" w:fill="auto"/>
          </w:tcPr>
          <w:p w:rsidR="00ED4561" w:rsidRPr="00ED4561" w:rsidRDefault="00ED4561" w:rsidP="00854226">
            <w:pPr>
              <w:numPr>
                <w:ilvl w:val="0"/>
                <w:numId w:val="33"/>
              </w:numPr>
            </w:pPr>
            <w:r w:rsidRPr="00ED4561">
              <w:t>Equipment distributed and recorded</w:t>
            </w:r>
          </w:p>
          <w:p w:rsidR="00ED4561" w:rsidRPr="00ED4561" w:rsidRDefault="00ED4561" w:rsidP="00854226">
            <w:pPr>
              <w:numPr>
                <w:ilvl w:val="0"/>
                <w:numId w:val="33"/>
              </w:numPr>
            </w:pPr>
            <w:r w:rsidRPr="00ED4561">
              <w:t>UNDP Progress report</w:t>
            </w:r>
          </w:p>
        </w:tc>
      </w:tr>
      <w:tr w:rsidR="00ED4561" w:rsidRPr="00D8339C" w:rsidTr="001546D4">
        <w:trPr>
          <w:trHeight w:val="1245"/>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Default="00ED4561" w:rsidP="00854226">
            <w:pPr>
              <w:numPr>
                <w:ilvl w:val="0"/>
                <w:numId w:val="31"/>
              </w:numPr>
            </w:pPr>
            <w:r w:rsidRPr="00ED4561">
              <w:t>6 training</w:t>
            </w:r>
            <w:r w:rsidR="00E500F2">
              <w:t xml:space="preserve"> sessions</w:t>
            </w:r>
            <w:r w:rsidRPr="00ED4561">
              <w:t xml:space="preserve"> </w:t>
            </w:r>
            <w:r w:rsidR="00E500F2">
              <w:t>for greenhouses beneficiaries</w:t>
            </w:r>
            <w:r w:rsidRPr="00ED4561">
              <w:t xml:space="preserve"> </w:t>
            </w:r>
          </w:p>
          <w:p w:rsidR="00ED4561" w:rsidRPr="00ED4561" w:rsidRDefault="00E500F2" w:rsidP="00492CD5">
            <w:pPr>
              <w:numPr>
                <w:ilvl w:val="0"/>
                <w:numId w:val="31"/>
              </w:numPr>
            </w:pPr>
            <w:r>
              <w:t xml:space="preserve">4 training sessions for </w:t>
            </w:r>
            <w:r w:rsidR="00936E68">
              <w:t>farmers</w:t>
            </w:r>
          </w:p>
        </w:tc>
        <w:tc>
          <w:tcPr>
            <w:tcW w:w="3960" w:type="dxa"/>
            <w:tcBorders>
              <w:top w:val="single" w:sz="4" w:space="0" w:color="auto"/>
              <w:bottom w:val="single" w:sz="4" w:space="0" w:color="auto"/>
            </w:tcBorders>
            <w:shd w:val="clear" w:color="auto" w:fill="auto"/>
          </w:tcPr>
          <w:p w:rsidR="00ED4561" w:rsidRPr="00ED4561" w:rsidRDefault="00ED4561" w:rsidP="00936E68"/>
        </w:tc>
        <w:tc>
          <w:tcPr>
            <w:tcW w:w="3150" w:type="dxa"/>
            <w:tcBorders>
              <w:top w:val="single" w:sz="4" w:space="0" w:color="auto"/>
              <w:bottom w:val="single" w:sz="4" w:space="0" w:color="auto"/>
            </w:tcBorders>
            <w:shd w:val="clear" w:color="auto" w:fill="auto"/>
          </w:tcPr>
          <w:p w:rsidR="00ED4561" w:rsidRPr="00ED4561" w:rsidRDefault="00ED4561" w:rsidP="00854226">
            <w:pPr>
              <w:numPr>
                <w:ilvl w:val="0"/>
                <w:numId w:val="34"/>
              </w:numPr>
            </w:pPr>
            <w:r w:rsidRPr="00ED4561">
              <w:t>Documentation &amp; evaluation of training sessions</w:t>
            </w:r>
          </w:p>
          <w:p w:rsidR="00ED4561" w:rsidRPr="00ED4561" w:rsidRDefault="00ED4561" w:rsidP="00854226">
            <w:pPr>
              <w:numPr>
                <w:ilvl w:val="0"/>
                <w:numId w:val="34"/>
              </w:numPr>
            </w:pPr>
            <w:r w:rsidRPr="00ED4561">
              <w:t>UNDP Progress report</w:t>
            </w:r>
          </w:p>
        </w:tc>
      </w:tr>
      <w:tr w:rsidR="00ED4561" w:rsidRPr="00D8339C" w:rsidTr="00E12704">
        <w:trPr>
          <w:trHeight w:val="534"/>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Default="00ED4561" w:rsidP="00854226">
            <w:pPr>
              <w:numPr>
                <w:ilvl w:val="0"/>
                <w:numId w:val="32"/>
              </w:numPr>
            </w:pPr>
            <w:r w:rsidRPr="00ED4561">
              <w:t xml:space="preserve">250 households benefited from the olive harvesters </w:t>
            </w:r>
          </w:p>
          <w:p w:rsidR="00936E68" w:rsidRPr="00ED4561" w:rsidRDefault="00936E68" w:rsidP="00854226">
            <w:pPr>
              <w:numPr>
                <w:ilvl w:val="0"/>
                <w:numId w:val="32"/>
              </w:numPr>
            </w:pPr>
            <w:r>
              <w:t>More than 100 farmers benefited from the OSWCF</w:t>
            </w:r>
          </w:p>
        </w:tc>
        <w:tc>
          <w:tcPr>
            <w:tcW w:w="3960" w:type="dxa"/>
            <w:tcBorders>
              <w:top w:val="single" w:sz="4" w:space="0" w:color="auto"/>
              <w:bottom w:val="single" w:sz="4" w:space="0" w:color="auto"/>
            </w:tcBorders>
            <w:shd w:val="clear" w:color="auto" w:fill="auto"/>
          </w:tcPr>
          <w:p w:rsidR="00ED4561" w:rsidRPr="00ED4561" w:rsidRDefault="00ED4561" w:rsidP="00936E68"/>
        </w:tc>
        <w:tc>
          <w:tcPr>
            <w:tcW w:w="3150" w:type="dxa"/>
            <w:tcBorders>
              <w:top w:val="single" w:sz="4" w:space="0" w:color="auto"/>
              <w:bottom w:val="single" w:sz="4" w:space="0" w:color="auto"/>
            </w:tcBorders>
            <w:shd w:val="clear" w:color="auto" w:fill="auto"/>
          </w:tcPr>
          <w:p w:rsidR="00936E68" w:rsidRDefault="00ED4561" w:rsidP="00854226">
            <w:pPr>
              <w:numPr>
                <w:ilvl w:val="0"/>
                <w:numId w:val="35"/>
              </w:numPr>
            </w:pPr>
            <w:r w:rsidRPr="00ED4561">
              <w:t>Equipment distributed and recorded</w:t>
            </w:r>
          </w:p>
          <w:p w:rsidR="00ED4561" w:rsidRPr="00ED4561" w:rsidRDefault="00ED4561" w:rsidP="00854226">
            <w:pPr>
              <w:numPr>
                <w:ilvl w:val="0"/>
                <w:numId w:val="35"/>
              </w:numPr>
            </w:pPr>
            <w:r w:rsidRPr="00ED4561">
              <w:t>UNDP Progress report</w:t>
            </w:r>
          </w:p>
        </w:tc>
      </w:tr>
      <w:tr w:rsidR="00ED4561" w:rsidRPr="00D8339C" w:rsidTr="00E12704">
        <w:trPr>
          <w:trHeight w:val="534"/>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Pr="00ED4561" w:rsidRDefault="00ED4561" w:rsidP="00ED4561">
            <w:r w:rsidRPr="00ED4561">
              <w:t>10 training sessions for SME business owners were delivered.</w:t>
            </w:r>
          </w:p>
        </w:tc>
        <w:tc>
          <w:tcPr>
            <w:tcW w:w="3960" w:type="dxa"/>
            <w:tcBorders>
              <w:top w:val="single" w:sz="4" w:space="0" w:color="auto"/>
              <w:bottom w:val="single" w:sz="4" w:space="0" w:color="auto"/>
            </w:tcBorders>
            <w:shd w:val="clear" w:color="auto" w:fill="auto"/>
          </w:tcPr>
          <w:p w:rsidR="001546D4" w:rsidRPr="00ED4561" w:rsidRDefault="00936E68" w:rsidP="001546D4">
            <w:r>
              <w:t xml:space="preserve">Two additional training sessions were organized </w:t>
            </w:r>
            <w:r w:rsidR="001546D4">
              <w:t xml:space="preserve">in the NBC surrounding </w:t>
            </w:r>
            <w:r w:rsidR="001546D4">
              <w:lastRenderedPageBreak/>
              <w:t>area because needs were higher than expected for</w:t>
            </w:r>
            <w:r>
              <w:t xml:space="preserve"> SME owners</w:t>
            </w:r>
            <w:r w:rsidR="001546D4">
              <w:t xml:space="preserve"> </w:t>
            </w:r>
          </w:p>
        </w:tc>
        <w:tc>
          <w:tcPr>
            <w:tcW w:w="3150" w:type="dxa"/>
            <w:tcBorders>
              <w:top w:val="single" w:sz="4" w:space="0" w:color="auto"/>
              <w:bottom w:val="single" w:sz="4" w:space="0" w:color="auto"/>
            </w:tcBorders>
            <w:shd w:val="clear" w:color="auto" w:fill="auto"/>
          </w:tcPr>
          <w:p w:rsidR="00ED4561" w:rsidRPr="00ED4561" w:rsidRDefault="00ED4561" w:rsidP="00854226">
            <w:pPr>
              <w:numPr>
                <w:ilvl w:val="0"/>
                <w:numId w:val="36"/>
              </w:numPr>
            </w:pPr>
            <w:r w:rsidRPr="00ED4561">
              <w:lastRenderedPageBreak/>
              <w:t>Documentation of training sessions</w:t>
            </w:r>
          </w:p>
          <w:p w:rsidR="00ED4561" w:rsidRPr="00ED4561" w:rsidRDefault="00ED4561" w:rsidP="00854226">
            <w:pPr>
              <w:numPr>
                <w:ilvl w:val="0"/>
                <w:numId w:val="36"/>
              </w:numPr>
            </w:pPr>
            <w:r w:rsidRPr="00ED4561">
              <w:lastRenderedPageBreak/>
              <w:t>UNDP progress report</w:t>
            </w:r>
          </w:p>
        </w:tc>
      </w:tr>
      <w:tr w:rsidR="00ED4561" w:rsidRPr="00D8339C" w:rsidTr="00E12704">
        <w:trPr>
          <w:trHeight w:val="534"/>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Pr="00ED4561" w:rsidRDefault="00492CD5" w:rsidP="00492CD5">
            <w:r>
              <w:t>Women’s c</w:t>
            </w:r>
            <w:r w:rsidR="00ED4561" w:rsidRPr="00ED4561">
              <w:t>ooperative established and functioning</w:t>
            </w:r>
          </w:p>
        </w:tc>
        <w:tc>
          <w:tcPr>
            <w:tcW w:w="3960" w:type="dxa"/>
            <w:tcBorders>
              <w:top w:val="single" w:sz="4" w:space="0" w:color="auto"/>
              <w:bottom w:val="single" w:sz="4" w:space="0" w:color="auto"/>
            </w:tcBorders>
            <w:shd w:val="clear" w:color="auto" w:fill="auto"/>
          </w:tcPr>
          <w:p w:rsidR="00ED4561" w:rsidRPr="00ED4561" w:rsidRDefault="00ED4561" w:rsidP="00ED4561"/>
        </w:tc>
        <w:tc>
          <w:tcPr>
            <w:tcW w:w="3150" w:type="dxa"/>
            <w:tcBorders>
              <w:top w:val="single" w:sz="4" w:space="0" w:color="auto"/>
              <w:bottom w:val="single" w:sz="4" w:space="0" w:color="auto"/>
            </w:tcBorders>
            <w:shd w:val="clear" w:color="auto" w:fill="auto"/>
          </w:tcPr>
          <w:p w:rsidR="00ED4561" w:rsidRPr="00ED4561" w:rsidRDefault="00ED4561" w:rsidP="00854226">
            <w:pPr>
              <w:numPr>
                <w:ilvl w:val="0"/>
                <w:numId w:val="37"/>
              </w:numPr>
            </w:pPr>
            <w:r w:rsidRPr="00ED4561">
              <w:t>Minutes of meetings</w:t>
            </w:r>
          </w:p>
          <w:p w:rsidR="00ED4561" w:rsidRPr="00ED4561" w:rsidRDefault="00ED4561" w:rsidP="00854226">
            <w:pPr>
              <w:numPr>
                <w:ilvl w:val="0"/>
                <w:numId w:val="37"/>
              </w:numPr>
            </w:pPr>
            <w:r w:rsidRPr="00ED4561">
              <w:t>Cooperative documentation and records of  contracts of loans</w:t>
            </w:r>
          </w:p>
        </w:tc>
      </w:tr>
      <w:tr w:rsidR="00ED4561" w:rsidRPr="00D8339C" w:rsidTr="00671F7F">
        <w:trPr>
          <w:trHeight w:val="1605"/>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Pr="00ED4561" w:rsidRDefault="00ED4561" w:rsidP="00ED4561">
            <w:r w:rsidRPr="00ED4561">
              <w:t>106  loans provided</w:t>
            </w:r>
          </w:p>
        </w:tc>
        <w:tc>
          <w:tcPr>
            <w:tcW w:w="3960" w:type="dxa"/>
            <w:tcBorders>
              <w:top w:val="single" w:sz="4" w:space="0" w:color="auto"/>
              <w:bottom w:val="single" w:sz="4" w:space="0" w:color="auto"/>
            </w:tcBorders>
            <w:shd w:val="clear" w:color="auto" w:fill="auto"/>
          </w:tcPr>
          <w:p w:rsidR="00ED4561" w:rsidRPr="00ED4561" w:rsidRDefault="006E7DE5" w:rsidP="00492CD5">
            <w:r>
              <w:t xml:space="preserve">The process of providing loans to business owners was not easily accepted and implemented and the high risk of failure in some cases </w:t>
            </w:r>
            <w:r w:rsidR="00492CD5">
              <w:t xml:space="preserve">reduced </w:t>
            </w:r>
            <w:r>
              <w:t>the number of beneficiaries</w:t>
            </w:r>
          </w:p>
        </w:tc>
        <w:tc>
          <w:tcPr>
            <w:tcW w:w="3150" w:type="dxa"/>
            <w:tcBorders>
              <w:top w:val="single" w:sz="4" w:space="0" w:color="auto"/>
              <w:bottom w:val="single" w:sz="4" w:space="0" w:color="auto"/>
            </w:tcBorders>
            <w:shd w:val="clear" w:color="auto" w:fill="auto"/>
          </w:tcPr>
          <w:p w:rsidR="00ED4561" w:rsidRPr="00ED4561" w:rsidRDefault="00ED4561" w:rsidP="00ED4561">
            <w:r w:rsidRPr="00ED4561">
              <w:t>Documentation and records of  contracts of loans</w:t>
            </w:r>
          </w:p>
          <w:p w:rsidR="00ED4561" w:rsidRPr="00ED4561" w:rsidRDefault="00ED4561" w:rsidP="00ED4561"/>
        </w:tc>
      </w:tr>
      <w:tr w:rsidR="00ED4561" w:rsidRPr="00D8339C" w:rsidTr="00492CD5">
        <w:trPr>
          <w:trHeight w:val="2235"/>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tcBorders>
              <w:top w:val="single" w:sz="4" w:space="0" w:color="auto"/>
              <w:bottom w:val="single" w:sz="4" w:space="0" w:color="auto"/>
            </w:tcBorders>
            <w:shd w:val="clear" w:color="auto" w:fill="auto"/>
          </w:tcPr>
          <w:p w:rsidR="00ED4561" w:rsidRPr="00ED4561" w:rsidRDefault="00ED4561" w:rsidP="00854226">
            <w:pPr>
              <w:numPr>
                <w:ilvl w:val="0"/>
                <w:numId w:val="38"/>
              </w:numPr>
            </w:pPr>
            <w:r w:rsidRPr="00ED4561">
              <w:t>10 training sessions targeting the newly established women cooperative in Bebnine,</w:t>
            </w:r>
          </w:p>
          <w:p w:rsidR="00ED4561" w:rsidRPr="00ED4561" w:rsidRDefault="00ED4561" w:rsidP="00854226">
            <w:pPr>
              <w:numPr>
                <w:ilvl w:val="0"/>
                <w:numId w:val="38"/>
              </w:numPr>
            </w:pPr>
            <w:r w:rsidRPr="00ED4561">
              <w:t xml:space="preserve">4 </w:t>
            </w:r>
            <w:r w:rsidR="006D4CE9">
              <w:t>training sessions for the OSWCF</w:t>
            </w:r>
          </w:p>
          <w:p w:rsidR="00ED4561" w:rsidRPr="00ED4561" w:rsidRDefault="00ED4561" w:rsidP="00854226">
            <w:pPr>
              <w:numPr>
                <w:ilvl w:val="0"/>
                <w:numId w:val="38"/>
              </w:numPr>
            </w:pPr>
            <w:r w:rsidRPr="00ED4561">
              <w:t xml:space="preserve">6 training sessions for Halba and Karkaf cooperatives </w:t>
            </w:r>
          </w:p>
        </w:tc>
        <w:tc>
          <w:tcPr>
            <w:tcW w:w="3960" w:type="dxa"/>
            <w:tcBorders>
              <w:top w:val="single" w:sz="4" w:space="0" w:color="auto"/>
              <w:bottom w:val="single" w:sz="4" w:space="0" w:color="auto"/>
            </w:tcBorders>
            <w:shd w:val="clear" w:color="auto" w:fill="auto"/>
          </w:tcPr>
          <w:p w:rsidR="00ED4561" w:rsidRPr="00ED4561" w:rsidRDefault="006D4CE9" w:rsidP="00492CD5">
            <w:r>
              <w:t>Mor</w:t>
            </w:r>
            <w:r w:rsidR="00492CD5">
              <w:t>e</w:t>
            </w:r>
            <w:r>
              <w:t xml:space="preserve"> training sessions than originally planned were needed for cooperatives’ members</w:t>
            </w:r>
          </w:p>
        </w:tc>
        <w:tc>
          <w:tcPr>
            <w:tcW w:w="3150" w:type="dxa"/>
            <w:tcBorders>
              <w:top w:val="single" w:sz="4" w:space="0" w:color="auto"/>
              <w:bottom w:val="single" w:sz="4" w:space="0" w:color="auto"/>
            </w:tcBorders>
            <w:shd w:val="clear" w:color="auto" w:fill="auto"/>
          </w:tcPr>
          <w:p w:rsidR="00ED4561" w:rsidRPr="00ED4561" w:rsidRDefault="00ED4561" w:rsidP="00854226">
            <w:pPr>
              <w:numPr>
                <w:ilvl w:val="0"/>
                <w:numId w:val="40"/>
              </w:numPr>
            </w:pPr>
            <w:r w:rsidRPr="00ED4561">
              <w:t>Documentation &amp; evaluation of training sessions</w:t>
            </w:r>
          </w:p>
          <w:p w:rsidR="00ED4561" w:rsidRPr="00ED4561" w:rsidRDefault="00ED4561" w:rsidP="00854226">
            <w:pPr>
              <w:numPr>
                <w:ilvl w:val="0"/>
                <w:numId w:val="40"/>
              </w:numPr>
            </w:pPr>
            <w:r w:rsidRPr="00ED4561">
              <w:t>UNDP progress report</w:t>
            </w:r>
          </w:p>
        </w:tc>
      </w:tr>
      <w:tr w:rsidR="00ED4561" w:rsidRPr="00D8339C" w:rsidTr="00492CD5">
        <w:trPr>
          <w:trHeight w:val="993"/>
        </w:trPr>
        <w:tc>
          <w:tcPr>
            <w:tcW w:w="4265" w:type="dxa"/>
            <w:vMerge w:val="restart"/>
            <w:shd w:val="clear" w:color="auto" w:fill="auto"/>
          </w:tcPr>
          <w:p w:rsidR="00ED4561" w:rsidRDefault="00ED4561" w:rsidP="00F923BC">
            <w:r w:rsidRPr="00D8339C">
              <w:rPr>
                <w:b/>
              </w:rPr>
              <w:t>Output 1.2</w:t>
            </w:r>
            <w:r w:rsidRPr="00D8339C">
              <w:t xml:space="preserve"> </w:t>
            </w:r>
          </w:p>
          <w:p w:rsidR="00ED4561" w:rsidRPr="004D514D" w:rsidRDefault="00ED4561" w:rsidP="004D514D">
            <w:pPr>
              <w:jc w:val="both"/>
            </w:pPr>
            <w:r w:rsidRPr="004D514D">
              <w:t>Living conditions and livelihoods of communities improved through small scale infrastructure projects</w:t>
            </w:r>
          </w:p>
          <w:p w:rsidR="00ED4561" w:rsidRPr="004D514D" w:rsidRDefault="00ED4561" w:rsidP="00F923BC"/>
          <w:p w:rsidR="00ED4561" w:rsidRDefault="00ED4561" w:rsidP="00EF7817">
            <w:pPr>
              <w:rPr>
                <w:bCs/>
              </w:rPr>
            </w:pPr>
            <w:r>
              <w:rPr>
                <w:b/>
              </w:rPr>
              <w:t>Indicator:</w:t>
            </w:r>
            <w:r w:rsidR="00EF7817">
              <w:rPr>
                <w:b/>
              </w:rPr>
              <w:t xml:space="preserve"> </w:t>
            </w:r>
            <w:r w:rsidR="00EF7817" w:rsidRPr="00EF7817">
              <w:rPr>
                <w:bCs/>
              </w:rPr>
              <w:t>Number of infrastructure projects and trainings completed</w:t>
            </w:r>
          </w:p>
          <w:p w:rsidR="00EF7817" w:rsidRPr="00D8339C" w:rsidRDefault="00EF7817" w:rsidP="00EF7817">
            <w:pPr>
              <w:rPr>
                <w:b/>
              </w:rPr>
            </w:pPr>
          </w:p>
          <w:p w:rsidR="00ED4561" w:rsidRPr="00D8339C" w:rsidRDefault="00ED4561" w:rsidP="00F923BC">
            <w:pPr>
              <w:rPr>
                <w:b/>
              </w:rPr>
            </w:pPr>
            <w:r w:rsidRPr="00D8339C">
              <w:rPr>
                <w:b/>
              </w:rPr>
              <w:t>Planned Target:</w:t>
            </w:r>
          </w:p>
          <w:p w:rsidR="00ED4561" w:rsidRDefault="00ED4561" w:rsidP="00854226">
            <w:pPr>
              <w:numPr>
                <w:ilvl w:val="0"/>
                <w:numId w:val="28"/>
              </w:numPr>
            </w:pPr>
            <w:r w:rsidRPr="00AE2D82">
              <w:t>Assessment on specific infrastructure needs conducted</w:t>
            </w:r>
          </w:p>
          <w:p w:rsidR="00ED4561" w:rsidRDefault="00ED4561" w:rsidP="00854226">
            <w:pPr>
              <w:numPr>
                <w:ilvl w:val="0"/>
                <w:numId w:val="28"/>
              </w:numPr>
            </w:pPr>
            <w:r w:rsidRPr="00AE2D82">
              <w:t xml:space="preserve">4 training sessions on infrastructure maintenance &amp; supervision of works </w:t>
            </w:r>
          </w:p>
          <w:p w:rsidR="00ED4561" w:rsidRPr="00D8339C" w:rsidRDefault="00ED4561" w:rsidP="00854226">
            <w:pPr>
              <w:numPr>
                <w:ilvl w:val="0"/>
                <w:numId w:val="28"/>
              </w:numPr>
              <w:rPr>
                <w:bCs/>
              </w:rPr>
            </w:pPr>
            <w:r w:rsidRPr="00AE2D82">
              <w:t xml:space="preserve">4 sub-regional infrastructure projects connecting municipalities economic resources </w:t>
            </w:r>
          </w:p>
        </w:tc>
        <w:tc>
          <w:tcPr>
            <w:tcW w:w="3745" w:type="dxa"/>
            <w:shd w:val="clear" w:color="auto" w:fill="auto"/>
          </w:tcPr>
          <w:p w:rsidR="00ED4561" w:rsidRPr="00ED4561" w:rsidRDefault="00ED4561" w:rsidP="00ED4561">
            <w:r w:rsidRPr="00ED4561">
              <w:t>Participatory needs assessments conducted including a final workshop</w:t>
            </w:r>
          </w:p>
        </w:tc>
        <w:tc>
          <w:tcPr>
            <w:tcW w:w="3960" w:type="dxa"/>
            <w:shd w:val="clear" w:color="auto" w:fill="auto"/>
          </w:tcPr>
          <w:p w:rsidR="00ED4561" w:rsidRPr="00ED4561" w:rsidRDefault="00ED4561" w:rsidP="00ED4561"/>
        </w:tc>
        <w:tc>
          <w:tcPr>
            <w:tcW w:w="3150" w:type="dxa"/>
            <w:shd w:val="clear" w:color="auto" w:fill="auto"/>
          </w:tcPr>
          <w:p w:rsidR="00ED4561" w:rsidRPr="00ED4561" w:rsidRDefault="00ED4561" w:rsidP="00ED4561">
            <w:r w:rsidRPr="00ED4561">
              <w:t>Assessment completed and documented</w:t>
            </w:r>
          </w:p>
        </w:tc>
      </w:tr>
      <w:tr w:rsidR="00ED4561" w:rsidRPr="00D8339C" w:rsidTr="00255268">
        <w:trPr>
          <w:trHeight w:val="705"/>
        </w:trPr>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shd w:val="clear" w:color="auto" w:fill="auto"/>
          </w:tcPr>
          <w:p w:rsidR="00ED4561" w:rsidRPr="00ED4561" w:rsidRDefault="00900AC7" w:rsidP="00ED4561">
            <w:r>
              <w:t>4 training sessions were organized for MoA extension agents</w:t>
            </w:r>
            <w:r w:rsidR="00ED4561" w:rsidRPr="00ED4561">
              <w:t xml:space="preserve"> </w:t>
            </w:r>
          </w:p>
        </w:tc>
        <w:tc>
          <w:tcPr>
            <w:tcW w:w="3960" w:type="dxa"/>
            <w:shd w:val="clear" w:color="auto" w:fill="auto"/>
          </w:tcPr>
          <w:p w:rsidR="00ED4561" w:rsidRPr="00ED4561" w:rsidRDefault="00ED4561" w:rsidP="00ED4561"/>
        </w:tc>
        <w:tc>
          <w:tcPr>
            <w:tcW w:w="3150" w:type="dxa"/>
            <w:shd w:val="clear" w:color="auto" w:fill="auto"/>
          </w:tcPr>
          <w:p w:rsidR="00ED4561" w:rsidRPr="00ED4561" w:rsidRDefault="00ED4561" w:rsidP="00ED4561">
            <w:r w:rsidRPr="00ED4561">
              <w:t>Documentation of training</w:t>
            </w:r>
          </w:p>
        </w:tc>
      </w:tr>
      <w:tr w:rsidR="00ED4561" w:rsidRPr="00D8339C" w:rsidTr="008D685F">
        <w:tc>
          <w:tcPr>
            <w:tcW w:w="4265" w:type="dxa"/>
            <w:vMerge/>
            <w:shd w:val="clear" w:color="auto" w:fill="auto"/>
          </w:tcPr>
          <w:p w:rsidR="00ED4561" w:rsidRPr="00D8339C" w:rsidRDefault="00ED4561" w:rsidP="00F923BC">
            <w:pPr>
              <w:pStyle w:val="BodyText"/>
              <w:jc w:val="both"/>
              <w:rPr>
                <w:rFonts w:ascii="Times New Roman" w:hAnsi="Times New Roman" w:cs="Times New Roman"/>
                <w:bCs/>
                <w:sz w:val="24"/>
                <w:szCs w:val="24"/>
              </w:rPr>
            </w:pPr>
          </w:p>
        </w:tc>
        <w:tc>
          <w:tcPr>
            <w:tcW w:w="3745" w:type="dxa"/>
            <w:shd w:val="clear" w:color="auto" w:fill="auto"/>
          </w:tcPr>
          <w:p w:rsidR="00900AC7" w:rsidRDefault="00900AC7" w:rsidP="00854226">
            <w:pPr>
              <w:numPr>
                <w:ilvl w:val="0"/>
                <w:numId w:val="41"/>
              </w:numPr>
            </w:pPr>
            <w:r>
              <w:t>Improvement of the Halba slaughterhouse</w:t>
            </w:r>
          </w:p>
          <w:p w:rsidR="00900AC7" w:rsidRDefault="00900AC7" w:rsidP="00854226">
            <w:pPr>
              <w:numPr>
                <w:ilvl w:val="0"/>
                <w:numId w:val="41"/>
              </w:numPr>
            </w:pPr>
            <w:r>
              <w:t>Construction and asphalting of 6 agricultural roads</w:t>
            </w:r>
          </w:p>
          <w:p w:rsidR="00900AC7" w:rsidRDefault="00900AC7" w:rsidP="00854226">
            <w:pPr>
              <w:numPr>
                <w:ilvl w:val="0"/>
                <w:numId w:val="41"/>
              </w:numPr>
            </w:pPr>
            <w:r>
              <w:t>Completion of the OSWCF</w:t>
            </w:r>
          </w:p>
          <w:p w:rsidR="00ED4561" w:rsidRPr="00ED4561" w:rsidRDefault="00900AC7" w:rsidP="00854226">
            <w:pPr>
              <w:numPr>
                <w:ilvl w:val="0"/>
                <w:numId w:val="41"/>
              </w:numPr>
            </w:pPr>
            <w:r>
              <w:t>Sewage network and mini-football field completed in Bkarzla</w:t>
            </w:r>
          </w:p>
        </w:tc>
        <w:tc>
          <w:tcPr>
            <w:tcW w:w="3960" w:type="dxa"/>
            <w:shd w:val="clear" w:color="auto" w:fill="auto"/>
          </w:tcPr>
          <w:p w:rsidR="00ED4561" w:rsidRPr="00ED4561" w:rsidRDefault="00ED4561" w:rsidP="00ED4561"/>
          <w:p w:rsidR="00ED4561" w:rsidRPr="00ED4561" w:rsidRDefault="00ED4561" w:rsidP="00ED4561"/>
        </w:tc>
        <w:tc>
          <w:tcPr>
            <w:tcW w:w="3150" w:type="dxa"/>
            <w:shd w:val="clear" w:color="auto" w:fill="auto"/>
          </w:tcPr>
          <w:p w:rsidR="00ED4561" w:rsidRDefault="00ED4561" w:rsidP="00854226">
            <w:pPr>
              <w:numPr>
                <w:ilvl w:val="0"/>
                <w:numId w:val="42"/>
              </w:numPr>
            </w:pPr>
            <w:r w:rsidRPr="00ED4561">
              <w:t>Infrastructure</w:t>
            </w:r>
            <w:r w:rsidR="004460DE">
              <w:t xml:space="preserve"> projects and works</w:t>
            </w:r>
            <w:r w:rsidRPr="00ED4561">
              <w:t xml:space="preserve"> completed</w:t>
            </w:r>
          </w:p>
          <w:p w:rsidR="00900AC7" w:rsidRPr="00ED4561" w:rsidRDefault="00900AC7" w:rsidP="00854226">
            <w:pPr>
              <w:numPr>
                <w:ilvl w:val="0"/>
                <w:numId w:val="42"/>
              </w:numPr>
            </w:pPr>
            <w:r>
              <w:t>Final reports</w:t>
            </w:r>
          </w:p>
        </w:tc>
      </w:tr>
      <w:tr w:rsidR="00B6584D" w:rsidRPr="00D8339C" w:rsidTr="003E5F01">
        <w:trPr>
          <w:trHeight w:val="2154"/>
        </w:trPr>
        <w:tc>
          <w:tcPr>
            <w:tcW w:w="4265" w:type="dxa"/>
            <w:vMerge w:val="restart"/>
            <w:shd w:val="clear" w:color="auto" w:fill="auto"/>
          </w:tcPr>
          <w:p w:rsidR="00B6584D" w:rsidRDefault="00B6584D" w:rsidP="004D514D">
            <w:r w:rsidRPr="00D8339C">
              <w:rPr>
                <w:b/>
              </w:rPr>
              <w:lastRenderedPageBreak/>
              <w:t>Output 1.</w:t>
            </w:r>
            <w:r>
              <w:rPr>
                <w:b/>
              </w:rPr>
              <w:t>3</w:t>
            </w:r>
          </w:p>
          <w:p w:rsidR="00B6584D" w:rsidRDefault="00B6584D" w:rsidP="004D514D">
            <w:pPr>
              <w:rPr>
                <w:b/>
              </w:rPr>
            </w:pPr>
            <w:r w:rsidRPr="00C67842">
              <w:t>Dialogue improved through local level interventions, particularly targeting youth</w:t>
            </w:r>
          </w:p>
          <w:p w:rsidR="00B6584D" w:rsidRPr="00C67842" w:rsidRDefault="00B6584D" w:rsidP="004D514D">
            <w:pPr>
              <w:rPr>
                <w:b/>
              </w:rPr>
            </w:pPr>
            <w:r w:rsidRPr="00C67842">
              <w:rPr>
                <w:b/>
              </w:rPr>
              <w:t xml:space="preserve"> </w:t>
            </w:r>
          </w:p>
          <w:p w:rsidR="00B6584D" w:rsidRPr="00D8339C" w:rsidRDefault="00B6584D" w:rsidP="00096883">
            <w:pPr>
              <w:rPr>
                <w:b/>
              </w:rPr>
            </w:pPr>
            <w:r w:rsidRPr="00D8339C">
              <w:rPr>
                <w:b/>
              </w:rPr>
              <w:t>Indicator</w:t>
            </w:r>
            <w:r>
              <w:rPr>
                <w:b/>
              </w:rPr>
              <w:t>:</w:t>
            </w:r>
            <w:r w:rsidR="00096883">
              <w:rPr>
                <w:b/>
              </w:rPr>
              <w:t xml:space="preserve"> </w:t>
            </w:r>
            <w:r w:rsidR="00096883" w:rsidRPr="00096883">
              <w:rPr>
                <w:bCs/>
              </w:rPr>
              <w:t>Number of beneficiaries and interventions</w:t>
            </w:r>
            <w:r w:rsidR="00096883">
              <w:rPr>
                <w:b/>
              </w:rPr>
              <w:t xml:space="preserve"> </w:t>
            </w:r>
          </w:p>
          <w:p w:rsidR="00096883" w:rsidRDefault="00096883" w:rsidP="004D514D">
            <w:pPr>
              <w:rPr>
                <w:b/>
              </w:rPr>
            </w:pPr>
          </w:p>
          <w:p w:rsidR="00B6584D" w:rsidRPr="00D8339C" w:rsidRDefault="00B6584D" w:rsidP="004D514D">
            <w:pPr>
              <w:rPr>
                <w:b/>
              </w:rPr>
            </w:pPr>
            <w:r w:rsidRPr="00D8339C">
              <w:rPr>
                <w:b/>
              </w:rPr>
              <w:t>Planned Target:</w:t>
            </w:r>
          </w:p>
          <w:p w:rsidR="00B6584D" w:rsidRDefault="00B6584D" w:rsidP="00854226">
            <w:pPr>
              <w:numPr>
                <w:ilvl w:val="0"/>
                <w:numId w:val="29"/>
              </w:numPr>
            </w:pPr>
            <w:r w:rsidRPr="004C551D">
              <w:t>5 small-scale youth projects</w:t>
            </w:r>
          </w:p>
          <w:p w:rsidR="00B6584D" w:rsidRDefault="00B6584D" w:rsidP="00854226">
            <w:pPr>
              <w:numPr>
                <w:ilvl w:val="0"/>
                <w:numId w:val="29"/>
              </w:numPr>
            </w:pPr>
            <w:r w:rsidRPr="004C551D">
              <w:t>2  training sessions on basic conflict prevention &amp; reconciliation conducted</w:t>
            </w:r>
          </w:p>
          <w:p w:rsidR="00B6584D" w:rsidRDefault="00B6584D" w:rsidP="00854226">
            <w:pPr>
              <w:numPr>
                <w:ilvl w:val="0"/>
                <w:numId w:val="29"/>
              </w:numPr>
            </w:pPr>
            <w:r w:rsidRPr="004C551D">
              <w:t>2 Youth camps for local youth conducted</w:t>
            </w:r>
          </w:p>
          <w:p w:rsidR="00B6584D" w:rsidRPr="004C551D" w:rsidRDefault="00B6584D" w:rsidP="00854226">
            <w:pPr>
              <w:numPr>
                <w:ilvl w:val="0"/>
                <w:numId w:val="29"/>
              </w:numPr>
            </w:pPr>
            <w:r w:rsidRPr="003B3999">
              <w:t xml:space="preserve">12 dialogue sessions initiated </w:t>
            </w:r>
          </w:p>
        </w:tc>
        <w:tc>
          <w:tcPr>
            <w:tcW w:w="3745" w:type="dxa"/>
            <w:shd w:val="clear" w:color="auto" w:fill="auto"/>
          </w:tcPr>
          <w:p w:rsidR="00F53C9E" w:rsidRDefault="00B6584D" w:rsidP="00B6584D">
            <w:r w:rsidRPr="00B6584D">
              <w:t xml:space="preserve">4 completed </w:t>
            </w:r>
            <w:r w:rsidR="00F53C9E">
              <w:t>small-scale youth projects:</w:t>
            </w:r>
          </w:p>
          <w:p w:rsidR="00F53C9E" w:rsidRDefault="00F53C9E" w:rsidP="00854226">
            <w:pPr>
              <w:numPr>
                <w:ilvl w:val="0"/>
                <w:numId w:val="43"/>
              </w:numPr>
            </w:pPr>
            <w:r>
              <w:t>S</w:t>
            </w:r>
            <w:r w:rsidR="00B6584D" w:rsidRPr="00B6584D">
              <w:t>upport to Lebanese/Palestinian Cine Club</w:t>
            </w:r>
          </w:p>
          <w:p w:rsidR="00F53C9E" w:rsidRDefault="00F53C9E" w:rsidP="00854226">
            <w:pPr>
              <w:numPr>
                <w:ilvl w:val="0"/>
                <w:numId w:val="43"/>
              </w:numPr>
            </w:pPr>
            <w:r>
              <w:t>A c</w:t>
            </w:r>
            <w:r w:rsidR="00B6584D" w:rsidRPr="00B6584D">
              <w:t>onflict prevention workshop,</w:t>
            </w:r>
          </w:p>
          <w:p w:rsidR="00F53C9E" w:rsidRDefault="00F53C9E" w:rsidP="00854226">
            <w:pPr>
              <w:numPr>
                <w:ilvl w:val="0"/>
                <w:numId w:val="43"/>
              </w:numPr>
            </w:pPr>
            <w:r w:rsidRPr="00B6584D">
              <w:t xml:space="preserve">Support to </w:t>
            </w:r>
            <w:r>
              <w:t xml:space="preserve">the </w:t>
            </w:r>
            <w:r w:rsidRPr="00B6584D">
              <w:t>Lebanese/Palestinian Choir</w:t>
            </w:r>
          </w:p>
          <w:p w:rsidR="00B6584D" w:rsidRPr="00B6584D" w:rsidRDefault="00B6584D" w:rsidP="00854226">
            <w:pPr>
              <w:numPr>
                <w:ilvl w:val="0"/>
                <w:numId w:val="43"/>
              </w:numPr>
            </w:pPr>
            <w:r w:rsidRPr="00B6584D">
              <w:t xml:space="preserve">Youth perception </w:t>
            </w:r>
            <w:r w:rsidR="00F53C9E">
              <w:t>survey on</w:t>
            </w:r>
            <w:r w:rsidRPr="00B6584D">
              <w:t xml:space="preserve"> Lebanese/Palestinian relations</w:t>
            </w:r>
          </w:p>
        </w:tc>
        <w:tc>
          <w:tcPr>
            <w:tcW w:w="3960" w:type="dxa"/>
            <w:shd w:val="clear" w:color="auto" w:fill="auto"/>
          </w:tcPr>
          <w:p w:rsidR="00B6584D" w:rsidRPr="00B6584D" w:rsidRDefault="00B6584D" w:rsidP="00B6584D">
            <w:r w:rsidRPr="00B6584D">
              <w:t>The scale of the projects was modified in order to provide a structured space where youth can meet, exchange and better know each other rather than ad-hoc activities or very small scale activities</w:t>
            </w:r>
          </w:p>
        </w:tc>
        <w:tc>
          <w:tcPr>
            <w:tcW w:w="3150" w:type="dxa"/>
            <w:shd w:val="clear" w:color="auto" w:fill="auto"/>
          </w:tcPr>
          <w:p w:rsidR="00B6584D" w:rsidRPr="00B6584D" w:rsidRDefault="00B6584D" w:rsidP="00B6584D">
            <w:r w:rsidRPr="00B6584D">
              <w:t>UNDP progress report</w:t>
            </w:r>
          </w:p>
        </w:tc>
      </w:tr>
      <w:tr w:rsidR="00B6584D" w:rsidRPr="00D8339C" w:rsidTr="003E5F01">
        <w:trPr>
          <w:trHeight w:val="435"/>
        </w:trPr>
        <w:tc>
          <w:tcPr>
            <w:tcW w:w="4265" w:type="dxa"/>
            <w:vMerge/>
            <w:shd w:val="clear" w:color="auto" w:fill="auto"/>
          </w:tcPr>
          <w:p w:rsidR="00B6584D" w:rsidRPr="00D8339C" w:rsidRDefault="00B6584D" w:rsidP="004D514D">
            <w:pPr>
              <w:rPr>
                <w:b/>
              </w:rPr>
            </w:pPr>
          </w:p>
        </w:tc>
        <w:tc>
          <w:tcPr>
            <w:tcW w:w="3745" w:type="dxa"/>
            <w:shd w:val="clear" w:color="auto" w:fill="auto"/>
          </w:tcPr>
          <w:p w:rsidR="00B6584D" w:rsidRPr="00B6584D" w:rsidRDefault="00B6584D" w:rsidP="00B6584D">
            <w:r w:rsidRPr="00B6584D">
              <w:t>12 training sessions on conflict prevention and reconciliation</w:t>
            </w:r>
            <w:r w:rsidR="00353CAD">
              <w:t xml:space="preserve"> organized</w:t>
            </w:r>
          </w:p>
        </w:tc>
        <w:tc>
          <w:tcPr>
            <w:tcW w:w="3960" w:type="dxa"/>
            <w:shd w:val="clear" w:color="auto" w:fill="auto"/>
          </w:tcPr>
          <w:p w:rsidR="00B6584D" w:rsidRPr="00B6584D" w:rsidRDefault="00353CAD" w:rsidP="00353CAD">
            <w:r>
              <w:t xml:space="preserve">The big needs and the enthusiasm of the participating youth required a bigger number of training sessions on conflict prevention and reconciliation </w:t>
            </w:r>
          </w:p>
        </w:tc>
        <w:tc>
          <w:tcPr>
            <w:tcW w:w="3150" w:type="dxa"/>
            <w:shd w:val="clear" w:color="auto" w:fill="auto"/>
          </w:tcPr>
          <w:p w:rsidR="00B6584D" w:rsidRPr="00B6584D" w:rsidRDefault="00B6584D" w:rsidP="00B6584D">
            <w:r w:rsidRPr="00B6584D">
              <w:t>Documentation &amp; evaluation of training session</w:t>
            </w:r>
          </w:p>
        </w:tc>
      </w:tr>
      <w:tr w:rsidR="00B6584D" w:rsidRPr="00D8339C" w:rsidTr="003E5F01">
        <w:trPr>
          <w:trHeight w:val="435"/>
        </w:trPr>
        <w:tc>
          <w:tcPr>
            <w:tcW w:w="4265" w:type="dxa"/>
            <w:vMerge/>
            <w:shd w:val="clear" w:color="auto" w:fill="auto"/>
          </w:tcPr>
          <w:p w:rsidR="00B6584D" w:rsidRPr="00D8339C" w:rsidRDefault="00B6584D" w:rsidP="004D514D">
            <w:pPr>
              <w:rPr>
                <w:b/>
              </w:rPr>
            </w:pPr>
          </w:p>
        </w:tc>
        <w:tc>
          <w:tcPr>
            <w:tcW w:w="3745" w:type="dxa"/>
            <w:shd w:val="clear" w:color="auto" w:fill="auto"/>
          </w:tcPr>
          <w:p w:rsidR="00B6584D" w:rsidRPr="00B6584D" w:rsidRDefault="00B802AE" w:rsidP="00B802AE">
            <w:r>
              <w:t>3 camps including two</w:t>
            </w:r>
            <w:r w:rsidR="00B6584D" w:rsidRPr="00B6584D">
              <w:t xml:space="preserve"> sports camp and </w:t>
            </w:r>
            <w:r>
              <w:t>a mountain trail activity</w:t>
            </w:r>
            <w:r w:rsidR="00B6584D" w:rsidRPr="00B6584D">
              <w:t xml:space="preserve"> implemented</w:t>
            </w:r>
          </w:p>
        </w:tc>
        <w:tc>
          <w:tcPr>
            <w:tcW w:w="3960" w:type="dxa"/>
            <w:shd w:val="clear" w:color="auto" w:fill="auto"/>
          </w:tcPr>
          <w:p w:rsidR="00B6584D" w:rsidRPr="00B6584D" w:rsidRDefault="00B6584D" w:rsidP="00B6584D"/>
        </w:tc>
        <w:tc>
          <w:tcPr>
            <w:tcW w:w="3150" w:type="dxa"/>
            <w:shd w:val="clear" w:color="auto" w:fill="auto"/>
          </w:tcPr>
          <w:p w:rsidR="00B6584D" w:rsidRPr="00B6584D" w:rsidRDefault="00B6584D" w:rsidP="00B6584D">
            <w:r w:rsidRPr="00B6584D">
              <w:t>Documentation of youth camps</w:t>
            </w:r>
          </w:p>
        </w:tc>
      </w:tr>
      <w:tr w:rsidR="00B6584D" w:rsidRPr="00D8339C" w:rsidTr="003E5F01">
        <w:trPr>
          <w:trHeight w:val="435"/>
        </w:trPr>
        <w:tc>
          <w:tcPr>
            <w:tcW w:w="4265" w:type="dxa"/>
            <w:vMerge/>
            <w:shd w:val="clear" w:color="auto" w:fill="auto"/>
          </w:tcPr>
          <w:p w:rsidR="00B6584D" w:rsidRPr="00D8339C" w:rsidRDefault="00B6584D" w:rsidP="004D514D">
            <w:pPr>
              <w:rPr>
                <w:b/>
              </w:rPr>
            </w:pPr>
          </w:p>
        </w:tc>
        <w:tc>
          <w:tcPr>
            <w:tcW w:w="3745" w:type="dxa"/>
            <w:shd w:val="clear" w:color="auto" w:fill="auto"/>
          </w:tcPr>
          <w:p w:rsidR="00B6584D" w:rsidRPr="00B6584D" w:rsidRDefault="00B6584D" w:rsidP="001C67B0">
            <w:r w:rsidRPr="00B6584D">
              <w:t>The 18 above ment</w:t>
            </w:r>
            <w:r w:rsidR="001C67B0">
              <w:t xml:space="preserve">ioned activities were </w:t>
            </w:r>
            <w:r w:rsidRPr="00B6584D">
              <w:t>platform</w:t>
            </w:r>
            <w:r w:rsidR="001C67B0">
              <w:t>s</w:t>
            </w:r>
            <w:r w:rsidRPr="00B6584D">
              <w:t xml:space="preserve"> for dialogue</w:t>
            </w:r>
            <w:r w:rsidR="00353CAD">
              <w:t>, especially the training sessions for youth</w:t>
            </w:r>
          </w:p>
        </w:tc>
        <w:tc>
          <w:tcPr>
            <w:tcW w:w="3960" w:type="dxa"/>
            <w:shd w:val="clear" w:color="auto" w:fill="auto"/>
          </w:tcPr>
          <w:p w:rsidR="00B6584D" w:rsidRPr="00B6584D" w:rsidRDefault="00B6584D" w:rsidP="00B6584D"/>
        </w:tc>
        <w:tc>
          <w:tcPr>
            <w:tcW w:w="3150" w:type="dxa"/>
            <w:shd w:val="clear" w:color="auto" w:fill="auto"/>
          </w:tcPr>
          <w:p w:rsidR="00B6584D" w:rsidRPr="00B6584D" w:rsidRDefault="00B6584D" w:rsidP="00B6584D">
            <w:r w:rsidRPr="00B6584D">
              <w:t>Minutes of sessions</w:t>
            </w:r>
          </w:p>
        </w:tc>
      </w:tr>
    </w:tbl>
    <w:p w:rsidR="00FA6787" w:rsidRPr="00D8339C" w:rsidRDefault="00FA6787" w:rsidP="00F923BC">
      <w:pPr>
        <w:pStyle w:val="BodyText"/>
        <w:jc w:val="both"/>
        <w:rPr>
          <w:rFonts w:ascii="Times New Roman" w:hAnsi="Times New Roman" w:cs="Times New Roman"/>
          <w:sz w:val="24"/>
          <w:szCs w:val="24"/>
        </w:rPr>
        <w:sectPr w:rsidR="00FA6787" w:rsidRPr="00D8339C" w:rsidSect="006F301D">
          <w:pgSz w:w="15840" w:h="12240" w:orient="landscape" w:code="1"/>
          <w:pgMar w:top="806" w:right="810" w:bottom="810" w:left="1354" w:header="720" w:footer="418" w:gutter="0"/>
          <w:cols w:space="720"/>
          <w:docGrid w:linePitch="360"/>
        </w:sectPr>
      </w:pPr>
    </w:p>
    <w:p w:rsidR="00A22D0C" w:rsidRPr="00D8339C" w:rsidRDefault="00A22D0C" w:rsidP="00F923BC">
      <w:pPr>
        <w:pStyle w:val="BodyText"/>
        <w:jc w:val="both"/>
        <w:rPr>
          <w:rFonts w:ascii="Times New Roman" w:hAnsi="Times New Roman" w:cs="Times New Roman"/>
          <w:b/>
          <w:sz w:val="24"/>
          <w:szCs w:val="24"/>
        </w:rPr>
      </w:pPr>
    </w:p>
    <w:p w:rsidR="00A22D0C" w:rsidRPr="00077754" w:rsidRDefault="00A22D0C" w:rsidP="00F923BC">
      <w:pPr>
        <w:pStyle w:val="BodyText"/>
        <w:jc w:val="both"/>
        <w:rPr>
          <w:rFonts w:ascii="Times New Roman" w:hAnsi="Times New Roman" w:cs="Times New Roman"/>
          <w:b/>
          <w:sz w:val="24"/>
          <w:szCs w:val="24"/>
        </w:rPr>
      </w:pPr>
      <w:r w:rsidRPr="00077754">
        <w:rPr>
          <w:rFonts w:ascii="Times New Roman" w:hAnsi="Times New Roman" w:cs="Times New Roman"/>
          <w:b/>
          <w:sz w:val="24"/>
          <w:szCs w:val="24"/>
        </w:rPr>
        <w:t>iii) Evaluation</w:t>
      </w:r>
      <w:r w:rsidR="00677A1D" w:rsidRPr="00077754">
        <w:rPr>
          <w:rFonts w:ascii="Times New Roman" w:hAnsi="Times New Roman" w:cs="Times New Roman"/>
          <w:b/>
          <w:sz w:val="24"/>
          <w:szCs w:val="24"/>
        </w:rPr>
        <w:t>, Best Practices</w:t>
      </w:r>
      <w:r w:rsidRPr="00077754">
        <w:rPr>
          <w:rFonts w:ascii="Times New Roman" w:hAnsi="Times New Roman" w:cs="Times New Roman"/>
          <w:b/>
          <w:sz w:val="24"/>
          <w:szCs w:val="24"/>
        </w:rPr>
        <w:t xml:space="preserve"> and Lessons Learned</w:t>
      </w:r>
    </w:p>
    <w:p w:rsidR="00077754" w:rsidRPr="00077754" w:rsidRDefault="00077754" w:rsidP="00077754">
      <w:pPr>
        <w:pStyle w:val="BodyText"/>
        <w:jc w:val="both"/>
        <w:rPr>
          <w:rFonts w:ascii="Times New Roman" w:hAnsi="Times New Roman" w:cs="Times New Roman"/>
          <w:sz w:val="24"/>
          <w:szCs w:val="24"/>
        </w:rPr>
      </w:pPr>
    </w:p>
    <w:p w:rsidR="002C7667" w:rsidRPr="00EA67FF" w:rsidRDefault="002C7667" w:rsidP="00AB6F49">
      <w:r w:rsidRPr="00EA67FF">
        <w:t xml:space="preserve">The biggest challenge faced by the project was the </w:t>
      </w:r>
      <w:r w:rsidR="00AB6F49">
        <w:t xml:space="preserve">unstable political and security situation in North-Lebanon and the occasional </w:t>
      </w:r>
      <w:r w:rsidRPr="00EA67FF">
        <w:t xml:space="preserve">clashes and unrest that lead to a delay in the implementation of </w:t>
      </w:r>
      <w:r w:rsidR="00EA67FF" w:rsidRPr="00EA67FF">
        <w:t>several activities</w:t>
      </w:r>
      <w:r w:rsidRPr="00EA67FF">
        <w:t>.</w:t>
      </w:r>
    </w:p>
    <w:p w:rsidR="00450293" w:rsidRPr="00EA67FF" w:rsidRDefault="00450293" w:rsidP="00450293">
      <w:pPr>
        <w:pStyle w:val="BodyText"/>
        <w:jc w:val="both"/>
        <w:rPr>
          <w:rFonts w:ascii="Times New Roman" w:hAnsi="Times New Roman" w:cs="Times New Roman"/>
          <w:sz w:val="24"/>
          <w:szCs w:val="24"/>
          <w:highlight w:val="cyan"/>
          <w:u w:val="single"/>
        </w:rPr>
      </w:pPr>
    </w:p>
    <w:p w:rsidR="009D1EF1" w:rsidRPr="00EA67FF" w:rsidRDefault="00077754" w:rsidP="00F340E0">
      <w:pPr>
        <w:jc w:val="both"/>
      </w:pPr>
      <w:r w:rsidRPr="00EA67FF">
        <w:t>Working in close partnership with the local communities within a fast paced recovery approach was</w:t>
      </w:r>
      <w:r w:rsidR="009D1EF1" w:rsidRPr="00EA67FF">
        <w:t xml:space="preserve"> </w:t>
      </w:r>
      <w:r w:rsidR="002C7667" w:rsidRPr="00EA67FF">
        <w:t>also a</w:t>
      </w:r>
      <w:r w:rsidR="009D1EF1" w:rsidRPr="00EA67FF">
        <w:t xml:space="preserve"> ch</w:t>
      </w:r>
      <w:r w:rsidR="00F340E0">
        <w:t xml:space="preserve">allenge faced by the project from the start. Then, </w:t>
      </w:r>
      <w:r w:rsidR="000476AD" w:rsidRPr="00EA67FF">
        <w:t>the small progress made</w:t>
      </w:r>
      <w:r w:rsidR="009F4CF8" w:rsidRPr="00EA67FF">
        <w:t xml:space="preserve"> between 2009 and 2010</w:t>
      </w:r>
      <w:r w:rsidR="000476AD" w:rsidRPr="00EA67FF">
        <w:t xml:space="preserve"> was </w:t>
      </w:r>
      <w:r w:rsidR="000476AD" w:rsidRPr="00EA67FF">
        <w:rPr>
          <w:bCs/>
          <w:lang w:eastAsia="zh-CN"/>
        </w:rPr>
        <w:t>slowed down by the municipal elections that took place at the end of May 2010.</w:t>
      </w:r>
      <w:r w:rsidR="009F4CF8" w:rsidRPr="00EA67FF">
        <w:rPr>
          <w:bCs/>
          <w:lang w:eastAsia="zh-CN"/>
        </w:rPr>
        <w:t xml:space="preserve"> In addition, </w:t>
      </w:r>
      <w:r w:rsidR="002C7667" w:rsidRPr="00EA67FF">
        <w:rPr>
          <w:bCs/>
          <w:lang w:eastAsia="zh-CN"/>
        </w:rPr>
        <w:t xml:space="preserve">since </w:t>
      </w:r>
      <w:r w:rsidR="009F4CF8" w:rsidRPr="00EA67FF">
        <w:rPr>
          <w:bCs/>
          <w:lang w:eastAsia="zh-CN"/>
        </w:rPr>
        <w:t>t</w:t>
      </w:r>
      <w:r w:rsidR="000476AD" w:rsidRPr="00EA67FF">
        <w:t>he elections led to significant changes in the cou</w:t>
      </w:r>
      <w:r w:rsidR="002C7667" w:rsidRPr="00EA67FF">
        <w:t xml:space="preserve">ncils of several municipalities, </w:t>
      </w:r>
      <w:r w:rsidR="000476AD" w:rsidRPr="00EA67FF">
        <w:t xml:space="preserve">the project </w:t>
      </w:r>
      <w:r w:rsidR="0021793D" w:rsidRPr="00EA67FF">
        <w:t>had to re-</w:t>
      </w:r>
      <w:r w:rsidR="000476AD" w:rsidRPr="00EA67FF">
        <w:t xml:space="preserve">build </w:t>
      </w:r>
      <w:r w:rsidR="0021793D" w:rsidRPr="00EA67FF">
        <w:t>a relationship</w:t>
      </w:r>
      <w:r w:rsidR="000476AD" w:rsidRPr="00EA67FF">
        <w:t xml:space="preserve"> with the new local authorities and re-discuss the priorities previously established.</w:t>
      </w:r>
    </w:p>
    <w:p w:rsidR="000476AD" w:rsidRPr="00EA67FF" w:rsidRDefault="000476AD" w:rsidP="000476AD">
      <w:pPr>
        <w:jc w:val="both"/>
      </w:pPr>
    </w:p>
    <w:p w:rsidR="00450293" w:rsidRPr="00EA67FF" w:rsidRDefault="000618B0" w:rsidP="000618B0">
      <w:pPr>
        <w:jc w:val="both"/>
      </w:pPr>
      <w:r w:rsidRPr="00EA67FF">
        <w:t>Working</w:t>
      </w:r>
      <w:r w:rsidR="00450293" w:rsidRPr="00EA67FF">
        <w:t xml:space="preserve"> </w:t>
      </w:r>
      <w:r w:rsidRPr="00EA67FF">
        <w:t xml:space="preserve">in a joint effort </w:t>
      </w:r>
      <w:r w:rsidR="00450293" w:rsidRPr="00EA67FF">
        <w:t xml:space="preserve">with other UN agencies also led </w:t>
      </w:r>
      <w:r w:rsidRPr="00EA67FF">
        <w:t>to</w:t>
      </w:r>
      <w:r w:rsidR="00450293" w:rsidRPr="00EA67FF">
        <w:t xml:space="preserve"> delays</w:t>
      </w:r>
      <w:r w:rsidRPr="00EA67FF">
        <w:t xml:space="preserve"> in some cases</w:t>
      </w:r>
      <w:r w:rsidR="00450293" w:rsidRPr="00EA67FF">
        <w:t xml:space="preserve">. </w:t>
      </w:r>
      <w:r w:rsidRPr="00EA67FF">
        <w:t xml:space="preserve">For instance, the criteria of selection of the greenhouses beneficiaries and the technical input to finalize the greenhouses design were done by FAO. However the process of decision making and information sharing was </w:t>
      </w:r>
      <w:r w:rsidR="00450293" w:rsidRPr="00EA67FF">
        <w:t xml:space="preserve">complicated and time consuming. </w:t>
      </w:r>
      <w:r w:rsidRPr="00EA67FF">
        <w:t>Thus, the implementation of farmers’ related activities was delayed.</w:t>
      </w:r>
    </w:p>
    <w:p w:rsidR="000618B0" w:rsidRPr="003719C3" w:rsidRDefault="000618B0" w:rsidP="000618B0">
      <w:pPr>
        <w:jc w:val="both"/>
        <w:rPr>
          <w:color w:val="FF0000"/>
        </w:rPr>
      </w:pPr>
    </w:p>
    <w:p w:rsidR="00C90244" w:rsidRPr="00C90244" w:rsidRDefault="00FB3921" w:rsidP="00F340E0">
      <w:pPr>
        <w:jc w:val="both"/>
      </w:pPr>
      <w:r w:rsidRPr="00EA67FF">
        <w:t>The implementation of the OSWCF and greenhouses</w:t>
      </w:r>
      <w:r w:rsidR="000F2BDB" w:rsidRPr="00EA67FF">
        <w:t xml:space="preserve"> activities</w:t>
      </w:r>
      <w:r w:rsidRPr="00EA67FF">
        <w:t xml:space="preserve"> f</w:t>
      </w:r>
      <w:r w:rsidR="00450293" w:rsidRPr="00EA67FF">
        <w:t>aced</w:t>
      </w:r>
      <w:r w:rsidRPr="00EA67FF">
        <w:t xml:space="preserve"> additional </w:t>
      </w:r>
      <w:r w:rsidR="00450293" w:rsidRPr="00EA67FF">
        <w:t>delays</w:t>
      </w:r>
      <w:r w:rsidRPr="00EA67FF">
        <w:t xml:space="preserve"> in 2012 and 2013. The installation of the greenhouses was put on hold for</w:t>
      </w:r>
      <w:r w:rsidR="000F2BDB" w:rsidRPr="00EA67FF">
        <w:t xml:space="preserve"> </w:t>
      </w:r>
      <w:r w:rsidRPr="00EA67FF">
        <w:t xml:space="preserve">more than a year due </w:t>
      </w:r>
      <w:r w:rsidR="00EA67FF">
        <w:t xml:space="preserve">to the security situation, </w:t>
      </w:r>
      <w:r w:rsidR="000F2BDB" w:rsidRPr="00EA67FF">
        <w:t xml:space="preserve">the incapacity of the contracted company and disagreements </w:t>
      </w:r>
      <w:r w:rsidR="004D6F1C" w:rsidRPr="00EA67FF">
        <w:t>with</w:t>
      </w:r>
      <w:r w:rsidR="000F2BDB" w:rsidRPr="00EA67FF">
        <w:t xml:space="preserve"> UNDP</w:t>
      </w:r>
      <w:r w:rsidR="00EA67FF">
        <w:t xml:space="preserve"> but an alternative solution was used by UNDP to </w:t>
      </w:r>
      <w:r w:rsidR="00F340E0">
        <w:t xml:space="preserve">successfully </w:t>
      </w:r>
      <w:r w:rsidR="00EA67FF">
        <w:t>complete the works</w:t>
      </w:r>
      <w:r w:rsidR="000F2BDB" w:rsidRPr="00EA67FF">
        <w:t xml:space="preserve">. As for the OSWCF, the construction works </w:t>
      </w:r>
      <w:r w:rsidR="00F340E0">
        <w:t xml:space="preserve">and the establishment of the cooperative </w:t>
      </w:r>
      <w:r w:rsidR="000F2BDB" w:rsidRPr="00EA67FF">
        <w:t xml:space="preserve">were delayed several times due to the security situation and </w:t>
      </w:r>
      <w:r w:rsidR="00EA67FF">
        <w:t xml:space="preserve">the lack of professionalism and experience of the cooperatives involved. Even after the works were completed, the </w:t>
      </w:r>
      <w:r w:rsidR="00C90244">
        <w:t xml:space="preserve">completion of the </w:t>
      </w:r>
      <w:r w:rsidR="00EA67FF">
        <w:t xml:space="preserve">administrative and legal </w:t>
      </w:r>
      <w:r w:rsidR="00EA67FF" w:rsidRPr="00C90244">
        <w:t>documents</w:t>
      </w:r>
      <w:r w:rsidR="00C90244" w:rsidRPr="00C90244">
        <w:t>/procedures took a lot of time and delayed the completion of the activity.</w:t>
      </w:r>
    </w:p>
    <w:p w:rsidR="004D6F1C" w:rsidRPr="00C90244" w:rsidRDefault="004D6F1C" w:rsidP="00FB3921">
      <w:pPr>
        <w:jc w:val="both"/>
      </w:pPr>
    </w:p>
    <w:p w:rsidR="004D6F1C" w:rsidRPr="00C90244" w:rsidRDefault="004D6F1C" w:rsidP="009164AD">
      <w:pPr>
        <w:jc w:val="both"/>
      </w:pPr>
      <w:r w:rsidRPr="00C90244">
        <w:t xml:space="preserve">One way to avoid delays would have been to ensure better coordination with other UN Agencies working in the same field or area </w:t>
      </w:r>
      <w:r w:rsidR="009164AD">
        <w:t xml:space="preserve">even prior to the beginning of the project </w:t>
      </w:r>
      <w:r w:rsidRPr="00C90244">
        <w:t>and to plan according to the needs and require</w:t>
      </w:r>
      <w:r w:rsidR="00F340E0">
        <w:t xml:space="preserve">ments of all concerned agencies. </w:t>
      </w:r>
      <w:r w:rsidR="003A18B5" w:rsidRPr="00C90244">
        <w:t xml:space="preserve">Another solution could have been to make sure that the contracted companies are </w:t>
      </w:r>
      <w:r w:rsidR="009164AD">
        <w:t xml:space="preserve">all </w:t>
      </w:r>
      <w:r w:rsidR="003A18B5" w:rsidRPr="00C90244">
        <w:t xml:space="preserve">fully capable of working in the North-Lebanon context despite the complicated security and political </w:t>
      </w:r>
      <w:r w:rsidR="00C90244">
        <w:t xml:space="preserve">situation and to </w:t>
      </w:r>
      <w:r w:rsidR="009164AD">
        <w:t xml:space="preserve">make sure that a clear risk management structure is in place for each activity. </w:t>
      </w:r>
    </w:p>
    <w:p w:rsidR="004D6F1C" w:rsidRPr="00C90244" w:rsidRDefault="004D6F1C" w:rsidP="00FB3921">
      <w:pPr>
        <w:jc w:val="both"/>
      </w:pPr>
    </w:p>
    <w:p w:rsidR="00DD2243" w:rsidRPr="007F1E79" w:rsidRDefault="00DD2243" w:rsidP="00F923BC">
      <w:pPr>
        <w:pStyle w:val="BodyText"/>
        <w:jc w:val="both"/>
        <w:rPr>
          <w:rFonts w:ascii="Times New Roman" w:hAnsi="Times New Roman" w:cs="Times New Roman"/>
          <w:b/>
          <w:sz w:val="24"/>
          <w:szCs w:val="24"/>
        </w:rPr>
      </w:pPr>
      <w:r w:rsidRPr="007F1E79">
        <w:rPr>
          <w:rFonts w:ascii="Times New Roman" w:hAnsi="Times New Roman" w:cs="Times New Roman"/>
          <w:b/>
          <w:sz w:val="24"/>
          <w:szCs w:val="24"/>
        </w:rPr>
        <w:t>i</w:t>
      </w:r>
      <w:r w:rsidR="00A22D0C" w:rsidRPr="007F1E79">
        <w:rPr>
          <w:rFonts w:ascii="Times New Roman" w:hAnsi="Times New Roman" w:cs="Times New Roman"/>
          <w:b/>
          <w:sz w:val="24"/>
          <w:szCs w:val="24"/>
        </w:rPr>
        <w:t>v</w:t>
      </w:r>
      <w:r w:rsidRPr="007F1E79">
        <w:rPr>
          <w:rFonts w:ascii="Times New Roman" w:hAnsi="Times New Roman" w:cs="Times New Roman"/>
          <w:b/>
          <w:sz w:val="24"/>
          <w:szCs w:val="24"/>
        </w:rPr>
        <w:t xml:space="preserve">) </w:t>
      </w:r>
      <w:r w:rsidR="0068496F" w:rsidRPr="007F1E79">
        <w:rPr>
          <w:rFonts w:ascii="Times New Roman" w:hAnsi="Times New Roman" w:cs="Times New Roman"/>
          <w:b/>
          <w:sz w:val="24"/>
          <w:szCs w:val="24"/>
        </w:rPr>
        <w:t>A</w:t>
      </w:r>
      <w:r w:rsidRPr="007F1E79">
        <w:rPr>
          <w:rFonts w:ascii="Times New Roman" w:hAnsi="Times New Roman" w:cs="Times New Roman"/>
          <w:b/>
          <w:sz w:val="24"/>
          <w:szCs w:val="24"/>
        </w:rPr>
        <w:t xml:space="preserve"> </w:t>
      </w:r>
      <w:r w:rsidR="0068496F" w:rsidRPr="007F1E79">
        <w:rPr>
          <w:rFonts w:ascii="Times New Roman" w:hAnsi="Times New Roman" w:cs="Times New Roman"/>
          <w:b/>
          <w:sz w:val="24"/>
          <w:szCs w:val="24"/>
        </w:rPr>
        <w:t xml:space="preserve">Specific </w:t>
      </w:r>
      <w:r w:rsidRPr="007F1E79">
        <w:rPr>
          <w:rFonts w:ascii="Times New Roman" w:hAnsi="Times New Roman" w:cs="Times New Roman"/>
          <w:b/>
          <w:sz w:val="24"/>
          <w:szCs w:val="24"/>
        </w:rPr>
        <w:t>Story</w:t>
      </w:r>
      <w:r w:rsidR="0068496F" w:rsidRPr="007F1E79">
        <w:rPr>
          <w:rFonts w:ascii="Times New Roman" w:hAnsi="Times New Roman" w:cs="Times New Roman"/>
          <w:b/>
          <w:sz w:val="24"/>
          <w:szCs w:val="24"/>
        </w:rPr>
        <w:t xml:space="preserve"> (Optional)</w:t>
      </w:r>
    </w:p>
    <w:p w:rsidR="004A1365" w:rsidRDefault="004A1365" w:rsidP="004A1365">
      <w:pPr>
        <w:pStyle w:val="BodyText"/>
        <w:jc w:val="both"/>
        <w:rPr>
          <w:rFonts w:ascii="Times New Roman" w:hAnsi="Times New Roman" w:cs="Times New Roman"/>
          <w:sz w:val="24"/>
          <w:szCs w:val="24"/>
          <w:highlight w:val="cyan"/>
        </w:rPr>
      </w:pPr>
    </w:p>
    <w:p w:rsidR="007F1E79" w:rsidRPr="00077754" w:rsidRDefault="007F1E79" w:rsidP="00077754">
      <w:r w:rsidRPr="00077754">
        <w:t>“The unstable economic situation in the country forced me to go into farming. I wasn’t always a farmer but my husband’s retirement pension was not enough to support our family,” says Rima Obeid, a wife and mother of four living in the area of Halba – Akkar. “And now with the new greenhouse provided by UNDP, I have a chance to work in planting, sowing and spraying the seeds. These conservatories are able to bear over 1,000 seeds and the crops endure for more than a year.”  Rima added that her children attend private schools and universities and that the contribution which was made to her family by UNDP has helped her pay her children’s tuitions and given her hope for a better future.</w:t>
      </w:r>
    </w:p>
    <w:p w:rsidR="007F1E79" w:rsidRPr="00077754" w:rsidRDefault="007F1E79" w:rsidP="00077754"/>
    <w:p w:rsidR="007F1E79" w:rsidRPr="00077754" w:rsidRDefault="007F1E79" w:rsidP="00077754">
      <w:r w:rsidRPr="00077754">
        <w:t xml:space="preserve">Akkar has for a long time been identified as one of Lebanon’s most deprived regions. Its remoteness from the country’s capital and the ongoing economic and political tensions surrounding it continue to have an effect on its development. As such, the region’s situation in terms of education, health, employment, and agriculture has and continues to suffer to date. </w:t>
      </w:r>
    </w:p>
    <w:p w:rsidR="007F1E79" w:rsidRPr="00077754" w:rsidRDefault="007F1E79" w:rsidP="00077754"/>
    <w:p w:rsidR="007F1E79" w:rsidRPr="00077754" w:rsidRDefault="007F1E79" w:rsidP="00077754">
      <w:r w:rsidRPr="00077754">
        <w:t xml:space="preserve">Based on socio-economic assessments and agricultural needs in North-Lebanon after the 2006 and 2007 conflicts, the rehabilitation of the greenhouse crop production sector was identified as a priority at the beginning of the project. With technical support from FAO, the most suitable greenhouse design for this </w:t>
      </w:r>
      <w:r w:rsidRPr="00077754">
        <w:lastRenderedPageBreak/>
        <w:t>initiative was selected for its durability and its capacity to increase both crop production and quality while using fewer pesticides.</w:t>
      </w:r>
    </w:p>
    <w:p w:rsidR="007F1E79" w:rsidRPr="00077754" w:rsidRDefault="007F1E79" w:rsidP="00077754"/>
    <w:p w:rsidR="00CF3E93" w:rsidRDefault="001A2F79" w:rsidP="00CF3E93">
      <w:pPr>
        <w:jc w:val="center"/>
      </w:pPr>
      <w:r>
        <w:rPr>
          <w:noProof/>
        </w:rPr>
        <w:drawing>
          <wp:inline distT="0" distB="0" distL="0" distR="0">
            <wp:extent cx="4381500" cy="2914650"/>
            <wp:effectExtent l="19050" t="0" r="0" b="0"/>
            <wp:docPr id="20" name="Picture 20" descr="New 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picture (22)"/>
                    <pic:cNvPicPr>
                      <a:picLocks noChangeAspect="1" noChangeArrowheads="1"/>
                    </pic:cNvPicPr>
                  </pic:nvPicPr>
                  <pic:blipFill>
                    <a:blip r:embed="rId29" cstate="print"/>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CF3E93" w:rsidRDefault="00CF3E93" w:rsidP="00077754"/>
    <w:p w:rsidR="00B9234E" w:rsidRPr="00077754" w:rsidRDefault="007F1E79" w:rsidP="00077754">
      <w:r w:rsidRPr="00077754">
        <w:t>Mohammad Hamad , 57 years and Adnan El Ali, 37 years, two farmers in Halba explained that there was almost an 80% difference realized between the old types of greenhouses and new advanced ones, “ these new conservatories are higher in length which allow better ventilation to the crops and more space to grow, since the old types of houses used more than 1 meter on each side and provided less space for the plants to develop, also the extra door at the entrance forbids harmful insects to enter and ruin the harvest.” They added: “We are so thankful for the contribution provided by UNDP and the Spanish government. We were barely surviving before, but now we have a chance to live and enjoy our work.”</w:t>
      </w:r>
    </w:p>
    <w:sectPr w:rsidR="00B9234E" w:rsidRPr="00077754" w:rsidSect="00B453C5">
      <w:pgSz w:w="11907" w:h="16839" w:code="9"/>
      <w:pgMar w:top="810" w:right="99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11" w:rsidRDefault="00457011">
      <w:r>
        <w:separator/>
      </w:r>
    </w:p>
  </w:endnote>
  <w:endnote w:type="continuationSeparator" w:id="0">
    <w:p w:rsidR="00457011" w:rsidRDefault="00457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C6" w:rsidRDefault="00773BC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A2F79">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fldSimple w:instr=" NUMPAGES   \* MERGEFORMAT ">
      <w:r w:rsidR="001A2F79" w:rsidRPr="001A2F79">
        <w:rPr>
          <w:rFonts w:ascii="Arial" w:hAnsi="Arial" w:cs="Arial"/>
          <w:noProof/>
          <w:sz w:val="18"/>
          <w:szCs w:val="18"/>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C6" w:rsidRDefault="00773BC6">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00046248" w:rsidRPr="00B453C5">
        <w:rPr>
          <w:rFonts w:ascii="Arial" w:hAnsi="Arial" w:cs="Arial"/>
          <w:noProof/>
          <w:sz w:val="18"/>
          <w:szCs w:val="18"/>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11" w:rsidRDefault="00457011">
      <w:r>
        <w:separator/>
      </w:r>
    </w:p>
  </w:footnote>
  <w:footnote w:type="continuationSeparator" w:id="0">
    <w:p w:rsidR="00457011" w:rsidRDefault="00457011">
      <w:r>
        <w:continuationSeparator/>
      </w:r>
    </w:p>
  </w:footnote>
  <w:footnote w:id="1">
    <w:p w:rsidR="00773BC6" w:rsidRPr="00F83DC8" w:rsidRDefault="00773BC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773BC6" w:rsidRDefault="00773BC6"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773BC6" w:rsidRDefault="00773BC6" w:rsidP="00786921">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the </w:t>
      </w:r>
      <w:hyperlink r:id="rId1" w:history="1">
        <w:r w:rsidRPr="00490F0E">
          <w:rPr>
            <w:rStyle w:val="Hyperlink"/>
          </w:rPr>
          <w:t>MPTF Office GATEWAY</w:t>
        </w:r>
      </w:hyperlink>
    </w:p>
  </w:footnote>
  <w:footnote w:id="4">
    <w:p w:rsidR="00773BC6" w:rsidRDefault="00773BC6" w:rsidP="00875706">
      <w:pPr>
        <w:pStyle w:val="FootnoteText"/>
      </w:pPr>
      <w:r>
        <w:rPr>
          <w:rStyle w:val="FootnoteReference"/>
        </w:rPr>
        <w:footnoteRef/>
      </w:r>
      <w:r>
        <w:t xml:space="preserve"> The MPTF/JP Contribution is the amount transferred to the Participating UN Organizations – see </w:t>
      </w:r>
      <w:hyperlink r:id="rId2" w:history="1">
        <w:r w:rsidRPr="00F80443">
          <w:rPr>
            <w:rStyle w:val="Hyperlink"/>
          </w:rPr>
          <w:t>MPTF Office GATEWAY</w:t>
        </w:r>
      </w:hyperlink>
      <w:r>
        <w:t xml:space="preserve"> </w:t>
      </w:r>
    </w:p>
  </w:footnote>
  <w:footnote w:id="5">
    <w:p w:rsidR="00773BC6" w:rsidRDefault="00773BC6" w:rsidP="00C850A3">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773BC6" w:rsidRDefault="00773BC6" w:rsidP="00C850A3">
      <w:pPr>
        <w:pStyle w:val="FootnoteText"/>
      </w:pPr>
      <w:r>
        <w:rPr>
          <w:rStyle w:val="FootnoteReference"/>
        </w:rPr>
        <w:footnoteRef/>
      </w:r>
      <w:r>
        <w:t xml:space="preserve"> As per approval of the original project document by the relevant decision-making body/Steering Committee.</w:t>
      </w:r>
    </w:p>
  </w:footnote>
  <w:footnote w:id="7">
    <w:p w:rsidR="00773BC6" w:rsidRDefault="00773BC6" w:rsidP="00C850A3">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4" w:history="1">
        <w:r w:rsidRPr="00C850A3">
          <w:rPr>
            <w:rStyle w:val="Hyperlink"/>
          </w:rPr>
          <w:t>MPTF Office Closure Guidelines</w:t>
        </w:r>
      </w:hyperlink>
      <w:r>
        <w:t xml:space="preserve">.   </w:t>
      </w:r>
    </w:p>
  </w:footnote>
  <w:footnote w:id="8">
    <w:p w:rsidR="00773BC6" w:rsidRDefault="00773BC6" w:rsidP="00BC3533">
      <w:pPr>
        <w:pStyle w:val="FootnoteText"/>
      </w:pPr>
      <w:r>
        <w:rPr>
          <w:rStyle w:val="FootnoteReference"/>
        </w:rPr>
        <w:footnoteRef/>
      </w:r>
      <w:r>
        <w:t xml:space="preserve"> Financial Closure requires the return of unspent balances and submission of the </w:t>
      </w:r>
      <w:hyperlink r:id="rId5" w:history="1">
        <w:r w:rsidRPr="00545BEC">
          <w:rPr>
            <w:rStyle w:val="Hyperlink"/>
          </w:rPr>
          <w:t>Certified Final Financial Statement and Report.</w:t>
        </w:r>
      </w:hyperlink>
      <w:r>
        <w:t xml:space="preserve"> </w:t>
      </w:r>
    </w:p>
  </w:footnote>
  <w:footnote w:id="9">
    <w:p w:rsidR="002B20F3" w:rsidRPr="00E45DDF" w:rsidRDefault="002B20F3" w:rsidP="002B20F3">
      <w:pPr>
        <w:pStyle w:val="FootnoteText"/>
        <w:rPr>
          <w:rFonts w:ascii="Arial" w:hAnsi="Arial" w:cs="Arial"/>
          <w:sz w:val="16"/>
          <w:szCs w:val="16"/>
        </w:rPr>
      </w:pPr>
      <w:r w:rsidRPr="00E45DDF">
        <w:rPr>
          <w:rStyle w:val="FootnoteReference"/>
          <w:rFonts w:ascii="Arial" w:hAnsi="Arial" w:cs="Arial"/>
          <w:sz w:val="16"/>
          <w:szCs w:val="16"/>
        </w:rPr>
        <w:footnoteRef/>
      </w:r>
      <w:r w:rsidRPr="00E45DDF">
        <w:rPr>
          <w:rFonts w:ascii="Arial" w:hAnsi="Arial" w:cs="Arial"/>
          <w:sz w:val="16"/>
          <w:szCs w:val="16"/>
        </w:rPr>
        <w:t xml:space="preserve"> Most of these farmers are either olive farmers or greenhouse farmers.</w:t>
      </w:r>
    </w:p>
  </w:footnote>
  <w:footnote w:id="10">
    <w:p w:rsidR="00756E6C" w:rsidRDefault="00756E6C">
      <w:pPr>
        <w:pStyle w:val="FootnoteText"/>
      </w:pPr>
      <w:r>
        <w:rPr>
          <w:rStyle w:val="FootnoteReference"/>
        </w:rPr>
        <w:footnoteRef/>
      </w:r>
      <w:r>
        <w:t xml:space="preserve"> Note: Outcomes, outputs, indicators and targets should be </w:t>
      </w:r>
      <w:r w:rsidRPr="0068496F">
        <w:rPr>
          <w:b/>
        </w:rPr>
        <w:t>as outlines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5pt;height:4.5pt" o:bullet="t">
        <v:imagedata r:id="rId1" o:title="bullet"/>
      </v:shape>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numPicBullet w:numPicBulletId="11">
    <w:pict>
      <v:shape id="_x0000_i1081" type="#_x0000_t75" style="width:3in;height:3in" o:bullet="t"/>
    </w:pict>
  </w:numPicBullet>
  <w:numPicBullet w:numPicBulletId="12">
    <w:pict>
      <v:shape id="_x0000_i1082" type="#_x0000_t75" style="width:3in;height:3in" o:bullet="t"/>
    </w:pict>
  </w:numPicBullet>
  <w:numPicBullet w:numPicBulletId="13">
    <w:pict>
      <v:shape id="_x0000_i1083" type="#_x0000_t75" style="width:3in;height:3in" o:bullet="t"/>
    </w:pict>
  </w:numPicBullet>
  <w:numPicBullet w:numPicBulletId="14">
    <w:pict>
      <v:shape id="_x0000_i1084" type="#_x0000_t75" style="width:3in;height:3in" o:bullet="t"/>
    </w:pict>
  </w:numPicBullet>
  <w:abstractNum w:abstractNumId="0">
    <w:nsid w:val="00376DE8"/>
    <w:multiLevelType w:val="hybridMultilevel"/>
    <w:tmpl w:val="45B4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D19D9"/>
    <w:multiLevelType w:val="hybridMultilevel"/>
    <w:tmpl w:val="9ED28ED0"/>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575E74"/>
    <w:multiLevelType w:val="hybridMultilevel"/>
    <w:tmpl w:val="166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3A5A"/>
    <w:multiLevelType w:val="hybridMultilevel"/>
    <w:tmpl w:val="F878C060"/>
    <w:lvl w:ilvl="0" w:tplc="839EEE84">
      <w:start w:val="1"/>
      <w:numFmt w:val="bullet"/>
      <w:lvlText w:val=""/>
      <w:lvlJc w:val="left"/>
      <w:pPr>
        <w:ind w:left="720" w:hanging="360"/>
      </w:pPr>
      <w:rPr>
        <w:rFonts w:ascii="Symbol" w:hAnsi="Symbol" w:hint="default"/>
        <w:color w:val="auto"/>
      </w:rPr>
    </w:lvl>
    <w:lvl w:ilvl="1" w:tplc="A6FA6578">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612E2"/>
    <w:multiLevelType w:val="hybridMultilevel"/>
    <w:tmpl w:val="9F0898A4"/>
    <w:lvl w:ilvl="0" w:tplc="39A82EFE">
      <w:start w:val="1"/>
      <w:numFmt w:val="bullet"/>
      <w:lvlText w:val=""/>
      <w:lvlJc w:val="left"/>
      <w:pPr>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7527918"/>
    <w:multiLevelType w:val="hybridMultilevel"/>
    <w:tmpl w:val="45B4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A04DC"/>
    <w:multiLevelType w:val="hybridMultilevel"/>
    <w:tmpl w:val="1DA4772E"/>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982B4F"/>
    <w:multiLevelType w:val="hybridMultilevel"/>
    <w:tmpl w:val="51F23A58"/>
    <w:lvl w:ilvl="0" w:tplc="39A82EFE">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8">
    <w:nsid w:val="0E0E6E78"/>
    <w:multiLevelType w:val="hybridMultilevel"/>
    <w:tmpl w:val="A5E23C42"/>
    <w:lvl w:ilvl="0" w:tplc="4192CB66">
      <w:start w:val="1"/>
      <w:numFmt w:val="bullet"/>
      <w:lvlText w:val="-"/>
      <w:lvlJc w:val="left"/>
      <w:pPr>
        <w:ind w:left="1080" w:hanging="360"/>
      </w:pPr>
      <w:rPr>
        <w:rFonts w:ascii="Calibri" w:eastAsia="Calibri" w:hAnsi="Calibri" w:cs="Aria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FEB5570"/>
    <w:multiLevelType w:val="hybridMultilevel"/>
    <w:tmpl w:val="012092BC"/>
    <w:lvl w:ilvl="0" w:tplc="A0624842">
      <w:start w:val="1"/>
      <w:numFmt w:val="upperRoman"/>
      <w:lvlText w:val="%1."/>
      <w:lvlJc w:val="left"/>
      <w:pPr>
        <w:tabs>
          <w:tab w:val="num" w:pos="720"/>
        </w:tabs>
        <w:ind w:left="72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nsid w:val="117735A3"/>
    <w:multiLevelType w:val="hybridMultilevel"/>
    <w:tmpl w:val="2BD62C8C"/>
    <w:lvl w:ilvl="0" w:tplc="39A82E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D6FC2"/>
    <w:multiLevelType w:val="hybridMultilevel"/>
    <w:tmpl w:val="7A8851E0"/>
    <w:lvl w:ilvl="0" w:tplc="862A952A">
      <w:numFmt w:val="none"/>
      <w:lvlText w:val=""/>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E4033"/>
    <w:multiLevelType w:val="hybridMultilevel"/>
    <w:tmpl w:val="298664F4"/>
    <w:lvl w:ilvl="0" w:tplc="39A82E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56DAA"/>
    <w:multiLevelType w:val="hybridMultilevel"/>
    <w:tmpl w:val="5F00176C"/>
    <w:lvl w:ilvl="0" w:tplc="E4FE6E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402E5"/>
    <w:multiLevelType w:val="hybridMultilevel"/>
    <w:tmpl w:val="758AB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F09B9"/>
    <w:multiLevelType w:val="hybridMultilevel"/>
    <w:tmpl w:val="2944598E"/>
    <w:lvl w:ilvl="0" w:tplc="39A82E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560EF1"/>
    <w:multiLevelType w:val="hybridMultilevel"/>
    <w:tmpl w:val="119E2254"/>
    <w:lvl w:ilvl="0" w:tplc="4D180CF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8636E"/>
    <w:multiLevelType w:val="hybridMultilevel"/>
    <w:tmpl w:val="4CC6CB80"/>
    <w:lvl w:ilvl="0" w:tplc="C3D66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C5008"/>
    <w:multiLevelType w:val="hybridMultilevel"/>
    <w:tmpl w:val="EF04F740"/>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9F717C"/>
    <w:multiLevelType w:val="hybridMultilevel"/>
    <w:tmpl w:val="CCB4AA26"/>
    <w:lvl w:ilvl="0" w:tplc="39A82E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16A1D"/>
    <w:multiLevelType w:val="hybridMultilevel"/>
    <w:tmpl w:val="6A08291A"/>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675B4"/>
    <w:multiLevelType w:val="hybridMultilevel"/>
    <w:tmpl w:val="72D25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BC572F"/>
    <w:multiLevelType w:val="hybridMultilevel"/>
    <w:tmpl w:val="F1C23F74"/>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A04EB"/>
    <w:multiLevelType w:val="hybridMultilevel"/>
    <w:tmpl w:val="D7988F3C"/>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F903E4"/>
    <w:multiLevelType w:val="hybridMultilevel"/>
    <w:tmpl w:val="DEC846F0"/>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AA7A41"/>
    <w:multiLevelType w:val="hybridMultilevel"/>
    <w:tmpl w:val="D388C98A"/>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B15EE"/>
    <w:multiLevelType w:val="hybridMultilevel"/>
    <w:tmpl w:val="1BCCD1EA"/>
    <w:lvl w:ilvl="0" w:tplc="839EE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2B1ED1"/>
    <w:multiLevelType w:val="hybridMultilevel"/>
    <w:tmpl w:val="166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4003A"/>
    <w:multiLevelType w:val="hybridMultilevel"/>
    <w:tmpl w:val="C6B6A982"/>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F105B4"/>
    <w:multiLevelType w:val="hybridMultilevel"/>
    <w:tmpl w:val="D2D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9512C1"/>
    <w:multiLevelType w:val="hybridMultilevel"/>
    <w:tmpl w:val="6A6AD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906E9F"/>
    <w:multiLevelType w:val="hybridMultilevel"/>
    <w:tmpl w:val="395AA15E"/>
    <w:lvl w:ilvl="0" w:tplc="39A82E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B3222D"/>
    <w:multiLevelType w:val="hybridMultilevel"/>
    <w:tmpl w:val="7E285364"/>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C13276"/>
    <w:multiLevelType w:val="hybridMultilevel"/>
    <w:tmpl w:val="844A8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F368B1"/>
    <w:multiLevelType w:val="hybridMultilevel"/>
    <w:tmpl w:val="47DAFC2C"/>
    <w:lvl w:ilvl="0" w:tplc="0E24F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E3381D"/>
    <w:multiLevelType w:val="hybridMultilevel"/>
    <w:tmpl w:val="CF7E8FE4"/>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FA6A32"/>
    <w:multiLevelType w:val="hybridMultilevel"/>
    <w:tmpl w:val="A76E9BA0"/>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0438CD"/>
    <w:multiLevelType w:val="hybridMultilevel"/>
    <w:tmpl w:val="B67067B6"/>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027F89"/>
    <w:multiLevelType w:val="hybridMultilevel"/>
    <w:tmpl w:val="1748AC68"/>
    <w:lvl w:ilvl="0" w:tplc="39A82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40"/>
  </w:num>
  <w:num w:numId="4">
    <w:abstractNumId w:val="41"/>
  </w:num>
  <w:num w:numId="5">
    <w:abstractNumId w:val="28"/>
  </w:num>
  <w:num w:numId="6">
    <w:abstractNumId w:val="12"/>
  </w:num>
  <w:num w:numId="7">
    <w:abstractNumId w:val="32"/>
  </w:num>
  <w:num w:numId="8">
    <w:abstractNumId w:val="16"/>
  </w:num>
  <w:num w:numId="9">
    <w:abstractNumId w:val="11"/>
  </w:num>
  <w:num w:numId="10">
    <w:abstractNumId w:val="35"/>
  </w:num>
  <w:num w:numId="11">
    <w:abstractNumId w:val="15"/>
  </w:num>
  <w:num w:numId="12">
    <w:abstractNumId w:val="3"/>
  </w:num>
  <w:num w:numId="13">
    <w:abstractNumId w:val="8"/>
  </w:num>
  <w:num w:numId="14">
    <w:abstractNumId w:val="4"/>
  </w:num>
  <w:num w:numId="15">
    <w:abstractNumId w:val="22"/>
  </w:num>
  <w:num w:numId="16">
    <w:abstractNumId w:val="27"/>
  </w:num>
  <w:num w:numId="17">
    <w:abstractNumId w:val="0"/>
  </w:num>
  <w:num w:numId="18">
    <w:abstractNumId w:val="17"/>
  </w:num>
  <w:num w:numId="19">
    <w:abstractNumId w:val="2"/>
  </w:num>
  <w:num w:numId="20">
    <w:abstractNumId w:val="31"/>
  </w:num>
  <w:num w:numId="21">
    <w:abstractNumId w:val="5"/>
  </w:num>
  <w:num w:numId="22">
    <w:abstractNumId w:val="10"/>
  </w:num>
  <w:num w:numId="23">
    <w:abstractNumId w:val="18"/>
  </w:num>
  <w:num w:numId="24">
    <w:abstractNumId w:val="36"/>
  </w:num>
  <w:num w:numId="25">
    <w:abstractNumId w:val="29"/>
  </w:num>
  <w:num w:numId="26">
    <w:abstractNumId w:val="14"/>
  </w:num>
  <w:num w:numId="27">
    <w:abstractNumId w:val="20"/>
  </w:num>
  <w:num w:numId="28">
    <w:abstractNumId w:val="33"/>
  </w:num>
  <w:num w:numId="29">
    <w:abstractNumId w:val="13"/>
  </w:num>
  <w:num w:numId="30">
    <w:abstractNumId w:val="39"/>
  </w:num>
  <w:num w:numId="31">
    <w:abstractNumId w:val="24"/>
  </w:num>
  <w:num w:numId="32">
    <w:abstractNumId w:val="19"/>
  </w:num>
  <w:num w:numId="33">
    <w:abstractNumId w:val="42"/>
  </w:num>
  <w:num w:numId="34">
    <w:abstractNumId w:val="6"/>
  </w:num>
  <w:num w:numId="35">
    <w:abstractNumId w:val="21"/>
  </w:num>
  <w:num w:numId="36">
    <w:abstractNumId w:val="38"/>
  </w:num>
  <w:num w:numId="37">
    <w:abstractNumId w:val="30"/>
  </w:num>
  <w:num w:numId="38">
    <w:abstractNumId w:val="25"/>
  </w:num>
  <w:num w:numId="39">
    <w:abstractNumId w:val="1"/>
  </w:num>
  <w:num w:numId="40">
    <w:abstractNumId w:val="37"/>
  </w:num>
  <w:num w:numId="41">
    <w:abstractNumId w:val="7"/>
  </w:num>
  <w:num w:numId="42">
    <w:abstractNumId w:val="23"/>
  </w:num>
  <w:num w:numId="43">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035"/>
    <w:rsid w:val="000078BC"/>
    <w:rsid w:val="00007ECE"/>
    <w:rsid w:val="000121B0"/>
    <w:rsid w:val="000134CC"/>
    <w:rsid w:val="000147B1"/>
    <w:rsid w:val="00015168"/>
    <w:rsid w:val="000153AF"/>
    <w:rsid w:val="00016418"/>
    <w:rsid w:val="00023835"/>
    <w:rsid w:val="00023BDA"/>
    <w:rsid w:val="00024F9B"/>
    <w:rsid w:val="000308D4"/>
    <w:rsid w:val="00031DC9"/>
    <w:rsid w:val="000350A1"/>
    <w:rsid w:val="00035AE2"/>
    <w:rsid w:val="00043245"/>
    <w:rsid w:val="00046248"/>
    <w:rsid w:val="000465FC"/>
    <w:rsid w:val="000476AD"/>
    <w:rsid w:val="000500B2"/>
    <w:rsid w:val="00050FA9"/>
    <w:rsid w:val="000512A5"/>
    <w:rsid w:val="00052FF4"/>
    <w:rsid w:val="000618B0"/>
    <w:rsid w:val="00062422"/>
    <w:rsid w:val="00064352"/>
    <w:rsid w:val="00066978"/>
    <w:rsid w:val="00070227"/>
    <w:rsid w:val="00073383"/>
    <w:rsid w:val="00074556"/>
    <w:rsid w:val="00075D7C"/>
    <w:rsid w:val="0007619C"/>
    <w:rsid w:val="00077754"/>
    <w:rsid w:val="000803A0"/>
    <w:rsid w:val="00085C04"/>
    <w:rsid w:val="00086E81"/>
    <w:rsid w:val="00090D90"/>
    <w:rsid w:val="00092501"/>
    <w:rsid w:val="00093AF7"/>
    <w:rsid w:val="00094B2F"/>
    <w:rsid w:val="00096711"/>
    <w:rsid w:val="00096883"/>
    <w:rsid w:val="000968C1"/>
    <w:rsid w:val="000978CA"/>
    <w:rsid w:val="000A126F"/>
    <w:rsid w:val="000A146E"/>
    <w:rsid w:val="000A5536"/>
    <w:rsid w:val="000A5C5A"/>
    <w:rsid w:val="000A7859"/>
    <w:rsid w:val="000B09FF"/>
    <w:rsid w:val="000B599B"/>
    <w:rsid w:val="000B7D96"/>
    <w:rsid w:val="000C0119"/>
    <w:rsid w:val="000C03EE"/>
    <w:rsid w:val="000C0B78"/>
    <w:rsid w:val="000C2A11"/>
    <w:rsid w:val="000C35B0"/>
    <w:rsid w:val="000C656D"/>
    <w:rsid w:val="000D498F"/>
    <w:rsid w:val="000D6D9C"/>
    <w:rsid w:val="000E0A83"/>
    <w:rsid w:val="000E40AC"/>
    <w:rsid w:val="000F23F3"/>
    <w:rsid w:val="000F2BDB"/>
    <w:rsid w:val="000F4814"/>
    <w:rsid w:val="000F4817"/>
    <w:rsid w:val="000F65A4"/>
    <w:rsid w:val="001044BA"/>
    <w:rsid w:val="00105897"/>
    <w:rsid w:val="00106A96"/>
    <w:rsid w:val="00107760"/>
    <w:rsid w:val="00107D3C"/>
    <w:rsid w:val="001114B2"/>
    <w:rsid w:val="00112929"/>
    <w:rsid w:val="0011469D"/>
    <w:rsid w:val="00114C7D"/>
    <w:rsid w:val="00115290"/>
    <w:rsid w:val="001155C0"/>
    <w:rsid w:val="0011699C"/>
    <w:rsid w:val="00117939"/>
    <w:rsid w:val="00122622"/>
    <w:rsid w:val="001227ED"/>
    <w:rsid w:val="0012303A"/>
    <w:rsid w:val="00123EC0"/>
    <w:rsid w:val="00124B56"/>
    <w:rsid w:val="00124FA6"/>
    <w:rsid w:val="00126292"/>
    <w:rsid w:val="00130AA4"/>
    <w:rsid w:val="00131AC4"/>
    <w:rsid w:val="00131EFE"/>
    <w:rsid w:val="00132552"/>
    <w:rsid w:val="0013530A"/>
    <w:rsid w:val="0013612C"/>
    <w:rsid w:val="00136A69"/>
    <w:rsid w:val="00144ED5"/>
    <w:rsid w:val="0014549D"/>
    <w:rsid w:val="00145891"/>
    <w:rsid w:val="0014724C"/>
    <w:rsid w:val="001546D4"/>
    <w:rsid w:val="0015472D"/>
    <w:rsid w:val="0015763B"/>
    <w:rsid w:val="001602DF"/>
    <w:rsid w:val="00160579"/>
    <w:rsid w:val="00160E64"/>
    <w:rsid w:val="001616FD"/>
    <w:rsid w:val="00162DEF"/>
    <w:rsid w:val="001649DC"/>
    <w:rsid w:val="00165038"/>
    <w:rsid w:val="00170DD0"/>
    <w:rsid w:val="0017126A"/>
    <w:rsid w:val="00171470"/>
    <w:rsid w:val="001719F7"/>
    <w:rsid w:val="0017228B"/>
    <w:rsid w:val="001737DA"/>
    <w:rsid w:val="001854AB"/>
    <w:rsid w:val="00186AD4"/>
    <w:rsid w:val="00193B41"/>
    <w:rsid w:val="001957DC"/>
    <w:rsid w:val="001979E2"/>
    <w:rsid w:val="00197C6B"/>
    <w:rsid w:val="00197E6F"/>
    <w:rsid w:val="001A2C73"/>
    <w:rsid w:val="001A2F79"/>
    <w:rsid w:val="001A5801"/>
    <w:rsid w:val="001A64E3"/>
    <w:rsid w:val="001A6C5F"/>
    <w:rsid w:val="001C1E68"/>
    <w:rsid w:val="001C209F"/>
    <w:rsid w:val="001C67B0"/>
    <w:rsid w:val="001D0E1B"/>
    <w:rsid w:val="001D242B"/>
    <w:rsid w:val="001D4CA5"/>
    <w:rsid w:val="001D4F94"/>
    <w:rsid w:val="001D757B"/>
    <w:rsid w:val="001E101F"/>
    <w:rsid w:val="001E15C1"/>
    <w:rsid w:val="001E21A6"/>
    <w:rsid w:val="001E2757"/>
    <w:rsid w:val="001E2946"/>
    <w:rsid w:val="001E5E20"/>
    <w:rsid w:val="001F4683"/>
    <w:rsid w:val="001F4D9E"/>
    <w:rsid w:val="001F58EF"/>
    <w:rsid w:val="002041C6"/>
    <w:rsid w:val="00204B81"/>
    <w:rsid w:val="00205F81"/>
    <w:rsid w:val="00206941"/>
    <w:rsid w:val="0021044F"/>
    <w:rsid w:val="00210D57"/>
    <w:rsid w:val="0021182F"/>
    <w:rsid w:val="00212FEB"/>
    <w:rsid w:val="00213E87"/>
    <w:rsid w:val="00215D1B"/>
    <w:rsid w:val="0021673D"/>
    <w:rsid w:val="00216C84"/>
    <w:rsid w:val="0021793D"/>
    <w:rsid w:val="002179BB"/>
    <w:rsid w:val="00220D29"/>
    <w:rsid w:val="00224F98"/>
    <w:rsid w:val="00226B73"/>
    <w:rsid w:val="00233E28"/>
    <w:rsid w:val="0023529C"/>
    <w:rsid w:val="0024134C"/>
    <w:rsid w:val="00241DAA"/>
    <w:rsid w:val="002424C9"/>
    <w:rsid w:val="00243F99"/>
    <w:rsid w:val="00245D25"/>
    <w:rsid w:val="00247D67"/>
    <w:rsid w:val="00251130"/>
    <w:rsid w:val="00252268"/>
    <w:rsid w:val="00255268"/>
    <w:rsid w:val="00255B0E"/>
    <w:rsid w:val="0025606E"/>
    <w:rsid w:val="002637DC"/>
    <w:rsid w:val="00267351"/>
    <w:rsid w:val="0027001F"/>
    <w:rsid w:val="00270043"/>
    <w:rsid w:val="0027067B"/>
    <w:rsid w:val="00273561"/>
    <w:rsid w:val="00274F02"/>
    <w:rsid w:val="00275925"/>
    <w:rsid w:val="00275A4A"/>
    <w:rsid w:val="002801C6"/>
    <w:rsid w:val="002805D4"/>
    <w:rsid w:val="00280FB9"/>
    <w:rsid w:val="00284411"/>
    <w:rsid w:val="002845D5"/>
    <w:rsid w:val="0028468B"/>
    <w:rsid w:val="002A02A4"/>
    <w:rsid w:val="002A3031"/>
    <w:rsid w:val="002A340B"/>
    <w:rsid w:val="002A5950"/>
    <w:rsid w:val="002A6952"/>
    <w:rsid w:val="002A7602"/>
    <w:rsid w:val="002A7665"/>
    <w:rsid w:val="002B14C9"/>
    <w:rsid w:val="002B20F3"/>
    <w:rsid w:val="002B2B6B"/>
    <w:rsid w:val="002B6C78"/>
    <w:rsid w:val="002B7422"/>
    <w:rsid w:val="002B7E3C"/>
    <w:rsid w:val="002C126A"/>
    <w:rsid w:val="002C4A03"/>
    <w:rsid w:val="002C60B8"/>
    <w:rsid w:val="002C690B"/>
    <w:rsid w:val="002C6E2F"/>
    <w:rsid w:val="002C7667"/>
    <w:rsid w:val="002D4F60"/>
    <w:rsid w:val="002D5C59"/>
    <w:rsid w:val="002E3FE3"/>
    <w:rsid w:val="002E50CF"/>
    <w:rsid w:val="002E77D1"/>
    <w:rsid w:val="002F1156"/>
    <w:rsid w:val="002F3EFE"/>
    <w:rsid w:val="002F4893"/>
    <w:rsid w:val="002F5953"/>
    <w:rsid w:val="002F5FA6"/>
    <w:rsid w:val="002F752A"/>
    <w:rsid w:val="003022CB"/>
    <w:rsid w:val="0030509D"/>
    <w:rsid w:val="0030748C"/>
    <w:rsid w:val="00310168"/>
    <w:rsid w:val="00310C19"/>
    <w:rsid w:val="00312685"/>
    <w:rsid w:val="00312D9E"/>
    <w:rsid w:val="00314A5F"/>
    <w:rsid w:val="00314AD0"/>
    <w:rsid w:val="00315D6B"/>
    <w:rsid w:val="00316767"/>
    <w:rsid w:val="00320895"/>
    <w:rsid w:val="003213A2"/>
    <w:rsid w:val="0032146E"/>
    <w:rsid w:val="003216F1"/>
    <w:rsid w:val="00330077"/>
    <w:rsid w:val="0033662C"/>
    <w:rsid w:val="003369D5"/>
    <w:rsid w:val="00337E7A"/>
    <w:rsid w:val="003423E8"/>
    <w:rsid w:val="0034386B"/>
    <w:rsid w:val="003439AC"/>
    <w:rsid w:val="00346939"/>
    <w:rsid w:val="00346CB7"/>
    <w:rsid w:val="00346FFE"/>
    <w:rsid w:val="00351A14"/>
    <w:rsid w:val="00353CAD"/>
    <w:rsid w:val="00356D08"/>
    <w:rsid w:val="00360431"/>
    <w:rsid w:val="00360501"/>
    <w:rsid w:val="00360945"/>
    <w:rsid w:val="0036438C"/>
    <w:rsid w:val="00366E93"/>
    <w:rsid w:val="0036774E"/>
    <w:rsid w:val="003719C3"/>
    <w:rsid w:val="00371DF1"/>
    <w:rsid w:val="00374AA4"/>
    <w:rsid w:val="00375FFA"/>
    <w:rsid w:val="003806B4"/>
    <w:rsid w:val="003815EF"/>
    <w:rsid w:val="00382573"/>
    <w:rsid w:val="00383291"/>
    <w:rsid w:val="003879DF"/>
    <w:rsid w:val="00390F98"/>
    <w:rsid w:val="00394AB1"/>
    <w:rsid w:val="00396D76"/>
    <w:rsid w:val="003A18B5"/>
    <w:rsid w:val="003A1AF5"/>
    <w:rsid w:val="003A77A2"/>
    <w:rsid w:val="003B0303"/>
    <w:rsid w:val="003B09BE"/>
    <w:rsid w:val="003B1DFF"/>
    <w:rsid w:val="003B3999"/>
    <w:rsid w:val="003B454A"/>
    <w:rsid w:val="003C115A"/>
    <w:rsid w:val="003C1A52"/>
    <w:rsid w:val="003C3941"/>
    <w:rsid w:val="003C3FC0"/>
    <w:rsid w:val="003C4D74"/>
    <w:rsid w:val="003D0DCA"/>
    <w:rsid w:val="003D13A8"/>
    <w:rsid w:val="003D210A"/>
    <w:rsid w:val="003D2233"/>
    <w:rsid w:val="003D2D7C"/>
    <w:rsid w:val="003D3325"/>
    <w:rsid w:val="003D4331"/>
    <w:rsid w:val="003E3394"/>
    <w:rsid w:val="003E33B1"/>
    <w:rsid w:val="003E51E4"/>
    <w:rsid w:val="003E5F01"/>
    <w:rsid w:val="003E62C0"/>
    <w:rsid w:val="003F0CB6"/>
    <w:rsid w:val="003F1836"/>
    <w:rsid w:val="003F2116"/>
    <w:rsid w:val="003F3726"/>
    <w:rsid w:val="003F446E"/>
    <w:rsid w:val="003F480D"/>
    <w:rsid w:val="003F6918"/>
    <w:rsid w:val="003F6ABC"/>
    <w:rsid w:val="003F6DAF"/>
    <w:rsid w:val="00405A55"/>
    <w:rsid w:val="0041185F"/>
    <w:rsid w:val="0041416D"/>
    <w:rsid w:val="004160BF"/>
    <w:rsid w:val="00416A74"/>
    <w:rsid w:val="00416B2B"/>
    <w:rsid w:val="00417B11"/>
    <w:rsid w:val="00422680"/>
    <w:rsid w:val="00422D8B"/>
    <w:rsid w:val="00423E99"/>
    <w:rsid w:val="00427179"/>
    <w:rsid w:val="00427541"/>
    <w:rsid w:val="004319C4"/>
    <w:rsid w:val="004321DB"/>
    <w:rsid w:val="00432267"/>
    <w:rsid w:val="00433051"/>
    <w:rsid w:val="00435C09"/>
    <w:rsid w:val="00442C6B"/>
    <w:rsid w:val="00442F4C"/>
    <w:rsid w:val="0044408D"/>
    <w:rsid w:val="004460DE"/>
    <w:rsid w:val="00450293"/>
    <w:rsid w:val="00452ED1"/>
    <w:rsid w:val="00455DEA"/>
    <w:rsid w:val="00456E7F"/>
    <w:rsid w:val="00457011"/>
    <w:rsid w:val="004600E3"/>
    <w:rsid w:val="00463802"/>
    <w:rsid w:val="004658BE"/>
    <w:rsid w:val="00465B26"/>
    <w:rsid w:val="00466449"/>
    <w:rsid w:val="00466DEB"/>
    <w:rsid w:val="00466E3B"/>
    <w:rsid w:val="00470009"/>
    <w:rsid w:val="00471235"/>
    <w:rsid w:val="004727DA"/>
    <w:rsid w:val="00475F3F"/>
    <w:rsid w:val="0047708F"/>
    <w:rsid w:val="00480C5E"/>
    <w:rsid w:val="00482220"/>
    <w:rsid w:val="0048361F"/>
    <w:rsid w:val="004863CF"/>
    <w:rsid w:val="00490F0E"/>
    <w:rsid w:val="00492CD5"/>
    <w:rsid w:val="0049327D"/>
    <w:rsid w:val="00496EB1"/>
    <w:rsid w:val="004A0A50"/>
    <w:rsid w:val="004A1365"/>
    <w:rsid w:val="004A2B12"/>
    <w:rsid w:val="004A3824"/>
    <w:rsid w:val="004A7B5A"/>
    <w:rsid w:val="004B2CC3"/>
    <w:rsid w:val="004B3940"/>
    <w:rsid w:val="004B5AAB"/>
    <w:rsid w:val="004B734C"/>
    <w:rsid w:val="004C0FA1"/>
    <w:rsid w:val="004C551D"/>
    <w:rsid w:val="004C62BF"/>
    <w:rsid w:val="004C6331"/>
    <w:rsid w:val="004C6C3B"/>
    <w:rsid w:val="004D1571"/>
    <w:rsid w:val="004D2816"/>
    <w:rsid w:val="004D2AA3"/>
    <w:rsid w:val="004D514D"/>
    <w:rsid w:val="004D52B0"/>
    <w:rsid w:val="004D6F1C"/>
    <w:rsid w:val="004E0924"/>
    <w:rsid w:val="004E0A0D"/>
    <w:rsid w:val="004E18AE"/>
    <w:rsid w:val="004E396C"/>
    <w:rsid w:val="004E4B51"/>
    <w:rsid w:val="004E5325"/>
    <w:rsid w:val="004E680C"/>
    <w:rsid w:val="004E7392"/>
    <w:rsid w:val="004F5F38"/>
    <w:rsid w:val="004F6B31"/>
    <w:rsid w:val="004F71AC"/>
    <w:rsid w:val="005014CA"/>
    <w:rsid w:val="00504EB0"/>
    <w:rsid w:val="005067AD"/>
    <w:rsid w:val="00507876"/>
    <w:rsid w:val="00510055"/>
    <w:rsid w:val="00510D98"/>
    <w:rsid w:val="005200C0"/>
    <w:rsid w:val="00521F30"/>
    <w:rsid w:val="005223E2"/>
    <w:rsid w:val="0052663C"/>
    <w:rsid w:val="005268DC"/>
    <w:rsid w:val="0052760B"/>
    <w:rsid w:val="0053168B"/>
    <w:rsid w:val="00532344"/>
    <w:rsid w:val="005328B0"/>
    <w:rsid w:val="00532A92"/>
    <w:rsid w:val="0053545E"/>
    <w:rsid w:val="00537107"/>
    <w:rsid w:val="00537CAD"/>
    <w:rsid w:val="00540142"/>
    <w:rsid w:val="00540389"/>
    <w:rsid w:val="00545BEC"/>
    <w:rsid w:val="00546BE2"/>
    <w:rsid w:val="005473D7"/>
    <w:rsid w:val="00555A12"/>
    <w:rsid w:val="005578E7"/>
    <w:rsid w:val="00557A5C"/>
    <w:rsid w:val="00560ABC"/>
    <w:rsid w:val="00566CE0"/>
    <w:rsid w:val="005707DE"/>
    <w:rsid w:val="0057157F"/>
    <w:rsid w:val="00573DAD"/>
    <w:rsid w:val="005744CD"/>
    <w:rsid w:val="00574D63"/>
    <w:rsid w:val="0057557C"/>
    <w:rsid w:val="00576509"/>
    <w:rsid w:val="00580970"/>
    <w:rsid w:val="00581F54"/>
    <w:rsid w:val="00585A65"/>
    <w:rsid w:val="0058622B"/>
    <w:rsid w:val="005877C3"/>
    <w:rsid w:val="00590772"/>
    <w:rsid w:val="00591C0B"/>
    <w:rsid w:val="00592BD3"/>
    <w:rsid w:val="0059646F"/>
    <w:rsid w:val="005A0495"/>
    <w:rsid w:val="005A0F3F"/>
    <w:rsid w:val="005A27FA"/>
    <w:rsid w:val="005A5CD3"/>
    <w:rsid w:val="005B1CBB"/>
    <w:rsid w:val="005B1F46"/>
    <w:rsid w:val="005B4B46"/>
    <w:rsid w:val="005B607F"/>
    <w:rsid w:val="005C0233"/>
    <w:rsid w:val="005C1731"/>
    <w:rsid w:val="005C76B8"/>
    <w:rsid w:val="005D27D4"/>
    <w:rsid w:val="005D3696"/>
    <w:rsid w:val="005D5D53"/>
    <w:rsid w:val="005D63E1"/>
    <w:rsid w:val="005D6994"/>
    <w:rsid w:val="005D746B"/>
    <w:rsid w:val="005D79D4"/>
    <w:rsid w:val="005E4793"/>
    <w:rsid w:val="005E4EDD"/>
    <w:rsid w:val="005F0467"/>
    <w:rsid w:val="005F2B71"/>
    <w:rsid w:val="006002EE"/>
    <w:rsid w:val="006012FA"/>
    <w:rsid w:val="006014AA"/>
    <w:rsid w:val="00601E0F"/>
    <w:rsid w:val="006020B1"/>
    <w:rsid w:val="00602F94"/>
    <w:rsid w:val="006053F9"/>
    <w:rsid w:val="00610A2D"/>
    <w:rsid w:val="006117B9"/>
    <w:rsid w:val="00612121"/>
    <w:rsid w:val="00613606"/>
    <w:rsid w:val="00615E8B"/>
    <w:rsid w:val="0061771A"/>
    <w:rsid w:val="00617CFC"/>
    <w:rsid w:val="00620475"/>
    <w:rsid w:val="00630AA7"/>
    <w:rsid w:val="006316C6"/>
    <w:rsid w:val="00641437"/>
    <w:rsid w:val="006447B1"/>
    <w:rsid w:val="00645E3A"/>
    <w:rsid w:val="00647D16"/>
    <w:rsid w:val="00650E20"/>
    <w:rsid w:val="00650F85"/>
    <w:rsid w:val="006521B4"/>
    <w:rsid w:val="0065590C"/>
    <w:rsid w:val="00655D27"/>
    <w:rsid w:val="00656759"/>
    <w:rsid w:val="006602F1"/>
    <w:rsid w:val="00663A3E"/>
    <w:rsid w:val="00664096"/>
    <w:rsid w:val="00671AE0"/>
    <w:rsid w:val="00671F7F"/>
    <w:rsid w:val="00673516"/>
    <w:rsid w:val="00674D3D"/>
    <w:rsid w:val="00674E6E"/>
    <w:rsid w:val="00675934"/>
    <w:rsid w:val="00677A1D"/>
    <w:rsid w:val="00683B69"/>
    <w:rsid w:val="0068496F"/>
    <w:rsid w:val="00685ABC"/>
    <w:rsid w:val="00690DF7"/>
    <w:rsid w:val="00691250"/>
    <w:rsid w:val="00693899"/>
    <w:rsid w:val="006A1378"/>
    <w:rsid w:val="006A2DCD"/>
    <w:rsid w:val="006A2F64"/>
    <w:rsid w:val="006A5BD8"/>
    <w:rsid w:val="006B3A78"/>
    <w:rsid w:val="006B42EB"/>
    <w:rsid w:val="006B612E"/>
    <w:rsid w:val="006B66B2"/>
    <w:rsid w:val="006C5EC4"/>
    <w:rsid w:val="006D1BAD"/>
    <w:rsid w:val="006D3D21"/>
    <w:rsid w:val="006D4CE9"/>
    <w:rsid w:val="006D7728"/>
    <w:rsid w:val="006D7B57"/>
    <w:rsid w:val="006E28D3"/>
    <w:rsid w:val="006E302D"/>
    <w:rsid w:val="006E3927"/>
    <w:rsid w:val="006E7DE5"/>
    <w:rsid w:val="006F0970"/>
    <w:rsid w:val="006F1D4C"/>
    <w:rsid w:val="006F301D"/>
    <w:rsid w:val="006F4536"/>
    <w:rsid w:val="006F4639"/>
    <w:rsid w:val="006F4E81"/>
    <w:rsid w:val="006F4FA9"/>
    <w:rsid w:val="006F65A9"/>
    <w:rsid w:val="006F6E16"/>
    <w:rsid w:val="006F7271"/>
    <w:rsid w:val="0070378C"/>
    <w:rsid w:val="007041E5"/>
    <w:rsid w:val="0070460B"/>
    <w:rsid w:val="0070583F"/>
    <w:rsid w:val="0070645E"/>
    <w:rsid w:val="00712EE2"/>
    <w:rsid w:val="0071347B"/>
    <w:rsid w:val="007144CE"/>
    <w:rsid w:val="0071507D"/>
    <w:rsid w:val="00717598"/>
    <w:rsid w:val="00717C7A"/>
    <w:rsid w:val="00722DCD"/>
    <w:rsid w:val="00725252"/>
    <w:rsid w:val="00730077"/>
    <w:rsid w:val="00733BB2"/>
    <w:rsid w:val="0073464A"/>
    <w:rsid w:val="007416AC"/>
    <w:rsid w:val="00744015"/>
    <w:rsid w:val="00744372"/>
    <w:rsid w:val="00744618"/>
    <w:rsid w:val="007475D8"/>
    <w:rsid w:val="00747763"/>
    <w:rsid w:val="007501B3"/>
    <w:rsid w:val="00751E22"/>
    <w:rsid w:val="00756E6C"/>
    <w:rsid w:val="00760206"/>
    <w:rsid w:val="007626D9"/>
    <w:rsid w:val="00764769"/>
    <w:rsid w:val="00766AF4"/>
    <w:rsid w:val="00766B02"/>
    <w:rsid w:val="00771F7F"/>
    <w:rsid w:val="007723A7"/>
    <w:rsid w:val="0077310A"/>
    <w:rsid w:val="00773BC6"/>
    <w:rsid w:val="007742AB"/>
    <w:rsid w:val="007761B3"/>
    <w:rsid w:val="00782335"/>
    <w:rsid w:val="00783FEC"/>
    <w:rsid w:val="00786921"/>
    <w:rsid w:val="007B067F"/>
    <w:rsid w:val="007B641A"/>
    <w:rsid w:val="007C14A5"/>
    <w:rsid w:val="007C62AA"/>
    <w:rsid w:val="007C6961"/>
    <w:rsid w:val="007D144D"/>
    <w:rsid w:val="007D37BA"/>
    <w:rsid w:val="007D76F9"/>
    <w:rsid w:val="007E122E"/>
    <w:rsid w:val="007E3D66"/>
    <w:rsid w:val="007E464F"/>
    <w:rsid w:val="007E4FE2"/>
    <w:rsid w:val="007F019F"/>
    <w:rsid w:val="007F1E32"/>
    <w:rsid w:val="007F1E79"/>
    <w:rsid w:val="007F3AEE"/>
    <w:rsid w:val="007F3CF5"/>
    <w:rsid w:val="007F5010"/>
    <w:rsid w:val="007F703D"/>
    <w:rsid w:val="00800EF3"/>
    <w:rsid w:val="0080284B"/>
    <w:rsid w:val="00803CC2"/>
    <w:rsid w:val="00811DC6"/>
    <w:rsid w:val="00813AC1"/>
    <w:rsid w:val="00814B1B"/>
    <w:rsid w:val="00823E81"/>
    <w:rsid w:val="00825F8F"/>
    <w:rsid w:val="0082670A"/>
    <w:rsid w:val="00826E75"/>
    <w:rsid w:val="00832740"/>
    <w:rsid w:val="0083358D"/>
    <w:rsid w:val="00833FE7"/>
    <w:rsid w:val="0084010D"/>
    <w:rsid w:val="00840D89"/>
    <w:rsid w:val="00843477"/>
    <w:rsid w:val="00847324"/>
    <w:rsid w:val="00854226"/>
    <w:rsid w:val="008552F1"/>
    <w:rsid w:val="00857073"/>
    <w:rsid w:val="00857CFA"/>
    <w:rsid w:val="00862256"/>
    <w:rsid w:val="008654FB"/>
    <w:rsid w:val="00865FF9"/>
    <w:rsid w:val="00866A89"/>
    <w:rsid w:val="008676E6"/>
    <w:rsid w:val="008678FD"/>
    <w:rsid w:val="008679D3"/>
    <w:rsid w:val="008708B0"/>
    <w:rsid w:val="008716E9"/>
    <w:rsid w:val="00872945"/>
    <w:rsid w:val="00872B6C"/>
    <w:rsid w:val="00872B8D"/>
    <w:rsid w:val="0087336E"/>
    <w:rsid w:val="00874E6C"/>
    <w:rsid w:val="00875706"/>
    <w:rsid w:val="00876BBF"/>
    <w:rsid w:val="008809EA"/>
    <w:rsid w:val="00881946"/>
    <w:rsid w:val="0088302C"/>
    <w:rsid w:val="008877E3"/>
    <w:rsid w:val="00890385"/>
    <w:rsid w:val="00892409"/>
    <w:rsid w:val="008926FE"/>
    <w:rsid w:val="00893120"/>
    <w:rsid w:val="008954F8"/>
    <w:rsid w:val="008A295D"/>
    <w:rsid w:val="008B0E5C"/>
    <w:rsid w:val="008B609E"/>
    <w:rsid w:val="008C1C25"/>
    <w:rsid w:val="008C224A"/>
    <w:rsid w:val="008C3A05"/>
    <w:rsid w:val="008C479C"/>
    <w:rsid w:val="008C493E"/>
    <w:rsid w:val="008C7B0B"/>
    <w:rsid w:val="008D05CD"/>
    <w:rsid w:val="008D0B2E"/>
    <w:rsid w:val="008D49CD"/>
    <w:rsid w:val="008D587A"/>
    <w:rsid w:val="008D685F"/>
    <w:rsid w:val="008D76B2"/>
    <w:rsid w:val="008E0959"/>
    <w:rsid w:val="008E5B7B"/>
    <w:rsid w:val="008E5BE7"/>
    <w:rsid w:val="008E650C"/>
    <w:rsid w:val="008E6BFC"/>
    <w:rsid w:val="008F12AC"/>
    <w:rsid w:val="008F2AC2"/>
    <w:rsid w:val="008F2BCF"/>
    <w:rsid w:val="008F4F84"/>
    <w:rsid w:val="008F6F55"/>
    <w:rsid w:val="00900AC7"/>
    <w:rsid w:val="00903ED8"/>
    <w:rsid w:val="00906395"/>
    <w:rsid w:val="00910018"/>
    <w:rsid w:val="00914178"/>
    <w:rsid w:val="0091521A"/>
    <w:rsid w:val="0091621F"/>
    <w:rsid w:val="009164AD"/>
    <w:rsid w:val="00916967"/>
    <w:rsid w:val="0092093C"/>
    <w:rsid w:val="00920C93"/>
    <w:rsid w:val="00925CA4"/>
    <w:rsid w:val="00925EE6"/>
    <w:rsid w:val="009261CF"/>
    <w:rsid w:val="00926F75"/>
    <w:rsid w:val="00931E5C"/>
    <w:rsid w:val="00936E68"/>
    <w:rsid w:val="00937093"/>
    <w:rsid w:val="00940C61"/>
    <w:rsid w:val="00941029"/>
    <w:rsid w:val="00942A18"/>
    <w:rsid w:val="00942CC2"/>
    <w:rsid w:val="00951540"/>
    <w:rsid w:val="00951C54"/>
    <w:rsid w:val="00953BFD"/>
    <w:rsid w:val="00954264"/>
    <w:rsid w:val="00954AD0"/>
    <w:rsid w:val="0095650A"/>
    <w:rsid w:val="009572AB"/>
    <w:rsid w:val="00962458"/>
    <w:rsid w:val="00962E51"/>
    <w:rsid w:val="00963ED2"/>
    <w:rsid w:val="00964525"/>
    <w:rsid w:val="00964A42"/>
    <w:rsid w:val="009654E0"/>
    <w:rsid w:val="0096703E"/>
    <w:rsid w:val="0096704B"/>
    <w:rsid w:val="00967129"/>
    <w:rsid w:val="00967ADD"/>
    <w:rsid w:val="00971F63"/>
    <w:rsid w:val="0097453F"/>
    <w:rsid w:val="00976DCC"/>
    <w:rsid w:val="00976E29"/>
    <w:rsid w:val="00983256"/>
    <w:rsid w:val="00983606"/>
    <w:rsid w:val="00984393"/>
    <w:rsid w:val="009848E7"/>
    <w:rsid w:val="009854A5"/>
    <w:rsid w:val="00986BA5"/>
    <w:rsid w:val="009952DB"/>
    <w:rsid w:val="00995566"/>
    <w:rsid w:val="009A7F7D"/>
    <w:rsid w:val="009B18B9"/>
    <w:rsid w:val="009B286A"/>
    <w:rsid w:val="009B3EC0"/>
    <w:rsid w:val="009B7397"/>
    <w:rsid w:val="009B7843"/>
    <w:rsid w:val="009C05C5"/>
    <w:rsid w:val="009C1C57"/>
    <w:rsid w:val="009C4662"/>
    <w:rsid w:val="009C4BB7"/>
    <w:rsid w:val="009C5C27"/>
    <w:rsid w:val="009C6145"/>
    <w:rsid w:val="009C7423"/>
    <w:rsid w:val="009D0955"/>
    <w:rsid w:val="009D1EF1"/>
    <w:rsid w:val="009D4FB1"/>
    <w:rsid w:val="009D5D55"/>
    <w:rsid w:val="009D7813"/>
    <w:rsid w:val="009E1FDA"/>
    <w:rsid w:val="009E3952"/>
    <w:rsid w:val="009E46D9"/>
    <w:rsid w:val="009F043F"/>
    <w:rsid w:val="009F08F5"/>
    <w:rsid w:val="009F3494"/>
    <w:rsid w:val="009F3E07"/>
    <w:rsid w:val="009F4CF8"/>
    <w:rsid w:val="009F5AF1"/>
    <w:rsid w:val="009F649C"/>
    <w:rsid w:val="00A013D7"/>
    <w:rsid w:val="00A026AF"/>
    <w:rsid w:val="00A027B1"/>
    <w:rsid w:val="00A03233"/>
    <w:rsid w:val="00A05EC0"/>
    <w:rsid w:val="00A06DA5"/>
    <w:rsid w:val="00A1156A"/>
    <w:rsid w:val="00A16282"/>
    <w:rsid w:val="00A174EE"/>
    <w:rsid w:val="00A17B13"/>
    <w:rsid w:val="00A20389"/>
    <w:rsid w:val="00A22D0C"/>
    <w:rsid w:val="00A23616"/>
    <w:rsid w:val="00A2458B"/>
    <w:rsid w:val="00A25BE2"/>
    <w:rsid w:val="00A310A3"/>
    <w:rsid w:val="00A32FDA"/>
    <w:rsid w:val="00A33A02"/>
    <w:rsid w:val="00A359B9"/>
    <w:rsid w:val="00A46E8F"/>
    <w:rsid w:val="00A50A2F"/>
    <w:rsid w:val="00A50C94"/>
    <w:rsid w:val="00A538F0"/>
    <w:rsid w:val="00A61216"/>
    <w:rsid w:val="00A641DA"/>
    <w:rsid w:val="00A6560F"/>
    <w:rsid w:val="00A65EFC"/>
    <w:rsid w:val="00A7197E"/>
    <w:rsid w:val="00A734CD"/>
    <w:rsid w:val="00A77D67"/>
    <w:rsid w:val="00A81AC4"/>
    <w:rsid w:val="00A81EFE"/>
    <w:rsid w:val="00A82D0D"/>
    <w:rsid w:val="00A84C6C"/>
    <w:rsid w:val="00A9121A"/>
    <w:rsid w:val="00A91552"/>
    <w:rsid w:val="00A91A74"/>
    <w:rsid w:val="00A93049"/>
    <w:rsid w:val="00A96288"/>
    <w:rsid w:val="00AA4D9C"/>
    <w:rsid w:val="00AA6424"/>
    <w:rsid w:val="00AA6F17"/>
    <w:rsid w:val="00AA7AE0"/>
    <w:rsid w:val="00AA7B1D"/>
    <w:rsid w:val="00AB0274"/>
    <w:rsid w:val="00AB09B5"/>
    <w:rsid w:val="00AB36A9"/>
    <w:rsid w:val="00AB4503"/>
    <w:rsid w:val="00AB6F49"/>
    <w:rsid w:val="00AC0117"/>
    <w:rsid w:val="00AC061C"/>
    <w:rsid w:val="00AC0B78"/>
    <w:rsid w:val="00AC2CF0"/>
    <w:rsid w:val="00AC4360"/>
    <w:rsid w:val="00AC4A3E"/>
    <w:rsid w:val="00AC5D88"/>
    <w:rsid w:val="00AC6753"/>
    <w:rsid w:val="00AC6E12"/>
    <w:rsid w:val="00AC7147"/>
    <w:rsid w:val="00AC7FD3"/>
    <w:rsid w:val="00AD1065"/>
    <w:rsid w:val="00AD3286"/>
    <w:rsid w:val="00AD3F58"/>
    <w:rsid w:val="00AD4F41"/>
    <w:rsid w:val="00AD716D"/>
    <w:rsid w:val="00AD7BFD"/>
    <w:rsid w:val="00AE09E4"/>
    <w:rsid w:val="00AE1F6B"/>
    <w:rsid w:val="00AE2D82"/>
    <w:rsid w:val="00AE3237"/>
    <w:rsid w:val="00AE3459"/>
    <w:rsid w:val="00AE4A17"/>
    <w:rsid w:val="00AF6095"/>
    <w:rsid w:val="00AF70E1"/>
    <w:rsid w:val="00AF7B8F"/>
    <w:rsid w:val="00B11C4C"/>
    <w:rsid w:val="00B17031"/>
    <w:rsid w:val="00B17988"/>
    <w:rsid w:val="00B21C60"/>
    <w:rsid w:val="00B22F1C"/>
    <w:rsid w:val="00B24CE1"/>
    <w:rsid w:val="00B26265"/>
    <w:rsid w:val="00B26E7E"/>
    <w:rsid w:val="00B27172"/>
    <w:rsid w:val="00B30E23"/>
    <w:rsid w:val="00B30E77"/>
    <w:rsid w:val="00B314B8"/>
    <w:rsid w:val="00B36B8A"/>
    <w:rsid w:val="00B3748E"/>
    <w:rsid w:val="00B447C7"/>
    <w:rsid w:val="00B44C84"/>
    <w:rsid w:val="00B453C5"/>
    <w:rsid w:val="00B45AEB"/>
    <w:rsid w:val="00B460A1"/>
    <w:rsid w:val="00B46BD4"/>
    <w:rsid w:val="00B50BD2"/>
    <w:rsid w:val="00B52649"/>
    <w:rsid w:val="00B529FE"/>
    <w:rsid w:val="00B54645"/>
    <w:rsid w:val="00B54704"/>
    <w:rsid w:val="00B6584D"/>
    <w:rsid w:val="00B67EEC"/>
    <w:rsid w:val="00B72C73"/>
    <w:rsid w:val="00B72F0B"/>
    <w:rsid w:val="00B734EC"/>
    <w:rsid w:val="00B746C6"/>
    <w:rsid w:val="00B75D8C"/>
    <w:rsid w:val="00B7777C"/>
    <w:rsid w:val="00B802AE"/>
    <w:rsid w:val="00B8074F"/>
    <w:rsid w:val="00B817EC"/>
    <w:rsid w:val="00B83605"/>
    <w:rsid w:val="00B84453"/>
    <w:rsid w:val="00B84BA4"/>
    <w:rsid w:val="00B856B0"/>
    <w:rsid w:val="00B912E2"/>
    <w:rsid w:val="00B9234E"/>
    <w:rsid w:val="00B92A00"/>
    <w:rsid w:val="00B97FBF"/>
    <w:rsid w:val="00BA3272"/>
    <w:rsid w:val="00BA3663"/>
    <w:rsid w:val="00BA4C9B"/>
    <w:rsid w:val="00BA5995"/>
    <w:rsid w:val="00BB0A3A"/>
    <w:rsid w:val="00BB17B3"/>
    <w:rsid w:val="00BB1EF4"/>
    <w:rsid w:val="00BB294F"/>
    <w:rsid w:val="00BB3696"/>
    <w:rsid w:val="00BB3BC4"/>
    <w:rsid w:val="00BB4334"/>
    <w:rsid w:val="00BB5A76"/>
    <w:rsid w:val="00BB7074"/>
    <w:rsid w:val="00BC3533"/>
    <w:rsid w:val="00BC6B1A"/>
    <w:rsid w:val="00BC7BFA"/>
    <w:rsid w:val="00BD17AE"/>
    <w:rsid w:val="00BD24A5"/>
    <w:rsid w:val="00BD5D68"/>
    <w:rsid w:val="00BE25ED"/>
    <w:rsid w:val="00BE31C8"/>
    <w:rsid w:val="00BE3B0B"/>
    <w:rsid w:val="00BE5B12"/>
    <w:rsid w:val="00BF1CC9"/>
    <w:rsid w:val="00C00A29"/>
    <w:rsid w:val="00C01CEF"/>
    <w:rsid w:val="00C02CA8"/>
    <w:rsid w:val="00C04E8D"/>
    <w:rsid w:val="00C05865"/>
    <w:rsid w:val="00C071D9"/>
    <w:rsid w:val="00C17F79"/>
    <w:rsid w:val="00C2162B"/>
    <w:rsid w:val="00C21861"/>
    <w:rsid w:val="00C23B8B"/>
    <w:rsid w:val="00C2533A"/>
    <w:rsid w:val="00C26CCB"/>
    <w:rsid w:val="00C26EC4"/>
    <w:rsid w:val="00C321C6"/>
    <w:rsid w:val="00C37214"/>
    <w:rsid w:val="00C416C0"/>
    <w:rsid w:val="00C41F9C"/>
    <w:rsid w:val="00C438B3"/>
    <w:rsid w:val="00C45996"/>
    <w:rsid w:val="00C54B7D"/>
    <w:rsid w:val="00C5660F"/>
    <w:rsid w:val="00C5695E"/>
    <w:rsid w:val="00C57AA9"/>
    <w:rsid w:val="00C57C0B"/>
    <w:rsid w:val="00C60354"/>
    <w:rsid w:val="00C67842"/>
    <w:rsid w:val="00C75AF0"/>
    <w:rsid w:val="00C76EEC"/>
    <w:rsid w:val="00C80CE4"/>
    <w:rsid w:val="00C81746"/>
    <w:rsid w:val="00C823DA"/>
    <w:rsid w:val="00C823E9"/>
    <w:rsid w:val="00C82A2B"/>
    <w:rsid w:val="00C850A3"/>
    <w:rsid w:val="00C85B34"/>
    <w:rsid w:val="00C87B13"/>
    <w:rsid w:val="00C87E85"/>
    <w:rsid w:val="00C90244"/>
    <w:rsid w:val="00C91B1F"/>
    <w:rsid w:val="00C94870"/>
    <w:rsid w:val="00C96F44"/>
    <w:rsid w:val="00C97A55"/>
    <w:rsid w:val="00CA01FE"/>
    <w:rsid w:val="00CA0DEC"/>
    <w:rsid w:val="00CA33AC"/>
    <w:rsid w:val="00CA38BE"/>
    <w:rsid w:val="00CA38FE"/>
    <w:rsid w:val="00CB069C"/>
    <w:rsid w:val="00CB08CD"/>
    <w:rsid w:val="00CB279C"/>
    <w:rsid w:val="00CB53A9"/>
    <w:rsid w:val="00CB640F"/>
    <w:rsid w:val="00CB6642"/>
    <w:rsid w:val="00CB778A"/>
    <w:rsid w:val="00CC42B1"/>
    <w:rsid w:val="00CC46D0"/>
    <w:rsid w:val="00CC616E"/>
    <w:rsid w:val="00CC660A"/>
    <w:rsid w:val="00CC6E5F"/>
    <w:rsid w:val="00CC7264"/>
    <w:rsid w:val="00CD1058"/>
    <w:rsid w:val="00CD34FE"/>
    <w:rsid w:val="00CD4E4C"/>
    <w:rsid w:val="00CD522D"/>
    <w:rsid w:val="00CD7AF1"/>
    <w:rsid w:val="00CD7DDE"/>
    <w:rsid w:val="00CE49E6"/>
    <w:rsid w:val="00CE500A"/>
    <w:rsid w:val="00CE54A7"/>
    <w:rsid w:val="00CE5560"/>
    <w:rsid w:val="00CF079B"/>
    <w:rsid w:val="00CF3E93"/>
    <w:rsid w:val="00CF40A2"/>
    <w:rsid w:val="00CF414A"/>
    <w:rsid w:val="00CF4774"/>
    <w:rsid w:val="00CF5984"/>
    <w:rsid w:val="00CF69D4"/>
    <w:rsid w:val="00D00906"/>
    <w:rsid w:val="00D00E18"/>
    <w:rsid w:val="00D02473"/>
    <w:rsid w:val="00D02FD3"/>
    <w:rsid w:val="00D07415"/>
    <w:rsid w:val="00D07807"/>
    <w:rsid w:val="00D10850"/>
    <w:rsid w:val="00D111DE"/>
    <w:rsid w:val="00D139C9"/>
    <w:rsid w:val="00D14F94"/>
    <w:rsid w:val="00D1690D"/>
    <w:rsid w:val="00D173FC"/>
    <w:rsid w:val="00D17BD6"/>
    <w:rsid w:val="00D218C2"/>
    <w:rsid w:val="00D2236E"/>
    <w:rsid w:val="00D2259F"/>
    <w:rsid w:val="00D24A1F"/>
    <w:rsid w:val="00D2574A"/>
    <w:rsid w:val="00D35F2B"/>
    <w:rsid w:val="00D36941"/>
    <w:rsid w:val="00D369DF"/>
    <w:rsid w:val="00D4003B"/>
    <w:rsid w:val="00D4412C"/>
    <w:rsid w:val="00D444C1"/>
    <w:rsid w:val="00D5105D"/>
    <w:rsid w:val="00D5127E"/>
    <w:rsid w:val="00D53116"/>
    <w:rsid w:val="00D55FE8"/>
    <w:rsid w:val="00D61746"/>
    <w:rsid w:val="00D6269B"/>
    <w:rsid w:val="00D6369A"/>
    <w:rsid w:val="00D64B2B"/>
    <w:rsid w:val="00D658DF"/>
    <w:rsid w:val="00D72043"/>
    <w:rsid w:val="00D72415"/>
    <w:rsid w:val="00D72A60"/>
    <w:rsid w:val="00D7553F"/>
    <w:rsid w:val="00D8339C"/>
    <w:rsid w:val="00D86A12"/>
    <w:rsid w:val="00D9058B"/>
    <w:rsid w:val="00D92A87"/>
    <w:rsid w:val="00D94E6E"/>
    <w:rsid w:val="00DA0F2E"/>
    <w:rsid w:val="00DA3DCF"/>
    <w:rsid w:val="00DB1357"/>
    <w:rsid w:val="00DB4C04"/>
    <w:rsid w:val="00DB514C"/>
    <w:rsid w:val="00DB6417"/>
    <w:rsid w:val="00DB64B1"/>
    <w:rsid w:val="00DB72BD"/>
    <w:rsid w:val="00DB7A83"/>
    <w:rsid w:val="00DC01D3"/>
    <w:rsid w:val="00DC12DE"/>
    <w:rsid w:val="00DC2BFE"/>
    <w:rsid w:val="00DC2F33"/>
    <w:rsid w:val="00DD091E"/>
    <w:rsid w:val="00DD14BB"/>
    <w:rsid w:val="00DD2243"/>
    <w:rsid w:val="00DD308B"/>
    <w:rsid w:val="00DD3BAE"/>
    <w:rsid w:val="00DD4C1A"/>
    <w:rsid w:val="00DD6EE0"/>
    <w:rsid w:val="00DD736F"/>
    <w:rsid w:val="00DE2EC9"/>
    <w:rsid w:val="00DE4736"/>
    <w:rsid w:val="00DE47F4"/>
    <w:rsid w:val="00DE6E89"/>
    <w:rsid w:val="00DF0EB5"/>
    <w:rsid w:val="00DF1FC2"/>
    <w:rsid w:val="00DF462A"/>
    <w:rsid w:val="00DF4C99"/>
    <w:rsid w:val="00E02CE4"/>
    <w:rsid w:val="00E03752"/>
    <w:rsid w:val="00E06F81"/>
    <w:rsid w:val="00E07796"/>
    <w:rsid w:val="00E10174"/>
    <w:rsid w:val="00E1118D"/>
    <w:rsid w:val="00E12704"/>
    <w:rsid w:val="00E20C3E"/>
    <w:rsid w:val="00E30984"/>
    <w:rsid w:val="00E3259A"/>
    <w:rsid w:val="00E3386E"/>
    <w:rsid w:val="00E35E16"/>
    <w:rsid w:val="00E364B9"/>
    <w:rsid w:val="00E40FB4"/>
    <w:rsid w:val="00E43310"/>
    <w:rsid w:val="00E468C0"/>
    <w:rsid w:val="00E500F2"/>
    <w:rsid w:val="00E52100"/>
    <w:rsid w:val="00E527F5"/>
    <w:rsid w:val="00E537E5"/>
    <w:rsid w:val="00E571C3"/>
    <w:rsid w:val="00E608C8"/>
    <w:rsid w:val="00E626BD"/>
    <w:rsid w:val="00E64927"/>
    <w:rsid w:val="00E7048D"/>
    <w:rsid w:val="00E705A5"/>
    <w:rsid w:val="00E72340"/>
    <w:rsid w:val="00E747AA"/>
    <w:rsid w:val="00E8097F"/>
    <w:rsid w:val="00E830A6"/>
    <w:rsid w:val="00E95CC3"/>
    <w:rsid w:val="00E96AB6"/>
    <w:rsid w:val="00EA32C2"/>
    <w:rsid w:val="00EA38AA"/>
    <w:rsid w:val="00EA3B64"/>
    <w:rsid w:val="00EA4366"/>
    <w:rsid w:val="00EA5026"/>
    <w:rsid w:val="00EA5461"/>
    <w:rsid w:val="00EA67FF"/>
    <w:rsid w:val="00EA795A"/>
    <w:rsid w:val="00EB1471"/>
    <w:rsid w:val="00EB1A36"/>
    <w:rsid w:val="00EB42D7"/>
    <w:rsid w:val="00EB559E"/>
    <w:rsid w:val="00EB5ED0"/>
    <w:rsid w:val="00EC2E93"/>
    <w:rsid w:val="00EC53DC"/>
    <w:rsid w:val="00EC7307"/>
    <w:rsid w:val="00ED068F"/>
    <w:rsid w:val="00ED4561"/>
    <w:rsid w:val="00ED7D51"/>
    <w:rsid w:val="00EE031C"/>
    <w:rsid w:val="00EE0977"/>
    <w:rsid w:val="00EE1BD1"/>
    <w:rsid w:val="00EE6C4E"/>
    <w:rsid w:val="00EF024F"/>
    <w:rsid w:val="00EF101E"/>
    <w:rsid w:val="00EF4784"/>
    <w:rsid w:val="00EF5825"/>
    <w:rsid w:val="00EF5E71"/>
    <w:rsid w:val="00EF6273"/>
    <w:rsid w:val="00EF6E14"/>
    <w:rsid w:val="00EF7817"/>
    <w:rsid w:val="00EF788A"/>
    <w:rsid w:val="00EF7C96"/>
    <w:rsid w:val="00F000D7"/>
    <w:rsid w:val="00F01182"/>
    <w:rsid w:val="00F0199B"/>
    <w:rsid w:val="00F01F32"/>
    <w:rsid w:val="00F06ED4"/>
    <w:rsid w:val="00F113CF"/>
    <w:rsid w:val="00F1764E"/>
    <w:rsid w:val="00F207F5"/>
    <w:rsid w:val="00F22A76"/>
    <w:rsid w:val="00F2452C"/>
    <w:rsid w:val="00F25119"/>
    <w:rsid w:val="00F26045"/>
    <w:rsid w:val="00F316CE"/>
    <w:rsid w:val="00F323FB"/>
    <w:rsid w:val="00F325AD"/>
    <w:rsid w:val="00F33E1A"/>
    <w:rsid w:val="00F340E0"/>
    <w:rsid w:val="00F40FD3"/>
    <w:rsid w:val="00F41298"/>
    <w:rsid w:val="00F418E8"/>
    <w:rsid w:val="00F44BE7"/>
    <w:rsid w:val="00F467D7"/>
    <w:rsid w:val="00F46998"/>
    <w:rsid w:val="00F51A19"/>
    <w:rsid w:val="00F5225D"/>
    <w:rsid w:val="00F53C9E"/>
    <w:rsid w:val="00F56450"/>
    <w:rsid w:val="00F61F6D"/>
    <w:rsid w:val="00F61F8D"/>
    <w:rsid w:val="00F65954"/>
    <w:rsid w:val="00F659DD"/>
    <w:rsid w:val="00F66338"/>
    <w:rsid w:val="00F66FD0"/>
    <w:rsid w:val="00F70AB5"/>
    <w:rsid w:val="00F719EA"/>
    <w:rsid w:val="00F751A1"/>
    <w:rsid w:val="00F75485"/>
    <w:rsid w:val="00F755E7"/>
    <w:rsid w:val="00F7580C"/>
    <w:rsid w:val="00F7637C"/>
    <w:rsid w:val="00F77B53"/>
    <w:rsid w:val="00F80140"/>
    <w:rsid w:val="00F80443"/>
    <w:rsid w:val="00F80D48"/>
    <w:rsid w:val="00F81681"/>
    <w:rsid w:val="00F87ACD"/>
    <w:rsid w:val="00F908B7"/>
    <w:rsid w:val="00F923BC"/>
    <w:rsid w:val="00F93AF2"/>
    <w:rsid w:val="00F971C2"/>
    <w:rsid w:val="00FA2EBE"/>
    <w:rsid w:val="00FA51FC"/>
    <w:rsid w:val="00FA6787"/>
    <w:rsid w:val="00FB004B"/>
    <w:rsid w:val="00FB3921"/>
    <w:rsid w:val="00FB7ECA"/>
    <w:rsid w:val="00FC36F8"/>
    <w:rsid w:val="00FC43C6"/>
    <w:rsid w:val="00FC7693"/>
    <w:rsid w:val="00FD032B"/>
    <w:rsid w:val="00FD1F96"/>
    <w:rsid w:val="00FD3863"/>
    <w:rsid w:val="00FD506B"/>
    <w:rsid w:val="00FD5475"/>
    <w:rsid w:val="00FD7C95"/>
    <w:rsid w:val="00FE0753"/>
    <w:rsid w:val="00FE20F4"/>
    <w:rsid w:val="00FE3224"/>
    <w:rsid w:val="00FE5835"/>
    <w:rsid w:val="00FE7567"/>
    <w:rsid w:val="00FE7EC1"/>
    <w:rsid w:val="00FF4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rPr>
  </w:style>
  <w:style w:type="paragraph" w:styleId="Heading2">
    <w:name w:val="heading 2"/>
    <w:basedOn w:val="Normal"/>
    <w:next w:val="Normal"/>
    <w:link w:val="Heading2Char"/>
    <w:qFormat/>
    <w:rsid w:val="00E72340"/>
    <w:pPr>
      <w:keepNext/>
      <w:outlineLvl w:val="1"/>
    </w:pPr>
    <w:rPr>
      <w:b/>
      <w:bCs/>
      <w:sz w:val="26"/>
      <w:lang/>
    </w:rPr>
  </w:style>
  <w:style w:type="paragraph" w:styleId="Heading3">
    <w:name w:val="heading 3"/>
    <w:basedOn w:val="Normal"/>
    <w:next w:val="Normal"/>
    <w:link w:val="Heading3Char"/>
    <w:uiPriority w:val="9"/>
    <w:semiHidden/>
    <w:unhideWhenUsed/>
    <w:qFormat/>
    <w:rsid w:val="002424C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rPr>
      <w:lang/>
    </w:rPr>
  </w:style>
  <w:style w:type="paragraph" w:styleId="Footer">
    <w:name w:val="footer"/>
    <w:basedOn w:val="Normal"/>
    <w:link w:val="FooterChar"/>
    <w:uiPriority w:val="99"/>
    <w:rsid w:val="001A5801"/>
    <w:pPr>
      <w:tabs>
        <w:tab w:val="center" w:pos="4320"/>
        <w:tab w:val="right" w:pos="8640"/>
      </w:tabs>
    </w:pPr>
    <w:rPr>
      <w:lang/>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r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D07807"/>
    <w:rPr>
      <w:rFonts w:ascii="Arial" w:hAnsi="Arial" w:cs="Arial"/>
    </w:rPr>
  </w:style>
  <w:style w:type="paragraph" w:customStyle="1" w:styleId="UN-04Pre-TOCheadings">
    <w:name w:val="UN-04 Pre-TOC headings"/>
    <w:next w:val="Normal"/>
    <w:rsid w:val="00D07807"/>
    <w:pPr>
      <w:keepNext/>
      <w:pageBreakBefore/>
      <w:spacing w:after="600"/>
    </w:pPr>
    <w:rPr>
      <w:rFonts w:ascii="Cambria" w:hAnsi="Cambria"/>
      <w:b/>
      <w:bCs/>
      <w:sz w:val="30"/>
      <w:lang w:val="en-GB"/>
    </w:rPr>
  </w:style>
  <w:style w:type="paragraph" w:customStyle="1" w:styleId="UN-59Abbreviationscopy">
    <w:name w:val="UN-59 Abbreviations copy"/>
    <w:rsid w:val="00D07807"/>
    <w:rPr>
      <w:rFonts w:ascii="Calibri" w:hAnsi="Calibri"/>
      <w:sz w:val="22"/>
      <w:lang w:val="en-GB"/>
    </w:rPr>
  </w:style>
  <w:style w:type="character" w:customStyle="1" w:styleId="st">
    <w:name w:val="st"/>
    <w:basedOn w:val="DefaultParagraphFont"/>
    <w:rsid w:val="00D07807"/>
  </w:style>
  <w:style w:type="character" w:styleId="Emphasis">
    <w:name w:val="Emphasis"/>
    <w:uiPriority w:val="20"/>
    <w:qFormat/>
    <w:rsid w:val="00D07807"/>
    <w:rPr>
      <w:i/>
      <w:iCs/>
    </w:rPr>
  </w:style>
  <w:style w:type="character" w:customStyle="1" w:styleId="nobr">
    <w:name w:val="nobr"/>
    <w:basedOn w:val="DefaultParagraphFont"/>
    <w:rsid w:val="00D07807"/>
  </w:style>
  <w:style w:type="paragraph" w:customStyle="1" w:styleId="Default">
    <w:name w:val="Default"/>
    <w:rsid w:val="00B9234E"/>
    <w:pPr>
      <w:autoSpaceDE w:val="0"/>
      <w:autoSpaceDN w:val="0"/>
      <w:adjustRightInd w:val="0"/>
    </w:pPr>
    <w:rPr>
      <w:color w:val="000000"/>
      <w:sz w:val="24"/>
      <w:szCs w:val="24"/>
    </w:rPr>
  </w:style>
  <w:style w:type="paragraph" w:styleId="NoSpacing">
    <w:name w:val="No Spacing"/>
    <w:basedOn w:val="Normal"/>
    <w:uiPriority w:val="1"/>
    <w:qFormat/>
    <w:rsid w:val="00B9234E"/>
    <w:rPr>
      <w:rFonts w:eastAsia="Calibri"/>
    </w:rPr>
  </w:style>
  <w:style w:type="character" w:customStyle="1" w:styleId="Heading3Char">
    <w:name w:val="Heading 3 Char"/>
    <w:link w:val="Heading3"/>
    <w:uiPriority w:val="9"/>
    <w:semiHidden/>
    <w:rsid w:val="002424C9"/>
    <w:rPr>
      <w:rFonts w:ascii="Cambria" w:eastAsia="Times New Roman" w:hAnsi="Cambria" w:cs="Times New Roman"/>
      <w:b/>
      <w:bCs/>
      <w:sz w:val="26"/>
      <w:szCs w:val="26"/>
    </w:rPr>
  </w:style>
  <w:style w:type="character" w:customStyle="1" w:styleId="HeaderChar">
    <w:name w:val="Header Char"/>
    <w:link w:val="Header"/>
    <w:locked/>
    <w:rsid w:val="006F4536"/>
    <w:rPr>
      <w:sz w:val="24"/>
      <w:szCs w:val="24"/>
    </w:rPr>
  </w:style>
  <w:style w:type="paragraph" w:styleId="BodyText3">
    <w:name w:val="Body Text 3"/>
    <w:basedOn w:val="Normal"/>
    <w:link w:val="BodyText3Char"/>
    <w:uiPriority w:val="99"/>
    <w:semiHidden/>
    <w:unhideWhenUsed/>
    <w:rsid w:val="00A641DA"/>
    <w:pPr>
      <w:spacing w:after="120"/>
    </w:pPr>
    <w:rPr>
      <w:sz w:val="16"/>
      <w:szCs w:val="16"/>
    </w:rPr>
  </w:style>
  <w:style w:type="character" w:customStyle="1" w:styleId="BodyText3Char">
    <w:name w:val="Body Text 3 Char"/>
    <w:link w:val="BodyText3"/>
    <w:uiPriority w:val="99"/>
    <w:semiHidden/>
    <w:rsid w:val="00A641DA"/>
    <w:rPr>
      <w:sz w:val="16"/>
      <w:szCs w:val="16"/>
    </w:rPr>
  </w:style>
  <w:style w:type="paragraph" w:customStyle="1" w:styleId="UN-10Bodycopy">
    <w:name w:val="UN-10 Body copy"/>
    <w:link w:val="UN-10BodycopyChar"/>
    <w:qFormat/>
    <w:rsid w:val="008D587A"/>
    <w:pPr>
      <w:spacing w:after="240" w:line="240" w:lineRule="atLeast"/>
      <w:jc w:val="both"/>
    </w:pPr>
    <w:rPr>
      <w:rFonts w:ascii="Calibri" w:hAnsi="Calibri"/>
      <w:spacing w:val="-2"/>
      <w:sz w:val="22"/>
    </w:rPr>
  </w:style>
  <w:style w:type="character" w:customStyle="1" w:styleId="UN-10BodycopyChar">
    <w:name w:val="UN-10 Body copy Char"/>
    <w:link w:val="UN-10Bodycopy"/>
    <w:rsid w:val="008D587A"/>
    <w:rPr>
      <w:rFonts w:ascii="Calibri" w:hAnsi="Calibri"/>
      <w:spacing w:val="-2"/>
      <w:sz w:val="22"/>
      <w:lang w:bidi="ar-SA"/>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943151197">
      <w:bodyDiv w:val="1"/>
      <w:marLeft w:val="0"/>
      <w:marRight w:val="0"/>
      <w:marTop w:val="0"/>
      <w:marBottom w:val="0"/>
      <w:divBdr>
        <w:top w:val="none" w:sz="0" w:space="0" w:color="auto"/>
        <w:left w:val="none" w:sz="0" w:space="0" w:color="auto"/>
        <w:bottom w:val="none" w:sz="0" w:space="0" w:color="auto"/>
        <w:right w:val="none" w:sz="0" w:space="0" w:color="auto"/>
      </w:divBdr>
      <w:divsChild>
        <w:div w:id="813529762">
          <w:marLeft w:val="0"/>
          <w:marRight w:val="0"/>
          <w:marTop w:val="0"/>
          <w:marBottom w:val="0"/>
          <w:divBdr>
            <w:top w:val="none" w:sz="0" w:space="0" w:color="auto"/>
            <w:left w:val="none" w:sz="0" w:space="0" w:color="auto"/>
            <w:bottom w:val="none" w:sz="0" w:space="0" w:color="auto"/>
            <w:right w:val="none" w:sz="0" w:space="0" w:color="auto"/>
          </w:divBdr>
          <w:divsChild>
            <w:div w:id="8192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5" Type="http://schemas.openxmlformats.org/officeDocument/2006/relationships/hyperlink" Target="http://mdtf.undp.org/document/download/5388" TargetMode="External"/><Relationship Id="rId4" Type="http://schemas.openxmlformats.org/officeDocument/2006/relationships/hyperlink" Target="http://mdtf.undp.org/document/download/544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5437-09C7-4838-826B-448A99F9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46540</CharactersWithSpaces>
  <SharedDoc>false</SharedDoc>
  <HLinks>
    <vt:vector size="30" baseType="variant">
      <vt:variant>
        <vt:i4>2490464</vt:i4>
      </vt:variant>
      <vt:variant>
        <vt:i4>12</vt:i4>
      </vt:variant>
      <vt:variant>
        <vt:i4>0</vt:i4>
      </vt:variant>
      <vt:variant>
        <vt:i4>5</vt:i4>
      </vt:variant>
      <vt:variant>
        <vt:lpwstr>http://mdtf.undp.org/document/download/5388</vt:lpwstr>
      </vt:variant>
      <vt:variant>
        <vt:lpwstr/>
      </vt:variant>
      <vt:variant>
        <vt:i4>2752615</vt:i4>
      </vt:variant>
      <vt:variant>
        <vt:i4>9</vt:i4>
      </vt:variant>
      <vt:variant>
        <vt:i4>0</vt:i4>
      </vt:variant>
      <vt:variant>
        <vt:i4>5</vt:i4>
      </vt:variant>
      <vt:variant>
        <vt:lpwstr>http://mdtf.undp.org/document/download/5449</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Rony Gedeon</cp:lastModifiedBy>
  <cp:revision>2</cp:revision>
  <cp:lastPrinted>2014-04-28T15:14:00Z</cp:lastPrinted>
  <dcterms:created xsi:type="dcterms:W3CDTF">2014-04-30T09:16:00Z</dcterms:created>
  <dcterms:modified xsi:type="dcterms:W3CDTF">2014-04-30T09:16:00Z</dcterms:modified>
</cp:coreProperties>
</file>