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C6" w:rsidRPr="005F557F" w:rsidRDefault="00DE0BC6" w:rsidP="005A153F">
      <w:pPr>
        <w:spacing w:after="0"/>
        <w:ind w:left="7920"/>
        <w:jc w:val="both"/>
        <w:rPr>
          <w:rFonts w:ascii="Times New Roman" w:eastAsia="Times New Roman" w:hAnsi="Times New Roman" w:cs="Times New Roman"/>
          <w:b/>
          <w:sz w:val="24"/>
          <w:szCs w:val="24"/>
          <w:lang w:eastAsia="x-none"/>
        </w:rPr>
      </w:pPr>
      <w:r w:rsidRPr="005F557F">
        <w:rPr>
          <w:rFonts w:ascii="Times New Roman" w:eastAsia="Times New Roman" w:hAnsi="Times New Roman" w:cs="Times New Roman"/>
          <w:b/>
          <w:sz w:val="24"/>
          <w:szCs w:val="24"/>
          <w:lang w:eastAsia="x-none"/>
        </w:rPr>
        <w:t>ANNEX 4</w:t>
      </w:r>
    </w:p>
    <w:p w:rsidR="00DE0BC6" w:rsidRPr="005F557F" w:rsidRDefault="00DE0BC6" w:rsidP="005A153F">
      <w:pPr>
        <w:spacing w:after="0"/>
        <w:ind w:left="7920"/>
        <w:jc w:val="both"/>
        <w:rPr>
          <w:rFonts w:ascii="Times New Roman" w:eastAsia="Times New Roman" w:hAnsi="Times New Roman" w:cs="Times New Roman"/>
          <w:b/>
          <w:sz w:val="24"/>
          <w:szCs w:val="24"/>
          <w:lang w:eastAsia="x-none"/>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5F557F" w:rsidRPr="005F557F" w:rsidTr="006D6500">
        <w:trPr>
          <w:trHeight w:val="1098"/>
        </w:trPr>
        <w:tc>
          <w:tcPr>
            <w:tcW w:w="20" w:type="dxa"/>
            <w:vAlign w:val="bottom"/>
          </w:tcPr>
          <w:p w:rsidR="00DE0BC6" w:rsidRPr="005F557F" w:rsidRDefault="00DE0BC6" w:rsidP="005A153F">
            <w:pPr>
              <w:spacing w:after="0"/>
              <w:jc w:val="both"/>
              <w:rPr>
                <w:rFonts w:ascii="Times New Roman" w:eastAsia="Times New Roman" w:hAnsi="Times New Roman" w:cs="Times New Roman"/>
                <w:sz w:val="24"/>
                <w:szCs w:val="24"/>
                <w:highlight w:val="yellow"/>
                <w:lang w:val="en-US"/>
              </w:rPr>
            </w:pPr>
          </w:p>
        </w:tc>
        <w:tc>
          <w:tcPr>
            <w:tcW w:w="5650" w:type="dxa"/>
            <w:vAlign w:val="bottom"/>
          </w:tcPr>
          <w:p w:rsidR="00DE0BC6" w:rsidRPr="005F557F" w:rsidRDefault="00DE0BC6" w:rsidP="005A153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pacing w:val="-3"/>
                <w:sz w:val="24"/>
                <w:szCs w:val="24"/>
                <w:lang w:val="en-US"/>
              </w:rPr>
            </w:pPr>
            <w:r w:rsidRPr="005F557F">
              <w:rPr>
                <w:rFonts w:ascii="Times New Roman" w:eastAsia="Times New Roman" w:hAnsi="Times New Roman" w:cs="Times New Roman"/>
                <w:snapToGrid w:val="0"/>
                <w:spacing w:val="-3"/>
                <w:sz w:val="24"/>
                <w:szCs w:val="24"/>
                <w:lang w:val="en-US"/>
              </w:rPr>
              <w:t xml:space="preserve">SUN Movement </w:t>
            </w:r>
          </w:p>
          <w:p w:rsidR="00DE0BC6" w:rsidRPr="005F557F" w:rsidRDefault="00DE0BC6" w:rsidP="005A153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noProof/>
                <w:snapToGrid w:val="0"/>
                <w:sz w:val="24"/>
                <w:szCs w:val="24"/>
                <w:highlight w:val="yellow"/>
              </w:rPr>
            </w:pPr>
            <w:r w:rsidRPr="005F557F">
              <w:rPr>
                <w:rFonts w:ascii="Times New Roman" w:eastAsia="Times New Roman" w:hAnsi="Times New Roman" w:cs="Times New Roman"/>
                <w:snapToGrid w:val="0"/>
                <w:spacing w:val="-3"/>
                <w:sz w:val="24"/>
                <w:szCs w:val="24"/>
                <w:lang w:val="en-US"/>
              </w:rPr>
              <w:t>Multi-Partner Trust Fund</w:t>
            </w:r>
          </w:p>
        </w:tc>
        <w:tc>
          <w:tcPr>
            <w:tcW w:w="2997" w:type="dxa"/>
            <w:vAlign w:val="bottom"/>
          </w:tcPr>
          <w:p w:rsidR="00DE0BC6" w:rsidRPr="005F557F" w:rsidRDefault="00DE0BC6" w:rsidP="005A153F">
            <w:pPr>
              <w:spacing w:after="0"/>
              <w:jc w:val="both"/>
              <w:rPr>
                <w:rFonts w:ascii="Times New Roman" w:eastAsia="Times New Roman" w:hAnsi="Times New Roman" w:cs="Times New Roman"/>
                <w:sz w:val="24"/>
                <w:szCs w:val="24"/>
                <w:highlight w:val="yellow"/>
                <w:lang w:val="en-US"/>
              </w:rPr>
            </w:pPr>
            <w:r w:rsidRPr="005F557F">
              <w:rPr>
                <w:rFonts w:ascii="Times New Roman" w:eastAsia="Times New Roman" w:hAnsi="Times New Roman" w:cs="Times New Roman"/>
                <w:noProof/>
                <w:sz w:val="24"/>
                <w:szCs w:val="24"/>
                <w:lang w:val="en-US"/>
              </w:rPr>
              <w:drawing>
                <wp:inline distT="0" distB="0" distL="0" distR="0" wp14:anchorId="44F6F6F2" wp14:editId="516C8664">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DE0BC6" w:rsidRPr="005F557F" w:rsidRDefault="00DE0BC6" w:rsidP="005A153F">
      <w:pPr>
        <w:spacing w:after="0"/>
        <w:ind w:left="7920"/>
        <w:jc w:val="both"/>
        <w:rPr>
          <w:rFonts w:ascii="Times New Roman" w:eastAsia="Times New Roman" w:hAnsi="Times New Roman" w:cs="Times New Roman"/>
          <w:b/>
          <w:sz w:val="24"/>
          <w:szCs w:val="24"/>
          <w:lang w:eastAsia="x-none"/>
        </w:rPr>
      </w:pPr>
    </w:p>
    <w:p w:rsidR="00DE0BC6" w:rsidRPr="005F557F" w:rsidRDefault="00DE0BC6" w:rsidP="005A153F">
      <w:pPr>
        <w:widowControl w:val="0"/>
        <w:tabs>
          <w:tab w:val="left" w:pos="-720"/>
          <w:tab w:val="left" w:pos="0"/>
          <w:tab w:val="left" w:pos="4500"/>
        </w:tabs>
        <w:suppressAutoHyphens/>
        <w:spacing w:after="0" w:line="240" w:lineRule="auto"/>
        <w:ind w:right="720"/>
        <w:jc w:val="both"/>
        <w:rPr>
          <w:rFonts w:ascii="Times New Roman" w:eastAsia="Times New Roman" w:hAnsi="Times New Roman" w:cs="Times New Roman"/>
          <w:b/>
          <w:snapToGrid w:val="0"/>
          <w:sz w:val="24"/>
          <w:szCs w:val="24"/>
        </w:rPr>
      </w:pPr>
    </w:p>
    <w:p w:rsidR="00DE0BC6" w:rsidRPr="005F557F" w:rsidRDefault="00DE0BC6" w:rsidP="005A153F">
      <w:pPr>
        <w:widowControl w:val="0"/>
        <w:spacing w:after="0" w:line="240" w:lineRule="auto"/>
        <w:jc w:val="both"/>
        <w:rPr>
          <w:rFonts w:ascii="Times New Roman" w:eastAsia="Times New Roman" w:hAnsi="Times New Roman" w:cs="Times New Roman"/>
          <w:b/>
          <w:snapToGrid w:val="0"/>
          <w:sz w:val="24"/>
          <w:szCs w:val="24"/>
        </w:rPr>
      </w:pPr>
    </w:p>
    <w:p w:rsidR="00DE0BC6" w:rsidRPr="005F557F" w:rsidRDefault="00DE0BC6" w:rsidP="005A153F">
      <w:pPr>
        <w:widowControl w:val="0"/>
        <w:spacing w:after="0" w:line="240" w:lineRule="auto"/>
        <w:jc w:val="both"/>
        <w:rPr>
          <w:rFonts w:ascii="Times New Roman" w:eastAsia="Times New Roman" w:hAnsi="Times New Roman" w:cs="Times New Roman"/>
          <w:b/>
          <w:bCs/>
          <w:caps/>
          <w:snapToGrid w:val="0"/>
          <w:sz w:val="24"/>
          <w:szCs w:val="24"/>
          <w:lang w:val="en-US"/>
        </w:rPr>
      </w:pPr>
    </w:p>
    <w:p w:rsidR="00DE0BC6" w:rsidRPr="005F557F" w:rsidRDefault="00DE0BC6" w:rsidP="005A153F">
      <w:pPr>
        <w:widowControl w:val="0"/>
        <w:spacing w:after="0" w:line="240" w:lineRule="auto"/>
        <w:jc w:val="both"/>
        <w:rPr>
          <w:rFonts w:ascii="Times New Roman" w:eastAsia="Times New Roman" w:hAnsi="Times New Roman" w:cs="Times New Roman"/>
          <w:b/>
          <w:bCs/>
          <w:caps/>
          <w:snapToGrid w:val="0"/>
          <w:sz w:val="24"/>
          <w:szCs w:val="24"/>
          <w:lang w:val="en-US"/>
        </w:rPr>
      </w:pPr>
    </w:p>
    <w:p w:rsidR="00DE0BC6" w:rsidRPr="005F557F" w:rsidRDefault="00DE0BC6" w:rsidP="005A153F">
      <w:pPr>
        <w:widowControl w:val="0"/>
        <w:spacing w:after="0" w:line="240" w:lineRule="auto"/>
        <w:jc w:val="both"/>
        <w:rPr>
          <w:rFonts w:ascii="Times New Roman" w:eastAsia="Times New Roman" w:hAnsi="Times New Roman" w:cs="Times New Roman"/>
          <w:b/>
          <w:bCs/>
          <w:caps/>
          <w:snapToGrid w:val="0"/>
          <w:sz w:val="24"/>
          <w:szCs w:val="24"/>
          <w:lang w:val="en-US"/>
        </w:rPr>
      </w:pPr>
    </w:p>
    <w:p w:rsidR="00DE0BC6" w:rsidRPr="005F557F" w:rsidRDefault="00DE0BC6" w:rsidP="005A153F">
      <w:pPr>
        <w:widowControl w:val="0"/>
        <w:spacing w:after="0" w:line="240" w:lineRule="auto"/>
        <w:jc w:val="both"/>
        <w:rPr>
          <w:rFonts w:ascii="Times New Roman" w:eastAsia="Times New Roman" w:hAnsi="Times New Roman" w:cs="Times New Roman"/>
          <w:b/>
          <w:bCs/>
          <w:caps/>
          <w:snapToGrid w:val="0"/>
          <w:sz w:val="24"/>
          <w:szCs w:val="24"/>
          <w:lang w:val="en-US"/>
        </w:rPr>
      </w:pPr>
    </w:p>
    <w:p w:rsidR="00DE0BC6" w:rsidRPr="005F557F" w:rsidRDefault="00DE0BC6" w:rsidP="005A153F">
      <w:pPr>
        <w:widowControl w:val="0"/>
        <w:spacing w:after="0" w:line="240" w:lineRule="auto"/>
        <w:jc w:val="both"/>
        <w:rPr>
          <w:rFonts w:ascii="Times New Roman" w:eastAsia="Times New Roman" w:hAnsi="Times New Roman" w:cs="Times New Roman"/>
          <w:b/>
          <w:bCs/>
          <w:caps/>
          <w:snapToGrid w:val="0"/>
          <w:sz w:val="24"/>
          <w:szCs w:val="24"/>
          <w:lang w:val="en-US"/>
        </w:rPr>
      </w:pPr>
    </w:p>
    <w:p w:rsidR="00DE0BC6" w:rsidRPr="005F557F" w:rsidRDefault="003D56DC" w:rsidP="005A153F">
      <w:pPr>
        <w:widowControl w:val="0"/>
        <w:spacing w:after="0" w:line="240" w:lineRule="auto"/>
        <w:jc w:val="both"/>
        <w:rPr>
          <w:rFonts w:ascii="Times New Roman" w:eastAsia="Times New Roman" w:hAnsi="Times New Roman" w:cs="Times New Roman"/>
          <w:b/>
          <w:bCs/>
          <w:caps/>
          <w:snapToGrid w:val="0"/>
          <w:sz w:val="24"/>
          <w:szCs w:val="24"/>
          <w:lang w:val="en-US"/>
        </w:rPr>
      </w:pPr>
      <w:r w:rsidRPr="005F557F">
        <w:rPr>
          <w:rFonts w:ascii="Times New Roman" w:eastAsia="Times New Roman" w:hAnsi="Times New Roman" w:cs="Times New Roman"/>
          <w:b/>
          <w:bCs/>
          <w:caps/>
          <w:snapToGrid w:val="0"/>
          <w:sz w:val="24"/>
          <w:szCs w:val="24"/>
          <w:lang w:val="en-US"/>
        </w:rPr>
        <w:t xml:space="preserve">                        </w:t>
      </w:r>
      <w:r w:rsidR="00DE0BC6" w:rsidRPr="005F557F">
        <w:rPr>
          <w:rFonts w:ascii="Times New Roman" w:eastAsia="Times New Roman" w:hAnsi="Times New Roman" w:cs="Times New Roman"/>
          <w:b/>
          <w:bCs/>
          <w:caps/>
          <w:snapToGrid w:val="0"/>
          <w:sz w:val="24"/>
          <w:szCs w:val="24"/>
          <w:lang w:val="en-US"/>
        </w:rPr>
        <w:t>ANNUAL NARRATIVE progress report</w:t>
      </w:r>
      <w:r w:rsidR="00747750">
        <w:rPr>
          <w:rFonts w:ascii="Times New Roman" w:eastAsia="Times New Roman" w:hAnsi="Times New Roman" w:cs="Times New Roman"/>
          <w:b/>
          <w:bCs/>
          <w:caps/>
          <w:snapToGrid w:val="0"/>
          <w:sz w:val="24"/>
          <w:szCs w:val="24"/>
          <w:lang w:val="en-US"/>
        </w:rPr>
        <w:t>: GUINEA</w:t>
      </w:r>
    </w:p>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lang w:val="en-US"/>
        </w:rPr>
      </w:pPr>
    </w:p>
    <w:p w:rsidR="00DE0BC6" w:rsidRPr="005F557F" w:rsidRDefault="00DE0BC6" w:rsidP="003D56DC">
      <w:pPr>
        <w:keepNext/>
        <w:widowControl w:val="0"/>
        <w:tabs>
          <w:tab w:val="center" w:pos="4680"/>
        </w:tabs>
        <w:spacing w:after="0" w:line="240" w:lineRule="auto"/>
        <w:ind w:left="1440" w:hanging="1440"/>
        <w:jc w:val="center"/>
        <w:outlineLvl w:val="0"/>
        <w:rPr>
          <w:rFonts w:ascii="Times New Roman" w:eastAsia="Times New Roman" w:hAnsi="Times New Roman" w:cs="Times New Roman"/>
          <w:b/>
          <w:snapToGrid w:val="0"/>
          <w:sz w:val="24"/>
          <w:szCs w:val="24"/>
          <w:u w:val="single"/>
          <w:lang w:val="en-US" w:eastAsia="x-none"/>
        </w:rPr>
      </w:pPr>
      <w:r w:rsidRPr="005F557F">
        <w:rPr>
          <w:rFonts w:ascii="Times New Roman" w:eastAsia="Times New Roman" w:hAnsi="Times New Roman" w:cs="Times New Roman"/>
          <w:b/>
          <w:snapToGrid w:val="0"/>
          <w:sz w:val="24"/>
          <w:szCs w:val="24"/>
          <w:u w:val="single"/>
          <w:lang w:val="en-US" w:eastAsia="x-none"/>
        </w:rPr>
        <w:t>REPORT COVER PAGE</w:t>
      </w:r>
    </w:p>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highlight w:val="yellow"/>
          <w:lang w:val="en-US"/>
        </w:rPr>
      </w:pPr>
    </w:p>
    <w:tbl>
      <w:tblPr>
        <w:tblW w:w="0" w:type="auto"/>
        <w:tblLook w:val="01E0" w:firstRow="1" w:lastRow="1" w:firstColumn="1" w:lastColumn="1" w:noHBand="0" w:noVBand="0"/>
      </w:tblPr>
      <w:tblGrid>
        <w:gridCol w:w="4606"/>
        <w:gridCol w:w="235"/>
        <w:gridCol w:w="4175"/>
      </w:tblGrid>
      <w:tr w:rsidR="005F557F" w:rsidRPr="005F557F" w:rsidTr="006D6500">
        <w:tc>
          <w:tcPr>
            <w:tcW w:w="4732" w:type="dxa"/>
            <w:tcBorders>
              <w:top w:val="single" w:sz="4" w:space="0" w:color="auto"/>
              <w:left w:val="single" w:sz="4" w:space="0" w:color="auto"/>
              <w:right w:val="single" w:sz="4" w:space="0" w:color="auto"/>
            </w:tcBorders>
          </w:tcPr>
          <w:p w:rsidR="00DE0BC6" w:rsidRPr="005F557F" w:rsidRDefault="00DE0BC6" w:rsidP="00876459">
            <w:pPr>
              <w:keepNext/>
              <w:widowControl w:val="0"/>
              <w:spacing w:after="0" w:line="240" w:lineRule="auto"/>
              <w:ind w:right="900"/>
              <w:outlineLvl w:val="1"/>
              <w:rPr>
                <w:rFonts w:ascii="Times New Roman" w:eastAsia="Times New Roman" w:hAnsi="Times New Roman" w:cs="Times New Roman"/>
                <w:b/>
                <w:bCs/>
                <w:snapToGrid w:val="0"/>
                <w:sz w:val="24"/>
                <w:szCs w:val="24"/>
                <w:lang w:val="fr-FR" w:eastAsia="x-none"/>
              </w:rPr>
            </w:pPr>
            <w:r w:rsidRPr="005F557F">
              <w:rPr>
                <w:rFonts w:ascii="Times New Roman" w:eastAsia="Times New Roman" w:hAnsi="Times New Roman" w:cs="Times New Roman"/>
                <w:b/>
                <w:bCs/>
                <w:snapToGrid w:val="0"/>
                <w:sz w:val="24"/>
                <w:szCs w:val="24"/>
                <w:lang w:val="fr-FR" w:eastAsia="x-none"/>
              </w:rPr>
              <w:t>Participating Organization:</w:t>
            </w:r>
            <w:r w:rsidR="008723EA" w:rsidRPr="005F557F">
              <w:rPr>
                <w:rFonts w:ascii="Times New Roman" w:eastAsia="Times New Roman" w:hAnsi="Times New Roman" w:cs="Times New Roman"/>
                <w:b/>
                <w:bCs/>
                <w:snapToGrid w:val="0"/>
                <w:sz w:val="24"/>
                <w:szCs w:val="24"/>
                <w:lang w:val="fr-FR" w:eastAsia="x-none"/>
              </w:rPr>
              <w:t xml:space="preserve"> </w:t>
            </w:r>
            <w:r w:rsidR="00876459" w:rsidRPr="005F557F">
              <w:rPr>
                <w:rFonts w:ascii="Times New Roman" w:eastAsia="Times New Roman" w:hAnsi="Times New Roman" w:cs="Times New Roman"/>
                <w:b/>
                <w:bCs/>
                <w:snapToGrid w:val="0"/>
                <w:sz w:val="24"/>
                <w:szCs w:val="24"/>
                <w:lang w:val="fr-FR" w:eastAsia="x-none"/>
              </w:rPr>
              <w:t>UNICEF</w:t>
            </w:r>
          </w:p>
        </w:tc>
        <w:tc>
          <w:tcPr>
            <w:tcW w:w="236" w:type="dxa"/>
            <w:tcBorders>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fr-FR" w:eastAsia="x-none"/>
              </w:rPr>
            </w:pPr>
          </w:p>
        </w:tc>
        <w:tc>
          <w:tcPr>
            <w:tcW w:w="4277" w:type="dxa"/>
            <w:tcBorders>
              <w:top w:val="single" w:sz="4" w:space="0" w:color="auto"/>
              <w:left w:val="single" w:sz="4" w:space="0" w:color="auto"/>
              <w:right w:val="single" w:sz="4" w:space="0" w:color="auto"/>
            </w:tcBorders>
          </w:tcPr>
          <w:p w:rsidR="00DE0BC6" w:rsidRPr="005F557F" w:rsidRDefault="003A4718" w:rsidP="003D56DC">
            <w:pPr>
              <w:keepNext/>
              <w:widowControl w:val="0"/>
              <w:spacing w:after="0" w:line="240" w:lineRule="auto"/>
              <w:ind w:right="900"/>
              <w:outlineLvl w:val="1"/>
              <w:rPr>
                <w:rFonts w:ascii="Times New Roman" w:eastAsia="Times New Roman" w:hAnsi="Times New Roman" w:cs="Times New Roman"/>
                <w:b/>
                <w:bCs/>
                <w:snapToGrid w:val="0"/>
                <w:sz w:val="24"/>
                <w:szCs w:val="24"/>
                <w:lang w:val="fr-FR" w:eastAsia="x-none"/>
              </w:rPr>
            </w:pPr>
            <w:r w:rsidRPr="005F557F">
              <w:rPr>
                <w:rFonts w:ascii="Times New Roman" w:eastAsia="Times New Roman" w:hAnsi="Times New Roman" w:cs="Times New Roman"/>
                <w:b/>
                <w:bCs/>
                <w:snapToGrid w:val="0"/>
                <w:sz w:val="24"/>
                <w:szCs w:val="24"/>
                <w:lang w:val="fr-FR" w:eastAsia="x-none"/>
              </w:rPr>
              <w:t>Priority Sector covered:</w:t>
            </w:r>
          </w:p>
          <w:p w:rsidR="0004545A" w:rsidRPr="005F557F" w:rsidRDefault="00876459" w:rsidP="003D56DC">
            <w:pPr>
              <w:keepNext/>
              <w:widowControl w:val="0"/>
              <w:spacing w:after="0" w:line="240" w:lineRule="auto"/>
              <w:ind w:right="900"/>
              <w:outlineLvl w:val="1"/>
              <w:rPr>
                <w:rFonts w:ascii="Times New Roman" w:eastAsia="Times New Roman" w:hAnsi="Times New Roman" w:cs="Times New Roman"/>
                <w:b/>
                <w:bCs/>
                <w:snapToGrid w:val="0"/>
                <w:sz w:val="24"/>
                <w:szCs w:val="24"/>
                <w:lang w:val="fr-FR" w:eastAsia="x-none"/>
              </w:rPr>
            </w:pPr>
            <w:r w:rsidRPr="005F557F">
              <w:rPr>
                <w:rFonts w:ascii="Times New Roman" w:eastAsia="Times New Roman" w:hAnsi="Times New Roman" w:cs="Times New Roman"/>
                <w:b/>
                <w:bCs/>
                <w:snapToGrid w:val="0"/>
                <w:sz w:val="24"/>
                <w:szCs w:val="24"/>
                <w:lang w:val="fr-FR" w:eastAsia="x-none"/>
              </w:rPr>
              <w:t>NUTRITION</w:t>
            </w:r>
          </w:p>
        </w:tc>
      </w:tr>
      <w:tr w:rsidR="005F557F" w:rsidRPr="005F557F" w:rsidTr="006D6500">
        <w:trPr>
          <w:trHeight w:val="396"/>
        </w:trPr>
        <w:tc>
          <w:tcPr>
            <w:tcW w:w="4732"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fr-FR"/>
              </w:rPr>
            </w:pPr>
          </w:p>
        </w:tc>
        <w:tc>
          <w:tcPr>
            <w:tcW w:w="236" w:type="dxa"/>
            <w:tcBorders>
              <w:left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fr-FR"/>
              </w:rPr>
            </w:pPr>
          </w:p>
        </w:tc>
        <w:tc>
          <w:tcPr>
            <w:tcW w:w="4277"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fr-FR"/>
              </w:rPr>
            </w:pPr>
          </w:p>
        </w:tc>
      </w:tr>
    </w:tbl>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fr-FR"/>
        </w:rPr>
      </w:pPr>
    </w:p>
    <w:tbl>
      <w:tblPr>
        <w:tblW w:w="0" w:type="auto"/>
        <w:tblLook w:val="01E0" w:firstRow="1" w:lastRow="1" w:firstColumn="1" w:lastColumn="1" w:noHBand="0" w:noVBand="0"/>
      </w:tblPr>
      <w:tblGrid>
        <w:gridCol w:w="4618"/>
        <w:gridCol w:w="235"/>
        <w:gridCol w:w="4163"/>
      </w:tblGrid>
      <w:tr w:rsidR="005F557F" w:rsidRPr="005F557F" w:rsidTr="006D6500">
        <w:tc>
          <w:tcPr>
            <w:tcW w:w="4732" w:type="dxa"/>
            <w:tcBorders>
              <w:top w:val="single" w:sz="4" w:space="0" w:color="auto"/>
              <w:left w:val="single" w:sz="4" w:space="0" w:color="auto"/>
              <w:right w:val="single" w:sz="4" w:space="0" w:color="auto"/>
            </w:tcBorders>
          </w:tcPr>
          <w:p w:rsidR="00DE0BC6" w:rsidRPr="005F557F" w:rsidRDefault="00DE0BC6" w:rsidP="003D56DC">
            <w:pPr>
              <w:keepNext/>
              <w:widowControl w:val="0"/>
              <w:spacing w:after="0" w:line="240" w:lineRule="auto"/>
              <w:ind w:right="900"/>
              <w:outlineLvl w:val="1"/>
              <w:rPr>
                <w:rFonts w:ascii="Times New Roman" w:eastAsia="Times New Roman" w:hAnsi="Times New Roman" w:cs="Times New Roman"/>
                <w:b/>
                <w:bCs/>
                <w:snapToGrid w:val="0"/>
                <w:sz w:val="24"/>
                <w:szCs w:val="24"/>
                <w:lang w:val="fr-FR" w:eastAsia="x-none"/>
              </w:rPr>
            </w:pPr>
            <w:r w:rsidRPr="005F557F">
              <w:rPr>
                <w:rFonts w:ascii="Times New Roman" w:eastAsia="Times New Roman" w:hAnsi="Times New Roman" w:cs="Times New Roman"/>
                <w:b/>
                <w:bCs/>
                <w:snapToGrid w:val="0"/>
                <w:sz w:val="24"/>
                <w:szCs w:val="24"/>
                <w:lang w:val="fr-FR" w:eastAsia="x-none"/>
              </w:rPr>
              <w:t>Programme</w:t>
            </w:r>
            <w:r w:rsidRPr="005F557F">
              <w:rPr>
                <w:rFonts w:ascii="Times New Roman" w:eastAsia="Times New Roman" w:hAnsi="Times New Roman" w:cs="Times New Roman"/>
                <w:b/>
                <w:bCs/>
                <w:snapToGrid w:val="0"/>
                <w:sz w:val="24"/>
                <w:szCs w:val="24"/>
                <w:vertAlign w:val="superscript"/>
                <w:lang w:val="fr-FR" w:eastAsia="x-none"/>
              </w:rPr>
              <w:t xml:space="preserve">1 </w:t>
            </w:r>
            <w:r w:rsidRPr="005F557F">
              <w:rPr>
                <w:rFonts w:ascii="Times New Roman" w:eastAsia="Times New Roman" w:hAnsi="Times New Roman" w:cs="Times New Roman"/>
                <w:b/>
                <w:bCs/>
                <w:snapToGrid w:val="0"/>
                <w:sz w:val="24"/>
                <w:szCs w:val="24"/>
                <w:lang w:val="fr-FR" w:eastAsia="x-none"/>
              </w:rPr>
              <w:t>No. and Programme Title:</w:t>
            </w:r>
            <w:r w:rsidR="0004545A" w:rsidRPr="005F557F">
              <w:rPr>
                <w:rFonts w:ascii="Times New Roman" w:eastAsia="Times New Roman" w:hAnsi="Times New Roman" w:cs="Times New Roman"/>
                <w:b/>
                <w:bCs/>
                <w:snapToGrid w:val="0"/>
                <w:sz w:val="24"/>
                <w:szCs w:val="24"/>
                <w:lang w:val="fr-FR" w:eastAsia="x-none"/>
              </w:rPr>
              <w:t xml:space="preserve"> </w:t>
            </w:r>
            <w:r w:rsidR="008723EA" w:rsidRPr="005F557F">
              <w:rPr>
                <w:rFonts w:ascii="Times New Roman" w:eastAsia="Times New Roman" w:hAnsi="Times New Roman" w:cs="Times New Roman"/>
                <w:b/>
                <w:bCs/>
                <w:snapToGrid w:val="0"/>
                <w:sz w:val="24"/>
                <w:szCs w:val="24"/>
                <w:lang w:val="fr-FR" w:eastAsia="x-none"/>
              </w:rPr>
              <w:t>Mobilisation de la société civile guinéenne pour le renforcement de la nutrition</w:t>
            </w:r>
          </w:p>
        </w:tc>
        <w:tc>
          <w:tcPr>
            <w:tcW w:w="236" w:type="dxa"/>
            <w:tcBorders>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fr-FR" w:eastAsia="x-none"/>
              </w:rPr>
            </w:pPr>
          </w:p>
        </w:tc>
        <w:tc>
          <w:tcPr>
            <w:tcW w:w="4277" w:type="dxa"/>
            <w:tcBorders>
              <w:top w:val="single" w:sz="4" w:space="0" w:color="auto"/>
              <w:left w:val="single" w:sz="4" w:space="0" w:color="auto"/>
              <w:right w:val="single" w:sz="4" w:space="0" w:color="auto"/>
            </w:tcBorders>
          </w:tcPr>
          <w:p w:rsidR="00DE0BC6" w:rsidRPr="005F557F" w:rsidRDefault="00DE0BC6" w:rsidP="003D56DC">
            <w:pPr>
              <w:keepNext/>
              <w:widowControl w:val="0"/>
              <w:spacing w:before="240" w:after="0" w:line="240" w:lineRule="auto"/>
              <w:ind w:right="900"/>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t xml:space="preserve">Report Number: </w:t>
            </w:r>
            <w:r w:rsidR="003D56DC" w:rsidRPr="005F557F">
              <w:rPr>
                <w:rFonts w:ascii="Times New Roman" w:eastAsia="Times New Roman" w:hAnsi="Times New Roman" w:cs="Times New Roman"/>
                <w:b/>
                <w:bCs/>
                <w:snapToGrid w:val="0"/>
                <w:sz w:val="24"/>
                <w:szCs w:val="24"/>
                <w:lang w:val="en-US" w:eastAsia="x-none"/>
              </w:rPr>
              <w:t>01</w:t>
            </w:r>
          </w:p>
        </w:tc>
      </w:tr>
      <w:tr w:rsidR="005F557F" w:rsidRPr="005F557F" w:rsidTr="006D6500">
        <w:trPr>
          <w:trHeight w:val="297"/>
        </w:trPr>
        <w:tc>
          <w:tcPr>
            <w:tcW w:w="4732"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c>
          <w:tcPr>
            <w:tcW w:w="236" w:type="dxa"/>
            <w:tcBorders>
              <w:left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c>
          <w:tcPr>
            <w:tcW w:w="4277"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r>
    </w:tbl>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bl>
      <w:tblPr>
        <w:tblW w:w="0" w:type="auto"/>
        <w:tblLook w:val="01E0" w:firstRow="1" w:lastRow="1" w:firstColumn="1" w:lastColumn="1" w:noHBand="0" w:noVBand="0"/>
      </w:tblPr>
      <w:tblGrid>
        <w:gridCol w:w="4603"/>
        <w:gridCol w:w="235"/>
        <w:gridCol w:w="4178"/>
      </w:tblGrid>
      <w:tr w:rsidR="005F557F" w:rsidRPr="005F557F" w:rsidTr="006D6500">
        <w:tc>
          <w:tcPr>
            <w:tcW w:w="4732" w:type="dxa"/>
            <w:tcBorders>
              <w:top w:val="single" w:sz="4" w:space="0" w:color="auto"/>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fr-FR" w:eastAsia="x-none"/>
              </w:rPr>
            </w:pPr>
            <w:r w:rsidRPr="005F557F">
              <w:rPr>
                <w:rFonts w:ascii="Times New Roman" w:eastAsia="Times New Roman" w:hAnsi="Times New Roman" w:cs="Times New Roman"/>
                <w:b/>
                <w:bCs/>
                <w:snapToGrid w:val="0"/>
                <w:sz w:val="24"/>
                <w:szCs w:val="24"/>
                <w:lang w:val="fr-FR" w:eastAsia="x-none"/>
              </w:rPr>
              <w:t xml:space="preserve">Reporting Period: </w:t>
            </w:r>
            <w:r w:rsidR="008723EA" w:rsidRPr="005F557F">
              <w:rPr>
                <w:rFonts w:ascii="Times New Roman" w:eastAsia="Times New Roman" w:hAnsi="Times New Roman" w:cs="Times New Roman"/>
                <w:b/>
                <w:bCs/>
                <w:snapToGrid w:val="0"/>
                <w:sz w:val="24"/>
                <w:szCs w:val="24"/>
                <w:lang w:val="fr-FR" w:eastAsia="x-none"/>
              </w:rPr>
              <w:t>Mai 2014</w:t>
            </w:r>
            <w:r w:rsidRPr="005F557F">
              <w:rPr>
                <w:rFonts w:ascii="Times New Roman" w:eastAsia="Times New Roman" w:hAnsi="Times New Roman" w:cs="Times New Roman"/>
                <w:b/>
                <w:bCs/>
                <w:snapToGrid w:val="0"/>
                <w:sz w:val="24"/>
                <w:szCs w:val="24"/>
                <w:lang w:val="fr-FR" w:eastAsia="x-none"/>
              </w:rPr>
              <w:tab/>
            </w:r>
            <w:r w:rsidR="00BB7441" w:rsidRPr="005F557F">
              <w:rPr>
                <w:rFonts w:ascii="Times New Roman" w:eastAsia="Times New Roman" w:hAnsi="Times New Roman" w:cs="Times New Roman"/>
                <w:b/>
                <w:bCs/>
                <w:snapToGrid w:val="0"/>
                <w:sz w:val="24"/>
                <w:szCs w:val="24"/>
                <w:lang w:val="fr-FR" w:eastAsia="x-none"/>
              </w:rPr>
              <w:t xml:space="preserve"> à</w:t>
            </w:r>
            <w:r w:rsidR="003D56DC" w:rsidRPr="005F557F">
              <w:rPr>
                <w:rFonts w:ascii="Times New Roman" w:eastAsia="Times New Roman" w:hAnsi="Times New Roman" w:cs="Times New Roman"/>
                <w:b/>
                <w:bCs/>
                <w:snapToGrid w:val="0"/>
                <w:sz w:val="24"/>
                <w:szCs w:val="24"/>
                <w:lang w:val="fr-FR" w:eastAsia="x-none"/>
              </w:rPr>
              <w:t xml:space="preserve"> </w:t>
            </w:r>
            <w:r w:rsidR="00BB7441" w:rsidRPr="005F557F">
              <w:rPr>
                <w:rFonts w:ascii="Times New Roman" w:eastAsia="Times New Roman" w:hAnsi="Times New Roman" w:cs="Times New Roman"/>
                <w:b/>
                <w:bCs/>
                <w:snapToGrid w:val="0"/>
                <w:sz w:val="24"/>
                <w:szCs w:val="24"/>
                <w:lang w:val="fr-FR" w:eastAsia="x-none"/>
              </w:rPr>
              <w:t>Mars 2015</w:t>
            </w:r>
          </w:p>
        </w:tc>
        <w:tc>
          <w:tcPr>
            <w:tcW w:w="236" w:type="dxa"/>
            <w:tcBorders>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fr-FR" w:eastAsia="x-none"/>
              </w:rPr>
            </w:pPr>
          </w:p>
        </w:tc>
        <w:tc>
          <w:tcPr>
            <w:tcW w:w="4277" w:type="dxa"/>
            <w:tcBorders>
              <w:top w:val="single" w:sz="4" w:space="0" w:color="auto"/>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t>Programme Budget:</w:t>
            </w:r>
            <w:r w:rsidR="008723EA" w:rsidRPr="005F557F">
              <w:rPr>
                <w:rFonts w:ascii="Times New Roman" w:eastAsia="Times New Roman" w:hAnsi="Times New Roman" w:cs="Times New Roman"/>
                <w:b/>
                <w:bCs/>
                <w:snapToGrid w:val="0"/>
                <w:sz w:val="24"/>
                <w:szCs w:val="24"/>
                <w:lang w:val="en-US" w:eastAsia="x-none"/>
              </w:rPr>
              <w:t xml:space="preserve"> </w:t>
            </w:r>
            <w:r w:rsidR="006D6500" w:rsidRPr="005F557F">
              <w:rPr>
                <w:rFonts w:ascii="Times New Roman" w:eastAsia="Times New Roman" w:hAnsi="Times New Roman" w:cs="Times New Roman"/>
                <w:b/>
                <w:bCs/>
                <w:snapToGrid w:val="0"/>
                <w:sz w:val="24"/>
                <w:szCs w:val="24"/>
                <w:lang w:val="en-US" w:eastAsia="x-none"/>
              </w:rPr>
              <w:t>270 316</w:t>
            </w:r>
            <w:r w:rsidR="008723EA" w:rsidRPr="005F557F">
              <w:rPr>
                <w:rFonts w:ascii="Times New Roman" w:eastAsia="Times New Roman" w:hAnsi="Times New Roman" w:cs="Times New Roman"/>
                <w:b/>
                <w:bCs/>
                <w:snapToGrid w:val="0"/>
                <w:sz w:val="24"/>
                <w:szCs w:val="24"/>
                <w:lang w:val="en-US" w:eastAsia="x-none"/>
              </w:rPr>
              <w:t xml:space="preserve"> USD</w:t>
            </w:r>
          </w:p>
        </w:tc>
      </w:tr>
      <w:tr w:rsidR="005F557F" w:rsidRPr="005F557F" w:rsidTr="006D6500">
        <w:trPr>
          <w:trHeight w:val="252"/>
        </w:trPr>
        <w:tc>
          <w:tcPr>
            <w:tcW w:w="4732"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c>
          <w:tcPr>
            <w:tcW w:w="236" w:type="dxa"/>
            <w:tcBorders>
              <w:left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c>
          <w:tcPr>
            <w:tcW w:w="4277" w:type="dxa"/>
            <w:tcBorders>
              <w:left w:val="single" w:sz="4" w:space="0" w:color="auto"/>
              <w:bottom w:val="single" w:sz="4" w:space="0" w:color="auto"/>
              <w:right w:val="single" w:sz="4" w:space="0" w:color="auto"/>
            </w:tcBorders>
          </w:tcPr>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c>
      </w:tr>
    </w:tbl>
    <w:p w:rsidR="00DE0BC6" w:rsidRPr="005F557F" w:rsidRDefault="00DE0BC6" w:rsidP="003D56DC">
      <w:pPr>
        <w:widowControl w:val="0"/>
        <w:spacing w:after="0" w:line="240" w:lineRule="auto"/>
        <w:ind w:hanging="720"/>
        <w:rPr>
          <w:rFonts w:ascii="Times New Roman" w:eastAsia="Times New Roman" w:hAnsi="Times New Roman" w:cs="Times New Roman"/>
          <w:snapToGrid w:val="0"/>
          <w:sz w:val="24"/>
          <w:szCs w:val="24"/>
          <w:lang w:val="en-US"/>
        </w:rPr>
      </w:pPr>
    </w:p>
    <w:tbl>
      <w:tblPr>
        <w:tblW w:w="0" w:type="auto"/>
        <w:tblLook w:val="01E0" w:firstRow="1" w:lastRow="1" w:firstColumn="1" w:lastColumn="1" w:noHBand="0" w:noVBand="0"/>
      </w:tblPr>
      <w:tblGrid>
        <w:gridCol w:w="4579"/>
        <w:gridCol w:w="235"/>
        <w:gridCol w:w="4202"/>
      </w:tblGrid>
      <w:tr w:rsidR="005F557F" w:rsidRPr="005F557F" w:rsidTr="006D6500">
        <w:tc>
          <w:tcPr>
            <w:tcW w:w="4732" w:type="dxa"/>
            <w:tcBorders>
              <w:top w:val="single" w:sz="4" w:space="0" w:color="auto"/>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t>List Implementing Partners:</w:t>
            </w:r>
          </w:p>
        </w:tc>
        <w:tc>
          <w:tcPr>
            <w:tcW w:w="236" w:type="dxa"/>
            <w:tcBorders>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en-US" w:eastAsia="x-none"/>
              </w:rPr>
            </w:pPr>
          </w:p>
        </w:tc>
        <w:tc>
          <w:tcPr>
            <w:tcW w:w="4277" w:type="dxa"/>
            <w:tcBorders>
              <w:top w:val="single" w:sz="4" w:space="0" w:color="auto"/>
              <w:left w:val="single" w:sz="4" w:space="0" w:color="auto"/>
              <w:right w:val="single" w:sz="4" w:space="0" w:color="auto"/>
            </w:tcBorders>
          </w:tcPr>
          <w:p w:rsidR="00DE0BC6" w:rsidRPr="005F557F" w:rsidRDefault="00DE0BC6" w:rsidP="003D56DC">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t>Programme Coverage/Scope:</w:t>
            </w:r>
          </w:p>
        </w:tc>
      </w:tr>
      <w:tr w:rsidR="005F557F" w:rsidRPr="005F557F" w:rsidTr="006D6500">
        <w:trPr>
          <w:trHeight w:val="459"/>
        </w:trPr>
        <w:tc>
          <w:tcPr>
            <w:tcW w:w="4732" w:type="dxa"/>
            <w:tcBorders>
              <w:left w:val="single" w:sz="4" w:space="0" w:color="auto"/>
              <w:bottom w:val="single" w:sz="4" w:space="0" w:color="auto"/>
              <w:right w:val="single" w:sz="4" w:space="0" w:color="auto"/>
            </w:tcBorders>
          </w:tcPr>
          <w:p w:rsidR="008A55C5" w:rsidRPr="005F557F" w:rsidRDefault="008723EA" w:rsidP="008A55C5">
            <w:pPr>
              <w:widowControl w:val="0"/>
              <w:numPr>
                <w:ilvl w:val="0"/>
                <w:numId w:val="2"/>
              </w:numPr>
              <w:tabs>
                <w:tab w:val="clear" w:pos="360"/>
              </w:tabs>
              <w:spacing w:after="0" w:line="240" w:lineRule="auto"/>
              <w:rPr>
                <w:rFonts w:ascii="Times New Roman" w:eastAsia="Times New Roman" w:hAnsi="Times New Roman" w:cs="Times New Roman"/>
                <w:b/>
                <w:i/>
                <w:snapToGrid w:val="0"/>
                <w:sz w:val="24"/>
                <w:szCs w:val="24"/>
                <w:lang w:val="fr-FR"/>
              </w:rPr>
            </w:pPr>
            <w:r w:rsidRPr="005F557F">
              <w:rPr>
                <w:rFonts w:ascii="Times New Roman" w:eastAsia="Times New Roman" w:hAnsi="Times New Roman" w:cs="Times New Roman"/>
                <w:b/>
                <w:i/>
                <w:snapToGrid w:val="0"/>
                <w:sz w:val="24"/>
                <w:szCs w:val="24"/>
                <w:lang w:val="fr-FR"/>
              </w:rPr>
              <w:t>UNICEF</w:t>
            </w:r>
            <w:r w:rsidR="008A55C5" w:rsidRPr="005F557F">
              <w:rPr>
                <w:rFonts w:ascii="Times New Roman" w:eastAsia="Times New Roman" w:hAnsi="Times New Roman" w:cs="Times New Roman"/>
                <w:b/>
                <w:i/>
                <w:snapToGrid w:val="0"/>
                <w:sz w:val="24"/>
                <w:szCs w:val="24"/>
                <w:lang w:val="fr-FR"/>
              </w:rPr>
              <w:t>: Fond des Nations u</w:t>
            </w:r>
            <w:r w:rsidR="003D56DC" w:rsidRPr="005F557F">
              <w:rPr>
                <w:rFonts w:ascii="Times New Roman" w:eastAsia="Times New Roman" w:hAnsi="Times New Roman" w:cs="Times New Roman"/>
                <w:b/>
                <w:i/>
                <w:snapToGrid w:val="0"/>
                <w:sz w:val="24"/>
                <w:szCs w:val="24"/>
                <w:lang w:val="fr-FR"/>
              </w:rPr>
              <w:t xml:space="preserve">nies </w:t>
            </w:r>
            <w:r w:rsidR="008A55C5" w:rsidRPr="005F557F">
              <w:rPr>
                <w:rFonts w:ascii="Times New Roman" w:eastAsia="Times New Roman" w:hAnsi="Times New Roman" w:cs="Times New Roman"/>
                <w:b/>
                <w:i/>
                <w:snapToGrid w:val="0"/>
                <w:sz w:val="24"/>
                <w:szCs w:val="24"/>
                <w:lang w:val="fr-FR"/>
              </w:rPr>
              <w:t>pour l’enfance</w:t>
            </w:r>
          </w:p>
          <w:p w:rsidR="00DE0BC6" w:rsidRPr="005F557F" w:rsidRDefault="00A40A5B" w:rsidP="008A55C5">
            <w:pPr>
              <w:widowControl w:val="0"/>
              <w:numPr>
                <w:ilvl w:val="0"/>
                <w:numId w:val="2"/>
              </w:numPr>
              <w:tabs>
                <w:tab w:val="clear" w:pos="360"/>
              </w:tabs>
              <w:spacing w:after="0" w:line="240" w:lineRule="auto"/>
              <w:rPr>
                <w:rFonts w:ascii="Times New Roman" w:eastAsia="Times New Roman" w:hAnsi="Times New Roman" w:cs="Times New Roman"/>
                <w:b/>
                <w:i/>
                <w:snapToGrid w:val="0"/>
                <w:sz w:val="24"/>
                <w:szCs w:val="24"/>
                <w:lang w:val="fr-FR"/>
              </w:rPr>
            </w:pPr>
            <w:r w:rsidRPr="005F557F">
              <w:rPr>
                <w:rFonts w:ascii="Times New Roman" w:eastAsia="Times New Roman" w:hAnsi="Times New Roman" w:cs="Times New Roman"/>
                <w:b/>
                <w:i/>
                <w:snapToGrid w:val="0"/>
                <w:sz w:val="24"/>
                <w:szCs w:val="24"/>
                <w:lang w:val="fr-FR"/>
              </w:rPr>
              <w:t xml:space="preserve">Ministère de la Santé, </w:t>
            </w:r>
            <w:r w:rsidR="008A55C5" w:rsidRPr="005F557F">
              <w:rPr>
                <w:rFonts w:ascii="Times New Roman" w:eastAsia="Times New Roman" w:hAnsi="Times New Roman" w:cs="Times New Roman"/>
                <w:b/>
                <w:i/>
                <w:snapToGrid w:val="0"/>
                <w:sz w:val="24"/>
                <w:szCs w:val="24"/>
                <w:lang w:val="fr-FR"/>
              </w:rPr>
              <w:t xml:space="preserve"> Division </w:t>
            </w:r>
            <w:r w:rsidR="00F23739" w:rsidRPr="005F557F">
              <w:rPr>
                <w:rFonts w:ascii="Times New Roman" w:eastAsia="Times New Roman" w:hAnsi="Times New Roman" w:cs="Times New Roman"/>
                <w:b/>
                <w:i/>
                <w:snapToGrid w:val="0"/>
                <w:sz w:val="24"/>
                <w:szCs w:val="24"/>
                <w:lang w:val="fr-FR"/>
              </w:rPr>
              <w:t>de l’</w:t>
            </w:r>
            <w:r w:rsidR="008A55C5" w:rsidRPr="005F557F">
              <w:rPr>
                <w:rFonts w:ascii="Times New Roman" w:eastAsia="Times New Roman" w:hAnsi="Times New Roman" w:cs="Times New Roman"/>
                <w:b/>
                <w:i/>
                <w:snapToGrid w:val="0"/>
                <w:sz w:val="24"/>
                <w:szCs w:val="24"/>
                <w:lang w:val="fr-FR"/>
              </w:rPr>
              <w:t xml:space="preserve">Alimentation et </w:t>
            </w:r>
            <w:r w:rsidR="00F23739" w:rsidRPr="005F557F">
              <w:rPr>
                <w:rFonts w:ascii="Times New Roman" w:eastAsia="Times New Roman" w:hAnsi="Times New Roman" w:cs="Times New Roman"/>
                <w:b/>
                <w:i/>
                <w:snapToGrid w:val="0"/>
                <w:sz w:val="24"/>
                <w:szCs w:val="24"/>
                <w:lang w:val="fr-FR"/>
              </w:rPr>
              <w:t xml:space="preserve">de la </w:t>
            </w:r>
            <w:r w:rsidR="008A55C5" w:rsidRPr="005F557F">
              <w:rPr>
                <w:rFonts w:ascii="Times New Roman" w:eastAsia="Times New Roman" w:hAnsi="Times New Roman" w:cs="Times New Roman"/>
                <w:b/>
                <w:i/>
                <w:snapToGrid w:val="0"/>
                <w:sz w:val="24"/>
                <w:szCs w:val="24"/>
                <w:lang w:val="fr-FR"/>
              </w:rPr>
              <w:t xml:space="preserve">Nutrition </w:t>
            </w:r>
          </w:p>
          <w:p w:rsidR="00F23739" w:rsidRPr="005F557F" w:rsidRDefault="008A55C5" w:rsidP="003D56DC">
            <w:pPr>
              <w:widowControl w:val="0"/>
              <w:numPr>
                <w:ilvl w:val="0"/>
                <w:numId w:val="2"/>
              </w:numPr>
              <w:tabs>
                <w:tab w:val="clear" w:pos="360"/>
              </w:tabs>
              <w:spacing w:after="0" w:line="240" w:lineRule="auto"/>
              <w:rPr>
                <w:rFonts w:ascii="Times New Roman" w:eastAsia="Times New Roman" w:hAnsi="Times New Roman" w:cs="Times New Roman"/>
                <w:b/>
                <w:i/>
                <w:snapToGrid w:val="0"/>
                <w:sz w:val="24"/>
                <w:szCs w:val="24"/>
                <w:lang w:val="fr-FR"/>
              </w:rPr>
            </w:pPr>
            <w:r w:rsidRPr="005F557F">
              <w:rPr>
                <w:rFonts w:ascii="Times New Roman" w:eastAsia="Times New Roman" w:hAnsi="Times New Roman" w:cs="Times New Roman"/>
                <w:b/>
                <w:i/>
                <w:snapToGrid w:val="0"/>
                <w:sz w:val="24"/>
                <w:szCs w:val="24"/>
                <w:lang w:val="fr-FR"/>
              </w:rPr>
              <w:t xml:space="preserve">Tdh : </w:t>
            </w:r>
            <w:r w:rsidR="008723EA" w:rsidRPr="005F557F">
              <w:rPr>
                <w:rFonts w:ascii="Times New Roman" w:eastAsia="Times New Roman" w:hAnsi="Times New Roman" w:cs="Times New Roman"/>
                <w:b/>
                <w:i/>
                <w:snapToGrid w:val="0"/>
                <w:sz w:val="24"/>
                <w:szCs w:val="24"/>
                <w:lang w:val="fr-FR"/>
              </w:rPr>
              <w:t>Terre des hommes</w:t>
            </w:r>
            <w:r w:rsidR="00842497" w:rsidRPr="005F557F">
              <w:rPr>
                <w:rFonts w:ascii="Times New Roman" w:eastAsia="Times New Roman" w:hAnsi="Times New Roman" w:cs="Times New Roman"/>
                <w:b/>
                <w:i/>
                <w:snapToGrid w:val="0"/>
                <w:sz w:val="24"/>
                <w:szCs w:val="24"/>
                <w:lang w:val="fr-FR"/>
              </w:rPr>
              <w:t xml:space="preserve"> </w:t>
            </w:r>
          </w:p>
          <w:p w:rsidR="003D56DC" w:rsidRPr="005F557F" w:rsidRDefault="008723EA" w:rsidP="003D56DC">
            <w:pPr>
              <w:widowControl w:val="0"/>
              <w:numPr>
                <w:ilvl w:val="0"/>
                <w:numId w:val="2"/>
              </w:numPr>
              <w:tabs>
                <w:tab w:val="clear" w:pos="360"/>
              </w:tabs>
              <w:spacing w:after="0" w:line="240" w:lineRule="auto"/>
              <w:rPr>
                <w:rFonts w:ascii="Times New Roman" w:eastAsia="Times New Roman" w:hAnsi="Times New Roman" w:cs="Times New Roman"/>
                <w:b/>
                <w:i/>
                <w:snapToGrid w:val="0"/>
                <w:sz w:val="24"/>
                <w:szCs w:val="24"/>
                <w:lang w:val="fr-FR"/>
              </w:rPr>
            </w:pPr>
            <w:r w:rsidRPr="005F557F">
              <w:rPr>
                <w:rFonts w:ascii="Times New Roman" w:eastAsia="Times New Roman" w:hAnsi="Times New Roman" w:cs="Times New Roman"/>
                <w:b/>
                <w:i/>
                <w:snapToGrid w:val="0"/>
                <w:sz w:val="24"/>
                <w:szCs w:val="24"/>
                <w:lang w:val="fr-FR"/>
              </w:rPr>
              <w:t xml:space="preserve">Conseil National des Organisations de la Société Civile </w:t>
            </w:r>
            <w:r w:rsidR="003D0921" w:rsidRPr="005F557F">
              <w:rPr>
                <w:rFonts w:ascii="Times New Roman" w:eastAsia="Times New Roman" w:hAnsi="Times New Roman" w:cs="Times New Roman"/>
                <w:b/>
                <w:i/>
                <w:snapToGrid w:val="0"/>
                <w:sz w:val="24"/>
                <w:szCs w:val="24"/>
                <w:lang w:val="fr-FR"/>
              </w:rPr>
              <w:t xml:space="preserve">Guinéenne </w:t>
            </w:r>
            <w:r w:rsidRPr="005F557F">
              <w:rPr>
                <w:rFonts w:ascii="Times New Roman" w:eastAsia="Times New Roman" w:hAnsi="Times New Roman" w:cs="Times New Roman"/>
                <w:b/>
                <w:i/>
                <w:snapToGrid w:val="0"/>
                <w:sz w:val="24"/>
                <w:szCs w:val="24"/>
                <w:lang w:val="fr-FR"/>
              </w:rPr>
              <w:t>(CNOSCG)</w:t>
            </w:r>
            <w:r w:rsidR="003D56DC" w:rsidRPr="005F557F">
              <w:rPr>
                <w:rFonts w:ascii="Times New Roman" w:hAnsi="Times New Roman" w:cs="Times New Roman"/>
                <w:b/>
                <w:bCs/>
                <w:sz w:val="24"/>
                <w:szCs w:val="24"/>
                <w:lang w:val="fr-FR"/>
              </w:rPr>
              <w:t xml:space="preserve"> </w:t>
            </w:r>
          </w:p>
          <w:p w:rsidR="00DE0BC6" w:rsidRPr="005F557F" w:rsidRDefault="00DE0BC6" w:rsidP="00F23739">
            <w:pPr>
              <w:widowControl w:val="0"/>
              <w:spacing w:after="0" w:line="240" w:lineRule="auto"/>
              <w:ind w:left="360"/>
              <w:rPr>
                <w:rFonts w:ascii="Times New Roman" w:eastAsia="Times New Roman" w:hAnsi="Times New Roman" w:cs="Times New Roman"/>
                <w:snapToGrid w:val="0"/>
                <w:sz w:val="24"/>
                <w:szCs w:val="24"/>
                <w:lang w:val="fr-FR"/>
              </w:rPr>
            </w:pPr>
          </w:p>
        </w:tc>
        <w:tc>
          <w:tcPr>
            <w:tcW w:w="236" w:type="dxa"/>
            <w:tcBorders>
              <w:left w:val="single" w:sz="4" w:space="0" w:color="auto"/>
              <w:right w:val="single" w:sz="4" w:space="0" w:color="auto"/>
            </w:tcBorders>
          </w:tcPr>
          <w:p w:rsidR="00DE0BC6" w:rsidRPr="005F557F" w:rsidRDefault="00DE0BC6" w:rsidP="003D56DC">
            <w:pPr>
              <w:widowControl w:val="0"/>
              <w:spacing w:after="0" w:line="240" w:lineRule="auto"/>
              <w:rPr>
                <w:rFonts w:ascii="Times New Roman" w:eastAsia="Times New Roman" w:hAnsi="Times New Roman" w:cs="Times New Roman"/>
                <w:snapToGrid w:val="0"/>
                <w:sz w:val="24"/>
                <w:szCs w:val="24"/>
                <w:lang w:val="fr-FR"/>
              </w:rPr>
            </w:pPr>
          </w:p>
        </w:tc>
        <w:tc>
          <w:tcPr>
            <w:tcW w:w="4277" w:type="dxa"/>
            <w:tcBorders>
              <w:left w:val="single" w:sz="4" w:space="0" w:color="auto"/>
              <w:bottom w:val="single" w:sz="4" w:space="0" w:color="auto"/>
              <w:right w:val="single" w:sz="4" w:space="0" w:color="auto"/>
            </w:tcBorders>
          </w:tcPr>
          <w:p w:rsidR="00DE0BC6" w:rsidRPr="005F557F" w:rsidRDefault="00DE0BC6" w:rsidP="00A40A5B">
            <w:pPr>
              <w:widowControl w:val="0"/>
              <w:spacing w:after="0" w:line="240" w:lineRule="auto"/>
              <w:rPr>
                <w:rFonts w:ascii="Times New Roman" w:eastAsia="Times New Roman" w:hAnsi="Times New Roman" w:cs="Times New Roman"/>
                <w:i/>
                <w:snapToGrid w:val="0"/>
                <w:sz w:val="24"/>
                <w:szCs w:val="24"/>
                <w:lang w:val="en-US"/>
              </w:rPr>
            </w:pPr>
            <w:r w:rsidRPr="005F557F">
              <w:rPr>
                <w:rFonts w:ascii="Times New Roman" w:eastAsia="Times New Roman" w:hAnsi="Times New Roman" w:cs="Times New Roman"/>
                <w:i/>
                <w:snapToGrid w:val="0"/>
                <w:sz w:val="24"/>
                <w:szCs w:val="24"/>
                <w:lang w:val="en-US"/>
              </w:rPr>
              <w:t>Specify in which region and/or national</w:t>
            </w:r>
            <w:r w:rsidR="003D0921" w:rsidRPr="005F557F">
              <w:rPr>
                <w:rFonts w:ascii="Times New Roman" w:eastAsia="Times New Roman" w:hAnsi="Times New Roman" w:cs="Times New Roman"/>
                <w:i/>
                <w:snapToGrid w:val="0"/>
                <w:sz w:val="24"/>
                <w:szCs w:val="24"/>
                <w:lang w:val="en-US"/>
              </w:rPr>
              <w:t xml:space="preserve"> coverage/scope of the program</w:t>
            </w:r>
            <w:r w:rsidR="0049632A" w:rsidRPr="005F557F">
              <w:rPr>
                <w:rFonts w:ascii="Times New Roman" w:eastAsia="Times New Roman" w:hAnsi="Times New Roman" w:cs="Times New Roman"/>
                <w:i/>
                <w:snapToGrid w:val="0"/>
                <w:sz w:val="24"/>
                <w:szCs w:val="24"/>
                <w:lang w:val="en-US"/>
              </w:rPr>
              <w:t>me</w:t>
            </w:r>
            <w:r w:rsidRPr="005F557F">
              <w:rPr>
                <w:rFonts w:ascii="Times New Roman" w:eastAsia="Times New Roman" w:hAnsi="Times New Roman" w:cs="Times New Roman"/>
                <w:i/>
                <w:snapToGrid w:val="0"/>
                <w:sz w:val="24"/>
                <w:szCs w:val="24"/>
                <w:lang w:val="en-US"/>
              </w:rPr>
              <w:t xml:space="preserve"> </w:t>
            </w:r>
            <w:r w:rsidR="003D0921" w:rsidRPr="005F557F">
              <w:rPr>
                <w:rFonts w:ascii="Times New Roman" w:eastAsia="Times New Roman" w:hAnsi="Times New Roman" w:cs="Times New Roman"/>
                <w:i/>
                <w:snapToGrid w:val="0"/>
                <w:sz w:val="24"/>
                <w:szCs w:val="24"/>
                <w:lang w:val="en-US"/>
              </w:rPr>
              <w:t>:</w:t>
            </w:r>
            <w:r w:rsidR="006B6273" w:rsidRPr="005F557F">
              <w:rPr>
                <w:rFonts w:ascii="Times New Roman" w:eastAsia="Times New Roman" w:hAnsi="Times New Roman" w:cs="Times New Roman"/>
                <w:i/>
                <w:snapToGrid w:val="0"/>
                <w:sz w:val="24"/>
                <w:szCs w:val="24"/>
                <w:lang w:val="en-US"/>
              </w:rPr>
              <w:t xml:space="preserve"> </w:t>
            </w:r>
            <w:r w:rsidR="00A40A5B" w:rsidRPr="005F557F">
              <w:rPr>
                <w:rFonts w:ascii="Times New Roman" w:eastAsia="Times New Roman" w:hAnsi="Times New Roman" w:cs="Times New Roman"/>
                <w:i/>
                <w:snapToGrid w:val="0"/>
                <w:sz w:val="24"/>
                <w:szCs w:val="24"/>
                <w:lang w:val="en-US"/>
              </w:rPr>
              <w:t>Nationale</w:t>
            </w:r>
            <w:r w:rsidR="003D0921" w:rsidRPr="005F557F">
              <w:rPr>
                <w:rFonts w:ascii="Times New Roman" w:eastAsia="Times New Roman" w:hAnsi="Times New Roman" w:cs="Times New Roman"/>
                <w:i/>
                <w:snapToGrid w:val="0"/>
                <w:sz w:val="24"/>
                <w:szCs w:val="24"/>
                <w:lang w:val="en-US"/>
              </w:rPr>
              <w:t xml:space="preserve"> </w:t>
            </w:r>
          </w:p>
        </w:tc>
      </w:tr>
    </w:tbl>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lang w:val="en-US"/>
        </w:rPr>
      </w:pPr>
    </w:p>
    <w:tbl>
      <w:tblPr>
        <w:tblW w:w="0" w:type="auto"/>
        <w:tblLook w:val="01E0" w:firstRow="1" w:lastRow="1" w:firstColumn="1" w:lastColumn="1" w:noHBand="0" w:noVBand="0"/>
      </w:tblPr>
      <w:tblGrid>
        <w:gridCol w:w="4632"/>
        <w:gridCol w:w="235"/>
        <w:gridCol w:w="4149"/>
      </w:tblGrid>
      <w:tr w:rsidR="005F557F" w:rsidRPr="005F557F" w:rsidTr="006D6500">
        <w:tc>
          <w:tcPr>
            <w:tcW w:w="4732" w:type="dxa"/>
            <w:tcBorders>
              <w:top w:val="single" w:sz="4" w:space="0" w:color="auto"/>
              <w:left w:val="single" w:sz="4" w:space="0" w:color="auto"/>
              <w:right w:val="single" w:sz="4" w:space="0" w:color="auto"/>
            </w:tcBorders>
          </w:tcPr>
          <w:p w:rsidR="00DE0BC6" w:rsidRPr="005F557F" w:rsidRDefault="00DE0BC6" w:rsidP="005A153F">
            <w:pPr>
              <w:keepNext/>
              <w:widowControl w:val="0"/>
              <w:spacing w:after="0" w:line="240" w:lineRule="auto"/>
              <w:ind w:left="720" w:right="900" w:hanging="720"/>
              <w:jc w:val="both"/>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lastRenderedPageBreak/>
              <w:t>Abbreviations and acronyms:</w:t>
            </w:r>
          </w:p>
        </w:tc>
        <w:tc>
          <w:tcPr>
            <w:tcW w:w="236" w:type="dxa"/>
            <w:tcBorders>
              <w:left w:val="single" w:sz="4" w:space="0" w:color="auto"/>
              <w:right w:val="single" w:sz="4" w:space="0" w:color="auto"/>
            </w:tcBorders>
          </w:tcPr>
          <w:p w:rsidR="00DE0BC6" w:rsidRPr="005F557F" w:rsidRDefault="00DE0BC6" w:rsidP="005A153F">
            <w:pPr>
              <w:keepNext/>
              <w:widowControl w:val="0"/>
              <w:spacing w:after="0" w:line="240" w:lineRule="auto"/>
              <w:ind w:left="720" w:right="900" w:hanging="720"/>
              <w:jc w:val="both"/>
              <w:outlineLvl w:val="1"/>
              <w:rPr>
                <w:rFonts w:ascii="Times New Roman" w:eastAsia="Times New Roman" w:hAnsi="Times New Roman" w:cs="Times New Roman"/>
                <w:b/>
                <w:bCs/>
                <w:snapToGrid w:val="0"/>
                <w:sz w:val="24"/>
                <w:szCs w:val="24"/>
                <w:lang w:val="en-US" w:eastAsia="x-none"/>
              </w:rPr>
            </w:pPr>
          </w:p>
        </w:tc>
        <w:tc>
          <w:tcPr>
            <w:tcW w:w="4277" w:type="dxa"/>
            <w:tcBorders>
              <w:top w:val="single" w:sz="4" w:space="0" w:color="auto"/>
              <w:left w:val="single" w:sz="4" w:space="0" w:color="auto"/>
              <w:right w:val="single" w:sz="4" w:space="0" w:color="auto"/>
            </w:tcBorders>
          </w:tcPr>
          <w:p w:rsidR="00DE0BC6" w:rsidRPr="005F557F" w:rsidRDefault="00F23739" w:rsidP="00F23739">
            <w:pPr>
              <w:keepNext/>
              <w:widowControl w:val="0"/>
              <w:spacing w:after="0" w:line="240" w:lineRule="auto"/>
              <w:ind w:right="29"/>
              <w:outlineLvl w:val="1"/>
              <w:rPr>
                <w:rFonts w:ascii="Times New Roman" w:eastAsia="Times New Roman" w:hAnsi="Times New Roman" w:cs="Times New Roman"/>
                <w:b/>
                <w:bCs/>
                <w:snapToGrid w:val="0"/>
                <w:sz w:val="24"/>
                <w:szCs w:val="24"/>
                <w:lang w:val="en-US" w:eastAsia="x-none"/>
              </w:rPr>
            </w:pPr>
            <w:r w:rsidRPr="005F557F">
              <w:rPr>
                <w:rFonts w:ascii="Times New Roman" w:eastAsia="Times New Roman" w:hAnsi="Times New Roman" w:cs="Times New Roman"/>
                <w:b/>
                <w:bCs/>
                <w:snapToGrid w:val="0"/>
                <w:sz w:val="24"/>
                <w:szCs w:val="24"/>
                <w:lang w:val="en-US" w:eastAsia="x-none"/>
              </w:rPr>
              <w:t xml:space="preserve">Programme </w:t>
            </w:r>
            <w:r w:rsidR="00DE0BC6" w:rsidRPr="005F557F">
              <w:rPr>
                <w:rFonts w:ascii="Times New Roman" w:eastAsia="Times New Roman" w:hAnsi="Times New Roman" w:cs="Times New Roman"/>
                <w:b/>
                <w:bCs/>
                <w:snapToGrid w:val="0"/>
                <w:sz w:val="24"/>
                <w:szCs w:val="24"/>
                <w:lang w:val="en-US" w:eastAsia="x-none"/>
              </w:rPr>
              <w:t>Duration/Closed Programme:</w:t>
            </w:r>
          </w:p>
        </w:tc>
      </w:tr>
      <w:tr w:rsidR="005F557F" w:rsidRPr="005F557F" w:rsidTr="006D6500">
        <w:trPr>
          <w:trHeight w:val="702"/>
        </w:trPr>
        <w:tc>
          <w:tcPr>
            <w:tcW w:w="4732" w:type="dxa"/>
            <w:tcBorders>
              <w:left w:val="single" w:sz="4" w:space="0" w:color="auto"/>
              <w:bottom w:val="single" w:sz="4" w:space="0" w:color="auto"/>
              <w:right w:val="single" w:sz="4" w:space="0" w:color="auto"/>
            </w:tcBorders>
          </w:tcPr>
          <w:p w:rsidR="00994AC1" w:rsidRPr="005F557F" w:rsidRDefault="00DE0BC6" w:rsidP="005A153F">
            <w:pPr>
              <w:widowControl w:val="0"/>
              <w:spacing w:after="0" w:line="240" w:lineRule="auto"/>
              <w:jc w:val="both"/>
              <w:rPr>
                <w:rFonts w:ascii="Times New Roman" w:eastAsia="Times New Roman" w:hAnsi="Times New Roman" w:cs="Times New Roman"/>
                <w:i/>
                <w:snapToGrid w:val="0"/>
                <w:sz w:val="24"/>
                <w:szCs w:val="24"/>
                <w:lang w:val="en-US"/>
              </w:rPr>
            </w:pPr>
            <w:r w:rsidRPr="005F557F">
              <w:rPr>
                <w:rFonts w:ascii="Times New Roman" w:eastAsia="Times New Roman" w:hAnsi="Times New Roman" w:cs="Times New Roman"/>
                <w:i/>
                <w:snapToGrid w:val="0"/>
                <w:sz w:val="24"/>
                <w:szCs w:val="24"/>
                <w:lang w:val="en-US"/>
              </w:rPr>
              <w:t>List the main abbreviations and acronyms that are used in the report.</w:t>
            </w:r>
          </w:p>
          <w:p w:rsidR="00DF6192" w:rsidRPr="005F557F" w:rsidRDefault="00DF6192" w:rsidP="00DF6192">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bCs/>
                <w:i/>
                <w:snapToGrid w:val="0"/>
                <w:sz w:val="24"/>
                <w:szCs w:val="24"/>
                <w:lang w:val="fr-FR"/>
              </w:rPr>
              <w:t>AFEM </w:t>
            </w:r>
            <w:r w:rsidRPr="005F557F">
              <w:rPr>
                <w:rFonts w:ascii="Times New Roman" w:eastAsia="Times New Roman" w:hAnsi="Times New Roman" w:cs="Times New Roman"/>
                <w:bCs/>
                <w:i/>
                <w:snapToGrid w:val="0"/>
                <w:sz w:val="24"/>
                <w:szCs w:val="24"/>
                <w:lang w:val="fr-FR"/>
              </w:rPr>
              <w:t>:</w:t>
            </w:r>
            <w:r w:rsidRPr="005F557F">
              <w:rPr>
                <w:rFonts w:ascii="Times New Roman" w:eastAsia="Times New Roman" w:hAnsi="Times New Roman" w:cs="Times New Roman"/>
                <w:i/>
                <w:snapToGrid w:val="0"/>
                <w:sz w:val="24"/>
                <w:szCs w:val="24"/>
                <w:lang w:val="fr-FR"/>
              </w:rPr>
              <w:t xml:space="preserve"> Alliance Femmes et Medias</w:t>
            </w:r>
          </w:p>
          <w:p w:rsidR="003D0921" w:rsidRPr="005F557F" w:rsidRDefault="00994AC1" w:rsidP="00994AC1">
            <w:pPr>
              <w:widowControl w:val="0"/>
              <w:spacing w:after="0" w:line="240" w:lineRule="auto"/>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bCs/>
                <w:i/>
                <w:snapToGrid w:val="0"/>
                <w:sz w:val="24"/>
                <w:szCs w:val="24"/>
                <w:lang w:val="fr-FR"/>
              </w:rPr>
              <w:t>AVODER </w:t>
            </w:r>
            <w:r w:rsidRPr="005F557F">
              <w:rPr>
                <w:rFonts w:ascii="Times New Roman" w:eastAsia="Times New Roman" w:hAnsi="Times New Roman" w:cs="Times New Roman"/>
                <w:i/>
                <w:snapToGrid w:val="0"/>
                <w:sz w:val="24"/>
                <w:szCs w:val="24"/>
                <w:lang w:val="fr-FR"/>
              </w:rPr>
              <w:t>: Association des Volontaires pour le Développement Rural.</w:t>
            </w:r>
            <w:r w:rsidR="00DE0BC6" w:rsidRPr="005F557F">
              <w:rPr>
                <w:rFonts w:ascii="Times New Roman" w:eastAsia="Times New Roman" w:hAnsi="Times New Roman" w:cs="Times New Roman"/>
                <w:i/>
                <w:snapToGrid w:val="0"/>
                <w:sz w:val="24"/>
                <w:szCs w:val="24"/>
                <w:lang w:val="fr-FR"/>
              </w:rPr>
              <w:t xml:space="preserve"> </w:t>
            </w:r>
          </w:p>
          <w:p w:rsidR="003D0921" w:rsidRPr="005F557F" w:rsidRDefault="003D0921"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CNOSCG :</w:t>
            </w:r>
            <w:r w:rsidRPr="005F557F">
              <w:rPr>
                <w:rFonts w:ascii="Times New Roman" w:eastAsia="Times New Roman" w:hAnsi="Times New Roman" w:cs="Times New Roman"/>
                <w:i/>
                <w:snapToGrid w:val="0"/>
                <w:sz w:val="24"/>
                <w:szCs w:val="24"/>
                <w:lang w:val="fr-FR"/>
              </w:rPr>
              <w:t xml:space="preserve"> Conseil National des Organisations de la Société Civile Guinéenne</w:t>
            </w:r>
          </w:p>
          <w:p w:rsidR="00DF6192" w:rsidRPr="005F557F" w:rsidRDefault="00DF6192" w:rsidP="00DF6192">
            <w:pPr>
              <w:widowControl w:val="0"/>
              <w:spacing w:after="0" w:line="240" w:lineRule="auto"/>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bCs/>
                <w:i/>
                <w:snapToGrid w:val="0"/>
                <w:sz w:val="24"/>
                <w:szCs w:val="24"/>
                <w:lang w:val="fr-FR"/>
              </w:rPr>
              <w:t>CONAG/DCF</w:t>
            </w:r>
            <w:r w:rsidRPr="005F557F">
              <w:rPr>
                <w:rFonts w:ascii="Times New Roman" w:eastAsia="Times New Roman" w:hAnsi="Times New Roman" w:cs="Times New Roman"/>
                <w:bCs/>
                <w:i/>
                <w:snapToGrid w:val="0"/>
                <w:sz w:val="24"/>
                <w:szCs w:val="24"/>
                <w:lang w:val="fr-FR"/>
              </w:rPr>
              <w:t> :</w:t>
            </w:r>
            <w:r w:rsidRPr="005F557F">
              <w:rPr>
                <w:rFonts w:ascii="Times New Roman" w:eastAsia="Times New Roman" w:hAnsi="Times New Roman" w:cs="Times New Roman"/>
                <w:i/>
                <w:snapToGrid w:val="0"/>
                <w:sz w:val="24"/>
                <w:szCs w:val="24"/>
                <w:lang w:val="fr-FR"/>
              </w:rPr>
              <w:t xml:space="preserve"> Coalition Nationale de Guinée pour les Droits et la                                 Citoyenneté des Femmes. </w:t>
            </w:r>
          </w:p>
          <w:p w:rsidR="0049632A" w:rsidRPr="005F557F" w:rsidRDefault="0049632A"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DAN</w:t>
            </w:r>
            <w:r w:rsidRPr="005F557F">
              <w:rPr>
                <w:rFonts w:ascii="Times New Roman" w:eastAsia="Times New Roman" w:hAnsi="Times New Roman" w:cs="Times New Roman"/>
                <w:i/>
                <w:snapToGrid w:val="0"/>
                <w:sz w:val="24"/>
                <w:szCs w:val="24"/>
                <w:lang w:val="fr-FR"/>
              </w:rPr>
              <w:t> :</w:t>
            </w:r>
            <w:r w:rsidR="00DD2EEB" w:rsidRPr="005F557F">
              <w:rPr>
                <w:rFonts w:ascii="Times New Roman" w:eastAsia="Times New Roman" w:hAnsi="Times New Roman" w:cs="Times New Roman"/>
                <w:i/>
                <w:snapToGrid w:val="0"/>
                <w:sz w:val="24"/>
                <w:szCs w:val="24"/>
                <w:lang w:val="fr-FR"/>
              </w:rPr>
              <w:t xml:space="preserve"> </w:t>
            </w:r>
            <w:r w:rsidRPr="005F557F">
              <w:rPr>
                <w:rFonts w:ascii="Times New Roman" w:eastAsia="Times New Roman" w:hAnsi="Times New Roman" w:cs="Times New Roman"/>
                <w:i/>
                <w:snapToGrid w:val="0"/>
                <w:sz w:val="24"/>
                <w:szCs w:val="24"/>
                <w:lang w:val="fr-FR"/>
              </w:rPr>
              <w:t>Division Alimentation et Nutrition</w:t>
            </w:r>
          </w:p>
          <w:p w:rsidR="002971C9" w:rsidRPr="005F557F" w:rsidRDefault="002971C9"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FAO :</w:t>
            </w:r>
            <w:r w:rsidRPr="005F557F">
              <w:rPr>
                <w:rFonts w:ascii="Times New Roman" w:eastAsia="Times New Roman" w:hAnsi="Times New Roman" w:cs="Times New Roman"/>
                <w:i/>
                <w:snapToGrid w:val="0"/>
                <w:sz w:val="24"/>
                <w:szCs w:val="24"/>
                <w:lang w:val="fr-FR"/>
              </w:rPr>
              <w:t xml:space="preserve"> Fond des Nations unies pour l’alimentation</w:t>
            </w:r>
          </w:p>
          <w:p w:rsidR="00A90E5D" w:rsidRPr="005F557F" w:rsidRDefault="00A90E5D"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GTR :</w:t>
            </w:r>
            <w:r w:rsidRPr="005F557F">
              <w:rPr>
                <w:rFonts w:ascii="Times New Roman" w:eastAsia="Times New Roman" w:hAnsi="Times New Roman" w:cs="Times New Roman"/>
                <w:i/>
                <w:snapToGrid w:val="0"/>
                <w:sz w:val="24"/>
                <w:szCs w:val="24"/>
                <w:lang w:val="fr-FR"/>
              </w:rPr>
              <w:t xml:space="preserve"> Groupe de Travail et de Réflexion</w:t>
            </w:r>
          </w:p>
          <w:p w:rsidR="002971C9" w:rsidRPr="005F557F" w:rsidRDefault="002971C9"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HKI :</w:t>
            </w:r>
            <w:r w:rsidRPr="005F557F">
              <w:rPr>
                <w:rFonts w:ascii="Times New Roman" w:eastAsia="Times New Roman" w:hAnsi="Times New Roman" w:cs="Times New Roman"/>
                <w:i/>
                <w:snapToGrid w:val="0"/>
                <w:sz w:val="24"/>
                <w:szCs w:val="24"/>
                <w:lang w:val="fr-FR"/>
              </w:rPr>
              <w:t xml:space="preserve"> Helen Keler International</w:t>
            </w:r>
          </w:p>
          <w:p w:rsidR="003D0921" w:rsidRPr="005F557F" w:rsidRDefault="003D0921"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OSC:</w:t>
            </w:r>
            <w:r w:rsidRPr="005F557F">
              <w:rPr>
                <w:rFonts w:ascii="Times New Roman" w:eastAsia="Times New Roman" w:hAnsi="Times New Roman" w:cs="Times New Roman"/>
                <w:i/>
                <w:snapToGrid w:val="0"/>
                <w:sz w:val="24"/>
                <w:szCs w:val="24"/>
                <w:lang w:val="fr-FR"/>
              </w:rPr>
              <w:t xml:space="preserve"> Organisation de la Société Civile</w:t>
            </w:r>
          </w:p>
          <w:p w:rsidR="00DF6192" w:rsidRPr="005F557F" w:rsidRDefault="00DF6192"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bCs/>
                <w:i/>
                <w:snapToGrid w:val="0"/>
                <w:sz w:val="24"/>
                <w:szCs w:val="24"/>
                <w:lang w:val="fr-FR"/>
              </w:rPr>
              <w:t>RAJGUI :</w:t>
            </w:r>
            <w:r w:rsidRPr="005F557F">
              <w:rPr>
                <w:rFonts w:ascii="Times New Roman" w:eastAsia="Times New Roman" w:hAnsi="Times New Roman" w:cs="Times New Roman"/>
                <w:i/>
                <w:snapToGrid w:val="0"/>
                <w:sz w:val="24"/>
                <w:szCs w:val="24"/>
                <w:lang w:val="fr-FR"/>
              </w:rPr>
              <w:t xml:space="preserve"> Réseau Afrique Jeunesse de Guinée</w:t>
            </w:r>
          </w:p>
          <w:p w:rsidR="00DF6192" w:rsidRPr="005F557F" w:rsidRDefault="00DF2AD4"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bCs/>
                <w:i/>
                <w:snapToGrid w:val="0"/>
                <w:sz w:val="24"/>
                <w:szCs w:val="24"/>
                <w:lang w:val="fr-FR"/>
              </w:rPr>
              <w:t>REGOSA :</w:t>
            </w:r>
            <w:r w:rsidRPr="005F557F">
              <w:rPr>
                <w:rFonts w:ascii="Times New Roman" w:eastAsia="Times New Roman" w:hAnsi="Times New Roman" w:cs="Times New Roman"/>
                <w:i/>
                <w:snapToGrid w:val="0"/>
                <w:sz w:val="24"/>
                <w:szCs w:val="24"/>
                <w:lang w:val="fr-FR"/>
              </w:rPr>
              <w:t xml:space="preserve"> Réseau Guinéen des Opérateurs Economiques du Secteur Agroalimentaire</w:t>
            </w:r>
          </w:p>
          <w:p w:rsidR="003D0921" w:rsidRPr="005F557F" w:rsidRDefault="003D0921" w:rsidP="005A153F">
            <w:pPr>
              <w:widowControl w:val="0"/>
              <w:spacing w:after="0" w:line="240" w:lineRule="auto"/>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b/>
                <w:i/>
                <w:snapToGrid w:val="0"/>
                <w:sz w:val="24"/>
                <w:szCs w:val="24"/>
                <w:lang w:val="fr-FR"/>
              </w:rPr>
              <w:t>Tdh:</w:t>
            </w:r>
            <w:r w:rsidRPr="005F557F">
              <w:rPr>
                <w:rFonts w:ascii="Times New Roman" w:eastAsia="Times New Roman" w:hAnsi="Times New Roman" w:cs="Times New Roman"/>
                <w:i/>
                <w:snapToGrid w:val="0"/>
                <w:sz w:val="24"/>
                <w:szCs w:val="24"/>
                <w:lang w:val="fr-FR"/>
              </w:rPr>
              <w:t xml:space="preserve"> Terre des hommes</w:t>
            </w:r>
          </w:p>
          <w:p w:rsidR="003D0921" w:rsidRPr="005F557F" w:rsidRDefault="003D0921" w:rsidP="005A153F">
            <w:pPr>
              <w:widowControl w:val="0"/>
              <w:spacing w:after="0" w:line="240" w:lineRule="auto"/>
              <w:jc w:val="both"/>
              <w:rPr>
                <w:rFonts w:ascii="Times New Roman" w:eastAsia="Times New Roman" w:hAnsi="Times New Roman" w:cs="Times New Roman"/>
                <w:i/>
                <w:snapToGrid w:val="0"/>
                <w:sz w:val="24"/>
                <w:szCs w:val="24"/>
                <w:lang w:val="fr-FR"/>
              </w:rPr>
            </w:pPr>
          </w:p>
        </w:tc>
        <w:tc>
          <w:tcPr>
            <w:tcW w:w="236" w:type="dxa"/>
            <w:tcBorders>
              <w:left w:val="single" w:sz="4" w:space="0" w:color="auto"/>
              <w:right w:val="single" w:sz="4" w:space="0" w:color="auto"/>
            </w:tcBorders>
          </w:tcPr>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lang w:val="fr-FR"/>
              </w:rPr>
            </w:pPr>
          </w:p>
        </w:tc>
        <w:tc>
          <w:tcPr>
            <w:tcW w:w="4277" w:type="dxa"/>
            <w:tcBorders>
              <w:left w:val="single" w:sz="4" w:space="0" w:color="auto"/>
              <w:bottom w:val="single" w:sz="4" w:space="0" w:color="auto"/>
              <w:right w:val="single" w:sz="4" w:space="0" w:color="auto"/>
            </w:tcBorders>
          </w:tcPr>
          <w:p w:rsidR="00DE0BC6" w:rsidRPr="005F557F" w:rsidRDefault="00DE0BC6" w:rsidP="005A153F">
            <w:pPr>
              <w:widowControl w:val="0"/>
              <w:numPr>
                <w:ilvl w:val="0"/>
                <w:numId w:val="1"/>
              </w:numPr>
              <w:spacing w:before="60" w:after="60" w:line="240" w:lineRule="auto"/>
              <w:ind w:left="432"/>
              <w:jc w:val="both"/>
              <w:rPr>
                <w:rFonts w:ascii="Times New Roman" w:eastAsia="Times New Roman" w:hAnsi="Times New Roman" w:cs="Times New Roman"/>
                <w:i/>
                <w:snapToGrid w:val="0"/>
                <w:sz w:val="24"/>
                <w:szCs w:val="24"/>
                <w:lang w:val="fr-FR"/>
              </w:rPr>
            </w:pPr>
            <w:r w:rsidRPr="005F557F">
              <w:rPr>
                <w:rFonts w:ascii="Times New Roman" w:eastAsia="Times New Roman" w:hAnsi="Times New Roman" w:cs="Times New Roman"/>
                <w:i/>
                <w:snapToGrid w:val="0"/>
                <w:sz w:val="24"/>
                <w:szCs w:val="24"/>
                <w:lang w:val="fr-FR"/>
              </w:rPr>
              <w:t xml:space="preserve">Provide the programme </w:t>
            </w:r>
            <w:r w:rsidR="00DD2EEB" w:rsidRPr="005F557F">
              <w:rPr>
                <w:rFonts w:ascii="Times New Roman" w:eastAsia="Times New Roman" w:hAnsi="Times New Roman" w:cs="Times New Roman"/>
                <w:i/>
                <w:snapToGrid w:val="0"/>
                <w:sz w:val="24"/>
                <w:szCs w:val="24"/>
                <w:lang w:val="fr-FR"/>
              </w:rPr>
              <w:t>duration:24 Mois (Janvier 2014 à Décembre 2015)</w:t>
            </w:r>
          </w:p>
          <w:p w:rsidR="00DE0BC6" w:rsidRPr="005F557F" w:rsidRDefault="00DE0BC6" w:rsidP="005A153F">
            <w:pPr>
              <w:widowControl w:val="0"/>
              <w:numPr>
                <w:ilvl w:val="0"/>
                <w:numId w:val="1"/>
              </w:numPr>
              <w:spacing w:before="60" w:after="60" w:line="240" w:lineRule="auto"/>
              <w:ind w:left="432"/>
              <w:jc w:val="both"/>
              <w:rPr>
                <w:rFonts w:ascii="Times New Roman" w:eastAsia="Times New Roman" w:hAnsi="Times New Roman" w:cs="Times New Roman"/>
                <w:i/>
                <w:snapToGrid w:val="0"/>
                <w:sz w:val="24"/>
                <w:szCs w:val="24"/>
                <w:lang w:val="en-US"/>
              </w:rPr>
            </w:pPr>
            <w:r w:rsidRPr="005F557F">
              <w:rPr>
                <w:rFonts w:ascii="Times New Roman" w:eastAsia="Times New Roman" w:hAnsi="Times New Roman" w:cs="Times New Roman"/>
                <w:i/>
                <w:snapToGrid w:val="0"/>
                <w:sz w:val="24"/>
                <w:szCs w:val="24"/>
                <w:lang w:val="en-US"/>
              </w:rPr>
              <w:t>Report on budget revisions and extens</w:t>
            </w:r>
            <w:r w:rsidR="00DD2EEB" w:rsidRPr="005F557F">
              <w:rPr>
                <w:rFonts w:ascii="Times New Roman" w:eastAsia="Times New Roman" w:hAnsi="Times New Roman" w:cs="Times New Roman"/>
                <w:i/>
                <w:snapToGrid w:val="0"/>
                <w:sz w:val="24"/>
                <w:szCs w:val="24"/>
                <w:lang w:val="en-US"/>
              </w:rPr>
              <w:t>ions and provide the new dates: Juin 2015</w:t>
            </w:r>
          </w:p>
          <w:p w:rsidR="00DE0BC6" w:rsidRPr="005F557F" w:rsidRDefault="00DE0BC6" w:rsidP="005A153F">
            <w:pPr>
              <w:widowControl w:val="0"/>
              <w:numPr>
                <w:ilvl w:val="0"/>
                <w:numId w:val="1"/>
              </w:numPr>
              <w:spacing w:before="60" w:after="60" w:line="240" w:lineRule="auto"/>
              <w:ind w:left="432"/>
              <w:jc w:val="both"/>
              <w:rPr>
                <w:rFonts w:ascii="Times New Roman" w:eastAsia="Times New Roman" w:hAnsi="Times New Roman" w:cs="Times New Roman"/>
                <w:i/>
                <w:snapToGrid w:val="0"/>
                <w:sz w:val="24"/>
                <w:szCs w:val="24"/>
                <w:lang w:val="en-US"/>
              </w:rPr>
            </w:pPr>
            <w:r w:rsidRPr="005F557F">
              <w:rPr>
                <w:rFonts w:ascii="Times New Roman" w:eastAsia="Times New Roman" w:hAnsi="Times New Roman" w:cs="Times New Roman"/>
                <w:i/>
                <w:snapToGrid w:val="0"/>
                <w:sz w:val="24"/>
                <w:szCs w:val="24"/>
                <w:lang w:val="en-US"/>
              </w:rPr>
              <w:t xml:space="preserve">Indicate if the programme has been operationally closed during the reporting period. </w:t>
            </w:r>
            <w:r w:rsidR="00DD2EEB" w:rsidRPr="005F557F">
              <w:rPr>
                <w:rFonts w:ascii="Times New Roman" w:eastAsia="Times New Roman" w:hAnsi="Times New Roman" w:cs="Times New Roman"/>
                <w:b/>
                <w:i/>
                <w:snapToGrid w:val="0"/>
                <w:sz w:val="24"/>
                <w:szCs w:val="24"/>
                <w:lang w:val="en-US"/>
              </w:rPr>
              <w:t>Oui</w:t>
            </w:r>
          </w:p>
        </w:tc>
      </w:tr>
    </w:tbl>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highlight w:val="yellow"/>
          <w:lang w:val="en-US"/>
        </w:rPr>
      </w:pPr>
    </w:p>
    <w:p w:rsidR="00DE0BC6" w:rsidRPr="005F557F" w:rsidRDefault="00300415" w:rsidP="00300415">
      <w:pPr>
        <w:keepNext/>
        <w:widowControl w:val="0"/>
        <w:numPr>
          <w:ilvl w:val="0"/>
          <w:numId w:val="3"/>
        </w:numPr>
        <w:tabs>
          <w:tab w:val="left" w:pos="360"/>
        </w:tabs>
        <w:spacing w:before="240" w:after="120" w:line="240" w:lineRule="auto"/>
        <w:ind w:left="360" w:hanging="360"/>
        <w:jc w:val="both"/>
        <w:outlineLvl w:val="0"/>
        <w:rPr>
          <w:rFonts w:ascii="Times New Roman" w:eastAsia="Times New Roman" w:hAnsi="Times New Roman" w:cs="Times New Roman"/>
          <w:b/>
          <w:snapToGrid w:val="0"/>
          <w:sz w:val="24"/>
          <w:szCs w:val="24"/>
          <w:lang w:val="en-US" w:eastAsia="x-none"/>
        </w:rPr>
      </w:pPr>
      <w:r w:rsidRPr="005F557F">
        <w:rPr>
          <w:rFonts w:ascii="Times New Roman" w:eastAsia="Times New Roman" w:hAnsi="Times New Roman" w:cs="Times New Roman"/>
          <w:b/>
          <w:snapToGrid w:val="0"/>
          <w:sz w:val="24"/>
          <w:szCs w:val="24"/>
          <w:lang w:val="en-US" w:eastAsia="x-none"/>
        </w:rPr>
        <w:t>Executive Summary</w:t>
      </w:r>
    </w:p>
    <w:p w:rsidR="00300415" w:rsidRPr="005F557F" w:rsidRDefault="00300415" w:rsidP="005A153F">
      <w:pPr>
        <w:widowControl w:val="0"/>
        <w:spacing w:after="0" w:line="240" w:lineRule="auto"/>
        <w:jc w:val="both"/>
        <w:rPr>
          <w:rFonts w:ascii="Times New Roman" w:eastAsia="Times New Roman" w:hAnsi="Times New Roman" w:cs="Times New Roman"/>
          <w:snapToGrid w:val="0"/>
          <w:sz w:val="24"/>
          <w:szCs w:val="24"/>
          <w:highlight w:val="yellow"/>
          <w:lang w:val="en-US"/>
        </w:rPr>
      </w:pPr>
    </w:p>
    <w:p w:rsidR="00300415" w:rsidRPr="005F557F" w:rsidRDefault="00300415" w:rsidP="00300415">
      <w:pPr>
        <w:pStyle w:val="Default"/>
        <w:jc w:val="both"/>
        <w:rPr>
          <w:color w:val="auto"/>
        </w:rPr>
      </w:pPr>
      <w:r w:rsidRPr="005F557F">
        <w:rPr>
          <w:color w:val="auto"/>
        </w:rPr>
        <w:t>Le Scaling Up Nutrition « SUN » est un appel pour le passage à l’échelle des efforts de lutte contre la malnutrition à travers une approche inclusive et coordonnée. Les actions de l’initiative en République de Guinée concernant la société civile sont</w:t>
      </w:r>
      <w:r w:rsidR="00A40A5B" w:rsidRPr="005F557F">
        <w:rPr>
          <w:color w:val="auto"/>
        </w:rPr>
        <w:t xml:space="preserve"> coordonnées par 4 institutions : </w:t>
      </w:r>
      <w:r w:rsidRPr="005F557F">
        <w:rPr>
          <w:color w:val="auto"/>
        </w:rPr>
        <w:t>1. Fond des Nations Unies pour l’Enfance (UNICEF)</w:t>
      </w:r>
      <w:r w:rsidRPr="005F557F">
        <w:rPr>
          <w:bCs/>
          <w:color w:val="auto"/>
        </w:rPr>
        <w:t xml:space="preserve"> </w:t>
      </w:r>
      <w:r w:rsidRPr="005F557F">
        <w:rPr>
          <w:color w:val="auto"/>
        </w:rPr>
        <w:t>2. Le Conseil National des Organisations de la Société Civile Guinéenne</w:t>
      </w:r>
      <w:r w:rsidRPr="005F557F">
        <w:rPr>
          <w:bCs/>
          <w:color w:val="auto"/>
        </w:rPr>
        <w:t xml:space="preserve">, </w:t>
      </w:r>
      <w:r w:rsidRPr="005F557F">
        <w:rPr>
          <w:color w:val="auto"/>
        </w:rPr>
        <w:t xml:space="preserve">3. </w:t>
      </w:r>
      <w:r w:rsidR="00F76A45" w:rsidRPr="005F557F">
        <w:rPr>
          <w:color w:val="auto"/>
        </w:rPr>
        <w:t xml:space="preserve">L’ONG </w:t>
      </w:r>
      <w:r w:rsidRPr="005F557F">
        <w:rPr>
          <w:bCs/>
          <w:color w:val="auto"/>
        </w:rPr>
        <w:t xml:space="preserve">Terre des hommes Lausanne en Guinée </w:t>
      </w:r>
      <w:r w:rsidRPr="005F557F">
        <w:rPr>
          <w:color w:val="auto"/>
        </w:rPr>
        <w:t xml:space="preserve">4. Le Ministère de la santé à travers la Direction Nationale de la Santé Familiale et Nutrition (DNSFN) par le biais de la Division Alimentation et Nutrition (DAN). </w:t>
      </w:r>
    </w:p>
    <w:p w:rsidR="00300415" w:rsidRPr="005F557F" w:rsidRDefault="00300415" w:rsidP="00300415">
      <w:pPr>
        <w:pStyle w:val="Default"/>
        <w:jc w:val="both"/>
        <w:rPr>
          <w:color w:val="auto"/>
        </w:rPr>
      </w:pPr>
    </w:p>
    <w:p w:rsidR="00300415" w:rsidRPr="005F557F" w:rsidRDefault="00300415" w:rsidP="00300415">
      <w:pPr>
        <w:pStyle w:val="Default"/>
        <w:jc w:val="both"/>
        <w:rPr>
          <w:color w:val="auto"/>
        </w:rPr>
      </w:pPr>
      <w:r w:rsidRPr="005F557F">
        <w:rPr>
          <w:color w:val="auto"/>
        </w:rPr>
        <w:t xml:space="preserve">Les principales activités réalisées depuis le début du projet </w:t>
      </w:r>
      <w:r w:rsidR="00A40A5B" w:rsidRPr="005F557F">
        <w:rPr>
          <w:color w:val="auto"/>
        </w:rPr>
        <w:t>sont les suivantes</w:t>
      </w:r>
      <w:r w:rsidRPr="005F557F">
        <w:rPr>
          <w:color w:val="auto"/>
        </w:rPr>
        <w:t> :</w:t>
      </w:r>
    </w:p>
    <w:p w:rsidR="00300415" w:rsidRPr="005F557F" w:rsidRDefault="00300415" w:rsidP="00300415">
      <w:pPr>
        <w:pStyle w:val="Default"/>
        <w:numPr>
          <w:ilvl w:val="0"/>
          <w:numId w:val="20"/>
        </w:numPr>
        <w:jc w:val="both"/>
        <w:rPr>
          <w:color w:val="auto"/>
        </w:rPr>
      </w:pPr>
      <w:r w:rsidRPr="005F557F">
        <w:rPr>
          <w:color w:val="auto"/>
        </w:rPr>
        <w:t>Le recrutement du Responsable MPTF-SUN pour Terre des hommes ;</w:t>
      </w:r>
    </w:p>
    <w:p w:rsidR="00300415" w:rsidRPr="005F557F" w:rsidRDefault="00300415" w:rsidP="00300415">
      <w:pPr>
        <w:pStyle w:val="Default"/>
        <w:numPr>
          <w:ilvl w:val="0"/>
          <w:numId w:val="20"/>
        </w:numPr>
        <w:jc w:val="both"/>
        <w:rPr>
          <w:color w:val="auto"/>
        </w:rPr>
      </w:pPr>
      <w:r w:rsidRPr="005F557F">
        <w:rPr>
          <w:color w:val="auto"/>
        </w:rPr>
        <w:t>L’identification du point focal MPTF-SUN au niveau du Conseil National des Organisations de la Société Civile Guinéenne (CNOSCG).</w:t>
      </w:r>
    </w:p>
    <w:p w:rsidR="00300415" w:rsidRPr="005F557F" w:rsidRDefault="00300415" w:rsidP="00300415">
      <w:pPr>
        <w:pStyle w:val="Default"/>
        <w:numPr>
          <w:ilvl w:val="0"/>
          <w:numId w:val="20"/>
        </w:numPr>
        <w:jc w:val="both"/>
        <w:rPr>
          <w:color w:val="auto"/>
        </w:rPr>
      </w:pPr>
      <w:r w:rsidRPr="005F557F">
        <w:rPr>
          <w:color w:val="auto"/>
        </w:rPr>
        <w:t>L’élaboration des protocoles d’accord entre Tdh et l’UNCEF d’une part et entre Tdh et le CNOSCG d’autre part ;</w:t>
      </w:r>
    </w:p>
    <w:p w:rsidR="00A40A5B" w:rsidRPr="005F557F" w:rsidRDefault="00300415" w:rsidP="00300415">
      <w:pPr>
        <w:pStyle w:val="Default"/>
        <w:numPr>
          <w:ilvl w:val="0"/>
          <w:numId w:val="20"/>
        </w:numPr>
        <w:jc w:val="both"/>
        <w:rPr>
          <w:color w:val="auto"/>
        </w:rPr>
      </w:pPr>
      <w:r w:rsidRPr="005F557F">
        <w:rPr>
          <w:color w:val="auto"/>
        </w:rPr>
        <w:t>La finalisation de la sélection de</w:t>
      </w:r>
      <w:r w:rsidR="005F557F">
        <w:rPr>
          <w:color w:val="auto"/>
        </w:rPr>
        <w:t>s</w:t>
      </w:r>
      <w:r w:rsidRPr="005F557F">
        <w:rPr>
          <w:color w:val="auto"/>
        </w:rPr>
        <w:t xml:space="preserve"> OSC partenaires pour la mise en œuvre du projet</w:t>
      </w:r>
      <w:r w:rsidR="00A40A5B" w:rsidRPr="005F557F">
        <w:rPr>
          <w:color w:val="auto"/>
        </w:rPr>
        <w:t>.</w:t>
      </w:r>
    </w:p>
    <w:p w:rsidR="00300415" w:rsidRPr="005F557F" w:rsidRDefault="00A40A5B" w:rsidP="00300415">
      <w:pPr>
        <w:pStyle w:val="Default"/>
        <w:numPr>
          <w:ilvl w:val="0"/>
          <w:numId w:val="20"/>
        </w:numPr>
        <w:jc w:val="both"/>
        <w:rPr>
          <w:color w:val="auto"/>
        </w:rPr>
      </w:pPr>
      <w:r w:rsidRPr="005F557F">
        <w:rPr>
          <w:color w:val="auto"/>
        </w:rPr>
        <w:t>L’atelier de</w:t>
      </w:r>
      <w:r w:rsidR="00300415" w:rsidRPr="005F557F">
        <w:rPr>
          <w:color w:val="auto"/>
        </w:rPr>
        <w:t xml:space="preserve"> formation du CNOSCG et des 6 OSC partenaire sur les outils de suivi et le fonctionnement du projet ;</w:t>
      </w:r>
    </w:p>
    <w:p w:rsidR="00300415" w:rsidRPr="005F557F" w:rsidRDefault="00300415" w:rsidP="00300415">
      <w:pPr>
        <w:pStyle w:val="Default"/>
        <w:numPr>
          <w:ilvl w:val="0"/>
          <w:numId w:val="20"/>
        </w:numPr>
        <w:jc w:val="both"/>
        <w:rPr>
          <w:color w:val="auto"/>
        </w:rPr>
      </w:pPr>
      <w:r w:rsidRPr="005F557F">
        <w:rPr>
          <w:color w:val="auto"/>
        </w:rPr>
        <w:t>La mise en place d’un comité de pilotage et l’élaboration des termes de référence dudit comité ;</w:t>
      </w:r>
    </w:p>
    <w:p w:rsidR="00300415" w:rsidRPr="005F557F" w:rsidRDefault="00300415" w:rsidP="00300415">
      <w:pPr>
        <w:pStyle w:val="Default"/>
        <w:numPr>
          <w:ilvl w:val="0"/>
          <w:numId w:val="20"/>
        </w:numPr>
        <w:jc w:val="both"/>
        <w:rPr>
          <w:color w:val="auto"/>
        </w:rPr>
      </w:pPr>
      <w:r w:rsidRPr="005F557F">
        <w:rPr>
          <w:color w:val="auto"/>
        </w:rPr>
        <w:t>L’élaboration des termes de référence du groupe de travail de la société civile guinéenne ;</w:t>
      </w:r>
    </w:p>
    <w:p w:rsidR="00A40A5B" w:rsidRPr="005F557F" w:rsidRDefault="00300415" w:rsidP="00300415">
      <w:pPr>
        <w:pStyle w:val="Default"/>
        <w:numPr>
          <w:ilvl w:val="0"/>
          <w:numId w:val="20"/>
        </w:numPr>
        <w:jc w:val="both"/>
        <w:rPr>
          <w:color w:val="auto"/>
        </w:rPr>
      </w:pPr>
      <w:r w:rsidRPr="005F557F">
        <w:rPr>
          <w:color w:val="auto"/>
        </w:rPr>
        <w:t>Renforcement des capacités du CNOSCG et des OSC en matériels informatiques et équipements de bureau.</w:t>
      </w:r>
    </w:p>
    <w:p w:rsidR="00300415" w:rsidRPr="005F557F" w:rsidRDefault="00A40A5B" w:rsidP="00300415">
      <w:pPr>
        <w:pStyle w:val="Default"/>
        <w:numPr>
          <w:ilvl w:val="0"/>
          <w:numId w:val="20"/>
        </w:numPr>
        <w:jc w:val="both"/>
        <w:rPr>
          <w:color w:val="auto"/>
        </w:rPr>
      </w:pPr>
      <w:r w:rsidRPr="005F557F">
        <w:rPr>
          <w:color w:val="auto"/>
        </w:rPr>
        <w:lastRenderedPageBreak/>
        <w:t>La participation du</w:t>
      </w:r>
      <w:r w:rsidR="00300415" w:rsidRPr="005F557F">
        <w:rPr>
          <w:color w:val="auto"/>
        </w:rPr>
        <w:t xml:space="preserve"> Chef de la Division Alimentation Nutrition (DAN) au sommet de haut niveau aux côtés du Gouvernement Guinéen à la rencontre sur la nutrition et sur le mouvement SUN au siège des Nations Unie</w:t>
      </w:r>
      <w:r w:rsidRPr="005F557F">
        <w:rPr>
          <w:color w:val="auto"/>
        </w:rPr>
        <w:t>s à New York en septembre 2013</w:t>
      </w:r>
    </w:p>
    <w:p w:rsidR="00300415" w:rsidRPr="005F557F" w:rsidRDefault="00A40A5B" w:rsidP="00725C63">
      <w:pPr>
        <w:pStyle w:val="Default"/>
        <w:numPr>
          <w:ilvl w:val="0"/>
          <w:numId w:val="20"/>
        </w:numPr>
        <w:jc w:val="both"/>
        <w:rPr>
          <w:color w:val="auto"/>
        </w:rPr>
      </w:pPr>
      <w:r w:rsidRPr="005F557F">
        <w:rPr>
          <w:color w:val="auto"/>
        </w:rPr>
        <w:t xml:space="preserve"> La participation du</w:t>
      </w:r>
      <w:r w:rsidR="00300415" w:rsidRPr="005F557F">
        <w:rPr>
          <w:color w:val="auto"/>
        </w:rPr>
        <w:t xml:space="preserve"> point focal MPTF-SUN au CNOSCG à la rencontre sous régionale du mouvement SUN de Dakar. Cette rencontre a été l’occasion de porter la voix de la société civile guinéenne au niveau sous régional concernant sa place et son rôle dans l’amélioration de la nutrition dans le pays; </w:t>
      </w:r>
    </w:p>
    <w:p w:rsidR="00300415" w:rsidRPr="005F557F" w:rsidRDefault="00300415" w:rsidP="006C0C52">
      <w:pPr>
        <w:pStyle w:val="Default"/>
        <w:numPr>
          <w:ilvl w:val="0"/>
          <w:numId w:val="20"/>
        </w:numPr>
        <w:jc w:val="both"/>
        <w:rPr>
          <w:color w:val="auto"/>
        </w:rPr>
      </w:pPr>
      <w:r w:rsidRPr="005F557F">
        <w:rPr>
          <w:color w:val="auto"/>
        </w:rPr>
        <w:t xml:space="preserve">La participation du GTNA (Groupe Technique de Nutrition et Alimentation) </w:t>
      </w:r>
      <w:r w:rsidR="00A40A5B" w:rsidRPr="005F557F">
        <w:rPr>
          <w:color w:val="auto"/>
        </w:rPr>
        <w:t>aux</w:t>
      </w:r>
      <w:r w:rsidRPr="005F557F">
        <w:rPr>
          <w:color w:val="auto"/>
        </w:rPr>
        <w:t xml:space="preserve"> conférence</w:t>
      </w:r>
      <w:r w:rsidR="00A40A5B" w:rsidRPr="005F557F">
        <w:rPr>
          <w:color w:val="auto"/>
        </w:rPr>
        <w:t>s</w:t>
      </w:r>
      <w:r w:rsidRPr="005F557F">
        <w:rPr>
          <w:color w:val="auto"/>
        </w:rPr>
        <w:t xml:space="preserve"> téléphonique</w:t>
      </w:r>
      <w:r w:rsidR="00A40A5B" w:rsidRPr="005F557F">
        <w:rPr>
          <w:color w:val="auto"/>
        </w:rPr>
        <w:t>s</w:t>
      </w:r>
      <w:r w:rsidRPr="005F557F">
        <w:rPr>
          <w:color w:val="auto"/>
        </w:rPr>
        <w:t xml:space="preserve"> avec le Secrétariat du mouvement SUN aux côtés du Point Focal National, de REACH et des Partenaires techniques et financiers. Cette conférence permet de faire le point de l’état d’avancement de SUN dans chacun des pays sur ses engagements, les attentes vis-à-vis du mouvement SUN, les progrès et les contraintes par rapport aux 4 indicateurs de processus (Espace partage pour l’action, Cadre légal et politique cohérent, alignement autour de résultats communs et Suivi des financements et mobilisation des ressources).</w:t>
      </w:r>
    </w:p>
    <w:p w:rsidR="00300415" w:rsidRPr="005F557F" w:rsidRDefault="00300415" w:rsidP="00B84E42">
      <w:pPr>
        <w:pStyle w:val="Default"/>
        <w:numPr>
          <w:ilvl w:val="0"/>
          <w:numId w:val="20"/>
        </w:numPr>
        <w:jc w:val="both"/>
        <w:rPr>
          <w:color w:val="auto"/>
        </w:rPr>
      </w:pPr>
      <w:r w:rsidRPr="005F557F">
        <w:rPr>
          <w:color w:val="auto"/>
        </w:rPr>
        <w:t xml:space="preserve">La participation de la DAN et de la société civile internationale guinéenne (Tdh) au Rassemblement général du mouvement Scaling Up Nutrition </w:t>
      </w:r>
      <w:r w:rsidR="00747750">
        <w:rPr>
          <w:color w:val="auto"/>
        </w:rPr>
        <w:t xml:space="preserve">(SUN) </w:t>
      </w:r>
      <w:bookmarkStart w:id="0" w:name="_GoBack"/>
      <w:bookmarkEnd w:id="0"/>
      <w:r w:rsidRPr="005F557F">
        <w:rPr>
          <w:color w:val="auto"/>
        </w:rPr>
        <w:t>suivi de la participation des Ministres de l’Agriculture et de celui de la Santé accompagné du Chef de Division Alimentation Nutrition à la 2</w:t>
      </w:r>
      <w:r w:rsidRPr="005F557F">
        <w:rPr>
          <w:color w:val="auto"/>
          <w:vertAlign w:val="superscript"/>
        </w:rPr>
        <w:t>ème</w:t>
      </w:r>
      <w:r w:rsidRPr="005F557F">
        <w:rPr>
          <w:color w:val="auto"/>
        </w:rPr>
        <w:t xml:space="preserve"> Conférence Internationale de la Nutrition tenue à Rome. Ces rencontres ont permis à la Guinée de s’inspirer du modèle d’organisation à mettre en place pour un bon fonctionnement de ces genres de projet mixte et d’échanger ses expériences en matière de nutrition avec d’autres pays.</w:t>
      </w:r>
    </w:p>
    <w:p w:rsidR="00300415" w:rsidRPr="005F557F" w:rsidRDefault="00300415" w:rsidP="005A153F">
      <w:pPr>
        <w:widowControl w:val="0"/>
        <w:spacing w:after="0" w:line="240" w:lineRule="auto"/>
        <w:jc w:val="both"/>
        <w:rPr>
          <w:rFonts w:ascii="Times New Roman" w:eastAsia="Times New Roman" w:hAnsi="Times New Roman" w:cs="Times New Roman"/>
          <w:snapToGrid w:val="0"/>
          <w:sz w:val="24"/>
          <w:szCs w:val="24"/>
          <w:highlight w:val="yellow"/>
          <w:lang w:val="fr-FR"/>
        </w:rPr>
      </w:pPr>
    </w:p>
    <w:p w:rsidR="00DE0BC6" w:rsidRPr="005F557F" w:rsidRDefault="00DE0BC6" w:rsidP="005A153F">
      <w:pPr>
        <w:keepNext/>
        <w:widowControl w:val="0"/>
        <w:numPr>
          <w:ilvl w:val="0"/>
          <w:numId w:val="3"/>
        </w:numPr>
        <w:tabs>
          <w:tab w:val="left" w:pos="360"/>
        </w:tabs>
        <w:spacing w:before="240" w:after="120" w:line="240" w:lineRule="auto"/>
        <w:ind w:left="360" w:hanging="360"/>
        <w:jc w:val="both"/>
        <w:outlineLvl w:val="0"/>
        <w:rPr>
          <w:rFonts w:ascii="Times New Roman" w:eastAsia="Times New Roman" w:hAnsi="Times New Roman" w:cs="Times New Roman"/>
          <w:b/>
          <w:snapToGrid w:val="0"/>
          <w:sz w:val="24"/>
          <w:szCs w:val="24"/>
          <w:lang w:val="en-US" w:eastAsia="x-none"/>
        </w:rPr>
      </w:pPr>
      <w:r w:rsidRPr="005F557F">
        <w:rPr>
          <w:rFonts w:ascii="Times New Roman" w:eastAsia="Times New Roman" w:hAnsi="Times New Roman" w:cs="Times New Roman"/>
          <w:b/>
          <w:snapToGrid w:val="0"/>
          <w:sz w:val="24"/>
          <w:szCs w:val="24"/>
          <w:lang w:val="en-US" w:eastAsia="x-none"/>
        </w:rPr>
        <w:t>Purpose</w:t>
      </w:r>
    </w:p>
    <w:p w:rsidR="00DE0BC6" w:rsidRPr="005F557F" w:rsidRDefault="00DE0BC6" w:rsidP="005A153F">
      <w:pPr>
        <w:widowControl w:val="0"/>
        <w:numPr>
          <w:ilvl w:val="0"/>
          <w:numId w:val="5"/>
        </w:numPr>
        <w:spacing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Provide the main outcomes and outputs of the programme implementation.</w:t>
      </w:r>
    </w:p>
    <w:p w:rsidR="00F76A45" w:rsidRPr="005F557F" w:rsidRDefault="00F76A45" w:rsidP="00F76A45">
      <w:pPr>
        <w:widowControl w:val="0"/>
        <w:spacing w:after="0" w:line="240" w:lineRule="auto"/>
        <w:jc w:val="both"/>
        <w:rPr>
          <w:rFonts w:ascii="Times New Roman" w:eastAsia="Times New Roman" w:hAnsi="Times New Roman" w:cs="Times New Roman"/>
          <w:snapToGrid w:val="0"/>
          <w:sz w:val="24"/>
          <w:szCs w:val="24"/>
          <w:lang w:eastAsia="x-none"/>
        </w:rPr>
      </w:pPr>
    </w:p>
    <w:p w:rsidR="00F76A45" w:rsidRPr="005F557F" w:rsidRDefault="00F76A45" w:rsidP="00F76A45">
      <w:pPr>
        <w:widowControl w:val="0"/>
        <w:spacing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Le projet comprend 3 </w:t>
      </w:r>
      <w:r w:rsidR="000C0211" w:rsidRPr="005F557F">
        <w:rPr>
          <w:rFonts w:ascii="Times New Roman" w:eastAsia="Times New Roman" w:hAnsi="Times New Roman" w:cs="Times New Roman"/>
          <w:snapToGrid w:val="0"/>
          <w:sz w:val="24"/>
          <w:szCs w:val="24"/>
          <w:lang w:val="fr-FR" w:eastAsia="x-none"/>
        </w:rPr>
        <w:t>résultats</w:t>
      </w:r>
      <w:r w:rsidRPr="005F557F">
        <w:rPr>
          <w:rFonts w:ascii="Times New Roman" w:eastAsia="Times New Roman" w:hAnsi="Times New Roman" w:cs="Times New Roman"/>
          <w:snapToGrid w:val="0"/>
          <w:sz w:val="24"/>
          <w:szCs w:val="24"/>
          <w:lang w:val="fr-FR" w:eastAsia="x-none"/>
        </w:rPr>
        <w:t xml:space="preserve"> </w:t>
      </w:r>
      <w:r w:rsidR="000C0211" w:rsidRPr="005F557F">
        <w:rPr>
          <w:rFonts w:ascii="Times New Roman" w:eastAsia="Times New Roman" w:hAnsi="Times New Roman" w:cs="Times New Roman"/>
          <w:snapToGrid w:val="0"/>
          <w:sz w:val="24"/>
          <w:szCs w:val="24"/>
          <w:lang w:val="fr-FR" w:eastAsia="x-none"/>
        </w:rPr>
        <w:t>intermédiaires</w:t>
      </w:r>
      <w:r w:rsidRPr="005F557F">
        <w:rPr>
          <w:rFonts w:ascii="Times New Roman" w:eastAsia="Times New Roman" w:hAnsi="Times New Roman" w:cs="Times New Roman"/>
          <w:snapToGrid w:val="0"/>
          <w:sz w:val="24"/>
          <w:szCs w:val="24"/>
          <w:lang w:val="fr-FR" w:eastAsia="x-none"/>
        </w:rPr>
        <w:t xml:space="preserve"> clés: 1) </w:t>
      </w:r>
      <w:r w:rsidRPr="005F557F">
        <w:rPr>
          <w:rFonts w:ascii="Times New Roman" w:eastAsia="Times New Roman" w:hAnsi="Times New Roman" w:cs="Times New Roman"/>
          <w:snapToGrid w:val="0"/>
          <w:sz w:val="24"/>
          <w:szCs w:val="24"/>
          <w:lang w:val="fr-FR" w:eastAsia="x-none"/>
        </w:rPr>
        <w:t>Les acteurs clés pour la mobilisation de la société civile en faveur de la nutrition sont identifiés et enrôlés dans le projet</w:t>
      </w:r>
      <w:r w:rsidRPr="005F557F">
        <w:rPr>
          <w:rFonts w:ascii="Times New Roman" w:eastAsia="Times New Roman" w:hAnsi="Times New Roman" w:cs="Times New Roman"/>
          <w:snapToGrid w:val="0"/>
          <w:sz w:val="24"/>
          <w:szCs w:val="24"/>
          <w:lang w:val="fr-FR" w:eastAsia="x-none"/>
        </w:rPr>
        <w:t xml:space="preserve"> 2) </w:t>
      </w:r>
      <w:r w:rsidRPr="005F557F">
        <w:rPr>
          <w:rFonts w:ascii="Times New Roman" w:eastAsia="Times New Roman" w:hAnsi="Times New Roman" w:cs="Times New Roman"/>
          <w:snapToGrid w:val="0"/>
          <w:sz w:val="24"/>
          <w:szCs w:val="24"/>
          <w:lang w:val="fr-FR" w:eastAsia="x-none"/>
        </w:rPr>
        <w:t>Les connaissances et compétences en nutrition des acteurs clés de la société civile sont mises à niveau et renforcées</w:t>
      </w:r>
      <w:r w:rsidRPr="005F557F">
        <w:rPr>
          <w:rFonts w:ascii="Times New Roman" w:eastAsia="Times New Roman" w:hAnsi="Times New Roman" w:cs="Times New Roman"/>
          <w:snapToGrid w:val="0"/>
          <w:sz w:val="24"/>
          <w:szCs w:val="24"/>
          <w:lang w:val="fr-FR" w:eastAsia="x-none"/>
        </w:rPr>
        <w:t xml:space="preserve"> 3) </w:t>
      </w:r>
      <w:r w:rsidRPr="005F557F">
        <w:rPr>
          <w:rFonts w:ascii="Times New Roman" w:eastAsia="Times New Roman" w:hAnsi="Times New Roman" w:cs="Times New Roman"/>
          <w:snapToGrid w:val="0"/>
          <w:sz w:val="24"/>
          <w:szCs w:val="24"/>
          <w:lang w:val="fr-FR" w:eastAsia="x-none"/>
        </w:rPr>
        <w:t>Le CNOSCG participe aux mécanismes de coordination de la nutrition aux niveaux national et régional</w:t>
      </w:r>
      <w:r w:rsidRPr="005F557F">
        <w:rPr>
          <w:rFonts w:ascii="Times New Roman" w:eastAsia="Times New Roman" w:hAnsi="Times New Roman" w:cs="Times New Roman"/>
          <w:snapToGrid w:val="0"/>
          <w:sz w:val="24"/>
          <w:szCs w:val="24"/>
          <w:lang w:val="fr-FR" w:eastAsia="x-none"/>
        </w:rPr>
        <w:t xml:space="preserve">. Les principales activités consistaient en : 1) </w:t>
      </w:r>
      <w:r w:rsidRPr="005F557F">
        <w:rPr>
          <w:rFonts w:ascii="Times New Roman" w:eastAsia="Times New Roman" w:hAnsi="Times New Roman" w:cs="Times New Roman"/>
          <w:snapToGrid w:val="0"/>
          <w:sz w:val="24"/>
          <w:szCs w:val="24"/>
          <w:lang w:val="fr-FR" w:eastAsia="x-none"/>
        </w:rPr>
        <w:t>Identification, sélection et enrôlement avec la collaboration du CNOSCG des organisations de la société civile pertinentes pour renforcer la nutrition</w:t>
      </w:r>
      <w:r w:rsidRPr="005F557F">
        <w:rPr>
          <w:rFonts w:ascii="Times New Roman" w:eastAsia="Times New Roman" w:hAnsi="Times New Roman" w:cs="Times New Roman"/>
          <w:snapToGrid w:val="0"/>
          <w:sz w:val="24"/>
          <w:szCs w:val="24"/>
          <w:lang w:val="fr-FR" w:eastAsia="x-none"/>
        </w:rPr>
        <w:t xml:space="preserve"> 2) </w:t>
      </w:r>
      <w:r w:rsidRPr="005F557F">
        <w:rPr>
          <w:rFonts w:ascii="Times New Roman" w:eastAsia="Times New Roman" w:hAnsi="Times New Roman" w:cs="Times New Roman"/>
          <w:snapToGrid w:val="0"/>
          <w:sz w:val="24"/>
          <w:szCs w:val="24"/>
          <w:lang w:val="fr-FR" w:eastAsia="x-none"/>
        </w:rPr>
        <w:t>Mise en place des outils et procédures de gestion et de mise en œuvre du projet avec les partenaires (CNOSCG et les 6 organisations partenaires)</w:t>
      </w:r>
      <w:r w:rsidRPr="005F557F">
        <w:rPr>
          <w:rFonts w:ascii="Times New Roman" w:eastAsia="Times New Roman" w:hAnsi="Times New Roman" w:cs="Times New Roman"/>
          <w:snapToGrid w:val="0"/>
          <w:sz w:val="24"/>
          <w:szCs w:val="24"/>
          <w:lang w:val="fr-FR" w:eastAsia="x-none"/>
        </w:rPr>
        <w:t xml:space="preserve"> 3) </w:t>
      </w:r>
      <w:r w:rsidRPr="005F557F">
        <w:rPr>
          <w:rFonts w:ascii="Times New Roman" w:eastAsia="Times New Roman" w:hAnsi="Times New Roman" w:cs="Times New Roman"/>
          <w:snapToGrid w:val="0"/>
          <w:sz w:val="24"/>
          <w:szCs w:val="24"/>
          <w:lang w:val="fr-FR" w:eastAsia="x-none"/>
        </w:rPr>
        <w:t>Organisation d’un atelier de renforcement des connaissances et des compétences sur la nutrition en faveur des organisations partenaires</w:t>
      </w:r>
      <w:r w:rsidRPr="005F557F">
        <w:rPr>
          <w:rFonts w:ascii="Times New Roman" w:eastAsia="Times New Roman" w:hAnsi="Times New Roman" w:cs="Times New Roman"/>
          <w:snapToGrid w:val="0"/>
          <w:sz w:val="24"/>
          <w:szCs w:val="24"/>
          <w:lang w:val="fr-FR" w:eastAsia="x-none"/>
        </w:rPr>
        <w:t xml:space="preserve"> 4) </w:t>
      </w:r>
      <w:r w:rsidRPr="005F557F">
        <w:rPr>
          <w:rFonts w:ascii="Times New Roman" w:eastAsia="Times New Roman" w:hAnsi="Times New Roman" w:cs="Times New Roman"/>
          <w:snapToGrid w:val="0"/>
          <w:sz w:val="24"/>
          <w:szCs w:val="24"/>
          <w:lang w:val="fr-FR" w:eastAsia="x-none"/>
        </w:rPr>
        <w:t>Intégration du CNOSCG dans les mécanismes de coordination existants (coordination des acteurs non étatiques, Groupe technique Nutrition, lien avec le Point focal SUN…)</w:t>
      </w:r>
    </w:p>
    <w:p w:rsidR="009A647F" w:rsidRPr="005F557F" w:rsidRDefault="009A647F" w:rsidP="005A153F">
      <w:pPr>
        <w:widowControl w:val="0"/>
        <w:spacing w:after="0" w:line="240" w:lineRule="auto"/>
        <w:jc w:val="both"/>
        <w:rPr>
          <w:rFonts w:ascii="Times New Roman" w:eastAsia="Times New Roman" w:hAnsi="Times New Roman" w:cs="Times New Roman"/>
          <w:snapToGrid w:val="0"/>
          <w:sz w:val="24"/>
          <w:szCs w:val="24"/>
          <w:lang w:val="fr-FR" w:eastAsia="x-none"/>
        </w:rPr>
      </w:pPr>
    </w:p>
    <w:p w:rsidR="00DE0BC6" w:rsidRDefault="00DE0BC6" w:rsidP="005F557F">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Indicate the main implementing partners, their roles and responsibilities, and their interaction with the Participating UN or Non-UN Organization.</w:t>
      </w:r>
    </w:p>
    <w:p w:rsidR="005F557F" w:rsidRPr="005F557F" w:rsidRDefault="005F557F" w:rsidP="005F557F">
      <w:pPr>
        <w:widowControl w:val="0"/>
        <w:spacing w:before="120" w:after="0" w:line="240" w:lineRule="auto"/>
        <w:jc w:val="both"/>
        <w:rPr>
          <w:rFonts w:ascii="Times New Roman" w:eastAsia="Times New Roman" w:hAnsi="Times New Roman" w:cs="Times New Roman"/>
          <w:snapToGrid w:val="0"/>
          <w:sz w:val="24"/>
          <w:szCs w:val="24"/>
          <w:u w:val="single"/>
          <w:lang w:eastAsia="x-none"/>
        </w:rPr>
      </w:pPr>
    </w:p>
    <w:p w:rsidR="00A74237" w:rsidRPr="005F557F" w:rsidRDefault="00A74237" w:rsidP="00F76A45">
      <w:pPr>
        <w:pStyle w:val="Default"/>
        <w:jc w:val="both"/>
        <w:rPr>
          <w:color w:val="auto"/>
        </w:rPr>
      </w:pPr>
      <w:r w:rsidRPr="005F557F">
        <w:rPr>
          <w:color w:val="auto"/>
        </w:rPr>
        <w:t xml:space="preserve">Les actions de l’initiative en République de Guinée concernant la société civile sont coordonnées par 4 institutions dont les rôles et responsabilités sont complémentaires tant au niveau international que national. Ces institutions sont des acteurs importants dans la nutrition en Guinée depuis plus d’une décennie à travers la mise en œuvre des projets et programmes dans le domaine. Il s’agit de: </w:t>
      </w:r>
    </w:p>
    <w:p w:rsidR="003907B4" w:rsidRPr="005F557F" w:rsidRDefault="003907B4" w:rsidP="005A153F">
      <w:pPr>
        <w:pStyle w:val="Default"/>
        <w:ind w:left="360"/>
        <w:jc w:val="both"/>
        <w:rPr>
          <w:color w:val="auto"/>
        </w:rPr>
      </w:pPr>
    </w:p>
    <w:p w:rsidR="00A74237" w:rsidRPr="005F557F" w:rsidRDefault="000C0211" w:rsidP="000C0211">
      <w:pPr>
        <w:pStyle w:val="Default"/>
        <w:spacing w:after="32"/>
        <w:jc w:val="both"/>
        <w:rPr>
          <w:color w:val="auto"/>
        </w:rPr>
      </w:pPr>
      <w:r>
        <w:rPr>
          <w:color w:val="auto"/>
          <w:u w:val="single"/>
        </w:rPr>
        <w:lastRenderedPageBreak/>
        <w:t xml:space="preserve">1. </w:t>
      </w:r>
      <w:r w:rsidR="00A74237" w:rsidRPr="005F557F">
        <w:rPr>
          <w:color w:val="auto"/>
          <w:u w:val="single"/>
        </w:rPr>
        <w:t>Fond des Nations Unies pour l’Enfance (UNICEF)</w:t>
      </w:r>
      <w:r w:rsidR="00A74237" w:rsidRPr="005F557F">
        <w:rPr>
          <w:b/>
          <w:bCs/>
          <w:color w:val="auto"/>
        </w:rPr>
        <w:t xml:space="preserve"> </w:t>
      </w:r>
      <w:r w:rsidR="00A74237" w:rsidRPr="005F557F">
        <w:rPr>
          <w:color w:val="auto"/>
        </w:rPr>
        <w:t xml:space="preserve">à travers le SUN qui assure le parrainage du projet. Il est responsable du projet devant le secrétariat du mouvement SUN et facilite la gestion financière et technique du projet. </w:t>
      </w:r>
    </w:p>
    <w:p w:rsidR="00876459" w:rsidRPr="005F557F" w:rsidRDefault="00876459" w:rsidP="00876459">
      <w:pPr>
        <w:pStyle w:val="Default"/>
        <w:spacing w:after="32"/>
        <w:ind w:left="720"/>
        <w:jc w:val="both"/>
        <w:rPr>
          <w:color w:val="auto"/>
        </w:rPr>
      </w:pPr>
    </w:p>
    <w:p w:rsidR="00A74237" w:rsidRPr="005F557F" w:rsidRDefault="00A74237" w:rsidP="005A153F">
      <w:pPr>
        <w:pStyle w:val="Default"/>
        <w:spacing w:after="32"/>
        <w:jc w:val="both"/>
        <w:rPr>
          <w:color w:val="auto"/>
        </w:rPr>
      </w:pPr>
      <w:r w:rsidRPr="005F557F">
        <w:rPr>
          <w:color w:val="auto"/>
          <w:u w:val="single"/>
        </w:rPr>
        <w:t>2. Le Conseil National des Organisations de la Société Civile Guinéenne</w:t>
      </w:r>
      <w:r w:rsidRPr="005F557F">
        <w:rPr>
          <w:bCs/>
          <w:color w:val="auto"/>
          <w:u w:val="single"/>
        </w:rPr>
        <w:t>,</w:t>
      </w:r>
      <w:r w:rsidRPr="005F557F">
        <w:rPr>
          <w:b/>
          <w:bCs/>
          <w:color w:val="auto"/>
        </w:rPr>
        <w:t xml:space="preserve"> </w:t>
      </w:r>
      <w:r w:rsidRPr="005F557F">
        <w:rPr>
          <w:color w:val="auto"/>
        </w:rPr>
        <w:t xml:space="preserve">bénéficiaire direct du projet, il assure la mise en œuvre du plan opérationnel annuel du projet sous l’assistance technique de Terre des hommes, le secteur privé et les autres partenaires techniques et financiers en nutrition. </w:t>
      </w:r>
    </w:p>
    <w:p w:rsidR="003907B4" w:rsidRPr="005F557F" w:rsidRDefault="003907B4" w:rsidP="005A153F">
      <w:pPr>
        <w:pStyle w:val="Default"/>
        <w:spacing w:after="32"/>
        <w:jc w:val="both"/>
        <w:rPr>
          <w:color w:val="auto"/>
        </w:rPr>
      </w:pPr>
    </w:p>
    <w:p w:rsidR="00A74237" w:rsidRPr="005F557F" w:rsidRDefault="00A74237" w:rsidP="005A153F">
      <w:pPr>
        <w:pStyle w:val="Default"/>
        <w:spacing w:after="32"/>
        <w:jc w:val="both"/>
        <w:rPr>
          <w:color w:val="auto"/>
        </w:rPr>
      </w:pPr>
      <w:r w:rsidRPr="005F557F">
        <w:rPr>
          <w:color w:val="auto"/>
          <w:u w:val="single"/>
        </w:rPr>
        <w:t xml:space="preserve">3. </w:t>
      </w:r>
      <w:r w:rsidRPr="005F557F">
        <w:rPr>
          <w:bCs/>
          <w:color w:val="auto"/>
          <w:u w:val="single"/>
        </w:rPr>
        <w:t>Terre des hommes Lausanne en Guinée</w:t>
      </w:r>
      <w:r w:rsidRPr="005F557F">
        <w:rPr>
          <w:b/>
          <w:bCs/>
          <w:color w:val="auto"/>
        </w:rPr>
        <w:t xml:space="preserve"> </w:t>
      </w:r>
      <w:r w:rsidRPr="005F557F">
        <w:rPr>
          <w:color w:val="auto"/>
        </w:rPr>
        <w:t xml:space="preserve">assure la gestion administrative/financière et la coordination avec le comité technique national, le secteur privé et les autres partenaires techniques et financiers en nutrition. </w:t>
      </w:r>
    </w:p>
    <w:p w:rsidR="00A74237" w:rsidRPr="005F557F" w:rsidRDefault="00A74237" w:rsidP="005A153F">
      <w:pPr>
        <w:pStyle w:val="Default"/>
        <w:jc w:val="both"/>
        <w:rPr>
          <w:color w:val="auto"/>
        </w:rPr>
      </w:pPr>
      <w:r w:rsidRPr="005F557F">
        <w:rPr>
          <w:color w:val="auto"/>
        </w:rPr>
        <w:t xml:space="preserve">Elle assure pour la nutrition le rôle d’assistance technique au point focal SUN, Groupe Technique de Nutrition et Alimentation et aux autres organisations impliquées dans la nutrition en Guinée  sous la coordination du mouvement SUN. </w:t>
      </w:r>
    </w:p>
    <w:p w:rsidR="003907B4" w:rsidRPr="005F557F" w:rsidRDefault="003907B4" w:rsidP="005A153F">
      <w:pPr>
        <w:pStyle w:val="Default"/>
        <w:jc w:val="both"/>
        <w:rPr>
          <w:color w:val="auto"/>
        </w:rPr>
      </w:pPr>
    </w:p>
    <w:p w:rsidR="00A74237" w:rsidRPr="005F557F" w:rsidRDefault="00A74237" w:rsidP="005A153F">
      <w:pPr>
        <w:pStyle w:val="Default"/>
        <w:jc w:val="both"/>
        <w:rPr>
          <w:color w:val="auto"/>
        </w:rPr>
      </w:pPr>
      <w:r w:rsidRPr="005F557F">
        <w:rPr>
          <w:color w:val="auto"/>
          <w:u w:val="single"/>
        </w:rPr>
        <w:t>4. Le Ministère de la santé</w:t>
      </w:r>
      <w:r w:rsidRPr="005F557F">
        <w:rPr>
          <w:b/>
          <w:color w:val="auto"/>
        </w:rPr>
        <w:t xml:space="preserve"> </w:t>
      </w:r>
      <w:r w:rsidRPr="005F557F">
        <w:rPr>
          <w:color w:val="auto"/>
        </w:rPr>
        <w:t xml:space="preserve">à travers la Direction Nationale de la Santé Familiale et Nutrition (DNSFN) par le biais de la Division Alimentation et Nutrition (DAN) préside le comité de pilotage dudit projet et assure la supervision générale de l’opérationnalisation des différents engagements pris. </w:t>
      </w:r>
    </w:p>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lang w:val="fr-FR" w:eastAsia="x-none"/>
        </w:rPr>
      </w:pPr>
    </w:p>
    <w:p w:rsidR="00DE0BC6" w:rsidRPr="005F557F" w:rsidRDefault="00DE0BC6" w:rsidP="005A153F">
      <w:pPr>
        <w:widowControl w:val="0"/>
        <w:numPr>
          <w:ilvl w:val="0"/>
          <w:numId w:val="3"/>
        </w:numPr>
        <w:spacing w:after="0" w:line="240" w:lineRule="auto"/>
        <w:ind w:left="360" w:hanging="360"/>
        <w:jc w:val="both"/>
        <w:rPr>
          <w:rFonts w:ascii="Times New Roman" w:eastAsia="Times New Roman" w:hAnsi="Times New Roman" w:cs="Times New Roman"/>
          <w:b/>
          <w:snapToGrid w:val="0"/>
          <w:sz w:val="24"/>
          <w:szCs w:val="24"/>
          <w:lang w:eastAsia="x-none"/>
        </w:rPr>
      </w:pPr>
      <w:r w:rsidRPr="005F557F">
        <w:rPr>
          <w:rFonts w:ascii="Times New Roman" w:eastAsia="Times New Roman" w:hAnsi="Times New Roman" w:cs="Times New Roman"/>
          <w:b/>
          <w:snapToGrid w:val="0"/>
          <w:sz w:val="24"/>
          <w:szCs w:val="24"/>
          <w:lang w:eastAsia="x-none"/>
        </w:rPr>
        <w:t xml:space="preserve">Resources </w:t>
      </w:r>
    </w:p>
    <w:p w:rsidR="00876459" w:rsidRPr="005F557F" w:rsidRDefault="00876459" w:rsidP="00876459">
      <w:pPr>
        <w:widowControl w:val="0"/>
        <w:spacing w:before="120" w:after="0" w:line="240" w:lineRule="auto"/>
        <w:jc w:val="both"/>
        <w:rPr>
          <w:rFonts w:ascii="Times New Roman" w:eastAsia="Times New Roman" w:hAnsi="Times New Roman" w:cs="Times New Roman"/>
          <w:snapToGrid w:val="0"/>
          <w:sz w:val="24"/>
          <w:szCs w:val="24"/>
          <w:lang w:eastAsia="x-none"/>
        </w:rPr>
      </w:pPr>
    </w:p>
    <w:p w:rsidR="00876459" w:rsidRPr="005F557F" w:rsidRDefault="00876459" w:rsidP="00876459">
      <w:pPr>
        <w:pStyle w:val="Default"/>
        <w:jc w:val="both"/>
        <w:rPr>
          <w:color w:val="auto"/>
        </w:rPr>
      </w:pPr>
      <w:r w:rsidRPr="005F557F">
        <w:rPr>
          <w:color w:val="auto"/>
        </w:rPr>
        <w:t>Le projet est entièrement financé par le SUN-MPTF à hauteur de 289,000USD</w:t>
      </w:r>
      <w:r w:rsidR="005F557F">
        <w:rPr>
          <w:color w:val="auto"/>
        </w:rPr>
        <w:t xml:space="preserve"> ; à date, 144,000$ ont déjà été utilisés soit environ 50% du budget alloué. </w:t>
      </w:r>
    </w:p>
    <w:p w:rsidR="00DE0BC6" w:rsidRPr="005F557F" w:rsidRDefault="00DE0BC6" w:rsidP="005A153F">
      <w:pPr>
        <w:widowControl w:val="0"/>
        <w:spacing w:after="0" w:line="240" w:lineRule="auto"/>
        <w:jc w:val="both"/>
        <w:rPr>
          <w:rFonts w:ascii="Times New Roman" w:eastAsia="Times New Roman" w:hAnsi="Times New Roman" w:cs="Times New Roman"/>
          <w:b/>
          <w:snapToGrid w:val="0"/>
          <w:sz w:val="24"/>
          <w:szCs w:val="24"/>
          <w:lang w:val="fr-FR" w:eastAsia="x-none"/>
        </w:rPr>
      </w:pPr>
    </w:p>
    <w:p w:rsidR="00DE0BC6" w:rsidRPr="005F557F" w:rsidRDefault="00DE0BC6" w:rsidP="005A153F">
      <w:pPr>
        <w:widowControl w:val="0"/>
        <w:numPr>
          <w:ilvl w:val="0"/>
          <w:numId w:val="3"/>
        </w:numPr>
        <w:spacing w:after="0" w:line="240" w:lineRule="auto"/>
        <w:ind w:left="360" w:hanging="360"/>
        <w:jc w:val="both"/>
        <w:rPr>
          <w:rFonts w:ascii="Times New Roman" w:eastAsia="Times New Roman" w:hAnsi="Times New Roman" w:cs="Times New Roman"/>
          <w:b/>
          <w:snapToGrid w:val="0"/>
          <w:sz w:val="24"/>
          <w:szCs w:val="24"/>
          <w:lang w:eastAsia="x-none"/>
        </w:rPr>
      </w:pPr>
      <w:r w:rsidRPr="005F557F">
        <w:rPr>
          <w:rFonts w:ascii="Times New Roman" w:eastAsia="Times New Roman" w:hAnsi="Times New Roman" w:cs="Times New Roman"/>
          <w:b/>
          <w:snapToGrid w:val="0"/>
          <w:sz w:val="24"/>
          <w:szCs w:val="24"/>
          <w:lang w:eastAsia="x-none"/>
        </w:rPr>
        <w:t>Implementation and Monitoring Arrangements</w:t>
      </w:r>
    </w:p>
    <w:p w:rsidR="00DE0BC6" w:rsidRPr="005F557F" w:rsidRDefault="00DE0BC6"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 xml:space="preserve">Summarize how national alliances and/or other governance  mechanisms are being primarily utilized </w:t>
      </w:r>
    </w:p>
    <w:p w:rsidR="00F76A45" w:rsidRPr="005F557F" w:rsidRDefault="00F76A45" w:rsidP="00F76A45">
      <w:pPr>
        <w:widowControl w:val="0"/>
        <w:spacing w:before="120" w:after="0" w:line="240" w:lineRule="auto"/>
        <w:ind w:left="720"/>
        <w:jc w:val="both"/>
        <w:rPr>
          <w:rFonts w:ascii="Times New Roman" w:eastAsia="Times New Roman" w:hAnsi="Times New Roman" w:cs="Times New Roman"/>
          <w:snapToGrid w:val="0"/>
          <w:sz w:val="24"/>
          <w:szCs w:val="24"/>
          <w:lang w:eastAsia="x-none"/>
        </w:rPr>
      </w:pPr>
    </w:p>
    <w:p w:rsidR="00AB3A22" w:rsidRPr="005F557F" w:rsidRDefault="00AB3A22" w:rsidP="00C15252">
      <w:pPr>
        <w:jc w:val="both"/>
        <w:rPr>
          <w:rFonts w:ascii="Times New Roman" w:hAnsi="Times New Roman" w:cs="Times New Roman"/>
          <w:sz w:val="24"/>
          <w:szCs w:val="24"/>
          <w:lang w:val="fr-FR"/>
        </w:rPr>
      </w:pPr>
      <w:r w:rsidRPr="005F557F">
        <w:rPr>
          <w:rFonts w:ascii="Times New Roman" w:hAnsi="Times New Roman" w:cs="Times New Roman"/>
          <w:sz w:val="24"/>
          <w:szCs w:val="24"/>
          <w:lang w:val="fr-FR"/>
        </w:rPr>
        <w:t>Pour la mise en place d’une alliance de la société civile, le projet a désigné un</w:t>
      </w:r>
      <w:r w:rsidR="00E929D0" w:rsidRPr="005F557F">
        <w:rPr>
          <w:rFonts w:ascii="Times New Roman" w:hAnsi="Times New Roman" w:cs="Times New Roman"/>
          <w:sz w:val="24"/>
          <w:szCs w:val="24"/>
          <w:lang w:val="fr-FR"/>
        </w:rPr>
        <w:t xml:space="preserve"> Responsable</w:t>
      </w:r>
      <w:r w:rsidRPr="005F557F">
        <w:rPr>
          <w:rFonts w:ascii="Times New Roman" w:hAnsi="Times New Roman" w:cs="Times New Roman"/>
          <w:sz w:val="24"/>
          <w:szCs w:val="24"/>
          <w:lang w:val="fr-FR"/>
        </w:rPr>
        <w:t xml:space="preserve"> de projet (personnel de Terre des hommes Lausanne-Guinée, Tdh) et un chargé de mise en œuvre (personnel du Conseil National des Organisations de la Société Civile Guinéenne, CNOSCG) qui avec l’appui de leurs bureaux respectifs ont mis en place un processus de sélection qui a abouti à la mise en place d’un Groupe de Travail et de Réflexion (GRT) de la société civile sur la nutrition composé de 06 autres Organisations de la Société Civile (OSC) issues du domaine parlementaire, du secteur agroalimentaire, des medias, du développement rural, de la jeunesse et du droit des femmes. Depuis sa mise en place ce groupe de travail s’est réuni régulièrement pour rédiger et  finaliser ses Termes de Références (TdR) ainsi que les TdR des points focaux des OSC, pour </w:t>
      </w:r>
      <w:r w:rsidRPr="005F557F">
        <w:rPr>
          <w:rFonts w:ascii="Times New Roman" w:eastAsia="Times New Roman" w:hAnsi="Times New Roman" w:cs="Times New Roman"/>
          <w:sz w:val="24"/>
          <w:szCs w:val="24"/>
          <w:lang w:val="fr-FR" w:eastAsia="fr-FR"/>
        </w:rPr>
        <w:t>discuter sur le rapport d’évaluation globale indépendante du mouvement SUN</w:t>
      </w:r>
      <w:r w:rsidRPr="005F557F">
        <w:rPr>
          <w:rFonts w:ascii="Times New Roman" w:hAnsi="Times New Roman" w:cs="Times New Roman"/>
          <w:sz w:val="24"/>
          <w:szCs w:val="24"/>
          <w:lang w:val="fr-FR"/>
        </w:rPr>
        <w:t xml:space="preserve"> envoyer par le secrétariat du mouvement SUN ainsi que pour préparer sa première participation à la réunion du cluster nutrition et sécurité alimentaire</w:t>
      </w:r>
      <w:r w:rsidR="00E929D0" w:rsidRPr="005F557F">
        <w:rPr>
          <w:rFonts w:ascii="Times New Roman" w:hAnsi="Times New Roman" w:cs="Times New Roman"/>
          <w:sz w:val="24"/>
          <w:szCs w:val="24"/>
          <w:lang w:val="fr-FR"/>
        </w:rPr>
        <w:t xml:space="preserve"> en cette période de l’épidémie d’Ebola.</w:t>
      </w:r>
    </w:p>
    <w:p w:rsidR="00AB3A22" w:rsidRPr="005F557F" w:rsidRDefault="00AB3A22" w:rsidP="00C15252">
      <w:pPr>
        <w:jc w:val="both"/>
        <w:rPr>
          <w:rFonts w:ascii="Times New Roman" w:hAnsi="Times New Roman" w:cs="Times New Roman"/>
          <w:sz w:val="24"/>
          <w:szCs w:val="24"/>
          <w:lang w:val="fr-FR"/>
        </w:rPr>
      </w:pPr>
      <w:r w:rsidRPr="005F557F">
        <w:rPr>
          <w:rFonts w:ascii="Times New Roman" w:hAnsi="Times New Roman" w:cs="Times New Roman"/>
          <w:sz w:val="24"/>
          <w:szCs w:val="24"/>
          <w:lang w:val="fr-FR"/>
        </w:rPr>
        <w:t xml:space="preserve">A côté du groupe de travail et de réflexion, il a été mis en place un comité de pilotage du projet comprenant l’UNICEF, le CNOSCG, la Division Alimentation Nutrition (DAN), 3 OSC, Helen Keller International (HKI), PAM, Action Contre la Faim (ACF), FAO et Tdh. Ce comité a pour </w:t>
      </w:r>
      <w:r w:rsidRPr="005F557F">
        <w:rPr>
          <w:rFonts w:ascii="Times New Roman" w:hAnsi="Times New Roman" w:cs="Times New Roman"/>
          <w:sz w:val="24"/>
          <w:szCs w:val="24"/>
          <w:lang w:val="fr-FR"/>
        </w:rPr>
        <w:lastRenderedPageBreak/>
        <w:t>rôle entre autres : l’élaboration des directives du projet, l’orientation et le cadrage du projet vers les objectifs qui lui sont assignés, le soutien des efforts du projet MPTF-SUN et celui du Gouvernement en matière de nutrition et veiller à la bonne marche du projet pour l’atteinte d</w:t>
      </w:r>
      <w:r w:rsidR="00157D4A" w:rsidRPr="005F557F">
        <w:rPr>
          <w:rFonts w:ascii="Times New Roman" w:hAnsi="Times New Roman" w:cs="Times New Roman"/>
          <w:sz w:val="24"/>
          <w:szCs w:val="24"/>
          <w:lang w:val="fr-FR"/>
        </w:rPr>
        <w:t>es objectifs qui lui sont fixés.</w:t>
      </w:r>
    </w:p>
    <w:p w:rsidR="00AB3A22" w:rsidRPr="005F557F" w:rsidRDefault="00AB3A22" w:rsidP="005A153F">
      <w:pPr>
        <w:widowControl w:val="0"/>
        <w:spacing w:before="120" w:after="0" w:line="240" w:lineRule="auto"/>
        <w:jc w:val="both"/>
        <w:rPr>
          <w:rFonts w:ascii="Times New Roman" w:eastAsia="Times New Roman" w:hAnsi="Times New Roman" w:cs="Times New Roman"/>
          <w:snapToGrid w:val="0"/>
          <w:sz w:val="24"/>
          <w:szCs w:val="24"/>
          <w:lang w:val="fr-FR" w:eastAsia="x-none"/>
        </w:rPr>
      </w:pPr>
    </w:p>
    <w:p w:rsidR="00737D8E" w:rsidRDefault="00DE0BC6"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 xml:space="preserve">Provide an update on risk factors the alliance/governance structure faces in implementing the proposal </w:t>
      </w:r>
    </w:p>
    <w:p w:rsidR="00D15007" w:rsidRPr="005F557F" w:rsidRDefault="00DE0BC6"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 xml:space="preserve"> </w:t>
      </w:r>
    </w:p>
    <w:p w:rsidR="00DE0BC6" w:rsidRDefault="00D15007" w:rsidP="00876459">
      <w:pPr>
        <w:widowControl w:val="0"/>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Dans la proposition originale, il était prévu que la mise en </w:t>
      </w:r>
      <w:r w:rsidR="00A65E63" w:rsidRPr="005F557F">
        <w:rPr>
          <w:rFonts w:ascii="Times New Roman" w:eastAsia="Times New Roman" w:hAnsi="Times New Roman" w:cs="Times New Roman"/>
          <w:snapToGrid w:val="0"/>
          <w:sz w:val="24"/>
          <w:szCs w:val="24"/>
          <w:lang w:val="fr-FR" w:eastAsia="x-none"/>
        </w:rPr>
        <w:t>œuvre</w:t>
      </w:r>
      <w:r w:rsidRPr="005F557F">
        <w:rPr>
          <w:rFonts w:ascii="Times New Roman" w:eastAsia="Times New Roman" w:hAnsi="Times New Roman" w:cs="Times New Roman"/>
          <w:snapToGrid w:val="0"/>
          <w:sz w:val="24"/>
          <w:szCs w:val="24"/>
          <w:lang w:val="fr-FR" w:eastAsia="x-none"/>
        </w:rPr>
        <w:t xml:space="preserve"> du projet devrait être </w:t>
      </w:r>
      <w:r w:rsidR="00A65E63" w:rsidRPr="005F557F">
        <w:rPr>
          <w:rFonts w:ascii="Times New Roman" w:eastAsia="Times New Roman" w:hAnsi="Times New Roman" w:cs="Times New Roman"/>
          <w:snapToGrid w:val="0"/>
          <w:sz w:val="24"/>
          <w:szCs w:val="24"/>
          <w:lang w:val="fr-FR" w:eastAsia="x-none"/>
        </w:rPr>
        <w:t>faite</w:t>
      </w:r>
      <w:r w:rsidRPr="005F557F">
        <w:rPr>
          <w:rFonts w:ascii="Times New Roman" w:eastAsia="Times New Roman" w:hAnsi="Times New Roman" w:cs="Times New Roman"/>
          <w:snapToGrid w:val="0"/>
          <w:sz w:val="24"/>
          <w:szCs w:val="24"/>
          <w:lang w:val="fr-FR" w:eastAsia="x-none"/>
        </w:rPr>
        <w:t xml:space="preserve"> par le CNOSCG et 8 autres OSC nationales</w:t>
      </w:r>
      <w:r w:rsidR="004D4AA9" w:rsidRPr="005F557F">
        <w:rPr>
          <w:rFonts w:ascii="Times New Roman" w:eastAsia="Times New Roman" w:hAnsi="Times New Roman" w:cs="Times New Roman"/>
          <w:snapToGrid w:val="0"/>
          <w:sz w:val="24"/>
          <w:szCs w:val="24"/>
          <w:lang w:val="fr-FR" w:eastAsia="x-none"/>
        </w:rPr>
        <w:t xml:space="preserve">, mais l’évènement majeur a été que, le budget n’a été disponible que pour la mise en œuvre du projet avec 6 OSC. </w:t>
      </w:r>
      <w:r w:rsidR="00157D4A" w:rsidRPr="005F557F">
        <w:rPr>
          <w:rFonts w:ascii="Times New Roman" w:eastAsia="Times New Roman" w:hAnsi="Times New Roman" w:cs="Times New Roman"/>
          <w:snapToGrid w:val="0"/>
          <w:sz w:val="24"/>
          <w:szCs w:val="24"/>
          <w:lang w:val="fr-FR" w:eastAsia="x-none"/>
        </w:rPr>
        <w:t xml:space="preserve">De plus, la Guinée traverse depuis Mars 2014, l’épidémie à Virus Ebola qui a complètement mobilisé toute l’énergie et le personnel clé du ministère la santé, des organisations des nations-unies et des ONGs. L’épidémie n’est pas encore complètement maitrisée et continue de constituer un risque pour la réalisation des objectifs du projet. </w:t>
      </w:r>
    </w:p>
    <w:p w:rsidR="00737D8E" w:rsidRPr="005F557F" w:rsidRDefault="00737D8E" w:rsidP="00876459">
      <w:pPr>
        <w:widowControl w:val="0"/>
        <w:spacing w:before="120" w:after="0" w:line="240" w:lineRule="auto"/>
        <w:jc w:val="both"/>
        <w:rPr>
          <w:rFonts w:ascii="Times New Roman" w:eastAsia="Times New Roman" w:hAnsi="Times New Roman" w:cs="Times New Roman"/>
          <w:snapToGrid w:val="0"/>
          <w:sz w:val="24"/>
          <w:szCs w:val="24"/>
          <w:lang w:val="fr-FR" w:eastAsia="x-none"/>
        </w:rPr>
      </w:pPr>
    </w:p>
    <w:p w:rsidR="00DE0BC6" w:rsidRDefault="00DE0BC6"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snapToGrid w:val="0"/>
          <w:sz w:val="24"/>
          <w:szCs w:val="24"/>
          <w:u w:val="single"/>
          <w:lang w:eastAsia="x-none"/>
        </w:rPr>
        <w:t xml:space="preserve">Provide details on alert/monitoring/tracking system(s) that are being used to identify and possibly mitigate risks factors </w:t>
      </w:r>
    </w:p>
    <w:p w:rsidR="00737D8E" w:rsidRPr="005F557F" w:rsidRDefault="00737D8E"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p>
    <w:p w:rsidR="007811EA" w:rsidRPr="005F557F" w:rsidRDefault="00876459" w:rsidP="00876459">
      <w:pPr>
        <w:widowControl w:val="0"/>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P</w:t>
      </w:r>
      <w:r w:rsidR="007811EA" w:rsidRPr="005F557F">
        <w:rPr>
          <w:rFonts w:ascii="Times New Roman" w:eastAsia="Times New Roman" w:hAnsi="Times New Roman" w:cs="Times New Roman"/>
          <w:snapToGrid w:val="0"/>
          <w:sz w:val="24"/>
          <w:szCs w:val="24"/>
          <w:lang w:val="fr-FR" w:eastAsia="x-none"/>
        </w:rPr>
        <w:t>our la mise en œuvre de ce projet, Tdh en collaboration avec l’UNICEF et la Division Alimentation et Nutrition</w:t>
      </w:r>
      <w:r w:rsidR="00A65E63" w:rsidRPr="005F557F">
        <w:rPr>
          <w:rFonts w:ascii="Times New Roman" w:eastAsia="Times New Roman" w:hAnsi="Times New Roman" w:cs="Times New Roman"/>
          <w:snapToGrid w:val="0"/>
          <w:sz w:val="24"/>
          <w:szCs w:val="24"/>
          <w:lang w:val="fr-FR" w:eastAsia="x-none"/>
        </w:rPr>
        <w:t xml:space="preserve"> va renforcer</w:t>
      </w:r>
      <w:r w:rsidR="007811EA" w:rsidRPr="005F557F">
        <w:rPr>
          <w:rFonts w:ascii="Times New Roman" w:eastAsia="Times New Roman" w:hAnsi="Times New Roman" w:cs="Times New Roman"/>
          <w:snapToGrid w:val="0"/>
          <w:sz w:val="24"/>
          <w:szCs w:val="24"/>
          <w:lang w:val="fr-FR" w:eastAsia="x-none"/>
        </w:rPr>
        <w:t xml:space="preserve"> les capacités du CNOSCG et des OSC partenaires en matière de suivi évaluation</w:t>
      </w:r>
      <w:r w:rsidR="00A65E63" w:rsidRPr="005F557F">
        <w:rPr>
          <w:rFonts w:ascii="Times New Roman" w:eastAsia="Times New Roman" w:hAnsi="Times New Roman" w:cs="Times New Roman"/>
          <w:snapToGrid w:val="0"/>
          <w:sz w:val="24"/>
          <w:szCs w:val="24"/>
          <w:lang w:val="fr-FR" w:eastAsia="x-none"/>
        </w:rPr>
        <w:t xml:space="preserve"> </w:t>
      </w:r>
      <w:r w:rsidR="00A00C35" w:rsidRPr="005F557F">
        <w:rPr>
          <w:rFonts w:ascii="Times New Roman" w:eastAsia="Times New Roman" w:hAnsi="Times New Roman" w:cs="Times New Roman"/>
          <w:snapToGrid w:val="0"/>
          <w:sz w:val="24"/>
          <w:szCs w:val="24"/>
          <w:lang w:val="fr-FR" w:eastAsia="x-none"/>
        </w:rPr>
        <w:t xml:space="preserve">en </w:t>
      </w:r>
      <w:r w:rsidR="00A65E63" w:rsidRPr="005F557F">
        <w:rPr>
          <w:rFonts w:ascii="Times New Roman" w:eastAsia="Times New Roman" w:hAnsi="Times New Roman" w:cs="Times New Roman"/>
          <w:snapToGrid w:val="0"/>
          <w:sz w:val="24"/>
          <w:szCs w:val="24"/>
          <w:lang w:val="fr-FR" w:eastAsia="x-none"/>
        </w:rPr>
        <w:t xml:space="preserve"> nutrition et la mise en place d’un observatoire de nutrition est prévue bien qu’avec un retard remarquable.</w:t>
      </w:r>
      <w:r w:rsidR="00157D4A" w:rsidRPr="005F557F">
        <w:rPr>
          <w:rFonts w:ascii="Times New Roman" w:eastAsia="Times New Roman" w:hAnsi="Times New Roman" w:cs="Times New Roman"/>
          <w:snapToGrid w:val="0"/>
          <w:sz w:val="24"/>
          <w:szCs w:val="24"/>
          <w:lang w:val="fr-FR" w:eastAsia="x-none"/>
        </w:rPr>
        <w:t xml:space="preserve"> Pour mitiger davantage le risque lié à Ebola, les différents partenaires du projet ont convenu de ne pas affecter le staff dédié au projet SUN à la réponse directe à l’épidémie. Aussi l’Unicef a inscrit dans le cadre du plan d’action avec le gouvernement pour 2015, la priorité sur les actions en upstream de plaidoyer pour la réduction de la malnutrition chronique – en droite ligne avec la proposition MPTF-SUN. Le recrutement d’un coordonnateur international REACH en cours devrait aussi relancer les synergie entre le projet et le REACH et permettre d’atteindre les objectifs assignés d’ici la fin de l’année.</w:t>
      </w:r>
    </w:p>
    <w:p w:rsidR="00737D8E" w:rsidRDefault="00737D8E" w:rsidP="00737D8E">
      <w:pPr>
        <w:widowControl w:val="0"/>
        <w:spacing w:before="120" w:after="0" w:line="240" w:lineRule="auto"/>
        <w:jc w:val="both"/>
        <w:rPr>
          <w:rFonts w:ascii="Times New Roman" w:eastAsia="Times New Roman" w:hAnsi="Times New Roman" w:cs="Times New Roman"/>
          <w:bCs/>
          <w:snapToGrid w:val="0"/>
          <w:sz w:val="24"/>
          <w:szCs w:val="24"/>
          <w:u w:val="single"/>
          <w:lang w:eastAsia="x-none"/>
        </w:rPr>
      </w:pPr>
    </w:p>
    <w:p w:rsidR="00DE0BC6" w:rsidRPr="005F557F" w:rsidRDefault="00DE0BC6" w:rsidP="00737D8E">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5F557F">
        <w:rPr>
          <w:rFonts w:ascii="Times New Roman" w:eastAsia="Times New Roman" w:hAnsi="Times New Roman" w:cs="Times New Roman"/>
          <w:bCs/>
          <w:snapToGrid w:val="0"/>
          <w:sz w:val="24"/>
          <w:szCs w:val="24"/>
          <w:u w:val="single"/>
          <w:lang w:eastAsia="x-none"/>
        </w:rPr>
        <w:t>Report on any assessments, evaluations or studies undertaken.</w:t>
      </w:r>
    </w:p>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vertAlign w:val="superscript"/>
          <w:lang w:eastAsia="x-none"/>
        </w:rPr>
      </w:pPr>
      <w:r w:rsidRPr="005F557F">
        <w:rPr>
          <w:rFonts w:ascii="Times New Roman" w:eastAsia="Times New Roman" w:hAnsi="Times New Roman" w:cs="Times New Roman"/>
          <w:snapToGrid w:val="0"/>
          <w:sz w:val="24"/>
          <w:szCs w:val="24"/>
          <w:vertAlign w:val="superscript"/>
          <w:lang w:eastAsia="x-none"/>
        </w:rPr>
        <w:t xml:space="preserve"> </w:t>
      </w:r>
    </w:p>
    <w:p w:rsidR="00DE0BC6" w:rsidRPr="005F557F" w:rsidRDefault="00A65E63" w:rsidP="005A153F">
      <w:pPr>
        <w:widowControl w:val="0"/>
        <w:spacing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Une</w:t>
      </w:r>
      <w:r w:rsidR="000F6C16" w:rsidRPr="005F557F">
        <w:rPr>
          <w:rFonts w:ascii="Times New Roman" w:eastAsia="Times New Roman" w:hAnsi="Times New Roman" w:cs="Times New Roman"/>
          <w:snapToGrid w:val="0"/>
          <w:sz w:val="24"/>
          <w:szCs w:val="24"/>
          <w:lang w:val="fr-FR" w:eastAsia="x-none"/>
        </w:rPr>
        <w:t xml:space="preserve"> </w:t>
      </w:r>
      <w:r w:rsidR="00157D4A" w:rsidRPr="005F557F">
        <w:rPr>
          <w:rFonts w:ascii="Times New Roman" w:eastAsia="Times New Roman" w:hAnsi="Times New Roman" w:cs="Times New Roman"/>
          <w:snapToGrid w:val="0"/>
          <w:sz w:val="24"/>
          <w:szCs w:val="24"/>
          <w:lang w:val="fr-FR" w:eastAsia="x-none"/>
        </w:rPr>
        <w:t>analyse situationnelle d</w:t>
      </w:r>
      <w:r w:rsidRPr="005F557F">
        <w:rPr>
          <w:rFonts w:ascii="Times New Roman" w:eastAsia="Times New Roman" w:hAnsi="Times New Roman" w:cs="Times New Roman"/>
          <w:snapToGrid w:val="0"/>
          <w:sz w:val="24"/>
          <w:szCs w:val="24"/>
          <w:lang w:val="fr-FR" w:eastAsia="x-none"/>
        </w:rPr>
        <w:t>e la nutrition</w:t>
      </w:r>
      <w:r w:rsidR="000F6C16" w:rsidRPr="005F557F">
        <w:rPr>
          <w:rFonts w:ascii="Times New Roman" w:eastAsia="Times New Roman" w:hAnsi="Times New Roman" w:cs="Times New Roman"/>
          <w:snapToGrid w:val="0"/>
          <w:sz w:val="24"/>
          <w:szCs w:val="24"/>
          <w:lang w:val="fr-FR" w:eastAsia="x-none"/>
        </w:rPr>
        <w:t xml:space="preserve"> dans les ministères clés (santé, agriculture, pêche industrie, communication, information, finances…) et autres comme le Comité national de lutte contre le SIDA  </w:t>
      </w:r>
      <w:r w:rsidR="00157D4A" w:rsidRPr="005F557F">
        <w:rPr>
          <w:rFonts w:ascii="Times New Roman" w:eastAsia="Times New Roman" w:hAnsi="Times New Roman" w:cs="Times New Roman"/>
          <w:snapToGrid w:val="0"/>
          <w:sz w:val="24"/>
          <w:szCs w:val="24"/>
          <w:lang w:val="fr-FR" w:eastAsia="x-none"/>
        </w:rPr>
        <w:t xml:space="preserve">est en cours de discussions et les résultats devraient être disponibles d’ici Juillet-Aout 2015. </w:t>
      </w:r>
      <w:r w:rsidR="000B288A" w:rsidRPr="005F557F">
        <w:rPr>
          <w:rFonts w:ascii="Times New Roman" w:eastAsia="Times New Roman" w:hAnsi="Times New Roman" w:cs="Times New Roman"/>
          <w:snapToGrid w:val="0"/>
          <w:sz w:val="24"/>
          <w:szCs w:val="24"/>
          <w:lang w:val="fr-FR" w:eastAsia="x-none"/>
        </w:rPr>
        <w:t>(Questionnaire en annexe)</w:t>
      </w:r>
    </w:p>
    <w:p w:rsidR="00DE0BC6" w:rsidRPr="005F557F" w:rsidRDefault="00DE0BC6" w:rsidP="005A153F">
      <w:pPr>
        <w:widowControl w:val="0"/>
        <w:spacing w:after="0" w:line="240" w:lineRule="auto"/>
        <w:jc w:val="both"/>
        <w:rPr>
          <w:rFonts w:ascii="Times New Roman" w:eastAsia="Times New Roman" w:hAnsi="Times New Roman" w:cs="Times New Roman"/>
          <w:snapToGrid w:val="0"/>
          <w:sz w:val="24"/>
          <w:szCs w:val="24"/>
          <w:lang w:val="fr-FR" w:eastAsia="x-none"/>
        </w:rPr>
      </w:pPr>
    </w:p>
    <w:p w:rsidR="00DE0BC6" w:rsidRPr="005F557F" w:rsidRDefault="00DE0BC6" w:rsidP="005A153F">
      <w:pPr>
        <w:widowControl w:val="0"/>
        <w:numPr>
          <w:ilvl w:val="0"/>
          <w:numId w:val="3"/>
        </w:numPr>
        <w:spacing w:after="0" w:line="240" w:lineRule="auto"/>
        <w:ind w:left="360" w:hanging="360"/>
        <w:jc w:val="both"/>
        <w:rPr>
          <w:rFonts w:ascii="Times New Roman" w:eastAsia="Times New Roman" w:hAnsi="Times New Roman" w:cs="Times New Roman"/>
          <w:b/>
          <w:snapToGrid w:val="0"/>
          <w:sz w:val="24"/>
          <w:szCs w:val="24"/>
          <w:lang w:eastAsia="x-none"/>
        </w:rPr>
      </w:pPr>
      <w:r w:rsidRPr="005F557F">
        <w:rPr>
          <w:rFonts w:ascii="Times New Roman" w:eastAsia="Times New Roman" w:hAnsi="Times New Roman" w:cs="Times New Roman"/>
          <w:b/>
          <w:snapToGrid w:val="0"/>
          <w:sz w:val="24"/>
          <w:szCs w:val="24"/>
          <w:lang w:eastAsia="x-none"/>
        </w:rPr>
        <w:t xml:space="preserve">Results </w:t>
      </w:r>
    </w:p>
    <w:p w:rsidR="00DE0BC6" w:rsidRPr="005F557F" w:rsidRDefault="00DE0BC6" w:rsidP="005A153F">
      <w:p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Information in this section includes:</w:t>
      </w:r>
    </w:p>
    <w:p w:rsidR="00DE0BC6" w:rsidRPr="005F557F" w:rsidRDefault="00DE0BC6" w:rsidP="005A153F">
      <w:pPr>
        <w:widowControl w:val="0"/>
        <w:numPr>
          <w:ilvl w:val="0"/>
          <w:numId w:val="8"/>
        </w:num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An assessment of the extent to which the programme component is progressing in relation to the outcomes and outputs expected for the reporting period.</w:t>
      </w:r>
    </w:p>
    <w:p w:rsidR="00DE0BC6" w:rsidRPr="005F557F" w:rsidRDefault="00DE0BC6" w:rsidP="005A153F">
      <w:pPr>
        <w:widowControl w:val="0"/>
        <w:numPr>
          <w:ilvl w:val="0"/>
          <w:numId w:val="8"/>
        </w:num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Main activities undertaken and achievements.</w:t>
      </w:r>
    </w:p>
    <w:p w:rsidR="00DE0BC6" w:rsidRPr="005F557F" w:rsidRDefault="00DE0BC6" w:rsidP="005A153F">
      <w:pPr>
        <w:widowControl w:val="0"/>
        <w:numPr>
          <w:ilvl w:val="0"/>
          <w:numId w:val="8"/>
        </w:num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 xml:space="preserve">Implementation constraints, lessons learned from addressing these and knowledge </w:t>
      </w:r>
      <w:r w:rsidRPr="005F557F">
        <w:rPr>
          <w:rFonts w:ascii="Times New Roman" w:eastAsia="Times New Roman" w:hAnsi="Times New Roman" w:cs="Times New Roman"/>
          <w:snapToGrid w:val="0"/>
          <w:sz w:val="24"/>
          <w:szCs w:val="24"/>
          <w:lang w:eastAsia="x-none"/>
        </w:rPr>
        <w:lastRenderedPageBreak/>
        <w:t>gained in the course of the reporting period.</w:t>
      </w:r>
    </w:p>
    <w:p w:rsidR="00DE0BC6" w:rsidRPr="005F557F" w:rsidRDefault="00DE0BC6" w:rsidP="005A153F">
      <w:pPr>
        <w:widowControl w:val="0"/>
        <w:numPr>
          <w:ilvl w:val="0"/>
          <w:numId w:val="8"/>
        </w:num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Key partnerships and inter-agency collaboration: impact on results.</w:t>
      </w:r>
    </w:p>
    <w:p w:rsidR="00DE0BC6" w:rsidRPr="005F557F" w:rsidRDefault="00DE0BC6" w:rsidP="005A153F">
      <w:pPr>
        <w:widowControl w:val="0"/>
        <w:numPr>
          <w:ilvl w:val="0"/>
          <w:numId w:val="8"/>
        </w:numPr>
        <w:spacing w:before="120" w:after="0" w:line="240" w:lineRule="auto"/>
        <w:jc w:val="both"/>
        <w:rPr>
          <w:rFonts w:ascii="Times New Roman" w:eastAsia="Times New Roman" w:hAnsi="Times New Roman" w:cs="Times New Roman"/>
          <w:snapToGrid w:val="0"/>
          <w:sz w:val="24"/>
          <w:szCs w:val="24"/>
          <w:lang w:eastAsia="x-none"/>
        </w:rPr>
      </w:pPr>
      <w:r w:rsidRPr="005F557F">
        <w:rPr>
          <w:rFonts w:ascii="Times New Roman" w:eastAsia="Times New Roman" w:hAnsi="Times New Roman" w:cs="Times New Roman"/>
          <w:snapToGrid w:val="0"/>
          <w:sz w:val="24"/>
          <w:szCs w:val="24"/>
          <w:lang w:eastAsia="x-none"/>
        </w:rPr>
        <w:t xml:space="preserve">Other highlights and cross-cutting issues pertinent to the results being reported on. </w:t>
      </w:r>
    </w:p>
    <w:p w:rsidR="00C104E0" w:rsidRPr="005F557F" w:rsidRDefault="00C104E0" w:rsidP="00C104E0">
      <w:pPr>
        <w:widowControl w:val="0"/>
        <w:spacing w:before="120" w:after="0" w:line="240" w:lineRule="auto"/>
        <w:ind w:left="720"/>
        <w:jc w:val="both"/>
        <w:rPr>
          <w:rFonts w:ascii="Times New Roman" w:eastAsia="Times New Roman" w:hAnsi="Times New Roman" w:cs="Times New Roman"/>
          <w:snapToGrid w:val="0"/>
          <w:sz w:val="24"/>
          <w:szCs w:val="24"/>
          <w:lang w:eastAsia="x-none"/>
        </w:rPr>
      </w:pPr>
    </w:p>
    <w:p w:rsidR="00C104E0" w:rsidRPr="005F557F" w:rsidRDefault="00C104E0" w:rsidP="00C104E0">
      <w:pPr>
        <w:pStyle w:val="Default"/>
        <w:jc w:val="both"/>
        <w:rPr>
          <w:color w:val="auto"/>
        </w:rPr>
      </w:pPr>
      <w:r w:rsidRPr="005F557F">
        <w:rPr>
          <w:color w:val="auto"/>
        </w:rPr>
        <w:t>Depuis le démarrage effectif du projet, plusieurs activités ont été réalisées conformément à la feuille de route du projet. Les principales activités et réalisations à date sont résumées ci-dessous :</w:t>
      </w:r>
    </w:p>
    <w:p w:rsidR="00C104E0" w:rsidRPr="005F557F" w:rsidRDefault="00C104E0" w:rsidP="00C104E0">
      <w:pPr>
        <w:pStyle w:val="Default"/>
        <w:jc w:val="both"/>
        <w:rPr>
          <w:color w:val="auto"/>
        </w:rPr>
      </w:pPr>
    </w:p>
    <w:p w:rsidR="00C104E0" w:rsidRPr="005F557F" w:rsidRDefault="00C104E0" w:rsidP="00C104E0">
      <w:pPr>
        <w:pStyle w:val="Default"/>
        <w:numPr>
          <w:ilvl w:val="1"/>
          <w:numId w:val="23"/>
        </w:numPr>
        <w:jc w:val="both"/>
        <w:rPr>
          <w:color w:val="auto"/>
        </w:rPr>
      </w:pPr>
      <w:r w:rsidRPr="005F557F">
        <w:rPr>
          <w:color w:val="auto"/>
        </w:rPr>
        <w:t>Le recrutement du Responsable MPTF-SUN pour Terre des hommes ;</w:t>
      </w:r>
    </w:p>
    <w:p w:rsidR="00C104E0" w:rsidRPr="005F557F" w:rsidRDefault="00C104E0" w:rsidP="00C104E0">
      <w:pPr>
        <w:pStyle w:val="Default"/>
        <w:numPr>
          <w:ilvl w:val="1"/>
          <w:numId w:val="23"/>
        </w:numPr>
        <w:jc w:val="both"/>
        <w:rPr>
          <w:color w:val="auto"/>
        </w:rPr>
      </w:pPr>
      <w:r w:rsidRPr="005F557F">
        <w:rPr>
          <w:color w:val="auto"/>
        </w:rPr>
        <w:t>L’identification du point focal MPTF-SUN au niveau du Conseil National des Organisations de la Société Civile Guinéenne (CNOSCG).</w:t>
      </w:r>
    </w:p>
    <w:p w:rsidR="00C104E0" w:rsidRPr="005F557F" w:rsidRDefault="00C104E0" w:rsidP="00C104E0">
      <w:pPr>
        <w:pStyle w:val="Default"/>
        <w:numPr>
          <w:ilvl w:val="1"/>
          <w:numId w:val="23"/>
        </w:numPr>
        <w:jc w:val="both"/>
        <w:rPr>
          <w:color w:val="auto"/>
        </w:rPr>
      </w:pPr>
      <w:r w:rsidRPr="005F557F">
        <w:rPr>
          <w:color w:val="auto"/>
        </w:rPr>
        <w:t>L’élaboration des protocoles d’accord entre Tdh et l’UNCEF d’une part et entre Tdh et le CNOSCG d’autre part ;</w:t>
      </w:r>
    </w:p>
    <w:p w:rsidR="00C104E0" w:rsidRPr="00737D8E" w:rsidRDefault="00C104E0" w:rsidP="00737D8E">
      <w:pPr>
        <w:pStyle w:val="Default"/>
        <w:numPr>
          <w:ilvl w:val="1"/>
          <w:numId w:val="23"/>
        </w:numPr>
        <w:jc w:val="both"/>
        <w:rPr>
          <w:color w:val="auto"/>
        </w:rPr>
      </w:pPr>
      <w:r w:rsidRPr="005F557F">
        <w:rPr>
          <w:color w:val="auto"/>
        </w:rPr>
        <w:t>La finalisation de la sélection des 6 OSC partenaires pour la mise en œuvre du projet :</w:t>
      </w:r>
      <w:r w:rsidRPr="005F557F">
        <w:rPr>
          <w:b/>
          <w:bCs/>
          <w:color w:val="auto"/>
        </w:rPr>
        <w:t xml:space="preserve">                  </w:t>
      </w:r>
      <w:r w:rsidRPr="00737D8E">
        <w:rPr>
          <w:bCs/>
          <w:color w:val="auto"/>
        </w:rPr>
        <w:t>FOFPAG, AVODER, REGOSA,</w:t>
      </w:r>
      <w:r w:rsidRPr="00737D8E">
        <w:rPr>
          <w:color w:val="auto"/>
        </w:rPr>
        <w:t xml:space="preserve"> </w:t>
      </w:r>
      <w:r w:rsidRPr="00737D8E">
        <w:rPr>
          <w:bCs/>
          <w:color w:val="auto"/>
        </w:rPr>
        <w:t>CONAG/DCF, AFEM et RAJGUI.</w:t>
      </w:r>
      <w:r w:rsidRPr="005F557F">
        <w:rPr>
          <w:color w:val="auto"/>
        </w:rPr>
        <w:t xml:space="preserve">  </w:t>
      </w:r>
    </w:p>
    <w:p w:rsidR="00C104E0" w:rsidRPr="005F557F" w:rsidRDefault="00C104E0" w:rsidP="00C104E0">
      <w:pPr>
        <w:pStyle w:val="Default"/>
        <w:numPr>
          <w:ilvl w:val="1"/>
          <w:numId w:val="23"/>
        </w:numPr>
        <w:jc w:val="both"/>
        <w:rPr>
          <w:color w:val="auto"/>
        </w:rPr>
      </w:pPr>
      <w:r w:rsidRPr="005F557F">
        <w:rPr>
          <w:color w:val="auto"/>
        </w:rPr>
        <w:t>La finalisation de la sélection de OSC partenaires pour la mise en œuvre du projet.</w:t>
      </w:r>
    </w:p>
    <w:p w:rsidR="00C104E0" w:rsidRPr="005F557F" w:rsidRDefault="00C104E0" w:rsidP="00C104E0">
      <w:pPr>
        <w:pStyle w:val="Default"/>
        <w:numPr>
          <w:ilvl w:val="1"/>
          <w:numId w:val="23"/>
        </w:numPr>
        <w:jc w:val="both"/>
        <w:rPr>
          <w:color w:val="auto"/>
        </w:rPr>
      </w:pPr>
      <w:r w:rsidRPr="005F557F">
        <w:rPr>
          <w:color w:val="auto"/>
        </w:rPr>
        <w:t>L’atelier de formation du CNOSCG et des 6 OSC partenaire sur les outils de suivi et le fonctionnement du projet ;</w:t>
      </w:r>
    </w:p>
    <w:p w:rsidR="00C104E0" w:rsidRPr="005F557F" w:rsidRDefault="00C104E0" w:rsidP="00C104E0">
      <w:pPr>
        <w:pStyle w:val="Default"/>
        <w:numPr>
          <w:ilvl w:val="1"/>
          <w:numId w:val="23"/>
        </w:numPr>
        <w:jc w:val="both"/>
        <w:rPr>
          <w:color w:val="auto"/>
        </w:rPr>
      </w:pPr>
      <w:r w:rsidRPr="005F557F">
        <w:rPr>
          <w:color w:val="auto"/>
        </w:rPr>
        <w:t>La mise en place d’un comité de pilotage et l’élaboration des termes de référence dudit comité ;</w:t>
      </w:r>
    </w:p>
    <w:p w:rsidR="00C104E0" w:rsidRPr="005F557F" w:rsidRDefault="00C104E0" w:rsidP="00C104E0">
      <w:pPr>
        <w:pStyle w:val="Default"/>
        <w:numPr>
          <w:ilvl w:val="1"/>
          <w:numId w:val="23"/>
        </w:numPr>
        <w:jc w:val="both"/>
        <w:rPr>
          <w:color w:val="auto"/>
        </w:rPr>
      </w:pPr>
      <w:r w:rsidRPr="005F557F">
        <w:rPr>
          <w:color w:val="auto"/>
        </w:rPr>
        <w:t>L’élaboration des termes de référence du groupe de travail de la société civile guinéenne ;</w:t>
      </w:r>
    </w:p>
    <w:p w:rsidR="00C104E0" w:rsidRPr="005F557F" w:rsidRDefault="00C104E0" w:rsidP="00C104E0">
      <w:pPr>
        <w:pStyle w:val="Default"/>
        <w:numPr>
          <w:ilvl w:val="1"/>
          <w:numId w:val="23"/>
        </w:numPr>
        <w:jc w:val="both"/>
        <w:rPr>
          <w:color w:val="auto"/>
        </w:rPr>
      </w:pPr>
      <w:r w:rsidRPr="005F557F">
        <w:rPr>
          <w:color w:val="auto"/>
        </w:rPr>
        <w:t>Renforcement des capacités du CNOSCG et des OSC en matériels informatiques et équipements de bureau.</w:t>
      </w:r>
    </w:p>
    <w:p w:rsidR="00C104E0" w:rsidRPr="005F557F" w:rsidRDefault="00C104E0" w:rsidP="00C104E0">
      <w:pPr>
        <w:pStyle w:val="Default"/>
        <w:numPr>
          <w:ilvl w:val="1"/>
          <w:numId w:val="23"/>
        </w:numPr>
        <w:jc w:val="both"/>
        <w:rPr>
          <w:color w:val="auto"/>
        </w:rPr>
      </w:pPr>
      <w:r w:rsidRPr="005F557F">
        <w:rPr>
          <w:color w:val="auto"/>
        </w:rPr>
        <w:t>La participation du Chef de la Division Alimentation Nutrition (DAN) au sommet de haut niveau aux côtés du Gouvernement Guinéen à la rencontre sur la nutrition et sur le mouvement SUN au siège des Nations Unies à New York en septembre 2013</w:t>
      </w:r>
    </w:p>
    <w:p w:rsidR="00C104E0" w:rsidRPr="005F557F" w:rsidRDefault="00C104E0" w:rsidP="00C104E0">
      <w:pPr>
        <w:pStyle w:val="Default"/>
        <w:numPr>
          <w:ilvl w:val="1"/>
          <w:numId w:val="23"/>
        </w:numPr>
        <w:jc w:val="both"/>
        <w:rPr>
          <w:color w:val="auto"/>
        </w:rPr>
      </w:pPr>
      <w:r w:rsidRPr="005F557F">
        <w:rPr>
          <w:color w:val="auto"/>
        </w:rPr>
        <w:t xml:space="preserve">La participation du point focal MPTF-SUN au CNOSCG à la rencontre sous régionale du mouvement SUN de Dakar. Cette rencontre a été l’occasion de porter la voix de la société civile guinéenne au niveau sous régional concernant sa place et son rôle dans l’amélioration de la nutrition dans le pays; </w:t>
      </w:r>
    </w:p>
    <w:p w:rsidR="00C104E0" w:rsidRPr="005F557F" w:rsidRDefault="00C104E0" w:rsidP="00C104E0">
      <w:pPr>
        <w:pStyle w:val="Default"/>
        <w:numPr>
          <w:ilvl w:val="1"/>
          <w:numId w:val="23"/>
        </w:numPr>
        <w:jc w:val="both"/>
        <w:rPr>
          <w:color w:val="auto"/>
        </w:rPr>
      </w:pPr>
      <w:r w:rsidRPr="005F557F">
        <w:rPr>
          <w:color w:val="auto"/>
        </w:rPr>
        <w:t>La participation du GTNA (Groupe Technique de Nutrition et Alimentation) aux conférences téléphoniques avec le Secrétariat du mouvement SUN aux côtés du Point Focal National, de REACH et des Partenaires techniques et financiers. Cette conférence permet de faire le point de l’état d’avancement de SUN dans chacun des pays sur ses engagements, les attentes vis-à-vis du mouvement SUN, les progrès et les contraintes par rapport aux 4 indicateurs de processus (Espace partage pour l’action, Cadre légal et politique cohérent, alignement autour de résultats communs et Suivi des financements et mobilisation des ressources).</w:t>
      </w:r>
    </w:p>
    <w:p w:rsidR="00C104E0" w:rsidRPr="005F557F" w:rsidRDefault="00C104E0" w:rsidP="00C104E0">
      <w:pPr>
        <w:pStyle w:val="Default"/>
        <w:numPr>
          <w:ilvl w:val="1"/>
          <w:numId w:val="23"/>
        </w:numPr>
        <w:jc w:val="both"/>
        <w:rPr>
          <w:color w:val="auto"/>
        </w:rPr>
      </w:pPr>
      <w:r w:rsidRPr="005F557F">
        <w:rPr>
          <w:color w:val="auto"/>
        </w:rPr>
        <w:t>La participation de la DAN et de la société civile internationale guinéenne (Tdh) au Rassemblement général du mouvement Scaling Up Nutrition suivi de la participation des Ministres de l’Agriculture et de celui de la Santé accompagné du Chef de Division Alimentation Nutrition à la 2</w:t>
      </w:r>
      <w:r w:rsidRPr="005F557F">
        <w:rPr>
          <w:color w:val="auto"/>
          <w:vertAlign w:val="superscript"/>
        </w:rPr>
        <w:t>ème</w:t>
      </w:r>
      <w:r w:rsidRPr="005F557F">
        <w:rPr>
          <w:color w:val="auto"/>
        </w:rPr>
        <w:t xml:space="preserve"> Conférence Internationale de la Nutrition tenue à Rome. Ces rencontres ont permis à la Guinée de s’inspirer du modèle d’organisation à mettre en place pour un bon fonctionnement de ces genres de projet mixte et d’échanger ses expériences en matière de nutrition avec d’autres pays.</w:t>
      </w:r>
    </w:p>
    <w:p w:rsidR="00C104E0" w:rsidRPr="005F557F" w:rsidRDefault="00C104E0" w:rsidP="00C104E0">
      <w:pPr>
        <w:widowControl w:val="0"/>
        <w:spacing w:before="120" w:after="0" w:line="240" w:lineRule="auto"/>
        <w:jc w:val="both"/>
        <w:rPr>
          <w:rFonts w:ascii="Times New Roman" w:eastAsia="Times New Roman" w:hAnsi="Times New Roman" w:cs="Times New Roman"/>
          <w:snapToGrid w:val="0"/>
          <w:sz w:val="24"/>
          <w:szCs w:val="24"/>
          <w:lang w:val="fr-FR" w:eastAsia="x-none"/>
        </w:rPr>
      </w:pPr>
    </w:p>
    <w:p w:rsidR="00C104E0" w:rsidRPr="005F557F" w:rsidRDefault="00C104E0" w:rsidP="00C104E0">
      <w:pPr>
        <w:widowControl w:val="0"/>
        <w:spacing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Dans le cadre ci-dessous sont </w:t>
      </w:r>
      <w:r w:rsidR="00DE60C0" w:rsidRPr="005F557F">
        <w:rPr>
          <w:rFonts w:ascii="Times New Roman" w:eastAsia="Times New Roman" w:hAnsi="Times New Roman" w:cs="Times New Roman"/>
          <w:snapToGrid w:val="0"/>
          <w:sz w:val="24"/>
          <w:szCs w:val="24"/>
          <w:lang w:val="fr-FR" w:eastAsia="x-none"/>
        </w:rPr>
        <w:t>résumés</w:t>
      </w:r>
      <w:r w:rsidRPr="005F557F">
        <w:rPr>
          <w:rFonts w:ascii="Times New Roman" w:eastAsia="Times New Roman" w:hAnsi="Times New Roman" w:cs="Times New Roman"/>
          <w:snapToGrid w:val="0"/>
          <w:sz w:val="24"/>
          <w:szCs w:val="24"/>
          <w:lang w:val="fr-FR" w:eastAsia="x-none"/>
        </w:rPr>
        <w:t xml:space="preserve"> les principaux </w:t>
      </w:r>
      <w:r w:rsidR="00DE60C0" w:rsidRPr="005F557F">
        <w:rPr>
          <w:rFonts w:ascii="Times New Roman" w:eastAsia="Times New Roman" w:hAnsi="Times New Roman" w:cs="Times New Roman"/>
          <w:snapToGrid w:val="0"/>
          <w:sz w:val="24"/>
          <w:szCs w:val="24"/>
          <w:lang w:val="fr-FR" w:eastAsia="x-none"/>
        </w:rPr>
        <w:t>résultats</w:t>
      </w:r>
      <w:r w:rsidRPr="005F557F">
        <w:rPr>
          <w:rFonts w:ascii="Times New Roman" w:eastAsia="Times New Roman" w:hAnsi="Times New Roman" w:cs="Times New Roman"/>
          <w:snapToGrid w:val="0"/>
          <w:sz w:val="24"/>
          <w:szCs w:val="24"/>
          <w:lang w:val="fr-FR" w:eastAsia="x-none"/>
        </w:rPr>
        <w:t xml:space="preserve"> atteints en cohérence avec le </w:t>
      </w:r>
      <w:r w:rsidRPr="005F557F">
        <w:rPr>
          <w:rFonts w:ascii="Times New Roman" w:eastAsia="Times New Roman" w:hAnsi="Times New Roman" w:cs="Times New Roman"/>
          <w:snapToGrid w:val="0"/>
          <w:sz w:val="24"/>
          <w:szCs w:val="24"/>
          <w:lang w:val="fr-FR" w:eastAsia="x-none"/>
        </w:rPr>
        <w:lastRenderedPageBreak/>
        <w:t>cadre logique du projet.</w:t>
      </w:r>
    </w:p>
    <w:p w:rsidR="00DE0BC6" w:rsidRPr="005F557F" w:rsidRDefault="00C104E0" w:rsidP="00C104E0">
      <w:pPr>
        <w:widowControl w:val="0"/>
        <w:spacing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33"/>
        <w:gridCol w:w="2589"/>
        <w:gridCol w:w="1669"/>
      </w:tblGrid>
      <w:tr w:rsidR="005F557F" w:rsidRPr="000C0211" w:rsidTr="000C0211">
        <w:tc>
          <w:tcPr>
            <w:tcW w:w="1843" w:type="dxa"/>
            <w:shd w:val="clear" w:color="auto" w:fill="auto"/>
          </w:tcPr>
          <w:p w:rsidR="00A6396A" w:rsidRPr="000C0211" w:rsidRDefault="00A6396A" w:rsidP="005A153F">
            <w:pPr>
              <w:jc w:val="both"/>
              <w:rPr>
                <w:rFonts w:ascii="Times New Roman" w:hAnsi="Times New Roman" w:cs="Times New Roman"/>
                <w:b/>
              </w:rPr>
            </w:pPr>
            <w:r w:rsidRPr="000C0211">
              <w:rPr>
                <w:rFonts w:ascii="Times New Roman" w:hAnsi="Times New Roman" w:cs="Times New Roman"/>
                <w:b/>
              </w:rPr>
              <w:t>Logique de l’action</w:t>
            </w:r>
          </w:p>
        </w:tc>
        <w:tc>
          <w:tcPr>
            <w:tcW w:w="3233" w:type="dxa"/>
            <w:shd w:val="clear" w:color="auto" w:fill="auto"/>
          </w:tcPr>
          <w:p w:rsidR="00A6396A" w:rsidRPr="000C0211" w:rsidRDefault="00A6396A" w:rsidP="005A153F">
            <w:pPr>
              <w:jc w:val="both"/>
              <w:rPr>
                <w:rFonts w:ascii="Times New Roman" w:hAnsi="Times New Roman" w:cs="Times New Roman"/>
                <w:b/>
                <w:lang w:val="fr-FR"/>
              </w:rPr>
            </w:pPr>
            <w:r w:rsidRPr="000C0211">
              <w:rPr>
                <w:rFonts w:ascii="Times New Roman" w:hAnsi="Times New Roman" w:cs="Times New Roman"/>
                <w:b/>
                <w:lang w:val="fr-FR"/>
              </w:rPr>
              <w:t>Indicateur(s) et valeurs cibles définis dans le document de projet</w:t>
            </w:r>
          </w:p>
        </w:tc>
        <w:tc>
          <w:tcPr>
            <w:tcW w:w="2589" w:type="dxa"/>
            <w:shd w:val="clear" w:color="auto" w:fill="auto"/>
          </w:tcPr>
          <w:p w:rsidR="00A6396A" w:rsidRPr="000C0211" w:rsidRDefault="00A6396A" w:rsidP="005A153F">
            <w:pPr>
              <w:jc w:val="both"/>
              <w:rPr>
                <w:rFonts w:ascii="Times New Roman" w:hAnsi="Times New Roman" w:cs="Times New Roman"/>
                <w:b/>
                <w:lang w:val="fr-FR"/>
              </w:rPr>
            </w:pPr>
            <w:r w:rsidRPr="000C0211">
              <w:rPr>
                <w:rFonts w:ascii="Times New Roman" w:hAnsi="Times New Roman" w:cs="Times New Roman"/>
                <w:b/>
                <w:lang w:val="fr-FR"/>
              </w:rPr>
              <w:t>Résultats atteints conformément aux indicateurs</w:t>
            </w:r>
          </w:p>
        </w:tc>
        <w:tc>
          <w:tcPr>
            <w:tcW w:w="1669" w:type="dxa"/>
            <w:shd w:val="clear" w:color="auto" w:fill="auto"/>
          </w:tcPr>
          <w:p w:rsidR="00A6396A" w:rsidRPr="000C0211" w:rsidRDefault="00A6396A" w:rsidP="005A153F">
            <w:pPr>
              <w:jc w:val="both"/>
              <w:rPr>
                <w:rFonts w:ascii="Times New Roman" w:hAnsi="Times New Roman" w:cs="Times New Roman"/>
                <w:b/>
                <w:lang w:val="fr-FR"/>
              </w:rPr>
            </w:pPr>
            <w:r w:rsidRPr="000C0211">
              <w:rPr>
                <w:rFonts w:ascii="Times New Roman" w:hAnsi="Times New Roman" w:cs="Times New Roman"/>
                <w:b/>
                <w:lang w:val="fr-FR"/>
              </w:rPr>
              <w:t>Explication des écarts entre résultats prévus et résultats atteints</w:t>
            </w:r>
          </w:p>
        </w:tc>
      </w:tr>
      <w:tr w:rsidR="005F557F" w:rsidRPr="000C0211" w:rsidTr="000C0211">
        <w:tc>
          <w:tcPr>
            <w:tcW w:w="9334" w:type="dxa"/>
            <w:gridSpan w:val="4"/>
            <w:shd w:val="clear" w:color="auto" w:fill="auto"/>
          </w:tcPr>
          <w:p w:rsidR="00A6396A" w:rsidRPr="000C0211" w:rsidRDefault="00A6396A" w:rsidP="005A153F">
            <w:pPr>
              <w:pStyle w:val="NoSpacing"/>
              <w:jc w:val="both"/>
              <w:rPr>
                <w:rFonts w:ascii="Times New Roman" w:hAnsi="Times New Roman" w:cs="Times New Roman"/>
                <w:b w:val="0"/>
                <w:sz w:val="22"/>
                <w:szCs w:val="22"/>
              </w:rPr>
            </w:pPr>
            <w:r w:rsidRPr="000C0211">
              <w:rPr>
                <w:rFonts w:ascii="Times New Roman" w:hAnsi="Times New Roman" w:cs="Times New Roman"/>
                <w:b w:val="0"/>
                <w:sz w:val="22"/>
                <w:szCs w:val="22"/>
                <w:u w:val="single"/>
              </w:rPr>
              <w:t>Objectif :</w:t>
            </w:r>
            <w:r w:rsidRPr="000C0211">
              <w:rPr>
                <w:rFonts w:ascii="Times New Roman" w:hAnsi="Times New Roman" w:cs="Times New Roman"/>
                <w:b w:val="0"/>
                <w:sz w:val="22"/>
                <w:szCs w:val="22"/>
              </w:rPr>
              <w:t xml:space="preserve"> D’ici fin 2015, le CNOSCG (Conseil national des Organisations de la Société civile en Guinée) contribue activement au renforcement de la nutrition en Guinée.</w:t>
            </w:r>
          </w:p>
        </w:tc>
      </w:tr>
      <w:tr w:rsidR="005F557F" w:rsidRPr="000C0211" w:rsidTr="000C0211">
        <w:tc>
          <w:tcPr>
            <w:tcW w:w="1843" w:type="dxa"/>
            <w:shd w:val="clear" w:color="auto" w:fill="auto"/>
          </w:tcPr>
          <w:p w:rsidR="00A6396A" w:rsidRPr="000C0211" w:rsidRDefault="00A6396A" w:rsidP="005A153F">
            <w:pPr>
              <w:pBdr>
                <w:left w:val="single" w:sz="4" w:space="4" w:color="auto"/>
                <w:right w:val="single" w:sz="4" w:space="4" w:color="auto"/>
              </w:pBdr>
              <w:jc w:val="both"/>
              <w:rPr>
                <w:rFonts w:ascii="Times New Roman" w:hAnsi="Times New Roman" w:cs="Times New Roman"/>
                <w:lang w:val="fr-FR"/>
              </w:rPr>
            </w:pPr>
            <w:r w:rsidRPr="000C0211">
              <w:rPr>
                <w:rFonts w:ascii="Times New Roman" w:hAnsi="Times New Roman" w:cs="Times New Roman"/>
                <w:lang w:val="fr-FR"/>
              </w:rPr>
              <w:t>RF1 : Le CNOSCG priorise, planifie et coordonne les activités de renforcement de la nutrition développées par la société civile en Guinée</w:t>
            </w:r>
          </w:p>
          <w:p w:rsidR="00A6396A" w:rsidRPr="000C0211" w:rsidRDefault="00A6396A" w:rsidP="005A153F">
            <w:pPr>
              <w:jc w:val="both"/>
              <w:rPr>
                <w:rFonts w:ascii="Times New Roman" w:hAnsi="Times New Roman" w:cs="Times New Roman"/>
                <w:lang w:val="fr-FR"/>
              </w:rPr>
            </w:pPr>
          </w:p>
        </w:tc>
        <w:tc>
          <w:tcPr>
            <w:tcW w:w="3233" w:type="dxa"/>
            <w:shd w:val="clear" w:color="auto" w:fill="auto"/>
          </w:tcPr>
          <w:p w:rsidR="00A6396A" w:rsidRPr="000C0211" w:rsidRDefault="00A6396A"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6 organisations clés de la société civile guinéenne sont sélectionnées et enrôlées dans le projet</w:t>
            </w:r>
          </w:p>
          <w:p w:rsidR="007560E2" w:rsidRPr="000C0211" w:rsidRDefault="007560E2" w:rsidP="005A153F">
            <w:pPr>
              <w:pStyle w:val="ListParagraph"/>
              <w:ind w:left="360"/>
              <w:jc w:val="both"/>
              <w:rPr>
                <w:rFonts w:ascii="Times New Roman" w:hAnsi="Times New Roman" w:cs="Times New Roman"/>
                <w:lang w:val="fr-FR"/>
              </w:rPr>
            </w:pPr>
          </w:p>
          <w:p w:rsidR="007560E2" w:rsidRPr="000C0211" w:rsidRDefault="005261A1"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25</w:t>
            </w:r>
            <w:r w:rsidR="00A6396A" w:rsidRPr="000C0211">
              <w:rPr>
                <w:rFonts w:ascii="Times New Roman" w:hAnsi="Times New Roman" w:cs="Times New Roman"/>
                <w:lang w:val="fr-FR"/>
              </w:rPr>
              <w:t xml:space="preserve"> personnes du CNOSCG, des 6 organisations partenaires et des médias ont réussi le post-test de l’atelier de renforcement des capacités en nutrition</w:t>
            </w:r>
          </w:p>
          <w:p w:rsidR="007560E2" w:rsidRPr="000C0211" w:rsidRDefault="007560E2"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Le CNOSCG participe activement aux réunions mensuelles du Groupe Technique Nutrition et de la Coordination des acteurs non étatiques en appui à l’Etat en matière de nutrition (CANEN) et aux réunions trimestrielles de l’Alliance nationale de fortification (ANF)</w:t>
            </w:r>
          </w:p>
          <w:p w:rsidR="007560E2" w:rsidRPr="000C0211" w:rsidRDefault="007560E2"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Les activités du projet relevant du CNOSCG sont inscrites dans son plan d’action</w:t>
            </w:r>
          </w:p>
        </w:tc>
        <w:tc>
          <w:tcPr>
            <w:tcW w:w="2589" w:type="dxa"/>
            <w:shd w:val="clear" w:color="auto" w:fill="auto"/>
          </w:tcPr>
          <w:p w:rsidR="00B44352" w:rsidRPr="000C0211" w:rsidRDefault="004861EF"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 xml:space="preserve">Le processus de sélection finalisé en  </w:t>
            </w:r>
          </w:p>
          <w:p w:rsidR="00B44352" w:rsidRPr="000C0211" w:rsidRDefault="00B44352" w:rsidP="005A153F">
            <w:pPr>
              <w:pStyle w:val="ListParagraph"/>
              <w:ind w:left="360"/>
              <w:jc w:val="both"/>
              <w:rPr>
                <w:rFonts w:ascii="Times New Roman" w:hAnsi="Times New Roman" w:cs="Times New Roman"/>
                <w:lang w:val="fr-FR"/>
              </w:rPr>
            </w:pPr>
          </w:p>
          <w:p w:rsidR="007560E2" w:rsidRPr="000C0211" w:rsidRDefault="007560E2" w:rsidP="005A153F">
            <w:pPr>
              <w:pStyle w:val="ListParagraph"/>
              <w:ind w:left="360"/>
              <w:jc w:val="both"/>
              <w:rPr>
                <w:rFonts w:ascii="Times New Roman" w:hAnsi="Times New Roman" w:cs="Times New Roman"/>
                <w:lang w:val="fr-FR"/>
              </w:rPr>
            </w:pPr>
          </w:p>
          <w:p w:rsidR="000C0211" w:rsidRPr="000C0211" w:rsidRDefault="000C0211" w:rsidP="005A153F">
            <w:pPr>
              <w:pStyle w:val="ListParagraph"/>
              <w:ind w:left="360"/>
              <w:jc w:val="both"/>
              <w:rPr>
                <w:rFonts w:ascii="Times New Roman" w:hAnsi="Times New Roman" w:cs="Times New Roman"/>
                <w:lang w:val="fr-FR"/>
              </w:rPr>
            </w:pPr>
          </w:p>
          <w:p w:rsidR="00A6396A" w:rsidRPr="000C0211" w:rsidRDefault="007560E2"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23</w:t>
            </w:r>
            <w:r w:rsidR="005261A1" w:rsidRPr="000C0211">
              <w:rPr>
                <w:rFonts w:ascii="Times New Roman" w:hAnsi="Times New Roman" w:cs="Times New Roman"/>
                <w:lang w:val="fr-FR"/>
              </w:rPr>
              <w:t xml:space="preserve"> personnes du CNOSCG et des 6 OSC ont été formé</w:t>
            </w:r>
            <w:r w:rsidRPr="000C0211">
              <w:rPr>
                <w:rFonts w:ascii="Times New Roman" w:hAnsi="Times New Roman" w:cs="Times New Roman"/>
                <w:lang w:val="fr-FR"/>
              </w:rPr>
              <w:t xml:space="preserve"> en Mars 2015. Cette activité é</w:t>
            </w:r>
            <w:r w:rsidR="00A6396A" w:rsidRPr="000C0211">
              <w:rPr>
                <w:rFonts w:ascii="Times New Roman" w:hAnsi="Times New Roman" w:cs="Times New Roman"/>
                <w:lang w:val="fr-FR"/>
              </w:rPr>
              <w:t>t</w:t>
            </w:r>
            <w:r w:rsidRPr="000C0211">
              <w:rPr>
                <w:rFonts w:ascii="Times New Roman" w:hAnsi="Times New Roman" w:cs="Times New Roman"/>
                <w:lang w:val="fr-FR"/>
              </w:rPr>
              <w:t>ait</w:t>
            </w:r>
            <w:r w:rsidR="00A6396A" w:rsidRPr="000C0211">
              <w:rPr>
                <w:rFonts w:ascii="Times New Roman" w:hAnsi="Times New Roman" w:cs="Times New Roman"/>
                <w:lang w:val="fr-FR"/>
              </w:rPr>
              <w:t xml:space="preserve"> prévue pour le mois de janvier 2015</w:t>
            </w:r>
          </w:p>
          <w:p w:rsidR="007560E2" w:rsidRPr="000C0211" w:rsidRDefault="007560E2"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Le point focal du CNOSCG</w:t>
            </w:r>
            <w:r w:rsidR="005261A1" w:rsidRPr="000C0211">
              <w:rPr>
                <w:rFonts w:ascii="Times New Roman" w:hAnsi="Times New Roman" w:cs="Times New Roman"/>
                <w:lang w:val="fr-FR"/>
              </w:rPr>
              <w:t xml:space="preserve"> et celui des 6 OSC</w:t>
            </w:r>
            <w:r w:rsidRPr="000C0211">
              <w:rPr>
                <w:rFonts w:ascii="Times New Roman" w:hAnsi="Times New Roman" w:cs="Times New Roman"/>
                <w:lang w:val="fr-FR"/>
              </w:rPr>
              <w:t xml:space="preserve"> participe</w:t>
            </w:r>
            <w:r w:rsidR="005261A1" w:rsidRPr="000C0211">
              <w:rPr>
                <w:rFonts w:ascii="Times New Roman" w:hAnsi="Times New Roman" w:cs="Times New Roman"/>
                <w:lang w:val="fr-FR"/>
              </w:rPr>
              <w:t>nt</w:t>
            </w:r>
            <w:r w:rsidRPr="000C0211">
              <w:rPr>
                <w:rFonts w:ascii="Times New Roman" w:hAnsi="Times New Roman" w:cs="Times New Roman"/>
                <w:lang w:val="fr-FR"/>
              </w:rPr>
              <w:t xml:space="preserve"> déjà à toutes les réunions du GTN</w:t>
            </w:r>
            <w:r w:rsidR="00A00C35" w:rsidRPr="000C0211">
              <w:rPr>
                <w:rFonts w:ascii="Times New Roman" w:hAnsi="Times New Roman" w:cs="Times New Roman"/>
                <w:lang w:val="fr-FR"/>
              </w:rPr>
              <w:t xml:space="preserve"> passé maintenant en Cluster, </w:t>
            </w:r>
          </w:p>
          <w:p w:rsidR="00A6396A" w:rsidRPr="000C0211" w:rsidRDefault="00A6396A" w:rsidP="005A153F">
            <w:pPr>
              <w:pStyle w:val="ListParagraph"/>
              <w:ind w:left="360"/>
              <w:jc w:val="both"/>
              <w:rPr>
                <w:rFonts w:ascii="Times New Roman" w:hAnsi="Times New Roman" w:cs="Times New Roman"/>
                <w:lang w:val="fr-FR"/>
              </w:rPr>
            </w:pPr>
          </w:p>
          <w:p w:rsidR="000C0211" w:rsidRPr="000C0211" w:rsidRDefault="000C0211"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2"/>
              </w:numPr>
              <w:jc w:val="both"/>
              <w:rPr>
                <w:rFonts w:ascii="Times New Roman" w:hAnsi="Times New Roman" w:cs="Times New Roman"/>
                <w:lang w:val="fr-FR"/>
              </w:rPr>
            </w:pPr>
            <w:r w:rsidRPr="000C0211">
              <w:rPr>
                <w:rFonts w:ascii="Times New Roman" w:hAnsi="Times New Roman" w:cs="Times New Roman"/>
                <w:lang w:val="fr-FR"/>
              </w:rPr>
              <w:t xml:space="preserve">En cours de </w:t>
            </w:r>
            <w:r w:rsidR="00605884" w:rsidRPr="000C0211">
              <w:rPr>
                <w:rFonts w:ascii="Times New Roman" w:hAnsi="Times New Roman" w:cs="Times New Roman"/>
                <w:lang w:val="fr-FR"/>
              </w:rPr>
              <w:t>pré</w:t>
            </w:r>
            <w:r w:rsidR="007560E2" w:rsidRPr="000C0211">
              <w:rPr>
                <w:rFonts w:ascii="Times New Roman" w:hAnsi="Times New Roman" w:cs="Times New Roman"/>
                <w:lang w:val="fr-FR"/>
              </w:rPr>
              <w:t xml:space="preserve">paration: un chronogramme de mise en </w:t>
            </w:r>
            <w:r w:rsidR="00605884" w:rsidRPr="000C0211">
              <w:rPr>
                <w:rFonts w:ascii="Times New Roman" w:hAnsi="Times New Roman" w:cs="Times New Roman"/>
                <w:lang w:val="fr-FR"/>
              </w:rPr>
              <w:t>œuvre</w:t>
            </w:r>
            <w:r w:rsidR="007560E2" w:rsidRPr="000C0211">
              <w:rPr>
                <w:rFonts w:ascii="Times New Roman" w:hAnsi="Times New Roman" w:cs="Times New Roman"/>
                <w:lang w:val="fr-FR"/>
              </w:rPr>
              <w:t xml:space="preserve"> des </w:t>
            </w:r>
            <w:r w:rsidR="00605884" w:rsidRPr="000C0211">
              <w:rPr>
                <w:rFonts w:ascii="Times New Roman" w:hAnsi="Times New Roman" w:cs="Times New Roman"/>
                <w:lang w:val="fr-FR"/>
              </w:rPr>
              <w:t>activités des OSC a déjà été élaboré</w:t>
            </w:r>
          </w:p>
        </w:tc>
        <w:tc>
          <w:tcPr>
            <w:tcW w:w="1669" w:type="dxa"/>
            <w:shd w:val="clear" w:color="auto" w:fill="auto"/>
          </w:tcPr>
          <w:p w:rsidR="00A6396A" w:rsidRPr="000C0211" w:rsidRDefault="00A6396A" w:rsidP="005A153F">
            <w:pPr>
              <w:jc w:val="both"/>
              <w:rPr>
                <w:rFonts w:ascii="Times New Roman" w:hAnsi="Times New Roman" w:cs="Times New Roman"/>
                <w:lang w:val="fr-FR"/>
              </w:rPr>
            </w:pPr>
            <w:r w:rsidRPr="000C0211">
              <w:rPr>
                <w:rFonts w:ascii="Times New Roman" w:hAnsi="Times New Roman" w:cs="Times New Roman"/>
                <w:lang w:val="fr-FR"/>
              </w:rPr>
              <w:t xml:space="preserve">Le retard pris pendant la phase de démarrage du projet a impacté sur le bon déroulement du chronogramme initiale. Cependant, des dispositions et des mesures adéquates sont en train d’être mises place pour rapidement combler ce gap.  </w:t>
            </w:r>
          </w:p>
          <w:p w:rsidR="00DE60C0" w:rsidRPr="000C0211" w:rsidRDefault="00DE60C0" w:rsidP="005A153F">
            <w:pPr>
              <w:jc w:val="both"/>
              <w:rPr>
                <w:rFonts w:ascii="Times New Roman" w:hAnsi="Times New Roman" w:cs="Times New Roman"/>
                <w:lang w:val="fr-FR"/>
              </w:rPr>
            </w:pPr>
          </w:p>
          <w:p w:rsidR="007560E2" w:rsidRPr="000C0211" w:rsidRDefault="007560E2" w:rsidP="005A153F">
            <w:pPr>
              <w:jc w:val="both"/>
              <w:rPr>
                <w:rFonts w:ascii="Times New Roman" w:hAnsi="Times New Roman" w:cs="Times New Roman"/>
                <w:lang w:val="fr-FR"/>
              </w:rPr>
            </w:pPr>
          </w:p>
        </w:tc>
      </w:tr>
      <w:tr w:rsidR="005F557F" w:rsidRPr="000C0211" w:rsidTr="000C0211">
        <w:tc>
          <w:tcPr>
            <w:tcW w:w="1843" w:type="dxa"/>
            <w:shd w:val="clear" w:color="auto" w:fill="auto"/>
          </w:tcPr>
          <w:p w:rsidR="00A6396A" w:rsidRPr="000C0211" w:rsidRDefault="00A6396A" w:rsidP="005A153F">
            <w:pPr>
              <w:jc w:val="both"/>
              <w:rPr>
                <w:rFonts w:ascii="Times New Roman" w:hAnsi="Times New Roman" w:cs="Times New Roman"/>
                <w:lang w:val="fr-FR"/>
              </w:rPr>
            </w:pPr>
            <w:r w:rsidRPr="000C0211">
              <w:rPr>
                <w:rFonts w:ascii="Times New Roman" w:hAnsi="Times New Roman" w:cs="Times New Roman"/>
                <w:lang w:val="fr-FR"/>
              </w:rPr>
              <w:t xml:space="preserve">RF2 : Le CNOSCG et les OSC partenaires contribuent à ce que les populations guinéennes, les autres organisations de la </w:t>
            </w:r>
            <w:r w:rsidRPr="000C0211">
              <w:rPr>
                <w:rFonts w:ascii="Times New Roman" w:hAnsi="Times New Roman" w:cs="Times New Roman"/>
                <w:lang w:val="fr-FR"/>
              </w:rPr>
              <w:lastRenderedPageBreak/>
              <w:t>société civile, les PTF et les autorités étatiques s’impliquent d’avantage dans la lutte contre la malnutrition.</w:t>
            </w:r>
          </w:p>
        </w:tc>
        <w:tc>
          <w:tcPr>
            <w:tcW w:w="3233" w:type="dxa"/>
            <w:shd w:val="clear" w:color="auto" w:fill="auto"/>
          </w:tcPr>
          <w:p w:rsidR="00A6396A" w:rsidRPr="000C0211" w:rsidRDefault="00A6396A" w:rsidP="005A153F">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lastRenderedPageBreak/>
              <w:t>Prise de décisions essentielles et prioritaires prises par l’Etat en matière de nutrition</w:t>
            </w:r>
          </w:p>
          <w:p w:rsidR="00BB5B8F" w:rsidRPr="000C0211" w:rsidRDefault="00BB5B8F" w:rsidP="005A153F">
            <w:pPr>
              <w:pStyle w:val="ListParagraph"/>
              <w:ind w:left="360"/>
              <w:jc w:val="both"/>
              <w:rPr>
                <w:rFonts w:ascii="Times New Roman" w:hAnsi="Times New Roman" w:cs="Times New Roman"/>
                <w:lang w:val="fr-FR"/>
              </w:rPr>
            </w:pPr>
          </w:p>
          <w:p w:rsidR="00BB5B8F" w:rsidRPr="000C0211" w:rsidRDefault="00A6396A" w:rsidP="00C104E0">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 xml:space="preserve">Nombre de campagnes CCC/Nutrition élaborées et/ou mises en œuvre avec la participation du CNOSCG et des OSC partenaires </w:t>
            </w:r>
          </w:p>
          <w:p w:rsidR="00A6396A" w:rsidRPr="000C0211" w:rsidRDefault="00A6396A" w:rsidP="005A153F">
            <w:pPr>
              <w:pStyle w:val="ListParagraph"/>
              <w:ind w:left="360"/>
              <w:jc w:val="both"/>
              <w:rPr>
                <w:rFonts w:ascii="Times New Roman" w:hAnsi="Times New Roman" w:cs="Times New Roman"/>
                <w:lang w:val="fr-FR"/>
              </w:rPr>
            </w:pPr>
          </w:p>
          <w:p w:rsidR="00B3443E" w:rsidRPr="000C0211" w:rsidRDefault="00A6396A" w:rsidP="00C104E0">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Nombre d’organisations de la société civile ayant participé au Forum et pris publiquement des positions et engagements en faveur de la nutrition en Guinée</w:t>
            </w:r>
          </w:p>
          <w:p w:rsidR="00B3443E" w:rsidRPr="000C0211" w:rsidRDefault="00B3443E"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Montants comparatifs des investissements des PTF dans la lutte contre la malnutrition</w:t>
            </w:r>
          </w:p>
          <w:p w:rsidR="00BB5B8F" w:rsidRPr="000C0211" w:rsidRDefault="00BB5B8F"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Niveau de l’appui technique apporté par les PTF à la mise en œuvre du plan d’action du CNOSCG en matière de nutrition</w:t>
            </w:r>
          </w:p>
        </w:tc>
        <w:tc>
          <w:tcPr>
            <w:tcW w:w="2589" w:type="dxa"/>
            <w:shd w:val="clear" w:color="auto" w:fill="auto"/>
          </w:tcPr>
          <w:p w:rsidR="007316A8" w:rsidRPr="000C0211" w:rsidRDefault="00A6396A" w:rsidP="005A153F">
            <w:pPr>
              <w:pStyle w:val="ListParagraph"/>
              <w:numPr>
                <w:ilvl w:val="0"/>
                <w:numId w:val="13"/>
              </w:numPr>
              <w:jc w:val="both"/>
              <w:rPr>
                <w:rFonts w:ascii="Times New Roman" w:hAnsi="Times New Roman" w:cs="Times New Roman"/>
              </w:rPr>
            </w:pPr>
            <w:r w:rsidRPr="000C0211">
              <w:rPr>
                <w:rFonts w:ascii="Times New Roman" w:hAnsi="Times New Roman" w:cs="Times New Roman"/>
              </w:rPr>
              <w:lastRenderedPageBreak/>
              <w:t xml:space="preserve">En cours de </w:t>
            </w:r>
            <w:r w:rsidR="007316A8" w:rsidRPr="000C0211">
              <w:rPr>
                <w:rFonts w:ascii="Times New Roman" w:hAnsi="Times New Roman" w:cs="Times New Roman"/>
              </w:rPr>
              <w:t>preparation</w:t>
            </w:r>
          </w:p>
          <w:p w:rsidR="00BB5B8F" w:rsidRPr="000C0211" w:rsidRDefault="00BB5B8F" w:rsidP="005A153F">
            <w:pPr>
              <w:pStyle w:val="ListParagraph"/>
              <w:ind w:left="360"/>
              <w:jc w:val="both"/>
              <w:rPr>
                <w:rFonts w:ascii="Times New Roman" w:hAnsi="Times New Roman" w:cs="Times New Roman"/>
              </w:rPr>
            </w:pPr>
          </w:p>
          <w:p w:rsidR="00BB5B8F" w:rsidRPr="000C0211" w:rsidRDefault="00BB5B8F" w:rsidP="005A153F">
            <w:pPr>
              <w:pStyle w:val="ListParagraph"/>
              <w:ind w:left="360"/>
              <w:jc w:val="both"/>
              <w:rPr>
                <w:rFonts w:ascii="Times New Roman" w:hAnsi="Times New Roman" w:cs="Times New Roman"/>
              </w:rPr>
            </w:pPr>
          </w:p>
          <w:p w:rsidR="00EC24C4" w:rsidRPr="000C0211" w:rsidRDefault="00EC24C4" w:rsidP="005A153F">
            <w:pPr>
              <w:jc w:val="both"/>
              <w:rPr>
                <w:rFonts w:ascii="Times New Roman" w:hAnsi="Times New Roman" w:cs="Times New Roman"/>
              </w:rPr>
            </w:pPr>
          </w:p>
          <w:p w:rsidR="00A6396A" w:rsidRPr="000C0211" w:rsidRDefault="00A6396A" w:rsidP="005A153F">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Des modèles de prospectus</w:t>
            </w:r>
            <w:r w:rsidR="006D6500" w:rsidRPr="000C0211">
              <w:rPr>
                <w:rFonts w:ascii="Times New Roman" w:hAnsi="Times New Roman" w:cs="Times New Roman"/>
                <w:lang w:val="fr-FR"/>
              </w:rPr>
              <w:t xml:space="preserve"> pour la présentation du projet </w:t>
            </w:r>
            <w:r w:rsidR="006D6500" w:rsidRPr="000C0211">
              <w:rPr>
                <w:rFonts w:ascii="Times New Roman" w:hAnsi="Times New Roman" w:cs="Times New Roman"/>
                <w:lang w:val="fr-FR"/>
              </w:rPr>
              <w:lastRenderedPageBreak/>
              <w:t>et</w:t>
            </w:r>
            <w:r w:rsidRPr="000C0211">
              <w:rPr>
                <w:rFonts w:ascii="Times New Roman" w:hAnsi="Times New Roman" w:cs="Times New Roman"/>
                <w:lang w:val="fr-FR"/>
              </w:rPr>
              <w:t xml:space="preserve"> de</w:t>
            </w:r>
            <w:r w:rsidR="006D6500" w:rsidRPr="000C0211">
              <w:rPr>
                <w:rFonts w:ascii="Times New Roman" w:hAnsi="Times New Roman" w:cs="Times New Roman"/>
                <w:lang w:val="fr-FR"/>
              </w:rPr>
              <w:t xml:space="preserve"> calendriers ont été produites. Les T-shirt </w:t>
            </w:r>
            <w:r w:rsidRPr="000C0211">
              <w:rPr>
                <w:rFonts w:ascii="Times New Roman" w:hAnsi="Times New Roman" w:cs="Times New Roman"/>
                <w:lang w:val="fr-FR"/>
              </w:rPr>
              <w:t>pour la visi</w:t>
            </w:r>
            <w:r w:rsidR="006D6500" w:rsidRPr="000C0211">
              <w:rPr>
                <w:rFonts w:ascii="Times New Roman" w:hAnsi="Times New Roman" w:cs="Times New Roman"/>
                <w:lang w:val="fr-FR"/>
              </w:rPr>
              <w:t>bilité ainsi que des</w:t>
            </w:r>
            <w:r w:rsidR="00B3443E" w:rsidRPr="000C0211">
              <w:rPr>
                <w:rFonts w:ascii="Times New Roman" w:hAnsi="Times New Roman" w:cs="Times New Roman"/>
                <w:lang w:val="fr-FR"/>
              </w:rPr>
              <w:t xml:space="preserve"> conférenciers</w:t>
            </w:r>
            <w:r w:rsidRPr="000C0211">
              <w:rPr>
                <w:rFonts w:ascii="Times New Roman" w:hAnsi="Times New Roman" w:cs="Times New Roman"/>
                <w:lang w:val="fr-FR"/>
              </w:rPr>
              <w:t xml:space="preserve"> sont déjà conçus et sont en cours de production </w:t>
            </w:r>
          </w:p>
          <w:p w:rsidR="00BB5B8F" w:rsidRPr="000C0211" w:rsidRDefault="00BB5B8F" w:rsidP="005A153F">
            <w:pPr>
              <w:pStyle w:val="ListParagraph"/>
              <w:ind w:left="360"/>
              <w:jc w:val="both"/>
              <w:rPr>
                <w:rFonts w:ascii="Times New Roman" w:hAnsi="Times New Roman" w:cs="Times New Roman"/>
                <w:lang w:val="fr-FR"/>
              </w:rPr>
            </w:pPr>
          </w:p>
          <w:p w:rsidR="000C0211" w:rsidRPr="000C0211" w:rsidRDefault="000C0211"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3"/>
              </w:numPr>
              <w:jc w:val="both"/>
              <w:rPr>
                <w:rFonts w:ascii="Times New Roman" w:hAnsi="Times New Roman" w:cs="Times New Roman"/>
                <w:lang w:val="fr-FR"/>
              </w:rPr>
            </w:pPr>
            <w:r w:rsidRPr="000C0211">
              <w:rPr>
                <w:rFonts w:ascii="Times New Roman" w:hAnsi="Times New Roman" w:cs="Times New Roman"/>
                <w:lang w:val="fr-FR"/>
              </w:rPr>
              <w:t>Cette a</w:t>
            </w:r>
            <w:r w:rsidR="00B3443E" w:rsidRPr="000C0211">
              <w:rPr>
                <w:rFonts w:ascii="Times New Roman" w:hAnsi="Times New Roman" w:cs="Times New Roman"/>
                <w:lang w:val="fr-FR"/>
              </w:rPr>
              <w:t>ctivité est prévue au cours du 2ème</w:t>
            </w:r>
            <w:r w:rsidRPr="000C0211">
              <w:rPr>
                <w:rFonts w:ascii="Times New Roman" w:hAnsi="Times New Roman" w:cs="Times New Roman"/>
                <w:lang w:val="fr-FR"/>
              </w:rPr>
              <w:t xml:space="preserve"> trimestre 2015</w:t>
            </w:r>
          </w:p>
          <w:p w:rsidR="00BB5B8F" w:rsidRPr="000C0211" w:rsidRDefault="00BB5B8F" w:rsidP="00C104E0">
            <w:pPr>
              <w:jc w:val="both"/>
              <w:rPr>
                <w:rFonts w:ascii="Times New Roman" w:hAnsi="Times New Roman" w:cs="Times New Roman"/>
                <w:lang w:val="fr-FR"/>
              </w:rPr>
            </w:pPr>
          </w:p>
          <w:p w:rsidR="00BB5B8F" w:rsidRPr="000C0211" w:rsidRDefault="00BB5B8F" w:rsidP="005A153F">
            <w:pPr>
              <w:pStyle w:val="ListParagraph"/>
              <w:ind w:left="360"/>
              <w:jc w:val="both"/>
              <w:rPr>
                <w:rFonts w:ascii="Times New Roman" w:hAnsi="Times New Roman" w:cs="Times New Roman"/>
                <w:lang w:val="fr-FR"/>
              </w:rPr>
            </w:pPr>
          </w:p>
          <w:p w:rsidR="00BB5B8F" w:rsidRPr="000C0211" w:rsidRDefault="00A6396A" w:rsidP="005A153F">
            <w:pPr>
              <w:pStyle w:val="ListParagraph"/>
              <w:numPr>
                <w:ilvl w:val="0"/>
                <w:numId w:val="13"/>
              </w:numPr>
              <w:jc w:val="both"/>
              <w:rPr>
                <w:rFonts w:ascii="Times New Roman" w:hAnsi="Times New Roman" w:cs="Times New Roman"/>
              </w:rPr>
            </w:pPr>
            <w:r w:rsidRPr="000C0211">
              <w:rPr>
                <w:rFonts w:ascii="Times New Roman" w:hAnsi="Times New Roman" w:cs="Times New Roman"/>
              </w:rPr>
              <w:t xml:space="preserve">En cours de </w:t>
            </w:r>
            <w:r w:rsidR="00BB5B8F" w:rsidRPr="000C0211">
              <w:rPr>
                <w:rFonts w:ascii="Times New Roman" w:hAnsi="Times New Roman" w:cs="Times New Roman"/>
              </w:rPr>
              <w:t>preparation</w:t>
            </w:r>
          </w:p>
        </w:tc>
        <w:tc>
          <w:tcPr>
            <w:tcW w:w="1669" w:type="dxa"/>
            <w:shd w:val="clear" w:color="auto" w:fill="auto"/>
          </w:tcPr>
          <w:p w:rsidR="00A6396A" w:rsidRPr="000C0211" w:rsidRDefault="00DE60C0" w:rsidP="005A153F">
            <w:pPr>
              <w:jc w:val="both"/>
              <w:rPr>
                <w:rFonts w:ascii="Times New Roman" w:hAnsi="Times New Roman" w:cs="Times New Roman"/>
                <w:lang w:val="fr-FR"/>
              </w:rPr>
            </w:pPr>
            <w:r w:rsidRPr="000C0211">
              <w:rPr>
                <w:rFonts w:ascii="Times New Roman" w:hAnsi="Times New Roman" w:cs="Times New Roman"/>
                <w:lang w:val="fr-FR"/>
              </w:rPr>
              <w:lastRenderedPageBreak/>
              <w:t xml:space="preserve">L’Épidémie à Virus Ebola qui sévit en Guinée à entrainer une contrainte énorme sur les différentes parties prenantes en </w:t>
            </w:r>
            <w:r w:rsidRPr="000C0211">
              <w:rPr>
                <w:rFonts w:ascii="Times New Roman" w:hAnsi="Times New Roman" w:cs="Times New Roman"/>
                <w:lang w:val="fr-FR"/>
              </w:rPr>
              <w:lastRenderedPageBreak/>
              <w:t>termes d disponibilités et de priorités.</w:t>
            </w:r>
          </w:p>
        </w:tc>
      </w:tr>
      <w:tr w:rsidR="005F557F" w:rsidRPr="000C0211" w:rsidTr="000C0211">
        <w:tc>
          <w:tcPr>
            <w:tcW w:w="1843" w:type="dxa"/>
            <w:shd w:val="clear" w:color="auto" w:fill="auto"/>
          </w:tcPr>
          <w:p w:rsidR="00A6396A" w:rsidRPr="000C0211" w:rsidRDefault="00A6396A" w:rsidP="005A153F">
            <w:pPr>
              <w:jc w:val="both"/>
              <w:rPr>
                <w:rFonts w:ascii="Times New Roman" w:hAnsi="Times New Roman" w:cs="Times New Roman"/>
                <w:lang w:val="fr-FR"/>
              </w:rPr>
            </w:pPr>
            <w:r w:rsidRPr="000C0211">
              <w:rPr>
                <w:rFonts w:ascii="Times New Roman" w:hAnsi="Times New Roman" w:cs="Times New Roman"/>
                <w:lang w:val="fr-FR"/>
              </w:rPr>
              <w:lastRenderedPageBreak/>
              <w:t>RF3 : Le CNOSCG et les OSC partenaires s’assurent que les besoins des plus pauvres et des plus vulnérables sont pris en compte lors de l’élaboration/adoption des politiques, stratégies, directives, budgets et lois dans le cadre de la lutte contre la malnutrition</w:t>
            </w:r>
          </w:p>
        </w:tc>
        <w:tc>
          <w:tcPr>
            <w:tcW w:w="3233" w:type="dxa"/>
            <w:shd w:val="clear" w:color="auto" w:fill="auto"/>
          </w:tcPr>
          <w:p w:rsidR="00A6396A" w:rsidRPr="000C0211" w:rsidRDefault="00A6396A" w:rsidP="005A153F">
            <w:pPr>
              <w:pStyle w:val="ListParagraph"/>
              <w:numPr>
                <w:ilvl w:val="0"/>
                <w:numId w:val="14"/>
              </w:numPr>
              <w:jc w:val="both"/>
              <w:rPr>
                <w:rFonts w:ascii="Times New Roman" w:hAnsi="Times New Roman" w:cs="Times New Roman"/>
                <w:lang w:val="fr-FR"/>
              </w:rPr>
            </w:pPr>
            <w:r w:rsidRPr="000C0211">
              <w:rPr>
                <w:rFonts w:ascii="Times New Roman" w:hAnsi="Times New Roman" w:cs="Times New Roman"/>
                <w:lang w:val="fr-FR"/>
              </w:rPr>
              <w:t>Le CNOSCG préside le groupe de travail et en assure l’opérationnalité</w:t>
            </w:r>
          </w:p>
          <w:p w:rsidR="00A6396A" w:rsidRPr="000C0211" w:rsidRDefault="00A6396A" w:rsidP="005A153F">
            <w:pPr>
              <w:pStyle w:val="ListParagraph"/>
              <w:numPr>
                <w:ilvl w:val="0"/>
                <w:numId w:val="14"/>
              </w:numPr>
              <w:jc w:val="both"/>
              <w:rPr>
                <w:rFonts w:ascii="Times New Roman" w:hAnsi="Times New Roman" w:cs="Times New Roman"/>
                <w:lang w:val="fr-FR"/>
              </w:rPr>
            </w:pPr>
            <w:r w:rsidRPr="000C0211">
              <w:rPr>
                <w:rFonts w:ascii="Times New Roman" w:hAnsi="Times New Roman" w:cs="Times New Roman"/>
                <w:lang w:val="fr-FR"/>
              </w:rPr>
              <w:t>Le Groupe de Travail influence les contenus des documents de référence en faveur des plus pauvres et des plus vulnérables</w:t>
            </w:r>
          </w:p>
          <w:p w:rsidR="000E25DA" w:rsidRPr="000C0211" w:rsidRDefault="000E25DA" w:rsidP="005A153F">
            <w:pPr>
              <w:pStyle w:val="ListParagraph"/>
              <w:ind w:left="360"/>
              <w:jc w:val="both"/>
              <w:rPr>
                <w:rFonts w:ascii="Times New Roman" w:hAnsi="Times New Roman" w:cs="Times New Roman"/>
                <w:lang w:val="fr-FR"/>
              </w:rPr>
            </w:pPr>
          </w:p>
          <w:p w:rsidR="000E25DA" w:rsidRPr="000C0211" w:rsidRDefault="000E25DA"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4"/>
              </w:numPr>
              <w:jc w:val="both"/>
              <w:rPr>
                <w:rFonts w:ascii="Times New Roman" w:hAnsi="Times New Roman" w:cs="Times New Roman"/>
                <w:lang w:val="fr-FR"/>
              </w:rPr>
            </w:pPr>
            <w:r w:rsidRPr="000C0211">
              <w:rPr>
                <w:rFonts w:ascii="Times New Roman" w:hAnsi="Times New Roman" w:cs="Times New Roman"/>
                <w:lang w:val="fr-FR"/>
              </w:rPr>
              <w:t>Nombre de documents produits par le Groupe de Travail et partagés avec l’Etat et les PTF</w:t>
            </w:r>
          </w:p>
        </w:tc>
        <w:tc>
          <w:tcPr>
            <w:tcW w:w="2589" w:type="dxa"/>
            <w:shd w:val="clear" w:color="auto" w:fill="auto"/>
          </w:tcPr>
          <w:p w:rsidR="00A6396A" w:rsidRPr="000C0211" w:rsidRDefault="00A6396A" w:rsidP="000C0211">
            <w:pPr>
              <w:pStyle w:val="ListParagraph"/>
              <w:numPr>
                <w:ilvl w:val="0"/>
                <w:numId w:val="14"/>
              </w:numPr>
              <w:jc w:val="both"/>
              <w:rPr>
                <w:rFonts w:ascii="Times New Roman" w:hAnsi="Times New Roman" w:cs="Times New Roman"/>
                <w:lang w:val="fr-FR"/>
              </w:rPr>
            </w:pPr>
            <w:r w:rsidRPr="000C0211">
              <w:rPr>
                <w:rFonts w:ascii="Times New Roman" w:hAnsi="Times New Roman" w:cs="Times New Roman"/>
                <w:lang w:val="fr-FR"/>
              </w:rPr>
              <w:t>Les termes de références du groupe de travail et de réflexion sur les questions de nutrition constitué par les points focaux des OS</w:t>
            </w:r>
            <w:r w:rsidR="00B3443E" w:rsidRPr="000C0211">
              <w:rPr>
                <w:rFonts w:ascii="Times New Roman" w:hAnsi="Times New Roman" w:cs="Times New Roman"/>
                <w:lang w:val="fr-FR"/>
              </w:rPr>
              <w:t xml:space="preserve">C ont été finalisés </w:t>
            </w:r>
          </w:p>
          <w:p w:rsidR="000C0211" w:rsidRPr="000C0211" w:rsidRDefault="000C0211" w:rsidP="000C0211">
            <w:pPr>
              <w:jc w:val="both"/>
              <w:rPr>
                <w:rFonts w:ascii="Times New Roman" w:hAnsi="Times New Roman" w:cs="Times New Roman"/>
                <w:lang w:val="fr-FR"/>
              </w:rPr>
            </w:pPr>
          </w:p>
          <w:p w:rsidR="000E25DA" w:rsidRPr="000C0211" w:rsidRDefault="000E25DA" w:rsidP="000C0211">
            <w:pPr>
              <w:pStyle w:val="ListParagraph"/>
              <w:numPr>
                <w:ilvl w:val="0"/>
                <w:numId w:val="14"/>
              </w:numPr>
              <w:jc w:val="both"/>
              <w:rPr>
                <w:rFonts w:ascii="Times New Roman" w:hAnsi="Times New Roman" w:cs="Times New Roman"/>
                <w:lang w:val="fr-FR"/>
              </w:rPr>
            </w:pPr>
            <w:r w:rsidRPr="000C0211">
              <w:rPr>
                <w:rFonts w:ascii="Times New Roman" w:hAnsi="Times New Roman" w:cs="Times New Roman"/>
                <w:lang w:val="fr-FR"/>
              </w:rPr>
              <w:t>Pas encore sauf après l’analyse de situation pour laquelle une seconde lettre conjointe Tdh-CNOSCG va être adressée aux différents ministères ciblé à cet effet.</w:t>
            </w:r>
          </w:p>
        </w:tc>
        <w:tc>
          <w:tcPr>
            <w:tcW w:w="1669" w:type="dxa"/>
            <w:shd w:val="clear" w:color="auto" w:fill="auto"/>
          </w:tcPr>
          <w:p w:rsidR="00A6396A" w:rsidRPr="000C0211" w:rsidRDefault="00A6396A" w:rsidP="005A153F">
            <w:pPr>
              <w:jc w:val="both"/>
              <w:rPr>
                <w:rFonts w:ascii="Times New Roman" w:hAnsi="Times New Roman" w:cs="Times New Roman"/>
                <w:lang w:val="fr-FR"/>
              </w:rPr>
            </w:pPr>
          </w:p>
        </w:tc>
      </w:tr>
      <w:tr w:rsidR="005F557F" w:rsidRPr="000C0211" w:rsidTr="000C0211">
        <w:tc>
          <w:tcPr>
            <w:tcW w:w="1843" w:type="dxa"/>
            <w:shd w:val="clear" w:color="auto" w:fill="auto"/>
          </w:tcPr>
          <w:p w:rsidR="00A6396A" w:rsidRPr="000C0211" w:rsidRDefault="00A6396A" w:rsidP="005A153F">
            <w:pPr>
              <w:pBdr>
                <w:left w:val="single" w:sz="4" w:space="4" w:color="auto"/>
                <w:right w:val="single" w:sz="4" w:space="4" w:color="auto"/>
              </w:pBdr>
              <w:jc w:val="both"/>
              <w:rPr>
                <w:rFonts w:ascii="Times New Roman" w:hAnsi="Times New Roman" w:cs="Times New Roman"/>
                <w:lang w:val="fr-FR"/>
              </w:rPr>
            </w:pPr>
            <w:r w:rsidRPr="000C0211">
              <w:rPr>
                <w:rFonts w:ascii="Times New Roman" w:hAnsi="Times New Roman" w:cs="Times New Roman"/>
                <w:lang w:val="fr-FR"/>
              </w:rPr>
              <w:t xml:space="preserve">RF4 : Le CNOSCG et les OSC partenaires participent au mécanisme mis en place par la société civile pour évaluer ses actions </w:t>
            </w:r>
            <w:r w:rsidRPr="000C0211">
              <w:rPr>
                <w:rFonts w:ascii="Times New Roman" w:hAnsi="Times New Roman" w:cs="Times New Roman"/>
                <w:lang w:val="fr-FR"/>
              </w:rPr>
              <w:lastRenderedPageBreak/>
              <w:t>de nutrition et celles de l’Etat.</w:t>
            </w:r>
          </w:p>
        </w:tc>
        <w:tc>
          <w:tcPr>
            <w:tcW w:w="3233" w:type="dxa"/>
            <w:shd w:val="clear" w:color="auto" w:fill="auto"/>
          </w:tcPr>
          <w:p w:rsidR="00A6396A" w:rsidRPr="000C0211" w:rsidRDefault="00A6396A" w:rsidP="005A153F">
            <w:pPr>
              <w:pStyle w:val="ListParagraph"/>
              <w:numPr>
                <w:ilvl w:val="0"/>
                <w:numId w:val="15"/>
              </w:numPr>
              <w:jc w:val="both"/>
              <w:rPr>
                <w:rFonts w:ascii="Times New Roman" w:hAnsi="Times New Roman" w:cs="Times New Roman"/>
                <w:lang w:val="fr-FR"/>
              </w:rPr>
            </w:pPr>
            <w:r w:rsidRPr="000C0211">
              <w:rPr>
                <w:rFonts w:ascii="Times New Roman" w:hAnsi="Times New Roman" w:cs="Times New Roman"/>
                <w:lang w:val="fr-FR"/>
              </w:rPr>
              <w:lastRenderedPageBreak/>
              <w:t>Un mécanisme d’analyse et de suivi-évaluation incluant l’Observatoire et le Groupe de Travail est élaboré et validé par le Groupe Technique Nutrition</w:t>
            </w:r>
          </w:p>
          <w:p w:rsidR="00C104E0" w:rsidRPr="000C0211" w:rsidRDefault="00C104E0" w:rsidP="00C104E0">
            <w:pPr>
              <w:pStyle w:val="ListParagraph"/>
              <w:ind w:left="360"/>
              <w:jc w:val="both"/>
              <w:rPr>
                <w:rFonts w:ascii="Times New Roman" w:hAnsi="Times New Roman" w:cs="Times New Roman"/>
                <w:lang w:val="fr-FR"/>
              </w:rPr>
            </w:pPr>
          </w:p>
          <w:p w:rsidR="00C104E0" w:rsidRPr="000C0211" w:rsidRDefault="00A6396A" w:rsidP="00C104E0">
            <w:pPr>
              <w:pStyle w:val="ListParagraph"/>
              <w:numPr>
                <w:ilvl w:val="0"/>
                <w:numId w:val="15"/>
              </w:numPr>
              <w:jc w:val="both"/>
              <w:rPr>
                <w:rFonts w:ascii="Times New Roman" w:hAnsi="Times New Roman" w:cs="Times New Roman"/>
                <w:lang w:val="fr-FR"/>
              </w:rPr>
            </w:pPr>
            <w:r w:rsidRPr="000C0211">
              <w:rPr>
                <w:rFonts w:ascii="Times New Roman" w:hAnsi="Times New Roman" w:cs="Times New Roman"/>
                <w:lang w:val="fr-FR"/>
              </w:rPr>
              <w:t xml:space="preserve">Le CNOSCG et les OSC partenaires ont acquis les </w:t>
            </w:r>
            <w:r w:rsidRPr="000C0211">
              <w:rPr>
                <w:rFonts w:ascii="Times New Roman" w:hAnsi="Times New Roman" w:cs="Times New Roman"/>
                <w:lang w:val="fr-FR"/>
              </w:rPr>
              <w:lastRenderedPageBreak/>
              <w:t>compétences nécessaires pour participer à l’élaboration et la mise en œuvre du mécanisme de suivi-évaluation et de redevabilité</w:t>
            </w:r>
          </w:p>
          <w:p w:rsidR="00C104E0" w:rsidRPr="000C0211" w:rsidRDefault="00C104E0" w:rsidP="00C104E0">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5"/>
              </w:numPr>
              <w:jc w:val="both"/>
              <w:rPr>
                <w:rFonts w:ascii="Times New Roman" w:hAnsi="Times New Roman" w:cs="Times New Roman"/>
                <w:lang w:val="fr-FR"/>
              </w:rPr>
            </w:pPr>
            <w:r w:rsidRPr="000C0211">
              <w:rPr>
                <w:rFonts w:ascii="Times New Roman" w:hAnsi="Times New Roman" w:cs="Times New Roman"/>
                <w:lang w:val="fr-FR"/>
              </w:rPr>
              <w:t>Disponibilité du rapport annuel d’évaluation de la société civile sur la nutrition en Guinée</w:t>
            </w:r>
          </w:p>
        </w:tc>
        <w:tc>
          <w:tcPr>
            <w:tcW w:w="2589" w:type="dxa"/>
            <w:shd w:val="clear" w:color="auto" w:fill="auto"/>
          </w:tcPr>
          <w:p w:rsidR="00A6396A" w:rsidRPr="000C0211" w:rsidRDefault="00A6396A" w:rsidP="000C0211">
            <w:pPr>
              <w:pStyle w:val="ListParagraph"/>
              <w:numPr>
                <w:ilvl w:val="0"/>
                <w:numId w:val="15"/>
              </w:numPr>
              <w:jc w:val="both"/>
              <w:rPr>
                <w:rFonts w:ascii="Times New Roman" w:hAnsi="Times New Roman" w:cs="Times New Roman"/>
                <w:lang w:val="fr-FR"/>
              </w:rPr>
            </w:pPr>
            <w:r w:rsidRPr="000C0211">
              <w:rPr>
                <w:rFonts w:ascii="Times New Roman" w:hAnsi="Times New Roman" w:cs="Times New Roman"/>
                <w:lang w:val="fr-FR"/>
              </w:rPr>
              <w:lastRenderedPageBreak/>
              <w:t>Un dispositif de suivi-évaluation est en cours de développement. Certaines ressources du système d’information sont déjà mobilisées au niveau du CNOSCG not</w:t>
            </w:r>
            <w:r w:rsidR="00710E9D" w:rsidRPr="000C0211">
              <w:rPr>
                <w:rFonts w:ascii="Times New Roman" w:hAnsi="Times New Roman" w:cs="Times New Roman"/>
                <w:lang w:val="fr-FR"/>
              </w:rPr>
              <w:t xml:space="preserve">amment le matériel </w:t>
            </w:r>
            <w:r w:rsidR="00710E9D" w:rsidRPr="000C0211">
              <w:rPr>
                <w:rFonts w:ascii="Times New Roman" w:hAnsi="Times New Roman" w:cs="Times New Roman"/>
                <w:lang w:val="fr-FR"/>
              </w:rPr>
              <w:lastRenderedPageBreak/>
              <w:t xml:space="preserve">informatique. Une formation des OSC est prévue courant 2ème quinzaine du mois de Mai. Une demande </w:t>
            </w:r>
            <w:r w:rsidR="00192579" w:rsidRPr="000C0211">
              <w:rPr>
                <w:rFonts w:ascii="Times New Roman" w:hAnsi="Times New Roman" w:cs="Times New Roman"/>
                <w:lang w:val="fr-FR"/>
              </w:rPr>
              <w:t>formateur/formatrice national(e)</w:t>
            </w:r>
            <w:r w:rsidR="00710E9D" w:rsidRPr="000C0211">
              <w:rPr>
                <w:rFonts w:ascii="Times New Roman" w:hAnsi="Times New Roman" w:cs="Times New Roman"/>
                <w:lang w:val="fr-FR"/>
              </w:rPr>
              <w:t xml:space="preserve"> a été déjà introduite au Ministère de la santé à travers la DAN.</w:t>
            </w:r>
          </w:p>
        </w:tc>
        <w:tc>
          <w:tcPr>
            <w:tcW w:w="1669" w:type="dxa"/>
            <w:shd w:val="clear" w:color="auto" w:fill="auto"/>
          </w:tcPr>
          <w:p w:rsidR="00A6396A" w:rsidRPr="000C0211" w:rsidRDefault="00A6396A" w:rsidP="005A153F">
            <w:pPr>
              <w:jc w:val="both"/>
              <w:rPr>
                <w:rFonts w:ascii="Times New Roman" w:hAnsi="Times New Roman" w:cs="Times New Roman"/>
                <w:lang w:val="fr-FR"/>
              </w:rPr>
            </w:pPr>
          </w:p>
        </w:tc>
      </w:tr>
      <w:tr w:rsidR="005F557F" w:rsidRPr="000C0211" w:rsidTr="000C0211">
        <w:tc>
          <w:tcPr>
            <w:tcW w:w="1843" w:type="dxa"/>
            <w:shd w:val="clear" w:color="auto" w:fill="auto"/>
          </w:tcPr>
          <w:p w:rsidR="00A6396A" w:rsidRPr="000C0211" w:rsidRDefault="00A6396A" w:rsidP="005A153F">
            <w:pPr>
              <w:pBdr>
                <w:left w:val="single" w:sz="4" w:space="4" w:color="auto"/>
                <w:right w:val="single" w:sz="4" w:space="4" w:color="auto"/>
              </w:pBdr>
              <w:jc w:val="both"/>
              <w:rPr>
                <w:rFonts w:ascii="Times New Roman" w:hAnsi="Times New Roman" w:cs="Times New Roman"/>
                <w:lang w:val="fr-FR"/>
              </w:rPr>
            </w:pPr>
            <w:r w:rsidRPr="000C0211">
              <w:rPr>
                <w:rFonts w:ascii="Times New Roman" w:hAnsi="Times New Roman" w:cs="Times New Roman"/>
                <w:lang w:val="fr-FR"/>
              </w:rPr>
              <w:lastRenderedPageBreak/>
              <w:t>RF5 : Le rôle essentiel du CNOSCG et des OSC identifiées dans le domaine de la nutrition est reconnu et pérennisé.</w:t>
            </w:r>
          </w:p>
        </w:tc>
        <w:tc>
          <w:tcPr>
            <w:tcW w:w="3233" w:type="dxa"/>
            <w:shd w:val="clear" w:color="auto" w:fill="auto"/>
          </w:tcPr>
          <w:p w:rsidR="00A6396A" w:rsidRPr="000C0211" w:rsidRDefault="00A6396A" w:rsidP="005A153F">
            <w:pPr>
              <w:pStyle w:val="ListParagraph"/>
              <w:numPr>
                <w:ilvl w:val="0"/>
                <w:numId w:val="16"/>
              </w:numPr>
              <w:jc w:val="both"/>
              <w:rPr>
                <w:rFonts w:ascii="Times New Roman" w:hAnsi="Times New Roman" w:cs="Times New Roman"/>
                <w:lang w:val="fr-FR"/>
              </w:rPr>
            </w:pPr>
            <w:r w:rsidRPr="000C0211">
              <w:rPr>
                <w:rFonts w:ascii="Times New Roman" w:hAnsi="Times New Roman" w:cs="Times New Roman"/>
                <w:lang w:val="fr-FR"/>
              </w:rPr>
              <w:t>Intégration des actions et productions de la société civile dans le plan national de développement de la nutrition</w:t>
            </w:r>
          </w:p>
          <w:p w:rsidR="00A62CD4" w:rsidRPr="000C0211" w:rsidRDefault="00A62CD4"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6"/>
              </w:numPr>
              <w:jc w:val="both"/>
              <w:rPr>
                <w:rFonts w:ascii="Times New Roman" w:hAnsi="Times New Roman" w:cs="Times New Roman"/>
                <w:lang w:val="fr-FR"/>
              </w:rPr>
            </w:pPr>
            <w:r w:rsidRPr="000C0211">
              <w:rPr>
                <w:rFonts w:ascii="Times New Roman" w:hAnsi="Times New Roman" w:cs="Times New Roman"/>
                <w:lang w:val="fr-FR"/>
              </w:rPr>
              <w:t>Nombre de proposals soumis aux donateurs et montants mobilisés</w:t>
            </w:r>
            <w:r w:rsidR="00A62CD4" w:rsidRPr="000C0211">
              <w:rPr>
                <w:rFonts w:ascii="Times New Roman" w:hAnsi="Times New Roman" w:cs="Times New Roman"/>
                <w:lang w:val="fr-FR"/>
              </w:rPr>
              <w:t xml:space="preserve"> </w:t>
            </w:r>
          </w:p>
          <w:p w:rsidR="00A62CD4" w:rsidRPr="000C0211" w:rsidRDefault="00A62CD4" w:rsidP="005A153F">
            <w:pPr>
              <w:pStyle w:val="ListParagraph"/>
              <w:ind w:left="360"/>
              <w:jc w:val="both"/>
              <w:rPr>
                <w:rFonts w:ascii="Times New Roman" w:hAnsi="Times New Roman" w:cs="Times New Roman"/>
                <w:lang w:val="fr-FR"/>
              </w:rPr>
            </w:pPr>
          </w:p>
          <w:p w:rsidR="00A6396A" w:rsidRPr="000C0211" w:rsidRDefault="00A6396A" w:rsidP="005A153F">
            <w:pPr>
              <w:pStyle w:val="ListParagraph"/>
              <w:numPr>
                <w:ilvl w:val="0"/>
                <w:numId w:val="16"/>
              </w:numPr>
              <w:jc w:val="both"/>
              <w:rPr>
                <w:rFonts w:ascii="Times New Roman" w:hAnsi="Times New Roman" w:cs="Times New Roman"/>
                <w:lang w:val="fr-FR"/>
              </w:rPr>
            </w:pPr>
            <w:r w:rsidRPr="000C0211">
              <w:rPr>
                <w:rFonts w:ascii="Times New Roman" w:hAnsi="Times New Roman" w:cs="Times New Roman"/>
                <w:lang w:val="fr-FR"/>
              </w:rPr>
              <w:t>Nombre de contrats de part</w:t>
            </w:r>
            <w:r w:rsidR="00372309" w:rsidRPr="000C0211">
              <w:rPr>
                <w:rFonts w:ascii="Times New Roman" w:hAnsi="Times New Roman" w:cs="Times New Roman"/>
                <w:lang w:val="fr-FR"/>
              </w:rPr>
              <w:t xml:space="preserve">enariats signés entre le CNOSCG et </w:t>
            </w:r>
            <w:r w:rsidR="00437FAB" w:rsidRPr="000C0211">
              <w:rPr>
                <w:rFonts w:ascii="Times New Roman" w:hAnsi="Times New Roman" w:cs="Times New Roman"/>
                <w:lang w:val="fr-FR"/>
              </w:rPr>
              <w:t xml:space="preserve"> </w:t>
            </w:r>
            <w:r w:rsidRPr="000C0211">
              <w:rPr>
                <w:rFonts w:ascii="Times New Roman" w:hAnsi="Times New Roman" w:cs="Times New Roman"/>
                <w:lang w:val="fr-FR"/>
              </w:rPr>
              <w:t>OSC partenaires et les agences qui interviennent en nutrition en Guinée</w:t>
            </w:r>
          </w:p>
          <w:p w:rsidR="00A6396A" w:rsidRPr="000C0211" w:rsidRDefault="00A6396A" w:rsidP="005A153F">
            <w:pPr>
              <w:pStyle w:val="ListParagraph"/>
              <w:numPr>
                <w:ilvl w:val="0"/>
                <w:numId w:val="16"/>
              </w:numPr>
              <w:jc w:val="both"/>
              <w:rPr>
                <w:rFonts w:ascii="Times New Roman" w:hAnsi="Times New Roman" w:cs="Times New Roman"/>
                <w:lang w:val="fr-FR"/>
              </w:rPr>
            </w:pPr>
            <w:r w:rsidRPr="000C0211">
              <w:rPr>
                <w:rFonts w:ascii="Times New Roman" w:hAnsi="Times New Roman" w:cs="Times New Roman"/>
                <w:lang w:val="fr-FR"/>
              </w:rPr>
              <w:t>Nombre de personnes membres du CNOSCG et des OSC partenaires ayant leurs connaissances et pratiques améliorées en matière de capitalisation des expériences en nutrition</w:t>
            </w:r>
          </w:p>
        </w:tc>
        <w:tc>
          <w:tcPr>
            <w:tcW w:w="2589" w:type="dxa"/>
            <w:shd w:val="clear" w:color="auto" w:fill="auto"/>
          </w:tcPr>
          <w:p w:rsidR="00A6396A" w:rsidRPr="000C0211" w:rsidRDefault="00A6396A" w:rsidP="005A153F">
            <w:pPr>
              <w:jc w:val="both"/>
              <w:rPr>
                <w:rFonts w:ascii="Times New Roman" w:hAnsi="Times New Roman" w:cs="Times New Roman"/>
                <w:lang w:val="fr-FR"/>
              </w:rPr>
            </w:pPr>
          </w:p>
        </w:tc>
        <w:tc>
          <w:tcPr>
            <w:tcW w:w="1669" w:type="dxa"/>
            <w:shd w:val="clear" w:color="auto" w:fill="auto"/>
          </w:tcPr>
          <w:p w:rsidR="00A6396A" w:rsidRPr="000C0211" w:rsidRDefault="00A6396A" w:rsidP="005A153F">
            <w:pPr>
              <w:jc w:val="both"/>
              <w:rPr>
                <w:rFonts w:ascii="Times New Roman" w:hAnsi="Times New Roman" w:cs="Times New Roman"/>
                <w:lang w:val="fr-FR"/>
              </w:rPr>
            </w:pPr>
          </w:p>
        </w:tc>
      </w:tr>
    </w:tbl>
    <w:p w:rsidR="007316A8" w:rsidRPr="005F557F" w:rsidRDefault="007316A8" w:rsidP="005A153F">
      <w:pPr>
        <w:widowControl w:val="0"/>
        <w:spacing w:after="0" w:line="240" w:lineRule="auto"/>
        <w:ind w:left="360"/>
        <w:jc w:val="both"/>
        <w:rPr>
          <w:rFonts w:ascii="Times New Roman" w:eastAsia="Times New Roman" w:hAnsi="Times New Roman" w:cs="Times New Roman"/>
          <w:snapToGrid w:val="0"/>
          <w:sz w:val="24"/>
          <w:szCs w:val="24"/>
          <w:lang w:val="fr-FR" w:eastAsia="x-none"/>
        </w:rPr>
      </w:pPr>
    </w:p>
    <w:p w:rsidR="007316A8" w:rsidRPr="005F557F" w:rsidRDefault="007316A8" w:rsidP="005A153F">
      <w:pPr>
        <w:widowControl w:val="0"/>
        <w:spacing w:after="0" w:line="240" w:lineRule="auto"/>
        <w:ind w:left="360"/>
        <w:jc w:val="both"/>
        <w:rPr>
          <w:rFonts w:ascii="Times New Roman" w:eastAsia="Times New Roman" w:hAnsi="Times New Roman" w:cs="Times New Roman"/>
          <w:snapToGrid w:val="0"/>
          <w:sz w:val="24"/>
          <w:szCs w:val="24"/>
          <w:lang w:val="fr-FR" w:eastAsia="x-none"/>
        </w:rPr>
      </w:pPr>
    </w:p>
    <w:p w:rsidR="00DE0BC6" w:rsidRPr="005F557F" w:rsidRDefault="00DE0BC6" w:rsidP="005A153F">
      <w:pPr>
        <w:widowControl w:val="0"/>
        <w:numPr>
          <w:ilvl w:val="0"/>
          <w:numId w:val="3"/>
        </w:numPr>
        <w:spacing w:after="0" w:line="240" w:lineRule="auto"/>
        <w:ind w:left="360" w:hanging="360"/>
        <w:jc w:val="both"/>
        <w:rPr>
          <w:rFonts w:ascii="Times New Roman" w:eastAsia="Times New Roman" w:hAnsi="Times New Roman" w:cs="Times New Roman"/>
          <w:b/>
          <w:bCs/>
          <w:snapToGrid w:val="0"/>
          <w:sz w:val="24"/>
          <w:szCs w:val="24"/>
          <w:lang w:eastAsia="x-none"/>
        </w:rPr>
      </w:pPr>
      <w:r w:rsidRPr="005F557F">
        <w:rPr>
          <w:rFonts w:ascii="Times New Roman" w:eastAsia="Times New Roman" w:hAnsi="Times New Roman" w:cs="Times New Roman"/>
          <w:b/>
          <w:snapToGrid w:val="0"/>
          <w:sz w:val="24"/>
          <w:szCs w:val="24"/>
          <w:lang w:eastAsia="x-none"/>
        </w:rPr>
        <w:t>Future Work Plan</w:t>
      </w:r>
      <w:r w:rsidRPr="005F557F">
        <w:rPr>
          <w:rFonts w:ascii="Times New Roman" w:eastAsia="Times New Roman" w:hAnsi="Times New Roman" w:cs="Times New Roman"/>
          <w:b/>
          <w:bCs/>
          <w:snapToGrid w:val="0"/>
          <w:sz w:val="24"/>
          <w:szCs w:val="24"/>
          <w:lang w:eastAsia="x-none"/>
        </w:rPr>
        <w:t xml:space="preserve"> </w:t>
      </w:r>
      <w:r w:rsidRPr="005F557F">
        <w:rPr>
          <w:rFonts w:ascii="Times New Roman" w:eastAsia="Times New Roman" w:hAnsi="Times New Roman" w:cs="Times New Roman"/>
          <w:b/>
          <w:snapToGrid w:val="0"/>
          <w:sz w:val="24"/>
          <w:szCs w:val="24"/>
          <w:lang w:eastAsia="x-none"/>
        </w:rPr>
        <w:t xml:space="preserve"> </w:t>
      </w:r>
    </w:p>
    <w:p w:rsidR="008419B3" w:rsidRPr="005F557F" w:rsidRDefault="008419B3" w:rsidP="00876459">
      <w:pPr>
        <w:widowControl w:val="0"/>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Les priorités pour les prochains mois incluent:</w:t>
      </w:r>
    </w:p>
    <w:p w:rsidR="003A7C2B" w:rsidRPr="005F557F" w:rsidRDefault="008419B3" w:rsidP="008419B3">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La finalisation du </w:t>
      </w:r>
      <w:r w:rsidR="00974F7E" w:rsidRPr="005F557F">
        <w:rPr>
          <w:rFonts w:ascii="Times New Roman" w:eastAsia="Times New Roman" w:hAnsi="Times New Roman" w:cs="Times New Roman"/>
          <w:snapToGrid w:val="0"/>
          <w:sz w:val="24"/>
          <w:szCs w:val="24"/>
          <w:lang w:val="fr-FR" w:eastAsia="x-none"/>
        </w:rPr>
        <w:t xml:space="preserve">plan de travail </w:t>
      </w:r>
      <w:r w:rsidRPr="005F557F">
        <w:rPr>
          <w:rFonts w:ascii="Times New Roman" w:eastAsia="Times New Roman" w:hAnsi="Times New Roman" w:cs="Times New Roman"/>
          <w:snapToGrid w:val="0"/>
          <w:sz w:val="24"/>
          <w:szCs w:val="24"/>
          <w:lang w:val="fr-FR" w:eastAsia="x-none"/>
        </w:rPr>
        <w:t>multisectoriel post-</w:t>
      </w:r>
      <w:r w:rsidR="00974F7E" w:rsidRPr="005F557F">
        <w:rPr>
          <w:rFonts w:ascii="Times New Roman" w:eastAsia="Times New Roman" w:hAnsi="Times New Roman" w:cs="Times New Roman"/>
          <w:snapToGrid w:val="0"/>
          <w:sz w:val="24"/>
          <w:szCs w:val="24"/>
          <w:lang w:val="fr-FR" w:eastAsia="x-none"/>
        </w:rPr>
        <w:t xml:space="preserve">2015 </w:t>
      </w:r>
    </w:p>
    <w:p w:rsidR="008419B3" w:rsidRPr="005F557F" w:rsidRDefault="008419B3" w:rsidP="008419B3">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Le plaidoyer auprès du parlement pour l’adoption des textes clés liés à Nutrition (code de substitut du lait maternel, loi sur la fortification alimentaire…) à travers le lobby auprès du réseau des femmes parlementaires </w:t>
      </w:r>
    </w:p>
    <w:p w:rsidR="00D07A7C" w:rsidRPr="005F557F" w:rsidRDefault="00D07A7C" w:rsidP="008419B3">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L’organisation du Forum de la Société Civile sur la Nutrition en Guinée</w:t>
      </w:r>
    </w:p>
    <w:p w:rsidR="008419B3" w:rsidRPr="005F557F" w:rsidRDefault="008419B3" w:rsidP="00D07A7C">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La suite de la formation des acteurs de la société civile</w:t>
      </w:r>
      <w:r w:rsidR="00D07A7C" w:rsidRPr="005F557F">
        <w:rPr>
          <w:rFonts w:ascii="Times New Roman" w:hAnsi="Times New Roman" w:cs="Times New Roman"/>
          <w:sz w:val="24"/>
          <w:szCs w:val="24"/>
          <w:lang w:val="fr-FR"/>
        </w:rPr>
        <w:t xml:space="preserve"> </w:t>
      </w:r>
      <w:r w:rsidR="00D07A7C" w:rsidRPr="005F557F">
        <w:rPr>
          <w:rFonts w:ascii="Times New Roman" w:eastAsia="Times New Roman" w:hAnsi="Times New Roman" w:cs="Times New Roman"/>
          <w:snapToGrid w:val="0"/>
          <w:sz w:val="24"/>
          <w:szCs w:val="24"/>
          <w:lang w:val="fr-FR" w:eastAsia="x-none"/>
        </w:rPr>
        <w:t>à la participation dans l’élaboration et le suivi des politiques publique</w:t>
      </w:r>
    </w:p>
    <w:p w:rsidR="008419B3" w:rsidRPr="005F557F" w:rsidRDefault="008419B3" w:rsidP="008419B3">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La documentation des leçons apprises</w:t>
      </w:r>
    </w:p>
    <w:p w:rsidR="008419B3" w:rsidRDefault="00D07A7C" w:rsidP="008419B3">
      <w:pPr>
        <w:pStyle w:val="ListParagraph"/>
        <w:widowControl w:val="0"/>
        <w:numPr>
          <w:ilvl w:val="0"/>
          <w:numId w:val="24"/>
        </w:num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 xml:space="preserve">La participation active de la CNOSC aux différents fora de discussions de la Nutrition (GNT, Cluster, GT PTF nutrition, Groupes Techniques </w:t>
      </w:r>
      <w:r w:rsidR="006752D3" w:rsidRPr="005F557F">
        <w:rPr>
          <w:rFonts w:ascii="Times New Roman" w:eastAsia="Times New Roman" w:hAnsi="Times New Roman" w:cs="Times New Roman"/>
          <w:snapToGrid w:val="0"/>
          <w:sz w:val="24"/>
          <w:szCs w:val="24"/>
          <w:lang w:val="fr-FR" w:eastAsia="x-none"/>
        </w:rPr>
        <w:t>régionaux</w:t>
      </w:r>
      <w:r w:rsidRPr="005F557F">
        <w:rPr>
          <w:rFonts w:ascii="Times New Roman" w:eastAsia="Times New Roman" w:hAnsi="Times New Roman" w:cs="Times New Roman"/>
          <w:snapToGrid w:val="0"/>
          <w:sz w:val="24"/>
          <w:szCs w:val="24"/>
          <w:lang w:val="fr-FR" w:eastAsia="x-none"/>
        </w:rPr>
        <w:t>…)</w:t>
      </w:r>
    </w:p>
    <w:p w:rsidR="006752D3" w:rsidRPr="005F557F" w:rsidRDefault="006752D3" w:rsidP="006752D3">
      <w:pPr>
        <w:pStyle w:val="ListParagraph"/>
        <w:widowControl w:val="0"/>
        <w:spacing w:before="120" w:after="0" w:line="240" w:lineRule="auto"/>
        <w:jc w:val="both"/>
        <w:rPr>
          <w:rFonts w:ascii="Times New Roman" w:eastAsia="Times New Roman" w:hAnsi="Times New Roman" w:cs="Times New Roman"/>
          <w:snapToGrid w:val="0"/>
          <w:sz w:val="24"/>
          <w:szCs w:val="24"/>
          <w:lang w:val="fr-FR" w:eastAsia="x-none"/>
        </w:rPr>
      </w:pPr>
    </w:p>
    <w:p w:rsidR="00DE0BC6" w:rsidRPr="006752D3" w:rsidRDefault="00DE0BC6" w:rsidP="006752D3">
      <w:pPr>
        <w:widowControl w:val="0"/>
        <w:spacing w:before="120" w:after="0" w:line="240" w:lineRule="auto"/>
        <w:jc w:val="both"/>
        <w:rPr>
          <w:rFonts w:ascii="Times New Roman" w:eastAsia="Times New Roman" w:hAnsi="Times New Roman" w:cs="Times New Roman"/>
          <w:snapToGrid w:val="0"/>
          <w:sz w:val="24"/>
          <w:szCs w:val="24"/>
          <w:u w:val="single"/>
          <w:lang w:eastAsia="x-none"/>
        </w:rPr>
      </w:pPr>
      <w:r w:rsidRPr="006752D3">
        <w:rPr>
          <w:rFonts w:ascii="Times New Roman" w:eastAsia="Times New Roman" w:hAnsi="Times New Roman" w:cs="Times New Roman"/>
          <w:snapToGrid w:val="0"/>
          <w:sz w:val="24"/>
          <w:szCs w:val="24"/>
          <w:u w:val="single"/>
          <w:lang w:eastAsia="x-none"/>
        </w:rPr>
        <w:t>Estimated Budget required (including any major funding shortfalls).</w:t>
      </w:r>
    </w:p>
    <w:p w:rsidR="00DE0BC6" w:rsidRPr="005F557F" w:rsidRDefault="00D07A7C" w:rsidP="005A153F">
      <w:pPr>
        <w:spacing w:before="120" w:after="0" w:line="240" w:lineRule="auto"/>
        <w:jc w:val="both"/>
        <w:rPr>
          <w:rFonts w:ascii="Times New Roman" w:eastAsia="Times New Roman" w:hAnsi="Times New Roman" w:cs="Times New Roman"/>
          <w:snapToGrid w:val="0"/>
          <w:sz w:val="24"/>
          <w:szCs w:val="24"/>
          <w:lang w:val="fr-FR" w:eastAsia="x-none"/>
        </w:rPr>
      </w:pPr>
      <w:r w:rsidRPr="005F557F">
        <w:rPr>
          <w:rFonts w:ascii="Times New Roman" w:eastAsia="Times New Roman" w:hAnsi="Times New Roman" w:cs="Times New Roman"/>
          <w:snapToGrid w:val="0"/>
          <w:sz w:val="24"/>
          <w:szCs w:val="24"/>
          <w:lang w:val="fr-FR" w:eastAsia="x-none"/>
        </w:rPr>
        <w:t>Les ajustements au budget se feront au mois de Juin lors de la finalisation du rapport du 1</w:t>
      </w:r>
      <w:r w:rsidRPr="005F557F">
        <w:rPr>
          <w:rFonts w:ascii="Times New Roman" w:eastAsia="Times New Roman" w:hAnsi="Times New Roman" w:cs="Times New Roman"/>
          <w:snapToGrid w:val="0"/>
          <w:sz w:val="24"/>
          <w:szCs w:val="24"/>
          <w:vertAlign w:val="superscript"/>
          <w:lang w:val="fr-FR" w:eastAsia="x-none"/>
        </w:rPr>
        <w:t>er</w:t>
      </w:r>
      <w:r w:rsidRPr="005F557F">
        <w:rPr>
          <w:rFonts w:ascii="Times New Roman" w:eastAsia="Times New Roman" w:hAnsi="Times New Roman" w:cs="Times New Roman"/>
          <w:snapToGrid w:val="0"/>
          <w:sz w:val="24"/>
          <w:szCs w:val="24"/>
          <w:lang w:val="fr-FR" w:eastAsia="x-none"/>
        </w:rPr>
        <w:t xml:space="preserve"> semestre 2015 ; à priori, nous n’anticipons pas de Gap pour 2015 toutefois, pour maintenir et pérenniser les acquis, un budget au moins équivalent au précédent (environ 300,000$) sera nécessaire pour 2016.</w:t>
      </w:r>
    </w:p>
    <w:p w:rsidR="00DE0BC6" w:rsidRPr="005F557F" w:rsidRDefault="00DE0BC6" w:rsidP="005A153F">
      <w:pPr>
        <w:spacing w:before="120" w:after="0" w:line="240" w:lineRule="auto"/>
        <w:jc w:val="both"/>
        <w:rPr>
          <w:rFonts w:ascii="Times New Roman" w:eastAsia="Times New Roman" w:hAnsi="Times New Roman" w:cs="Times New Roman"/>
          <w:snapToGrid w:val="0"/>
          <w:sz w:val="24"/>
          <w:szCs w:val="24"/>
          <w:lang w:val="fr-FR" w:eastAsia="x-none"/>
        </w:rPr>
      </w:pPr>
    </w:p>
    <w:p w:rsidR="00DE0BC6" w:rsidRPr="005F557F" w:rsidRDefault="00DE0BC6" w:rsidP="005A153F">
      <w:pPr>
        <w:spacing w:before="120" w:after="0" w:line="240" w:lineRule="auto"/>
        <w:jc w:val="both"/>
        <w:rPr>
          <w:rFonts w:ascii="Times New Roman" w:eastAsia="Times New Roman" w:hAnsi="Times New Roman" w:cs="Times New Roman"/>
          <w:snapToGrid w:val="0"/>
          <w:sz w:val="24"/>
          <w:szCs w:val="24"/>
          <w:lang w:val="fr-FR" w:eastAsia="x-none"/>
        </w:rPr>
      </w:pPr>
    </w:p>
    <w:p w:rsidR="00B964E0" w:rsidRPr="005F557F" w:rsidRDefault="00B964E0" w:rsidP="005A153F">
      <w:pPr>
        <w:jc w:val="both"/>
        <w:rPr>
          <w:rFonts w:ascii="Times New Roman" w:hAnsi="Times New Roman" w:cs="Times New Roman"/>
          <w:sz w:val="24"/>
          <w:szCs w:val="24"/>
          <w:lang w:val="fr-FR"/>
        </w:rPr>
      </w:pPr>
    </w:p>
    <w:sectPr w:rsidR="00B964E0" w:rsidRPr="005F557F">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5A" w:rsidRDefault="005A355A" w:rsidP="000C0211">
      <w:pPr>
        <w:spacing w:after="0" w:line="240" w:lineRule="auto"/>
      </w:pPr>
      <w:r>
        <w:separator/>
      </w:r>
    </w:p>
  </w:endnote>
  <w:endnote w:type="continuationSeparator" w:id="0">
    <w:p w:rsidR="005A355A" w:rsidRDefault="005A355A" w:rsidP="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471835"/>
      <w:docPartObj>
        <w:docPartGallery w:val="Page Numbers (Bottom of Page)"/>
        <w:docPartUnique/>
      </w:docPartObj>
    </w:sdtPr>
    <w:sdtEndPr>
      <w:rPr>
        <w:noProof/>
      </w:rPr>
    </w:sdtEndPr>
    <w:sdtContent>
      <w:p w:rsidR="000C0211" w:rsidRDefault="000C0211">
        <w:pPr>
          <w:pStyle w:val="Footer"/>
          <w:jc w:val="right"/>
        </w:pPr>
        <w:r>
          <w:fldChar w:fldCharType="begin"/>
        </w:r>
        <w:r>
          <w:instrText xml:space="preserve"> PAGE   \* MERGEFORMAT </w:instrText>
        </w:r>
        <w:r>
          <w:fldChar w:fldCharType="separate"/>
        </w:r>
        <w:r w:rsidR="00AD4180">
          <w:rPr>
            <w:noProof/>
          </w:rPr>
          <w:t>1</w:t>
        </w:r>
        <w:r>
          <w:rPr>
            <w:noProof/>
          </w:rPr>
          <w:fldChar w:fldCharType="end"/>
        </w:r>
      </w:p>
    </w:sdtContent>
  </w:sdt>
  <w:p w:rsidR="000C0211" w:rsidRDefault="000C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5A" w:rsidRDefault="005A355A" w:rsidP="000C0211">
      <w:pPr>
        <w:spacing w:after="0" w:line="240" w:lineRule="auto"/>
      </w:pPr>
      <w:r>
        <w:separator/>
      </w:r>
    </w:p>
  </w:footnote>
  <w:footnote w:type="continuationSeparator" w:id="0">
    <w:p w:rsidR="005A355A" w:rsidRDefault="005A355A" w:rsidP="000C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ED8"/>
    <w:multiLevelType w:val="hybridMultilevel"/>
    <w:tmpl w:val="6CBE2CCC"/>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60027B"/>
    <w:multiLevelType w:val="hybridMultilevel"/>
    <w:tmpl w:val="E8DAB48C"/>
    <w:lvl w:ilvl="0" w:tplc="F1AE54E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AC712A"/>
    <w:multiLevelType w:val="multilevel"/>
    <w:tmpl w:val="57E8CF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12E31"/>
    <w:multiLevelType w:val="hybridMultilevel"/>
    <w:tmpl w:val="A9DC1170"/>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63C3EFB"/>
    <w:multiLevelType w:val="hybridMultilevel"/>
    <w:tmpl w:val="01D6CFA6"/>
    <w:lvl w:ilvl="0" w:tplc="13EA64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940E4"/>
    <w:multiLevelType w:val="hybridMultilevel"/>
    <w:tmpl w:val="672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42F0C"/>
    <w:multiLevelType w:val="hybridMultilevel"/>
    <w:tmpl w:val="3AAE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B47425"/>
    <w:multiLevelType w:val="hybridMultilevel"/>
    <w:tmpl w:val="ECB22FE2"/>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5513EBE"/>
    <w:multiLevelType w:val="hybridMultilevel"/>
    <w:tmpl w:val="8868A914"/>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9B3E50"/>
    <w:multiLevelType w:val="hybridMultilevel"/>
    <w:tmpl w:val="C7BC0E0E"/>
    <w:lvl w:ilvl="0" w:tplc="DBA287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D36DB3"/>
    <w:multiLevelType w:val="hybridMultilevel"/>
    <w:tmpl w:val="CABC4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223AC6"/>
    <w:multiLevelType w:val="hybridMultilevel"/>
    <w:tmpl w:val="8868A914"/>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FC4BC9"/>
    <w:multiLevelType w:val="hybridMultilevel"/>
    <w:tmpl w:val="20106DAA"/>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E410F97"/>
    <w:multiLevelType w:val="hybridMultilevel"/>
    <w:tmpl w:val="6D06F910"/>
    <w:lvl w:ilvl="0" w:tplc="96769C4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D2F56"/>
    <w:multiLevelType w:val="hybridMultilevel"/>
    <w:tmpl w:val="A36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A4B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C680284"/>
    <w:multiLevelType w:val="hybridMultilevel"/>
    <w:tmpl w:val="3F5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5712B"/>
    <w:multiLevelType w:val="hybridMultilevel"/>
    <w:tmpl w:val="9B86EAD6"/>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5"/>
  </w:num>
  <w:num w:numId="5">
    <w:abstractNumId w:val="20"/>
  </w:num>
  <w:num w:numId="6">
    <w:abstractNumId w:val="22"/>
  </w:num>
  <w:num w:numId="7">
    <w:abstractNumId w:val="18"/>
  </w:num>
  <w:num w:numId="8">
    <w:abstractNumId w:val="7"/>
  </w:num>
  <w:num w:numId="9">
    <w:abstractNumId w:val="8"/>
  </w:num>
  <w:num w:numId="10">
    <w:abstractNumId w:val="12"/>
  </w:num>
  <w:num w:numId="11">
    <w:abstractNumId w:val="1"/>
  </w:num>
  <w:num w:numId="12">
    <w:abstractNumId w:val="21"/>
  </w:num>
  <w:num w:numId="13">
    <w:abstractNumId w:val="10"/>
  </w:num>
  <w:num w:numId="14">
    <w:abstractNumId w:val="5"/>
  </w:num>
  <w:num w:numId="15">
    <w:abstractNumId w:val="0"/>
  </w:num>
  <w:num w:numId="16">
    <w:abstractNumId w:val="16"/>
  </w:num>
  <w:num w:numId="17">
    <w:abstractNumId w:val="17"/>
  </w:num>
  <w:num w:numId="18">
    <w:abstractNumId w:val="13"/>
  </w:num>
  <w:num w:numId="19">
    <w:abstractNumId w:val="17"/>
    <w:lvlOverride w:ilvl="0"/>
    <w:lvlOverride w:ilvl="1"/>
    <w:lvlOverride w:ilvl="2"/>
    <w:lvlOverride w:ilvl="3"/>
    <w:lvlOverride w:ilvl="4"/>
    <w:lvlOverride w:ilvl="5"/>
    <w:lvlOverride w:ilvl="6"/>
    <w:lvlOverride w:ilvl="7"/>
    <w:lvlOverride w:ilvl="8"/>
  </w:num>
  <w:num w:numId="20">
    <w:abstractNumId w:val="11"/>
  </w:num>
  <w:num w:numId="21">
    <w:abstractNumId w:val="14"/>
  </w:num>
  <w:num w:numId="22">
    <w:abstractNumId w:val="1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C6"/>
    <w:rsid w:val="00016FFB"/>
    <w:rsid w:val="0004545A"/>
    <w:rsid w:val="00067CA7"/>
    <w:rsid w:val="000B288A"/>
    <w:rsid w:val="000C0211"/>
    <w:rsid w:val="000E25DA"/>
    <w:rsid w:val="000F6C16"/>
    <w:rsid w:val="001478B1"/>
    <w:rsid w:val="00157D4A"/>
    <w:rsid w:val="00177F45"/>
    <w:rsid w:val="00180B5B"/>
    <w:rsid w:val="00192579"/>
    <w:rsid w:val="0020759B"/>
    <w:rsid w:val="002302F6"/>
    <w:rsid w:val="0026214A"/>
    <w:rsid w:val="002971C9"/>
    <w:rsid w:val="002A4477"/>
    <w:rsid w:val="002C13A5"/>
    <w:rsid w:val="002F486B"/>
    <w:rsid w:val="00300415"/>
    <w:rsid w:val="00323481"/>
    <w:rsid w:val="00372309"/>
    <w:rsid w:val="00387CCE"/>
    <w:rsid w:val="003907B4"/>
    <w:rsid w:val="003A4718"/>
    <w:rsid w:val="003A7C2B"/>
    <w:rsid w:val="003D0921"/>
    <w:rsid w:val="003D56DC"/>
    <w:rsid w:val="003E28BC"/>
    <w:rsid w:val="00433C09"/>
    <w:rsid w:val="00437FAB"/>
    <w:rsid w:val="00464FFA"/>
    <w:rsid w:val="004861EF"/>
    <w:rsid w:val="0049632A"/>
    <w:rsid w:val="004D4AA9"/>
    <w:rsid w:val="005261A1"/>
    <w:rsid w:val="00566A43"/>
    <w:rsid w:val="005A153F"/>
    <w:rsid w:val="005A355A"/>
    <w:rsid w:val="005A5E53"/>
    <w:rsid w:val="005D41F4"/>
    <w:rsid w:val="005F557F"/>
    <w:rsid w:val="00605884"/>
    <w:rsid w:val="00620093"/>
    <w:rsid w:val="0062289A"/>
    <w:rsid w:val="00646928"/>
    <w:rsid w:val="006752D3"/>
    <w:rsid w:val="006B6273"/>
    <w:rsid w:val="006C0823"/>
    <w:rsid w:val="006D5A77"/>
    <w:rsid w:val="006D6500"/>
    <w:rsid w:val="00710E9D"/>
    <w:rsid w:val="007316A8"/>
    <w:rsid w:val="00737D8E"/>
    <w:rsid w:val="00747750"/>
    <w:rsid w:val="007560E2"/>
    <w:rsid w:val="007811EA"/>
    <w:rsid w:val="008419B3"/>
    <w:rsid w:val="00842497"/>
    <w:rsid w:val="008723EA"/>
    <w:rsid w:val="00876459"/>
    <w:rsid w:val="008A55C5"/>
    <w:rsid w:val="008B7E8A"/>
    <w:rsid w:val="008D6ECA"/>
    <w:rsid w:val="009412F1"/>
    <w:rsid w:val="00974F7E"/>
    <w:rsid w:val="00994AC1"/>
    <w:rsid w:val="009A647F"/>
    <w:rsid w:val="009F1FED"/>
    <w:rsid w:val="00A00C35"/>
    <w:rsid w:val="00A40A5B"/>
    <w:rsid w:val="00A62CD4"/>
    <w:rsid w:val="00A6396A"/>
    <w:rsid w:val="00A65E63"/>
    <w:rsid w:val="00A701B4"/>
    <w:rsid w:val="00A74237"/>
    <w:rsid w:val="00A80E0A"/>
    <w:rsid w:val="00A90E5D"/>
    <w:rsid w:val="00AB3A22"/>
    <w:rsid w:val="00AD4180"/>
    <w:rsid w:val="00AD7EEC"/>
    <w:rsid w:val="00AF6A82"/>
    <w:rsid w:val="00B3443E"/>
    <w:rsid w:val="00B44352"/>
    <w:rsid w:val="00B62DC1"/>
    <w:rsid w:val="00B62ED0"/>
    <w:rsid w:val="00B80F7C"/>
    <w:rsid w:val="00B964E0"/>
    <w:rsid w:val="00BA65F5"/>
    <w:rsid w:val="00BB5B8F"/>
    <w:rsid w:val="00BB7441"/>
    <w:rsid w:val="00C104E0"/>
    <w:rsid w:val="00C10C08"/>
    <w:rsid w:val="00C15252"/>
    <w:rsid w:val="00C47CAC"/>
    <w:rsid w:val="00CA2A81"/>
    <w:rsid w:val="00D07A7C"/>
    <w:rsid w:val="00D15007"/>
    <w:rsid w:val="00D5263B"/>
    <w:rsid w:val="00D76B1E"/>
    <w:rsid w:val="00DD2EEB"/>
    <w:rsid w:val="00DE0BC6"/>
    <w:rsid w:val="00DE60C0"/>
    <w:rsid w:val="00DF2AD4"/>
    <w:rsid w:val="00DF6192"/>
    <w:rsid w:val="00E13FEB"/>
    <w:rsid w:val="00E929D0"/>
    <w:rsid w:val="00EC24C4"/>
    <w:rsid w:val="00F12DAC"/>
    <w:rsid w:val="00F23739"/>
    <w:rsid w:val="00F7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4887B-63DA-4607-A6A2-5E1C45A0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F1"/>
    <w:rPr>
      <w:rFonts w:ascii="Tahoma" w:hAnsi="Tahoma" w:cs="Tahoma"/>
      <w:sz w:val="16"/>
      <w:szCs w:val="16"/>
    </w:rPr>
  </w:style>
  <w:style w:type="paragraph" w:styleId="ListParagraph">
    <w:name w:val="List Paragraph"/>
    <w:basedOn w:val="Normal"/>
    <w:uiPriority w:val="34"/>
    <w:qFormat/>
    <w:rsid w:val="003D0921"/>
    <w:pPr>
      <w:ind w:left="720"/>
      <w:contextualSpacing/>
    </w:pPr>
  </w:style>
  <w:style w:type="paragraph" w:customStyle="1" w:styleId="Default">
    <w:name w:val="Default"/>
    <w:rsid w:val="00A74237"/>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NoSpacing">
    <w:name w:val="No Spacing"/>
    <w:uiPriority w:val="1"/>
    <w:qFormat/>
    <w:rsid w:val="00A6396A"/>
    <w:pPr>
      <w:spacing w:after="0" w:line="240" w:lineRule="auto"/>
    </w:pPr>
    <w:rPr>
      <w:rFonts w:ascii="Arial" w:eastAsia="Calibri" w:hAnsi="Arial" w:cs="Arial"/>
      <w:b/>
      <w:bCs/>
      <w:sz w:val="32"/>
      <w:szCs w:val="32"/>
      <w:lang w:val="fr-FR" w:eastAsia="fr-FR"/>
    </w:rPr>
  </w:style>
  <w:style w:type="paragraph" w:styleId="Header">
    <w:name w:val="header"/>
    <w:basedOn w:val="Normal"/>
    <w:link w:val="HeaderChar"/>
    <w:uiPriority w:val="99"/>
    <w:unhideWhenUsed/>
    <w:rsid w:val="000C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11"/>
  </w:style>
  <w:style w:type="paragraph" w:styleId="Footer">
    <w:name w:val="footer"/>
    <w:basedOn w:val="Normal"/>
    <w:link w:val="FooterChar"/>
    <w:uiPriority w:val="99"/>
    <w:unhideWhenUsed/>
    <w:rsid w:val="000C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004">
      <w:bodyDiv w:val="1"/>
      <w:marLeft w:val="0"/>
      <w:marRight w:val="0"/>
      <w:marTop w:val="0"/>
      <w:marBottom w:val="0"/>
      <w:divBdr>
        <w:top w:val="none" w:sz="0" w:space="0" w:color="auto"/>
        <w:left w:val="none" w:sz="0" w:space="0" w:color="auto"/>
        <w:bottom w:val="none" w:sz="0" w:space="0" w:color="auto"/>
        <w:right w:val="none" w:sz="0" w:space="0" w:color="auto"/>
      </w:divBdr>
    </w:div>
    <w:div w:id="855271982">
      <w:bodyDiv w:val="1"/>
      <w:marLeft w:val="0"/>
      <w:marRight w:val="0"/>
      <w:marTop w:val="0"/>
      <w:marBottom w:val="0"/>
      <w:divBdr>
        <w:top w:val="none" w:sz="0" w:space="0" w:color="auto"/>
        <w:left w:val="none" w:sz="0" w:space="0" w:color="auto"/>
        <w:bottom w:val="none" w:sz="0" w:space="0" w:color="auto"/>
        <w:right w:val="none" w:sz="0" w:space="0" w:color="auto"/>
      </w:divBdr>
    </w:div>
    <w:div w:id="8656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775DC.3F1823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3327</Words>
  <Characters>18968</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22251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Ngnie Teta</dc:creator>
  <cp:keywords/>
  <dc:description/>
  <cp:lastModifiedBy>Ismael Ngnie Teta</cp:lastModifiedBy>
  <cp:revision>2</cp:revision>
  <dcterms:created xsi:type="dcterms:W3CDTF">2015-04-24T16:52:00Z</dcterms:created>
  <dcterms:modified xsi:type="dcterms:W3CDTF">2015-04-24T16:52:00Z</dcterms:modified>
</cp:coreProperties>
</file>