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00" w:rsidRPr="00600CEF" w:rsidRDefault="00422627">
      <w:pPr>
        <w:jc w:val="right"/>
        <w:rPr>
          <w:b/>
          <w:sz w:val="22"/>
          <w:szCs w:val="22"/>
        </w:rPr>
      </w:pPr>
      <w:r w:rsidRPr="00600CEF">
        <w:rPr>
          <w:b/>
          <w:sz w:val="22"/>
          <w:szCs w:val="22"/>
        </w:rPr>
        <w:t>RUNO ANNUAL PROJECT REPORT</w:t>
      </w:r>
      <w:r w:rsidRPr="00600CEF">
        <w:rPr>
          <w:b/>
          <w:sz w:val="22"/>
          <w:szCs w:val="22"/>
        </w:rPr>
        <w:tab/>
      </w:r>
      <w:r w:rsidRPr="00600CEF">
        <w:rPr>
          <w:b/>
          <w:sz w:val="22"/>
          <w:szCs w:val="22"/>
        </w:rPr>
        <w:tab/>
        <w:t>TEMPLATE 4.4</w:t>
      </w:r>
      <w:r w:rsidRPr="00600CEF">
        <w:rPr>
          <w:b/>
          <w:sz w:val="22"/>
          <w:szCs w:val="22"/>
        </w:rPr>
        <w:tab/>
      </w:r>
      <w:r w:rsidRPr="00600CEF">
        <w:rPr>
          <w:b/>
          <w:sz w:val="22"/>
          <w:szCs w:val="22"/>
        </w:rPr>
        <w:tab/>
      </w:r>
      <w:r w:rsidRPr="00600CEF">
        <w:rPr>
          <w:b/>
          <w:sz w:val="22"/>
          <w:szCs w:val="22"/>
        </w:rPr>
        <w:tab/>
      </w:r>
    </w:p>
    <w:p w:rsidR="00A24000" w:rsidRDefault="00422627">
      <w:pPr>
        <w:numPr>
          <w:ilvl w:val="12"/>
          <w:numId w:val="0"/>
        </w:numPr>
        <w:tabs>
          <w:tab w:val="left" w:pos="0"/>
        </w:tabs>
        <w:suppressAutoHyphens/>
        <w:jc w:val="center"/>
        <w:rPr>
          <w:b/>
          <w:bCs/>
          <w:spacing w:val="-3"/>
        </w:rPr>
      </w:pPr>
      <w:r>
        <w:rPr>
          <w:rFonts w:ascii="Arial" w:hAnsi="Arial"/>
          <w:noProof/>
          <w:spacing w:val="-3"/>
          <w:sz w:val="20"/>
          <w:lang w:val="en-US" w:eastAsia="en-US"/>
        </w:rPr>
        <w:drawing>
          <wp:inline distT="0" distB="0" distL="0" distR="0">
            <wp:extent cx="1454150" cy="615950"/>
            <wp:effectExtent l="0" t="0" r="0" b="0"/>
            <wp:docPr id="1" name="Рисунок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BSO Logo English _smalle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615950"/>
                    </a:xfrm>
                    <a:prstGeom prst="rect">
                      <a:avLst/>
                    </a:prstGeom>
                    <a:noFill/>
                    <a:ln>
                      <a:noFill/>
                    </a:ln>
                  </pic:spPr>
                </pic:pic>
              </a:graphicData>
            </a:graphic>
          </wp:inline>
        </w:drawing>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noProof/>
          <w:spacing w:val="-3"/>
          <w:sz w:val="20"/>
          <w:lang w:val="en-US" w:eastAsia="en-US"/>
        </w:rPr>
        <w:drawing>
          <wp:inline distT="0" distB="0" distL="0" distR="0">
            <wp:extent cx="1441450" cy="1092200"/>
            <wp:effectExtent l="0" t="0" r="6350" b="0"/>
            <wp:docPr id="2" name="Рисунок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BF_tri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0" cy="1092200"/>
                    </a:xfrm>
                    <a:prstGeom prst="rect">
                      <a:avLst/>
                    </a:prstGeom>
                    <a:noFill/>
                    <a:ln>
                      <a:noFill/>
                    </a:ln>
                  </pic:spPr>
                </pic:pic>
              </a:graphicData>
            </a:graphic>
          </wp:inline>
        </w:drawing>
      </w:r>
      <w:r>
        <w:rPr>
          <w:rFonts w:ascii="Arial" w:hAnsi="Arial"/>
          <w:spacing w:val="-3"/>
          <w:sz w:val="20"/>
        </w:rPr>
        <w:tab/>
      </w:r>
    </w:p>
    <w:p w:rsidR="00A24000" w:rsidRDefault="00A24000">
      <w:pPr>
        <w:rPr>
          <w:rFonts w:ascii="Arial Narrow" w:hAnsi="Arial Narrow"/>
          <w:sz w:val="22"/>
          <w:szCs w:val="22"/>
        </w:rPr>
      </w:pPr>
    </w:p>
    <w:p w:rsidR="00A24000" w:rsidRDefault="00422627">
      <w:pPr>
        <w:jc w:val="center"/>
        <w:rPr>
          <w:b/>
        </w:rPr>
      </w:pPr>
      <w:r>
        <w:rPr>
          <w:b/>
        </w:rPr>
        <w:t>PEACEBUILDING FUND (PBF)</w:t>
      </w:r>
    </w:p>
    <w:p w:rsidR="00A24000" w:rsidRDefault="00422627">
      <w:pPr>
        <w:jc w:val="center"/>
        <w:rPr>
          <w:b/>
          <w:bCs/>
          <w:caps/>
        </w:rPr>
      </w:pPr>
      <w:r>
        <w:rPr>
          <w:b/>
          <w:bCs/>
          <w:caps/>
        </w:rPr>
        <w:t xml:space="preserve">ANNUAL PROJECT progress report </w:t>
      </w:r>
    </w:p>
    <w:p w:rsidR="00A24000" w:rsidRDefault="00422627">
      <w:pPr>
        <w:jc w:val="center"/>
        <w:rPr>
          <w:b/>
          <w:bCs/>
          <w:caps/>
        </w:rPr>
      </w:pPr>
      <w:r>
        <w:rPr>
          <w:b/>
          <w:bCs/>
          <w:caps/>
        </w:rPr>
        <w:t>COUNTRY:</w:t>
      </w:r>
      <w:r>
        <w:rPr>
          <w:bCs/>
          <w:iCs/>
          <w:snapToGrid w:val="0"/>
          <w:szCs w:val="28"/>
        </w:rPr>
        <w:t xml:space="preserve"> </w:t>
      </w:r>
      <w:r>
        <w:rPr>
          <w:bCs/>
          <w:iCs/>
          <w:snapToGrid w:val="0"/>
          <w:szCs w:val="28"/>
        </w:rPr>
        <w:fldChar w:fldCharType="begin">
          <w:ffData>
            <w:name w:val="Text11"/>
            <w:enabled/>
            <w:calcOnExit w:val="0"/>
            <w:textInput>
              <w:format w:val="Первая прописная"/>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KYRGYZSTAN</w:t>
      </w:r>
      <w:r>
        <w:rPr>
          <w:bCs/>
          <w:iCs/>
          <w:snapToGrid w:val="0"/>
          <w:szCs w:val="28"/>
        </w:rPr>
        <w:fldChar w:fldCharType="end"/>
      </w:r>
    </w:p>
    <w:p w:rsidR="00A24000" w:rsidRDefault="00422627">
      <w:pPr>
        <w:jc w:val="center"/>
        <w:rPr>
          <w:b/>
          <w:bCs/>
          <w:caps/>
        </w:rPr>
      </w:pPr>
      <w:r>
        <w:rPr>
          <w:b/>
          <w:bCs/>
          <w:caps/>
        </w:rPr>
        <w:t xml:space="preserve">REPORTING PERIOD: 1 january – 31 December </w:t>
      </w:r>
      <w:r>
        <w:rPr>
          <w:b/>
          <w:bCs/>
          <w:caps/>
        </w:rPr>
        <w:fldChar w:fldCharType="begin">
          <w:ffData>
            <w:name w:val="Dropdown3"/>
            <w:enabled/>
            <w:calcOnExit w:val="0"/>
            <w:ddList>
              <w:result w:val="1"/>
              <w:listEntry w:val="2013"/>
              <w:listEntry w:val="2014"/>
              <w:listEntry w:val="2015"/>
            </w:ddList>
          </w:ffData>
        </w:fldChar>
      </w:r>
      <w:bookmarkStart w:id="0" w:name="Dropdown3"/>
      <w:r>
        <w:rPr>
          <w:b/>
          <w:bCs/>
          <w:caps/>
        </w:rPr>
        <w:instrText xml:space="preserve"> FORMDROPDOWN </w:instrText>
      </w:r>
      <w:r w:rsidR="00525B76">
        <w:rPr>
          <w:b/>
          <w:bCs/>
          <w:caps/>
        </w:rPr>
      </w:r>
      <w:r w:rsidR="00525B76">
        <w:rPr>
          <w:b/>
          <w:bCs/>
          <w:caps/>
        </w:rPr>
        <w:fldChar w:fldCharType="separate"/>
      </w:r>
      <w:r>
        <w:rPr>
          <w:b/>
          <w:bCs/>
          <w:caps/>
        </w:rPr>
        <w:fldChar w:fldCharType="end"/>
      </w:r>
      <w:bookmarkEnd w:id="0"/>
    </w:p>
    <w:p w:rsidR="00A24000" w:rsidRDefault="00A24000">
      <w:pPr>
        <w:jc w:val="center"/>
        <w:rPr>
          <w:b/>
          <w:bCs/>
          <w:caps/>
        </w:rPr>
      </w:pPr>
    </w:p>
    <w:tbl>
      <w:tblPr>
        <w:tblW w:w="9990" w:type="dxa"/>
        <w:tblInd w:w="-72" w:type="dxa"/>
        <w:tblLook w:val="01E0" w:firstRow="1" w:lastRow="1" w:firstColumn="1" w:lastColumn="1" w:noHBand="0" w:noVBand="0"/>
      </w:tblPr>
      <w:tblGrid>
        <w:gridCol w:w="5142"/>
        <w:gridCol w:w="258"/>
        <w:gridCol w:w="4590"/>
      </w:tblGrid>
      <w:tr w:rsidR="00A24000">
        <w:trPr>
          <w:gridAfter w:val="1"/>
          <w:wAfter w:w="4590" w:type="dxa"/>
          <w:trHeight w:val="206"/>
        </w:trPr>
        <w:tc>
          <w:tcPr>
            <w:tcW w:w="5142" w:type="dxa"/>
            <w:tcBorders>
              <w:top w:val="single" w:sz="4" w:space="0" w:color="auto"/>
              <w:left w:val="single" w:sz="4" w:space="0" w:color="auto"/>
              <w:bottom w:val="nil"/>
              <w:right w:val="single" w:sz="4" w:space="0" w:color="auto"/>
            </w:tcBorders>
            <w:shd w:val="clear" w:color="auto" w:fill="F3F3F3"/>
            <w:vAlign w:val="center"/>
            <w:hideMark/>
          </w:tcPr>
          <w:p w:rsidR="00A24000" w:rsidRDefault="00422627">
            <w:pPr>
              <w:pStyle w:val="H1"/>
              <w:jc w:val="center"/>
              <w:rPr>
                <w:rFonts w:cs="Times New Roman"/>
              </w:rPr>
            </w:pPr>
            <w:r>
              <w:rPr>
                <w:rFonts w:cs="Times New Roman"/>
              </w:rPr>
              <w:t>Programme Title &amp; Project Number</w:t>
            </w:r>
          </w:p>
        </w:tc>
        <w:tc>
          <w:tcPr>
            <w:tcW w:w="258" w:type="dxa"/>
            <w:vMerge w:val="restart"/>
            <w:tcBorders>
              <w:top w:val="nil"/>
              <w:left w:val="single" w:sz="4" w:space="0" w:color="auto"/>
              <w:bottom w:val="nil"/>
              <w:right w:val="nil"/>
            </w:tcBorders>
            <w:vAlign w:val="center"/>
          </w:tcPr>
          <w:p w:rsidR="00A24000" w:rsidRDefault="00A24000">
            <w:pPr>
              <w:jc w:val="center"/>
            </w:pPr>
          </w:p>
        </w:tc>
      </w:tr>
      <w:tr w:rsidR="00A24000" w:rsidRPr="00080E92">
        <w:trPr>
          <w:trHeight w:val="947"/>
        </w:trPr>
        <w:tc>
          <w:tcPr>
            <w:tcW w:w="5142" w:type="dxa"/>
            <w:tcBorders>
              <w:top w:val="nil"/>
              <w:left w:val="single" w:sz="4" w:space="0" w:color="auto"/>
              <w:bottom w:val="single" w:sz="4" w:space="0" w:color="auto"/>
              <w:right w:val="single" w:sz="4" w:space="0" w:color="auto"/>
            </w:tcBorders>
            <w:hideMark/>
          </w:tcPr>
          <w:p w:rsidR="00A24000" w:rsidRDefault="00422627" w:rsidP="00600CEF">
            <w:pPr>
              <w:pStyle w:val="BodyText"/>
              <w:jc w:val="both"/>
            </w:pPr>
            <w:r>
              <w:rPr>
                <w:rFonts w:ascii="Times New Roman" w:hAnsi="Times New Roman"/>
                <w:bCs/>
                <w:iCs/>
                <w:snapToGrid w:val="0"/>
                <w:szCs w:val="28"/>
              </w:rPr>
              <w:t xml:space="preserve">Programme Title:  </w:t>
            </w:r>
            <w:bookmarkStart w:id="1" w:name="_GoBack"/>
            <w:r>
              <w:rPr>
                <w:rFonts w:ascii="Times New Roman" w:hAnsi="Times New Roman"/>
                <w:bCs/>
                <w:iCs/>
                <w:snapToGrid w:val="0"/>
                <w:szCs w:val="28"/>
              </w:rPr>
              <w:fldChar w:fldCharType="begin">
                <w:ffData>
                  <w:name w:val="Text11"/>
                  <w:enabled/>
                  <w:calcOnExit w:val="0"/>
                  <w:textInput>
                    <w:format w:val="Первая прописная"/>
                  </w:textInput>
                </w:ffData>
              </w:fldChar>
            </w:r>
            <w:bookmarkStart w:id="2" w:name="Text11"/>
            <w:r>
              <w:rPr>
                <w:rFonts w:ascii="Times New Roman" w:hAnsi="Times New Roman"/>
                <w:bCs/>
                <w:iCs/>
                <w:snapToGrid w:val="0"/>
                <w:szCs w:val="28"/>
              </w:rPr>
              <w:instrText xml:space="preserve"> FORMTEXT </w:instrText>
            </w:r>
            <w:r>
              <w:rPr>
                <w:rFonts w:ascii="Times New Roman" w:hAnsi="Times New Roman"/>
                <w:bCs/>
                <w:iCs/>
                <w:snapToGrid w:val="0"/>
                <w:szCs w:val="28"/>
              </w:rPr>
            </w:r>
            <w:r>
              <w:rPr>
                <w:rFonts w:ascii="Times New Roman" w:hAnsi="Times New Roman"/>
                <w:bCs/>
                <w:iCs/>
                <w:snapToGrid w:val="0"/>
                <w:szCs w:val="28"/>
              </w:rPr>
              <w:fldChar w:fldCharType="separate"/>
            </w:r>
            <w:r>
              <w:t>“Peace and reconciliation through strengthening the rule of law and human rights protection”</w:t>
            </w:r>
            <w:r>
              <w:fldChar w:fldCharType="end"/>
            </w:r>
            <w:bookmarkEnd w:id="2"/>
            <w:bookmarkEnd w:id="1"/>
          </w:p>
          <w:p w:rsidR="00A24000" w:rsidRPr="00562A21" w:rsidRDefault="00422627">
            <w:pPr>
              <w:pStyle w:val="BodyText"/>
              <w:rPr>
                <w:b/>
                <w:lang w:val="en-GB"/>
              </w:rPr>
            </w:pPr>
            <w:r>
              <w:rPr>
                <w:rFonts w:ascii="Times New Roman" w:hAnsi="Times New Roman"/>
                <w:bCs/>
                <w:iCs/>
                <w:snapToGrid w:val="0"/>
                <w:szCs w:val="28"/>
              </w:rPr>
              <w:t xml:space="preserve">Programme Number </w:t>
            </w:r>
            <w:r>
              <w:rPr>
                <w:rFonts w:ascii="Times New Roman" w:hAnsi="Times New Roman" w:cs="Times New Roman"/>
                <w:bCs/>
                <w:i/>
                <w:iCs/>
                <w:snapToGrid w:val="0"/>
                <w:sz w:val="18"/>
                <w:szCs w:val="18"/>
                <w:lang w:val="en-GB"/>
              </w:rPr>
              <w:t xml:space="preserve">(if applicable) </w:t>
            </w:r>
            <w:r w:rsidR="00562A21" w:rsidRPr="00562A21">
              <w:rPr>
                <w:rFonts w:ascii="Times New Roman" w:hAnsi="Times New Roman" w:cs="Times New Roman"/>
                <w:b/>
                <w:bCs/>
                <w:i/>
                <w:iCs/>
                <w:snapToGrid w:val="0"/>
                <w:sz w:val="18"/>
                <w:szCs w:val="18"/>
                <w:lang w:val="en-GB"/>
              </w:rPr>
              <w:t>KGZ/B-4</w:t>
            </w:r>
          </w:p>
          <w:p w:rsidR="00A24000" w:rsidRDefault="00422627">
            <w:pPr>
              <w:pStyle w:val="BodyText"/>
            </w:pPr>
            <w:r>
              <w:rPr>
                <w:rFonts w:ascii="Times New Roman" w:hAnsi="Times New Roman"/>
                <w:bCs/>
                <w:iCs/>
                <w:snapToGrid w:val="0"/>
                <w:szCs w:val="28"/>
              </w:rPr>
              <w:t>MPTF Office Project Reference Number:</w:t>
            </w:r>
            <w:r>
              <w:rPr>
                <w:rStyle w:val="FootnoteReference"/>
                <w:rFonts w:ascii="Times New Roman" w:hAnsi="Times New Roman"/>
                <w:bCs/>
                <w:iCs/>
                <w:snapToGrid w:val="0"/>
                <w:szCs w:val="28"/>
              </w:rPr>
              <w:footnoteReference w:id="1"/>
            </w:r>
            <w:r>
              <w:rPr>
                <w:rFonts w:ascii="Times New Roman" w:hAnsi="Times New Roman"/>
                <w:i/>
              </w:rPr>
              <w:t xml:space="preserve"> </w:t>
            </w:r>
            <w:r w:rsidR="00562A21">
              <w:rPr>
                <w:rFonts w:ascii="Tahoma" w:hAnsi="Tahoma" w:cs="Tahoma"/>
                <w:color w:val="333333"/>
                <w:shd w:val="clear" w:color="auto" w:fill="FFFFFF"/>
              </w:rPr>
              <w:t>00089348</w:t>
            </w:r>
            <w:r>
              <w:rPr>
                <w:rFonts w:ascii="Times New Roman" w:hAnsi="Times New Roman"/>
                <w:i/>
              </w:rPr>
              <w:fldChar w:fldCharType="begin">
                <w:ffData>
                  <w:name w:val="Text13"/>
                  <w:enabled/>
                  <w:calcOnExit w:val="0"/>
                  <w:textInput/>
                </w:ffData>
              </w:fldChar>
            </w:r>
            <w:bookmarkStart w:id="3" w:name="Text13"/>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t xml:space="preserve"> </w:t>
            </w:r>
            <w:r>
              <w:fldChar w:fldCharType="end"/>
            </w:r>
            <w:bookmarkEnd w:id="3"/>
          </w:p>
        </w:tc>
        <w:tc>
          <w:tcPr>
            <w:tcW w:w="0" w:type="auto"/>
            <w:vMerge/>
            <w:tcBorders>
              <w:top w:val="nil"/>
              <w:left w:val="single" w:sz="4" w:space="0" w:color="auto"/>
              <w:bottom w:val="nil"/>
              <w:right w:val="nil"/>
            </w:tcBorders>
            <w:vAlign w:val="center"/>
            <w:hideMark/>
          </w:tcPr>
          <w:p w:rsidR="00A24000" w:rsidRDefault="00A24000"/>
        </w:tc>
        <w:tc>
          <w:tcPr>
            <w:tcW w:w="4590" w:type="dxa"/>
          </w:tcPr>
          <w:p w:rsidR="00A24000" w:rsidRDefault="00A24000">
            <w:pPr>
              <w:pStyle w:val="BodyText"/>
              <w:rPr>
                <w:rFonts w:ascii="Times New Roman" w:hAnsi="Times New Roman"/>
                <w:sz w:val="24"/>
              </w:rPr>
            </w:pPr>
          </w:p>
        </w:tc>
      </w:tr>
    </w:tbl>
    <w:p w:rsidR="00A24000" w:rsidRDefault="00A24000">
      <w:pPr>
        <w:rPr>
          <w:b/>
          <w:bCs/>
          <w:caps/>
          <w:sz w:val="10"/>
          <w:szCs w:val="10"/>
        </w:rPr>
      </w:pPr>
    </w:p>
    <w:tbl>
      <w:tblPr>
        <w:tblW w:w="9990" w:type="dxa"/>
        <w:tblInd w:w="-72" w:type="dxa"/>
        <w:tblLook w:val="01E0" w:firstRow="1" w:lastRow="1" w:firstColumn="1" w:lastColumn="1" w:noHBand="0" w:noVBand="0"/>
      </w:tblPr>
      <w:tblGrid>
        <w:gridCol w:w="2970"/>
        <w:gridCol w:w="2172"/>
        <w:gridCol w:w="258"/>
        <w:gridCol w:w="3002"/>
        <w:gridCol w:w="1588"/>
      </w:tblGrid>
      <w:tr w:rsidR="00A24000">
        <w:trPr>
          <w:trHeight w:val="206"/>
        </w:trPr>
        <w:tc>
          <w:tcPr>
            <w:tcW w:w="5142" w:type="dxa"/>
            <w:gridSpan w:val="2"/>
            <w:tcBorders>
              <w:top w:val="single" w:sz="4" w:space="0" w:color="auto"/>
              <w:left w:val="single" w:sz="4" w:space="0" w:color="auto"/>
              <w:bottom w:val="nil"/>
              <w:right w:val="single" w:sz="4" w:space="0" w:color="auto"/>
            </w:tcBorders>
            <w:shd w:val="clear" w:color="auto" w:fill="F3F3F3"/>
            <w:vAlign w:val="center"/>
            <w:hideMark/>
          </w:tcPr>
          <w:p w:rsidR="00A24000" w:rsidRDefault="00422627">
            <w:pPr>
              <w:pStyle w:val="H1"/>
              <w:jc w:val="center"/>
              <w:rPr>
                <w:rFonts w:cs="Times New Roman"/>
              </w:rPr>
            </w:pPr>
            <w:r>
              <w:rPr>
                <w:rFonts w:cs="Times New Roman"/>
              </w:rPr>
              <w:t>Recipient UN Organizations</w:t>
            </w:r>
          </w:p>
        </w:tc>
        <w:tc>
          <w:tcPr>
            <w:tcW w:w="258" w:type="dxa"/>
            <w:vMerge w:val="restart"/>
            <w:tcBorders>
              <w:top w:val="nil"/>
              <w:left w:val="single" w:sz="4" w:space="0" w:color="auto"/>
              <w:bottom w:val="nil"/>
              <w:right w:val="single" w:sz="4" w:space="0" w:color="auto"/>
            </w:tcBorders>
            <w:vAlign w:val="center"/>
          </w:tcPr>
          <w:p w:rsidR="00A24000" w:rsidRDefault="00A24000">
            <w:pPr>
              <w:jc w:val="center"/>
            </w:pPr>
          </w:p>
        </w:tc>
        <w:tc>
          <w:tcPr>
            <w:tcW w:w="4590" w:type="dxa"/>
            <w:gridSpan w:val="2"/>
            <w:tcBorders>
              <w:top w:val="single" w:sz="4" w:space="0" w:color="auto"/>
              <w:left w:val="single" w:sz="4" w:space="0" w:color="auto"/>
              <w:bottom w:val="nil"/>
              <w:right w:val="single" w:sz="4" w:space="0" w:color="auto"/>
            </w:tcBorders>
            <w:shd w:val="clear" w:color="auto" w:fill="F3F3F3"/>
            <w:vAlign w:val="center"/>
            <w:hideMark/>
          </w:tcPr>
          <w:p w:rsidR="00A24000" w:rsidRDefault="00422627">
            <w:pPr>
              <w:pStyle w:val="H1"/>
              <w:jc w:val="center"/>
              <w:rPr>
                <w:rFonts w:cs="Times New Roman"/>
                <w:sz w:val="20"/>
              </w:rPr>
            </w:pPr>
            <w:r>
              <w:rPr>
                <w:rFonts w:cs="Times New Roman"/>
              </w:rPr>
              <w:t>Implementing Partners</w:t>
            </w:r>
          </w:p>
        </w:tc>
      </w:tr>
      <w:tr w:rsidR="00A24000" w:rsidRPr="00080E92">
        <w:trPr>
          <w:trHeight w:val="495"/>
        </w:trPr>
        <w:tc>
          <w:tcPr>
            <w:tcW w:w="5142" w:type="dxa"/>
            <w:gridSpan w:val="2"/>
            <w:tcBorders>
              <w:top w:val="nil"/>
              <w:left w:val="single" w:sz="4" w:space="0" w:color="auto"/>
              <w:bottom w:val="single" w:sz="4" w:space="0" w:color="auto"/>
              <w:right w:val="single" w:sz="4" w:space="0" w:color="auto"/>
            </w:tcBorders>
          </w:tcPr>
          <w:p w:rsidR="00A24000" w:rsidRDefault="00422627">
            <w:pPr>
              <w:pStyle w:val="BodyText"/>
            </w:pPr>
            <w:r>
              <w:rPr>
                <w:rFonts w:ascii="Times New Roman" w:hAnsi="Times New Roman"/>
              </w:rPr>
              <w:t xml:space="preserve">List the organizations that have received direct funding from the MPTF Office under this programme: </w:t>
            </w:r>
            <w:r>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p>
          <w:p w:rsidR="00A24000" w:rsidRPr="00135F5A" w:rsidRDefault="00422627">
            <w:pPr>
              <w:pStyle w:val="BodyText"/>
              <w:rPr>
                <w:rFonts w:ascii="Times New Roman" w:hAnsi="Times New Roman"/>
              </w:rPr>
            </w:pPr>
            <w:r>
              <w:t>Office of the UN High Commissioner for Human Rights, Regional Office for Central Asia (OHCHR</w:t>
            </w:r>
            <w:r w:rsidR="00135F5A">
              <w:t xml:space="preserve"> ROCA</w:t>
            </w:r>
            <w:r>
              <w:t>)</w:t>
            </w:r>
            <w:r>
              <w:fldChar w:fldCharType="end"/>
            </w:r>
            <w:bookmarkEnd w:id="4"/>
          </w:p>
        </w:tc>
        <w:tc>
          <w:tcPr>
            <w:tcW w:w="0" w:type="auto"/>
            <w:vMerge/>
            <w:tcBorders>
              <w:top w:val="nil"/>
              <w:left w:val="single" w:sz="4" w:space="0" w:color="auto"/>
              <w:bottom w:val="nil"/>
              <w:right w:val="single" w:sz="4" w:space="0" w:color="auto"/>
            </w:tcBorders>
            <w:vAlign w:val="center"/>
            <w:hideMark/>
          </w:tcPr>
          <w:p w:rsidR="00A24000" w:rsidRDefault="00A24000"/>
        </w:tc>
        <w:tc>
          <w:tcPr>
            <w:tcW w:w="4590" w:type="dxa"/>
            <w:gridSpan w:val="2"/>
            <w:tcBorders>
              <w:top w:val="nil"/>
              <w:left w:val="single" w:sz="4" w:space="0" w:color="auto"/>
              <w:bottom w:val="single" w:sz="4" w:space="0" w:color="auto"/>
              <w:right w:val="single" w:sz="4" w:space="0" w:color="auto"/>
            </w:tcBorders>
            <w:hideMark/>
          </w:tcPr>
          <w:p w:rsidR="00A24000" w:rsidRDefault="00422627">
            <w:pPr>
              <w:pStyle w:val="BodyText"/>
            </w:pPr>
            <w:bookmarkStart w:id="5" w:name="_Toc249364478"/>
            <w:r>
              <w:rPr>
                <w:rFonts w:ascii="Times New Roman" w:hAnsi="Times New Roman"/>
                <w:bCs/>
                <w:iCs/>
                <w:snapToGrid w:val="0"/>
                <w:color w:val="000000"/>
                <w:szCs w:val="28"/>
              </w:rPr>
              <w:t>List the national counterparts (government, private, NGOs &amp; others</w:t>
            </w:r>
            <w:bookmarkEnd w:id="5"/>
            <w:r>
              <w:rPr>
                <w:rFonts w:ascii="Times New Roman" w:hAnsi="Times New Roman"/>
                <w:bCs/>
                <w:iCs/>
                <w:snapToGrid w:val="0"/>
                <w:color w:val="000000"/>
                <w:szCs w:val="28"/>
              </w:rPr>
              <w:t xml:space="preserve">) and other International Organizations:  </w:t>
            </w:r>
            <w:r>
              <w:rPr>
                <w:rFonts w:ascii="Times New Roman" w:hAnsi="Times New Roman"/>
                <w:bCs/>
                <w:iCs/>
                <w:snapToGrid w:val="0"/>
                <w:color w:val="000000"/>
                <w:szCs w:val="28"/>
              </w:rPr>
              <w:fldChar w:fldCharType="begin">
                <w:ffData>
                  <w:name w:val="Text15"/>
                  <w:enabled/>
                  <w:calcOnExit w:val="0"/>
                  <w:textInput/>
                </w:ffData>
              </w:fldChar>
            </w:r>
            <w:bookmarkStart w:id="6" w:name="Text15"/>
            <w:r>
              <w:rPr>
                <w:rFonts w:ascii="Times New Roman" w:hAnsi="Times New Roman"/>
                <w:bCs/>
                <w:iCs/>
                <w:snapToGrid w:val="0"/>
                <w:color w:val="000000"/>
                <w:szCs w:val="28"/>
              </w:rPr>
              <w:instrText xml:space="preserve"> FORMTEXT </w:instrText>
            </w:r>
            <w:r>
              <w:rPr>
                <w:rFonts w:ascii="Times New Roman" w:hAnsi="Times New Roman"/>
                <w:bCs/>
                <w:iCs/>
                <w:snapToGrid w:val="0"/>
                <w:color w:val="000000"/>
                <w:szCs w:val="28"/>
              </w:rPr>
            </w:r>
            <w:r>
              <w:rPr>
                <w:rFonts w:ascii="Times New Roman" w:hAnsi="Times New Roman"/>
                <w:bCs/>
                <w:iCs/>
                <w:snapToGrid w:val="0"/>
                <w:color w:val="000000"/>
                <w:szCs w:val="28"/>
              </w:rPr>
              <w:fldChar w:fldCharType="separate"/>
            </w:r>
            <w:r>
              <w:t xml:space="preserve"> </w:t>
            </w:r>
          </w:p>
          <w:p w:rsidR="00A24000" w:rsidRDefault="00422627">
            <w:pPr>
              <w:pStyle w:val="BodyText"/>
            </w:pPr>
            <w:r>
              <w:t>-</w:t>
            </w:r>
            <w:r>
              <w:tab/>
              <w:t>Department on Judicial Reform and Rule of Law of the Office of the President of the Kyrgyz Republic</w:t>
            </w:r>
          </w:p>
          <w:p w:rsidR="00716E24" w:rsidRDefault="00422627">
            <w:pPr>
              <w:pStyle w:val="BodyText"/>
              <w:spacing w:before="60" w:after="60"/>
              <w:jc w:val="both"/>
            </w:pPr>
            <w:r>
              <w:t>-</w:t>
            </w:r>
            <w:r>
              <w:tab/>
              <w:t>Coordination Council on Human Rights under the Government of the Kyrgyz Republic</w:t>
            </w:r>
            <w:r>
              <w:fldChar w:fldCharType="end"/>
            </w:r>
            <w:bookmarkEnd w:id="6"/>
          </w:p>
          <w:p w:rsidR="00C6569B" w:rsidRDefault="00C6569B">
            <w:pPr>
              <w:pStyle w:val="BodyText"/>
              <w:spacing w:before="60" w:after="60"/>
              <w:jc w:val="both"/>
            </w:pPr>
            <w:r>
              <w:t>- National Preventive Mechanism for the prevention for torture</w:t>
            </w:r>
          </w:p>
          <w:p w:rsidR="00C6569B" w:rsidRDefault="00C6569B">
            <w:pPr>
              <w:pStyle w:val="BodyText"/>
              <w:spacing w:before="60" w:after="60"/>
              <w:jc w:val="both"/>
            </w:pPr>
            <w:r>
              <w:t>- Supreme Court &amp; its Judiciary Training Centre</w:t>
            </w:r>
          </w:p>
          <w:p w:rsidR="00C6569B" w:rsidRPr="00716E24" w:rsidRDefault="00C6569B">
            <w:pPr>
              <w:pStyle w:val="BodyText"/>
              <w:spacing w:before="60" w:after="60"/>
              <w:jc w:val="both"/>
            </w:pPr>
            <w:r>
              <w:t>- General Prosecutor’s Office &amp; its Professional Training Center</w:t>
            </w:r>
          </w:p>
        </w:tc>
      </w:tr>
      <w:tr w:rsidR="00A24000">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hideMark/>
          </w:tcPr>
          <w:p w:rsidR="00A24000" w:rsidRDefault="00422627">
            <w:pPr>
              <w:pStyle w:val="H1"/>
              <w:jc w:val="center"/>
              <w:rPr>
                <w:rFonts w:cs="Times New Roman"/>
              </w:rPr>
            </w:pPr>
            <w:r>
              <w:rPr>
                <w:rFonts w:cs="Times New Roman"/>
              </w:rPr>
              <w:t>Programme/Project Budget (US$)</w:t>
            </w:r>
          </w:p>
        </w:tc>
        <w:tc>
          <w:tcPr>
            <w:tcW w:w="258" w:type="dxa"/>
            <w:tcBorders>
              <w:top w:val="nil"/>
              <w:left w:val="single" w:sz="4" w:space="0" w:color="auto"/>
              <w:bottom w:val="nil"/>
              <w:right w:val="single" w:sz="4" w:space="0" w:color="auto"/>
            </w:tcBorders>
            <w:vAlign w:val="center"/>
          </w:tcPr>
          <w:p w:rsidR="00A24000" w:rsidRDefault="00A24000">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hideMark/>
          </w:tcPr>
          <w:p w:rsidR="00A24000" w:rsidRDefault="00422627">
            <w:pPr>
              <w:pStyle w:val="H1"/>
              <w:jc w:val="center"/>
              <w:rPr>
                <w:rFonts w:cs="Times New Roman"/>
              </w:rPr>
            </w:pPr>
            <w:r>
              <w:rPr>
                <w:rFonts w:cs="Times New Roman"/>
              </w:rPr>
              <w:t>Programme Duration</w:t>
            </w:r>
          </w:p>
        </w:tc>
      </w:tr>
      <w:tr w:rsidR="00A24000">
        <w:trPr>
          <w:trHeight w:val="636"/>
        </w:trPr>
        <w:tc>
          <w:tcPr>
            <w:tcW w:w="2970" w:type="dxa"/>
            <w:vMerge w:val="restart"/>
            <w:tcBorders>
              <w:top w:val="nil"/>
              <w:left w:val="single" w:sz="4" w:space="0" w:color="auto"/>
              <w:bottom w:val="nil"/>
              <w:right w:val="nil"/>
            </w:tcBorders>
            <w:vAlign w:val="center"/>
            <w:hideMark/>
          </w:tcPr>
          <w:p w:rsidR="00A24000" w:rsidRDefault="00422627">
            <w:pPr>
              <w:pStyle w:val="H2"/>
              <w:rPr>
                <w:rFonts w:cs="Times New Roman"/>
                <w:i/>
                <w:sz w:val="18"/>
                <w:szCs w:val="18"/>
              </w:rPr>
            </w:pPr>
            <w:r>
              <w:rPr>
                <w:rFonts w:cs="Times New Roman"/>
                <w:b w:val="0"/>
              </w:rPr>
              <w:t xml:space="preserve">PBF contribution (by RUNO) </w:t>
            </w:r>
            <w:r>
              <w:rPr>
                <w:rFonts w:cs="Times New Roman"/>
                <w:b w:val="0"/>
              </w:rPr>
              <w:fldChar w:fldCharType="begin">
                <w:ffData>
                  <w:name w:val="Text35"/>
                  <w:enabled/>
                  <w:calcOnExit w:val="0"/>
                  <w:textInput/>
                </w:ffData>
              </w:fldChar>
            </w:r>
            <w:bookmarkStart w:id="7" w:name="Text35"/>
            <w:r>
              <w:rPr>
                <w:rFonts w:cs="Times New Roman"/>
                <w:b w:val="0"/>
              </w:rPr>
              <w:instrText xml:space="preserve"> FORMTEXT </w:instrText>
            </w:r>
            <w:r>
              <w:rPr>
                <w:rFonts w:cs="Times New Roman"/>
                <w:b w:val="0"/>
              </w:rPr>
            </w:r>
            <w:r>
              <w:rPr>
                <w:rFonts w:cs="Times New Roman"/>
                <w:b w:val="0"/>
              </w:rPr>
              <w:fldChar w:fldCharType="separate"/>
            </w:r>
            <w:r>
              <w:t>973,753 USD</w:t>
            </w:r>
            <w:r>
              <w:fldChar w:fldCharType="end"/>
            </w:r>
            <w:bookmarkEnd w:id="7"/>
          </w:p>
        </w:tc>
        <w:tc>
          <w:tcPr>
            <w:tcW w:w="2172" w:type="dxa"/>
            <w:vMerge w:val="restart"/>
            <w:tcBorders>
              <w:top w:val="nil"/>
              <w:left w:val="nil"/>
              <w:bottom w:val="nil"/>
              <w:right w:val="single" w:sz="4" w:space="0" w:color="auto"/>
            </w:tcBorders>
            <w:vAlign w:val="center"/>
          </w:tcPr>
          <w:p w:rsidR="00A24000" w:rsidRDefault="00A24000">
            <w:pPr>
              <w:pStyle w:val="BodyText"/>
              <w:rPr>
                <w:rFonts w:ascii="Times New Roman" w:hAnsi="Times New Roman"/>
                <w:color w:val="000000"/>
              </w:rPr>
            </w:pPr>
          </w:p>
          <w:p w:rsidR="00A24000" w:rsidRDefault="00A24000">
            <w:pPr>
              <w:pStyle w:val="BodyText"/>
              <w:rPr>
                <w:rFonts w:ascii="Times New Roman" w:hAnsi="Times New Roman"/>
                <w:color w:val="000000"/>
              </w:rPr>
            </w:pPr>
          </w:p>
          <w:p w:rsidR="00A24000" w:rsidRDefault="00A24000">
            <w:pPr>
              <w:pStyle w:val="BodyText"/>
              <w:rPr>
                <w:rFonts w:ascii="Times New Roman" w:hAnsi="Times New Roman"/>
                <w:color w:val="000000"/>
              </w:rPr>
            </w:pPr>
          </w:p>
          <w:p w:rsidR="00A24000" w:rsidRDefault="00A24000">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vAlign w:val="center"/>
          </w:tcPr>
          <w:p w:rsidR="00A24000" w:rsidRDefault="00A24000">
            <w:pPr>
              <w:pStyle w:val="BodyText"/>
              <w:rPr>
                <w:rFonts w:ascii="Times New Roman" w:hAnsi="Times New Roman"/>
              </w:rPr>
            </w:pPr>
          </w:p>
        </w:tc>
        <w:tc>
          <w:tcPr>
            <w:tcW w:w="3002" w:type="dxa"/>
            <w:tcBorders>
              <w:top w:val="nil"/>
              <w:left w:val="single" w:sz="4" w:space="0" w:color="auto"/>
              <w:bottom w:val="nil"/>
              <w:right w:val="nil"/>
            </w:tcBorders>
            <w:vAlign w:val="center"/>
            <w:hideMark/>
          </w:tcPr>
          <w:p w:rsidR="00A24000" w:rsidRDefault="00422627">
            <w:pPr>
              <w:pStyle w:val="BodyText"/>
              <w:rPr>
                <w:rFonts w:ascii="Times New Roman" w:hAnsi="Times New Roman"/>
              </w:rPr>
            </w:pPr>
            <w:r>
              <w:rPr>
                <w:rFonts w:ascii="Times New Roman" w:hAnsi="Times New Roman"/>
              </w:rPr>
              <w:t xml:space="preserve">Overall Duration </w:t>
            </w:r>
            <w:r>
              <w:rPr>
                <w:rFonts w:ascii="Times New Roman" w:hAnsi="Times New Roman"/>
                <w:i/>
              </w:rPr>
              <w:t>(months)</w:t>
            </w:r>
            <w:r>
              <w:rPr>
                <w:rFonts w:ascii="Times New Roman" w:hAnsi="Times New Roman"/>
              </w:rPr>
              <w:t xml:space="preserve">  </w:t>
            </w:r>
            <w:r>
              <w:rPr>
                <w:rFonts w:ascii="Times New Roman" w:hAnsi="Times New Roman"/>
              </w:rPr>
              <w:fldChar w:fldCharType="begin">
                <w:ffData>
                  <w:name w:val="Text20"/>
                  <w:enabled/>
                  <w:calcOnExit w:val="0"/>
                  <w:textInput/>
                </w:ffData>
              </w:fldChar>
            </w:r>
            <w:bookmarkStart w:id="8"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24</w:t>
            </w:r>
            <w:r>
              <w:fldChar w:fldCharType="end"/>
            </w:r>
            <w:bookmarkEnd w:id="8"/>
          </w:p>
        </w:tc>
        <w:tc>
          <w:tcPr>
            <w:tcW w:w="1588" w:type="dxa"/>
            <w:tcBorders>
              <w:top w:val="nil"/>
              <w:left w:val="nil"/>
              <w:bottom w:val="nil"/>
              <w:right w:val="single" w:sz="4" w:space="0" w:color="auto"/>
            </w:tcBorders>
            <w:vAlign w:val="center"/>
          </w:tcPr>
          <w:p w:rsidR="00A24000" w:rsidRDefault="00A24000">
            <w:pPr>
              <w:pStyle w:val="BodyText"/>
              <w:widowControl w:val="0"/>
              <w:rPr>
                <w:rFonts w:ascii="Times New Roman" w:hAnsi="Times New Roman"/>
              </w:rPr>
            </w:pPr>
          </w:p>
        </w:tc>
      </w:tr>
      <w:tr w:rsidR="00A24000">
        <w:trPr>
          <w:trHeight w:val="350"/>
        </w:trPr>
        <w:tc>
          <w:tcPr>
            <w:tcW w:w="0" w:type="auto"/>
            <w:vMerge/>
            <w:tcBorders>
              <w:top w:val="nil"/>
              <w:left w:val="single" w:sz="4" w:space="0" w:color="auto"/>
              <w:bottom w:val="nil"/>
              <w:right w:val="nil"/>
            </w:tcBorders>
            <w:vAlign w:val="center"/>
            <w:hideMark/>
          </w:tcPr>
          <w:p w:rsidR="00A24000" w:rsidRDefault="00A24000">
            <w:pPr>
              <w:rPr>
                <w:b/>
                <w:bCs/>
                <w:i/>
                <w:iCs/>
                <w:sz w:val="18"/>
                <w:szCs w:val="18"/>
                <w:lang w:eastAsia="en-US"/>
              </w:rPr>
            </w:pPr>
          </w:p>
        </w:tc>
        <w:tc>
          <w:tcPr>
            <w:tcW w:w="0" w:type="auto"/>
            <w:vMerge/>
            <w:tcBorders>
              <w:top w:val="nil"/>
              <w:left w:val="nil"/>
              <w:bottom w:val="nil"/>
              <w:right w:val="single" w:sz="4" w:space="0" w:color="auto"/>
            </w:tcBorders>
            <w:vAlign w:val="center"/>
            <w:hideMark/>
          </w:tcPr>
          <w:p w:rsidR="00A24000" w:rsidRDefault="00A24000">
            <w:pPr>
              <w:rPr>
                <w:rFonts w:cs="Arial"/>
                <w:color w:val="000000"/>
                <w:sz w:val="20"/>
                <w:szCs w:val="20"/>
                <w:lang w:val="en-US" w:eastAsia="en-US"/>
              </w:rPr>
            </w:pPr>
          </w:p>
        </w:tc>
        <w:tc>
          <w:tcPr>
            <w:tcW w:w="258" w:type="dxa"/>
            <w:tcBorders>
              <w:top w:val="nil"/>
              <w:left w:val="single" w:sz="4" w:space="0" w:color="auto"/>
              <w:bottom w:val="nil"/>
              <w:right w:val="single" w:sz="4" w:space="0" w:color="auto"/>
            </w:tcBorders>
            <w:vAlign w:val="center"/>
          </w:tcPr>
          <w:p w:rsidR="00A24000" w:rsidRDefault="00A24000">
            <w:pPr>
              <w:pStyle w:val="BodyText"/>
              <w:rPr>
                <w:rFonts w:ascii="Times New Roman" w:hAnsi="Times New Roman"/>
              </w:rPr>
            </w:pPr>
          </w:p>
        </w:tc>
        <w:tc>
          <w:tcPr>
            <w:tcW w:w="3002" w:type="dxa"/>
            <w:tcBorders>
              <w:top w:val="nil"/>
              <w:left w:val="single" w:sz="4" w:space="0" w:color="auto"/>
              <w:bottom w:val="nil"/>
              <w:right w:val="nil"/>
            </w:tcBorders>
            <w:vAlign w:val="center"/>
            <w:hideMark/>
          </w:tcPr>
          <w:p w:rsidR="00A24000" w:rsidRDefault="00422627">
            <w:pPr>
              <w:pStyle w:val="BodyText"/>
              <w:rPr>
                <w:rFonts w:ascii="Times New Roman" w:hAnsi="Times New Roman"/>
              </w:rPr>
            </w:pPr>
            <w:r>
              <w:rPr>
                <w:rFonts w:ascii="Times New Roman" w:hAnsi="Times New Roman"/>
              </w:rPr>
              <w:t>Start Date</w:t>
            </w:r>
            <w:r>
              <w:rPr>
                <w:rStyle w:val="FootnoteReference"/>
                <w:rFonts w:ascii="Times New Roman" w:hAnsi="Times New Roman"/>
              </w:rPr>
              <w:footnoteReference w:id="2"/>
            </w:r>
            <w:r>
              <w:rPr>
                <w:rFonts w:ascii="Times New Roman" w:hAnsi="Times New Roman"/>
              </w:rPr>
              <w:t xml:space="preserve"> </w:t>
            </w:r>
            <w:r>
              <w:rPr>
                <w:rFonts w:ascii="Times New Roman" w:hAnsi="Times New Roman"/>
                <w:i/>
              </w:rPr>
              <w:t>(dd.mm.yyyy)</w:t>
            </w:r>
            <w:r>
              <w:rPr>
                <w:rFonts w:ascii="Times New Roman" w:hAnsi="Times New Roman"/>
              </w:rPr>
              <w:t xml:space="preserve"> </w:t>
            </w:r>
          </w:p>
        </w:tc>
        <w:tc>
          <w:tcPr>
            <w:tcW w:w="1588" w:type="dxa"/>
            <w:tcBorders>
              <w:top w:val="nil"/>
              <w:left w:val="nil"/>
              <w:bottom w:val="nil"/>
              <w:right w:val="single" w:sz="4" w:space="0" w:color="auto"/>
            </w:tcBorders>
            <w:vAlign w:val="center"/>
            <w:hideMark/>
          </w:tcPr>
          <w:p w:rsidR="00A24000" w:rsidRDefault="00422627">
            <w:pPr>
              <w:pStyle w:val="BodyText"/>
              <w:rPr>
                <w:rFonts w:ascii="Times New Roman" w:hAnsi="Times New Roman"/>
              </w:rPr>
            </w:pPr>
            <w:r>
              <w:rPr>
                <w:rFonts w:ascii="Times New Roman" w:hAnsi="Times New Roman"/>
              </w:rPr>
              <w:fldChar w:fldCharType="begin">
                <w:ffData>
                  <w:name w:val="Text21"/>
                  <w:enabled/>
                  <w:calcOnExit w:val="0"/>
                  <w:textInput>
                    <w:type w:val="date"/>
                  </w:textInput>
                </w:ffData>
              </w:fldChar>
            </w:r>
            <w:bookmarkStart w:id="9"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01/07/2014</w:t>
            </w:r>
            <w:r>
              <w:fldChar w:fldCharType="end"/>
            </w:r>
            <w:bookmarkEnd w:id="9"/>
          </w:p>
        </w:tc>
      </w:tr>
      <w:tr w:rsidR="00A24000">
        <w:trPr>
          <w:trHeight w:val="350"/>
        </w:trPr>
        <w:tc>
          <w:tcPr>
            <w:tcW w:w="2970" w:type="dxa"/>
            <w:tcBorders>
              <w:top w:val="nil"/>
              <w:left w:val="single" w:sz="4" w:space="0" w:color="auto"/>
              <w:bottom w:val="nil"/>
              <w:right w:val="nil"/>
            </w:tcBorders>
            <w:shd w:val="clear" w:color="auto" w:fill="D9D9D9"/>
            <w:vAlign w:val="center"/>
            <w:hideMark/>
          </w:tcPr>
          <w:p w:rsidR="00A24000" w:rsidRDefault="00422627">
            <w:pPr>
              <w:pStyle w:val="H2"/>
              <w:rPr>
                <w:rFonts w:cs="Times New Roman"/>
                <w:b w:val="0"/>
              </w:rPr>
            </w:pPr>
            <w:r>
              <w:rPr>
                <w:rFonts w:cs="Times New Roman"/>
                <w:b w:val="0"/>
              </w:rPr>
              <w:t>Government Contribution</w:t>
            </w:r>
          </w:p>
          <w:p w:rsidR="00A24000" w:rsidRDefault="00422627">
            <w:pPr>
              <w:pStyle w:val="H2"/>
              <w:rPr>
                <w:rFonts w:cs="Times New Roman"/>
                <w:b w:val="0"/>
                <w:i/>
                <w:sz w:val="18"/>
                <w:szCs w:val="18"/>
              </w:rPr>
            </w:pPr>
            <w:r>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A24000" w:rsidRDefault="00A24000">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vAlign w:val="center"/>
          </w:tcPr>
          <w:p w:rsidR="00A24000" w:rsidRDefault="00A24000">
            <w:pPr>
              <w:pStyle w:val="BodyText"/>
              <w:rPr>
                <w:rFonts w:ascii="Times New Roman" w:hAnsi="Times New Roman"/>
              </w:rPr>
            </w:pPr>
          </w:p>
        </w:tc>
        <w:tc>
          <w:tcPr>
            <w:tcW w:w="3002" w:type="dxa"/>
            <w:tcBorders>
              <w:top w:val="nil"/>
              <w:left w:val="single" w:sz="4" w:space="0" w:color="auto"/>
              <w:bottom w:val="nil"/>
              <w:right w:val="nil"/>
            </w:tcBorders>
            <w:vAlign w:val="center"/>
            <w:hideMark/>
          </w:tcPr>
          <w:p w:rsidR="00A24000" w:rsidRDefault="00422627">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3"/>
            </w:r>
            <w:r>
              <w:rPr>
                <w:rFonts w:ascii="Times New Roman" w:hAnsi="Times New Roman"/>
              </w:rPr>
              <w:t xml:space="preserve"> </w:t>
            </w:r>
            <w:r>
              <w:rPr>
                <w:rFonts w:ascii="Times New Roman" w:hAnsi="Times New Roman"/>
                <w:i/>
              </w:rPr>
              <w:t>(dd.mm.yyyy)</w:t>
            </w:r>
          </w:p>
        </w:tc>
        <w:tc>
          <w:tcPr>
            <w:tcW w:w="1588" w:type="dxa"/>
            <w:tcBorders>
              <w:top w:val="nil"/>
              <w:left w:val="nil"/>
              <w:bottom w:val="nil"/>
              <w:right w:val="single" w:sz="4" w:space="0" w:color="auto"/>
            </w:tcBorders>
            <w:vAlign w:val="center"/>
            <w:hideMark/>
          </w:tcPr>
          <w:p w:rsidR="00A24000" w:rsidRDefault="00422627">
            <w:pPr>
              <w:pStyle w:val="BodyText"/>
              <w:rPr>
                <w:rFonts w:ascii="Times New Roman" w:hAnsi="Times New Roman"/>
              </w:rPr>
            </w:pPr>
            <w:r>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30/06/2014</w:t>
            </w:r>
            <w:r>
              <w:rPr>
                <w:rFonts w:ascii="Times New Roman" w:hAnsi="Times New Roman"/>
              </w:rPr>
              <w:fldChar w:fldCharType="end"/>
            </w:r>
          </w:p>
        </w:tc>
      </w:tr>
      <w:tr w:rsidR="00A24000">
        <w:trPr>
          <w:trHeight w:val="350"/>
        </w:trPr>
        <w:tc>
          <w:tcPr>
            <w:tcW w:w="2970" w:type="dxa"/>
            <w:tcBorders>
              <w:top w:val="nil"/>
              <w:left w:val="single" w:sz="4" w:space="0" w:color="auto"/>
              <w:bottom w:val="nil"/>
              <w:right w:val="nil"/>
            </w:tcBorders>
            <w:shd w:val="clear" w:color="auto" w:fill="D9D9D9"/>
            <w:vAlign w:val="center"/>
            <w:hideMark/>
          </w:tcPr>
          <w:p w:rsidR="00A24000" w:rsidRDefault="00422627">
            <w:pPr>
              <w:pStyle w:val="H2"/>
              <w:rPr>
                <w:rFonts w:cs="Times New Roman"/>
                <w:b w:val="0"/>
              </w:rPr>
            </w:pPr>
            <w:r>
              <w:rPr>
                <w:rFonts w:cs="Times New Roman"/>
                <w:b w:val="0"/>
              </w:rPr>
              <w:t>Other Contributions (donors)</w:t>
            </w:r>
          </w:p>
          <w:p w:rsidR="00A24000" w:rsidRDefault="00422627">
            <w:pPr>
              <w:pStyle w:val="H2"/>
              <w:rPr>
                <w:rFonts w:cs="Times New Roman"/>
                <w:b w:val="0"/>
                <w:i/>
                <w:sz w:val="18"/>
                <w:szCs w:val="18"/>
              </w:rPr>
            </w:pPr>
            <w:r>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A24000" w:rsidRDefault="00A24000">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vAlign w:val="center"/>
          </w:tcPr>
          <w:p w:rsidR="00A24000" w:rsidRDefault="00A24000">
            <w:pPr>
              <w:pStyle w:val="BodyText"/>
              <w:rPr>
                <w:rFonts w:ascii="Times New Roman" w:hAnsi="Times New Roman"/>
              </w:rPr>
            </w:pPr>
          </w:p>
        </w:tc>
        <w:tc>
          <w:tcPr>
            <w:tcW w:w="3002" w:type="dxa"/>
            <w:tcBorders>
              <w:top w:val="nil"/>
              <w:left w:val="single" w:sz="4" w:space="0" w:color="auto"/>
              <w:bottom w:val="nil"/>
              <w:right w:val="nil"/>
            </w:tcBorders>
            <w:vAlign w:val="center"/>
          </w:tcPr>
          <w:p w:rsidR="00A24000" w:rsidRDefault="00422627">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4"/>
            </w:r>
            <w:r>
              <w:rPr>
                <w:rFonts w:ascii="Times New Roman" w:hAnsi="Times New Roman"/>
                <w:i/>
              </w:rPr>
              <w:t xml:space="preserve">(dd.mm.yyyy) </w:t>
            </w:r>
          </w:p>
          <w:p w:rsidR="00A24000" w:rsidRDefault="00A24000">
            <w:pPr>
              <w:pStyle w:val="BodyText"/>
              <w:rPr>
                <w:rFonts w:ascii="Times New Roman" w:hAnsi="Times New Roman"/>
              </w:rPr>
            </w:pPr>
          </w:p>
        </w:tc>
        <w:tc>
          <w:tcPr>
            <w:tcW w:w="1588" w:type="dxa"/>
            <w:tcBorders>
              <w:top w:val="nil"/>
              <w:left w:val="nil"/>
              <w:bottom w:val="nil"/>
              <w:right w:val="single" w:sz="4" w:space="0" w:color="auto"/>
            </w:tcBorders>
            <w:vAlign w:val="center"/>
          </w:tcPr>
          <w:p w:rsidR="00A24000" w:rsidRDefault="00422627">
            <w:pPr>
              <w:pStyle w:val="BodyText"/>
            </w:pPr>
            <w:r>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30/06/2014</w:t>
            </w:r>
          </w:p>
          <w:p w:rsidR="00A24000" w:rsidRDefault="00422627">
            <w:pPr>
              <w:pStyle w:val="BodyText"/>
              <w:rPr>
                <w:rFonts w:ascii="Times New Roman" w:hAnsi="Times New Roman"/>
              </w:rPr>
            </w:pPr>
            <w:r>
              <w:rPr>
                <w:rFonts w:ascii="Times New Roman" w:hAnsi="Times New Roman"/>
              </w:rPr>
              <w:fldChar w:fldCharType="end"/>
            </w:r>
          </w:p>
        </w:tc>
      </w:tr>
      <w:tr w:rsidR="00A24000">
        <w:trPr>
          <w:trHeight w:val="350"/>
        </w:trPr>
        <w:tc>
          <w:tcPr>
            <w:tcW w:w="2970" w:type="dxa"/>
            <w:tcBorders>
              <w:top w:val="nil"/>
              <w:left w:val="single" w:sz="4" w:space="0" w:color="auto"/>
              <w:bottom w:val="single" w:sz="4" w:space="0" w:color="auto"/>
              <w:right w:val="nil"/>
            </w:tcBorders>
            <w:vAlign w:val="center"/>
            <w:hideMark/>
          </w:tcPr>
          <w:p w:rsidR="00A24000" w:rsidRDefault="00422627">
            <w:pPr>
              <w:pStyle w:val="H2"/>
              <w:rPr>
                <w:rFonts w:cs="Times New Roman"/>
              </w:rPr>
            </w:pPr>
            <w:r>
              <w:rPr>
                <w:rFonts w:cs="Times New Roman"/>
              </w:rPr>
              <w:t>TOTAL:</w:t>
            </w:r>
          </w:p>
        </w:tc>
        <w:tc>
          <w:tcPr>
            <w:tcW w:w="2172" w:type="dxa"/>
            <w:tcBorders>
              <w:top w:val="nil"/>
              <w:left w:val="nil"/>
              <w:bottom w:val="single" w:sz="4" w:space="0" w:color="auto"/>
              <w:right w:val="single" w:sz="4" w:space="0" w:color="auto"/>
            </w:tcBorders>
            <w:vAlign w:val="center"/>
            <w:hideMark/>
          </w:tcPr>
          <w:p w:rsidR="00A24000" w:rsidRDefault="00422627">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0"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t>973,753 USD</w:t>
            </w:r>
            <w:r>
              <w:fldChar w:fldCharType="end"/>
            </w:r>
            <w:bookmarkEnd w:id="10"/>
          </w:p>
        </w:tc>
        <w:tc>
          <w:tcPr>
            <w:tcW w:w="258" w:type="dxa"/>
            <w:tcBorders>
              <w:top w:val="nil"/>
              <w:left w:val="single" w:sz="4" w:space="0" w:color="auto"/>
              <w:bottom w:val="nil"/>
              <w:right w:val="single" w:sz="4" w:space="0" w:color="auto"/>
            </w:tcBorders>
            <w:vAlign w:val="center"/>
          </w:tcPr>
          <w:p w:rsidR="00A24000" w:rsidRDefault="00A24000">
            <w:pPr>
              <w:pStyle w:val="BodyText"/>
              <w:rPr>
                <w:rFonts w:ascii="Times New Roman" w:hAnsi="Times New Roman"/>
              </w:rPr>
            </w:pPr>
          </w:p>
        </w:tc>
        <w:tc>
          <w:tcPr>
            <w:tcW w:w="3002" w:type="dxa"/>
            <w:tcBorders>
              <w:top w:val="nil"/>
              <w:left w:val="single" w:sz="4" w:space="0" w:color="auto"/>
              <w:bottom w:val="single" w:sz="4" w:space="0" w:color="auto"/>
              <w:right w:val="nil"/>
            </w:tcBorders>
            <w:vAlign w:val="center"/>
          </w:tcPr>
          <w:p w:rsidR="00A24000" w:rsidRDefault="00A24000">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vAlign w:val="center"/>
          </w:tcPr>
          <w:p w:rsidR="00A24000" w:rsidRDefault="00A24000">
            <w:pPr>
              <w:pStyle w:val="BodyText"/>
              <w:rPr>
                <w:rFonts w:ascii="Times New Roman" w:hAnsi="Times New Roman"/>
              </w:rPr>
            </w:pPr>
          </w:p>
        </w:tc>
      </w:tr>
    </w:tbl>
    <w:p w:rsidR="00A24000" w:rsidRDefault="00A24000">
      <w:pPr>
        <w:rPr>
          <w:b/>
          <w:bCs/>
          <w:caps/>
          <w:sz w:val="10"/>
          <w:szCs w:val="10"/>
        </w:rPr>
      </w:pPr>
    </w:p>
    <w:tbl>
      <w:tblPr>
        <w:tblW w:w="9990" w:type="dxa"/>
        <w:tblInd w:w="-72" w:type="dxa"/>
        <w:tblLook w:val="01E0" w:firstRow="1" w:lastRow="1" w:firstColumn="1" w:lastColumn="1" w:noHBand="0" w:noVBand="0"/>
      </w:tblPr>
      <w:tblGrid>
        <w:gridCol w:w="5142"/>
        <w:gridCol w:w="258"/>
        <w:gridCol w:w="4590"/>
      </w:tblGrid>
      <w:tr w:rsidR="00A24000">
        <w:trPr>
          <w:trHeight w:val="206"/>
        </w:trPr>
        <w:tc>
          <w:tcPr>
            <w:tcW w:w="5142" w:type="dxa"/>
            <w:tcBorders>
              <w:top w:val="single" w:sz="4" w:space="0" w:color="auto"/>
              <w:left w:val="single" w:sz="4" w:space="0" w:color="auto"/>
              <w:bottom w:val="nil"/>
              <w:right w:val="single" w:sz="4" w:space="0" w:color="auto"/>
            </w:tcBorders>
            <w:shd w:val="clear" w:color="auto" w:fill="F3F3F3"/>
            <w:hideMark/>
          </w:tcPr>
          <w:p w:rsidR="00A24000" w:rsidRDefault="00422627">
            <w:pPr>
              <w:pStyle w:val="H1"/>
              <w:ind w:left="70" w:right="-120" w:hanging="70"/>
              <w:jc w:val="center"/>
              <w:rPr>
                <w:rFonts w:cs="Times New Roman"/>
              </w:rPr>
            </w:pPr>
            <w:r>
              <w:rPr>
                <w:rFonts w:cs="Times New Roman"/>
              </w:rPr>
              <w:t>Programme Assessment/Review/Mid-Term Eval.</w:t>
            </w:r>
          </w:p>
        </w:tc>
        <w:tc>
          <w:tcPr>
            <w:tcW w:w="258" w:type="dxa"/>
            <w:vMerge w:val="restart"/>
            <w:tcBorders>
              <w:top w:val="nil"/>
              <w:left w:val="single" w:sz="4" w:space="0" w:color="auto"/>
              <w:bottom w:val="nil"/>
              <w:right w:val="single" w:sz="4" w:space="0" w:color="auto"/>
            </w:tcBorders>
          </w:tcPr>
          <w:p w:rsidR="00A24000" w:rsidRDefault="00A24000"/>
        </w:tc>
        <w:tc>
          <w:tcPr>
            <w:tcW w:w="4590" w:type="dxa"/>
            <w:tcBorders>
              <w:top w:val="single" w:sz="4" w:space="0" w:color="auto"/>
              <w:left w:val="single" w:sz="4" w:space="0" w:color="auto"/>
              <w:bottom w:val="nil"/>
              <w:right w:val="single" w:sz="4" w:space="0" w:color="auto"/>
            </w:tcBorders>
            <w:shd w:val="clear" w:color="auto" w:fill="F3F3F3"/>
            <w:hideMark/>
          </w:tcPr>
          <w:p w:rsidR="00A24000" w:rsidRDefault="00422627">
            <w:pPr>
              <w:pStyle w:val="H1"/>
              <w:jc w:val="center"/>
              <w:rPr>
                <w:rFonts w:cs="Times New Roman"/>
              </w:rPr>
            </w:pPr>
            <w:r>
              <w:rPr>
                <w:bCs w:val="0"/>
              </w:rPr>
              <w:t>Report Submitted By</w:t>
            </w:r>
          </w:p>
        </w:tc>
      </w:tr>
      <w:tr w:rsidR="00A24000" w:rsidRPr="00080E92">
        <w:trPr>
          <w:trHeight w:val="285"/>
        </w:trPr>
        <w:tc>
          <w:tcPr>
            <w:tcW w:w="5142" w:type="dxa"/>
            <w:tcBorders>
              <w:top w:val="nil"/>
              <w:left w:val="single" w:sz="4" w:space="0" w:color="auto"/>
              <w:bottom w:val="single" w:sz="4" w:space="0" w:color="auto"/>
              <w:right w:val="single" w:sz="4" w:space="0" w:color="auto"/>
            </w:tcBorders>
            <w:hideMark/>
          </w:tcPr>
          <w:p w:rsidR="00A24000" w:rsidRDefault="00422627">
            <w:pPr>
              <w:pStyle w:val="BodyText"/>
              <w:rPr>
                <w:rFonts w:ascii="Times New Roman" w:hAnsi="Times New Roman" w:cs="Times New Roman"/>
                <w:bCs/>
                <w:i/>
                <w:iCs/>
                <w:snapToGrid w:val="0"/>
                <w:sz w:val="18"/>
                <w:szCs w:val="18"/>
                <w:lang w:val="en-GB"/>
              </w:rPr>
            </w:pPr>
            <w:r>
              <w:rPr>
                <w:rFonts w:ascii="Times New Roman" w:hAnsi="Times New Roman"/>
              </w:rPr>
              <w:lastRenderedPageBreak/>
              <w:t xml:space="preserve">Assessment/Review  - if applicable </w:t>
            </w:r>
            <w:r>
              <w:rPr>
                <w:rFonts w:ascii="Times New Roman" w:hAnsi="Times New Roman" w:cs="Times New Roman"/>
                <w:bCs/>
                <w:i/>
                <w:iCs/>
                <w:snapToGrid w:val="0"/>
                <w:sz w:val="18"/>
                <w:szCs w:val="18"/>
                <w:lang w:val="en-GB"/>
              </w:rPr>
              <w:t>please attach</w:t>
            </w:r>
          </w:p>
          <w:p w:rsidR="00A24000" w:rsidRDefault="00422627">
            <w:pPr>
              <w:pStyle w:val="BodyText"/>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bookmarkStart w:id="11" w:name="Check1"/>
            <w:r>
              <w:rPr>
                <w:rFonts w:ascii="Times New Roman" w:hAnsi="Times New Roman"/>
              </w:rPr>
              <w:instrText xml:space="preserve"> FORMCHECKBOX </w:instrText>
            </w:r>
            <w:r w:rsidR="00525B76">
              <w:rPr>
                <w:rFonts w:ascii="Times New Roman" w:hAnsi="Times New Roman"/>
              </w:rPr>
            </w:r>
            <w:r w:rsidR="00525B76">
              <w:rPr>
                <w:rFonts w:ascii="Times New Roman" w:hAnsi="Times New Roman"/>
              </w:rPr>
              <w:fldChar w:fldCharType="separate"/>
            </w:r>
            <w:r>
              <w:rPr>
                <w:rFonts w:ascii="Times New Roman" w:hAnsi="Times New Roman"/>
              </w:rPr>
              <w:fldChar w:fldCharType="end"/>
            </w:r>
            <w:bookmarkEnd w:id="11"/>
            <w:r>
              <w:rPr>
                <w:rFonts w:ascii="Times New Roman" w:hAnsi="Times New Roman"/>
              </w:rPr>
              <w:t xml:space="preserve">     Yes         </w:t>
            </w:r>
            <w:r>
              <w:rPr>
                <w:rFonts w:ascii="Times New Roman" w:hAnsi="Times New Roman"/>
              </w:rPr>
              <w:fldChar w:fldCharType="begin">
                <w:ffData>
                  <w:name w:val="Check2"/>
                  <w:enabled/>
                  <w:calcOnExit w:val="0"/>
                  <w:checkBox>
                    <w:sizeAuto/>
                    <w:default w:val="0"/>
                    <w:checked w:val="0"/>
                  </w:checkBox>
                </w:ffData>
              </w:fldChar>
            </w:r>
            <w:bookmarkStart w:id="12" w:name="Check2"/>
            <w:r>
              <w:rPr>
                <w:rFonts w:ascii="Times New Roman" w:hAnsi="Times New Roman"/>
              </w:rPr>
              <w:instrText xml:space="preserve"> FORMCHECKBOX </w:instrText>
            </w:r>
            <w:r w:rsidR="00525B76">
              <w:rPr>
                <w:rFonts w:ascii="Times New Roman" w:hAnsi="Times New Roman"/>
              </w:rPr>
            </w:r>
            <w:r w:rsidR="00525B76">
              <w:rPr>
                <w:rFonts w:ascii="Times New Roman" w:hAnsi="Times New Roman"/>
              </w:rPr>
              <w:fldChar w:fldCharType="separate"/>
            </w:r>
            <w:r>
              <w:rPr>
                <w:rFonts w:ascii="Times New Roman" w:hAnsi="Times New Roman"/>
              </w:rPr>
              <w:fldChar w:fldCharType="end"/>
            </w:r>
            <w:bookmarkEnd w:id="12"/>
            <w:r>
              <w:rPr>
                <w:rFonts w:ascii="Times New Roman" w:hAnsi="Times New Roman"/>
              </w:rPr>
              <w:t xml:space="preserve">  No    Date: </w:t>
            </w:r>
            <w:r>
              <w:rPr>
                <w:rFonts w:ascii="Times New Roman" w:hAnsi="Times New Roman"/>
              </w:rPr>
              <w:fldChar w:fldCharType="begin">
                <w:ffData>
                  <w:name w:val="Text22"/>
                  <w:enabled/>
                  <w:calcOnExit w:val="0"/>
                  <w:textInput>
                    <w:type w:val="date"/>
                  </w:textInput>
                </w:ffData>
              </w:fldChar>
            </w:r>
            <w:bookmarkStart w:id="13"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3"/>
          </w:p>
          <w:p w:rsidR="00A24000" w:rsidRDefault="00422627">
            <w:pPr>
              <w:pStyle w:val="BodyText"/>
              <w:rPr>
                <w:rFonts w:ascii="Times New Roman" w:hAnsi="Times New Roman"/>
              </w:rPr>
            </w:pPr>
            <w:r>
              <w:rPr>
                <w:rFonts w:ascii="Times New Roman" w:hAnsi="Times New Roman"/>
              </w:rPr>
              <w:t xml:space="preserve">Mid-Term Evaluation Report </w:t>
            </w:r>
            <w:r>
              <w:rPr>
                <w:rFonts w:ascii="Times New Roman" w:hAnsi="Times New Roman" w:cs="Times New Roman"/>
                <w:bCs/>
                <w:i/>
                <w:iCs/>
                <w:snapToGrid w:val="0"/>
                <w:sz w:val="18"/>
                <w:szCs w:val="18"/>
                <w:lang w:val="en-GB"/>
              </w:rPr>
              <w:t>– if applicable please attach</w:t>
            </w:r>
            <w:r>
              <w:rPr>
                <w:rFonts w:ascii="Times New Roman" w:hAnsi="Times New Roman"/>
                <w:b/>
              </w:rPr>
              <w:t xml:space="preserve">          </w:t>
            </w:r>
          </w:p>
          <w:p w:rsidR="00A24000" w:rsidRDefault="00422627">
            <w:pPr>
              <w:pStyle w:val="BodyText"/>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4" w:name="Check3"/>
            <w:r>
              <w:rPr>
                <w:rFonts w:ascii="Times New Roman" w:hAnsi="Times New Roman"/>
              </w:rPr>
              <w:instrText xml:space="preserve"> FORMCHECKBOX </w:instrText>
            </w:r>
            <w:r w:rsidR="00525B76">
              <w:rPr>
                <w:rFonts w:ascii="Times New Roman" w:hAnsi="Times New Roman"/>
              </w:rPr>
            </w:r>
            <w:r w:rsidR="00525B76">
              <w:rPr>
                <w:rFonts w:ascii="Times New Roman" w:hAnsi="Times New Roman"/>
              </w:rPr>
              <w:fldChar w:fldCharType="separate"/>
            </w:r>
            <w:r>
              <w:rPr>
                <w:rFonts w:ascii="Times New Roman" w:hAnsi="Times New Roman"/>
              </w:rPr>
              <w:fldChar w:fldCharType="end"/>
            </w:r>
            <w:bookmarkEnd w:id="14"/>
            <w:r>
              <w:rPr>
                <w:rFonts w:ascii="Times New Roman" w:hAnsi="Times New Roman"/>
              </w:rPr>
              <w:t xml:space="preserve">    Yes          </w:t>
            </w:r>
            <w:r>
              <w:rPr>
                <w:rFonts w:ascii="Times New Roman" w:hAnsi="Times New Roman"/>
              </w:rPr>
              <w:fldChar w:fldCharType="begin">
                <w:ffData>
                  <w:name w:val="Check4"/>
                  <w:enabled/>
                  <w:calcOnExit w:val="0"/>
                  <w:checkBox>
                    <w:sizeAuto/>
                    <w:default w:val="0"/>
                  </w:checkBox>
                </w:ffData>
              </w:fldChar>
            </w:r>
            <w:bookmarkStart w:id="15" w:name="Check4"/>
            <w:r>
              <w:rPr>
                <w:rFonts w:ascii="Times New Roman" w:hAnsi="Times New Roman"/>
              </w:rPr>
              <w:instrText xml:space="preserve"> FORMCHECKBOX </w:instrText>
            </w:r>
            <w:r w:rsidR="00525B76">
              <w:rPr>
                <w:rFonts w:ascii="Times New Roman" w:hAnsi="Times New Roman"/>
              </w:rPr>
            </w:r>
            <w:r w:rsidR="00525B76">
              <w:rPr>
                <w:rFonts w:ascii="Times New Roman" w:hAnsi="Times New Roman"/>
              </w:rPr>
              <w:fldChar w:fldCharType="separate"/>
            </w:r>
            <w:r>
              <w:rPr>
                <w:rFonts w:ascii="Times New Roman" w:hAnsi="Times New Roman"/>
              </w:rPr>
              <w:fldChar w:fldCharType="end"/>
            </w:r>
            <w:bookmarkEnd w:id="15"/>
            <w:r>
              <w:rPr>
                <w:rFonts w:ascii="Times New Roman" w:hAnsi="Times New Roman"/>
              </w:rPr>
              <w:t xml:space="preserve">  No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0" w:type="auto"/>
            <w:vMerge/>
            <w:tcBorders>
              <w:top w:val="nil"/>
              <w:left w:val="single" w:sz="4" w:space="0" w:color="auto"/>
              <w:bottom w:val="nil"/>
              <w:right w:val="single" w:sz="4" w:space="0" w:color="auto"/>
            </w:tcBorders>
            <w:vAlign w:val="center"/>
            <w:hideMark/>
          </w:tcPr>
          <w:p w:rsidR="00A24000" w:rsidRDefault="00A24000"/>
        </w:tc>
        <w:tc>
          <w:tcPr>
            <w:tcW w:w="4590" w:type="dxa"/>
            <w:tcBorders>
              <w:top w:val="nil"/>
              <w:left w:val="single" w:sz="4" w:space="0" w:color="auto"/>
              <w:bottom w:val="single" w:sz="4" w:space="0" w:color="auto"/>
              <w:right w:val="single" w:sz="4" w:space="0" w:color="auto"/>
            </w:tcBorders>
            <w:hideMark/>
          </w:tcPr>
          <w:p w:rsidR="00967934" w:rsidRDefault="00422627" w:rsidP="00967934">
            <w:pPr>
              <w:rPr>
                <w:sz w:val="22"/>
                <w:szCs w:val="22"/>
              </w:rPr>
            </w:pPr>
            <w:r>
              <w:rPr>
                <w:sz w:val="22"/>
                <w:szCs w:val="22"/>
              </w:rPr>
              <w:t xml:space="preserve">Name: </w:t>
            </w:r>
            <w:r w:rsidR="000C1B5F">
              <w:rPr>
                <w:sz w:val="22"/>
                <w:szCs w:val="22"/>
              </w:rPr>
              <w:t>Bea Ferenci</w:t>
            </w:r>
          </w:p>
          <w:p w:rsidR="00A24000" w:rsidRDefault="00422627" w:rsidP="00967934">
            <w:pPr>
              <w:rPr>
                <w:sz w:val="22"/>
                <w:szCs w:val="22"/>
              </w:rPr>
            </w:pPr>
            <w:r>
              <w:rPr>
                <w:sz w:val="22"/>
                <w:szCs w:val="22"/>
              </w:rPr>
              <w:t xml:space="preserve">Title: </w:t>
            </w:r>
            <w:r w:rsidR="000C1B5F">
              <w:rPr>
                <w:sz w:val="22"/>
                <w:szCs w:val="22"/>
              </w:rPr>
              <w:t>Human Rights Officer</w:t>
            </w:r>
          </w:p>
          <w:p w:rsidR="00A24000" w:rsidRDefault="00422627">
            <w:pPr>
              <w:rPr>
                <w:sz w:val="22"/>
                <w:szCs w:val="22"/>
              </w:rPr>
            </w:pPr>
            <w:r>
              <w:rPr>
                <w:sz w:val="22"/>
                <w:szCs w:val="22"/>
              </w:rPr>
              <w:t xml:space="preserve">Participating Organization (Lead): </w:t>
            </w:r>
            <w:r w:rsidR="000C1B5F">
              <w:rPr>
                <w:sz w:val="22"/>
                <w:szCs w:val="22"/>
              </w:rPr>
              <w:t>OHCHR</w:t>
            </w:r>
          </w:p>
          <w:p w:rsidR="00A24000" w:rsidRDefault="00422627" w:rsidP="00967934">
            <w:pPr>
              <w:pStyle w:val="BodyText"/>
              <w:spacing w:after="120"/>
              <w:jc w:val="both"/>
              <w:rPr>
                <w:rFonts w:ascii="Times New Roman" w:hAnsi="Times New Roman" w:cs="Times New Roman"/>
                <w:b/>
                <w:bCs/>
                <w:snapToGrid w:val="0"/>
                <w:kern w:val="32"/>
                <w:sz w:val="22"/>
                <w:szCs w:val="22"/>
              </w:rPr>
            </w:pPr>
            <w:r>
              <w:rPr>
                <w:rFonts w:ascii="Times New Roman" w:hAnsi="Times New Roman" w:cs="Times New Roman"/>
                <w:sz w:val="22"/>
                <w:szCs w:val="22"/>
              </w:rPr>
              <w:t xml:space="preserve">Email address: </w:t>
            </w:r>
            <w:r w:rsidR="000C1B5F">
              <w:rPr>
                <w:rFonts w:ascii="Times New Roman" w:hAnsi="Times New Roman" w:cs="Times New Roman"/>
                <w:sz w:val="22"/>
                <w:szCs w:val="22"/>
              </w:rPr>
              <w:t>bferenci@ohchr.org</w:t>
            </w:r>
          </w:p>
        </w:tc>
      </w:tr>
    </w:tbl>
    <w:p w:rsidR="00A24000" w:rsidRDefault="00A24000">
      <w:pPr>
        <w:rPr>
          <w:rFonts w:ascii="Arial Narrow" w:hAnsi="Arial Narrow"/>
          <w:b/>
          <w:sz w:val="22"/>
          <w:szCs w:val="22"/>
        </w:rPr>
        <w:sectPr w:rsidR="00A24000">
          <w:footerReference w:type="default" r:id="rId10"/>
          <w:pgSz w:w="11906" w:h="16838"/>
          <w:pgMar w:top="851" w:right="1800" w:bottom="1276" w:left="1800" w:header="720" w:footer="720" w:gutter="0"/>
          <w:cols w:space="708"/>
          <w:docGrid w:linePitch="360"/>
        </w:sectPr>
      </w:pPr>
    </w:p>
    <w:p w:rsidR="00A24000" w:rsidRPr="005B7B46" w:rsidRDefault="00422627">
      <w:pPr>
        <w:ind w:left="810" w:hanging="810"/>
        <w:jc w:val="both"/>
        <w:rPr>
          <w:b/>
          <w:sz w:val="22"/>
          <w:szCs w:val="22"/>
        </w:rPr>
      </w:pPr>
      <w:r w:rsidRPr="005B7B46">
        <w:rPr>
          <w:b/>
          <w:sz w:val="22"/>
          <w:szCs w:val="22"/>
        </w:rPr>
        <w:lastRenderedPageBreak/>
        <w:t>PART 1 – RESULTS PROGRESS</w:t>
      </w:r>
    </w:p>
    <w:p w:rsidR="00A24000" w:rsidRPr="005B7B46" w:rsidRDefault="00A24000">
      <w:pPr>
        <w:jc w:val="both"/>
        <w:rPr>
          <w:rFonts w:ascii="Arial Narrow" w:hAnsi="Arial Narrow"/>
          <w:sz w:val="22"/>
          <w:szCs w:val="22"/>
        </w:rPr>
      </w:pPr>
    </w:p>
    <w:p w:rsidR="00A24000" w:rsidRPr="005B7B46" w:rsidRDefault="00422627">
      <w:pPr>
        <w:numPr>
          <w:ilvl w:val="1"/>
          <w:numId w:val="2"/>
        </w:numPr>
        <w:ind w:left="1170" w:hanging="1170"/>
        <w:rPr>
          <w:sz w:val="22"/>
          <w:szCs w:val="22"/>
        </w:rPr>
      </w:pPr>
      <w:r w:rsidRPr="005B7B46">
        <w:rPr>
          <w:b/>
          <w:sz w:val="22"/>
          <w:szCs w:val="22"/>
        </w:rPr>
        <w:t xml:space="preserve">Assessment of the current project implementation status and results </w:t>
      </w:r>
    </w:p>
    <w:p w:rsidR="00A24000" w:rsidRPr="005B7B46" w:rsidRDefault="00A24000">
      <w:pPr>
        <w:ind w:left="360"/>
        <w:rPr>
          <w:b/>
          <w:sz w:val="12"/>
          <w:szCs w:val="12"/>
        </w:rPr>
      </w:pPr>
    </w:p>
    <w:p w:rsidR="00A24000" w:rsidRPr="005B7B46" w:rsidRDefault="00422627">
      <w:pPr>
        <w:rPr>
          <w:b/>
          <w:sz w:val="22"/>
          <w:szCs w:val="22"/>
        </w:rPr>
      </w:pPr>
      <w:r w:rsidRPr="005B7B46">
        <w:rPr>
          <w:b/>
          <w:sz w:val="22"/>
          <w:szCs w:val="22"/>
        </w:rPr>
        <w:t xml:space="preserve">For PRF projects, please identify Priority Plan outcome and indicators to which this project is contributing: </w:t>
      </w:r>
    </w:p>
    <w:tbl>
      <w:tblPr>
        <w:tblpPr w:leftFromText="180" w:rightFromText="180" w:vertAnchor="text" w:horzAnchor="margin"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24000" w:rsidRPr="005B7B46">
        <w:tc>
          <w:tcPr>
            <w:tcW w:w="9810" w:type="dxa"/>
            <w:tcBorders>
              <w:top w:val="single" w:sz="4" w:space="0" w:color="auto"/>
              <w:left w:val="single" w:sz="4" w:space="0" w:color="auto"/>
              <w:bottom w:val="single" w:sz="4" w:space="0" w:color="auto"/>
              <w:right w:val="single" w:sz="4" w:space="0" w:color="auto"/>
            </w:tcBorders>
            <w:shd w:val="clear" w:color="auto" w:fill="B8CCE4"/>
            <w:hideMark/>
          </w:tcPr>
          <w:p w:rsidR="00080E92" w:rsidRPr="005B7B46" w:rsidRDefault="00422627">
            <w:pPr>
              <w:jc w:val="both"/>
              <w:rPr>
                <w:rFonts w:asciiTheme="minorHAnsi" w:hAnsiTheme="minorHAnsi"/>
                <w:b/>
                <w:i/>
                <w:sz w:val="22"/>
                <w:szCs w:val="22"/>
              </w:rPr>
            </w:pPr>
            <w:r w:rsidRPr="005B7B46">
              <w:rPr>
                <w:rFonts w:asciiTheme="minorHAnsi" w:hAnsiTheme="minorHAnsi"/>
                <w:b/>
                <w:i/>
                <w:sz w:val="22"/>
                <w:szCs w:val="22"/>
              </w:rPr>
              <w:t xml:space="preserve">Priority Plan Outcome to which the project is contributing. </w:t>
            </w:r>
          </w:p>
          <w:p w:rsidR="00A24000" w:rsidRPr="005B7B46" w:rsidRDefault="00080E92">
            <w:pPr>
              <w:jc w:val="both"/>
              <w:rPr>
                <w:rFonts w:ascii="Arial Narrow" w:hAnsi="Arial Narrow"/>
                <w:b/>
                <w:i/>
                <w:sz w:val="22"/>
                <w:szCs w:val="22"/>
              </w:rPr>
            </w:pPr>
            <w:r w:rsidRPr="005B7B46">
              <w:rPr>
                <w:rFonts w:ascii="Arial Narrow" w:hAnsi="Arial Narrow"/>
                <w:b/>
                <w:sz w:val="22"/>
                <w:szCs w:val="22"/>
              </w:rPr>
              <w:t xml:space="preserve">Outcome 1: </w:t>
            </w:r>
            <w:r w:rsidR="00422627" w:rsidRPr="005B7B46">
              <w:rPr>
                <w:rFonts w:ascii="Arial Narrow" w:hAnsi="Arial Narrow"/>
                <w:b/>
                <w:i/>
                <w:sz w:val="22"/>
                <w:szCs w:val="22"/>
              </w:rPr>
              <w:fldChar w:fldCharType="begin">
                <w:ffData>
                  <w:name w:val="Text31"/>
                  <w:enabled/>
                  <w:calcOnExit w:val="0"/>
                  <w:textInput/>
                </w:ffData>
              </w:fldChar>
            </w:r>
            <w:bookmarkStart w:id="16" w:name="Text31"/>
            <w:r w:rsidR="00422627" w:rsidRPr="005B7B46">
              <w:rPr>
                <w:rFonts w:ascii="Arial Narrow" w:hAnsi="Arial Narrow"/>
                <w:b/>
                <w:i/>
                <w:sz w:val="22"/>
                <w:szCs w:val="22"/>
              </w:rPr>
              <w:instrText xml:space="preserve"> FORMTEXT </w:instrText>
            </w:r>
            <w:r w:rsidR="00422627" w:rsidRPr="005B7B46">
              <w:rPr>
                <w:rFonts w:ascii="Arial Narrow" w:hAnsi="Arial Narrow"/>
                <w:b/>
                <w:i/>
                <w:sz w:val="22"/>
                <w:szCs w:val="22"/>
              </w:rPr>
            </w:r>
            <w:r w:rsidR="00422627" w:rsidRPr="005B7B46">
              <w:rPr>
                <w:rFonts w:ascii="Arial Narrow" w:hAnsi="Arial Narrow"/>
                <w:b/>
                <w:i/>
                <w:sz w:val="22"/>
                <w:szCs w:val="22"/>
              </w:rPr>
              <w:fldChar w:fldCharType="separate"/>
            </w:r>
            <w:r w:rsidR="00422627" w:rsidRPr="005B7B46">
              <w:rPr>
                <w:sz w:val="22"/>
                <w:szCs w:val="22"/>
              </w:rPr>
              <w:t xml:space="preserve">Laws, policies, reforms and recommendations of human rights mechanisms, including UPR39, are implemented to uphold the rule of law, improve access to justice and respect, protect and fulfill human rights. </w:t>
            </w:r>
            <w:r w:rsidR="00422627" w:rsidRPr="005B7B46">
              <w:rPr>
                <w:sz w:val="22"/>
                <w:szCs w:val="22"/>
              </w:rPr>
              <w:fldChar w:fldCharType="end"/>
            </w:r>
            <w:bookmarkEnd w:id="16"/>
          </w:p>
        </w:tc>
      </w:tr>
      <w:tr w:rsidR="00A24000" w:rsidRPr="005B7B46">
        <w:tc>
          <w:tcPr>
            <w:tcW w:w="9810" w:type="dxa"/>
            <w:tcBorders>
              <w:top w:val="single" w:sz="4" w:space="0" w:color="auto"/>
              <w:left w:val="single" w:sz="4" w:space="0" w:color="auto"/>
              <w:bottom w:val="single" w:sz="4" w:space="0" w:color="auto"/>
              <w:right w:val="single" w:sz="4" w:space="0" w:color="auto"/>
            </w:tcBorders>
            <w:shd w:val="clear" w:color="auto" w:fill="B8CCE4"/>
            <w:hideMark/>
          </w:tcPr>
          <w:p w:rsidR="00080E92" w:rsidRPr="005B7B46" w:rsidRDefault="00422627" w:rsidP="00080E92">
            <w:pPr>
              <w:rPr>
                <w:rFonts w:asciiTheme="minorHAnsi" w:hAnsiTheme="minorHAnsi"/>
                <w:b/>
                <w:i/>
                <w:noProof/>
                <w:sz w:val="22"/>
                <w:szCs w:val="22"/>
              </w:rPr>
            </w:pPr>
            <w:r w:rsidRPr="005B7B46">
              <w:rPr>
                <w:rFonts w:asciiTheme="minorHAnsi" w:hAnsiTheme="minorHAnsi"/>
                <w:b/>
                <w:i/>
                <w:sz w:val="22"/>
                <w:szCs w:val="22"/>
              </w:rPr>
              <w:t xml:space="preserve">Priority Plan Outcome indicator(s) to which project is contributing. </w:t>
            </w:r>
            <w:r w:rsidR="00080E92" w:rsidRPr="005B7B46">
              <w:rPr>
                <w:rFonts w:asciiTheme="minorHAnsi" w:hAnsiTheme="minorHAnsi"/>
                <w:b/>
                <w:i/>
                <w:sz w:val="22"/>
                <w:szCs w:val="22"/>
              </w:rPr>
              <w:fldChar w:fldCharType="begin">
                <w:ffData>
                  <w:name w:val="Text32"/>
                  <w:enabled/>
                  <w:calcOnExit w:val="0"/>
                  <w:textInput/>
                </w:ffData>
              </w:fldChar>
            </w:r>
            <w:bookmarkStart w:id="17" w:name="Text32"/>
            <w:r w:rsidR="00080E92" w:rsidRPr="005B7B46">
              <w:rPr>
                <w:rFonts w:asciiTheme="minorHAnsi" w:hAnsiTheme="minorHAnsi"/>
                <w:b/>
                <w:i/>
                <w:sz w:val="22"/>
                <w:szCs w:val="22"/>
              </w:rPr>
              <w:instrText xml:space="preserve"> FORMTEXT </w:instrText>
            </w:r>
            <w:r w:rsidR="00080E92" w:rsidRPr="005B7B46">
              <w:rPr>
                <w:rFonts w:asciiTheme="minorHAnsi" w:hAnsiTheme="minorHAnsi"/>
                <w:b/>
                <w:i/>
                <w:sz w:val="22"/>
                <w:szCs w:val="22"/>
              </w:rPr>
            </w:r>
            <w:r w:rsidR="00080E92" w:rsidRPr="005B7B46">
              <w:rPr>
                <w:rFonts w:asciiTheme="minorHAnsi" w:hAnsiTheme="minorHAnsi"/>
                <w:b/>
                <w:i/>
                <w:sz w:val="22"/>
                <w:szCs w:val="22"/>
              </w:rPr>
              <w:fldChar w:fldCharType="separate"/>
            </w:r>
          </w:p>
          <w:p w:rsidR="00080E92" w:rsidRPr="005B7B46" w:rsidRDefault="00080E92" w:rsidP="00080E92">
            <w:pPr>
              <w:adjustRightInd w:val="0"/>
              <w:snapToGrid w:val="0"/>
              <w:spacing w:after="200" w:line="276" w:lineRule="auto"/>
              <w:contextualSpacing/>
              <w:rPr>
                <w:rFonts w:eastAsia="MS Mincho"/>
                <w:sz w:val="22"/>
                <w:szCs w:val="22"/>
                <w:lang w:val="en-US"/>
              </w:rPr>
            </w:pPr>
            <w:r w:rsidRPr="005B7B46">
              <w:rPr>
                <w:b/>
                <w:i/>
                <w:noProof/>
                <w:sz w:val="22"/>
                <w:szCs w:val="22"/>
              </w:rPr>
              <w:t xml:space="preserve">1.1: </w:t>
            </w:r>
            <w:r w:rsidRPr="005B7B46">
              <w:rPr>
                <w:rFonts w:eastAsia="MS Mincho"/>
                <w:sz w:val="22"/>
                <w:szCs w:val="22"/>
                <w:lang w:val="en-US"/>
              </w:rPr>
              <w:t xml:space="preserve"> Proportion of cases brought to human rights and justice institutions which are satisfactorily resolved;</w:t>
            </w:r>
          </w:p>
          <w:p w:rsidR="00080E92" w:rsidRPr="005B7B46" w:rsidRDefault="00080E92" w:rsidP="00080E92">
            <w:pPr>
              <w:adjustRightInd w:val="0"/>
              <w:snapToGrid w:val="0"/>
              <w:spacing w:after="200" w:line="276" w:lineRule="auto"/>
              <w:contextualSpacing/>
              <w:rPr>
                <w:rFonts w:eastAsia="MS Mincho"/>
                <w:sz w:val="22"/>
                <w:szCs w:val="22"/>
                <w:lang w:val="en-US"/>
              </w:rPr>
            </w:pPr>
            <w:r w:rsidRPr="005B7B46">
              <w:rPr>
                <w:rFonts w:eastAsia="MS Mincho"/>
                <w:b/>
                <w:i/>
                <w:sz w:val="22"/>
                <w:szCs w:val="22"/>
                <w:lang w:val="en-US"/>
              </w:rPr>
              <w:t xml:space="preserve">1.2:  </w:t>
            </w:r>
            <w:r w:rsidRPr="005B7B46">
              <w:rPr>
                <w:rFonts w:eastAsia="MS Mincho"/>
                <w:sz w:val="22"/>
                <w:szCs w:val="22"/>
                <w:lang w:val="en-US"/>
              </w:rPr>
              <w:t>Number of key policies and laws adopted or amended;</w:t>
            </w:r>
          </w:p>
          <w:p w:rsidR="00A24000" w:rsidRPr="005B7B46" w:rsidRDefault="00080E92" w:rsidP="007E210F">
            <w:pPr>
              <w:adjustRightInd w:val="0"/>
              <w:snapToGrid w:val="0"/>
              <w:spacing w:after="200" w:line="276" w:lineRule="auto"/>
              <w:contextualSpacing/>
              <w:rPr>
                <w:rFonts w:eastAsia="MS Mincho"/>
                <w:sz w:val="22"/>
                <w:szCs w:val="22"/>
                <w:lang w:val="en-US"/>
              </w:rPr>
            </w:pPr>
            <w:r w:rsidRPr="005B7B46">
              <w:rPr>
                <w:rFonts w:eastAsia="MS Mincho"/>
                <w:b/>
                <w:i/>
                <w:sz w:val="22"/>
                <w:szCs w:val="22"/>
                <w:lang w:val="en-US"/>
              </w:rPr>
              <w:t xml:space="preserve">1.4:  </w:t>
            </w:r>
            <w:r w:rsidRPr="005B7B46">
              <w:rPr>
                <w:rFonts w:eastAsia="MS Mincho"/>
                <w:sz w:val="22"/>
                <w:szCs w:val="22"/>
                <w:lang w:val="en-US"/>
              </w:rPr>
              <w:t>Citizens' trust in national state institutions is increased.</w:t>
            </w:r>
            <w:r w:rsidRPr="005B7B46">
              <w:rPr>
                <w:rFonts w:eastAsia="MS Mincho"/>
                <w:b/>
                <w:i/>
                <w:sz w:val="22"/>
                <w:szCs w:val="22"/>
                <w:lang w:val="en-US"/>
              </w:rPr>
              <w:t xml:space="preserve"> </w:t>
            </w:r>
            <w:r w:rsidRPr="005B7B46">
              <w:rPr>
                <w:b/>
                <w:i/>
                <w:noProof/>
                <w:sz w:val="22"/>
                <w:szCs w:val="22"/>
              </w:rPr>
              <w:t> </w:t>
            </w:r>
            <w:r w:rsidRPr="005B7B46">
              <w:rPr>
                <w:b/>
                <w:i/>
                <w:sz w:val="22"/>
                <w:szCs w:val="22"/>
              </w:rPr>
              <w:fldChar w:fldCharType="end"/>
            </w:r>
            <w:bookmarkEnd w:id="17"/>
          </w:p>
        </w:tc>
      </w:tr>
    </w:tbl>
    <w:p w:rsidR="00A24000" w:rsidRPr="005B7B46" w:rsidRDefault="00A24000">
      <w:pPr>
        <w:ind w:left="360"/>
        <w:rPr>
          <w:b/>
          <w:sz w:val="22"/>
          <w:szCs w:val="22"/>
          <w:lang w:val="en-US"/>
        </w:rPr>
      </w:pPr>
    </w:p>
    <w:p w:rsidR="00A24000" w:rsidRPr="005B7B46" w:rsidRDefault="00422627">
      <w:pPr>
        <w:rPr>
          <w:sz w:val="22"/>
          <w:szCs w:val="22"/>
        </w:rPr>
      </w:pPr>
      <w:r w:rsidRPr="005B7B46">
        <w:rPr>
          <w:b/>
          <w:sz w:val="22"/>
          <w:szCs w:val="22"/>
        </w:rPr>
        <w:t xml:space="preserve">For both IRF and PRF projects, please rate this project’s overall achievement of results to date: </w:t>
      </w:r>
      <w:r w:rsidR="00080E92" w:rsidRPr="005B7B46">
        <w:rPr>
          <w:rFonts w:ascii="Arial Narrow" w:hAnsi="Arial Narrow"/>
          <w:b/>
          <w:sz w:val="22"/>
          <w:szCs w:val="22"/>
        </w:rPr>
        <w:fldChar w:fldCharType="begin">
          <w:ffData>
            <w:name w:val=""/>
            <w:enabled/>
            <w:calcOnExit w:val="0"/>
            <w:ddList>
              <w:listEntry w:val="on track"/>
              <w:listEntry w:val="on track with significant peacebuilding results"/>
            </w:ddList>
          </w:ffData>
        </w:fldChar>
      </w:r>
      <w:r w:rsidR="00080E92" w:rsidRPr="005B7B46">
        <w:rPr>
          <w:rFonts w:ascii="Arial Narrow" w:hAnsi="Arial Narrow"/>
          <w:b/>
          <w:sz w:val="22"/>
          <w:szCs w:val="22"/>
        </w:rPr>
        <w:instrText xml:space="preserve"> FORMDROPDOWN </w:instrText>
      </w:r>
      <w:r w:rsidR="00525B76">
        <w:rPr>
          <w:rFonts w:ascii="Arial Narrow" w:hAnsi="Arial Narrow"/>
          <w:b/>
          <w:sz w:val="22"/>
          <w:szCs w:val="22"/>
        </w:rPr>
      </w:r>
      <w:r w:rsidR="00525B76">
        <w:rPr>
          <w:rFonts w:ascii="Arial Narrow" w:hAnsi="Arial Narrow"/>
          <w:b/>
          <w:sz w:val="22"/>
          <w:szCs w:val="22"/>
        </w:rPr>
        <w:fldChar w:fldCharType="separate"/>
      </w:r>
      <w:r w:rsidR="00080E92" w:rsidRPr="005B7B46">
        <w:rPr>
          <w:rFonts w:ascii="Arial Narrow" w:hAnsi="Arial Narrow"/>
          <w:b/>
          <w:sz w:val="22"/>
          <w:szCs w:val="22"/>
        </w:rPr>
        <w:fldChar w:fldCharType="end"/>
      </w:r>
    </w:p>
    <w:p w:rsidR="00A24000" w:rsidRPr="005B7B46" w:rsidRDefault="00A24000">
      <w:pPr>
        <w:rPr>
          <w:sz w:val="22"/>
          <w:szCs w:val="22"/>
        </w:rPr>
      </w:pPr>
    </w:p>
    <w:p w:rsidR="00A24000" w:rsidRPr="005B7B46" w:rsidRDefault="00422627">
      <w:pPr>
        <w:rPr>
          <w:b/>
          <w:sz w:val="22"/>
          <w:szCs w:val="22"/>
        </w:rPr>
      </w:pPr>
      <w:r w:rsidRPr="005B7B46">
        <w:rPr>
          <w:b/>
          <w:sz w:val="22"/>
          <w:szCs w:val="22"/>
        </w:rPr>
        <w:t>For both IRF and PRF projects, outline progress against each project outcome, using the format below. The space in the template allows for up to four project outcomes.</w:t>
      </w:r>
    </w:p>
    <w:p w:rsidR="00A24000" w:rsidRPr="005B7B46" w:rsidRDefault="00A24000">
      <w:pPr>
        <w:rPr>
          <w:b/>
          <w:sz w:val="12"/>
          <w:szCs w:val="12"/>
        </w:rPr>
      </w:pPr>
    </w:p>
    <w:p w:rsidR="00A24000" w:rsidRPr="005B7B46" w:rsidRDefault="00422627" w:rsidP="00080E92">
      <w:pPr>
        <w:jc w:val="both"/>
        <w:rPr>
          <w:b/>
          <w:sz w:val="22"/>
          <w:szCs w:val="22"/>
        </w:rPr>
      </w:pPr>
      <w:r w:rsidRPr="005B7B46">
        <w:rPr>
          <w:b/>
          <w:sz w:val="22"/>
          <w:szCs w:val="22"/>
          <w:u w:val="single"/>
        </w:rPr>
        <w:t>Outcome Statement 1:</w:t>
      </w:r>
      <w:r w:rsidRPr="005B7B46">
        <w:rPr>
          <w:b/>
          <w:sz w:val="22"/>
          <w:szCs w:val="22"/>
        </w:rPr>
        <w:t xml:space="preserve">  </w:t>
      </w:r>
      <w:r w:rsidRPr="005B7B46">
        <w:rPr>
          <w:b/>
          <w:sz w:val="22"/>
          <w:szCs w:val="22"/>
        </w:rPr>
        <w:fldChar w:fldCharType="begin">
          <w:ffData>
            <w:name w:val="Text33"/>
            <w:enabled/>
            <w:calcOnExit w:val="0"/>
            <w:textInput/>
          </w:ffData>
        </w:fldChar>
      </w:r>
      <w:bookmarkStart w:id="18" w:name="Text33"/>
      <w:r w:rsidRPr="005B7B46">
        <w:rPr>
          <w:b/>
          <w:sz w:val="22"/>
          <w:szCs w:val="22"/>
        </w:rPr>
        <w:instrText xml:space="preserve"> FORMTEXT </w:instrText>
      </w:r>
      <w:r w:rsidRPr="005B7B46">
        <w:rPr>
          <w:b/>
          <w:sz w:val="22"/>
          <w:szCs w:val="22"/>
        </w:rPr>
      </w:r>
      <w:r w:rsidRPr="005B7B46">
        <w:rPr>
          <w:b/>
          <w:sz w:val="22"/>
          <w:szCs w:val="22"/>
        </w:rPr>
        <w:fldChar w:fldCharType="separate"/>
      </w:r>
      <w:r w:rsidRPr="005B7B46">
        <w:rPr>
          <w:sz w:val="22"/>
          <w:szCs w:val="22"/>
        </w:rPr>
        <w:t>Key legislation in the area of administration of justice is in line with international and constitutional human rights standards and the judiciary adjudicates several cases in line with these standards</w:t>
      </w:r>
      <w:r w:rsidRPr="005B7B46">
        <w:rPr>
          <w:b/>
          <w:sz w:val="22"/>
          <w:szCs w:val="22"/>
        </w:rPr>
        <w:t> </w:t>
      </w:r>
      <w:r w:rsidRPr="005B7B46">
        <w:rPr>
          <w:b/>
          <w:sz w:val="22"/>
          <w:szCs w:val="22"/>
        </w:rPr>
        <w:t> </w:t>
      </w:r>
      <w:r w:rsidRPr="005B7B46">
        <w:rPr>
          <w:b/>
          <w:sz w:val="22"/>
          <w:szCs w:val="22"/>
        </w:rPr>
        <w:t> </w:t>
      </w:r>
      <w:r w:rsidRPr="005B7B46">
        <w:rPr>
          <w:b/>
          <w:sz w:val="22"/>
          <w:szCs w:val="22"/>
        </w:rPr>
        <w:t> </w:t>
      </w:r>
      <w:r w:rsidRPr="005B7B46">
        <w:rPr>
          <w:b/>
          <w:sz w:val="22"/>
          <w:szCs w:val="22"/>
        </w:rPr>
        <w:t> </w:t>
      </w:r>
      <w:r w:rsidRPr="005B7B46">
        <w:rPr>
          <w:sz w:val="22"/>
          <w:szCs w:val="22"/>
        </w:rPr>
        <w:fldChar w:fldCharType="end"/>
      </w:r>
      <w:bookmarkEnd w:id="18"/>
    </w:p>
    <w:p w:rsidR="00A24000" w:rsidRPr="007E210F" w:rsidRDefault="00A24000">
      <w:pPr>
        <w:rPr>
          <w:b/>
          <w:sz w:val="12"/>
          <w:szCs w:val="12"/>
        </w:rPr>
      </w:pPr>
    </w:p>
    <w:p w:rsidR="00A24000" w:rsidRDefault="00422627">
      <w:pPr>
        <w:rPr>
          <w:b/>
        </w:rPr>
      </w:pPr>
      <w:r w:rsidRPr="005B7B46">
        <w:rPr>
          <w:b/>
          <w:sz w:val="22"/>
          <w:szCs w:val="22"/>
        </w:rPr>
        <w:t>Rate the current status of the outcome:</w:t>
      </w:r>
      <w:r>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19" w:name="Dropdown2"/>
      <w:r>
        <w:rPr>
          <w:rFonts w:ascii="Arial Narrow" w:hAnsi="Arial Narrow"/>
          <w:b/>
          <w:sz w:val="22"/>
          <w:szCs w:val="22"/>
        </w:rPr>
        <w:instrText xml:space="preserve"> FORMDROPDOWN </w:instrText>
      </w:r>
      <w:r w:rsidR="00525B76">
        <w:rPr>
          <w:rFonts w:ascii="Arial Narrow" w:hAnsi="Arial Narrow"/>
          <w:b/>
          <w:sz w:val="22"/>
          <w:szCs w:val="22"/>
        </w:rPr>
      </w:r>
      <w:r w:rsidR="00525B76">
        <w:rPr>
          <w:rFonts w:ascii="Arial Narrow" w:hAnsi="Arial Narrow"/>
          <w:b/>
          <w:sz w:val="22"/>
          <w:szCs w:val="22"/>
        </w:rPr>
        <w:fldChar w:fldCharType="separate"/>
      </w:r>
      <w:r>
        <w:rPr>
          <w:rFonts w:ascii="Arial Narrow" w:hAnsi="Arial Narrow"/>
          <w:b/>
          <w:sz w:val="22"/>
          <w:szCs w:val="22"/>
        </w:rPr>
        <w:fldChar w:fldCharType="end"/>
      </w:r>
      <w:bookmarkEnd w:id="19"/>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A24000">
        <w:tc>
          <w:tcPr>
            <w:tcW w:w="5400" w:type="dxa"/>
            <w:tcBorders>
              <w:top w:val="single" w:sz="4" w:space="0" w:color="auto"/>
              <w:left w:val="single" w:sz="4" w:space="0" w:color="auto"/>
              <w:bottom w:val="single" w:sz="4" w:space="0" w:color="auto"/>
              <w:right w:val="single" w:sz="4" w:space="0" w:color="auto"/>
            </w:tcBorders>
          </w:tcPr>
          <w:p w:rsidR="00A24000" w:rsidRPr="00CF67AB" w:rsidRDefault="00422627">
            <w:pPr>
              <w:jc w:val="both"/>
              <w:rPr>
                <w:sz w:val="22"/>
                <w:szCs w:val="22"/>
              </w:rPr>
            </w:pPr>
            <w:r w:rsidRPr="00F72D88">
              <w:rPr>
                <w:sz w:val="22"/>
                <w:szCs w:val="22"/>
              </w:rPr>
              <w:t>Indicator 1:</w:t>
            </w:r>
          </w:p>
          <w:p w:rsidR="00A24000" w:rsidRPr="007F7272" w:rsidRDefault="00422627">
            <w:pPr>
              <w:jc w:val="both"/>
              <w:rPr>
                <w:rFonts w:ascii="Arial Narrow" w:hAnsi="Arial Narrow"/>
                <w:sz w:val="22"/>
                <w:szCs w:val="22"/>
              </w:rPr>
            </w:pPr>
            <w:r w:rsidRPr="007F7272">
              <w:rPr>
                <w:rFonts w:ascii="Arial Narrow" w:hAnsi="Arial Narrow"/>
                <w:sz w:val="22"/>
                <w:szCs w:val="22"/>
              </w:rPr>
              <w:fldChar w:fldCharType="begin">
                <w:ffData>
                  <w:name w:val="Text40"/>
                  <w:enabled/>
                  <w:calcOnExit w:val="0"/>
                  <w:textInput/>
                </w:ffData>
              </w:fldChar>
            </w:r>
            <w:bookmarkStart w:id="20" w:name="Text40"/>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Pr="007F7272">
              <w:rPr>
                <w:sz w:val="22"/>
                <w:szCs w:val="22"/>
              </w:rPr>
              <w:t xml:space="preserve">Degree of compliance of key laws relating to the administration of justice  with international and human rights standards: the Criminal and Criminal Procedure Codes, Code on Criminal Offences, Laws on the Ombudsman, State Guaranteed Legal Aid and on Bar and Legal Practice,  Law on the Order of Consideration of Citizens’ Appeal, Law on Guarantee and Free Access to Information. </w:t>
            </w:r>
            <w:r w:rsidRPr="007F7272">
              <w:rPr>
                <w:sz w:val="22"/>
                <w:szCs w:val="22"/>
              </w:rPr>
              <w:fldChar w:fldCharType="end"/>
            </w:r>
            <w:bookmarkEnd w:id="20"/>
          </w:p>
          <w:p w:rsidR="00A24000" w:rsidRDefault="00A24000">
            <w:pPr>
              <w:jc w:val="both"/>
              <w:rPr>
                <w:rFonts w:ascii="Arial Narrow" w:hAnsi="Arial Narrow"/>
                <w:sz w:val="22"/>
                <w:szCs w:val="22"/>
              </w:rPr>
            </w:pPr>
          </w:p>
          <w:p w:rsidR="00A24000" w:rsidRDefault="00A24000">
            <w:pPr>
              <w:jc w:val="both"/>
              <w:rPr>
                <w:rFonts w:ascii="Arial Narrow" w:hAnsi="Arial Narrow"/>
                <w:sz w:val="22"/>
                <w:szCs w:val="22"/>
              </w:rPr>
            </w:pPr>
          </w:p>
          <w:p w:rsidR="00A24000" w:rsidRDefault="00A24000">
            <w:pPr>
              <w:jc w:val="both"/>
              <w:rPr>
                <w:rFonts w:ascii="Arial Narrow" w:hAnsi="Arial Narrow"/>
                <w:sz w:val="22"/>
                <w:szCs w:val="22"/>
              </w:rPr>
            </w:pPr>
          </w:p>
          <w:p w:rsidR="00A24000" w:rsidRDefault="00A24000">
            <w:pPr>
              <w:jc w:val="both"/>
              <w:rPr>
                <w:rFonts w:ascii="Arial Narrow" w:hAnsi="Arial Narrow"/>
                <w:sz w:val="22"/>
                <w:szCs w:val="22"/>
              </w:rPr>
            </w:pPr>
          </w:p>
          <w:p w:rsidR="00A24000" w:rsidRDefault="00A24000">
            <w:pPr>
              <w:jc w:val="both"/>
              <w:rPr>
                <w:rFonts w:ascii="Arial Narrow" w:hAnsi="Arial Narrow"/>
                <w:sz w:val="22"/>
                <w:szCs w:val="22"/>
              </w:rPr>
            </w:pPr>
          </w:p>
          <w:p w:rsidR="00A24000" w:rsidRDefault="00A24000">
            <w:pPr>
              <w:jc w:val="both"/>
              <w:rPr>
                <w:rFonts w:ascii="Arial Narrow" w:hAnsi="Arial Narrow"/>
                <w:sz w:val="22"/>
                <w:szCs w:val="22"/>
              </w:rPr>
            </w:pPr>
          </w:p>
          <w:p w:rsidR="00A24000" w:rsidRDefault="00A24000">
            <w:pPr>
              <w:jc w:val="both"/>
              <w:rPr>
                <w:rFonts w:ascii="Arial Narrow" w:hAnsi="Arial Narrow"/>
                <w:sz w:val="22"/>
                <w:szCs w:val="22"/>
              </w:rPr>
            </w:pPr>
          </w:p>
          <w:p w:rsidR="00A24000" w:rsidRDefault="00A24000">
            <w:pPr>
              <w:jc w:val="both"/>
              <w:rPr>
                <w:rFonts w:ascii="Arial Narrow" w:hAnsi="Arial Narrow"/>
                <w:sz w:val="22"/>
                <w:szCs w:val="22"/>
              </w:rPr>
            </w:pPr>
          </w:p>
          <w:p w:rsidR="007E210F" w:rsidRDefault="007E210F">
            <w:pPr>
              <w:jc w:val="both"/>
              <w:rPr>
                <w:rFonts w:ascii="Arial Narrow" w:hAnsi="Arial Narrow"/>
                <w:sz w:val="22"/>
                <w:szCs w:val="22"/>
              </w:rPr>
            </w:pPr>
          </w:p>
          <w:p w:rsidR="007E210F" w:rsidRDefault="007E210F">
            <w:pPr>
              <w:jc w:val="both"/>
              <w:rPr>
                <w:rFonts w:ascii="Arial Narrow" w:hAnsi="Arial Narrow"/>
                <w:sz w:val="22"/>
                <w:szCs w:val="22"/>
              </w:rPr>
            </w:pPr>
          </w:p>
          <w:p w:rsidR="007E210F" w:rsidRDefault="007E210F">
            <w:pPr>
              <w:jc w:val="both"/>
              <w:rPr>
                <w:rFonts w:ascii="Arial Narrow" w:hAnsi="Arial Narrow"/>
                <w:sz w:val="22"/>
                <w:szCs w:val="22"/>
              </w:rPr>
            </w:pPr>
          </w:p>
          <w:p w:rsidR="00CF67AB" w:rsidRDefault="00CF67AB">
            <w:pPr>
              <w:jc w:val="both"/>
              <w:rPr>
                <w:rFonts w:ascii="Arial Narrow" w:hAnsi="Arial Narrow"/>
                <w:sz w:val="22"/>
                <w:szCs w:val="22"/>
              </w:rPr>
            </w:pPr>
          </w:p>
          <w:p w:rsidR="007E210F" w:rsidRDefault="007E210F">
            <w:pPr>
              <w:jc w:val="both"/>
              <w:rPr>
                <w:rFonts w:ascii="Arial Narrow" w:hAnsi="Arial Narrow"/>
                <w:sz w:val="22"/>
                <w:szCs w:val="22"/>
              </w:rPr>
            </w:pPr>
          </w:p>
          <w:p w:rsidR="00A24000" w:rsidRPr="007F7272" w:rsidRDefault="00422627">
            <w:pPr>
              <w:jc w:val="both"/>
              <w:rPr>
                <w:sz w:val="22"/>
                <w:szCs w:val="22"/>
              </w:rPr>
            </w:pPr>
            <w:r w:rsidRPr="007F7272">
              <w:rPr>
                <w:sz w:val="22"/>
                <w:szCs w:val="22"/>
              </w:rPr>
              <w:t>Indicator 2:</w:t>
            </w:r>
          </w:p>
          <w:p w:rsidR="00A24000" w:rsidRPr="007F7272" w:rsidRDefault="00422627">
            <w:pPr>
              <w:jc w:val="both"/>
              <w:rPr>
                <w:sz w:val="22"/>
                <w:szCs w:val="22"/>
              </w:rPr>
            </w:pPr>
            <w:r w:rsidRPr="007F7272">
              <w:rPr>
                <w:rFonts w:ascii="Arial Narrow" w:hAnsi="Arial Narrow"/>
                <w:sz w:val="22"/>
                <w:szCs w:val="22"/>
              </w:rPr>
              <w:fldChar w:fldCharType="begin">
                <w:ffData>
                  <w:name w:val="Text41"/>
                  <w:enabled/>
                  <w:calcOnExit w:val="0"/>
                  <w:textInput/>
                </w:ffData>
              </w:fldChar>
            </w:r>
            <w:bookmarkStart w:id="21" w:name="Text41"/>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Pr="007F7272">
              <w:rPr>
                <w:sz w:val="22"/>
                <w:szCs w:val="22"/>
              </w:rPr>
              <w:t>Number of resolutions adopted by the Supreme Court regarding unified judicial practice on criminal cases.</w:t>
            </w:r>
          </w:p>
          <w:p w:rsidR="00A24000" w:rsidRPr="007F7272" w:rsidRDefault="00422627">
            <w:pPr>
              <w:jc w:val="both"/>
              <w:rPr>
                <w:rFonts w:ascii="Arial Narrow" w:hAnsi="Arial Narrow"/>
                <w:sz w:val="22"/>
                <w:szCs w:val="22"/>
              </w:rPr>
            </w:pPr>
            <w:r w:rsidRPr="007F7272">
              <w:rPr>
                <w:sz w:val="22"/>
                <w:szCs w:val="22"/>
              </w:rPr>
              <w:fldChar w:fldCharType="end"/>
            </w:r>
            <w:bookmarkEnd w:id="21"/>
          </w:p>
          <w:p w:rsidR="00A24000" w:rsidRPr="007F7272" w:rsidRDefault="00A24000">
            <w:pPr>
              <w:jc w:val="both"/>
              <w:rPr>
                <w:rFonts w:ascii="Arial Narrow" w:hAnsi="Arial Narrow"/>
                <w:sz w:val="22"/>
                <w:szCs w:val="22"/>
              </w:rPr>
            </w:pPr>
          </w:p>
          <w:p w:rsidR="00A24000" w:rsidRPr="007F7272" w:rsidRDefault="00A24000">
            <w:pPr>
              <w:jc w:val="both"/>
              <w:rPr>
                <w:rFonts w:ascii="Arial Narrow" w:hAnsi="Arial Narrow"/>
                <w:sz w:val="22"/>
                <w:szCs w:val="22"/>
              </w:rPr>
            </w:pPr>
          </w:p>
          <w:p w:rsidR="007E210F" w:rsidRPr="007F7272" w:rsidRDefault="007E210F">
            <w:pPr>
              <w:jc w:val="both"/>
              <w:rPr>
                <w:rFonts w:ascii="Arial Narrow" w:hAnsi="Arial Narrow"/>
                <w:sz w:val="22"/>
                <w:szCs w:val="22"/>
              </w:rPr>
            </w:pPr>
          </w:p>
          <w:p w:rsidR="00A24000" w:rsidRPr="007F7272" w:rsidRDefault="00422627">
            <w:pPr>
              <w:jc w:val="both"/>
              <w:rPr>
                <w:sz w:val="22"/>
                <w:szCs w:val="22"/>
              </w:rPr>
            </w:pPr>
            <w:r w:rsidRPr="007F7272">
              <w:rPr>
                <w:sz w:val="22"/>
                <w:szCs w:val="22"/>
              </w:rPr>
              <w:t>Indicator 3:</w:t>
            </w:r>
          </w:p>
          <w:p w:rsidR="00A24000" w:rsidRPr="007F7272" w:rsidRDefault="00422627">
            <w:pPr>
              <w:jc w:val="both"/>
              <w:rPr>
                <w:rFonts w:ascii="Arial Narrow" w:hAnsi="Arial Narrow"/>
                <w:sz w:val="22"/>
                <w:szCs w:val="22"/>
              </w:rPr>
            </w:pPr>
            <w:r w:rsidRPr="007F7272">
              <w:rPr>
                <w:rFonts w:ascii="Arial Narrow" w:hAnsi="Arial Narrow"/>
                <w:sz w:val="22"/>
                <w:szCs w:val="22"/>
              </w:rPr>
              <w:lastRenderedPageBreak/>
              <w:fldChar w:fldCharType="begin">
                <w:ffData>
                  <w:name w:val="Text42"/>
                  <w:enabled/>
                  <w:calcOnExit w:val="0"/>
                  <w:textInput/>
                </w:ffData>
              </w:fldChar>
            </w:r>
            <w:bookmarkStart w:id="22" w:name="Text42"/>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Pr="007F7272">
              <w:rPr>
                <w:sz w:val="22"/>
                <w:szCs w:val="22"/>
              </w:rPr>
              <w:t>Extent to which human rights are institutionalized in the training curricula of the Judiciary Training Center (JTC) and Center for the Professional Training of Prosecutors (CPTP).</w:t>
            </w:r>
            <w:r w:rsidRPr="007F7272">
              <w:rPr>
                <w:sz w:val="22"/>
                <w:szCs w:val="22"/>
              </w:rPr>
              <w:fldChar w:fldCharType="end"/>
            </w:r>
            <w:bookmarkEnd w:id="22"/>
          </w:p>
          <w:p w:rsidR="00A24000" w:rsidRDefault="00A24000">
            <w:pPr>
              <w:jc w:val="both"/>
              <w:rPr>
                <w:rFonts w:ascii="Arial Narrow" w:hAnsi="Arial Narrow"/>
                <w:sz w:val="22"/>
                <w:szCs w:val="22"/>
              </w:rPr>
            </w:pPr>
          </w:p>
        </w:tc>
        <w:tc>
          <w:tcPr>
            <w:tcW w:w="4428" w:type="dxa"/>
            <w:tcBorders>
              <w:top w:val="single" w:sz="4" w:space="0" w:color="auto"/>
              <w:left w:val="single" w:sz="4" w:space="0" w:color="auto"/>
              <w:bottom w:val="single" w:sz="4" w:space="0" w:color="auto"/>
              <w:right w:val="single" w:sz="4" w:space="0" w:color="auto"/>
            </w:tcBorders>
          </w:tcPr>
          <w:p w:rsidR="00A24000" w:rsidRPr="007F7272" w:rsidRDefault="00422627">
            <w:pPr>
              <w:jc w:val="both"/>
              <w:rPr>
                <w:rFonts w:ascii="Arial Narrow" w:hAnsi="Arial Narrow"/>
                <w:sz w:val="22"/>
                <w:szCs w:val="22"/>
              </w:rPr>
            </w:pPr>
            <w:r w:rsidRPr="007F7272">
              <w:rPr>
                <w:rFonts w:ascii="Arial Narrow" w:hAnsi="Arial Narrow"/>
                <w:sz w:val="22"/>
                <w:szCs w:val="22"/>
              </w:rPr>
              <w:lastRenderedPageBreak/>
              <w:t xml:space="preserve">Baseline: </w:t>
            </w:r>
            <w:r w:rsidRPr="007F7272">
              <w:rPr>
                <w:rFonts w:ascii="Arial Narrow" w:hAnsi="Arial Narrow"/>
                <w:sz w:val="22"/>
                <w:szCs w:val="22"/>
              </w:rPr>
              <w:fldChar w:fldCharType="begin">
                <w:ffData>
                  <w:name w:val="Text43"/>
                  <w:enabled/>
                  <w:calcOnExit w:val="0"/>
                  <w:textInput/>
                </w:ffData>
              </w:fldChar>
            </w:r>
            <w:bookmarkStart w:id="23" w:name="Text43"/>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Pr="007F7272">
              <w:rPr>
                <w:sz w:val="22"/>
                <w:szCs w:val="22"/>
              </w:rPr>
              <w:t>TBA during baseline assessment study (index measuring compliance with international standards)</w:t>
            </w:r>
            <w:r w:rsidRPr="007F7272">
              <w:rPr>
                <w:sz w:val="22"/>
                <w:szCs w:val="22"/>
              </w:rPr>
              <w:fldChar w:fldCharType="end"/>
            </w:r>
            <w:bookmarkEnd w:id="23"/>
          </w:p>
          <w:p w:rsidR="00A24000" w:rsidRPr="007F7272" w:rsidRDefault="00422627">
            <w:pPr>
              <w:jc w:val="both"/>
              <w:rPr>
                <w:rFonts w:ascii="Arial Narrow" w:hAnsi="Arial Narrow"/>
                <w:sz w:val="22"/>
                <w:szCs w:val="22"/>
              </w:rPr>
            </w:pPr>
            <w:r w:rsidRPr="007F7272">
              <w:rPr>
                <w:rFonts w:ascii="Arial Narrow" w:hAnsi="Arial Narrow"/>
                <w:sz w:val="22"/>
                <w:szCs w:val="22"/>
              </w:rPr>
              <w:t xml:space="preserve">Target: </w:t>
            </w:r>
            <w:r w:rsidRPr="007F7272">
              <w:rPr>
                <w:rFonts w:ascii="Arial Narrow" w:hAnsi="Arial Narrow"/>
                <w:sz w:val="22"/>
                <w:szCs w:val="22"/>
              </w:rPr>
              <w:fldChar w:fldCharType="begin">
                <w:ffData>
                  <w:name w:val="Text43"/>
                  <w:enabled/>
                  <w:calcOnExit w:val="0"/>
                  <w:textInput/>
                </w:ffData>
              </w:fldChar>
            </w:r>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Pr="007F7272">
              <w:rPr>
                <w:sz w:val="22"/>
                <w:szCs w:val="22"/>
              </w:rPr>
              <w:t>50% (3) laws are in compliance with international standards</w:t>
            </w:r>
            <w:r w:rsidRPr="007F7272">
              <w:rPr>
                <w:rFonts w:ascii="Arial Narrow" w:hAnsi="Arial Narrow"/>
                <w:sz w:val="22"/>
                <w:szCs w:val="22"/>
              </w:rPr>
              <w:fldChar w:fldCharType="end"/>
            </w:r>
          </w:p>
          <w:p w:rsidR="00A24000" w:rsidRPr="007F7272" w:rsidRDefault="00422627">
            <w:pPr>
              <w:jc w:val="both"/>
              <w:rPr>
                <w:color w:val="000000"/>
                <w:sz w:val="22"/>
                <w:szCs w:val="22"/>
                <w:lang w:val="en-US"/>
              </w:rPr>
            </w:pPr>
            <w:r w:rsidRPr="007F7272">
              <w:rPr>
                <w:rFonts w:ascii="Arial Narrow" w:hAnsi="Arial Narrow"/>
                <w:sz w:val="22"/>
                <w:szCs w:val="22"/>
              </w:rPr>
              <w:t>Progress:</w:t>
            </w:r>
            <w:r w:rsidRPr="007F7272">
              <w:rPr>
                <w:sz w:val="22"/>
                <w:szCs w:val="22"/>
              </w:rPr>
              <w:fldChar w:fldCharType="begin">
                <w:ffData>
                  <w:name w:val=""/>
                  <w:enabled/>
                  <w:calcOnExit w:val="0"/>
                  <w:textInput/>
                </w:ffData>
              </w:fldChar>
            </w:r>
            <w:r w:rsidRPr="007F7272">
              <w:rPr>
                <w:sz w:val="22"/>
                <w:szCs w:val="22"/>
              </w:rPr>
              <w:instrText xml:space="preserve"> FORMTEXT </w:instrText>
            </w:r>
            <w:r w:rsidRPr="007F7272">
              <w:rPr>
                <w:sz w:val="22"/>
                <w:szCs w:val="22"/>
              </w:rPr>
            </w:r>
            <w:r w:rsidRPr="007F7272">
              <w:rPr>
                <w:sz w:val="22"/>
                <w:szCs w:val="22"/>
              </w:rPr>
              <w:fldChar w:fldCharType="separate"/>
            </w:r>
            <w:r w:rsidR="00080E92" w:rsidRPr="007F7272">
              <w:rPr>
                <w:sz w:val="22"/>
                <w:szCs w:val="22"/>
              </w:rPr>
              <w:t xml:space="preserve"> By October 2014, seven key draft laws, </w:t>
            </w:r>
            <w:r w:rsidR="00080E92" w:rsidRPr="007F7272">
              <w:rPr>
                <w:color w:val="000000"/>
                <w:sz w:val="22"/>
                <w:szCs w:val="22"/>
                <w:lang w:val="en-US"/>
              </w:rPr>
              <w:t>laws in the area of administration of justice, namely Criminal Code, Code on Misdemeanors, Criminal Procedure Code, Criminal Executive Code, Civil Procedure Code, Laws on enforcement proceedings and state guaranteed legal aid were finalized by the</w:t>
            </w:r>
            <w:r w:rsidR="00080E92" w:rsidRPr="007F7272">
              <w:rPr>
                <w:rStyle w:val="apple-converted-space"/>
                <w:color w:val="000000"/>
                <w:sz w:val="22"/>
                <w:szCs w:val="22"/>
                <w:lang w:val="en-US"/>
              </w:rPr>
              <w:t> </w:t>
            </w:r>
            <w:r w:rsidR="00080E92" w:rsidRPr="007F7272">
              <w:rPr>
                <w:i/>
                <w:iCs/>
                <w:color w:val="000000"/>
                <w:sz w:val="22"/>
                <w:szCs w:val="22"/>
                <w:lang w:val="en-US"/>
              </w:rPr>
              <w:t>Expert Working Groups</w:t>
            </w:r>
            <w:r w:rsidR="00080E92" w:rsidRPr="007F7272">
              <w:rPr>
                <w:rStyle w:val="apple-converted-space"/>
                <w:i/>
                <w:iCs/>
                <w:color w:val="000000"/>
                <w:sz w:val="22"/>
                <w:szCs w:val="22"/>
                <w:lang w:val="en-US"/>
              </w:rPr>
              <w:t> </w:t>
            </w:r>
            <w:r w:rsidR="00080E92" w:rsidRPr="007F7272">
              <w:rPr>
                <w:color w:val="000000"/>
                <w:sz w:val="22"/>
                <w:szCs w:val="22"/>
                <w:lang w:val="en-US"/>
              </w:rPr>
              <w:t>and submitted to the</w:t>
            </w:r>
            <w:r w:rsidR="00080E92" w:rsidRPr="007F7272">
              <w:rPr>
                <w:rStyle w:val="apple-converted-space"/>
                <w:color w:val="000000"/>
                <w:sz w:val="22"/>
                <w:szCs w:val="22"/>
                <w:lang w:val="en-US"/>
              </w:rPr>
              <w:t> </w:t>
            </w:r>
            <w:r w:rsidR="00080E92" w:rsidRPr="007F7272">
              <w:rPr>
                <w:i/>
                <w:iCs/>
                <w:color w:val="000000"/>
                <w:sz w:val="22"/>
                <w:szCs w:val="22"/>
                <w:lang w:val="en-US"/>
              </w:rPr>
              <w:t>Council for Judicial Reform</w:t>
            </w:r>
            <w:r w:rsidR="00080E92" w:rsidRPr="007F7272">
              <w:rPr>
                <w:rStyle w:val="apple-converted-space"/>
                <w:color w:val="000000"/>
                <w:sz w:val="22"/>
                <w:szCs w:val="22"/>
                <w:lang w:val="en-US"/>
              </w:rPr>
              <w:t> </w:t>
            </w:r>
            <w:r w:rsidR="00080E92" w:rsidRPr="007F7272">
              <w:rPr>
                <w:color w:val="000000"/>
                <w:sz w:val="22"/>
                <w:szCs w:val="22"/>
                <w:lang w:val="en-US"/>
              </w:rPr>
              <w:t xml:space="preserve">under the President of Kyrgyzstan. </w:t>
            </w:r>
          </w:p>
          <w:p w:rsidR="00080E92" w:rsidRPr="007F7272" w:rsidRDefault="007E210F">
            <w:pPr>
              <w:jc w:val="both"/>
              <w:rPr>
                <w:sz w:val="22"/>
                <w:szCs w:val="22"/>
              </w:rPr>
            </w:pPr>
            <w:r w:rsidRPr="007F7272">
              <w:rPr>
                <w:sz w:val="22"/>
                <w:szCs w:val="22"/>
              </w:rPr>
              <w:t>As a result o</w:t>
            </w:r>
            <w:r w:rsidR="00135F5A">
              <w:rPr>
                <w:sz w:val="22"/>
                <w:szCs w:val="22"/>
              </w:rPr>
              <w:t>f support provided by OHCHR ROCA</w:t>
            </w:r>
            <w:r w:rsidRPr="007F7272">
              <w:rPr>
                <w:sz w:val="22"/>
                <w:szCs w:val="22"/>
              </w:rPr>
              <w:t xml:space="preserve">, UNDP, UNODC and other organizations to the </w:t>
            </w:r>
            <w:r w:rsidRPr="007F7272">
              <w:rPr>
                <w:i/>
                <w:sz w:val="22"/>
                <w:szCs w:val="22"/>
              </w:rPr>
              <w:t xml:space="preserve">Expert Working Groups </w:t>
            </w:r>
            <w:r w:rsidRPr="007F7272">
              <w:rPr>
                <w:sz w:val="22"/>
                <w:szCs w:val="22"/>
              </w:rPr>
              <w:t xml:space="preserve">and the </w:t>
            </w:r>
            <w:r w:rsidRPr="007F7272">
              <w:rPr>
                <w:i/>
                <w:sz w:val="22"/>
                <w:szCs w:val="22"/>
              </w:rPr>
              <w:t xml:space="preserve">Secretariat of the Council for Judicial Reform, </w:t>
            </w:r>
            <w:r w:rsidRPr="007F7272">
              <w:rPr>
                <w:sz w:val="22"/>
                <w:szCs w:val="22"/>
              </w:rPr>
              <w:t>the compliance of the draft laws with international human rights standards has increased.</w:t>
            </w:r>
          </w:p>
          <w:p w:rsidR="0077332E" w:rsidRPr="007F7272" w:rsidRDefault="00422627" w:rsidP="007E210F">
            <w:pPr>
              <w:jc w:val="both"/>
              <w:rPr>
                <w:sz w:val="22"/>
                <w:szCs w:val="22"/>
              </w:rPr>
            </w:pPr>
            <w:r w:rsidRPr="007F7272">
              <w:rPr>
                <w:sz w:val="22"/>
                <w:szCs w:val="22"/>
              </w:rPr>
              <w:fldChar w:fldCharType="end"/>
            </w:r>
          </w:p>
          <w:p w:rsidR="00A24000" w:rsidRPr="007F7272" w:rsidRDefault="00422627" w:rsidP="007E210F">
            <w:pPr>
              <w:jc w:val="both"/>
              <w:rPr>
                <w:rFonts w:ascii="Arial Narrow" w:hAnsi="Arial Narrow"/>
                <w:sz w:val="22"/>
                <w:szCs w:val="22"/>
              </w:rPr>
            </w:pPr>
            <w:r w:rsidRPr="007F7272">
              <w:rPr>
                <w:rFonts w:ascii="Arial Narrow" w:hAnsi="Arial Narrow"/>
                <w:sz w:val="22"/>
                <w:szCs w:val="22"/>
              </w:rPr>
              <w:t xml:space="preserve">Baseline: </w:t>
            </w:r>
            <w:r w:rsidRPr="007F7272">
              <w:rPr>
                <w:rFonts w:ascii="Arial Narrow" w:hAnsi="Arial Narrow"/>
                <w:sz w:val="22"/>
                <w:szCs w:val="22"/>
              </w:rPr>
              <w:fldChar w:fldCharType="begin">
                <w:ffData>
                  <w:name w:val="Text43"/>
                  <w:enabled/>
                  <w:calcOnExit w:val="0"/>
                  <w:textInput/>
                </w:ffData>
              </w:fldChar>
            </w:r>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Pr="007F7272">
              <w:rPr>
                <w:sz w:val="22"/>
                <w:szCs w:val="22"/>
              </w:rPr>
              <w:t>No such resolution has thus far been adopted by the Supreme Court on criminal cases.</w:t>
            </w:r>
            <w:r w:rsidRPr="007F7272">
              <w:rPr>
                <w:rFonts w:ascii="Arial Narrow" w:hAnsi="Arial Narrow"/>
                <w:sz w:val="22"/>
                <w:szCs w:val="22"/>
              </w:rPr>
              <w:fldChar w:fldCharType="end"/>
            </w:r>
          </w:p>
          <w:p w:rsidR="00A24000" w:rsidRPr="007F7272" w:rsidRDefault="00422627">
            <w:pPr>
              <w:jc w:val="both"/>
              <w:rPr>
                <w:rFonts w:ascii="Arial Narrow" w:hAnsi="Arial Narrow"/>
                <w:sz w:val="22"/>
                <w:szCs w:val="22"/>
              </w:rPr>
            </w:pPr>
            <w:r w:rsidRPr="007F7272">
              <w:rPr>
                <w:rFonts w:ascii="Arial Narrow" w:hAnsi="Arial Narrow"/>
                <w:sz w:val="22"/>
                <w:szCs w:val="22"/>
              </w:rPr>
              <w:t xml:space="preserve">Target: </w:t>
            </w:r>
            <w:r w:rsidRPr="007F7272">
              <w:rPr>
                <w:rFonts w:ascii="Arial Narrow" w:hAnsi="Arial Narrow"/>
                <w:sz w:val="22"/>
                <w:szCs w:val="22"/>
              </w:rPr>
              <w:fldChar w:fldCharType="begin">
                <w:ffData>
                  <w:name w:val="Text43"/>
                  <w:enabled/>
                  <w:calcOnExit w:val="0"/>
                  <w:textInput/>
                </w:ffData>
              </w:fldChar>
            </w:r>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Pr="007F7272">
              <w:rPr>
                <w:sz w:val="22"/>
                <w:szCs w:val="22"/>
              </w:rPr>
              <w:t>One such resolution adopted by the Supreme Court by June 2016.</w:t>
            </w:r>
            <w:r w:rsidRPr="007F7272">
              <w:rPr>
                <w:rFonts w:ascii="Arial Narrow" w:hAnsi="Arial Narrow"/>
                <w:sz w:val="22"/>
                <w:szCs w:val="22"/>
              </w:rPr>
              <w:fldChar w:fldCharType="end"/>
            </w:r>
          </w:p>
          <w:p w:rsidR="00A24000" w:rsidRPr="007F7272" w:rsidRDefault="00422627">
            <w:pPr>
              <w:jc w:val="both"/>
              <w:rPr>
                <w:rFonts w:ascii="Arial Narrow" w:hAnsi="Arial Narrow"/>
                <w:sz w:val="22"/>
                <w:szCs w:val="22"/>
              </w:rPr>
            </w:pPr>
            <w:r w:rsidRPr="007F7272">
              <w:rPr>
                <w:rFonts w:ascii="Arial Narrow" w:hAnsi="Arial Narrow"/>
                <w:sz w:val="22"/>
                <w:szCs w:val="22"/>
              </w:rPr>
              <w:t>Progress:</w:t>
            </w:r>
            <w:r w:rsidRPr="007F7272">
              <w:rPr>
                <w:sz w:val="22"/>
                <w:szCs w:val="22"/>
              </w:rPr>
              <w:fldChar w:fldCharType="begin">
                <w:ffData>
                  <w:name w:val=""/>
                  <w:enabled/>
                  <w:calcOnExit w:val="0"/>
                  <w:textInput/>
                </w:ffData>
              </w:fldChar>
            </w:r>
            <w:r w:rsidRPr="007F7272">
              <w:rPr>
                <w:sz w:val="22"/>
                <w:szCs w:val="22"/>
              </w:rPr>
              <w:instrText xml:space="preserve"> FORMTEXT </w:instrText>
            </w:r>
            <w:r w:rsidRPr="007F7272">
              <w:rPr>
                <w:sz w:val="22"/>
                <w:szCs w:val="22"/>
              </w:rPr>
            </w:r>
            <w:r w:rsidRPr="007F7272">
              <w:rPr>
                <w:sz w:val="22"/>
                <w:szCs w:val="22"/>
              </w:rPr>
              <w:fldChar w:fldCharType="separate"/>
            </w:r>
            <w:r w:rsidR="000C1B5F">
              <w:rPr>
                <w:sz w:val="22"/>
                <w:szCs w:val="22"/>
              </w:rPr>
              <w:t>A</w:t>
            </w:r>
            <w:r w:rsidR="007E210F" w:rsidRPr="007F7272">
              <w:rPr>
                <w:sz w:val="22"/>
                <w:szCs w:val="22"/>
              </w:rPr>
              <w:t xml:space="preserve">ctivities </w:t>
            </w:r>
            <w:r w:rsidR="000C1B5F">
              <w:rPr>
                <w:sz w:val="22"/>
                <w:szCs w:val="22"/>
              </w:rPr>
              <w:t>a</w:t>
            </w:r>
            <w:r w:rsidR="00CF67AB">
              <w:rPr>
                <w:sz w:val="22"/>
                <w:szCs w:val="22"/>
              </w:rPr>
              <w:t xml:space="preserve">re </w:t>
            </w:r>
            <w:r w:rsidR="007E210F" w:rsidRPr="007F7272">
              <w:rPr>
                <w:sz w:val="22"/>
                <w:szCs w:val="22"/>
              </w:rPr>
              <w:t>scheduled to take place in 2015-2016</w:t>
            </w:r>
            <w:r w:rsidR="000C1B5F">
              <w:rPr>
                <w:sz w:val="22"/>
                <w:szCs w:val="22"/>
              </w:rPr>
              <w:t>.</w:t>
            </w:r>
            <w:r w:rsidRPr="007F7272">
              <w:rPr>
                <w:sz w:val="22"/>
                <w:szCs w:val="22"/>
              </w:rPr>
              <w:t> </w:t>
            </w:r>
            <w:r w:rsidRPr="007F7272">
              <w:rPr>
                <w:sz w:val="22"/>
                <w:szCs w:val="22"/>
              </w:rPr>
              <w:fldChar w:fldCharType="end"/>
            </w:r>
          </w:p>
          <w:p w:rsidR="00A24000" w:rsidRPr="007F7272" w:rsidRDefault="00422627">
            <w:pPr>
              <w:jc w:val="both"/>
              <w:rPr>
                <w:rFonts w:ascii="Arial Narrow" w:hAnsi="Arial Narrow"/>
                <w:sz w:val="22"/>
                <w:szCs w:val="22"/>
              </w:rPr>
            </w:pPr>
            <w:r w:rsidRPr="007F7272">
              <w:rPr>
                <w:rFonts w:ascii="Arial Narrow" w:hAnsi="Arial Narrow"/>
                <w:sz w:val="22"/>
                <w:szCs w:val="22"/>
              </w:rPr>
              <w:lastRenderedPageBreak/>
              <w:t xml:space="preserve">Baseline: </w:t>
            </w:r>
            <w:r w:rsidRPr="007F7272">
              <w:rPr>
                <w:rFonts w:ascii="Arial Narrow" w:hAnsi="Arial Narrow"/>
                <w:sz w:val="22"/>
                <w:szCs w:val="22"/>
              </w:rPr>
              <w:fldChar w:fldCharType="begin">
                <w:ffData>
                  <w:name w:val="Text43"/>
                  <w:enabled/>
                  <w:calcOnExit w:val="0"/>
                  <w:textInput/>
                </w:ffData>
              </w:fldChar>
            </w:r>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Pr="007F7272">
              <w:rPr>
                <w:sz w:val="22"/>
                <w:szCs w:val="22"/>
              </w:rPr>
              <w:t xml:space="preserve">The training curricula do not currently include human rights </w:t>
            </w:r>
            <w:r w:rsidR="000C1B5F">
              <w:rPr>
                <w:sz w:val="22"/>
                <w:szCs w:val="22"/>
              </w:rPr>
              <w:t xml:space="preserve">standards </w:t>
            </w:r>
            <w:r w:rsidRPr="007F7272">
              <w:rPr>
                <w:sz w:val="22"/>
                <w:szCs w:val="22"/>
              </w:rPr>
              <w:t>and will have to be updated in line with the new legislation.</w:t>
            </w:r>
            <w:r w:rsidRPr="007F7272">
              <w:rPr>
                <w:rFonts w:ascii="Arial Narrow" w:hAnsi="Arial Narrow"/>
                <w:sz w:val="22"/>
                <w:szCs w:val="22"/>
              </w:rPr>
              <w:fldChar w:fldCharType="end"/>
            </w:r>
          </w:p>
          <w:p w:rsidR="00A24000" w:rsidRPr="007F7272" w:rsidRDefault="00422627">
            <w:pPr>
              <w:jc w:val="both"/>
              <w:rPr>
                <w:rFonts w:ascii="Arial Narrow" w:hAnsi="Arial Narrow"/>
                <w:sz w:val="22"/>
                <w:szCs w:val="22"/>
              </w:rPr>
            </w:pPr>
            <w:r w:rsidRPr="007F7272">
              <w:rPr>
                <w:rFonts w:ascii="Arial Narrow" w:hAnsi="Arial Narrow"/>
                <w:sz w:val="22"/>
                <w:szCs w:val="22"/>
              </w:rPr>
              <w:t xml:space="preserve">Target: </w:t>
            </w:r>
            <w:r w:rsidRPr="007F7272">
              <w:rPr>
                <w:rFonts w:ascii="Arial Narrow" w:hAnsi="Arial Narrow"/>
                <w:sz w:val="22"/>
                <w:szCs w:val="22"/>
              </w:rPr>
              <w:fldChar w:fldCharType="begin">
                <w:ffData>
                  <w:name w:val="Text43"/>
                  <w:enabled/>
                  <w:calcOnExit w:val="0"/>
                  <w:textInput/>
                </w:ffData>
              </w:fldChar>
            </w:r>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Pr="007F7272">
              <w:rPr>
                <w:sz w:val="22"/>
                <w:szCs w:val="22"/>
              </w:rPr>
              <w:t xml:space="preserve">The training curricula will have to be updated </w:t>
            </w:r>
            <w:r w:rsidR="000C1B5F">
              <w:rPr>
                <w:sz w:val="22"/>
                <w:szCs w:val="22"/>
              </w:rPr>
              <w:t>in line with the new legislation and will have to include human rights standards</w:t>
            </w:r>
            <w:r w:rsidRPr="007F7272">
              <w:rPr>
                <w:sz w:val="22"/>
                <w:szCs w:val="22"/>
              </w:rPr>
              <w:t>.</w:t>
            </w:r>
            <w:r w:rsidRPr="007F7272">
              <w:rPr>
                <w:rFonts w:ascii="Arial Narrow" w:hAnsi="Arial Narrow"/>
                <w:sz w:val="22"/>
                <w:szCs w:val="22"/>
              </w:rPr>
              <w:fldChar w:fldCharType="end"/>
            </w:r>
          </w:p>
          <w:p w:rsidR="00A24000" w:rsidRPr="007F7272" w:rsidRDefault="00422627" w:rsidP="000C1B5F">
            <w:pPr>
              <w:jc w:val="both"/>
              <w:rPr>
                <w:rFonts w:ascii="Arial Narrow" w:hAnsi="Arial Narrow"/>
                <w:sz w:val="22"/>
                <w:szCs w:val="22"/>
              </w:rPr>
            </w:pPr>
            <w:r w:rsidRPr="007F7272">
              <w:rPr>
                <w:rFonts w:ascii="Arial Narrow" w:hAnsi="Arial Narrow"/>
                <w:sz w:val="22"/>
                <w:szCs w:val="22"/>
              </w:rPr>
              <w:t>Progress:</w:t>
            </w:r>
            <w:r w:rsidRPr="007F7272">
              <w:rPr>
                <w:rFonts w:ascii="Arial Narrow" w:hAnsi="Arial Narrow"/>
                <w:sz w:val="22"/>
                <w:szCs w:val="22"/>
              </w:rPr>
              <w:fldChar w:fldCharType="begin">
                <w:ffData>
                  <w:name w:val="Text43"/>
                  <w:enabled/>
                  <w:calcOnExit w:val="0"/>
                  <w:textInput/>
                </w:ffData>
              </w:fldChar>
            </w:r>
            <w:r w:rsidRPr="007F7272">
              <w:rPr>
                <w:rFonts w:ascii="Arial Narrow" w:hAnsi="Arial Narrow"/>
                <w:sz w:val="22"/>
                <w:szCs w:val="22"/>
              </w:rPr>
              <w:instrText xml:space="preserve"> FORMTEXT </w:instrText>
            </w:r>
            <w:r w:rsidRPr="007F7272">
              <w:rPr>
                <w:rFonts w:ascii="Arial Narrow" w:hAnsi="Arial Narrow"/>
                <w:sz w:val="22"/>
                <w:szCs w:val="22"/>
              </w:rPr>
            </w:r>
            <w:r w:rsidRPr="007F7272">
              <w:rPr>
                <w:rFonts w:ascii="Arial Narrow" w:hAnsi="Arial Narrow"/>
                <w:sz w:val="22"/>
                <w:szCs w:val="22"/>
              </w:rPr>
              <w:fldChar w:fldCharType="separate"/>
            </w:r>
            <w:r w:rsidR="007E210F" w:rsidRPr="007F7272">
              <w:rPr>
                <w:sz w:val="22"/>
                <w:szCs w:val="22"/>
              </w:rPr>
              <w:t xml:space="preserve"> </w:t>
            </w:r>
            <w:r w:rsidR="007E210F" w:rsidRPr="007F7272">
              <w:rPr>
                <w:sz w:val="22"/>
                <w:szCs w:val="22"/>
              </w:rPr>
              <w:fldChar w:fldCharType="begin">
                <w:ffData>
                  <w:name w:val="Text43"/>
                  <w:enabled/>
                  <w:calcOnExit w:val="0"/>
                  <w:textInput/>
                </w:ffData>
              </w:fldChar>
            </w:r>
            <w:r w:rsidR="007E210F" w:rsidRPr="007F7272">
              <w:rPr>
                <w:sz w:val="22"/>
                <w:szCs w:val="22"/>
              </w:rPr>
              <w:instrText xml:space="preserve"> FORMTEXT </w:instrText>
            </w:r>
            <w:r w:rsidR="007E210F" w:rsidRPr="007F7272">
              <w:rPr>
                <w:sz w:val="22"/>
                <w:szCs w:val="22"/>
              </w:rPr>
            </w:r>
            <w:r w:rsidR="007E210F" w:rsidRPr="007F7272">
              <w:rPr>
                <w:sz w:val="22"/>
                <w:szCs w:val="22"/>
              </w:rPr>
              <w:fldChar w:fldCharType="separate"/>
            </w:r>
            <w:r w:rsidR="000C1B5F">
              <w:rPr>
                <w:sz w:val="22"/>
                <w:szCs w:val="22"/>
              </w:rPr>
              <w:t>A</w:t>
            </w:r>
            <w:r w:rsidR="007E210F" w:rsidRPr="007F7272">
              <w:rPr>
                <w:sz w:val="22"/>
                <w:szCs w:val="22"/>
              </w:rPr>
              <w:t xml:space="preserve">ctivities </w:t>
            </w:r>
            <w:r w:rsidR="000C1B5F">
              <w:rPr>
                <w:sz w:val="22"/>
                <w:szCs w:val="22"/>
              </w:rPr>
              <w:t>are</w:t>
            </w:r>
            <w:r w:rsidR="00CF67AB">
              <w:rPr>
                <w:sz w:val="22"/>
                <w:szCs w:val="22"/>
              </w:rPr>
              <w:t xml:space="preserve"> </w:t>
            </w:r>
            <w:r w:rsidR="007E210F" w:rsidRPr="007F7272">
              <w:rPr>
                <w:sz w:val="22"/>
                <w:szCs w:val="22"/>
              </w:rPr>
              <w:t>scheduled to take place in 2015-2016</w:t>
            </w:r>
            <w:r w:rsidR="000C1B5F">
              <w:rPr>
                <w:sz w:val="22"/>
                <w:szCs w:val="22"/>
              </w:rPr>
              <w:t>.</w:t>
            </w:r>
            <w:r w:rsidR="007E210F" w:rsidRPr="007F7272">
              <w:rPr>
                <w:sz w:val="22"/>
                <w:szCs w:val="22"/>
              </w:rPr>
              <w:t> </w:t>
            </w:r>
            <w:r w:rsidR="007E210F" w:rsidRPr="007F7272">
              <w:rPr>
                <w:sz w:val="22"/>
                <w:szCs w:val="22"/>
              </w:rPr>
              <w:fldChar w:fldCharType="end"/>
            </w:r>
            <w:r w:rsidRPr="007F7272">
              <w:rPr>
                <w:rFonts w:ascii="Arial Narrow" w:hAnsi="Arial Narrow"/>
                <w:noProof/>
                <w:sz w:val="22"/>
                <w:szCs w:val="22"/>
              </w:rPr>
              <w:t> </w:t>
            </w:r>
            <w:r w:rsidRPr="007F7272">
              <w:rPr>
                <w:rFonts w:ascii="Arial Narrow" w:hAnsi="Arial Narrow"/>
                <w:sz w:val="22"/>
                <w:szCs w:val="22"/>
              </w:rPr>
              <w:fldChar w:fldCharType="end"/>
            </w:r>
          </w:p>
        </w:tc>
      </w:tr>
    </w:tbl>
    <w:p w:rsidR="00A24000" w:rsidRDefault="00A24000">
      <w:pPr>
        <w:jc w:val="both"/>
        <w:rPr>
          <w:rFonts w:ascii="Arial Narrow" w:hAnsi="Arial Narrow"/>
          <w:b/>
          <w:sz w:val="22"/>
          <w:szCs w:val="22"/>
        </w:rPr>
      </w:pPr>
    </w:p>
    <w:p w:rsidR="00A24000" w:rsidRPr="0077332E" w:rsidRDefault="00422627">
      <w:pPr>
        <w:jc w:val="both"/>
        <w:rPr>
          <w:b/>
          <w:i/>
          <w:sz w:val="22"/>
          <w:szCs w:val="22"/>
        </w:rPr>
      </w:pPr>
      <w:r w:rsidRPr="0077332E">
        <w:rPr>
          <w:b/>
          <w:i/>
          <w:sz w:val="22"/>
          <w:szCs w:val="22"/>
        </w:rPr>
        <w:t>Output progress</w:t>
      </w:r>
    </w:p>
    <w:p w:rsidR="00A24000" w:rsidRPr="0077332E" w:rsidRDefault="00422627">
      <w:pPr>
        <w:rPr>
          <w:i/>
          <w:sz w:val="22"/>
          <w:szCs w:val="22"/>
        </w:rPr>
      </w:pPr>
      <w:r w:rsidRPr="0077332E">
        <w:rPr>
          <w:i/>
          <w:sz w:val="22"/>
          <w:szCs w:val="22"/>
        </w:rPr>
        <w:t>List the key outputs achieved under this Outcome in the reporting period (1000 character limit).Outputs are the immediate deliverables for a project.</w:t>
      </w:r>
    </w:p>
    <w:p w:rsidR="00EA6F0C" w:rsidRDefault="00135F5A" w:rsidP="00135F5A">
      <w:pPr>
        <w:jc w:val="both"/>
        <w:rPr>
          <w:color w:val="000000"/>
          <w:sz w:val="22"/>
          <w:szCs w:val="22"/>
          <w:lang w:val="en-US"/>
        </w:rPr>
      </w:pPr>
      <w:r w:rsidRPr="00FE6F8E">
        <w:rPr>
          <w:rFonts w:ascii="Arial Narrow" w:hAnsi="Arial Narrow"/>
          <w:sz w:val="22"/>
          <w:szCs w:val="22"/>
        </w:rPr>
        <w:fldChar w:fldCharType="begin">
          <w:ffData>
            <w:name w:val="Text34"/>
            <w:enabled/>
            <w:calcOnExit w:val="0"/>
            <w:textInput>
              <w:maxLength w:val="1000"/>
              <w:format w:val="Первая прописная"/>
            </w:textInput>
          </w:ffData>
        </w:fldChar>
      </w:r>
      <w:bookmarkStart w:id="24" w:name="Text34"/>
      <w:r w:rsidRPr="00FE6F8E">
        <w:rPr>
          <w:rFonts w:ascii="Arial Narrow" w:hAnsi="Arial Narrow"/>
          <w:sz w:val="22"/>
          <w:szCs w:val="22"/>
        </w:rPr>
        <w:instrText xml:space="preserve"> FORMTEXT </w:instrText>
      </w:r>
      <w:r w:rsidRPr="00FE6F8E">
        <w:rPr>
          <w:rFonts w:ascii="Arial Narrow" w:hAnsi="Arial Narrow"/>
          <w:sz w:val="22"/>
          <w:szCs w:val="22"/>
        </w:rPr>
      </w:r>
      <w:r w:rsidRPr="00FE6F8E">
        <w:rPr>
          <w:rFonts w:ascii="Arial Narrow" w:hAnsi="Arial Narrow"/>
          <w:sz w:val="22"/>
          <w:szCs w:val="22"/>
        </w:rPr>
        <w:fldChar w:fldCharType="separate"/>
      </w:r>
      <w:r w:rsidR="00EA6F0C">
        <w:rPr>
          <w:color w:val="000000"/>
          <w:sz w:val="22"/>
          <w:szCs w:val="22"/>
          <w:lang w:val="en-US"/>
        </w:rPr>
        <w:t xml:space="preserve">ROCA supported the overall drafting process of </w:t>
      </w:r>
      <w:r w:rsidR="0099221F">
        <w:rPr>
          <w:color w:val="000000"/>
          <w:sz w:val="22"/>
          <w:szCs w:val="22"/>
          <w:lang w:val="en-US"/>
        </w:rPr>
        <w:t>all</w:t>
      </w:r>
      <w:r w:rsidR="00EA6F0C">
        <w:rPr>
          <w:color w:val="000000"/>
          <w:sz w:val="22"/>
          <w:szCs w:val="22"/>
          <w:lang w:val="en-US"/>
        </w:rPr>
        <w:t xml:space="preserve"> key laws relat</w:t>
      </w:r>
      <w:r w:rsidR="0099221F">
        <w:rPr>
          <w:color w:val="000000"/>
          <w:sz w:val="22"/>
          <w:szCs w:val="22"/>
          <w:lang w:val="en-US"/>
        </w:rPr>
        <w:t>ed</w:t>
      </w:r>
      <w:r w:rsidR="00EA6F0C">
        <w:rPr>
          <w:color w:val="000000"/>
          <w:sz w:val="22"/>
          <w:szCs w:val="22"/>
          <w:lang w:val="en-US"/>
        </w:rPr>
        <w:t xml:space="preserve"> to the</w:t>
      </w:r>
      <w:r w:rsidR="006C34B0">
        <w:rPr>
          <w:color w:val="000000"/>
          <w:sz w:val="22"/>
          <w:szCs w:val="22"/>
          <w:lang w:val="en-US"/>
        </w:rPr>
        <w:t xml:space="preserve"> administration of justice, with</w:t>
      </w:r>
      <w:r w:rsidR="00EA6F0C">
        <w:rPr>
          <w:color w:val="000000"/>
          <w:sz w:val="22"/>
          <w:szCs w:val="22"/>
          <w:lang w:val="en-US"/>
        </w:rPr>
        <w:t xml:space="preserve"> a specific focus on the </w:t>
      </w:r>
      <w:r w:rsidR="0099221F">
        <w:rPr>
          <w:color w:val="000000"/>
          <w:sz w:val="22"/>
          <w:szCs w:val="22"/>
          <w:lang w:val="en-US"/>
        </w:rPr>
        <w:t xml:space="preserve">drafting process of the </w:t>
      </w:r>
      <w:r w:rsidR="00EA6F0C">
        <w:rPr>
          <w:color w:val="000000"/>
          <w:sz w:val="22"/>
          <w:szCs w:val="22"/>
          <w:lang w:val="en-US"/>
        </w:rPr>
        <w:t>Criminal Procedure Code</w:t>
      </w:r>
      <w:r w:rsidR="0053238C">
        <w:rPr>
          <w:color w:val="000000"/>
          <w:sz w:val="22"/>
          <w:szCs w:val="22"/>
          <w:lang w:val="en-US"/>
        </w:rPr>
        <w:t xml:space="preserve"> (CPC)</w:t>
      </w:r>
      <w:r w:rsidR="00EA6F0C">
        <w:rPr>
          <w:color w:val="000000"/>
          <w:sz w:val="22"/>
          <w:szCs w:val="22"/>
          <w:lang w:val="en-US"/>
        </w:rPr>
        <w:t xml:space="preserve">, based on an </w:t>
      </w:r>
      <w:r w:rsidR="00E76452">
        <w:rPr>
          <w:color w:val="000000"/>
          <w:sz w:val="22"/>
          <w:szCs w:val="22"/>
          <w:lang w:val="en-US"/>
        </w:rPr>
        <w:t>agreement among various donors.</w:t>
      </w:r>
    </w:p>
    <w:p w:rsidR="00EA6F0C" w:rsidRDefault="00EA6F0C" w:rsidP="00135F5A">
      <w:pPr>
        <w:jc w:val="both"/>
        <w:rPr>
          <w:color w:val="000000"/>
          <w:sz w:val="22"/>
          <w:szCs w:val="22"/>
          <w:lang w:val="en-US"/>
        </w:rPr>
      </w:pPr>
    </w:p>
    <w:p w:rsidR="00135F5A" w:rsidRPr="00FE6F8E" w:rsidRDefault="00EA6F0C" w:rsidP="00135F5A">
      <w:pPr>
        <w:jc w:val="both"/>
        <w:rPr>
          <w:color w:val="000000"/>
          <w:sz w:val="22"/>
          <w:szCs w:val="22"/>
          <w:lang w:val="en-US"/>
        </w:rPr>
      </w:pPr>
      <w:r>
        <w:rPr>
          <w:color w:val="000000"/>
          <w:sz w:val="22"/>
          <w:szCs w:val="22"/>
          <w:lang w:val="en-US"/>
        </w:rPr>
        <w:t>T</w:t>
      </w:r>
      <w:r w:rsidR="00135F5A" w:rsidRPr="00FE6F8E">
        <w:rPr>
          <w:color w:val="000000"/>
          <w:sz w:val="22"/>
          <w:szCs w:val="22"/>
          <w:lang w:val="en-US"/>
        </w:rPr>
        <w:t>he Expert Working Group</w:t>
      </w:r>
      <w:r w:rsidR="00525A8F">
        <w:rPr>
          <w:color w:val="000000"/>
          <w:sz w:val="22"/>
          <w:szCs w:val="22"/>
          <w:lang w:val="en-US"/>
        </w:rPr>
        <w:t xml:space="preserve"> (EWG)</w:t>
      </w:r>
      <w:r w:rsidR="00135F5A" w:rsidRPr="00FE6F8E">
        <w:rPr>
          <w:color w:val="000000"/>
          <w:sz w:val="22"/>
          <w:szCs w:val="22"/>
          <w:lang w:val="en-US"/>
        </w:rPr>
        <w:t xml:space="preserve"> in charge of drafting the </w:t>
      </w:r>
      <w:r w:rsidR="0053238C">
        <w:rPr>
          <w:color w:val="000000"/>
          <w:sz w:val="22"/>
          <w:szCs w:val="22"/>
          <w:lang w:val="en-US"/>
        </w:rPr>
        <w:t>CPC</w:t>
      </w:r>
      <w:r w:rsidR="00B97B32">
        <w:rPr>
          <w:color w:val="000000"/>
          <w:sz w:val="22"/>
          <w:szCs w:val="22"/>
          <w:lang w:val="en-US"/>
        </w:rPr>
        <w:t xml:space="preserve"> </w:t>
      </w:r>
      <w:r w:rsidR="00135F5A" w:rsidRPr="00FE6F8E">
        <w:rPr>
          <w:color w:val="000000"/>
          <w:sz w:val="22"/>
          <w:szCs w:val="22"/>
          <w:lang w:val="en-US"/>
        </w:rPr>
        <w:t>discuss</w:t>
      </w:r>
      <w:r w:rsidR="00E76452">
        <w:rPr>
          <w:color w:val="000000"/>
          <w:sz w:val="22"/>
          <w:szCs w:val="22"/>
          <w:lang w:val="en-US"/>
        </w:rPr>
        <w:t>ed</w:t>
      </w:r>
      <w:r w:rsidR="00135F5A" w:rsidRPr="00FE6F8E">
        <w:rPr>
          <w:color w:val="000000"/>
          <w:sz w:val="22"/>
          <w:szCs w:val="22"/>
          <w:lang w:val="en-US"/>
        </w:rPr>
        <w:t xml:space="preserve"> challenging provisions of the draft C</w:t>
      </w:r>
      <w:r w:rsidR="00E76452">
        <w:rPr>
          <w:color w:val="000000"/>
          <w:sz w:val="22"/>
          <w:szCs w:val="22"/>
          <w:lang w:val="en-US"/>
        </w:rPr>
        <w:t>PC,</w:t>
      </w:r>
      <w:r w:rsidR="00135F5A" w:rsidRPr="00FE6F8E">
        <w:rPr>
          <w:color w:val="000000"/>
          <w:sz w:val="22"/>
          <w:szCs w:val="22"/>
          <w:lang w:val="en-US"/>
        </w:rPr>
        <w:t xml:space="preserve"> </w:t>
      </w:r>
      <w:r w:rsidR="00E76452">
        <w:rPr>
          <w:color w:val="000000"/>
          <w:sz w:val="22"/>
          <w:szCs w:val="22"/>
          <w:lang w:val="en-US"/>
        </w:rPr>
        <w:t>to</w:t>
      </w:r>
      <w:r w:rsidR="00135F5A" w:rsidRPr="00FE6F8E">
        <w:rPr>
          <w:color w:val="000000"/>
          <w:sz w:val="22"/>
          <w:szCs w:val="22"/>
          <w:lang w:val="en-US"/>
        </w:rPr>
        <w:t xml:space="preserve"> bring </w:t>
      </w:r>
      <w:r w:rsidR="00B97B32">
        <w:rPr>
          <w:color w:val="000000"/>
          <w:sz w:val="22"/>
          <w:szCs w:val="22"/>
          <w:lang w:val="en-US"/>
        </w:rPr>
        <w:t>them</w:t>
      </w:r>
      <w:r w:rsidR="00135F5A" w:rsidRPr="00FE6F8E">
        <w:rPr>
          <w:color w:val="000000"/>
          <w:sz w:val="22"/>
          <w:szCs w:val="22"/>
          <w:lang w:val="en-US"/>
        </w:rPr>
        <w:t xml:space="preserve"> in compliance with international human rights standards</w:t>
      </w:r>
      <w:r w:rsidR="006C34B0">
        <w:rPr>
          <w:color w:val="000000"/>
          <w:sz w:val="22"/>
          <w:szCs w:val="22"/>
          <w:lang w:val="en-US"/>
        </w:rPr>
        <w:t xml:space="preserve"> (HR standards)</w:t>
      </w:r>
      <w:r w:rsidR="00135F5A" w:rsidRPr="00FE6F8E">
        <w:rPr>
          <w:color w:val="000000"/>
          <w:sz w:val="22"/>
          <w:szCs w:val="22"/>
          <w:lang w:val="en-US"/>
        </w:rPr>
        <w:t xml:space="preserve"> during a four-day working retreat (11-15 August</w:t>
      </w:r>
      <w:r w:rsidR="00E76452">
        <w:rPr>
          <w:color w:val="000000"/>
          <w:sz w:val="22"/>
          <w:szCs w:val="22"/>
          <w:lang w:val="en-US"/>
        </w:rPr>
        <w:t xml:space="preserve"> 2014</w:t>
      </w:r>
      <w:r w:rsidR="00135F5A" w:rsidRPr="00FE6F8E">
        <w:rPr>
          <w:color w:val="000000"/>
          <w:sz w:val="22"/>
          <w:szCs w:val="22"/>
          <w:lang w:val="en-US"/>
        </w:rPr>
        <w:t>) and a three-day working session (26-28 August</w:t>
      </w:r>
      <w:r w:rsidR="00E76452">
        <w:rPr>
          <w:color w:val="000000"/>
          <w:sz w:val="22"/>
          <w:szCs w:val="22"/>
          <w:lang w:val="en-US"/>
        </w:rPr>
        <w:t xml:space="preserve"> 2014</w:t>
      </w:r>
      <w:r w:rsidR="00135F5A" w:rsidRPr="00FE6F8E">
        <w:rPr>
          <w:color w:val="000000"/>
          <w:sz w:val="22"/>
          <w:szCs w:val="22"/>
          <w:lang w:val="en-US"/>
        </w:rPr>
        <w:t xml:space="preserve">) supported by </w:t>
      </w:r>
      <w:r w:rsidR="00135F5A">
        <w:rPr>
          <w:color w:val="000000"/>
          <w:sz w:val="22"/>
          <w:szCs w:val="22"/>
          <w:lang w:val="en-US"/>
        </w:rPr>
        <w:t>OHCHR</w:t>
      </w:r>
      <w:r w:rsidR="00135F5A" w:rsidRPr="00FE6F8E">
        <w:rPr>
          <w:color w:val="000000"/>
          <w:sz w:val="22"/>
          <w:szCs w:val="22"/>
          <w:lang w:val="en-US"/>
        </w:rPr>
        <w:t xml:space="preserve"> jointly with the Department for Judicial Reform and Rule of Law of the Office of President of Kyrgyzstan, UNODC, OSCE CiB and "Soros-Kyrgyzstan" Foundation.</w:t>
      </w:r>
    </w:p>
    <w:p w:rsidR="00135F5A" w:rsidRPr="00FE6F8E" w:rsidRDefault="00135F5A" w:rsidP="00135F5A">
      <w:pPr>
        <w:jc w:val="both"/>
        <w:rPr>
          <w:sz w:val="22"/>
          <w:szCs w:val="22"/>
          <w:lang w:val="en-US"/>
        </w:rPr>
      </w:pPr>
    </w:p>
    <w:p w:rsidR="00135F5A" w:rsidRPr="00FE6F8E" w:rsidRDefault="00135F5A" w:rsidP="00135F5A">
      <w:pPr>
        <w:jc w:val="both"/>
        <w:rPr>
          <w:color w:val="000000"/>
          <w:sz w:val="22"/>
          <w:szCs w:val="22"/>
          <w:lang w:val="en-US"/>
        </w:rPr>
      </w:pPr>
      <w:r w:rsidRPr="00FE6F8E">
        <w:rPr>
          <w:color w:val="000000"/>
          <w:sz w:val="22"/>
          <w:szCs w:val="22"/>
          <w:lang w:val="en-US"/>
        </w:rPr>
        <w:t xml:space="preserve">The first session was attended by local and international experts on criminal law, scholars and practicing lawyers, while the second working meeting was attended by 14 members of the EWG on CPC. As a result of these meetings, the compliance of the draft CPC with </w:t>
      </w:r>
      <w:r w:rsidR="006C34B0">
        <w:rPr>
          <w:color w:val="000000"/>
          <w:sz w:val="22"/>
          <w:szCs w:val="22"/>
          <w:lang w:val="en-US"/>
        </w:rPr>
        <w:t>HR standards</w:t>
      </w:r>
      <w:r w:rsidRPr="00FE6F8E">
        <w:rPr>
          <w:color w:val="000000"/>
          <w:sz w:val="22"/>
          <w:szCs w:val="22"/>
          <w:lang w:val="en-US"/>
        </w:rPr>
        <w:t xml:space="preserve"> increased</w:t>
      </w:r>
      <w:r w:rsidR="00E76452">
        <w:rPr>
          <w:color w:val="000000"/>
          <w:sz w:val="22"/>
          <w:szCs w:val="22"/>
          <w:lang w:val="en-US"/>
        </w:rPr>
        <w:t xml:space="preserve">, </w:t>
      </w:r>
      <w:r w:rsidR="00E76452" w:rsidRPr="00FE6F8E">
        <w:rPr>
          <w:color w:val="000000"/>
          <w:sz w:val="22"/>
          <w:szCs w:val="22"/>
          <w:lang w:val="en-US"/>
        </w:rPr>
        <w:t>especially with regard</w:t>
      </w:r>
      <w:r w:rsidR="00E76452">
        <w:rPr>
          <w:color w:val="000000"/>
          <w:sz w:val="22"/>
          <w:szCs w:val="22"/>
          <w:lang w:val="en-US"/>
        </w:rPr>
        <w:t xml:space="preserve">s to provisions related to </w:t>
      </w:r>
      <w:r w:rsidR="00E76452" w:rsidRPr="00FE6F8E">
        <w:rPr>
          <w:color w:val="000000"/>
          <w:sz w:val="22"/>
          <w:szCs w:val="22"/>
          <w:lang w:val="en-US"/>
        </w:rPr>
        <w:t>the right to fair trial, habeas corpus, presumption of innocence, and implementing views of international human rights mechani</w:t>
      </w:r>
      <w:r w:rsidR="006C34B0">
        <w:rPr>
          <w:color w:val="000000"/>
          <w:sz w:val="22"/>
          <w:szCs w:val="22"/>
          <w:lang w:val="en-US"/>
        </w:rPr>
        <w:t>sms on individual cases</w:t>
      </w:r>
      <w:r w:rsidRPr="00FE6F8E">
        <w:rPr>
          <w:color w:val="000000"/>
          <w:sz w:val="22"/>
          <w:szCs w:val="22"/>
          <w:lang w:val="en-US"/>
        </w:rPr>
        <w:t>.</w:t>
      </w:r>
    </w:p>
    <w:p w:rsidR="00135F5A" w:rsidRPr="00FE6F8E" w:rsidRDefault="00135F5A" w:rsidP="00135F5A">
      <w:pPr>
        <w:rPr>
          <w:color w:val="000000"/>
          <w:sz w:val="22"/>
          <w:szCs w:val="22"/>
          <w:lang w:val="en-US"/>
        </w:rPr>
      </w:pPr>
    </w:p>
    <w:p w:rsidR="00A24000" w:rsidRPr="005C4F46" w:rsidRDefault="00135F5A" w:rsidP="00135F5A">
      <w:pPr>
        <w:jc w:val="both"/>
        <w:rPr>
          <w:lang w:val="en-US"/>
        </w:rPr>
      </w:pPr>
      <w:r w:rsidRPr="00FE6F8E">
        <w:rPr>
          <w:color w:val="000000"/>
          <w:sz w:val="22"/>
          <w:szCs w:val="22"/>
          <w:lang w:val="en-US"/>
        </w:rPr>
        <w:t>On 21 August</w:t>
      </w:r>
      <w:r w:rsidR="00E76452">
        <w:rPr>
          <w:color w:val="000000"/>
          <w:sz w:val="22"/>
          <w:szCs w:val="22"/>
          <w:lang w:val="en-US"/>
        </w:rPr>
        <w:t xml:space="preserve"> 2014</w:t>
      </w:r>
      <w:r w:rsidRPr="00FE6F8E">
        <w:rPr>
          <w:color w:val="000000"/>
          <w:sz w:val="22"/>
          <w:szCs w:val="22"/>
          <w:lang w:val="en-US"/>
        </w:rPr>
        <w:t xml:space="preserve">, a one day meeting between members of the EWGs in charge of elaborating the new criminal </w:t>
      </w:r>
      <w:r w:rsidR="006C34B0">
        <w:rPr>
          <w:color w:val="000000"/>
          <w:sz w:val="22"/>
          <w:szCs w:val="22"/>
          <w:lang w:val="en-US"/>
        </w:rPr>
        <w:t xml:space="preserve">code </w:t>
      </w:r>
      <w:r w:rsidRPr="00FE6F8E">
        <w:rPr>
          <w:color w:val="000000"/>
          <w:sz w:val="22"/>
          <w:szCs w:val="22"/>
          <w:lang w:val="en-US"/>
        </w:rPr>
        <w:t xml:space="preserve">and </w:t>
      </w:r>
      <w:r w:rsidR="006C34B0">
        <w:rPr>
          <w:color w:val="000000"/>
          <w:sz w:val="22"/>
          <w:szCs w:val="22"/>
          <w:lang w:val="en-US"/>
        </w:rPr>
        <w:t>CPC</w:t>
      </w:r>
      <w:r w:rsidRPr="00FE6F8E">
        <w:rPr>
          <w:color w:val="000000"/>
          <w:sz w:val="22"/>
          <w:szCs w:val="22"/>
          <w:lang w:val="en-US"/>
        </w:rPr>
        <w:t xml:space="preserve"> resulted in an agreement between the two EWGs to </w:t>
      </w:r>
      <w:r w:rsidR="006C34B0">
        <w:rPr>
          <w:color w:val="000000"/>
          <w:sz w:val="22"/>
          <w:szCs w:val="22"/>
          <w:lang w:val="en-US"/>
        </w:rPr>
        <w:t>ensure consistency between the CPC and criminal code</w:t>
      </w:r>
      <w:r w:rsidRPr="00FE6F8E">
        <w:rPr>
          <w:color w:val="000000"/>
          <w:sz w:val="22"/>
          <w:szCs w:val="22"/>
          <w:lang w:val="en-US"/>
        </w:rPr>
        <w:t>.</w:t>
      </w:r>
      <w:r w:rsidRPr="00FE6F8E">
        <w:rPr>
          <w:rFonts w:ascii="Arial Narrow" w:hAnsi="Arial Narrow"/>
          <w:sz w:val="22"/>
          <w:szCs w:val="22"/>
        </w:rPr>
        <w:t> </w:t>
      </w:r>
      <w:r w:rsidRPr="00FE6F8E">
        <w:rPr>
          <w:sz w:val="22"/>
          <w:szCs w:val="22"/>
        </w:rPr>
        <w:fldChar w:fldCharType="end"/>
      </w:r>
      <w:bookmarkEnd w:id="24"/>
    </w:p>
    <w:p w:rsidR="00A24000" w:rsidRPr="00DD7566" w:rsidRDefault="00A24000">
      <w:pPr>
        <w:rPr>
          <w:rFonts w:ascii="Arial Narrow" w:hAnsi="Arial Narrow"/>
          <w:i/>
          <w:sz w:val="22"/>
          <w:szCs w:val="22"/>
          <w:lang w:val="en-US"/>
        </w:rPr>
      </w:pPr>
    </w:p>
    <w:p w:rsidR="0077332E" w:rsidRPr="00E509BE" w:rsidRDefault="00422627">
      <w:pPr>
        <w:jc w:val="both"/>
        <w:rPr>
          <w:b/>
          <w:sz w:val="22"/>
          <w:szCs w:val="22"/>
        </w:rPr>
      </w:pPr>
      <w:r w:rsidRPr="00E509BE">
        <w:rPr>
          <w:b/>
          <w:sz w:val="22"/>
          <w:szCs w:val="22"/>
        </w:rPr>
        <w:t>Outcome progress</w:t>
      </w:r>
    </w:p>
    <w:p w:rsidR="00A24000" w:rsidRPr="00E509BE" w:rsidRDefault="00422627">
      <w:pPr>
        <w:rPr>
          <w:i/>
          <w:sz w:val="22"/>
          <w:szCs w:val="22"/>
        </w:rPr>
      </w:pPr>
      <w:r w:rsidRPr="00E509BE">
        <w:rPr>
          <w:i/>
          <w:sz w:val="22"/>
          <w:szCs w:val="22"/>
        </w:rPr>
        <w:t xml:space="preserve">Describe progress made during the reporting period toward the achievement of this outcome. This analysis should reflect the above indicator progress and the output achievement. Is there evidence of the outcome contributing to peacebuilding and to the specific conflict triggers? Is the theory of change that underpins the project design still relevant for this outcome (3000 character limit)? </w:t>
      </w:r>
    </w:p>
    <w:p w:rsidR="0099221F" w:rsidRDefault="00422627" w:rsidP="00D63A13">
      <w:pPr>
        <w:jc w:val="both"/>
        <w:rPr>
          <w:color w:val="000000"/>
          <w:sz w:val="22"/>
          <w:szCs w:val="22"/>
          <w:lang w:val="en-US"/>
        </w:rPr>
      </w:pPr>
      <w:r w:rsidRPr="00FE6F8E">
        <w:rPr>
          <w:b/>
          <w:sz w:val="22"/>
          <w:szCs w:val="22"/>
        </w:rPr>
        <w:fldChar w:fldCharType="begin">
          <w:ffData>
            <w:name w:val="Text38"/>
            <w:enabled/>
            <w:calcOnExit w:val="0"/>
            <w:textInput>
              <w:maxLength w:val="3000"/>
              <w:format w:val="Первая прописная"/>
            </w:textInput>
          </w:ffData>
        </w:fldChar>
      </w:r>
      <w:bookmarkStart w:id="25" w:name="Text38"/>
      <w:r w:rsidRPr="00FE6F8E">
        <w:rPr>
          <w:b/>
          <w:sz w:val="22"/>
          <w:szCs w:val="22"/>
        </w:rPr>
        <w:instrText xml:space="preserve"> FORMTEXT </w:instrText>
      </w:r>
      <w:r w:rsidRPr="00FE6F8E">
        <w:rPr>
          <w:b/>
          <w:sz w:val="22"/>
          <w:szCs w:val="22"/>
        </w:rPr>
      </w:r>
      <w:r w:rsidRPr="00FE6F8E">
        <w:rPr>
          <w:b/>
          <w:sz w:val="22"/>
          <w:szCs w:val="22"/>
        </w:rPr>
        <w:fldChar w:fldCharType="separate"/>
      </w:r>
      <w:r w:rsidR="00D63A13" w:rsidRPr="00FE6F8E">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D63A13" w:rsidRPr="00FE6F8E">
        <w:rPr>
          <w:rFonts w:ascii="Arial Narrow" w:hAnsi="Arial Narrow"/>
          <w:i/>
          <w:sz w:val="22"/>
          <w:szCs w:val="22"/>
        </w:rPr>
        <w:instrText xml:space="preserve"> FORMTEXT </w:instrText>
      </w:r>
      <w:r w:rsidR="00D63A13" w:rsidRPr="00FE6F8E">
        <w:rPr>
          <w:rFonts w:ascii="Arial Narrow" w:hAnsi="Arial Narrow"/>
          <w:i/>
          <w:sz w:val="22"/>
          <w:szCs w:val="22"/>
        </w:rPr>
      </w:r>
      <w:r w:rsidR="00D63A13" w:rsidRPr="00FE6F8E">
        <w:rPr>
          <w:rFonts w:ascii="Arial Narrow" w:hAnsi="Arial Narrow"/>
          <w:i/>
          <w:sz w:val="22"/>
          <w:szCs w:val="22"/>
        </w:rPr>
        <w:fldChar w:fldCharType="separate"/>
      </w:r>
      <w:r w:rsidR="00D63A13" w:rsidRPr="00FE6F8E">
        <w:rPr>
          <w:color w:val="000000"/>
          <w:sz w:val="22"/>
          <w:szCs w:val="22"/>
          <w:lang w:val="en-US"/>
        </w:rPr>
        <w:t xml:space="preserve">ROCA's support to the judicial reform process in Kyrgyzstan in close coordination with UNDP, UNODC and other international organizations and the Department for Rule of Law and Human Rights of the President's Office resulted in </w:t>
      </w:r>
      <w:r w:rsidR="00525A8F">
        <w:rPr>
          <w:color w:val="000000"/>
          <w:sz w:val="22"/>
          <w:szCs w:val="22"/>
          <w:lang w:val="en-US"/>
        </w:rPr>
        <w:t xml:space="preserve">the finalization of </w:t>
      </w:r>
      <w:r w:rsidR="00D63A13" w:rsidRPr="00FE6F8E">
        <w:rPr>
          <w:color w:val="000000"/>
          <w:sz w:val="22"/>
          <w:szCs w:val="22"/>
          <w:lang w:val="en-US"/>
        </w:rPr>
        <w:t>seven key draft laws in the area of administration of justice</w:t>
      </w:r>
      <w:r w:rsidR="00525A8F">
        <w:rPr>
          <w:color w:val="000000"/>
          <w:sz w:val="22"/>
          <w:szCs w:val="22"/>
          <w:lang w:val="en-US"/>
        </w:rPr>
        <w:t xml:space="preserve"> by the EWGs</w:t>
      </w:r>
      <w:r w:rsidR="00D63A13" w:rsidRPr="00FE6F8E">
        <w:rPr>
          <w:color w:val="000000"/>
          <w:sz w:val="22"/>
          <w:szCs w:val="22"/>
          <w:lang w:val="en-US"/>
        </w:rPr>
        <w:t xml:space="preserve">. </w:t>
      </w:r>
      <w:r w:rsidR="00525A8F">
        <w:rPr>
          <w:color w:val="000000"/>
          <w:sz w:val="22"/>
          <w:szCs w:val="22"/>
          <w:lang w:val="en-US"/>
        </w:rPr>
        <w:t>The</w:t>
      </w:r>
      <w:r w:rsidR="00D63A13" w:rsidRPr="00FE6F8E">
        <w:rPr>
          <w:color w:val="000000"/>
          <w:sz w:val="22"/>
          <w:szCs w:val="22"/>
          <w:lang w:val="en-US"/>
        </w:rPr>
        <w:t xml:space="preserve"> Criminal Code, Code on Misdemeanors, Criminal Procedure Code, Criminal Executive Code, Civil Procedure Code, Laws on enforcement proceedings and state guaranteed legal aid were finalized by the</w:t>
      </w:r>
      <w:r w:rsidR="00D63A13" w:rsidRPr="00FE6F8E">
        <w:rPr>
          <w:rStyle w:val="apple-converted-space"/>
          <w:color w:val="000000"/>
          <w:sz w:val="22"/>
          <w:szCs w:val="22"/>
          <w:lang w:val="en-US"/>
        </w:rPr>
        <w:t> </w:t>
      </w:r>
      <w:r w:rsidR="00D63A13" w:rsidRPr="00FE6F8E">
        <w:rPr>
          <w:i/>
          <w:iCs/>
          <w:color w:val="000000"/>
          <w:sz w:val="22"/>
          <w:szCs w:val="22"/>
          <w:lang w:val="en-US"/>
        </w:rPr>
        <w:t>Expert Working Groups</w:t>
      </w:r>
      <w:r w:rsidR="00D63A13" w:rsidRPr="00FE6F8E">
        <w:rPr>
          <w:rStyle w:val="apple-converted-space"/>
          <w:i/>
          <w:iCs/>
          <w:color w:val="000000"/>
          <w:sz w:val="22"/>
          <w:szCs w:val="22"/>
          <w:lang w:val="en-US"/>
        </w:rPr>
        <w:t> </w:t>
      </w:r>
      <w:r w:rsidR="00D63A13" w:rsidRPr="00FE6F8E">
        <w:rPr>
          <w:color w:val="000000"/>
          <w:sz w:val="22"/>
          <w:szCs w:val="22"/>
          <w:lang w:val="en-US"/>
        </w:rPr>
        <w:t>and submitted to the</w:t>
      </w:r>
      <w:r w:rsidR="00D63A13" w:rsidRPr="00FE6F8E">
        <w:rPr>
          <w:rStyle w:val="apple-converted-space"/>
          <w:color w:val="000000"/>
          <w:sz w:val="22"/>
          <w:szCs w:val="22"/>
          <w:lang w:val="en-US"/>
        </w:rPr>
        <w:t> </w:t>
      </w:r>
      <w:r w:rsidR="00D63A13" w:rsidRPr="00FE6F8E">
        <w:rPr>
          <w:i/>
          <w:iCs/>
          <w:color w:val="000000"/>
          <w:sz w:val="22"/>
          <w:szCs w:val="22"/>
          <w:lang w:val="en-US"/>
        </w:rPr>
        <w:t>Council for Judicial Reform</w:t>
      </w:r>
      <w:r w:rsidR="00D63A13" w:rsidRPr="00FE6F8E">
        <w:rPr>
          <w:rStyle w:val="apple-converted-space"/>
          <w:color w:val="000000"/>
          <w:sz w:val="22"/>
          <w:szCs w:val="22"/>
          <w:lang w:val="en-US"/>
        </w:rPr>
        <w:t> </w:t>
      </w:r>
      <w:r w:rsidR="00D63A13" w:rsidRPr="00FE6F8E">
        <w:rPr>
          <w:color w:val="000000"/>
          <w:sz w:val="22"/>
          <w:szCs w:val="22"/>
          <w:lang w:val="en-US"/>
        </w:rPr>
        <w:t>under the President of Kyrgyzstan. The draft laws were considered by the</w:t>
      </w:r>
      <w:r w:rsidR="00D63A13" w:rsidRPr="00FE6F8E">
        <w:rPr>
          <w:rStyle w:val="apple-converted-space"/>
          <w:color w:val="000000"/>
          <w:sz w:val="22"/>
          <w:szCs w:val="22"/>
          <w:lang w:val="en-US"/>
        </w:rPr>
        <w:t> </w:t>
      </w:r>
      <w:r w:rsidR="00D63A13" w:rsidRPr="00FE6F8E">
        <w:rPr>
          <w:i/>
          <w:iCs/>
          <w:color w:val="000000"/>
          <w:sz w:val="22"/>
          <w:szCs w:val="22"/>
          <w:lang w:val="en-US"/>
        </w:rPr>
        <w:t>Council for Judicial Reform</w:t>
      </w:r>
      <w:r w:rsidR="00D63A13" w:rsidRPr="00FE6F8E">
        <w:rPr>
          <w:rStyle w:val="apple-converted-space"/>
          <w:i/>
          <w:iCs/>
          <w:color w:val="000000"/>
          <w:sz w:val="22"/>
          <w:szCs w:val="22"/>
          <w:lang w:val="en-US"/>
        </w:rPr>
        <w:t> </w:t>
      </w:r>
      <w:r w:rsidR="00D63A13" w:rsidRPr="00FE6F8E">
        <w:rPr>
          <w:color w:val="000000"/>
          <w:sz w:val="22"/>
          <w:szCs w:val="22"/>
          <w:lang w:val="en-US"/>
        </w:rPr>
        <w:t>with participation of members of the</w:t>
      </w:r>
      <w:r w:rsidR="00D63A13" w:rsidRPr="00FE6F8E">
        <w:rPr>
          <w:rStyle w:val="apple-converted-space"/>
          <w:color w:val="000000"/>
          <w:sz w:val="22"/>
          <w:szCs w:val="22"/>
          <w:lang w:val="en-US"/>
        </w:rPr>
        <w:t> </w:t>
      </w:r>
      <w:r w:rsidR="00D63A13" w:rsidRPr="00FE6F8E">
        <w:rPr>
          <w:i/>
          <w:iCs/>
          <w:color w:val="000000"/>
          <w:sz w:val="22"/>
          <w:szCs w:val="22"/>
          <w:lang w:val="en-US"/>
        </w:rPr>
        <w:t>Expert Working Groups</w:t>
      </w:r>
      <w:r w:rsidR="00D63A13" w:rsidRPr="00FE6F8E">
        <w:rPr>
          <w:rStyle w:val="apple-converted-space"/>
          <w:i/>
          <w:iCs/>
          <w:color w:val="000000"/>
          <w:sz w:val="22"/>
          <w:szCs w:val="22"/>
          <w:lang w:val="en-US"/>
        </w:rPr>
        <w:t> </w:t>
      </w:r>
      <w:r w:rsidR="00D63A13" w:rsidRPr="00FE6F8E">
        <w:rPr>
          <w:color w:val="000000"/>
          <w:sz w:val="22"/>
          <w:szCs w:val="22"/>
          <w:lang w:val="en-US"/>
        </w:rPr>
        <w:t>and civil society representatives on 30 September, 7</w:t>
      </w:r>
      <w:r w:rsidR="00525A8F">
        <w:rPr>
          <w:color w:val="000000"/>
          <w:sz w:val="22"/>
          <w:szCs w:val="22"/>
          <w:lang w:val="en-US"/>
        </w:rPr>
        <w:t xml:space="preserve"> and</w:t>
      </w:r>
      <w:r w:rsidR="00D63A13" w:rsidRPr="00FE6F8E">
        <w:rPr>
          <w:color w:val="000000"/>
          <w:sz w:val="22"/>
          <w:szCs w:val="22"/>
          <w:lang w:val="en-US"/>
        </w:rPr>
        <w:t xml:space="preserve"> 10 October</w:t>
      </w:r>
      <w:r w:rsidR="00B621AF">
        <w:rPr>
          <w:color w:val="000000"/>
          <w:sz w:val="22"/>
          <w:szCs w:val="22"/>
          <w:lang w:val="en-US"/>
        </w:rPr>
        <w:t xml:space="preserve"> 2014</w:t>
      </w:r>
      <w:r w:rsidR="00D63A13" w:rsidRPr="00FE6F8E">
        <w:rPr>
          <w:color w:val="000000"/>
          <w:sz w:val="22"/>
          <w:szCs w:val="22"/>
          <w:lang w:val="en-US"/>
        </w:rPr>
        <w:t>, and w</w:t>
      </w:r>
      <w:r w:rsidR="00EA6F0C">
        <w:rPr>
          <w:color w:val="000000"/>
          <w:sz w:val="22"/>
          <w:szCs w:val="22"/>
          <w:lang w:val="en-US"/>
        </w:rPr>
        <w:t>ere</w:t>
      </w:r>
      <w:r w:rsidR="00D63A13" w:rsidRPr="00FE6F8E">
        <w:rPr>
          <w:color w:val="000000"/>
          <w:sz w:val="22"/>
          <w:szCs w:val="22"/>
          <w:lang w:val="en-US"/>
        </w:rPr>
        <w:t xml:space="preserve"> approved in its enlarged session on 17 October</w:t>
      </w:r>
      <w:r w:rsidR="00B621AF">
        <w:rPr>
          <w:color w:val="000000"/>
          <w:sz w:val="22"/>
          <w:szCs w:val="22"/>
          <w:lang w:val="en-US"/>
        </w:rPr>
        <w:t xml:space="preserve"> 2014</w:t>
      </w:r>
      <w:r w:rsidR="00D63A13" w:rsidRPr="00FE6F8E">
        <w:rPr>
          <w:color w:val="000000"/>
          <w:sz w:val="22"/>
          <w:szCs w:val="22"/>
          <w:lang w:val="en-US"/>
        </w:rPr>
        <w:t xml:space="preserve">. </w:t>
      </w:r>
    </w:p>
    <w:p w:rsidR="0099221F" w:rsidRDefault="0099221F" w:rsidP="00D63A13">
      <w:pPr>
        <w:jc w:val="both"/>
        <w:rPr>
          <w:color w:val="000000"/>
          <w:sz w:val="22"/>
          <w:szCs w:val="22"/>
          <w:lang w:val="en-US"/>
        </w:rPr>
      </w:pPr>
    </w:p>
    <w:p w:rsidR="0099221F" w:rsidRDefault="00D63A13" w:rsidP="00D63A13">
      <w:pPr>
        <w:jc w:val="both"/>
        <w:rPr>
          <w:color w:val="000000"/>
          <w:sz w:val="22"/>
          <w:szCs w:val="22"/>
          <w:lang w:val="en-US"/>
        </w:rPr>
      </w:pPr>
      <w:r w:rsidRPr="00FE6F8E">
        <w:rPr>
          <w:color w:val="000000"/>
          <w:sz w:val="22"/>
          <w:szCs w:val="22"/>
          <w:lang w:val="en-US"/>
        </w:rPr>
        <w:t xml:space="preserve">According to </w:t>
      </w:r>
      <w:r w:rsidR="00525A8F">
        <w:rPr>
          <w:color w:val="000000"/>
          <w:sz w:val="22"/>
          <w:szCs w:val="22"/>
          <w:lang w:val="en-US"/>
        </w:rPr>
        <w:t xml:space="preserve">the </w:t>
      </w:r>
      <w:r w:rsidRPr="00FE6F8E">
        <w:rPr>
          <w:color w:val="000000"/>
          <w:sz w:val="22"/>
          <w:szCs w:val="22"/>
          <w:lang w:val="en-US"/>
        </w:rPr>
        <w:t xml:space="preserve">preliminary analysis by a number of international experts, the draft Criminal Procedure Code contains a number of progressive provisions </w:t>
      </w:r>
      <w:r w:rsidR="00525A8F">
        <w:rPr>
          <w:color w:val="000000"/>
          <w:sz w:val="22"/>
          <w:szCs w:val="22"/>
          <w:lang w:val="en-US"/>
        </w:rPr>
        <w:t>which</w:t>
      </w:r>
      <w:r w:rsidRPr="00FE6F8E">
        <w:rPr>
          <w:color w:val="000000"/>
          <w:sz w:val="22"/>
          <w:szCs w:val="22"/>
          <w:lang w:val="en-US"/>
        </w:rPr>
        <w:t xml:space="preserve"> comply with international human rights standards, further reform the criminal justice system of Kyrgyzstan and provide </w:t>
      </w:r>
      <w:r w:rsidR="00525A8F">
        <w:rPr>
          <w:color w:val="000000"/>
          <w:sz w:val="22"/>
          <w:szCs w:val="22"/>
          <w:lang w:val="en-US"/>
        </w:rPr>
        <w:t xml:space="preserve">a </w:t>
      </w:r>
      <w:r w:rsidRPr="00FE6F8E">
        <w:rPr>
          <w:color w:val="000000"/>
          <w:sz w:val="22"/>
          <w:szCs w:val="22"/>
          <w:lang w:val="en-US"/>
        </w:rPr>
        <w:t>transition from the inquisitorial model to a more adversarial model.</w:t>
      </w:r>
      <w:r w:rsidRPr="00FE6F8E">
        <w:rPr>
          <w:rFonts w:ascii="Arial Narrow" w:hAnsi="Arial Narrow"/>
          <w:i/>
          <w:sz w:val="22"/>
          <w:szCs w:val="22"/>
        </w:rPr>
        <w:t> </w:t>
      </w:r>
      <w:r w:rsidRPr="00FE6F8E">
        <w:rPr>
          <w:sz w:val="22"/>
          <w:szCs w:val="22"/>
        </w:rPr>
        <w:fldChar w:fldCharType="end"/>
      </w:r>
      <w:r w:rsidRPr="00FE6F8E">
        <w:rPr>
          <w:color w:val="000000"/>
          <w:sz w:val="22"/>
          <w:szCs w:val="22"/>
          <w:lang w:val="en-US"/>
        </w:rPr>
        <w:t xml:space="preserve">However, the international experts and ROCA </w:t>
      </w:r>
      <w:r w:rsidR="00525A8F">
        <w:rPr>
          <w:color w:val="000000"/>
          <w:sz w:val="22"/>
          <w:szCs w:val="22"/>
          <w:lang w:val="en-US"/>
        </w:rPr>
        <w:t xml:space="preserve">also </w:t>
      </w:r>
      <w:r w:rsidRPr="00FE6F8E">
        <w:rPr>
          <w:color w:val="000000"/>
          <w:sz w:val="22"/>
          <w:szCs w:val="22"/>
          <w:lang w:val="en-US"/>
        </w:rPr>
        <w:t>noted a number of shortcomings</w:t>
      </w:r>
      <w:r w:rsidR="00525A8F">
        <w:rPr>
          <w:color w:val="000000"/>
          <w:sz w:val="22"/>
          <w:szCs w:val="22"/>
          <w:lang w:val="en-US"/>
        </w:rPr>
        <w:t xml:space="preserve">, ie lack of </w:t>
      </w:r>
      <w:r w:rsidRPr="00FE6F8E">
        <w:rPr>
          <w:color w:val="000000"/>
          <w:sz w:val="22"/>
          <w:szCs w:val="22"/>
          <w:lang w:val="en-US"/>
        </w:rPr>
        <w:t xml:space="preserve">full compliance of some provisions with international human rights standards, including </w:t>
      </w:r>
      <w:r w:rsidR="00525A8F">
        <w:rPr>
          <w:color w:val="000000"/>
          <w:sz w:val="22"/>
          <w:szCs w:val="22"/>
          <w:lang w:val="en-US"/>
        </w:rPr>
        <w:t>in relation to</w:t>
      </w:r>
      <w:r w:rsidRPr="00FE6F8E">
        <w:rPr>
          <w:color w:val="000000"/>
          <w:sz w:val="22"/>
          <w:szCs w:val="22"/>
          <w:lang w:val="en-US"/>
        </w:rPr>
        <w:t xml:space="preserve"> excessive use of pre-trial detention, </w:t>
      </w:r>
      <w:r w:rsidR="00525A8F">
        <w:rPr>
          <w:color w:val="000000"/>
          <w:sz w:val="22"/>
          <w:szCs w:val="22"/>
          <w:lang w:val="en-US"/>
        </w:rPr>
        <w:t>lack of</w:t>
      </w:r>
      <w:r w:rsidRPr="00FE6F8E">
        <w:rPr>
          <w:color w:val="000000"/>
          <w:sz w:val="22"/>
          <w:szCs w:val="22"/>
          <w:lang w:val="en-US"/>
        </w:rPr>
        <w:t xml:space="preserve"> legal certainty, and controversial articles on </w:t>
      </w:r>
      <w:r w:rsidR="00525A8F">
        <w:rPr>
          <w:color w:val="000000"/>
          <w:sz w:val="22"/>
          <w:szCs w:val="22"/>
          <w:lang w:val="en-US"/>
        </w:rPr>
        <w:t xml:space="preserve">the </w:t>
      </w:r>
      <w:r w:rsidRPr="00FE6F8E">
        <w:rPr>
          <w:color w:val="000000"/>
          <w:sz w:val="22"/>
          <w:szCs w:val="22"/>
          <w:lang w:val="en-US"/>
        </w:rPr>
        <w:t>implementation of views of international human rights mechanisms. The preliminary analys</w:t>
      </w:r>
      <w:r w:rsidR="00EA6F0C">
        <w:rPr>
          <w:color w:val="000000"/>
          <w:sz w:val="22"/>
          <w:szCs w:val="22"/>
          <w:lang w:val="en-US"/>
        </w:rPr>
        <w:t>e</w:t>
      </w:r>
      <w:r w:rsidRPr="00FE6F8E">
        <w:rPr>
          <w:color w:val="000000"/>
          <w:sz w:val="22"/>
          <w:szCs w:val="22"/>
          <w:lang w:val="en-US"/>
        </w:rPr>
        <w:t>s were submitted to the</w:t>
      </w:r>
      <w:r w:rsidRPr="00FE6F8E">
        <w:rPr>
          <w:rStyle w:val="apple-converted-space"/>
          <w:color w:val="000000"/>
          <w:sz w:val="22"/>
          <w:szCs w:val="22"/>
          <w:lang w:val="en-US"/>
        </w:rPr>
        <w:t> </w:t>
      </w:r>
      <w:r w:rsidRPr="00FE6F8E">
        <w:rPr>
          <w:i/>
          <w:iCs/>
          <w:color w:val="000000"/>
          <w:sz w:val="22"/>
          <w:szCs w:val="22"/>
          <w:lang w:val="en-US"/>
        </w:rPr>
        <w:t>Expert Working Group</w:t>
      </w:r>
      <w:r w:rsidRPr="00EA6F0C">
        <w:rPr>
          <w:iCs/>
          <w:color w:val="000000"/>
          <w:sz w:val="22"/>
          <w:szCs w:val="22"/>
          <w:lang w:val="en-US"/>
        </w:rPr>
        <w:t xml:space="preserve"> </w:t>
      </w:r>
      <w:r w:rsidR="00EA6F0C" w:rsidRPr="00EA6F0C">
        <w:rPr>
          <w:iCs/>
          <w:color w:val="000000"/>
          <w:sz w:val="22"/>
          <w:szCs w:val="22"/>
          <w:lang w:val="en-US"/>
        </w:rPr>
        <w:t xml:space="preserve">which is </w:t>
      </w:r>
      <w:r w:rsidRPr="00EA6F0C">
        <w:rPr>
          <w:iCs/>
          <w:color w:val="000000"/>
          <w:sz w:val="22"/>
          <w:szCs w:val="22"/>
          <w:lang w:val="en-US"/>
        </w:rPr>
        <w:t xml:space="preserve">elaborating </w:t>
      </w:r>
      <w:r w:rsidR="00EA6F0C">
        <w:rPr>
          <w:iCs/>
          <w:color w:val="000000"/>
          <w:sz w:val="22"/>
          <w:szCs w:val="22"/>
          <w:lang w:val="en-US"/>
        </w:rPr>
        <w:t xml:space="preserve">the </w:t>
      </w:r>
      <w:r w:rsidRPr="00FE6F8E">
        <w:rPr>
          <w:i/>
          <w:iCs/>
          <w:color w:val="000000"/>
          <w:sz w:val="22"/>
          <w:szCs w:val="22"/>
          <w:lang w:val="en-US"/>
        </w:rPr>
        <w:t>draft Criminal Procedure Code</w:t>
      </w:r>
      <w:r w:rsidR="00EA6F0C">
        <w:rPr>
          <w:i/>
          <w:iCs/>
          <w:color w:val="000000"/>
          <w:sz w:val="22"/>
          <w:szCs w:val="22"/>
          <w:lang w:val="en-US"/>
        </w:rPr>
        <w:t xml:space="preserve">. </w:t>
      </w:r>
      <w:r w:rsidR="00EA6F0C">
        <w:rPr>
          <w:iCs/>
          <w:color w:val="000000"/>
          <w:sz w:val="22"/>
          <w:szCs w:val="22"/>
          <w:lang w:val="en-US"/>
        </w:rPr>
        <w:t>The EWG</w:t>
      </w:r>
      <w:r w:rsidRPr="00FE6F8E">
        <w:rPr>
          <w:rStyle w:val="apple-converted-space"/>
          <w:color w:val="000000"/>
          <w:sz w:val="22"/>
          <w:szCs w:val="22"/>
          <w:lang w:val="en-US"/>
        </w:rPr>
        <w:t> </w:t>
      </w:r>
      <w:r w:rsidRPr="00FE6F8E">
        <w:rPr>
          <w:color w:val="000000"/>
          <w:sz w:val="22"/>
          <w:szCs w:val="22"/>
          <w:lang w:val="en-US"/>
        </w:rPr>
        <w:t xml:space="preserve">was tasked </w:t>
      </w:r>
      <w:r w:rsidR="00EA6F0C" w:rsidRPr="00FE6F8E">
        <w:rPr>
          <w:color w:val="000000"/>
          <w:sz w:val="22"/>
          <w:szCs w:val="22"/>
          <w:lang w:val="en-US"/>
        </w:rPr>
        <w:t>by the</w:t>
      </w:r>
      <w:r w:rsidR="00EA6F0C" w:rsidRPr="00FE6F8E">
        <w:rPr>
          <w:rStyle w:val="apple-converted-space"/>
          <w:color w:val="000000"/>
          <w:sz w:val="22"/>
          <w:szCs w:val="22"/>
          <w:lang w:val="en-US"/>
        </w:rPr>
        <w:t> </w:t>
      </w:r>
      <w:r w:rsidR="00EA6F0C" w:rsidRPr="00FE6F8E">
        <w:rPr>
          <w:i/>
          <w:iCs/>
          <w:color w:val="000000"/>
          <w:sz w:val="22"/>
          <w:szCs w:val="22"/>
          <w:lang w:val="en-US"/>
        </w:rPr>
        <w:t xml:space="preserve">Secretariat of the Council </w:t>
      </w:r>
      <w:r w:rsidR="00EA6F0C" w:rsidRPr="00FE6F8E">
        <w:rPr>
          <w:i/>
          <w:iCs/>
          <w:color w:val="000000"/>
          <w:sz w:val="22"/>
          <w:szCs w:val="22"/>
          <w:lang w:val="en-US"/>
        </w:rPr>
        <w:lastRenderedPageBreak/>
        <w:t>for Judicial Reform</w:t>
      </w:r>
      <w:r w:rsidR="00EA6F0C" w:rsidRPr="00FE6F8E">
        <w:rPr>
          <w:color w:val="000000"/>
          <w:sz w:val="22"/>
          <w:szCs w:val="22"/>
          <w:lang w:val="en-US"/>
        </w:rPr>
        <w:t xml:space="preserve"> </w:t>
      </w:r>
      <w:r w:rsidRPr="00FE6F8E">
        <w:rPr>
          <w:color w:val="000000"/>
          <w:sz w:val="22"/>
          <w:szCs w:val="22"/>
          <w:lang w:val="en-US"/>
        </w:rPr>
        <w:t>to address the expert</w:t>
      </w:r>
      <w:r w:rsidR="00EA6F0C">
        <w:rPr>
          <w:color w:val="000000"/>
          <w:sz w:val="22"/>
          <w:szCs w:val="22"/>
          <w:lang w:val="en-US"/>
        </w:rPr>
        <w:t>s</w:t>
      </w:r>
      <w:r w:rsidRPr="00FE6F8E">
        <w:rPr>
          <w:color w:val="000000"/>
          <w:sz w:val="22"/>
          <w:szCs w:val="22"/>
          <w:lang w:val="en-US"/>
        </w:rPr>
        <w:t>' comments</w:t>
      </w:r>
      <w:r w:rsidRPr="00FE6F8E">
        <w:rPr>
          <w:i/>
          <w:iCs/>
          <w:color w:val="000000"/>
          <w:sz w:val="22"/>
          <w:szCs w:val="22"/>
          <w:lang w:val="en-US"/>
        </w:rPr>
        <w:t> </w:t>
      </w:r>
      <w:r w:rsidRPr="00FE6F8E">
        <w:rPr>
          <w:color w:val="000000"/>
          <w:sz w:val="22"/>
          <w:szCs w:val="22"/>
          <w:lang w:val="en-US"/>
        </w:rPr>
        <w:t>till the end of November 2014.</w:t>
      </w:r>
      <w:r w:rsidRPr="00FE6F8E">
        <w:rPr>
          <w:color w:val="000000"/>
          <w:sz w:val="22"/>
          <w:szCs w:val="22"/>
          <w:lang w:val="en-US"/>
        </w:rPr>
        <w:br/>
      </w:r>
    </w:p>
    <w:p w:rsidR="00D63A13" w:rsidRPr="006C34B0" w:rsidRDefault="00906EBE" w:rsidP="00D63A13">
      <w:pPr>
        <w:jc w:val="both"/>
        <w:rPr>
          <w:sz w:val="22"/>
          <w:szCs w:val="22"/>
        </w:rPr>
      </w:pPr>
      <w:r>
        <w:rPr>
          <w:color w:val="000000"/>
          <w:sz w:val="22"/>
          <w:szCs w:val="22"/>
          <w:lang w:val="en-US"/>
        </w:rPr>
        <w:t>The support provided by ROCA</w:t>
      </w:r>
      <w:r w:rsidR="00D63A13" w:rsidRPr="00FE6F8E">
        <w:rPr>
          <w:color w:val="000000"/>
          <w:sz w:val="22"/>
          <w:szCs w:val="22"/>
          <w:lang w:val="en-US"/>
        </w:rPr>
        <w:t>, UNDP, UNODC and other international organizations to the judicial reform process in Kyrgyzstan was acknowledged in the press-release of the </w:t>
      </w:r>
      <w:r w:rsidR="00D63A13" w:rsidRPr="00FE6F8E">
        <w:rPr>
          <w:i/>
          <w:iCs/>
          <w:color w:val="000000"/>
          <w:sz w:val="22"/>
          <w:szCs w:val="22"/>
          <w:lang w:val="en-US"/>
        </w:rPr>
        <w:t>Secretariat of the Council for Judicial Reform</w:t>
      </w:r>
      <w:r w:rsidR="00D63A13" w:rsidRPr="00FE6F8E">
        <w:rPr>
          <w:rStyle w:val="apple-converted-space"/>
          <w:i/>
          <w:iCs/>
          <w:color w:val="000000"/>
          <w:sz w:val="22"/>
          <w:szCs w:val="22"/>
          <w:lang w:val="en-US"/>
        </w:rPr>
        <w:t> </w:t>
      </w:r>
      <w:r w:rsidR="00D63A13" w:rsidRPr="00FE6F8E">
        <w:rPr>
          <w:color w:val="000000"/>
          <w:sz w:val="22"/>
          <w:szCs w:val="22"/>
          <w:lang w:val="en-US"/>
        </w:rPr>
        <w:t xml:space="preserve">dated </w:t>
      </w:r>
      <w:r w:rsidR="00EA6F0C">
        <w:rPr>
          <w:color w:val="000000"/>
          <w:sz w:val="22"/>
          <w:szCs w:val="22"/>
          <w:lang w:val="en-US"/>
        </w:rPr>
        <w:t>3</w:t>
      </w:r>
      <w:r w:rsidR="00D63A13" w:rsidRPr="00FE6F8E">
        <w:rPr>
          <w:color w:val="000000"/>
          <w:sz w:val="22"/>
          <w:szCs w:val="22"/>
          <w:lang w:val="en-US"/>
        </w:rPr>
        <w:t>0 September 2014.</w:t>
      </w:r>
      <w:r w:rsidR="00422627" w:rsidRPr="00FE6F8E">
        <w:rPr>
          <w:b/>
          <w:sz w:val="22"/>
          <w:szCs w:val="22"/>
        </w:rPr>
        <w:t> </w:t>
      </w:r>
      <w:r w:rsidR="00422627" w:rsidRPr="00FE6F8E">
        <w:rPr>
          <w:sz w:val="22"/>
          <w:szCs w:val="22"/>
        </w:rPr>
        <w:fldChar w:fldCharType="end"/>
      </w:r>
      <w:bookmarkEnd w:id="25"/>
    </w:p>
    <w:p w:rsidR="00A24000" w:rsidRDefault="00A24000">
      <w:pPr>
        <w:rPr>
          <w:b/>
        </w:rPr>
      </w:pPr>
    </w:p>
    <w:p w:rsidR="00A24000" w:rsidRPr="00F72D88" w:rsidRDefault="00422627">
      <w:pPr>
        <w:rPr>
          <w:b/>
          <w:sz w:val="22"/>
          <w:szCs w:val="22"/>
        </w:rPr>
      </w:pPr>
      <w:r w:rsidRPr="00F72D88">
        <w:rPr>
          <w:b/>
          <w:sz w:val="22"/>
          <w:szCs w:val="22"/>
        </w:rPr>
        <w:t>Reasons for low achievement and rectifying measures</w:t>
      </w:r>
    </w:p>
    <w:p w:rsidR="00A24000" w:rsidRPr="00F72D88" w:rsidRDefault="00A24000">
      <w:pPr>
        <w:rPr>
          <w:b/>
          <w:sz w:val="22"/>
          <w:szCs w:val="22"/>
        </w:rPr>
      </w:pPr>
    </w:p>
    <w:p w:rsidR="00A24000" w:rsidRPr="00F72D88" w:rsidRDefault="00422627">
      <w:pPr>
        <w:rPr>
          <w:b/>
        </w:rPr>
      </w:pPr>
      <w:r w:rsidRPr="00F72D88">
        <w:rPr>
          <w:i/>
          <w:sz w:val="22"/>
          <w:szCs w:val="22"/>
        </w:rPr>
        <w:t>If sufficient progress is not being made, what are the key reasons, bottlenecks and challenges? Were these foreseen in the risk matrix? How are they being addressed and what will be the rectifying measures (1500 character limit)?</w:t>
      </w:r>
    </w:p>
    <w:p w:rsidR="00A24000" w:rsidRDefault="00422627">
      <w:pPr>
        <w:rPr>
          <w:b/>
        </w:rPr>
      </w:pPr>
      <w:r>
        <w:rPr>
          <w:b/>
        </w:rPr>
        <w:fldChar w:fldCharType="begin">
          <w:ffData>
            <w:name w:val="Text39"/>
            <w:enabled/>
            <w:calcOnExit w:val="0"/>
            <w:textInput>
              <w:maxLength w:val="1500"/>
              <w:format w:val="Первая прописная"/>
            </w:textInput>
          </w:ffData>
        </w:fldChar>
      </w:r>
      <w:bookmarkStart w:id="26" w:name="Text39"/>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26"/>
    </w:p>
    <w:p w:rsidR="00A24000" w:rsidRDefault="00A24000">
      <w:pPr>
        <w:rPr>
          <w:b/>
          <w:u w:val="single"/>
        </w:rPr>
      </w:pPr>
    </w:p>
    <w:p w:rsidR="00A24000" w:rsidRPr="00FE6F8E" w:rsidRDefault="00422627" w:rsidP="007F7272">
      <w:pPr>
        <w:jc w:val="both"/>
        <w:rPr>
          <w:b/>
          <w:sz w:val="22"/>
          <w:szCs w:val="22"/>
        </w:rPr>
      </w:pPr>
      <w:r w:rsidRPr="00FE6F8E">
        <w:rPr>
          <w:b/>
          <w:sz w:val="22"/>
          <w:szCs w:val="22"/>
          <w:u w:val="single"/>
        </w:rPr>
        <w:t>Outcome Statement 2:</w:t>
      </w:r>
      <w:r w:rsidRPr="00FE6F8E">
        <w:rPr>
          <w:b/>
          <w:sz w:val="22"/>
          <w:szCs w:val="22"/>
        </w:rPr>
        <w:t xml:space="preserve">  </w:t>
      </w:r>
      <w:r w:rsidRPr="00FE6F8E">
        <w:rPr>
          <w:b/>
          <w:sz w:val="22"/>
          <w:szCs w:val="22"/>
        </w:rPr>
        <w:fldChar w:fldCharType="begin">
          <w:ffData>
            <w:name w:val="Text33"/>
            <w:enabled/>
            <w:calcOnExit w:val="0"/>
            <w:textInput/>
          </w:ffData>
        </w:fldChar>
      </w:r>
      <w:r w:rsidRPr="00FE6F8E">
        <w:rPr>
          <w:b/>
          <w:sz w:val="22"/>
          <w:szCs w:val="22"/>
        </w:rPr>
        <w:instrText xml:space="preserve"> FORMTEXT </w:instrText>
      </w:r>
      <w:r w:rsidRPr="00FE6F8E">
        <w:rPr>
          <w:b/>
          <w:sz w:val="22"/>
          <w:szCs w:val="22"/>
        </w:rPr>
      </w:r>
      <w:r w:rsidRPr="00FE6F8E">
        <w:rPr>
          <w:b/>
          <w:sz w:val="22"/>
          <w:szCs w:val="22"/>
        </w:rPr>
        <w:fldChar w:fldCharType="separate"/>
      </w:r>
      <w:r w:rsidRPr="00FE6F8E">
        <w:rPr>
          <w:sz w:val="22"/>
          <w:szCs w:val="22"/>
        </w:rPr>
        <w:t>Adequate functioning of national human rights mechanisms and civil society actors leads to effective protection of human rights and increased accountability for their violation, including through holistic follow-up on UN human rights mechanisms’ recommendation.</w:t>
      </w:r>
      <w:r w:rsidRPr="00FE6F8E">
        <w:rPr>
          <w:b/>
          <w:sz w:val="22"/>
          <w:szCs w:val="22"/>
        </w:rPr>
        <w:fldChar w:fldCharType="end"/>
      </w:r>
    </w:p>
    <w:p w:rsidR="00A24000" w:rsidRPr="00FE6F8E" w:rsidRDefault="00A24000">
      <w:pPr>
        <w:rPr>
          <w:b/>
          <w:sz w:val="22"/>
          <w:szCs w:val="22"/>
        </w:rPr>
      </w:pPr>
    </w:p>
    <w:p w:rsidR="00A24000" w:rsidRDefault="00422627">
      <w:pPr>
        <w:rPr>
          <w:b/>
        </w:rPr>
      </w:pPr>
      <w:r w:rsidRPr="00FE6F8E">
        <w:rPr>
          <w:b/>
          <w:sz w:val="22"/>
          <w:szCs w:val="22"/>
        </w:rPr>
        <w:t>Rate the current status of the outcome:</w:t>
      </w:r>
      <w:r>
        <w:rPr>
          <w:b/>
        </w:rPr>
        <w:t xml:space="preserve"> </w:t>
      </w:r>
      <w:r w:rsidR="00192272">
        <w:rPr>
          <w:rFonts w:ascii="Arial Narrow" w:hAnsi="Arial Narrow"/>
          <w:b/>
          <w:sz w:val="22"/>
          <w:szCs w:val="22"/>
        </w:rPr>
        <w:fldChar w:fldCharType="begin">
          <w:ffData>
            <w:name w:val=""/>
            <w:enabled/>
            <w:calcOnExit w:val="0"/>
            <w:ddList>
              <w:listEntry w:val="on track"/>
            </w:ddList>
          </w:ffData>
        </w:fldChar>
      </w:r>
      <w:r w:rsidR="00192272">
        <w:rPr>
          <w:rFonts w:ascii="Arial Narrow" w:hAnsi="Arial Narrow"/>
          <w:b/>
          <w:sz w:val="22"/>
          <w:szCs w:val="22"/>
        </w:rPr>
        <w:instrText xml:space="preserve"> FORMDROPDOWN </w:instrText>
      </w:r>
      <w:r w:rsidR="00525B76">
        <w:rPr>
          <w:rFonts w:ascii="Arial Narrow" w:hAnsi="Arial Narrow"/>
          <w:b/>
          <w:sz w:val="22"/>
          <w:szCs w:val="22"/>
        </w:rPr>
      </w:r>
      <w:r w:rsidR="00525B76">
        <w:rPr>
          <w:rFonts w:ascii="Arial Narrow" w:hAnsi="Arial Narrow"/>
          <w:b/>
          <w:sz w:val="22"/>
          <w:szCs w:val="22"/>
        </w:rPr>
        <w:fldChar w:fldCharType="separate"/>
      </w:r>
      <w:r w:rsidR="00192272">
        <w:rPr>
          <w:rFonts w:ascii="Arial Narrow" w:hAnsi="Arial Narrow"/>
          <w:b/>
          <w:sz w:val="22"/>
          <w:szCs w:val="22"/>
        </w:rPr>
        <w:fldChar w:fldCharType="end"/>
      </w:r>
    </w:p>
    <w:tbl>
      <w:tblPr>
        <w:tblpPr w:leftFromText="180" w:rightFromText="180" w:vertAnchor="text" w:horzAnchor="margin" w:tblpX="-612" w:tblpY="352"/>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53"/>
      </w:tblGrid>
      <w:tr w:rsidR="00A24000" w:rsidTr="00FE6F8E">
        <w:tc>
          <w:tcPr>
            <w:tcW w:w="5211" w:type="dxa"/>
            <w:tcBorders>
              <w:top w:val="single" w:sz="4" w:space="0" w:color="auto"/>
              <w:left w:val="single" w:sz="4" w:space="0" w:color="auto"/>
              <w:bottom w:val="single" w:sz="4" w:space="0" w:color="auto"/>
              <w:right w:val="single" w:sz="4" w:space="0" w:color="auto"/>
            </w:tcBorders>
          </w:tcPr>
          <w:p w:rsidR="00B37AFE" w:rsidRDefault="00B37AFE">
            <w:pPr>
              <w:jc w:val="both"/>
              <w:rPr>
                <w:sz w:val="22"/>
                <w:szCs w:val="22"/>
              </w:rPr>
            </w:pPr>
          </w:p>
          <w:p w:rsidR="00A24000" w:rsidRPr="007753D5" w:rsidRDefault="00422627">
            <w:pPr>
              <w:jc w:val="both"/>
              <w:rPr>
                <w:sz w:val="22"/>
                <w:szCs w:val="22"/>
              </w:rPr>
            </w:pPr>
            <w:r w:rsidRPr="007753D5">
              <w:rPr>
                <w:sz w:val="22"/>
                <w:szCs w:val="22"/>
              </w:rPr>
              <w:t>Indicator 1:</w:t>
            </w:r>
          </w:p>
          <w:p w:rsidR="00A24000" w:rsidRPr="007753D5" w:rsidRDefault="00422627">
            <w:pPr>
              <w:jc w:val="both"/>
              <w:rPr>
                <w:sz w:val="22"/>
                <w:szCs w:val="22"/>
              </w:rPr>
            </w:pPr>
            <w:r w:rsidRPr="007753D5">
              <w:rPr>
                <w:sz w:val="22"/>
                <w:szCs w:val="22"/>
              </w:rPr>
              <w:fldChar w:fldCharType="begin">
                <w:ffData>
                  <w:name w:val="Text40"/>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Number of reports produced by the National Centre for Prevention of Torture (NPM).</w:t>
            </w:r>
          </w:p>
          <w:p w:rsidR="00A24000" w:rsidRPr="007753D5" w:rsidRDefault="00422627">
            <w:pPr>
              <w:jc w:val="both"/>
              <w:rPr>
                <w:sz w:val="22"/>
                <w:szCs w:val="22"/>
              </w:rPr>
            </w:pPr>
            <w:r w:rsidRPr="007753D5">
              <w:rPr>
                <w:sz w:val="22"/>
                <w:szCs w:val="22"/>
              </w:rPr>
              <w:fldChar w:fldCharType="end"/>
            </w: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B37AFE" w:rsidRDefault="00B37AFE">
            <w:pPr>
              <w:jc w:val="both"/>
              <w:rPr>
                <w:sz w:val="22"/>
                <w:szCs w:val="22"/>
              </w:rPr>
            </w:pPr>
          </w:p>
          <w:p w:rsidR="00A24000" w:rsidRPr="007753D5" w:rsidRDefault="00422627">
            <w:pPr>
              <w:jc w:val="both"/>
              <w:rPr>
                <w:sz w:val="22"/>
                <w:szCs w:val="22"/>
              </w:rPr>
            </w:pPr>
            <w:r w:rsidRPr="007753D5">
              <w:rPr>
                <w:sz w:val="22"/>
                <w:szCs w:val="22"/>
              </w:rPr>
              <w:t>Indicator 2:</w:t>
            </w:r>
          </w:p>
          <w:p w:rsidR="00A24000" w:rsidRPr="007753D5" w:rsidRDefault="00422627">
            <w:pPr>
              <w:jc w:val="both"/>
              <w:rPr>
                <w:sz w:val="22"/>
                <w:szCs w:val="22"/>
              </w:rPr>
            </w:pPr>
            <w:r w:rsidRPr="007753D5">
              <w:rPr>
                <w:sz w:val="22"/>
                <w:szCs w:val="22"/>
              </w:rPr>
              <w:fldChar w:fldCharType="begin">
                <w:ffData>
                  <w:name w:val="Text41"/>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Number of National Reports to UPR and number of implemented recommendations of UPR.</w:t>
            </w:r>
          </w:p>
          <w:p w:rsidR="00A24000" w:rsidRPr="007753D5" w:rsidRDefault="00422627">
            <w:pPr>
              <w:jc w:val="both"/>
              <w:rPr>
                <w:sz w:val="22"/>
                <w:szCs w:val="22"/>
              </w:rPr>
            </w:pPr>
            <w:r w:rsidRPr="007753D5">
              <w:rPr>
                <w:sz w:val="22"/>
                <w:szCs w:val="22"/>
              </w:rPr>
              <w:fldChar w:fldCharType="end"/>
            </w: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FE6F8E" w:rsidRDefault="00FE6F8E">
            <w:pPr>
              <w:jc w:val="both"/>
              <w:rPr>
                <w:sz w:val="22"/>
                <w:szCs w:val="22"/>
              </w:rPr>
            </w:pPr>
          </w:p>
          <w:p w:rsidR="00CF67AB" w:rsidRDefault="00CF67AB">
            <w:pPr>
              <w:jc w:val="both"/>
              <w:rPr>
                <w:sz w:val="22"/>
                <w:szCs w:val="22"/>
              </w:rPr>
            </w:pPr>
          </w:p>
          <w:p w:rsidR="00A24000" w:rsidRPr="007753D5" w:rsidRDefault="00422627">
            <w:pPr>
              <w:jc w:val="both"/>
              <w:rPr>
                <w:sz w:val="22"/>
                <w:szCs w:val="22"/>
              </w:rPr>
            </w:pPr>
            <w:r w:rsidRPr="007753D5">
              <w:rPr>
                <w:sz w:val="22"/>
                <w:szCs w:val="22"/>
              </w:rPr>
              <w:t>Indicator 3:</w:t>
            </w:r>
          </w:p>
          <w:p w:rsidR="00A24000" w:rsidRPr="007753D5" w:rsidRDefault="00422627">
            <w:pPr>
              <w:jc w:val="both"/>
              <w:rPr>
                <w:sz w:val="22"/>
                <w:szCs w:val="22"/>
              </w:rPr>
            </w:pPr>
            <w:r w:rsidRPr="007753D5">
              <w:rPr>
                <w:sz w:val="22"/>
                <w:szCs w:val="22"/>
              </w:rPr>
              <w:fldChar w:fldCharType="begin">
                <w:ffData>
                  <w:name w:val="Text42"/>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 xml:space="preserve">Number of lawyers trained and advised by Project who refer to national and international human rights standards and use international human rights </w:t>
            </w:r>
            <w:r w:rsidRPr="007753D5">
              <w:rPr>
                <w:sz w:val="22"/>
                <w:szCs w:val="22"/>
              </w:rPr>
              <w:lastRenderedPageBreak/>
              <w:t>mechanisms .</w:t>
            </w:r>
            <w:r w:rsidRPr="007753D5">
              <w:rPr>
                <w:sz w:val="22"/>
                <w:szCs w:val="22"/>
              </w:rPr>
              <w:fldChar w:fldCharType="end"/>
            </w:r>
            <w:r w:rsidRPr="007753D5">
              <w:rPr>
                <w:sz w:val="22"/>
                <w:szCs w:val="22"/>
              </w:rPr>
              <w:t xml:space="preserve"> </w:t>
            </w: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A24000">
            <w:pPr>
              <w:jc w:val="both"/>
              <w:rPr>
                <w:sz w:val="22"/>
                <w:szCs w:val="22"/>
              </w:rPr>
            </w:pPr>
          </w:p>
          <w:p w:rsidR="00A24000" w:rsidRPr="007753D5" w:rsidRDefault="00422627">
            <w:pPr>
              <w:jc w:val="both"/>
              <w:rPr>
                <w:sz w:val="22"/>
                <w:szCs w:val="22"/>
              </w:rPr>
            </w:pPr>
            <w:r w:rsidRPr="007753D5">
              <w:rPr>
                <w:sz w:val="22"/>
                <w:szCs w:val="22"/>
              </w:rPr>
              <w:t>Indicator 4:</w:t>
            </w:r>
          </w:p>
          <w:p w:rsidR="00A24000" w:rsidRPr="007753D5" w:rsidRDefault="00422627">
            <w:pPr>
              <w:rPr>
                <w:sz w:val="22"/>
                <w:szCs w:val="22"/>
              </w:rPr>
            </w:pPr>
            <w:r w:rsidRPr="007753D5">
              <w:rPr>
                <w:sz w:val="22"/>
                <w:szCs w:val="22"/>
              </w:rPr>
              <w:fldChar w:fldCharType="begin">
                <w:ffData>
                  <w:name w:val=""/>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 xml:space="preserve"> Number of public reports produced by human rights NGOs on the human rights situation in Osh and Jalalabad provinces of Kyrgyzstan.</w:t>
            </w:r>
            <w:r w:rsidRPr="007753D5">
              <w:rPr>
                <w:sz w:val="22"/>
                <w:szCs w:val="22"/>
              </w:rPr>
              <w:fldChar w:fldCharType="end"/>
            </w:r>
          </w:p>
        </w:tc>
        <w:tc>
          <w:tcPr>
            <w:tcW w:w="4853" w:type="dxa"/>
            <w:tcBorders>
              <w:top w:val="single" w:sz="4" w:space="0" w:color="auto"/>
              <w:left w:val="single" w:sz="4" w:space="0" w:color="auto"/>
              <w:bottom w:val="single" w:sz="4" w:space="0" w:color="auto"/>
              <w:right w:val="single" w:sz="4" w:space="0" w:color="auto"/>
            </w:tcBorders>
          </w:tcPr>
          <w:p w:rsidR="00B37AFE" w:rsidRDefault="00B37AFE">
            <w:pPr>
              <w:jc w:val="both"/>
              <w:rPr>
                <w:sz w:val="22"/>
                <w:szCs w:val="22"/>
              </w:rPr>
            </w:pPr>
          </w:p>
          <w:p w:rsidR="00A24000" w:rsidRPr="007753D5" w:rsidRDefault="00422627">
            <w:pPr>
              <w:jc w:val="both"/>
              <w:rPr>
                <w:sz w:val="22"/>
                <w:szCs w:val="22"/>
              </w:rPr>
            </w:pPr>
            <w:r w:rsidRPr="007753D5">
              <w:rPr>
                <w:sz w:val="22"/>
                <w:szCs w:val="22"/>
              </w:rPr>
              <w:t xml:space="preserve">Baseline: </w:t>
            </w:r>
            <w:r w:rsidRPr="007753D5">
              <w:rPr>
                <w:sz w:val="22"/>
                <w:szCs w:val="22"/>
              </w:rPr>
              <w:fldChar w:fldCharType="begin">
                <w:ffData>
                  <w:name w:val="Text43"/>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0 preventive visit reports, 1 annual report  for 2013, 0 special reports</w:t>
            </w:r>
            <w:r w:rsidRPr="007753D5">
              <w:rPr>
                <w:sz w:val="22"/>
                <w:szCs w:val="22"/>
              </w:rPr>
              <w:fldChar w:fldCharType="end"/>
            </w:r>
          </w:p>
          <w:p w:rsidR="00A24000" w:rsidRPr="007753D5" w:rsidRDefault="00422627">
            <w:pPr>
              <w:jc w:val="both"/>
              <w:rPr>
                <w:sz w:val="22"/>
                <w:szCs w:val="22"/>
              </w:rPr>
            </w:pPr>
            <w:r w:rsidRPr="007753D5">
              <w:rPr>
                <w:sz w:val="22"/>
                <w:szCs w:val="22"/>
              </w:rPr>
              <w:t xml:space="preserve">Target: </w:t>
            </w:r>
            <w:r w:rsidRPr="007753D5">
              <w:rPr>
                <w:sz w:val="22"/>
                <w:szCs w:val="22"/>
              </w:rPr>
              <w:fldChar w:fldCharType="begin">
                <w:ffData>
                  <w:name w:val="Text43"/>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By June 2016, the NPM produces 20 visit reports as a result of preventive visits, addresses two annual reports and four special reports with specific recommendations to the Kyrgyz Parliament.</w:t>
            </w:r>
            <w:r w:rsidRPr="007753D5">
              <w:rPr>
                <w:sz w:val="22"/>
                <w:szCs w:val="22"/>
              </w:rPr>
              <w:fldChar w:fldCharType="end"/>
            </w:r>
          </w:p>
          <w:p w:rsidR="00A24000" w:rsidRPr="007753D5" w:rsidRDefault="00422627">
            <w:pPr>
              <w:jc w:val="both"/>
              <w:rPr>
                <w:sz w:val="22"/>
                <w:szCs w:val="22"/>
              </w:rPr>
            </w:pPr>
            <w:r w:rsidRPr="007753D5">
              <w:rPr>
                <w:sz w:val="22"/>
                <w:szCs w:val="22"/>
              </w:rPr>
              <w:t>Progress:</w:t>
            </w:r>
            <w:r w:rsidRPr="008E406E">
              <w:rPr>
                <w:sz w:val="22"/>
                <w:szCs w:val="22"/>
              </w:rPr>
              <w:fldChar w:fldCharType="begin">
                <w:ffData>
                  <w:name w:val="Text43"/>
                  <w:enabled/>
                  <w:calcOnExit w:val="0"/>
                  <w:textInput/>
                </w:ffData>
              </w:fldChar>
            </w:r>
            <w:r w:rsidRPr="008E406E">
              <w:rPr>
                <w:sz w:val="22"/>
                <w:szCs w:val="22"/>
              </w:rPr>
              <w:instrText xml:space="preserve"> FORMTEXT </w:instrText>
            </w:r>
            <w:r w:rsidRPr="008E406E">
              <w:rPr>
                <w:sz w:val="22"/>
                <w:szCs w:val="22"/>
              </w:rPr>
            </w:r>
            <w:r w:rsidRPr="008E406E">
              <w:rPr>
                <w:sz w:val="22"/>
                <w:szCs w:val="22"/>
              </w:rPr>
              <w:fldChar w:fldCharType="separate"/>
            </w:r>
            <w:r w:rsidR="00FC7873">
              <w:rPr>
                <w:noProof/>
                <w:sz w:val="22"/>
                <w:szCs w:val="22"/>
              </w:rPr>
              <w:t>1 annual report is being drafted.</w:t>
            </w:r>
            <w:r w:rsidR="002043A9" w:rsidRPr="008E406E">
              <w:rPr>
                <w:noProof/>
                <w:sz w:val="22"/>
                <w:szCs w:val="22"/>
              </w:rPr>
              <w:t xml:space="preserve"> </w:t>
            </w:r>
            <w:r w:rsidR="007753D5" w:rsidRPr="008E406E">
              <w:rPr>
                <w:noProof/>
                <w:sz w:val="22"/>
                <w:szCs w:val="22"/>
              </w:rPr>
              <w:t xml:space="preserve">By July 2014, the NPM </w:t>
            </w:r>
            <w:r w:rsidR="00B9494A" w:rsidRPr="008E406E">
              <w:rPr>
                <w:noProof/>
                <w:sz w:val="22"/>
                <w:szCs w:val="22"/>
              </w:rPr>
              <w:t>was fully staff</w:t>
            </w:r>
            <w:r w:rsidR="00B621AF">
              <w:rPr>
                <w:noProof/>
                <w:sz w:val="22"/>
                <w:szCs w:val="22"/>
              </w:rPr>
              <w:t>ed</w:t>
            </w:r>
            <w:r w:rsidR="00B9494A" w:rsidRPr="008E406E">
              <w:rPr>
                <w:noProof/>
                <w:sz w:val="22"/>
                <w:szCs w:val="22"/>
              </w:rPr>
              <w:t xml:space="preserve"> and had its headquarters opened in Bishkek and regional offices established in Issyk-Kul, Talas, Naryn, Osh, Jalalabad and Batken provinces. It has since been conducting</w:t>
            </w:r>
            <w:r w:rsidR="007753D5" w:rsidRPr="008E406E">
              <w:rPr>
                <w:noProof/>
                <w:sz w:val="22"/>
                <w:szCs w:val="22"/>
              </w:rPr>
              <w:t xml:space="preserve"> independent monitoring visits to </w:t>
            </w:r>
            <w:r w:rsidR="00405B1B">
              <w:rPr>
                <w:noProof/>
                <w:sz w:val="22"/>
                <w:szCs w:val="22"/>
              </w:rPr>
              <w:t xml:space="preserve">various </w:t>
            </w:r>
            <w:r w:rsidR="007753D5" w:rsidRPr="008E406E">
              <w:rPr>
                <w:noProof/>
                <w:sz w:val="22"/>
                <w:szCs w:val="22"/>
              </w:rPr>
              <w:t xml:space="preserve">places of deprivation and limitation of liberty, including </w:t>
            </w:r>
            <w:r w:rsidR="00B9494A" w:rsidRPr="008E406E">
              <w:rPr>
                <w:noProof/>
                <w:sz w:val="22"/>
                <w:szCs w:val="22"/>
              </w:rPr>
              <w:t>police detention facilities</w:t>
            </w:r>
            <w:r w:rsidR="007753D5" w:rsidRPr="008E406E">
              <w:rPr>
                <w:noProof/>
                <w:sz w:val="22"/>
                <w:szCs w:val="22"/>
              </w:rPr>
              <w:t>, prisons, psychiatric/medical facilities, or</w:t>
            </w:r>
            <w:r w:rsidR="00B9494A" w:rsidRPr="008E406E">
              <w:rPr>
                <w:noProof/>
                <w:sz w:val="22"/>
                <w:szCs w:val="22"/>
              </w:rPr>
              <w:t>phanages and military units.</w:t>
            </w:r>
            <w:r w:rsidRPr="008E406E">
              <w:rPr>
                <w:noProof/>
                <w:sz w:val="22"/>
                <w:szCs w:val="22"/>
              </w:rPr>
              <w:t> </w:t>
            </w:r>
            <w:r w:rsidRPr="008E406E">
              <w:rPr>
                <w:sz w:val="22"/>
                <w:szCs w:val="22"/>
              </w:rPr>
              <w:fldChar w:fldCharType="end"/>
            </w:r>
          </w:p>
          <w:p w:rsidR="00FE6F8E" w:rsidRPr="007753D5" w:rsidRDefault="00FE6F8E">
            <w:pPr>
              <w:jc w:val="both"/>
              <w:rPr>
                <w:sz w:val="22"/>
                <w:szCs w:val="22"/>
              </w:rPr>
            </w:pPr>
          </w:p>
          <w:p w:rsidR="00B37AFE" w:rsidRDefault="00B37AFE">
            <w:pPr>
              <w:jc w:val="both"/>
              <w:rPr>
                <w:sz w:val="22"/>
                <w:szCs w:val="22"/>
              </w:rPr>
            </w:pPr>
          </w:p>
          <w:p w:rsidR="00A24000" w:rsidRPr="007753D5" w:rsidRDefault="00422627">
            <w:pPr>
              <w:jc w:val="both"/>
              <w:rPr>
                <w:sz w:val="22"/>
                <w:szCs w:val="22"/>
              </w:rPr>
            </w:pPr>
            <w:r w:rsidRPr="007753D5">
              <w:rPr>
                <w:sz w:val="22"/>
                <w:szCs w:val="22"/>
              </w:rPr>
              <w:t xml:space="preserve">Baseline: </w:t>
            </w:r>
            <w:r w:rsidRPr="007753D5">
              <w:rPr>
                <w:sz w:val="22"/>
                <w:szCs w:val="22"/>
              </w:rPr>
              <w:fldChar w:fldCharType="begin">
                <w:ffData>
                  <w:name w:val=""/>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Zero, the Coordination Council functions since the end of November 2013.</w:t>
            </w:r>
            <w:r w:rsidRPr="007753D5">
              <w:rPr>
                <w:sz w:val="22"/>
                <w:szCs w:val="22"/>
              </w:rPr>
              <w:fldChar w:fldCharType="end"/>
            </w:r>
          </w:p>
          <w:p w:rsidR="00A24000" w:rsidRPr="007753D5" w:rsidRDefault="00422627">
            <w:pPr>
              <w:jc w:val="both"/>
              <w:rPr>
                <w:sz w:val="22"/>
                <w:szCs w:val="22"/>
              </w:rPr>
            </w:pPr>
            <w:r w:rsidRPr="007753D5">
              <w:rPr>
                <w:sz w:val="22"/>
                <w:szCs w:val="22"/>
              </w:rPr>
              <w:t xml:space="preserve">Target: </w:t>
            </w:r>
            <w:r w:rsidRPr="007753D5">
              <w:rPr>
                <w:sz w:val="22"/>
                <w:szCs w:val="22"/>
              </w:rPr>
              <w:fldChar w:fldCharType="begin">
                <w:ffData>
                  <w:name w:val=""/>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00597A63" w:rsidRPr="00597A63">
              <w:rPr>
                <w:sz w:val="22"/>
                <w:szCs w:val="22"/>
              </w:rPr>
              <w:t>By June 2016, the Coordination Council under the Government of the Kyrgyz Republic facilitates the preparation of a national report to the 2nd cycle of UPR and implementation of at least ten recommendations of UPR.</w:t>
            </w:r>
            <w:r w:rsidRPr="007753D5">
              <w:rPr>
                <w:noProof/>
                <w:sz w:val="22"/>
                <w:szCs w:val="22"/>
              </w:rPr>
              <w:t> </w:t>
            </w:r>
            <w:r w:rsidRPr="007753D5">
              <w:rPr>
                <w:sz w:val="22"/>
                <w:szCs w:val="22"/>
              </w:rPr>
              <w:fldChar w:fldCharType="end"/>
            </w:r>
          </w:p>
          <w:p w:rsidR="00FE6F8E" w:rsidRPr="007753D5" w:rsidRDefault="00422627">
            <w:pPr>
              <w:jc w:val="both"/>
              <w:rPr>
                <w:noProof/>
                <w:sz w:val="22"/>
                <w:szCs w:val="22"/>
              </w:rPr>
            </w:pPr>
            <w:r w:rsidRPr="007753D5">
              <w:rPr>
                <w:sz w:val="22"/>
                <w:szCs w:val="22"/>
              </w:rPr>
              <w:t>Progress</w:t>
            </w:r>
            <w:r w:rsidR="00B37AFE">
              <w:rPr>
                <w:sz w:val="22"/>
                <w:szCs w:val="22"/>
              </w:rPr>
              <w:t xml:space="preserve">: </w:t>
            </w:r>
            <w:r w:rsidRPr="007753D5">
              <w:rPr>
                <w:sz w:val="22"/>
                <w:szCs w:val="22"/>
              </w:rPr>
              <w:fldChar w:fldCharType="begin">
                <w:ffData>
                  <w:name w:val="Text43"/>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002043A9">
              <w:rPr>
                <w:noProof/>
                <w:sz w:val="22"/>
                <w:szCs w:val="22"/>
              </w:rPr>
              <w:t>One National Report for the 2</w:t>
            </w:r>
            <w:r w:rsidR="002043A9" w:rsidRPr="002043A9">
              <w:rPr>
                <w:noProof/>
                <w:sz w:val="22"/>
                <w:szCs w:val="22"/>
                <w:vertAlign w:val="superscript"/>
              </w:rPr>
              <w:t>nd</w:t>
            </w:r>
            <w:r w:rsidR="002043A9">
              <w:rPr>
                <w:noProof/>
                <w:sz w:val="22"/>
                <w:szCs w:val="22"/>
              </w:rPr>
              <w:t xml:space="preserve"> cycle of the UPR was coordinated by t</w:t>
            </w:r>
            <w:r w:rsidR="00CF67AB">
              <w:rPr>
                <w:noProof/>
                <w:sz w:val="22"/>
                <w:szCs w:val="22"/>
              </w:rPr>
              <w:t>he Coordination Council in a tra</w:t>
            </w:r>
            <w:r w:rsidR="002043A9">
              <w:rPr>
                <w:noProof/>
                <w:sz w:val="22"/>
                <w:szCs w:val="22"/>
              </w:rPr>
              <w:t>n</w:t>
            </w:r>
            <w:r w:rsidR="00CF67AB">
              <w:rPr>
                <w:noProof/>
                <w:sz w:val="22"/>
                <w:szCs w:val="22"/>
              </w:rPr>
              <w:t>sparent manner and</w:t>
            </w:r>
            <w:r w:rsidR="00FE6F8E">
              <w:rPr>
                <w:noProof/>
                <w:sz w:val="22"/>
                <w:szCs w:val="22"/>
              </w:rPr>
              <w:t xml:space="preserve"> in consultation with the civil society.</w:t>
            </w:r>
            <w:r w:rsidR="00CF67AB">
              <w:rPr>
                <w:noProof/>
                <w:sz w:val="22"/>
                <w:szCs w:val="22"/>
              </w:rPr>
              <w:t xml:space="preserve"> The </w:t>
            </w:r>
            <w:r w:rsidR="00015088">
              <w:rPr>
                <w:noProof/>
                <w:sz w:val="22"/>
                <w:szCs w:val="22"/>
              </w:rPr>
              <w:t>National</w:t>
            </w:r>
            <w:r w:rsidR="00CF67AB">
              <w:rPr>
                <w:noProof/>
                <w:sz w:val="22"/>
                <w:szCs w:val="22"/>
              </w:rPr>
              <w:t xml:space="preserve"> Report was submitted to the UPR in November 2014.</w:t>
            </w:r>
          </w:p>
          <w:p w:rsidR="00B37AFE" w:rsidRDefault="00422627" w:rsidP="00192272">
            <w:pPr>
              <w:jc w:val="both"/>
              <w:rPr>
                <w:sz w:val="22"/>
                <w:szCs w:val="22"/>
              </w:rPr>
            </w:pPr>
            <w:r w:rsidRPr="007753D5">
              <w:rPr>
                <w:sz w:val="22"/>
                <w:szCs w:val="22"/>
              </w:rPr>
              <w:fldChar w:fldCharType="end"/>
            </w:r>
          </w:p>
          <w:p w:rsidR="00F83075" w:rsidRDefault="00F83075" w:rsidP="00192272">
            <w:pPr>
              <w:jc w:val="both"/>
              <w:rPr>
                <w:sz w:val="22"/>
                <w:szCs w:val="22"/>
              </w:rPr>
            </w:pPr>
          </w:p>
          <w:p w:rsidR="00B37AFE" w:rsidRDefault="00B37AFE" w:rsidP="00192272">
            <w:pPr>
              <w:jc w:val="both"/>
              <w:rPr>
                <w:sz w:val="22"/>
                <w:szCs w:val="22"/>
              </w:rPr>
            </w:pPr>
          </w:p>
          <w:p w:rsidR="00A24000" w:rsidRPr="007753D5" w:rsidRDefault="00422627" w:rsidP="00192272">
            <w:pPr>
              <w:jc w:val="both"/>
              <w:rPr>
                <w:sz w:val="22"/>
                <w:szCs w:val="22"/>
              </w:rPr>
            </w:pPr>
            <w:r w:rsidRPr="007753D5">
              <w:rPr>
                <w:sz w:val="22"/>
                <w:szCs w:val="22"/>
              </w:rPr>
              <w:t xml:space="preserve">Baseline: </w:t>
            </w:r>
            <w:r w:rsidRPr="007753D5">
              <w:rPr>
                <w:sz w:val="22"/>
                <w:szCs w:val="22"/>
              </w:rPr>
              <w:fldChar w:fldCharType="begin">
                <w:ffData>
                  <w:name w:val="Text43"/>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 xml:space="preserve">12 lawyers trained and advised by OHCHR ROCA have used international standards and mechanisms in their work in the first half of </w:t>
            </w:r>
            <w:r w:rsidRPr="007753D5">
              <w:rPr>
                <w:sz w:val="22"/>
                <w:szCs w:val="22"/>
              </w:rPr>
              <w:lastRenderedPageBreak/>
              <w:t>2013.</w:t>
            </w:r>
            <w:r w:rsidRPr="007753D5">
              <w:rPr>
                <w:sz w:val="22"/>
                <w:szCs w:val="22"/>
              </w:rPr>
              <w:t> </w:t>
            </w:r>
            <w:r w:rsidRPr="007753D5">
              <w:rPr>
                <w:sz w:val="22"/>
                <w:szCs w:val="22"/>
              </w:rPr>
              <w:fldChar w:fldCharType="end"/>
            </w:r>
          </w:p>
          <w:p w:rsidR="00A24000" w:rsidRPr="007753D5" w:rsidRDefault="00422627">
            <w:pPr>
              <w:jc w:val="both"/>
              <w:rPr>
                <w:sz w:val="22"/>
                <w:szCs w:val="22"/>
              </w:rPr>
            </w:pPr>
            <w:r w:rsidRPr="007753D5">
              <w:rPr>
                <w:sz w:val="22"/>
                <w:szCs w:val="22"/>
              </w:rPr>
              <w:t xml:space="preserve">Target: </w:t>
            </w:r>
            <w:r w:rsidRPr="007753D5">
              <w:rPr>
                <w:sz w:val="22"/>
                <w:szCs w:val="22"/>
              </w:rPr>
              <w:fldChar w:fldCharType="begin">
                <w:ffData>
                  <w:name w:val="Text43"/>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By June 2016, up to 24 lawyers-trainees manage their cases in line with international human rights standards and use international human rights mechanisms in their work to protect and promote human rights.</w:t>
            </w:r>
            <w:r w:rsidRPr="007753D5">
              <w:rPr>
                <w:noProof/>
                <w:sz w:val="22"/>
                <w:szCs w:val="22"/>
              </w:rPr>
              <w:t> </w:t>
            </w:r>
            <w:r w:rsidRPr="007753D5">
              <w:rPr>
                <w:sz w:val="22"/>
                <w:szCs w:val="22"/>
              </w:rPr>
              <w:fldChar w:fldCharType="end"/>
            </w:r>
          </w:p>
          <w:p w:rsidR="00A24000" w:rsidRPr="007753D5" w:rsidRDefault="00422627">
            <w:pPr>
              <w:jc w:val="both"/>
              <w:rPr>
                <w:sz w:val="22"/>
                <w:szCs w:val="22"/>
              </w:rPr>
            </w:pPr>
            <w:r w:rsidRPr="007753D5">
              <w:rPr>
                <w:sz w:val="22"/>
                <w:szCs w:val="22"/>
              </w:rPr>
              <w:t>Progress</w:t>
            </w:r>
            <w:r w:rsidR="00E351AB">
              <w:rPr>
                <w:sz w:val="22"/>
                <w:szCs w:val="22"/>
              </w:rPr>
              <w:t xml:space="preserve">: </w:t>
            </w:r>
            <w:r w:rsidRPr="007753D5">
              <w:rPr>
                <w:sz w:val="22"/>
                <w:szCs w:val="22"/>
              </w:rPr>
              <w:fldChar w:fldCharType="begin">
                <w:ffData>
                  <w:name w:val="Text43"/>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00F83075">
              <w:rPr>
                <w:sz w:val="22"/>
                <w:szCs w:val="22"/>
              </w:rPr>
              <w:t>A</w:t>
            </w:r>
            <w:r w:rsidR="00E351AB" w:rsidRPr="007F7272">
              <w:rPr>
                <w:sz w:val="22"/>
                <w:szCs w:val="22"/>
              </w:rPr>
              <w:t xml:space="preserve">ctivities </w:t>
            </w:r>
            <w:r w:rsidR="00F83075">
              <w:rPr>
                <w:sz w:val="22"/>
                <w:szCs w:val="22"/>
              </w:rPr>
              <w:t>are</w:t>
            </w:r>
            <w:r w:rsidR="00E351AB">
              <w:rPr>
                <w:sz w:val="22"/>
                <w:szCs w:val="22"/>
              </w:rPr>
              <w:t xml:space="preserve"> </w:t>
            </w:r>
            <w:r w:rsidR="00E351AB" w:rsidRPr="007F7272">
              <w:rPr>
                <w:sz w:val="22"/>
                <w:szCs w:val="22"/>
              </w:rPr>
              <w:t>scheduled to take place in 2015-2016</w:t>
            </w:r>
            <w:r w:rsidR="00F83075">
              <w:rPr>
                <w:sz w:val="22"/>
                <w:szCs w:val="22"/>
              </w:rPr>
              <w:t>.</w:t>
            </w:r>
            <w:r w:rsidRPr="007753D5">
              <w:rPr>
                <w:noProof/>
                <w:sz w:val="22"/>
                <w:szCs w:val="22"/>
              </w:rPr>
              <w:t> </w:t>
            </w:r>
            <w:r w:rsidRPr="007753D5">
              <w:rPr>
                <w:sz w:val="22"/>
                <w:szCs w:val="22"/>
              </w:rPr>
              <w:fldChar w:fldCharType="end"/>
            </w:r>
          </w:p>
          <w:p w:rsidR="00A24000" w:rsidRPr="007753D5" w:rsidRDefault="00A24000">
            <w:pPr>
              <w:jc w:val="both"/>
              <w:rPr>
                <w:sz w:val="22"/>
                <w:szCs w:val="22"/>
              </w:rPr>
            </w:pPr>
          </w:p>
          <w:p w:rsidR="00A24000" w:rsidRPr="007753D5" w:rsidRDefault="00422627">
            <w:pPr>
              <w:jc w:val="both"/>
              <w:rPr>
                <w:sz w:val="22"/>
                <w:szCs w:val="22"/>
              </w:rPr>
            </w:pPr>
            <w:r w:rsidRPr="007753D5">
              <w:rPr>
                <w:sz w:val="22"/>
                <w:szCs w:val="22"/>
              </w:rPr>
              <w:t xml:space="preserve">Baseline: </w:t>
            </w:r>
            <w:r w:rsidRPr="007753D5">
              <w:rPr>
                <w:sz w:val="22"/>
                <w:szCs w:val="22"/>
              </w:rPr>
              <w:fldChar w:fldCharType="begin">
                <w:ffData>
                  <w:name w:val="Text43"/>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Not available</w:t>
            </w:r>
            <w:r w:rsidRPr="007753D5">
              <w:rPr>
                <w:sz w:val="22"/>
                <w:szCs w:val="22"/>
              </w:rPr>
              <w:t> </w:t>
            </w:r>
            <w:r w:rsidRPr="007753D5">
              <w:rPr>
                <w:sz w:val="22"/>
                <w:szCs w:val="22"/>
              </w:rPr>
              <w:fldChar w:fldCharType="end"/>
            </w:r>
          </w:p>
          <w:p w:rsidR="00A24000" w:rsidRPr="007753D5" w:rsidRDefault="00422627" w:rsidP="00906EBE">
            <w:pPr>
              <w:jc w:val="both"/>
              <w:rPr>
                <w:sz w:val="22"/>
                <w:szCs w:val="22"/>
              </w:rPr>
            </w:pPr>
            <w:r w:rsidRPr="007753D5">
              <w:rPr>
                <w:sz w:val="22"/>
                <w:szCs w:val="22"/>
              </w:rPr>
              <w:t xml:space="preserve">Target: </w:t>
            </w:r>
            <w:r w:rsidRPr="007753D5">
              <w:rPr>
                <w:sz w:val="22"/>
                <w:szCs w:val="22"/>
              </w:rPr>
              <w:fldChar w:fldCharType="begin">
                <w:ffData>
                  <w:name w:val="Text43"/>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Pr="007753D5">
              <w:rPr>
                <w:sz w:val="22"/>
                <w:szCs w:val="22"/>
              </w:rPr>
              <w:t>By June 2016, two public monitoring reports with specific recommendations to the Governm</w:t>
            </w:r>
            <w:r w:rsidR="00405B1B">
              <w:rPr>
                <w:sz w:val="22"/>
                <w:szCs w:val="22"/>
              </w:rPr>
              <w:t>ent are produced by the project-</w:t>
            </w:r>
            <w:r w:rsidRPr="007753D5">
              <w:rPr>
                <w:sz w:val="22"/>
                <w:szCs w:val="22"/>
              </w:rPr>
              <w:t xml:space="preserve">supported NGOs on </w:t>
            </w:r>
            <w:r w:rsidR="00F83075">
              <w:rPr>
                <w:sz w:val="22"/>
                <w:szCs w:val="22"/>
              </w:rPr>
              <w:t xml:space="preserve">the </w:t>
            </w:r>
            <w:r w:rsidRPr="007753D5">
              <w:rPr>
                <w:sz w:val="22"/>
                <w:szCs w:val="22"/>
              </w:rPr>
              <w:t>human rights situation in Osh and Jalalabad with reference to international human rights standards.</w:t>
            </w:r>
            <w:r w:rsidRPr="007753D5">
              <w:rPr>
                <w:noProof/>
                <w:sz w:val="22"/>
                <w:szCs w:val="22"/>
              </w:rPr>
              <w:t> </w:t>
            </w:r>
            <w:r w:rsidRPr="007753D5">
              <w:rPr>
                <w:sz w:val="22"/>
                <w:szCs w:val="22"/>
              </w:rPr>
              <w:fldChar w:fldCharType="end"/>
            </w:r>
          </w:p>
          <w:p w:rsidR="00A24000" w:rsidRPr="007753D5" w:rsidRDefault="00422627" w:rsidP="00F83075">
            <w:pPr>
              <w:jc w:val="both"/>
              <w:rPr>
                <w:sz w:val="22"/>
                <w:szCs w:val="22"/>
              </w:rPr>
            </w:pPr>
            <w:r w:rsidRPr="007753D5">
              <w:rPr>
                <w:sz w:val="22"/>
                <w:szCs w:val="22"/>
              </w:rPr>
              <w:t>Progress</w:t>
            </w:r>
            <w:r w:rsidR="00B37AFE">
              <w:rPr>
                <w:sz w:val="22"/>
                <w:szCs w:val="22"/>
              </w:rPr>
              <w:t xml:space="preserve">: </w:t>
            </w:r>
            <w:r w:rsidRPr="007753D5">
              <w:rPr>
                <w:sz w:val="22"/>
                <w:szCs w:val="22"/>
              </w:rPr>
              <w:fldChar w:fldCharType="begin">
                <w:ffData>
                  <w:name w:val="Text43"/>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sidR="00F83075">
              <w:rPr>
                <w:sz w:val="22"/>
                <w:szCs w:val="22"/>
              </w:rPr>
              <w:t>A</w:t>
            </w:r>
            <w:r w:rsidR="00B37AFE" w:rsidRPr="007F7272">
              <w:rPr>
                <w:sz w:val="22"/>
                <w:szCs w:val="22"/>
              </w:rPr>
              <w:t xml:space="preserve">ctivities </w:t>
            </w:r>
            <w:r w:rsidR="00F83075">
              <w:rPr>
                <w:sz w:val="22"/>
                <w:szCs w:val="22"/>
              </w:rPr>
              <w:t>are</w:t>
            </w:r>
            <w:r w:rsidR="00B37AFE">
              <w:rPr>
                <w:sz w:val="22"/>
                <w:szCs w:val="22"/>
              </w:rPr>
              <w:t xml:space="preserve"> </w:t>
            </w:r>
            <w:r w:rsidR="00B37AFE" w:rsidRPr="007F7272">
              <w:rPr>
                <w:sz w:val="22"/>
                <w:szCs w:val="22"/>
              </w:rPr>
              <w:t>scheduled to take place in 2015-2016</w:t>
            </w:r>
            <w:r w:rsidR="00F83075">
              <w:rPr>
                <w:sz w:val="22"/>
                <w:szCs w:val="22"/>
              </w:rPr>
              <w:t>.</w:t>
            </w:r>
            <w:r w:rsidRPr="007753D5">
              <w:rPr>
                <w:noProof/>
                <w:sz w:val="22"/>
                <w:szCs w:val="22"/>
              </w:rPr>
              <w:t> </w:t>
            </w:r>
            <w:r w:rsidRPr="007753D5">
              <w:rPr>
                <w:sz w:val="22"/>
                <w:szCs w:val="22"/>
              </w:rPr>
              <w:fldChar w:fldCharType="end"/>
            </w:r>
          </w:p>
        </w:tc>
      </w:tr>
    </w:tbl>
    <w:p w:rsidR="00A24000" w:rsidRDefault="00A24000"/>
    <w:p w:rsidR="00A24000" w:rsidRDefault="00A24000">
      <w:pPr>
        <w:jc w:val="both"/>
        <w:rPr>
          <w:rFonts w:ascii="Arial Narrow" w:hAnsi="Arial Narrow"/>
          <w:b/>
          <w:sz w:val="22"/>
          <w:szCs w:val="22"/>
        </w:rPr>
      </w:pPr>
    </w:p>
    <w:p w:rsidR="00A24000" w:rsidRPr="00B37AFE" w:rsidRDefault="00422627">
      <w:pPr>
        <w:jc w:val="both"/>
        <w:rPr>
          <w:b/>
          <w:sz w:val="22"/>
          <w:szCs w:val="22"/>
        </w:rPr>
      </w:pPr>
      <w:r w:rsidRPr="00B37AFE">
        <w:rPr>
          <w:b/>
          <w:sz w:val="22"/>
          <w:szCs w:val="22"/>
        </w:rPr>
        <w:t>Output progress</w:t>
      </w:r>
    </w:p>
    <w:p w:rsidR="00A24000" w:rsidRPr="00B37AFE" w:rsidRDefault="00A24000">
      <w:pPr>
        <w:jc w:val="both"/>
        <w:rPr>
          <w:b/>
          <w:sz w:val="22"/>
          <w:szCs w:val="22"/>
        </w:rPr>
      </w:pPr>
    </w:p>
    <w:p w:rsidR="00A24000" w:rsidRPr="00B37AFE" w:rsidRDefault="00422627">
      <w:pPr>
        <w:rPr>
          <w:i/>
          <w:sz w:val="22"/>
          <w:szCs w:val="22"/>
        </w:rPr>
      </w:pPr>
      <w:r w:rsidRPr="00B37AFE">
        <w:rPr>
          <w:i/>
          <w:sz w:val="22"/>
          <w:szCs w:val="22"/>
        </w:rPr>
        <w:t>List the key outputs achieved under this Outcome in the reporting period (1000 character limit).Outputs are the immediate deliverables for a project.</w:t>
      </w:r>
    </w:p>
    <w:p w:rsidR="00906EBE" w:rsidRDefault="00422627" w:rsidP="00906EBE">
      <w:pPr>
        <w:jc w:val="both"/>
        <w:rPr>
          <w:sz w:val="22"/>
          <w:szCs w:val="22"/>
          <w:lang w:val="en-US"/>
        </w:rPr>
      </w:pPr>
      <w:r w:rsidRPr="00B37AFE">
        <w:rPr>
          <w:i/>
          <w:sz w:val="22"/>
          <w:szCs w:val="22"/>
        </w:rPr>
        <w:fldChar w:fldCharType="begin">
          <w:ffData>
            <w:name w:val=""/>
            <w:enabled/>
            <w:calcOnExit w:val="0"/>
            <w:textInput>
              <w:maxLength w:val="1000"/>
              <w:format w:val="Первая прописная"/>
            </w:textInput>
          </w:ffData>
        </w:fldChar>
      </w:r>
      <w:r w:rsidRPr="00B37AFE">
        <w:rPr>
          <w:i/>
          <w:sz w:val="22"/>
          <w:szCs w:val="22"/>
        </w:rPr>
        <w:instrText xml:space="preserve"> FORMTEXT </w:instrText>
      </w:r>
      <w:r w:rsidRPr="00B37AFE">
        <w:rPr>
          <w:i/>
          <w:sz w:val="22"/>
          <w:szCs w:val="22"/>
        </w:rPr>
      </w:r>
      <w:r w:rsidRPr="00B37AFE">
        <w:rPr>
          <w:i/>
          <w:sz w:val="22"/>
          <w:szCs w:val="22"/>
        </w:rPr>
        <w:fldChar w:fldCharType="separate"/>
      </w:r>
      <w:r w:rsidR="00906EBE" w:rsidRPr="00C869B3">
        <w:rPr>
          <w:sz w:val="22"/>
          <w:szCs w:val="22"/>
          <w:lang w:val="en-US"/>
        </w:rPr>
        <w:t xml:space="preserve">The Human Rights Focal Points of the Coordination Council on Human Rights </w:t>
      </w:r>
      <w:r w:rsidR="00405B1B">
        <w:rPr>
          <w:sz w:val="22"/>
          <w:szCs w:val="22"/>
          <w:lang w:val="en-US"/>
        </w:rPr>
        <w:t xml:space="preserve">(CCHR) </w:t>
      </w:r>
      <w:r w:rsidR="00906EBE" w:rsidRPr="00C869B3">
        <w:rPr>
          <w:sz w:val="22"/>
          <w:szCs w:val="22"/>
          <w:lang w:val="en-US"/>
        </w:rPr>
        <w:t>increased their understanding and awareness on economic, social and cultural rights, particularly the right</w:t>
      </w:r>
      <w:r w:rsidR="0053238C">
        <w:rPr>
          <w:sz w:val="22"/>
          <w:szCs w:val="22"/>
          <w:lang w:val="en-US"/>
        </w:rPr>
        <w:t>s</w:t>
      </w:r>
      <w:r w:rsidR="00906EBE" w:rsidRPr="00C869B3">
        <w:rPr>
          <w:sz w:val="22"/>
          <w:szCs w:val="22"/>
          <w:lang w:val="en-US"/>
        </w:rPr>
        <w:t xml:space="preserve"> to adequate housing, education, health and food, through a ROCA capacity build</w:t>
      </w:r>
      <w:r w:rsidR="00B621AF">
        <w:rPr>
          <w:sz w:val="22"/>
          <w:szCs w:val="22"/>
          <w:lang w:val="en-US"/>
        </w:rPr>
        <w:t xml:space="preserve">ing activity that took place </w:t>
      </w:r>
      <w:r w:rsidR="00906EBE" w:rsidRPr="00C869B3">
        <w:rPr>
          <w:sz w:val="22"/>
          <w:szCs w:val="22"/>
          <w:lang w:val="en-US"/>
        </w:rPr>
        <w:t>02-03 July</w:t>
      </w:r>
      <w:r w:rsidR="00B621AF">
        <w:rPr>
          <w:sz w:val="22"/>
          <w:szCs w:val="22"/>
          <w:lang w:val="en-US"/>
        </w:rPr>
        <w:t xml:space="preserve"> 2014</w:t>
      </w:r>
      <w:r w:rsidR="00906EBE" w:rsidRPr="00C869B3">
        <w:rPr>
          <w:sz w:val="22"/>
          <w:szCs w:val="22"/>
          <w:lang w:val="en-US"/>
        </w:rPr>
        <w:t>.</w:t>
      </w:r>
    </w:p>
    <w:p w:rsidR="007C562A" w:rsidRPr="00906EBE" w:rsidRDefault="007C562A" w:rsidP="00906EBE">
      <w:pPr>
        <w:jc w:val="both"/>
        <w:rPr>
          <w:sz w:val="22"/>
          <w:szCs w:val="22"/>
          <w:lang w:val="en-US"/>
        </w:rPr>
      </w:pPr>
    </w:p>
    <w:p w:rsidR="00015088" w:rsidRDefault="00906EBE" w:rsidP="00906EBE">
      <w:pPr>
        <w:jc w:val="both"/>
        <w:rPr>
          <w:sz w:val="22"/>
          <w:szCs w:val="22"/>
          <w:lang w:val="en-US"/>
        </w:rPr>
      </w:pPr>
      <w:r w:rsidRPr="00C869B3">
        <w:rPr>
          <w:sz w:val="22"/>
          <w:szCs w:val="22"/>
          <w:lang w:val="en-US"/>
        </w:rPr>
        <w:t xml:space="preserve">The </w:t>
      </w:r>
      <w:r w:rsidR="00405B1B">
        <w:rPr>
          <w:sz w:val="22"/>
          <w:szCs w:val="22"/>
          <w:lang w:val="en-US"/>
        </w:rPr>
        <w:t>CCHR</w:t>
      </w:r>
      <w:r w:rsidRPr="00C869B3">
        <w:rPr>
          <w:sz w:val="22"/>
          <w:szCs w:val="22"/>
          <w:lang w:val="en-US"/>
        </w:rPr>
        <w:t xml:space="preserve"> increased its capacity to effectively engage with UN human rights mechanisms as ROCA seconded </w:t>
      </w:r>
      <w:r w:rsidR="0053238C">
        <w:rPr>
          <w:sz w:val="22"/>
          <w:szCs w:val="22"/>
          <w:lang w:val="en-US"/>
        </w:rPr>
        <w:t>two</w:t>
      </w:r>
      <w:r w:rsidRPr="00C869B3">
        <w:rPr>
          <w:sz w:val="22"/>
          <w:szCs w:val="22"/>
          <w:lang w:val="en-US"/>
        </w:rPr>
        <w:t xml:space="preserve"> Human Rights Expert</w:t>
      </w:r>
      <w:r w:rsidR="0053238C">
        <w:rPr>
          <w:sz w:val="22"/>
          <w:szCs w:val="22"/>
          <w:lang w:val="en-US"/>
        </w:rPr>
        <w:t>s</w:t>
      </w:r>
      <w:r w:rsidRPr="00C869B3">
        <w:rPr>
          <w:sz w:val="22"/>
          <w:szCs w:val="22"/>
          <w:lang w:val="en-US"/>
        </w:rPr>
        <w:t xml:space="preserve"> to </w:t>
      </w:r>
      <w:r w:rsidR="00B621AF">
        <w:rPr>
          <w:sz w:val="22"/>
          <w:szCs w:val="22"/>
          <w:lang w:val="en-US"/>
        </w:rPr>
        <w:t xml:space="preserve">its </w:t>
      </w:r>
      <w:r w:rsidRPr="00C869B3">
        <w:rPr>
          <w:sz w:val="22"/>
          <w:szCs w:val="22"/>
          <w:lang w:val="en-US"/>
        </w:rPr>
        <w:t>Secreta</w:t>
      </w:r>
      <w:r w:rsidR="00B621AF">
        <w:rPr>
          <w:sz w:val="22"/>
          <w:szCs w:val="22"/>
          <w:lang w:val="en-US"/>
        </w:rPr>
        <w:t>riat</w:t>
      </w:r>
      <w:r w:rsidR="0053238C">
        <w:rPr>
          <w:sz w:val="22"/>
          <w:szCs w:val="22"/>
          <w:lang w:val="en-US"/>
        </w:rPr>
        <w:t xml:space="preserve">, </w:t>
      </w:r>
      <w:r w:rsidRPr="00C869B3">
        <w:rPr>
          <w:sz w:val="22"/>
          <w:szCs w:val="22"/>
          <w:lang w:val="en-US"/>
        </w:rPr>
        <w:t>starting from 1 August</w:t>
      </w:r>
      <w:r w:rsidR="00015088">
        <w:rPr>
          <w:sz w:val="22"/>
          <w:szCs w:val="22"/>
          <w:lang w:val="en-US"/>
        </w:rPr>
        <w:t>, and 1 October</w:t>
      </w:r>
      <w:r w:rsidR="0053238C">
        <w:rPr>
          <w:sz w:val="22"/>
          <w:szCs w:val="22"/>
          <w:lang w:val="en-US"/>
        </w:rPr>
        <w:t xml:space="preserve"> </w:t>
      </w:r>
      <w:r w:rsidR="00B621AF">
        <w:rPr>
          <w:sz w:val="22"/>
          <w:szCs w:val="22"/>
          <w:lang w:val="en-US"/>
        </w:rPr>
        <w:t xml:space="preserve">2014 </w:t>
      </w:r>
      <w:r w:rsidR="0053238C">
        <w:rPr>
          <w:sz w:val="22"/>
          <w:szCs w:val="22"/>
          <w:lang w:val="en-US"/>
        </w:rPr>
        <w:t>respectively</w:t>
      </w:r>
      <w:r w:rsidRPr="00C869B3">
        <w:rPr>
          <w:sz w:val="22"/>
          <w:szCs w:val="22"/>
          <w:lang w:val="en-US"/>
        </w:rPr>
        <w:t>. The Human Rights Expert</w:t>
      </w:r>
      <w:r w:rsidR="00015088">
        <w:rPr>
          <w:sz w:val="22"/>
          <w:szCs w:val="22"/>
          <w:lang w:val="en-US"/>
        </w:rPr>
        <w:t>s</w:t>
      </w:r>
      <w:r w:rsidRPr="00C869B3">
        <w:rPr>
          <w:sz w:val="22"/>
          <w:szCs w:val="22"/>
          <w:lang w:val="en-US"/>
        </w:rPr>
        <w:t xml:space="preserve"> serve as advise</w:t>
      </w:r>
      <w:r w:rsidR="0053238C">
        <w:rPr>
          <w:sz w:val="22"/>
          <w:szCs w:val="22"/>
          <w:lang w:val="en-US"/>
        </w:rPr>
        <w:t>r</w:t>
      </w:r>
      <w:r w:rsidR="00015088">
        <w:rPr>
          <w:sz w:val="22"/>
          <w:szCs w:val="22"/>
          <w:lang w:val="en-US"/>
        </w:rPr>
        <w:t xml:space="preserve">s </w:t>
      </w:r>
      <w:r w:rsidRPr="00C869B3">
        <w:rPr>
          <w:sz w:val="22"/>
          <w:szCs w:val="22"/>
          <w:lang w:val="en-US"/>
        </w:rPr>
        <w:t xml:space="preserve">to the Vice Prime Minister </w:t>
      </w:r>
      <w:r w:rsidR="00015088">
        <w:rPr>
          <w:sz w:val="22"/>
          <w:szCs w:val="22"/>
          <w:lang w:val="en-US"/>
        </w:rPr>
        <w:t xml:space="preserve">and </w:t>
      </w:r>
      <w:r w:rsidRPr="00C869B3">
        <w:rPr>
          <w:sz w:val="22"/>
          <w:szCs w:val="22"/>
          <w:lang w:val="en-US"/>
        </w:rPr>
        <w:t>the Deputy Minister of Justice</w:t>
      </w:r>
      <w:r w:rsidR="00015088">
        <w:rPr>
          <w:sz w:val="22"/>
          <w:szCs w:val="22"/>
          <w:lang w:val="en-US"/>
        </w:rPr>
        <w:t>.</w:t>
      </w:r>
    </w:p>
    <w:p w:rsidR="00906EBE" w:rsidRDefault="00906EBE" w:rsidP="00906EBE">
      <w:pPr>
        <w:jc w:val="both"/>
        <w:rPr>
          <w:sz w:val="22"/>
          <w:lang w:val="en-US"/>
        </w:rPr>
      </w:pPr>
      <w:r>
        <w:rPr>
          <w:sz w:val="22"/>
          <w:lang w:val="en-US"/>
        </w:rPr>
        <w:t xml:space="preserve"> </w:t>
      </w:r>
    </w:p>
    <w:p w:rsidR="0053238C" w:rsidRDefault="00906EBE" w:rsidP="0053238C">
      <w:pPr>
        <w:jc w:val="both"/>
        <w:rPr>
          <w:sz w:val="22"/>
          <w:szCs w:val="22"/>
        </w:rPr>
      </w:pPr>
      <w:r w:rsidRPr="00745A9C">
        <w:rPr>
          <w:sz w:val="22"/>
          <w:szCs w:val="22"/>
          <w:lang w:val="en-US"/>
        </w:rPr>
        <w:t xml:space="preserve">ROCA’s support to the </w:t>
      </w:r>
      <w:r w:rsidR="00405B1B">
        <w:rPr>
          <w:sz w:val="22"/>
          <w:szCs w:val="22"/>
          <w:lang w:val="en-US"/>
        </w:rPr>
        <w:t>CCHR</w:t>
      </w:r>
      <w:r w:rsidRPr="00745A9C">
        <w:rPr>
          <w:sz w:val="22"/>
          <w:szCs w:val="22"/>
          <w:lang w:val="en-US"/>
        </w:rPr>
        <w:t xml:space="preserve"> through the proje</w:t>
      </w:r>
      <w:r w:rsidR="00015088">
        <w:rPr>
          <w:sz w:val="22"/>
          <w:szCs w:val="22"/>
          <w:lang w:val="en-US"/>
        </w:rPr>
        <w:t>ct resulted in the preparation of</w:t>
      </w:r>
      <w:r w:rsidRPr="00745A9C">
        <w:rPr>
          <w:sz w:val="22"/>
          <w:szCs w:val="22"/>
          <w:lang w:val="en-US"/>
        </w:rPr>
        <w:t xml:space="preserve"> the National Report </w:t>
      </w:r>
      <w:r w:rsidR="00015088">
        <w:rPr>
          <w:sz w:val="22"/>
          <w:szCs w:val="22"/>
          <w:lang w:val="en-US"/>
        </w:rPr>
        <w:t>for</w:t>
      </w:r>
      <w:r w:rsidRPr="00745A9C">
        <w:rPr>
          <w:sz w:val="22"/>
          <w:szCs w:val="22"/>
          <w:lang w:val="en-US"/>
        </w:rPr>
        <w:t xml:space="preserve"> the 2</w:t>
      </w:r>
      <w:r w:rsidRPr="00745A9C">
        <w:rPr>
          <w:sz w:val="22"/>
          <w:szCs w:val="22"/>
          <w:vertAlign w:val="superscript"/>
          <w:lang w:val="en-US"/>
        </w:rPr>
        <w:t>nd</w:t>
      </w:r>
      <w:r w:rsidRPr="00745A9C">
        <w:rPr>
          <w:sz w:val="22"/>
          <w:szCs w:val="22"/>
          <w:lang w:val="en-US"/>
        </w:rPr>
        <w:t xml:space="preserve"> cycle of </w:t>
      </w:r>
      <w:r w:rsidR="00015088">
        <w:rPr>
          <w:sz w:val="22"/>
          <w:szCs w:val="22"/>
          <w:lang w:val="en-US"/>
        </w:rPr>
        <w:t xml:space="preserve">the </w:t>
      </w:r>
      <w:r w:rsidRPr="00745A9C">
        <w:rPr>
          <w:sz w:val="22"/>
          <w:szCs w:val="22"/>
          <w:lang w:val="en-US"/>
        </w:rPr>
        <w:t>UPR</w:t>
      </w:r>
      <w:r w:rsidR="00015088">
        <w:rPr>
          <w:sz w:val="22"/>
          <w:szCs w:val="22"/>
          <w:lang w:val="en-US"/>
        </w:rPr>
        <w:t xml:space="preserve">. </w:t>
      </w:r>
      <w:r w:rsidR="00B621AF">
        <w:rPr>
          <w:sz w:val="22"/>
          <w:szCs w:val="22"/>
          <w:lang w:val="en-US"/>
        </w:rPr>
        <w:t>With the support of ROCA t</w:t>
      </w:r>
      <w:r w:rsidR="00015088">
        <w:rPr>
          <w:sz w:val="22"/>
          <w:szCs w:val="22"/>
          <w:lang w:val="en-US"/>
        </w:rPr>
        <w:t xml:space="preserve">he report </w:t>
      </w:r>
      <w:r w:rsidR="00405B1B">
        <w:rPr>
          <w:sz w:val="22"/>
          <w:szCs w:val="22"/>
          <w:lang w:val="en-US"/>
        </w:rPr>
        <w:t>was</w:t>
      </w:r>
      <w:r w:rsidRPr="00745A9C">
        <w:rPr>
          <w:sz w:val="22"/>
          <w:szCs w:val="22"/>
          <w:lang w:val="en-US"/>
        </w:rPr>
        <w:t xml:space="preserve"> discussed with the civil society including on 24 October 2014</w:t>
      </w:r>
      <w:r w:rsidR="0053238C">
        <w:rPr>
          <w:sz w:val="22"/>
          <w:szCs w:val="22"/>
          <w:lang w:val="en-US"/>
        </w:rPr>
        <w:t>.</w:t>
      </w:r>
      <w:r w:rsidR="0053238C" w:rsidRPr="0053238C">
        <w:rPr>
          <w:sz w:val="22"/>
          <w:szCs w:val="22"/>
        </w:rPr>
        <w:t xml:space="preserve"> </w:t>
      </w:r>
    </w:p>
    <w:p w:rsidR="0053238C" w:rsidRDefault="0053238C" w:rsidP="0053238C">
      <w:pPr>
        <w:jc w:val="both"/>
        <w:rPr>
          <w:sz w:val="22"/>
          <w:szCs w:val="22"/>
        </w:rPr>
      </w:pPr>
    </w:p>
    <w:p w:rsidR="00906EBE" w:rsidRPr="00B621AF" w:rsidRDefault="0053238C" w:rsidP="00906EBE">
      <w:pPr>
        <w:jc w:val="both"/>
        <w:rPr>
          <w:sz w:val="22"/>
          <w:szCs w:val="22"/>
        </w:rPr>
      </w:pPr>
      <w:r w:rsidRPr="00727A18">
        <w:rPr>
          <w:sz w:val="22"/>
          <w:szCs w:val="22"/>
        </w:rPr>
        <w:t xml:space="preserve">The National Centre for Prevention of Torture of Kyrgyzstan (NPM) increased its capacity to conduct monitoring </w:t>
      </w:r>
      <w:r>
        <w:rPr>
          <w:sz w:val="22"/>
          <w:szCs w:val="22"/>
        </w:rPr>
        <w:t>of</w:t>
      </w:r>
      <w:r w:rsidRPr="00727A18">
        <w:rPr>
          <w:sz w:val="22"/>
          <w:szCs w:val="22"/>
        </w:rPr>
        <w:t xml:space="preserve"> places of detention </w:t>
      </w:r>
      <w:r>
        <w:rPr>
          <w:sz w:val="22"/>
          <w:szCs w:val="22"/>
        </w:rPr>
        <w:t>inc</w:t>
      </w:r>
      <w:r w:rsidR="00B621AF">
        <w:rPr>
          <w:sz w:val="22"/>
          <w:szCs w:val="22"/>
        </w:rPr>
        <w:t>luding through a joint workshop (</w:t>
      </w:r>
      <w:r w:rsidR="00B621AF" w:rsidRPr="00727A18">
        <w:rPr>
          <w:sz w:val="22"/>
          <w:szCs w:val="22"/>
        </w:rPr>
        <w:t>"Legal and Practical Reforms and Enhancing the Cooperation in Prevention and Investigation of Torture"</w:t>
      </w:r>
      <w:r w:rsidR="00B621AF">
        <w:rPr>
          <w:sz w:val="22"/>
          <w:szCs w:val="22"/>
        </w:rPr>
        <w:t>) organized by</w:t>
      </w:r>
      <w:r>
        <w:rPr>
          <w:sz w:val="22"/>
          <w:szCs w:val="22"/>
        </w:rPr>
        <w:t xml:space="preserve"> </w:t>
      </w:r>
      <w:r w:rsidR="00AF61E7">
        <w:rPr>
          <w:sz w:val="22"/>
          <w:szCs w:val="22"/>
        </w:rPr>
        <w:t>ROCA and</w:t>
      </w:r>
      <w:r w:rsidRPr="00727A18">
        <w:rPr>
          <w:sz w:val="22"/>
          <w:szCs w:val="22"/>
        </w:rPr>
        <w:t xml:space="preserve"> </w:t>
      </w:r>
      <w:r w:rsidR="00AF61E7">
        <w:rPr>
          <w:sz w:val="22"/>
          <w:szCs w:val="22"/>
        </w:rPr>
        <w:t>other stakeholders,</w:t>
      </w:r>
      <w:r w:rsidR="00B621AF">
        <w:rPr>
          <w:sz w:val="22"/>
          <w:szCs w:val="22"/>
        </w:rPr>
        <w:t xml:space="preserve"> 9 and 12 September 2014 in Issyk-Kul.</w:t>
      </w:r>
      <w:r w:rsidR="00422627" w:rsidRPr="00B37AFE">
        <w:rPr>
          <w:i/>
          <w:sz w:val="22"/>
          <w:szCs w:val="22"/>
        </w:rPr>
        <w:t> </w:t>
      </w:r>
      <w:r w:rsidR="00422627" w:rsidRPr="00B37AFE">
        <w:rPr>
          <w:i/>
          <w:sz w:val="22"/>
          <w:szCs w:val="22"/>
        </w:rPr>
        <w:fldChar w:fldCharType="end"/>
      </w:r>
    </w:p>
    <w:p w:rsidR="00727A18" w:rsidRDefault="00727A18" w:rsidP="00906EBE">
      <w:pPr>
        <w:jc w:val="both"/>
        <w:rPr>
          <w:i/>
          <w:sz w:val="22"/>
          <w:szCs w:val="22"/>
        </w:rPr>
      </w:pPr>
    </w:p>
    <w:p w:rsidR="00A24000" w:rsidRPr="00B37AFE" w:rsidRDefault="00A24000">
      <w:pPr>
        <w:rPr>
          <w:i/>
          <w:sz w:val="22"/>
          <w:szCs w:val="22"/>
        </w:rPr>
      </w:pPr>
    </w:p>
    <w:p w:rsidR="00A24000" w:rsidRPr="00B37AFE" w:rsidRDefault="00422627">
      <w:pPr>
        <w:jc w:val="both"/>
        <w:rPr>
          <w:b/>
          <w:sz w:val="22"/>
          <w:szCs w:val="22"/>
        </w:rPr>
      </w:pPr>
      <w:r w:rsidRPr="00B37AFE">
        <w:rPr>
          <w:b/>
          <w:sz w:val="22"/>
          <w:szCs w:val="22"/>
        </w:rPr>
        <w:t>Outcome progress</w:t>
      </w:r>
    </w:p>
    <w:p w:rsidR="00A24000" w:rsidRPr="00B37AFE" w:rsidRDefault="00A24000">
      <w:pPr>
        <w:jc w:val="both"/>
        <w:rPr>
          <w:b/>
          <w:sz w:val="22"/>
          <w:szCs w:val="22"/>
        </w:rPr>
      </w:pPr>
    </w:p>
    <w:p w:rsidR="00A24000" w:rsidRPr="00B37AFE" w:rsidRDefault="00422627">
      <w:pPr>
        <w:rPr>
          <w:i/>
          <w:sz w:val="22"/>
          <w:szCs w:val="22"/>
        </w:rPr>
      </w:pPr>
      <w:r w:rsidRPr="00B37AFE">
        <w:rPr>
          <w:i/>
          <w:sz w:val="22"/>
          <w:szCs w:val="22"/>
        </w:rPr>
        <w:t xml:space="preserve">Describe progress made during the reporting period toward the achievement of this outcome. This analysis should reflect the above indicator progress and the output achievement. Is there evidence of the outcome contributing to peacebuilding and to the specific conflict triggers? Is the theory of change that underpins the project design still relevant for this outcome (3000 character limit)? </w:t>
      </w:r>
    </w:p>
    <w:p w:rsidR="003668F6" w:rsidRDefault="00422627" w:rsidP="00366186">
      <w:pPr>
        <w:jc w:val="both"/>
        <w:rPr>
          <w:noProof/>
          <w:sz w:val="22"/>
          <w:szCs w:val="22"/>
        </w:rPr>
      </w:pPr>
      <w:r w:rsidRPr="00366186">
        <w:rPr>
          <w:b/>
          <w:sz w:val="22"/>
          <w:szCs w:val="22"/>
        </w:rPr>
        <w:fldChar w:fldCharType="begin">
          <w:ffData>
            <w:name w:val=""/>
            <w:enabled/>
            <w:calcOnExit w:val="0"/>
            <w:textInput>
              <w:maxLength w:val="3000"/>
              <w:format w:val="Первая прописная"/>
            </w:textInput>
          </w:ffData>
        </w:fldChar>
      </w:r>
      <w:r w:rsidRPr="00366186">
        <w:rPr>
          <w:b/>
          <w:sz w:val="22"/>
          <w:szCs w:val="22"/>
        </w:rPr>
        <w:instrText xml:space="preserve"> FORMTEXT </w:instrText>
      </w:r>
      <w:r w:rsidRPr="00366186">
        <w:rPr>
          <w:b/>
          <w:sz w:val="22"/>
          <w:szCs w:val="22"/>
        </w:rPr>
      </w:r>
      <w:r w:rsidRPr="00366186">
        <w:rPr>
          <w:b/>
          <w:sz w:val="22"/>
          <w:szCs w:val="22"/>
        </w:rPr>
        <w:fldChar w:fldCharType="separate"/>
      </w:r>
      <w:r w:rsidR="003668F6" w:rsidRPr="00366186">
        <w:rPr>
          <w:noProof/>
          <w:sz w:val="22"/>
          <w:szCs w:val="22"/>
        </w:rPr>
        <w:t xml:space="preserve">The Coordination Council on Human Rights has become an important national mechanism </w:t>
      </w:r>
      <w:r w:rsidR="0053238C">
        <w:rPr>
          <w:noProof/>
          <w:sz w:val="22"/>
          <w:szCs w:val="22"/>
        </w:rPr>
        <w:t>that</w:t>
      </w:r>
      <w:r w:rsidR="003668F6" w:rsidRPr="00366186">
        <w:rPr>
          <w:noProof/>
          <w:sz w:val="22"/>
          <w:szCs w:val="22"/>
        </w:rPr>
        <w:t xml:space="preserve"> address</w:t>
      </w:r>
      <w:r w:rsidR="0053238C">
        <w:rPr>
          <w:noProof/>
          <w:sz w:val="22"/>
          <w:szCs w:val="22"/>
        </w:rPr>
        <w:t>es</w:t>
      </w:r>
      <w:r w:rsidR="003668F6" w:rsidRPr="00366186">
        <w:rPr>
          <w:noProof/>
          <w:sz w:val="22"/>
          <w:szCs w:val="22"/>
        </w:rPr>
        <w:t xml:space="preserve"> human rights issues in Kyrgyzstan by coordinating </w:t>
      </w:r>
      <w:r w:rsidR="0053238C">
        <w:rPr>
          <w:noProof/>
          <w:sz w:val="22"/>
          <w:szCs w:val="22"/>
        </w:rPr>
        <w:t xml:space="preserve">and supporting </w:t>
      </w:r>
      <w:r w:rsidR="003668F6" w:rsidRPr="00366186">
        <w:rPr>
          <w:noProof/>
          <w:sz w:val="22"/>
          <w:szCs w:val="22"/>
        </w:rPr>
        <w:t>the state's interactions with UN human rights mechanisms and follow up to their recommendations.</w:t>
      </w:r>
    </w:p>
    <w:p w:rsidR="002A0E80" w:rsidRPr="00366186" w:rsidRDefault="002A0E80" w:rsidP="00366186">
      <w:pPr>
        <w:jc w:val="both"/>
        <w:rPr>
          <w:noProof/>
          <w:sz w:val="22"/>
          <w:szCs w:val="22"/>
        </w:rPr>
      </w:pPr>
    </w:p>
    <w:p w:rsidR="005712D3" w:rsidRDefault="00405B1B" w:rsidP="0053238C">
      <w:pPr>
        <w:jc w:val="both"/>
        <w:rPr>
          <w:rFonts w:eastAsia="Calibri"/>
          <w:color w:val="000000"/>
          <w:sz w:val="22"/>
          <w:szCs w:val="22"/>
          <w:lang w:val="en-US" w:eastAsia="ru-RU"/>
        </w:rPr>
      </w:pPr>
      <w:r>
        <w:rPr>
          <w:rFonts w:eastAsia="Calibri"/>
          <w:color w:val="000000"/>
          <w:sz w:val="22"/>
          <w:szCs w:val="22"/>
          <w:lang w:val="en-US" w:eastAsia="ru-RU"/>
        </w:rPr>
        <w:t>OHCHR provided</w:t>
      </w:r>
      <w:r w:rsidR="003668F6" w:rsidRPr="00366186">
        <w:rPr>
          <w:rFonts w:eastAsia="Calibri"/>
          <w:color w:val="000000"/>
          <w:sz w:val="22"/>
          <w:szCs w:val="22"/>
          <w:lang w:val="en-US" w:eastAsia="ru-RU"/>
        </w:rPr>
        <w:t xml:space="preserve"> technical support by means of providing two human rights experts to the Secretariat of the Coordination Council as well as by building the capacity of the human rights focal points within State agencies represented in the Coordination Council through training</w:t>
      </w:r>
      <w:r w:rsidR="005712D3">
        <w:rPr>
          <w:rFonts w:eastAsia="Calibri"/>
          <w:color w:val="000000"/>
          <w:sz w:val="22"/>
          <w:szCs w:val="22"/>
          <w:lang w:val="en-US" w:eastAsia="ru-RU"/>
        </w:rPr>
        <w:t>s</w:t>
      </w:r>
      <w:r w:rsidR="003668F6" w:rsidRPr="00366186">
        <w:rPr>
          <w:rFonts w:eastAsia="Calibri"/>
          <w:color w:val="000000"/>
          <w:sz w:val="22"/>
          <w:szCs w:val="22"/>
          <w:lang w:val="en-US" w:eastAsia="ru-RU"/>
        </w:rPr>
        <w:t xml:space="preserve"> on economic, social and </w:t>
      </w:r>
      <w:r w:rsidR="003668F6" w:rsidRPr="00366186">
        <w:rPr>
          <w:rFonts w:eastAsia="Calibri"/>
          <w:color w:val="000000"/>
          <w:sz w:val="22"/>
          <w:szCs w:val="22"/>
          <w:lang w:val="en-US" w:eastAsia="ru-RU"/>
        </w:rPr>
        <w:lastRenderedPageBreak/>
        <w:t xml:space="preserve">cultural rights, </w:t>
      </w:r>
      <w:r w:rsidR="005712D3">
        <w:rPr>
          <w:rFonts w:eastAsia="Calibri"/>
          <w:color w:val="000000"/>
          <w:sz w:val="22"/>
          <w:szCs w:val="22"/>
          <w:lang w:val="en-US" w:eastAsia="ru-RU"/>
        </w:rPr>
        <w:t xml:space="preserve">and </w:t>
      </w:r>
      <w:r w:rsidR="003668F6" w:rsidRPr="00366186">
        <w:rPr>
          <w:rFonts w:eastAsia="Calibri"/>
          <w:color w:val="000000"/>
          <w:sz w:val="22"/>
          <w:szCs w:val="22"/>
          <w:lang w:val="en-US" w:eastAsia="ru-RU"/>
        </w:rPr>
        <w:t>on the Universal Peri</w:t>
      </w:r>
      <w:r w:rsidR="00366186" w:rsidRPr="00366186">
        <w:rPr>
          <w:rFonts w:eastAsia="Calibri"/>
          <w:color w:val="000000"/>
          <w:sz w:val="22"/>
          <w:szCs w:val="22"/>
          <w:lang w:val="en-US" w:eastAsia="ru-RU"/>
        </w:rPr>
        <w:t>odic Review</w:t>
      </w:r>
      <w:r>
        <w:rPr>
          <w:rFonts w:eastAsia="Calibri"/>
          <w:color w:val="000000"/>
          <w:sz w:val="22"/>
          <w:szCs w:val="22"/>
          <w:lang w:val="en-US" w:eastAsia="ru-RU"/>
        </w:rPr>
        <w:t>. These</w:t>
      </w:r>
      <w:r w:rsidR="005712D3">
        <w:rPr>
          <w:rFonts w:eastAsia="Calibri"/>
          <w:color w:val="000000"/>
          <w:sz w:val="22"/>
          <w:szCs w:val="22"/>
          <w:lang w:val="en-US" w:eastAsia="ru-RU"/>
        </w:rPr>
        <w:t xml:space="preserve"> </w:t>
      </w:r>
      <w:r w:rsidR="00366186" w:rsidRPr="00366186">
        <w:rPr>
          <w:rFonts w:eastAsia="Calibri"/>
          <w:color w:val="000000"/>
          <w:sz w:val="22"/>
          <w:szCs w:val="22"/>
          <w:lang w:val="en-US" w:eastAsia="ru-RU"/>
        </w:rPr>
        <w:t>and other briefings resulted in</w:t>
      </w:r>
      <w:r w:rsidR="003668F6" w:rsidRPr="00366186">
        <w:rPr>
          <w:rFonts w:eastAsia="Calibri"/>
          <w:color w:val="000000"/>
          <w:sz w:val="22"/>
          <w:szCs w:val="22"/>
          <w:lang w:val="en-US" w:eastAsia="ru-RU"/>
        </w:rPr>
        <w:t xml:space="preserve"> the Coordination Council</w:t>
      </w:r>
      <w:r w:rsidR="00366186" w:rsidRPr="00366186">
        <w:rPr>
          <w:rFonts w:eastAsia="Calibri"/>
          <w:color w:val="000000"/>
          <w:sz w:val="22"/>
          <w:szCs w:val="22"/>
          <w:lang w:val="en-US" w:eastAsia="ru-RU"/>
        </w:rPr>
        <w:t>'s active engagement</w:t>
      </w:r>
      <w:r w:rsidR="003668F6" w:rsidRPr="00366186">
        <w:rPr>
          <w:rFonts w:eastAsia="Calibri"/>
          <w:color w:val="000000"/>
          <w:sz w:val="22"/>
          <w:szCs w:val="22"/>
          <w:lang w:val="en-US" w:eastAsia="ru-RU"/>
        </w:rPr>
        <w:t xml:space="preserve"> with civil society representatives</w:t>
      </w:r>
      <w:r w:rsidR="005712D3">
        <w:rPr>
          <w:rFonts w:eastAsia="Calibri"/>
          <w:color w:val="000000"/>
          <w:sz w:val="22"/>
          <w:szCs w:val="22"/>
          <w:lang w:val="en-US" w:eastAsia="ru-RU"/>
        </w:rPr>
        <w:t>. D</w:t>
      </w:r>
      <w:r w:rsidR="003668F6" w:rsidRPr="00366186">
        <w:rPr>
          <w:rFonts w:eastAsia="Calibri"/>
          <w:color w:val="000000"/>
          <w:sz w:val="22"/>
          <w:szCs w:val="22"/>
          <w:lang w:val="en-US" w:eastAsia="ru-RU"/>
        </w:rPr>
        <w:t xml:space="preserve">uring the Universal Periodic Review's preparatory stages </w:t>
      </w:r>
      <w:r w:rsidR="005712D3">
        <w:rPr>
          <w:rFonts w:eastAsia="Calibri"/>
          <w:color w:val="000000"/>
          <w:sz w:val="22"/>
          <w:szCs w:val="22"/>
          <w:lang w:val="en-US" w:eastAsia="ru-RU"/>
        </w:rPr>
        <w:t>the Coordination Council held</w:t>
      </w:r>
      <w:r w:rsidR="003668F6" w:rsidRPr="00366186">
        <w:rPr>
          <w:rFonts w:eastAsia="Calibri"/>
          <w:color w:val="000000"/>
          <w:sz w:val="22"/>
          <w:szCs w:val="22"/>
          <w:lang w:val="en-US" w:eastAsia="ru-RU"/>
        </w:rPr>
        <w:t xml:space="preserve"> two national consultations including </w:t>
      </w:r>
      <w:r w:rsidR="00AF61E7">
        <w:rPr>
          <w:rFonts w:eastAsia="Calibri"/>
          <w:color w:val="000000"/>
          <w:sz w:val="22"/>
          <w:szCs w:val="22"/>
          <w:lang w:val="en-US" w:eastAsia="ru-RU"/>
        </w:rPr>
        <w:t>in the s</w:t>
      </w:r>
      <w:r w:rsidR="003668F6" w:rsidRPr="00366186">
        <w:rPr>
          <w:rFonts w:eastAsia="Calibri"/>
          <w:color w:val="000000"/>
          <w:sz w:val="22"/>
          <w:szCs w:val="22"/>
          <w:lang w:val="en-US" w:eastAsia="ru-RU"/>
        </w:rPr>
        <w:t xml:space="preserve">outh of Kyrgyzstan, </w:t>
      </w:r>
      <w:r w:rsidR="005712D3">
        <w:rPr>
          <w:rFonts w:eastAsia="Calibri"/>
          <w:color w:val="000000"/>
          <w:sz w:val="22"/>
          <w:szCs w:val="22"/>
          <w:lang w:val="en-US" w:eastAsia="ru-RU"/>
        </w:rPr>
        <w:t xml:space="preserve">and </w:t>
      </w:r>
      <w:r w:rsidR="003668F6" w:rsidRPr="00366186">
        <w:rPr>
          <w:rFonts w:eastAsia="Calibri"/>
          <w:color w:val="000000"/>
          <w:sz w:val="22"/>
          <w:szCs w:val="22"/>
          <w:lang w:val="en-US" w:eastAsia="ru-RU"/>
        </w:rPr>
        <w:t>engag</w:t>
      </w:r>
      <w:r w:rsidR="005712D3">
        <w:rPr>
          <w:rFonts w:eastAsia="Calibri"/>
          <w:color w:val="000000"/>
          <w:sz w:val="22"/>
          <w:szCs w:val="22"/>
          <w:lang w:val="en-US" w:eastAsia="ru-RU"/>
        </w:rPr>
        <w:t>ed</w:t>
      </w:r>
      <w:r w:rsidR="003668F6" w:rsidRPr="00366186">
        <w:rPr>
          <w:rFonts w:eastAsia="Calibri"/>
          <w:color w:val="000000"/>
          <w:sz w:val="22"/>
          <w:szCs w:val="22"/>
          <w:lang w:val="en-US" w:eastAsia="ru-RU"/>
        </w:rPr>
        <w:t xml:space="preserve"> in public discussions before submitting the</w:t>
      </w:r>
      <w:r w:rsidR="005712D3">
        <w:rPr>
          <w:rFonts w:eastAsia="Calibri"/>
          <w:color w:val="000000"/>
          <w:sz w:val="22"/>
          <w:szCs w:val="22"/>
          <w:lang w:val="en-US" w:eastAsia="ru-RU"/>
        </w:rPr>
        <w:t xml:space="preserve"> National</w:t>
      </w:r>
      <w:r w:rsidR="003668F6" w:rsidRPr="00366186">
        <w:rPr>
          <w:rFonts w:eastAsia="Calibri"/>
          <w:color w:val="000000"/>
          <w:sz w:val="22"/>
          <w:szCs w:val="22"/>
          <w:lang w:val="en-US" w:eastAsia="ru-RU"/>
        </w:rPr>
        <w:t xml:space="preserve"> </w:t>
      </w:r>
      <w:r w:rsidR="005712D3">
        <w:rPr>
          <w:rFonts w:eastAsia="Calibri"/>
          <w:color w:val="000000"/>
          <w:sz w:val="22"/>
          <w:szCs w:val="22"/>
          <w:lang w:val="en-US" w:eastAsia="ru-RU"/>
        </w:rPr>
        <w:t xml:space="preserve">Report for the </w:t>
      </w:r>
      <w:r w:rsidR="003668F6" w:rsidRPr="00366186">
        <w:rPr>
          <w:rFonts w:eastAsia="Calibri"/>
          <w:color w:val="000000"/>
          <w:sz w:val="22"/>
          <w:szCs w:val="22"/>
          <w:lang w:val="en-US" w:eastAsia="ru-RU"/>
        </w:rPr>
        <w:t>UPR.</w:t>
      </w:r>
      <w:r w:rsidR="0053238C">
        <w:rPr>
          <w:rFonts w:eastAsia="Calibri"/>
          <w:color w:val="000000"/>
          <w:sz w:val="22"/>
          <w:szCs w:val="22"/>
          <w:lang w:val="en-US" w:eastAsia="ru-RU"/>
        </w:rPr>
        <w:t xml:space="preserve"> </w:t>
      </w:r>
    </w:p>
    <w:p w:rsidR="005712D3" w:rsidRDefault="005712D3" w:rsidP="0053238C">
      <w:pPr>
        <w:jc w:val="both"/>
        <w:rPr>
          <w:rFonts w:eastAsia="Calibri"/>
          <w:color w:val="000000"/>
          <w:sz w:val="22"/>
          <w:szCs w:val="22"/>
          <w:lang w:val="en-US" w:eastAsia="ru-RU"/>
        </w:rPr>
      </w:pPr>
    </w:p>
    <w:p w:rsidR="0053238C" w:rsidRDefault="0053238C" w:rsidP="0053238C">
      <w:pPr>
        <w:jc w:val="both"/>
        <w:rPr>
          <w:sz w:val="22"/>
          <w:szCs w:val="22"/>
        </w:rPr>
      </w:pPr>
      <w:r>
        <w:rPr>
          <w:sz w:val="22"/>
          <w:szCs w:val="22"/>
        </w:rPr>
        <w:t xml:space="preserve">At the same time, the Coordination Council is </w:t>
      </w:r>
      <w:r w:rsidR="00405B1B">
        <w:rPr>
          <w:sz w:val="22"/>
          <w:szCs w:val="22"/>
        </w:rPr>
        <w:t>conducting</w:t>
      </w:r>
      <w:r w:rsidR="005712D3">
        <w:rPr>
          <w:sz w:val="22"/>
          <w:szCs w:val="22"/>
        </w:rPr>
        <w:t xml:space="preserve"> </w:t>
      </w:r>
      <w:r>
        <w:rPr>
          <w:sz w:val="22"/>
          <w:szCs w:val="22"/>
        </w:rPr>
        <w:t xml:space="preserve">its coordination tasks when it comes to compiling answers to the list of priority issues (answers to CEDAW LoI submitted in November 2014) and </w:t>
      </w:r>
      <w:r w:rsidR="005712D3">
        <w:rPr>
          <w:sz w:val="22"/>
          <w:szCs w:val="22"/>
        </w:rPr>
        <w:t xml:space="preserve">when </w:t>
      </w:r>
      <w:r>
        <w:rPr>
          <w:sz w:val="22"/>
          <w:szCs w:val="22"/>
        </w:rPr>
        <w:t>dealing with communications from Special Procedures of the Human Rights Council. To date, the experts of the Coordination Council have advised the Government on answers to at least two urgent communications from Special Procedures.</w:t>
      </w:r>
    </w:p>
    <w:p w:rsidR="007C562A" w:rsidRDefault="00422627" w:rsidP="00906EBE">
      <w:pPr>
        <w:jc w:val="both"/>
        <w:rPr>
          <w:sz w:val="22"/>
          <w:szCs w:val="22"/>
        </w:rPr>
      </w:pPr>
      <w:r w:rsidRPr="00366186">
        <w:rPr>
          <w:b/>
          <w:sz w:val="22"/>
          <w:szCs w:val="22"/>
        </w:rPr>
        <w:t> </w:t>
      </w:r>
      <w:r w:rsidRPr="00366186">
        <w:rPr>
          <w:b/>
          <w:sz w:val="22"/>
          <w:szCs w:val="22"/>
        </w:rPr>
        <w:fldChar w:fldCharType="end"/>
      </w:r>
      <w:r w:rsidR="0053238C">
        <w:rPr>
          <w:sz w:val="22"/>
          <w:szCs w:val="22"/>
        </w:rPr>
        <w:t xml:space="preserve"> </w:t>
      </w:r>
    </w:p>
    <w:p w:rsidR="006C34B0" w:rsidRDefault="007C562A" w:rsidP="00906EBE">
      <w:pPr>
        <w:jc w:val="both"/>
        <w:rPr>
          <w:noProof/>
          <w:sz w:val="22"/>
          <w:szCs w:val="22"/>
        </w:rPr>
      </w:pPr>
      <w:r w:rsidRPr="007753D5">
        <w:rPr>
          <w:sz w:val="22"/>
          <w:szCs w:val="22"/>
        </w:rPr>
        <w:fldChar w:fldCharType="begin">
          <w:ffData>
            <w:name w:val=""/>
            <w:enabled/>
            <w:calcOnExit w:val="0"/>
            <w:textInput/>
          </w:ffData>
        </w:fldChar>
      </w:r>
      <w:r w:rsidRPr="007753D5">
        <w:rPr>
          <w:sz w:val="22"/>
          <w:szCs w:val="22"/>
        </w:rPr>
        <w:instrText xml:space="preserve"> FORMTEXT </w:instrText>
      </w:r>
      <w:r w:rsidRPr="007753D5">
        <w:rPr>
          <w:sz w:val="22"/>
          <w:szCs w:val="22"/>
        </w:rPr>
      </w:r>
      <w:r w:rsidRPr="007753D5">
        <w:rPr>
          <w:sz w:val="22"/>
          <w:szCs w:val="22"/>
        </w:rPr>
        <w:fldChar w:fldCharType="separate"/>
      </w:r>
      <w:r>
        <w:rPr>
          <w:noProof/>
          <w:sz w:val="22"/>
          <w:szCs w:val="22"/>
        </w:rPr>
        <w:t>By July 2014, the NPM was fully staffed</w:t>
      </w:r>
      <w:r w:rsidR="005712D3">
        <w:rPr>
          <w:noProof/>
          <w:sz w:val="22"/>
          <w:szCs w:val="22"/>
        </w:rPr>
        <w:t xml:space="preserve">, </w:t>
      </w:r>
      <w:r w:rsidR="00405B1B">
        <w:rPr>
          <w:noProof/>
          <w:sz w:val="22"/>
          <w:szCs w:val="22"/>
        </w:rPr>
        <w:t xml:space="preserve">and </w:t>
      </w:r>
      <w:r w:rsidR="005712D3">
        <w:rPr>
          <w:noProof/>
          <w:sz w:val="22"/>
          <w:szCs w:val="22"/>
        </w:rPr>
        <w:t xml:space="preserve">had its headquarters in Bishkek and </w:t>
      </w:r>
      <w:r w:rsidR="00405B1B">
        <w:rPr>
          <w:noProof/>
          <w:sz w:val="22"/>
          <w:szCs w:val="22"/>
        </w:rPr>
        <w:t xml:space="preserve">six </w:t>
      </w:r>
      <w:r w:rsidR="005712D3">
        <w:rPr>
          <w:noProof/>
          <w:sz w:val="22"/>
          <w:szCs w:val="22"/>
        </w:rPr>
        <w:t>regional offices established. It was</w:t>
      </w:r>
      <w:r>
        <w:rPr>
          <w:noProof/>
          <w:sz w:val="22"/>
          <w:szCs w:val="22"/>
        </w:rPr>
        <w:t xml:space="preserve"> </w:t>
      </w:r>
      <w:r w:rsidR="005712D3">
        <w:rPr>
          <w:noProof/>
          <w:sz w:val="22"/>
          <w:szCs w:val="22"/>
        </w:rPr>
        <w:t>conducting</w:t>
      </w:r>
      <w:r>
        <w:rPr>
          <w:noProof/>
          <w:sz w:val="22"/>
          <w:szCs w:val="22"/>
        </w:rPr>
        <w:t xml:space="preserve"> independent monitoring visits to </w:t>
      </w:r>
      <w:r w:rsidR="00405B1B">
        <w:rPr>
          <w:noProof/>
          <w:sz w:val="22"/>
          <w:szCs w:val="22"/>
        </w:rPr>
        <w:t>various</w:t>
      </w:r>
      <w:r>
        <w:rPr>
          <w:noProof/>
          <w:sz w:val="22"/>
          <w:szCs w:val="22"/>
        </w:rPr>
        <w:t xml:space="preserve"> places of deprivation and limitation of liberty. </w:t>
      </w:r>
      <w:r w:rsidR="007C1A06">
        <w:rPr>
          <w:noProof/>
          <w:sz w:val="22"/>
          <w:szCs w:val="22"/>
        </w:rPr>
        <w:t xml:space="preserve">From 1 </w:t>
      </w:r>
      <w:r w:rsidR="005712D3">
        <w:rPr>
          <w:noProof/>
          <w:sz w:val="22"/>
          <w:szCs w:val="22"/>
        </w:rPr>
        <w:t>J</w:t>
      </w:r>
      <w:r w:rsidR="007C1A06">
        <w:rPr>
          <w:noProof/>
          <w:sz w:val="22"/>
          <w:szCs w:val="22"/>
        </w:rPr>
        <w:t xml:space="preserve">uly to 31 October 2014, the NPM carried out a total of 293 preventive visits </w:t>
      </w:r>
      <w:r w:rsidR="002043A9">
        <w:rPr>
          <w:noProof/>
          <w:sz w:val="22"/>
          <w:szCs w:val="22"/>
        </w:rPr>
        <w:t xml:space="preserve">together with NGOs </w:t>
      </w:r>
      <w:r w:rsidR="007C1A06">
        <w:rPr>
          <w:noProof/>
          <w:sz w:val="22"/>
          <w:szCs w:val="22"/>
        </w:rPr>
        <w:t>to various places of detention across the country.</w:t>
      </w:r>
    </w:p>
    <w:p w:rsidR="006C34B0" w:rsidRDefault="006C34B0" w:rsidP="00906EBE">
      <w:pPr>
        <w:jc w:val="both"/>
        <w:rPr>
          <w:noProof/>
          <w:sz w:val="22"/>
          <w:szCs w:val="22"/>
        </w:rPr>
      </w:pPr>
    </w:p>
    <w:p w:rsidR="00415764" w:rsidRPr="00415764" w:rsidRDefault="006C34B0" w:rsidP="00906EBE">
      <w:pPr>
        <w:jc w:val="both"/>
        <w:rPr>
          <w:color w:val="000000"/>
          <w:sz w:val="22"/>
          <w:szCs w:val="22"/>
          <w:lang w:val="en-US"/>
        </w:rPr>
      </w:pPr>
      <w:r w:rsidRPr="00FE6F8E">
        <w:rPr>
          <w:color w:val="000000"/>
          <w:sz w:val="22"/>
          <w:szCs w:val="22"/>
          <w:lang w:val="en-US"/>
        </w:rPr>
        <w:t xml:space="preserve">Another significant achievement towards this Project outcome and PP outcome 1 as well as peacebuilding </w:t>
      </w:r>
      <w:r>
        <w:rPr>
          <w:color w:val="000000"/>
          <w:sz w:val="22"/>
          <w:szCs w:val="22"/>
          <w:lang w:val="en-US"/>
        </w:rPr>
        <w:t>at</w:t>
      </w:r>
      <w:r w:rsidRPr="00FE6F8E">
        <w:rPr>
          <w:color w:val="000000"/>
          <w:sz w:val="22"/>
          <w:szCs w:val="22"/>
          <w:lang w:val="en-US"/>
        </w:rPr>
        <w:t xml:space="preserve"> large was the approval of an Action Plan for Combatting Torture</w:t>
      </w:r>
      <w:r>
        <w:rPr>
          <w:color w:val="000000"/>
          <w:sz w:val="22"/>
          <w:szCs w:val="22"/>
          <w:lang w:val="en-US"/>
        </w:rPr>
        <w:t xml:space="preserve"> </w:t>
      </w:r>
      <w:r w:rsidRPr="00FE6F8E">
        <w:rPr>
          <w:color w:val="000000"/>
          <w:sz w:val="22"/>
          <w:szCs w:val="22"/>
          <w:lang w:val="en-US"/>
        </w:rPr>
        <w:t>by the Government of Kyrgyzstan on 23 October</w:t>
      </w:r>
      <w:r>
        <w:rPr>
          <w:color w:val="000000"/>
          <w:sz w:val="22"/>
          <w:szCs w:val="22"/>
          <w:lang w:val="en-US"/>
        </w:rPr>
        <w:t xml:space="preserve"> 2014</w:t>
      </w:r>
      <w:r w:rsidRPr="00FE6F8E">
        <w:rPr>
          <w:color w:val="000000"/>
          <w:sz w:val="22"/>
          <w:szCs w:val="22"/>
          <w:lang w:val="en-US"/>
        </w:rPr>
        <w:t xml:space="preserve">. </w:t>
      </w:r>
      <w:r>
        <w:rPr>
          <w:color w:val="000000"/>
          <w:sz w:val="22"/>
          <w:szCs w:val="22"/>
          <w:lang w:val="en-US"/>
        </w:rPr>
        <w:t>The drafting of the Action Plan was supported by ROCA, and was followed by extensive advocacy for its approval. The Action</w:t>
      </w:r>
      <w:r w:rsidRPr="00FE6F8E">
        <w:rPr>
          <w:color w:val="000000"/>
          <w:sz w:val="22"/>
          <w:szCs w:val="22"/>
          <w:lang w:val="en-US"/>
        </w:rPr>
        <w:t xml:space="preserve"> Plan follows up on a number of recommendations by UN human rights mechanisms and serves as a policy document to increase cooperation between the relevant state and non-state actors to eradicate torture in Kyrgyzstan.</w:t>
      </w:r>
      <w:r w:rsidR="007C562A" w:rsidRPr="007753D5">
        <w:rPr>
          <w:noProof/>
          <w:sz w:val="22"/>
          <w:szCs w:val="22"/>
        </w:rPr>
        <w:t> </w:t>
      </w:r>
      <w:r w:rsidR="007C562A" w:rsidRPr="007753D5">
        <w:rPr>
          <w:sz w:val="22"/>
          <w:szCs w:val="22"/>
        </w:rPr>
        <w:fldChar w:fldCharType="end"/>
      </w:r>
    </w:p>
    <w:p w:rsidR="006C34B0" w:rsidRPr="00415764" w:rsidRDefault="006C34B0" w:rsidP="00906EBE">
      <w:pPr>
        <w:jc w:val="both"/>
        <w:rPr>
          <w:sz w:val="22"/>
          <w:szCs w:val="22"/>
          <w:lang w:val="en-US"/>
        </w:rPr>
      </w:pPr>
    </w:p>
    <w:p w:rsidR="002A0E80" w:rsidRPr="002A0E80" w:rsidRDefault="002A0E80" w:rsidP="00906EBE">
      <w:pPr>
        <w:jc w:val="both"/>
        <w:rPr>
          <w:sz w:val="22"/>
          <w:szCs w:val="22"/>
        </w:rPr>
      </w:pPr>
    </w:p>
    <w:p w:rsidR="00A24000" w:rsidRPr="00B37AFE" w:rsidRDefault="00422627">
      <w:pPr>
        <w:rPr>
          <w:b/>
          <w:sz w:val="22"/>
          <w:szCs w:val="22"/>
        </w:rPr>
      </w:pPr>
      <w:r w:rsidRPr="00B37AFE">
        <w:rPr>
          <w:b/>
          <w:sz w:val="22"/>
          <w:szCs w:val="22"/>
        </w:rPr>
        <w:t>Reasons for low achievement and rectifying measures</w:t>
      </w:r>
    </w:p>
    <w:p w:rsidR="00A24000" w:rsidRPr="00B37AFE" w:rsidRDefault="00A24000">
      <w:pPr>
        <w:rPr>
          <w:b/>
          <w:sz w:val="22"/>
          <w:szCs w:val="22"/>
        </w:rPr>
      </w:pPr>
    </w:p>
    <w:p w:rsidR="00A24000" w:rsidRPr="00B37AFE" w:rsidRDefault="00422627">
      <w:pPr>
        <w:rPr>
          <w:b/>
          <w:sz w:val="22"/>
          <w:szCs w:val="22"/>
        </w:rPr>
      </w:pPr>
      <w:r w:rsidRPr="00B37AFE">
        <w:rPr>
          <w:i/>
          <w:sz w:val="22"/>
          <w:szCs w:val="22"/>
        </w:rPr>
        <w:t>If sufficient progress is not being made, what are the key reasons, bottlenecks and challenges? Were these foreseen in the risk matrix? How are they being addressed and what will be the rectifying measures (1500 character limit)?</w:t>
      </w:r>
    </w:p>
    <w:p w:rsidR="00A24000" w:rsidRPr="00B37AFE" w:rsidRDefault="00422627">
      <w:pPr>
        <w:rPr>
          <w:b/>
          <w:sz w:val="22"/>
          <w:szCs w:val="22"/>
        </w:rPr>
      </w:pPr>
      <w:r w:rsidRPr="00B37AFE">
        <w:rPr>
          <w:b/>
          <w:sz w:val="22"/>
          <w:szCs w:val="22"/>
        </w:rPr>
        <w:fldChar w:fldCharType="begin">
          <w:ffData>
            <w:name w:val="Text39"/>
            <w:enabled/>
            <w:calcOnExit w:val="0"/>
            <w:textInput>
              <w:maxLength w:val="1500"/>
              <w:format w:val="Первая прописная"/>
            </w:textInput>
          </w:ffData>
        </w:fldChar>
      </w:r>
      <w:r w:rsidRPr="00B37AFE">
        <w:rPr>
          <w:b/>
          <w:sz w:val="22"/>
          <w:szCs w:val="22"/>
        </w:rPr>
        <w:instrText xml:space="preserve"> FORMTEXT </w:instrText>
      </w:r>
      <w:r w:rsidRPr="00B37AFE">
        <w:rPr>
          <w:b/>
          <w:sz w:val="22"/>
          <w:szCs w:val="22"/>
        </w:rPr>
      </w:r>
      <w:r w:rsidRPr="00B37AFE">
        <w:rPr>
          <w:b/>
          <w:sz w:val="22"/>
          <w:szCs w:val="22"/>
        </w:rPr>
        <w:fldChar w:fldCharType="separate"/>
      </w:r>
      <w:r w:rsidRPr="00B37AFE">
        <w:rPr>
          <w:b/>
          <w:sz w:val="22"/>
          <w:szCs w:val="22"/>
        </w:rPr>
        <w:t> </w:t>
      </w:r>
      <w:r w:rsidRPr="00B37AFE">
        <w:rPr>
          <w:b/>
          <w:sz w:val="22"/>
          <w:szCs w:val="22"/>
        </w:rPr>
        <w:t> </w:t>
      </w:r>
      <w:r w:rsidRPr="00B37AFE">
        <w:rPr>
          <w:b/>
          <w:sz w:val="22"/>
          <w:szCs w:val="22"/>
        </w:rPr>
        <w:t> </w:t>
      </w:r>
      <w:r w:rsidRPr="00B37AFE">
        <w:rPr>
          <w:b/>
          <w:sz w:val="22"/>
          <w:szCs w:val="22"/>
        </w:rPr>
        <w:t> </w:t>
      </w:r>
      <w:r w:rsidRPr="00B37AFE">
        <w:rPr>
          <w:b/>
          <w:sz w:val="22"/>
          <w:szCs w:val="22"/>
        </w:rPr>
        <w:t> </w:t>
      </w:r>
      <w:r w:rsidRPr="00B37AFE">
        <w:rPr>
          <w:b/>
          <w:sz w:val="22"/>
          <w:szCs w:val="22"/>
        </w:rPr>
        <w:fldChar w:fldCharType="end"/>
      </w:r>
    </w:p>
    <w:p w:rsidR="00A24000" w:rsidRDefault="00A24000">
      <w:pPr>
        <w:rPr>
          <w:b/>
        </w:rPr>
      </w:pPr>
    </w:p>
    <w:p w:rsidR="00A24000" w:rsidRPr="00906EBE" w:rsidRDefault="00422627">
      <w:pPr>
        <w:rPr>
          <w:color w:val="000000"/>
          <w:sz w:val="22"/>
          <w:szCs w:val="22"/>
          <w:lang w:eastAsia="ru-RU"/>
        </w:rPr>
      </w:pPr>
      <w:r w:rsidRPr="00906EBE">
        <w:rPr>
          <w:b/>
          <w:sz w:val="22"/>
          <w:szCs w:val="22"/>
          <w:u w:val="single"/>
        </w:rPr>
        <w:t>Outcome Statement 3:</w:t>
      </w:r>
      <w:r w:rsidRPr="00906EBE">
        <w:rPr>
          <w:b/>
          <w:sz w:val="22"/>
          <w:szCs w:val="22"/>
        </w:rPr>
        <w:t xml:space="preserve">  </w:t>
      </w:r>
      <w:r w:rsidRPr="00906EBE">
        <w:rPr>
          <w:b/>
          <w:sz w:val="22"/>
          <w:szCs w:val="22"/>
        </w:rPr>
        <w:fldChar w:fldCharType="begin">
          <w:ffData>
            <w:name w:val="Text33"/>
            <w:enabled/>
            <w:calcOnExit w:val="0"/>
            <w:textInput/>
          </w:ffData>
        </w:fldChar>
      </w:r>
      <w:r w:rsidRPr="00906EBE">
        <w:rPr>
          <w:b/>
          <w:sz w:val="22"/>
          <w:szCs w:val="22"/>
        </w:rPr>
        <w:instrText xml:space="preserve"> FORMTEXT </w:instrText>
      </w:r>
      <w:r w:rsidRPr="00906EBE">
        <w:rPr>
          <w:b/>
          <w:sz w:val="22"/>
          <w:szCs w:val="22"/>
        </w:rPr>
      </w:r>
      <w:r w:rsidRPr="00906EBE">
        <w:rPr>
          <w:b/>
          <w:sz w:val="22"/>
          <w:szCs w:val="22"/>
        </w:rPr>
        <w:fldChar w:fldCharType="separate"/>
      </w:r>
      <w:r w:rsidRPr="00906EBE">
        <w:rPr>
          <w:color w:val="000000"/>
          <w:sz w:val="22"/>
          <w:szCs w:val="22"/>
          <w:lang w:eastAsia="ru-RU"/>
        </w:rPr>
        <w:t xml:space="preserve"> Duty bearers and rights holders engage in dialogue about the importance of addressing grave human rights violations committed during and in aftermath of the June 2010 violence</w:t>
      </w:r>
    </w:p>
    <w:p w:rsidR="00A24000" w:rsidRPr="00906EBE" w:rsidRDefault="00422627">
      <w:pPr>
        <w:rPr>
          <w:b/>
          <w:sz w:val="22"/>
          <w:szCs w:val="22"/>
        </w:rPr>
      </w:pPr>
      <w:r w:rsidRPr="00906EBE">
        <w:rPr>
          <w:b/>
          <w:sz w:val="22"/>
          <w:szCs w:val="22"/>
        </w:rPr>
        <w:t> </w:t>
      </w:r>
      <w:r w:rsidRPr="00906EBE">
        <w:rPr>
          <w:b/>
          <w:sz w:val="22"/>
          <w:szCs w:val="22"/>
        </w:rPr>
        <w:fldChar w:fldCharType="end"/>
      </w:r>
    </w:p>
    <w:p w:rsidR="00A24000" w:rsidRPr="00906EBE" w:rsidRDefault="00A24000">
      <w:pPr>
        <w:rPr>
          <w:b/>
          <w:sz w:val="22"/>
          <w:szCs w:val="22"/>
        </w:rPr>
      </w:pPr>
    </w:p>
    <w:p w:rsidR="00A24000" w:rsidRDefault="00422627">
      <w:pPr>
        <w:rPr>
          <w:b/>
        </w:rPr>
      </w:pPr>
      <w:r w:rsidRPr="00906EBE">
        <w:rPr>
          <w:b/>
          <w:sz w:val="22"/>
          <w:szCs w:val="22"/>
        </w:rPr>
        <w:t>Rate the current status of the outcome:</w:t>
      </w:r>
      <w:r>
        <w:rPr>
          <w:b/>
        </w:rPr>
        <w:t xml:space="preserve"> </w:t>
      </w:r>
      <w:r>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525B76">
        <w:rPr>
          <w:rFonts w:ascii="Arial Narrow" w:hAnsi="Arial Narrow"/>
          <w:b/>
          <w:sz w:val="22"/>
          <w:szCs w:val="22"/>
        </w:rPr>
      </w:r>
      <w:r w:rsidR="00525B76">
        <w:rPr>
          <w:rFonts w:ascii="Arial Narrow" w:hAnsi="Arial Narrow"/>
          <w:b/>
          <w:sz w:val="22"/>
          <w:szCs w:val="22"/>
        </w:rPr>
        <w:fldChar w:fldCharType="separate"/>
      </w:r>
      <w:r>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A24000" w:rsidRPr="00906EBE">
        <w:tc>
          <w:tcPr>
            <w:tcW w:w="5400" w:type="dxa"/>
            <w:tcBorders>
              <w:top w:val="single" w:sz="4" w:space="0" w:color="auto"/>
              <w:left w:val="single" w:sz="4" w:space="0" w:color="auto"/>
              <w:bottom w:val="single" w:sz="4" w:space="0" w:color="auto"/>
              <w:right w:val="single" w:sz="4" w:space="0" w:color="auto"/>
            </w:tcBorders>
          </w:tcPr>
          <w:p w:rsidR="00A24000" w:rsidRPr="00906EBE" w:rsidRDefault="00422627">
            <w:pPr>
              <w:jc w:val="both"/>
              <w:rPr>
                <w:sz w:val="22"/>
                <w:szCs w:val="22"/>
              </w:rPr>
            </w:pPr>
            <w:r w:rsidRPr="00906EBE">
              <w:rPr>
                <w:sz w:val="22"/>
                <w:szCs w:val="22"/>
              </w:rPr>
              <w:t>Indicator 1:</w:t>
            </w:r>
          </w:p>
          <w:p w:rsidR="00A24000" w:rsidRPr="00906EBE" w:rsidRDefault="00422627">
            <w:pPr>
              <w:rPr>
                <w:color w:val="000000"/>
                <w:sz w:val="22"/>
                <w:szCs w:val="22"/>
                <w:lang w:eastAsia="ru-RU"/>
              </w:rPr>
            </w:pPr>
            <w:r w:rsidRPr="00906EBE">
              <w:rPr>
                <w:sz w:val="22"/>
                <w:szCs w:val="22"/>
              </w:rPr>
              <w:fldChar w:fldCharType="begin">
                <w:ffData>
                  <w:name w:val=""/>
                  <w:enabled/>
                  <w:calcOnExit w:val="0"/>
                  <w:textInput/>
                </w:ffData>
              </w:fldChar>
            </w:r>
            <w:r w:rsidRPr="00906EBE">
              <w:rPr>
                <w:sz w:val="22"/>
                <w:szCs w:val="22"/>
              </w:rPr>
              <w:instrText xml:space="preserve"> FORMTEXT </w:instrText>
            </w:r>
            <w:r w:rsidRPr="00906EBE">
              <w:rPr>
                <w:sz w:val="22"/>
                <w:szCs w:val="22"/>
              </w:rPr>
            </w:r>
            <w:r w:rsidRPr="00906EBE">
              <w:rPr>
                <w:sz w:val="22"/>
                <w:szCs w:val="22"/>
              </w:rPr>
              <w:fldChar w:fldCharType="separate"/>
            </w:r>
            <w:r w:rsidRPr="00906EBE">
              <w:rPr>
                <w:color w:val="000000"/>
                <w:sz w:val="22"/>
                <w:szCs w:val="22"/>
                <w:lang w:eastAsia="ru-RU"/>
              </w:rPr>
              <w:t>Percentage of population in targeted areas with increased appreciation of the importance of addressing human rights violations related to the June 2010 violence.</w:t>
            </w:r>
            <w:r w:rsidRPr="00906EBE">
              <w:rPr>
                <w:sz w:val="22"/>
                <w:szCs w:val="22"/>
              </w:rPr>
              <w:t> </w:t>
            </w:r>
            <w:r w:rsidRPr="00906EBE">
              <w:rPr>
                <w:sz w:val="22"/>
                <w:szCs w:val="22"/>
              </w:rPr>
              <w:fldChar w:fldCharType="end"/>
            </w:r>
          </w:p>
          <w:p w:rsidR="00A24000" w:rsidRPr="00906EBE" w:rsidRDefault="00A24000">
            <w:pPr>
              <w:jc w:val="both"/>
              <w:rPr>
                <w:sz w:val="22"/>
                <w:szCs w:val="22"/>
              </w:rPr>
            </w:pPr>
          </w:p>
          <w:p w:rsidR="00A24000" w:rsidRPr="00906EBE" w:rsidRDefault="00A24000">
            <w:pPr>
              <w:jc w:val="both"/>
              <w:rPr>
                <w:sz w:val="22"/>
                <w:szCs w:val="22"/>
              </w:rPr>
            </w:pPr>
          </w:p>
          <w:p w:rsidR="00A24000" w:rsidRPr="00906EBE" w:rsidRDefault="00A24000">
            <w:pPr>
              <w:jc w:val="both"/>
              <w:rPr>
                <w:sz w:val="22"/>
                <w:szCs w:val="22"/>
              </w:rPr>
            </w:pPr>
          </w:p>
        </w:tc>
        <w:tc>
          <w:tcPr>
            <w:tcW w:w="4428" w:type="dxa"/>
            <w:tcBorders>
              <w:top w:val="single" w:sz="4" w:space="0" w:color="auto"/>
              <w:left w:val="single" w:sz="4" w:space="0" w:color="auto"/>
              <w:bottom w:val="single" w:sz="4" w:space="0" w:color="auto"/>
              <w:right w:val="single" w:sz="4" w:space="0" w:color="auto"/>
            </w:tcBorders>
          </w:tcPr>
          <w:p w:rsidR="00A24000" w:rsidRPr="00906EBE" w:rsidRDefault="00422627">
            <w:pPr>
              <w:jc w:val="both"/>
              <w:rPr>
                <w:sz w:val="22"/>
                <w:szCs w:val="22"/>
              </w:rPr>
            </w:pPr>
            <w:r w:rsidRPr="00906EBE">
              <w:rPr>
                <w:sz w:val="22"/>
                <w:szCs w:val="22"/>
              </w:rPr>
              <w:t xml:space="preserve">Baseline: </w:t>
            </w:r>
            <w:r w:rsidRPr="00906EBE">
              <w:rPr>
                <w:sz w:val="22"/>
                <w:szCs w:val="22"/>
              </w:rPr>
              <w:fldChar w:fldCharType="begin">
                <w:ffData>
                  <w:name w:val="Text43"/>
                  <w:enabled/>
                  <w:calcOnExit w:val="0"/>
                  <w:textInput/>
                </w:ffData>
              </w:fldChar>
            </w:r>
            <w:r w:rsidRPr="00906EBE">
              <w:rPr>
                <w:sz w:val="22"/>
                <w:szCs w:val="22"/>
              </w:rPr>
              <w:instrText xml:space="preserve"> FORMTEXT </w:instrText>
            </w:r>
            <w:r w:rsidRPr="00906EBE">
              <w:rPr>
                <w:sz w:val="22"/>
                <w:szCs w:val="22"/>
              </w:rPr>
            </w:r>
            <w:r w:rsidRPr="00906EBE">
              <w:rPr>
                <w:sz w:val="22"/>
                <w:szCs w:val="22"/>
              </w:rPr>
              <w:fldChar w:fldCharType="separate"/>
            </w:r>
            <w:r w:rsidRPr="00906EBE">
              <w:rPr>
                <w:sz w:val="22"/>
                <w:szCs w:val="22"/>
              </w:rPr>
              <w:t>TBD</w:t>
            </w:r>
            <w:r w:rsidRPr="00906EBE">
              <w:rPr>
                <w:sz w:val="22"/>
                <w:szCs w:val="22"/>
              </w:rPr>
              <w:t> </w:t>
            </w:r>
            <w:r w:rsidRPr="00906EBE">
              <w:rPr>
                <w:sz w:val="22"/>
                <w:szCs w:val="22"/>
              </w:rPr>
              <w:fldChar w:fldCharType="end"/>
            </w:r>
          </w:p>
          <w:p w:rsidR="00A24000" w:rsidRPr="00906EBE" w:rsidRDefault="00422627">
            <w:pPr>
              <w:jc w:val="both"/>
              <w:rPr>
                <w:sz w:val="22"/>
                <w:szCs w:val="22"/>
              </w:rPr>
            </w:pPr>
            <w:r w:rsidRPr="00906EBE">
              <w:rPr>
                <w:sz w:val="22"/>
                <w:szCs w:val="22"/>
              </w:rPr>
              <w:t xml:space="preserve">Target: </w:t>
            </w:r>
            <w:r w:rsidR="00415764">
              <w:rPr>
                <w:sz w:val="22"/>
                <w:szCs w:val="22"/>
              </w:rPr>
              <w:t>TBD</w:t>
            </w:r>
          </w:p>
          <w:p w:rsidR="00A24000" w:rsidRPr="00906EBE" w:rsidRDefault="00422627" w:rsidP="00415764">
            <w:pPr>
              <w:jc w:val="both"/>
              <w:rPr>
                <w:sz w:val="22"/>
                <w:szCs w:val="22"/>
              </w:rPr>
            </w:pPr>
            <w:r w:rsidRPr="00906EBE">
              <w:rPr>
                <w:sz w:val="22"/>
                <w:szCs w:val="22"/>
              </w:rPr>
              <w:t>Progress</w:t>
            </w:r>
            <w:r w:rsidR="00906EBE">
              <w:rPr>
                <w:sz w:val="22"/>
                <w:szCs w:val="22"/>
              </w:rPr>
              <w:t xml:space="preserve">: </w:t>
            </w:r>
            <w:r w:rsidRPr="00906EBE">
              <w:rPr>
                <w:sz w:val="22"/>
                <w:szCs w:val="22"/>
              </w:rPr>
              <w:fldChar w:fldCharType="begin">
                <w:ffData>
                  <w:name w:val="Text43"/>
                  <w:enabled/>
                  <w:calcOnExit w:val="0"/>
                  <w:textInput/>
                </w:ffData>
              </w:fldChar>
            </w:r>
            <w:r w:rsidRPr="00906EBE">
              <w:rPr>
                <w:sz w:val="22"/>
                <w:szCs w:val="22"/>
              </w:rPr>
              <w:instrText xml:space="preserve"> FORMTEXT </w:instrText>
            </w:r>
            <w:r w:rsidRPr="00906EBE">
              <w:rPr>
                <w:sz w:val="22"/>
                <w:szCs w:val="22"/>
              </w:rPr>
            </w:r>
            <w:r w:rsidRPr="00906EBE">
              <w:rPr>
                <w:sz w:val="22"/>
                <w:szCs w:val="22"/>
              </w:rPr>
              <w:fldChar w:fldCharType="separate"/>
            </w:r>
            <w:r w:rsidR="00906EBE">
              <w:rPr>
                <w:noProof/>
                <w:sz w:val="22"/>
                <w:szCs w:val="22"/>
              </w:rPr>
              <w:t xml:space="preserve">ROCA conducted </w:t>
            </w:r>
            <w:r w:rsidR="002043A9">
              <w:rPr>
                <w:noProof/>
                <w:sz w:val="22"/>
                <w:szCs w:val="22"/>
              </w:rPr>
              <w:t xml:space="preserve">a </w:t>
            </w:r>
            <w:r w:rsidR="00A70D46">
              <w:rPr>
                <w:noProof/>
                <w:sz w:val="22"/>
                <w:szCs w:val="22"/>
              </w:rPr>
              <w:t xml:space="preserve">number of advocacy meetings </w:t>
            </w:r>
            <w:r w:rsidR="00906EBE">
              <w:rPr>
                <w:noProof/>
                <w:sz w:val="22"/>
                <w:szCs w:val="22"/>
              </w:rPr>
              <w:t>with key duty</w:t>
            </w:r>
            <w:r w:rsidR="00A70D46">
              <w:rPr>
                <w:noProof/>
                <w:sz w:val="22"/>
                <w:szCs w:val="22"/>
              </w:rPr>
              <w:t xml:space="preserve"> </w:t>
            </w:r>
            <w:r w:rsidR="00906EBE">
              <w:rPr>
                <w:noProof/>
                <w:sz w:val="22"/>
                <w:szCs w:val="22"/>
              </w:rPr>
              <w:t>bearers and rights holders: Department</w:t>
            </w:r>
            <w:r w:rsidR="00A70D46">
              <w:rPr>
                <w:noProof/>
                <w:sz w:val="22"/>
                <w:szCs w:val="22"/>
              </w:rPr>
              <w:t>s</w:t>
            </w:r>
            <w:r w:rsidR="00906EBE">
              <w:rPr>
                <w:noProof/>
                <w:sz w:val="22"/>
                <w:szCs w:val="22"/>
              </w:rPr>
              <w:t xml:space="preserve"> for Judicial Reform and Rule of Law</w:t>
            </w:r>
            <w:r w:rsidR="00A70D46">
              <w:rPr>
                <w:noProof/>
                <w:sz w:val="22"/>
                <w:szCs w:val="22"/>
              </w:rPr>
              <w:t>,</w:t>
            </w:r>
            <w:r w:rsidR="00A70D46" w:rsidRPr="008C0F1F">
              <w:rPr>
                <w:b/>
                <w:color w:val="000000"/>
              </w:rPr>
              <w:t xml:space="preserve"> </w:t>
            </w:r>
            <w:r w:rsidR="00A70D46" w:rsidRPr="00A70D46">
              <w:rPr>
                <w:color w:val="000000"/>
                <w:sz w:val="22"/>
                <w:szCs w:val="22"/>
              </w:rPr>
              <w:t>and</w:t>
            </w:r>
            <w:r w:rsidR="00A70D46">
              <w:rPr>
                <w:color w:val="000000"/>
              </w:rPr>
              <w:t xml:space="preserve"> </w:t>
            </w:r>
            <w:r w:rsidR="00A70D46" w:rsidRPr="00A70D46">
              <w:rPr>
                <w:color w:val="000000"/>
                <w:sz w:val="22"/>
                <w:szCs w:val="22"/>
              </w:rPr>
              <w:t>on Ethnic, Religious Policy and Interaction with Civil Society</w:t>
            </w:r>
            <w:r w:rsidR="00A70D46" w:rsidRPr="00906EBE">
              <w:rPr>
                <w:noProof/>
                <w:sz w:val="22"/>
                <w:szCs w:val="22"/>
              </w:rPr>
              <w:t xml:space="preserve"> </w:t>
            </w:r>
            <w:r w:rsidR="00A70D46">
              <w:rPr>
                <w:noProof/>
                <w:sz w:val="22"/>
                <w:szCs w:val="22"/>
              </w:rPr>
              <w:t xml:space="preserve">of the Office of the President of Kyrgyzstan, State Agensy for Local Governance and Inter-ethnic issues, Vice Prime Minister, Deputy Minister of Justice, </w:t>
            </w:r>
            <w:r w:rsidR="00531EA3">
              <w:rPr>
                <w:noProof/>
                <w:sz w:val="22"/>
                <w:szCs w:val="22"/>
              </w:rPr>
              <w:t>local autho</w:t>
            </w:r>
            <w:r w:rsidR="002043A9">
              <w:rPr>
                <w:noProof/>
                <w:sz w:val="22"/>
                <w:szCs w:val="22"/>
              </w:rPr>
              <w:t>r</w:t>
            </w:r>
            <w:r w:rsidR="00531EA3">
              <w:rPr>
                <w:noProof/>
                <w:sz w:val="22"/>
                <w:szCs w:val="22"/>
              </w:rPr>
              <w:t xml:space="preserve">ities in Osh and Jalalabad, </w:t>
            </w:r>
            <w:r w:rsidR="00A70D46">
              <w:rPr>
                <w:noProof/>
                <w:sz w:val="22"/>
                <w:szCs w:val="22"/>
              </w:rPr>
              <w:t xml:space="preserve">NHRIs and NGOs in order to </w:t>
            </w:r>
            <w:r w:rsidR="00415764">
              <w:rPr>
                <w:noProof/>
                <w:sz w:val="22"/>
                <w:szCs w:val="22"/>
              </w:rPr>
              <w:t>pave the ground for further activities</w:t>
            </w:r>
            <w:r w:rsidR="00A70D46">
              <w:rPr>
                <w:noProof/>
                <w:sz w:val="22"/>
                <w:szCs w:val="22"/>
              </w:rPr>
              <w:t xml:space="preserve"> and consult on possible ways of addressing human rights violations, including those committed in the past.</w:t>
            </w:r>
            <w:r w:rsidRPr="00906EBE">
              <w:rPr>
                <w:noProof/>
                <w:sz w:val="22"/>
                <w:szCs w:val="22"/>
              </w:rPr>
              <w:t> </w:t>
            </w:r>
            <w:r w:rsidRPr="00906EBE">
              <w:rPr>
                <w:sz w:val="22"/>
                <w:szCs w:val="22"/>
              </w:rPr>
              <w:fldChar w:fldCharType="end"/>
            </w:r>
          </w:p>
        </w:tc>
      </w:tr>
    </w:tbl>
    <w:p w:rsidR="00A24000" w:rsidRDefault="00A24000"/>
    <w:p w:rsidR="00A24000" w:rsidRDefault="00A24000">
      <w:pPr>
        <w:jc w:val="both"/>
        <w:rPr>
          <w:rFonts w:ascii="Arial Narrow" w:hAnsi="Arial Narrow"/>
          <w:b/>
          <w:sz w:val="22"/>
          <w:szCs w:val="22"/>
        </w:rPr>
      </w:pPr>
    </w:p>
    <w:p w:rsidR="00A24000" w:rsidRPr="00C9174A" w:rsidRDefault="00422627" w:rsidP="00C9174A">
      <w:pPr>
        <w:jc w:val="both"/>
        <w:rPr>
          <w:b/>
          <w:sz w:val="22"/>
          <w:szCs w:val="22"/>
        </w:rPr>
      </w:pPr>
      <w:r w:rsidRPr="00531EA3">
        <w:rPr>
          <w:b/>
          <w:sz w:val="22"/>
          <w:szCs w:val="22"/>
        </w:rPr>
        <w:t>Output progress</w:t>
      </w:r>
    </w:p>
    <w:p w:rsidR="00A24000" w:rsidRPr="00531EA3" w:rsidRDefault="00422627">
      <w:pPr>
        <w:rPr>
          <w:i/>
          <w:sz w:val="22"/>
          <w:szCs w:val="22"/>
        </w:rPr>
      </w:pPr>
      <w:r w:rsidRPr="00531EA3">
        <w:rPr>
          <w:i/>
          <w:sz w:val="22"/>
          <w:szCs w:val="22"/>
        </w:rPr>
        <w:lastRenderedPageBreak/>
        <w:t>List the key outputs achieved under this Outcome in the reporting period (1000 character limit).Outputs are the immediate deliverables for a project.</w:t>
      </w:r>
    </w:p>
    <w:p w:rsidR="00C9174A" w:rsidRDefault="00422627" w:rsidP="00C9174A">
      <w:pPr>
        <w:jc w:val="both"/>
        <w:rPr>
          <w:sz w:val="22"/>
          <w:lang w:val="en-US"/>
        </w:rPr>
      </w:pPr>
      <w:r w:rsidRPr="00531EA3">
        <w:rPr>
          <w:i/>
          <w:sz w:val="22"/>
          <w:szCs w:val="22"/>
        </w:rPr>
        <w:fldChar w:fldCharType="begin">
          <w:ffData>
            <w:name w:val="Text34"/>
            <w:enabled/>
            <w:calcOnExit w:val="0"/>
            <w:textInput>
              <w:maxLength w:val="1000"/>
              <w:format w:val="Первая прописная"/>
            </w:textInput>
          </w:ffData>
        </w:fldChar>
      </w:r>
      <w:r w:rsidRPr="00531EA3">
        <w:rPr>
          <w:i/>
          <w:sz w:val="22"/>
          <w:szCs w:val="22"/>
        </w:rPr>
        <w:instrText xml:space="preserve"> FORMTEXT </w:instrText>
      </w:r>
      <w:r w:rsidRPr="00531EA3">
        <w:rPr>
          <w:i/>
          <w:sz w:val="22"/>
          <w:szCs w:val="22"/>
        </w:rPr>
      </w:r>
      <w:r w:rsidRPr="00531EA3">
        <w:rPr>
          <w:i/>
          <w:sz w:val="22"/>
          <w:szCs w:val="22"/>
        </w:rPr>
        <w:fldChar w:fldCharType="separate"/>
      </w:r>
      <w:r w:rsidR="00C9174A" w:rsidRPr="00C869B3">
        <w:rPr>
          <w:sz w:val="22"/>
          <w:szCs w:val="22"/>
          <w:lang w:val="en-US"/>
        </w:rPr>
        <w:t>On 16 July</w:t>
      </w:r>
      <w:r w:rsidR="00AF61E7">
        <w:rPr>
          <w:sz w:val="22"/>
          <w:szCs w:val="22"/>
          <w:lang w:val="en-US"/>
        </w:rPr>
        <w:t xml:space="preserve"> 2014</w:t>
      </w:r>
      <w:r w:rsidR="00C9174A" w:rsidRPr="00C869B3">
        <w:rPr>
          <w:sz w:val="22"/>
          <w:szCs w:val="22"/>
          <w:lang w:val="en-US"/>
        </w:rPr>
        <w:t>, ROCA’s monitoring mission to Jalalabad</w:t>
      </w:r>
      <w:r w:rsidR="00415764">
        <w:rPr>
          <w:sz w:val="22"/>
          <w:szCs w:val="22"/>
          <w:lang w:val="en-US"/>
        </w:rPr>
        <w:t>, which was conducted as preparatory action,</w:t>
      </w:r>
      <w:r w:rsidR="00C9174A" w:rsidRPr="00C869B3">
        <w:rPr>
          <w:sz w:val="22"/>
          <w:szCs w:val="22"/>
          <w:lang w:val="en-US"/>
        </w:rPr>
        <w:t xml:space="preserve"> resulted in increased awareness and understanding of rights holders </w:t>
      </w:r>
      <w:r w:rsidR="002043A9">
        <w:rPr>
          <w:sz w:val="22"/>
          <w:szCs w:val="22"/>
          <w:lang w:val="en-US"/>
        </w:rPr>
        <w:t>of</w:t>
      </w:r>
      <w:r w:rsidR="00C9174A" w:rsidRPr="00C869B3">
        <w:rPr>
          <w:sz w:val="22"/>
          <w:szCs w:val="22"/>
          <w:lang w:val="en-US"/>
        </w:rPr>
        <w:t xml:space="preserve"> the importance of claiming their rights and holding perpetrators accountable.</w:t>
      </w:r>
    </w:p>
    <w:p w:rsidR="002043A9" w:rsidRDefault="002043A9" w:rsidP="00C9174A">
      <w:pPr>
        <w:jc w:val="both"/>
        <w:rPr>
          <w:color w:val="000000"/>
          <w:sz w:val="22"/>
          <w:szCs w:val="22"/>
          <w:lang w:val="en-US"/>
        </w:rPr>
      </w:pPr>
    </w:p>
    <w:p w:rsidR="00C9174A" w:rsidRDefault="00C9174A" w:rsidP="00C9174A">
      <w:pPr>
        <w:jc w:val="both"/>
        <w:rPr>
          <w:color w:val="000000"/>
          <w:sz w:val="22"/>
          <w:lang w:val="en-US"/>
        </w:rPr>
      </w:pPr>
      <w:r w:rsidRPr="00C869B3">
        <w:rPr>
          <w:color w:val="000000"/>
          <w:sz w:val="22"/>
          <w:szCs w:val="22"/>
          <w:lang w:val="en-US"/>
        </w:rPr>
        <w:t xml:space="preserve">ROCA’s </w:t>
      </w:r>
      <w:r w:rsidR="00415764">
        <w:rPr>
          <w:color w:val="000000"/>
          <w:sz w:val="22"/>
          <w:szCs w:val="22"/>
          <w:lang w:val="en-US"/>
        </w:rPr>
        <w:t xml:space="preserve">preparatory </w:t>
      </w:r>
      <w:r w:rsidRPr="00C869B3">
        <w:rPr>
          <w:color w:val="000000"/>
          <w:sz w:val="22"/>
          <w:szCs w:val="22"/>
          <w:lang w:val="en-US"/>
        </w:rPr>
        <w:t>monitoring mission</w:t>
      </w:r>
      <w:r w:rsidR="00415764">
        <w:rPr>
          <w:color w:val="000000"/>
          <w:sz w:val="22"/>
          <w:szCs w:val="22"/>
          <w:lang w:val="en-US"/>
        </w:rPr>
        <w:t>s</w:t>
      </w:r>
      <w:r w:rsidRPr="00C869B3">
        <w:rPr>
          <w:color w:val="000000"/>
          <w:sz w:val="22"/>
          <w:szCs w:val="22"/>
          <w:lang w:val="en-US"/>
        </w:rPr>
        <w:t xml:space="preserve"> to Jalalabad</w:t>
      </w:r>
      <w:r w:rsidR="00AF61E7">
        <w:rPr>
          <w:color w:val="000000"/>
          <w:sz w:val="22"/>
          <w:szCs w:val="22"/>
          <w:lang w:val="en-US"/>
        </w:rPr>
        <w:t xml:space="preserve"> on 19 August 2014, and Osh province between 8 and 16 September 2014 </w:t>
      </w:r>
      <w:r w:rsidRPr="00C869B3">
        <w:rPr>
          <w:color w:val="000000"/>
          <w:sz w:val="22"/>
          <w:szCs w:val="22"/>
          <w:lang w:val="en-US"/>
        </w:rPr>
        <w:t xml:space="preserve">resulted in increased </w:t>
      </w:r>
      <w:r w:rsidR="00345AF5">
        <w:rPr>
          <w:color w:val="000000"/>
          <w:sz w:val="22"/>
          <w:szCs w:val="22"/>
          <w:lang w:val="en-US"/>
        </w:rPr>
        <w:t>knowledge</w:t>
      </w:r>
      <w:r w:rsidRPr="00C869B3">
        <w:rPr>
          <w:color w:val="000000"/>
          <w:sz w:val="22"/>
          <w:szCs w:val="22"/>
          <w:lang w:val="en-US"/>
        </w:rPr>
        <w:t xml:space="preserve"> of duty bearers o</w:t>
      </w:r>
      <w:r w:rsidR="002043A9">
        <w:rPr>
          <w:color w:val="000000"/>
          <w:sz w:val="22"/>
          <w:szCs w:val="22"/>
          <w:lang w:val="en-US"/>
        </w:rPr>
        <w:t>f</w:t>
      </w:r>
      <w:r w:rsidRPr="00C869B3">
        <w:rPr>
          <w:color w:val="000000"/>
          <w:sz w:val="22"/>
          <w:szCs w:val="22"/>
          <w:lang w:val="en-US"/>
        </w:rPr>
        <w:t xml:space="preserve"> the importance of their role in ensuring accountability for human rights violations and holding perpetrators of human rights violations accountable. </w:t>
      </w:r>
    </w:p>
    <w:p w:rsidR="002043A9" w:rsidRDefault="002043A9" w:rsidP="00C9174A">
      <w:pPr>
        <w:jc w:val="both"/>
        <w:rPr>
          <w:color w:val="000000"/>
          <w:sz w:val="22"/>
          <w:szCs w:val="22"/>
          <w:lang w:val="en-US"/>
        </w:rPr>
      </w:pPr>
    </w:p>
    <w:p w:rsidR="00A24000" w:rsidRPr="00C9174A" w:rsidRDefault="00C9174A" w:rsidP="00C9174A">
      <w:pPr>
        <w:jc w:val="both"/>
        <w:rPr>
          <w:color w:val="000000"/>
          <w:sz w:val="22"/>
          <w:szCs w:val="22"/>
          <w:lang w:val="en-US"/>
        </w:rPr>
      </w:pPr>
      <w:r>
        <w:rPr>
          <w:color w:val="000000"/>
          <w:sz w:val="22"/>
          <w:lang w:val="en-US"/>
        </w:rPr>
        <w:t>In October, a</w:t>
      </w:r>
      <w:r w:rsidRPr="00C869B3">
        <w:rPr>
          <w:color w:val="000000"/>
          <w:sz w:val="22"/>
          <w:szCs w:val="22"/>
          <w:lang w:val="en-US"/>
        </w:rPr>
        <w:t xml:space="preserve">dvocacy meetings held </w:t>
      </w:r>
      <w:r w:rsidR="002E5339">
        <w:rPr>
          <w:color w:val="000000"/>
          <w:sz w:val="22"/>
          <w:szCs w:val="22"/>
          <w:lang w:val="en-US"/>
        </w:rPr>
        <w:t>in Bishkek including with the Deputy Minister of Justice, and the Head of the Department of Judicial Reform and Role of Law</w:t>
      </w:r>
      <w:r w:rsidR="00415764">
        <w:rPr>
          <w:color w:val="000000"/>
          <w:sz w:val="22"/>
          <w:szCs w:val="22"/>
          <w:lang w:val="en-US"/>
        </w:rPr>
        <w:t xml:space="preserve"> under the Presidential Administration</w:t>
      </w:r>
      <w:r w:rsidR="002E5339">
        <w:rPr>
          <w:color w:val="000000"/>
          <w:sz w:val="22"/>
          <w:szCs w:val="22"/>
          <w:lang w:val="en-US"/>
        </w:rPr>
        <w:t xml:space="preserve">, as well as meetings held with the Osh city Mayor’s office and </w:t>
      </w:r>
      <w:r w:rsidRPr="00C869B3">
        <w:rPr>
          <w:color w:val="000000"/>
          <w:sz w:val="22"/>
          <w:szCs w:val="22"/>
          <w:lang w:val="en-US"/>
        </w:rPr>
        <w:t xml:space="preserve">the office of the Governor and the Prosecutor’s office, resulted </w:t>
      </w:r>
      <w:r w:rsidR="007A4C3B">
        <w:rPr>
          <w:color w:val="000000"/>
          <w:sz w:val="22"/>
          <w:szCs w:val="22"/>
          <w:lang w:val="en-US"/>
        </w:rPr>
        <w:t xml:space="preserve">on the one hand </w:t>
      </w:r>
      <w:r w:rsidRPr="00C869B3">
        <w:rPr>
          <w:color w:val="000000"/>
          <w:sz w:val="22"/>
          <w:szCs w:val="22"/>
          <w:lang w:val="en-US"/>
        </w:rPr>
        <w:t xml:space="preserve">in increased </w:t>
      </w:r>
      <w:r w:rsidR="00345AF5">
        <w:rPr>
          <w:color w:val="000000"/>
          <w:sz w:val="22"/>
          <w:szCs w:val="22"/>
          <w:lang w:val="en-US"/>
        </w:rPr>
        <w:t>knowledge</w:t>
      </w:r>
      <w:r w:rsidRPr="00C869B3">
        <w:rPr>
          <w:color w:val="000000"/>
          <w:sz w:val="22"/>
          <w:szCs w:val="22"/>
          <w:lang w:val="en-US"/>
        </w:rPr>
        <w:t xml:space="preserve"> of duty-bearers of the importance of their role in ensuring accountability for human rights violations.</w:t>
      </w:r>
      <w:r w:rsidR="00AF61E7">
        <w:rPr>
          <w:color w:val="000000"/>
          <w:sz w:val="22"/>
          <w:szCs w:val="22"/>
          <w:lang w:val="en-US"/>
        </w:rPr>
        <w:t xml:space="preserve"> </w:t>
      </w:r>
      <w:r w:rsidR="007A4C3B">
        <w:rPr>
          <w:color w:val="000000"/>
          <w:sz w:val="22"/>
          <w:szCs w:val="22"/>
          <w:lang w:val="en-US"/>
        </w:rPr>
        <w:t>On the other hand</w:t>
      </w:r>
      <w:r w:rsidR="00AF61E7">
        <w:rPr>
          <w:color w:val="000000"/>
          <w:sz w:val="22"/>
          <w:szCs w:val="22"/>
          <w:lang w:val="en-US"/>
        </w:rPr>
        <w:t xml:space="preserve"> advice was provided to ROCA as to how to start tackling this component of the project.</w:t>
      </w:r>
      <w:r w:rsidRPr="00C869B3">
        <w:rPr>
          <w:color w:val="000000"/>
          <w:sz w:val="22"/>
          <w:szCs w:val="22"/>
          <w:lang w:val="en-US"/>
        </w:rPr>
        <w:t xml:space="preserve"> </w:t>
      </w:r>
      <w:r w:rsidR="00422627" w:rsidRPr="00531EA3">
        <w:rPr>
          <w:i/>
          <w:sz w:val="22"/>
          <w:szCs w:val="22"/>
        </w:rPr>
        <w:fldChar w:fldCharType="end"/>
      </w:r>
    </w:p>
    <w:p w:rsidR="00A24000" w:rsidRPr="00C9174A" w:rsidRDefault="00A24000">
      <w:pPr>
        <w:rPr>
          <w:i/>
          <w:sz w:val="22"/>
          <w:szCs w:val="22"/>
          <w:lang w:val="en-US"/>
        </w:rPr>
      </w:pPr>
    </w:p>
    <w:p w:rsidR="00A24000" w:rsidRPr="00531EA3" w:rsidRDefault="00422627">
      <w:pPr>
        <w:jc w:val="both"/>
        <w:rPr>
          <w:b/>
          <w:sz w:val="22"/>
          <w:szCs w:val="22"/>
        </w:rPr>
      </w:pPr>
      <w:r w:rsidRPr="00531EA3">
        <w:rPr>
          <w:b/>
          <w:sz w:val="22"/>
          <w:szCs w:val="22"/>
        </w:rPr>
        <w:t>Outcome progress</w:t>
      </w:r>
    </w:p>
    <w:p w:rsidR="00A24000" w:rsidRPr="00531EA3" w:rsidRDefault="00422627">
      <w:pPr>
        <w:rPr>
          <w:i/>
          <w:sz w:val="22"/>
          <w:szCs w:val="22"/>
        </w:rPr>
      </w:pPr>
      <w:r w:rsidRPr="00531EA3">
        <w:rPr>
          <w:i/>
          <w:sz w:val="22"/>
          <w:szCs w:val="22"/>
        </w:rPr>
        <w:t xml:space="preserve">Describe progress made during the reporting period toward the achievement of this outcome. This analysis should reflect the above indicator progress and the output achievement. Is there evidence of the outcome contributing to peacebuilding and to the specific conflict triggers? Is the theory of change that underpins the project design still relevant for this outcome (3000 character limit)? </w:t>
      </w:r>
    </w:p>
    <w:p w:rsidR="00A35AF6" w:rsidRPr="00E500D9" w:rsidRDefault="00422627" w:rsidP="00E500D9">
      <w:pPr>
        <w:jc w:val="both"/>
        <w:rPr>
          <w:sz w:val="22"/>
          <w:szCs w:val="22"/>
        </w:rPr>
      </w:pPr>
      <w:r w:rsidRPr="00E500D9">
        <w:rPr>
          <w:b/>
          <w:sz w:val="22"/>
          <w:szCs w:val="22"/>
        </w:rPr>
        <w:fldChar w:fldCharType="begin">
          <w:ffData>
            <w:name w:val=""/>
            <w:enabled/>
            <w:calcOnExit w:val="0"/>
            <w:textInput>
              <w:maxLength w:val="3000"/>
              <w:format w:val="Первая прописная"/>
            </w:textInput>
          </w:ffData>
        </w:fldChar>
      </w:r>
      <w:r w:rsidRPr="00E500D9">
        <w:rPr>
          <w:b/>
          <w:sz w:val="22"/>
          <w:szCs w:val="22"/>
        </w:rPr>
        <w:instrText xml:space="preserve"> FORMTEXT </w:instrText>
      </w:r>
      <w:r w:rsidRPr="00E500D9">
        <w:rPr>
          <w:b/>
          <w:sz w:val="22"/>
          <w:szCs w:val="22"/>
        </w:rPr>
      </w:r>
      <w:r w:rsidRPr="00E500D9">
        <w:rPr>
          <w:b/>
          <w:sz w:val="22"/>
          <w:szCs w:val="22"/>
        </w:rPr>
        <w:fldChar w:fldCharType="separate"/>
      </w:r>
      <w:r w:rsidR="00A35AF6" w:rsidRPr="00E500D9">
        <w:rPr>
          <w:sz w:val="22"/>
          <w:szCs w:val="22"/>
        </w:rPr>
        <w:t xml:space="preserve">Despite the number of advocacy activities and consultations held by ROCA with key authorities, NHRIs and NGOs </w:t>
      </w:r>
      <w:r w:rsidR="002E5339">
        <w:rPr>
          <w:sz w:val="22"/>
          <w:szCs w:val="22"/>
        </w:rPr>
        <w:t>at</w:t>
      </w:r>
      <w:r w:rsidR="00A35AF6" w:rsidRPr="00E500D9">
        <w:rPr>
          <w:sz w:val="22"/>
          <w:szCs w:val="22"/>
        </w:rPr>
        <w:t xml:space="preserve"> central and local levels, their </w:t>
      </w:r>
      <w:r w:rsidR="00345AF5">
        <w:rPr>
          <w:sz w:val="22"/>
          <w:szCs w:val="22"/>
        </w:rPr>
        <w:t xml:space="preserve">actual </w:t>
      </w:r>
      <w:r w:rsidR="00A35AF6" w:rsidRPr="00E500D9">
        <w:rPr>
          <w:sz w:val="22"/>
          <w:szCs w:val="22"/>
        </w:rPr>
        <w:t>understanding of the need to address human rights violations, including those related to the June 2010 violence remained low.</w:t>
      </w:r>
    </w:p>
    <w:p w:rsidR="002E5339" w:rsidRDefault="002E5339" w:rsidP="00E500D9">
      <w:pPr>
        <w:jc w:val="both"/>
        <w:rPr>
          <w:sz w:val="22"/>
          <w:szCs w:val="22"/>
        </w:rPr>
      </w:pPr>
    </w:p>
    <w:p w:rsidR="00966AF3" w:rsidRDefault="00BF1A85" w:rsidP="00E500D9">
      <w:pPr>
        <w:jc w:val="both"/>
        <w:rPr>
          <w:sz w:val="22"/>
          <w:szCs w:val="22"/>
        </w:rPr>
      </w:pPr>
      <w:r>
        <w:rPr>
          <w:sz w:val="22"/>
          <w:szCs w:val="22"/>
        </w:rPr>
        <w:t>Some a</w:t>
      </w:r>
      <w:r w:rsidR="00966AF3" w:rsidRPr="00E500D9">
        <w:rPr>
          <w:sz w:val="22"/>
          <w:szCs w:val="22"/>
        </w:rPr>
        <w:t xml:space="preserve">uthorities </w:t>
      </w:r>
      <w:r w:rsidR="001B54BB">
        <w:rPr>
          <w:sz w:val="22"/>
          <w:szCs w:val="22"/>
        </w:rPr>
        <w:t>seemed reluctant to discuss</w:t>
      </w:r>
      <w:r w:rsidR="00966AF3" w:rsidRPr="00E500D9">
        <w:rPr>
          <w:sz w:val="22"/>
          <w:szCs w:val="22"/>
        </w:rPr>
        <w:t xml:space="preserve"> </w:t>
      </w:r>
      <w:r w:rsidR="001B54BB">
        <w:rPr>
          <w:sz w:val="22"/>
          <w:szCs w:val="22"/>
        </w:rPr>
        <w:t xml:space="preserve">the </w:t>
      </w:r>
      <w:r w:rsidR="00966AF3" w:rsidRPr="00E500D9">
        <w:rPr>
          <w:sz w:val="22"/>
          <w:szCs w:val="22"/>
        </w:rPr>
        <w:t xml:space="preserve">June 2010 violence and </w:t>
      </w:r>
      <w:r w:rsidR="001B54BB">
        <w:rPr>
          <w:sz w:val="22"/>
          <w:szCs w:val="22"/>
        </w:rPr>
        <w:t xml:space="preserve">some </w:t>
      </w:r>
      <w:r w:rsidR="00966AF3" w:rsidRPr="00E500D9">
        <w:rPr>
          <w:sz w:val="22"/>
          <w:szCs w:val="22"/>
        </w:rPr>
        <w:t>consider</w:t>
      </w:r>
      <w:r w:rsidR="001B54BB">
        <w:rPr>
          <w:sz w:val="22"/>
          <w:szCs w:val="22"/>
        </w:rPr>
        <w:t>ed</w:t>
      </w:r>
      <w:r w:rsidR="00966AF3" w:rsidRPr="00E500D9">
        <w:rPr>
          <w:sz w:val="22"/>
          <w:szCs w:val="22"/>
        </w:rPr>
        <w:t xml:space="preserve"> any attempt to advocate for addressing related human rights violations as "sensitive and destructive".</w:t>
      </w:r>
      <w:r w:rsidR="00B74425">
        <w:rPr>
          <w:sz w:val="22"/>
          <w:szCs w:val="22"/>
        </w:rPr>
        <w:t xml:space="preserve"> However, during the UPR public consultations, facilitated by ROCA, civil society actively engaged with authorities in discussions on concerns related to June 2010 violence.</w:t>
      </w:r>
    </w:p>
    <w:p w:rsidR="00345AF5" w:rsidRPr="00E500D9" w:rsidRDefault="00345AF5" w:rsidP="00E500D9">
      <w:pPr>
        <w:jc w:val="both"/>
        <w:rPr>
          <w:sz w:val="22"/>
          <w:szCs w:val="22"/>
        </w:rPr>
      </w:pPr>
    </w:p>
    <w:p w:rsidR="00E500D9" w:rsidRPr="00E500D9" w:rsidRDefault="00966AF3" w:rsidP="00E500D9">
      <w:pPr>
        <w:jc w:val="both"/>
        <w:rPr>
          <w:sz w:val="22"/>
          <w:szCs w:val="22"/>
        </w:rPr>
      </w:pPr>
      <w:r w:rsidRPr="00E500D9">
        <w:rPr>
          <w:sz w:val="22"/>
          <w:szCs w:val="22"/>
        </w:rPr>
        <w:t xml:space="preserve">The two </w:t>
      </w:r>
      <w:r w:rsidR="007157F3">
        <w:rPr>
          <w:sz w:val="22"/>
          <w:szCs w:val="22"/>
        </w:rPr>
        <w:t>examples</w:t>
      </w:r>
      <w:r w:rsidRPr="00E500D9">
        <w:rPr>
          <w:sz w:val="22"/>
          <w:szCs w:val="22"/>
        </w:rPr>
        <w:t xml:space="preserve"> </w:t>
      </w:r>
      <w:r w:rsidR="00345AF5">
        <w:rPr>
          <w:sz w:val="22"/>
          <w:szCs w:val="22"/>
        </w:rPr>
        <w:t>mentioned below</w:t>
      </w:r>
      <w:r w:rsidR="001B54BB">
        <w:rPr>
          <w:sz w:val="22"/>
          <w:szCs w:val="22"/>
        </w:rPr>
        <w:t>, have been raised by ROCA with various state authorities, including the Chairperson of the Coordination Council on Human Rights,</w:t>
      </w:r>
      <w:r w:rsidR="00345AF5">
        <w:rPr>
          <w:sz w:val="22"/>
          <w:szCs w:val="22"/>
        </w:rPr>
        <w:t xml:space="preserve"> </w:t>
      </w:r>
      <w:r w:rsidR="001B54BB">
        <w:rPr>
          <w:sz w:val="22"/>
          <w:szCs w:val="22"/>
        </w:rPr>
        <w:t xml:space="preserve">and </w:t>
      </w:r>
      <w:r w:rsidRPr="00E500D9">
        <w:rPr>
          <w:sz w:val="22"/>
          <w:szCs w:val="22"/>
        </w:rPr>
        <w:t xml:space="preserve">clearly </w:t>
      </w:r>
      <w:r w:rsidR="00965EE4" w:rsidRPr="00E500D9">
        <w:rPr>
          <w:sz w:val="22"/>
          <w:szCs w:val="22"/>
        </w:rPr>
        <w:t>illustrate how the authorities perceive</w:t>
      </w:r>
      <w:r w:rsidR="004D03FC">
        <w:rPr>
          <w:sz w:val="22"/>
          <w:szCs w:val="22"/>
        </w:rPr>
        <w:t>d</w:t>
      </w:r>
      <w:r w:rsidR="00965EE4" w:rsidRPr="00E500D9">
        <w:rPr>
          <w:sz w:val="22"/>
          <w:szCs w:val="22"/>
        </w:rPr>
        <w:t xml:space="preserve"> </w:t>
      </w:r>
      <w:r w:rsidR="00E500D9" w:rsidRPr="00E500D9">
        <w:rPr>
          <w:sz w:val="22"/>
          <w:szCs w:val="22"/>
        </w:rPr>
        <w:t>and react</w:t>
      </w:r>
      <w:r w:rsidR="004D03FC">
        <w:rPr>
          <w:sz w:val="22"/>
          <w:szCs w:val="22"/>
        </w:rPr>
        <w:t>ed</w:t>
      </w:r>
      <w:r w:rsidR="00E500D9" w:rsidRPr="00E500D9">
        <w:rPr>
          <w:sz w:val="22"/>
          <w:szCs w:val="22"/>
        </w:rPr>
        <w:t xml:space="preserve"> to reminders </w:t>
      </w:r>
      <w:r w:rsidR="007157F3">
        <w:rPr>
          <w:sz w:val="22"/>
          <w:szCs w:val="22"/>
        </w:rPr>
        <w:t>of</w:t>
      </w:r>
      <w:r w:rsidR="00E500D9" w:rsidRPr="00E500D9">
        <w:rPr>
          <w:sz w:val="22"/>
          <w:szCs w:val="22"/>
        </w:rPr>
        <w:t xml:space="preserve"> human rights violations </w:t>
      </w:r>
      <w:r w:rsidR="004D03FC">
        <w:rPr>
          <w:sz w:val="22"/>
          <w:szCs w:val="22"/>
        </w:rPr>
        <w:t xml:space="preserve">committed during </w:t>
      </w:r>
      <w:r w:rsidR="00E500D9" w:rsidRPr="00E500D9">
        <w:rPr>
          <w:sz w:val="22"/>
          <w:szCs w:val="22"/>
        </w:rPr>
        <w:t xml:space="preserve">the </w:t>
      </w:r>
      <w:r w:rsidR="007157F3">
        <w:rPr>
          <w:sz w:val="22"/>
          <w:szCs w:val="22"/>
        </w:rPr>
        <w:t xml:space="preserve">June 2010 </w:t>
      </w:r>
      <w:r w:rsidR="00E500D9" w:rsidRPr="00E500D9">
        <w:rPr>
          <w:sz w:val="22"/>
          <w:szCs w:val="22"/>
        </w:rPr>
        <w:t>violence:</w:t>
      </w:r>
    </w:p>
    <w:p w:rsidR="00E500D9" w:rsidRPr="00E500D9" w:rsidRDefault="00E500D9" w:rsidP="00E500D9">
      <w:pPr>
        <w:jc w:val="both"/>
        <w:rPr>
          <w:rStyle w:val="apple-converted-space"/>
          <w:color w:val="000000"/>
          <w:sz w:val="22"/>
          <w:szCs w:val="22"/>
        </w:rPr>
      </w:pPr>
      <w:r w:rsidRPr="00E500D9">
        <w:rPr>
          <w:sz w:val="22"/>
          <w:szCs w:val="22"/>
        </w:rPr>
        <w:t xml:space="preserve">1. </w:t>
      </w:r>
      <w:r w:rsidRPr="00E500D9">
        <w:rPr>
          <w:color w:val="000000"/>
          <w:sz w:val="22"/>
          <w:szCs w:val="22"/>
        </w:rPr>
        <w:t xml:space="preserve">On 23 September, during the round table on "Building a multi-sectoral approach and strengthening the role of women in ensuring peace and security", where a film about sexual </w:t>
      </w:r>
      <w:r w:rsidR="007157F3">
        <w:rPr>
          <w:color w:val="000000"/>
          <w:sz w:val="22"/>
          <w:szCs w:val="22"/>
        </w:rPr>
        <w:t>violence against</w:t>
      </w:r>
      <w:r w:rsidRPr="00E500D9">
        <w:rPr>
          <w:color w:val="000000"/>
          <w:sz w:val="22"/>
          <w:szCs w:val="22"/>
        </w:rPr>
        <w:t xml:space="preserve"> ethnic Uzbeks during 2010 events was displayed, some participants asked the organizers to suspend the video</w:t>
      </w:r>
      <w:r w:rsidR="00DB33CF">
        <w:rPr>
          <w:color w:val="000000"/>
          <w:sz w:val="22"/>
          <w:szCs w:val="22"/>
        </w:rPr>
        <w:t>; other</w:t>
      </w:r>
      <w:r w:rsidR="001B54BB">
        <w:rPr>
          <w:color w:val="000000"/>
          <w:sz w:val="22"/>
          <w:szCs w:val="22"/>
        </w:rPr>
        <w:t>s</w:t>
      </w:r>
      <w:r w:rsidRPr="00E500D9">
        <w:rPr>
          <w:color w:val="000000"/>
          <w:sz w:val="22"/>
          <w:szCs w:val="22"/>
        </w:rPr>
        <w:t xml:space="preserve"> </w:t>
      </w:r>
      <w:r w:rsidR="007157F3">
        <w:rPr>
          <w:color w:val="000000"/>
          <w:sz w:val="22"/>
          <w:szCs w:val="22"/>
        </w:rPr>
        <w:t>left</w:t>
      </w:r>
      <w:r w:rsidRPr="00E500D9">
        <w:rPr>
          <w:color w:val="000000"/>
          <w:sz w:val="22"/>
          <w:szCs w:val="22"/>
        </w:rPr>
        <w:t>.</w:t>
      </w:r>
      <w:r w:rsidRPr="00E500D9">
        <w:rPr>
          <w:rStyle w:val="apple-converted-space"/>
          <w:color w:val="000000"/>
          <w:sz w:val="22"/>
          <w:szCs w:val="22"/>
        </w:rPr>
        <w:t> </w:t>
      </w:r>
      <w:r w:rsidRPr="00E500D9">
        <w:rPr>
          <w:color w:val="000000"/>
          <w:sz w:val="22"/>
          <w:szCs w:val="22"/>
        </w:rPr>
        <w:t xml:space="preserve">The round-table was attended by members of the Parliament, Minister of Emergency Situations and the Deputy Interior Minister, </w:t>
      </w:r>
      <w:r w:rsidR="007157F3">
        <w:rPr>
          <w:color w:val="000000"/>
          <w:sz w:val="22"/>
          <w:szCs w:val="22"/>
        </w:rPr>
        <w:t xml:space="preserve">other </w:t>
      </w:r>
      <w:r w:rsidRPr="00E500D9">
        <w:rPr>
          <w:color w:val="000000"/>
          <w:sz w:val="22"/>
          <w:szCs w:val="22"/>
        </w:rPr>
        <w:t>representatives of ministries and departments, as well as NGO representatives.</w:t>
      </w:r>
      <w:r w:rsidRPr="00E500D9">
        <w:rPr>
          <w:rStyle w:val="apple-converted-space"/>
          <w:color w:val="000000"/>
          <w:sz w:val="22"/>
          <w:szCs w:val="22"/>
        </w:rPr>
        <w:t> </w:t>
      </w:r>
      <w:r w:rsidRPr="00E500D9">
        <w:rPr>
          <w:color w:val="000000"/>
          <w:sz w:val="22"/>
          <w:szCs w:val="22"/>
        </w:rPr>
        <w:t xml:space="preserve">The Deputy Minister of Internal Affairs </w:t>
      </w:r>
      <w:r w:rsidR="00DB33CF">
        <w:rPr>
          <w:color w:val="000000"/>
          <w:sz w:val="22"/>
          <w:szCs w:val="22"/>
        </w:rPr>
        <w:t xml:space="preserve">reportedly </w:t>
      </w:r>
      <w:r w:rsidRPr="00E500D9">
        <w:rPr>
          <w:color w:val="000000"/>
          <w:sz w:val="22"/>
          <w:szCs w:val="22"/>
        </w:rPr>
        <w:t>publicly criticized the organizers of the round table and complained that the film should not have been shown. The event was hosted by the Committee on Defence and Security at Jogorku Kenesh and the Center for Research on democratic processes with the support of local authorities and international organizations.</w:t>
      </w:r>
      <w:r w:rsidRPr="00E500D9">
        <w:rPr>
          <w:rStyle w:val="apple-converted-space"/>
          <w:color w:val="000000"/>
          <w:sz w:val="22"/>
          <w:szCs w:val="22"/>
        </w:rPr>
        <w:t> </w:t>
      </w:r>
    </w:p>
    <w:p w:rsidR="00A24000" w:rsidRDefault="004D03FC" w:rsidP="00E500D9">
      <w:pPr>
        <w:jc w:val="both"/>
        <w:rPr>
          <w:b/>
        </w:rPr>
      </w:pPr>
      <w:r>
        <w:rPr>
          <w:sz w:val="22"/>
          <w:szCs w:val="22"/>
        </w:rPr>
        <w:t xml:space="preserve">2. </w:t>
      </w:r>
      <w:r w:rsidR="00E500D9" w:rsidRPr="00E500D9">
        <w:rPr>
          <w:sz w:val="22"/>
          <w:szCs w:val="22"/>
        </w:rPr>
        <w:t xml:space="preserve">On 30 September, the Office of the Association of Human Rights NGOs “Human Rights Advocacy Center” (the HRAC) in Osh was </w:t>
      </w:r>
      <w:r w:rsidR="0007615D">
        <w:rPr>
          <w:sz w:val="22"/>
          <w:szCs w:val="22"/>
        </w:rPr>
        <w:t xml:space="preserve">reportedly </w:t>
      </w:r>
      <w:r w:rsidR="00E500D9" w:rsidRPr="00E500D9">
        <w:rPr>
          <w:sz w:val="22"/>
          <w:szCs w:val="22"/>
        </w:rPr>
        <w:t>searched by six officers of the State Committee for National Security (SCNS) for more than two hours. The SCNS Officers reportedly presented an order of the SCNS investigator on launching a criminal case against the HRAC under the Article 299 of the Criminal Code of Kyrgyzstan - “incitement of ethnic, racial, religious or inter-regional hatred”. The reason</w:t>
      </w:r>
      <w:r w:rsidR="00DB33CF">
        <w:rPr>
          <w:sz w:val="22"/>
          <w:szCs w:val="22"/>
        </w:rPr>
        <w:t xml:space="preserve"> for opening the case </w:t>
      </w:r>
      <w:r w:rsidR="0007615D">
        <w:rPr>
          <w:sz w:val="22"/>
          <w:szCs w:val="22"/>
        </w:rPr>
        <w:t xml:space="preserve">as stated in the order </w:t>
      </w:r>
      <w:r w:rsidR="00DB33CF">
        <w:rPr>
          <w:sz w:val="22"/>
          <w:szCs w:val="22"/>
        </w:rPr>
        <w:t>was the</w:t>
      </w:r>
      <w:r w:rsidR="00E500D9" w:rsidRPr="00E500D9">
        <w:rPr>
          <w:sz w:val="22"/>
          <w:szCs w:val="22"/>
        </w:rPr>
        <w:t xml:space="preserve"> “conducting of a pilot survey on observance of the rights of ethnic minorities in Osh” by the HRAC</w:t>
      </w:r>
      <w:r w:rsidR="00DB33CF">
        <w:rPr>
          <w:sz w:val="22"/>
          <w:szCs w:val="22"/>
        </w:rPr>
        <w:t>.</w:t>
      </w:r>
      <w:r w:rsidR="00422627" w:rsidRPr="00E500D9">
        <w:rPr>
          <w:b/>
          <w:sz w:val="22"/>
          <w:szCs w:val="22"/>
        </w:rPr>
        <w:fldChar w:fldCharType="end"/>
      </w:r>
    </w:p>
    <w:p w:rsidR="00A24000" w:rsidRDefault="00A24000">
      <w:pPr>
        <w:rPr>
          <w:b/>
        </w:rPr>
      </w:pPr>
    </w:p>
    <w:p w:rsidR="00A24000" w:rsidRPr="00A35AF6" w:rsidRDefault="00422627">
      <w:pPr>
        <w:rPr>
          <w:b/>
          <w:sz w:val="22"/>
          <w:szCs w:val="22"/>
        </w:rPr>
      </w:pPr>
      <w:r w:rsidRPr="00A35AF6">
        <w:rPr>
          <w:b/>
          <w:sz w:val="22"/>
          <w:szCs w:val="22"/>
        </w:rPr>
        <w:t>Reasons for low achievement and rectifying measures</w:t>
      </w:r>
    </w:p>
    <w:p w:rsidR="00A24000" w:rsidRDefault="00A24000">
      <w:pPr>
        <w:rPr>
          <w:rFonts w:ascii="Arial Narrow" w:hAnsi="Arial Narrow"/>
          <w:b/>
          <w:sz w:val="22"/>
          <w:szCs w:val="22"/>
        </w:rPr>
      </w:pPr>
    </w:p>
    <w:p w:rsidR="00A24000" w:rsidRPr="00A35AF6" w:rsidRDefault="00422627">
      <w:pPr>
        <w:rPr>
          <w:b/>
        </w:rPr>
      </w:pPr>
      <w:r w:rsidRPr="00A35AF6">
        <w:rPr>
          <w:i/>
          <w:sz w:val="22"/>
          <w:szCs w:val="22"/>
        </w:rPr>
        <w:lastRenderedPageBreak/>
        <w:t>If sufficient progress is not being made, what are the key reasons, bottlenecks and challenges? Were these foreseen in the risk matrix? How are they being addressed and what will be the rectifying measures (1500 character limit)?</w:t>
      </w:r>
    </w:p>
    <w:p w:rsidR="00A24000" w:rsidRDefault="00422627">
      <w:pPr>
        <w:rPr>
          <w:b/>
        </w:rPr>
      </w:pPr>
      <w:r>
        <w:rPr>
          <w:b/>
        </w:rPr>
        <w:fldChar w:fldCharType="begin">
          <w:ffData>
            <w:name w:val="Text39"/>
            <w:enabled/>
            <w:calcOnExit w:val="0"/>
            <w:textInput>
              <w:maxLength w:val="1500"/>
              <w:format w:val="Первая прописная"/>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A24000" w:rsidRDefault="00A24000">
      <w:pPr>
        <w:rPr>
          <w:b/>
        </w:rPr>
      </w:pPr>
    </w:p>
    <w:p w:rsidR="00A24000" w:rsidRDefault="00422627">
      <w:pPr>
        <w:numPr>
          <w:ilvl w:val="1"/>
          <w:numId w:val="4"/>
        </w:numPr>
        <w:ind w:left="720" w:hanging="720"/>
        <w:rPr>
          <w:b/>
        </w:rPr>
      </w:pPr>
      <w:r>
        <w:rPr>
          <w:b/>
        </w:rPr>
        <w:t>Assessment of project evidence base, risk, catalytic effects, gender in the reporting period</w:t>
      </w:r>
    </w:p>
    <w:p w:rsidR="00A24000" w:rsidRDefault="00A24000"/>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A24000">
        <w:tc>
          <w:tcPr>
            <w:tcW w:w="3660" w:type="dxa"/>
            <w:tcBorders>
              <w:top w:val="single" w:sz="4" w:space="0" w:color="auto"/>
              <w:left w:val="single" w:sz="4" w:space="0" w:color="auto"/>
              <w:bottom w:val="single" w:sz="4" w:space="0" w:color="auto"/>
              <w:right w:val="single" w:sz="4" w:space="0" w:color="auto"/>
            </w:tcBorders>
            <w:hideMark/>
          </w:tcPr>
          <w:p w:rsidR="00A24000" w:rsidRDefault="00422627">
            <w:r>
              <w:rPr>
                <w:u w:val="single"/>
              </w:rPr>
              <w:t>Evidence base</w:t>
            </w:r>
            <w:r>
              <w:t xml:space="preserve">: What is the evidence base for this report and for project progress? What consultation/validation process has taken place on this report </w:t>
            </w:r>
            <w:r w:rsidRPr="006305E0">
              <w:rPr>
                <w:i/>
                <w:sz w:val="22"/>
                <w:szCs w:val="22"/>
              </w:rPr>
              <w:t>(1000 character limit)?</w:t>
            </w:r>
          </w:p>
        </w:tc>
        <w:tc>
          <w:tcPr>
            <w:tcW w:w="6510" w:type="dxa"/>
            <w:tcBorders>
              <w:top w:val="single" w:sz="4" w:space="0" w:color="auto"/>
              <w:left w:val="single" w:sz="4" w:space="0" w:color="auto"/>
              <w:bottom w:val="single" w:sz="4" w:space="0" w:color="auto"/>
              <w:right w:val="single" w:sz="4" w:space="0" w:color="auto"/>
            </w:tcBorders>
            <w:hideMark/>
          </w:tcPr>
          <w:p w:rsidR="00245840" w:rsidRDefault="00422627" w:rsidP="00245840">
            <w:r>
              <w:fldChar w:fldCharType="begin">
                <w:ffData>
                  <w:name w:val="Text5"/>
                  <w:enabled/>
                  <w:calcOnExit w:val="0"/>
                  <w:textInput>
                    <w:maxLength w:val="1000"/>
                    <w:format w:val="Первая прописная"/>
                  </w:textInput>
                </w:ffData>
              </w:fldChar>
            </w:r>
            <w:bookmarkStart w:id="27" w:name="Text5"/>
            <w:r>
              <w:instrText xml:space="preserve"> FORMTEXT </w:instrText>
            </w:r>
            <w:r>
              <w:fldChar w:fldCharType="separate"/>
            </w:r>
            <w:r w:rsidR="00DB33CF">
              <w:t>The evidence base</w:t>
            </w:r>
            <w:r w:rsidR="00B74425">
              <w:t xml:space="preserve"> for this report is</w:t>
            </w:r>
            <w:r w:rsidR="00245840">
              <w:t>:</w:t>
            </w:r>
            <w:r w:rsidR="006305E0">
              <w:t xml:space="preserve"> </w:t>
            </w:r>
          </w:p>
          <w:p w:rsidR="00245840" w:rsidRDefault="00245840" w:rsidP="00245840">
            <w:r>
              <w:t xml:space="preserve">- </w:t>
            </w:r>
            <w:r w:rsidR="006305E0">
              <w:t xml:space="preserve">ROCA's </w:t>
            </w:r>
            <w:r w:rsidR="007A4C3B">
              <w:t xml:space="preserve">internal </w:t>
            </w:r>
            <w:r w:rsidR="006305E0">
              <w:t xml:space="preserve">monthly reports </w:t>
            </w:r>
            <w:r>
              <w:t>submitted to the OHCHR Performance Monitoring System;</w:t>
            </w:r>
          </w:p>
          <w:p w:rsidR="00245840" w:rsidRDefault="00245840" w:rsidP="00245840">
            <w:pPr>
              <w:rPr>
                <w:i/>
              </w:rPr>
            </w:pPr>
            <w:r>
              <w:t xml:space="preserve">- Drafts of the seven key laws in the area of administration of justice elaborated by the </w:t>
            </w:r>
            <w:r>
              <w:rPr>
                <w:i/>
              </w:rPr>
              <w:t>Expert Working Groups;</w:t>
            </w:r>
          </w:p>
          <w:p w:rsidR="00245840" w:rsidRDefault="00245840" w:rsidP="00245840">
            <w:r>
              <w:t>- The National Report to the 2</w:t>
            </w:r>
            <w:r w:rsidRPr="00245840">
              <w:rPr>
                <w:vertAlign w:val="superscript"/>
              </w:rPr>
              <w:t>nd</w:t>
            </w:r>
            <w:r>
              <w:t xml:space="preserve"> cycle of UPR prepared and submitted by the Coordination Council on Human Rights;</w:t>
            </w:r>
          </w:p>
          <w:p w:rsidR="00245840" w:rsidRDefault="00245840" w:rsidP="00245840">
            <w:r>
              <w:t>- Number of promotional materials prepared and disseminated by ROCA within the project;</w:t>
            </w:r>
          </w:p>
          <w:p w:rsidR="00245840" w:rsidRDefault="00245840" w:rsidP="00245840">
            <w:r>
              <w:t xml:space="preserve">- Talking points and </w:t>
            </w:r>
            <w:r w:rsidR="007A4C3B">
              <w:t xml:space="preserve">internal </w:t>
            </w:r>
            <w:r>
              <w:t>minutes of advocacy meetings with the authorities conducted by ROCA within the project.</w:t>
            </w:r>
            <w:r w:rsidR="00422627">
              <w:t> </w:t>
            </w:r>
            <w:r w:rsidR="00422627">
              <w:fldChar w:fldCharType="end"/>
            </w:r>
            <w:bookmarkEnd w:id="27"/>
          </w:p>
        </w:tc>
      </w:tr>
      <w:tr w:rsidR="00A24000">
        <w:tc>
          <w:tcPr>
            <w:tcW w:w="3660" w:type="dxa"/>
            <w:tcBorders>
              <w:top w:val="single" w:sz="4" w:space="0" w:color="auto"/>
              <w:left w:val="single" w:sz="4" w:space="0" w:color="auto"/>
              <w:bottom w:val="single" w:sz="4" w:space="0" w:color="auto"/>
              <w:right w:val="single" w:sz="4" w:space="0" w:color="auto"/>
            </w:tcBorders>
            <w:hideMark/>
          </w:tcPr>
          <w:p w:rsidR="00A24000" w:rsidRDefault="00422627">
            <w:r>
              <w:rPr>
                <w:u w:val="single"/>
              </w:rPr>
              <w:t>Funding gaps</w:t>
            </w:r>
            <w:r>
              <w:t xml:space="preserve">: Did the project fill critical funding gaps in peacebuilding in the country? Briefly describe. </w:t>
            </w:r>
            <w:r w:rsidRPr="00245840">
              <w:rPr>
                <w:i/>
                <w:sz w:val="22"/>
                <w:szCs w:val="22"/>
              </w:rPr>
              <w:t>(1500 character limit)</w:t>
            </w:r>
          </w:p>
        </w:tc>
        <w:tc>
          <w:tcPr>
            <w:tcW w:w="6510" w:type="dxa"/>
            <w:tcBorders>
              <w:top w:val="single" w:sz="4" w:space="0" w:color="auto"/>
              <w:left w:val="single" w:sz="4" w:space="0" w:color="auto"/>
              <w:bottom w:val="single" w:sz="4" w:space="0" w:color="auto"/>
              <w:right w:val="single" w:sz="4" w:space="0" w:color="auto"/>
            </w:tcBorders>
            <w:hideMark/>
          </w:tcPr>
          <w:p w:rsidR="00A24000" w:rsidRDefault="00422627" w:rsidP="00565F0B">
            <w:r>
              <w:fldChar w:fldCharType="begin">
                <w:ffData>
                  <w:name w:val="Text2"/>
                  <w:enabled/>
                  <w:calcOnExit w:val="0"/>
                  <w:textInput>
                    <w:maxLength w:val="1500"/>
                    <w:format w:val="Первая прописная"/>
                  </w:textInput>
                </w:ffData>
              </w:fldChar>
            </w:r>
            <w:bookmarkStart w:id="28" w:name="Text2"/>
            <w:r>
              <w:instrText xml:space="preserve"> FORMTEXT </w:instrText>
            </w:r>
            <w:r>
              <w:fldChar w:fldCharType="separate"/>
            </w:r>
            <w:r w:rsidR="00B74425">
              <w:rPr>
                <w:noProof/>
              </w:rPr>
              <w:t>By seconding two Human Rights Experts to the Coordination Council on Human Rights the project is meeting the critical need of having full time staff working within the Secretari</w:t>
            </w:r>
            <w:r w:rsidR="00565F0B">
              <w:rPr>
                <w:noProof/>
              </w:rPr>
              <w:t xml:space="preserve">at of the Coordination  Council to manage the workload. </w:t>
            </w:r>
            <w:r>
              <w:fldChar w:fldCharType="end"/>
            </w:r>
            <w:bookmarkEnd w:id="28"/>
          </w:p>
        </w:tc>
      </w:tr>
      <w:tr w:rsidR="00A24000">
        <w:tc>
          <w:tcPr>
            <w:tcW w:w="3660" w:type="dxa"/>
            <w:tcBorders>
              <w:top w:val="single" w:sz="4" w:space="0" w:color="auto"/>
              <w:left w:val="single" w:sz="4" w:space="0" w:color="auto"/>
              <w:bottom w:val="single" w:sz="4" w:space="0" w:color="auto"/>
              <w:right w:val="single" w:sz="4" w:space="0" w:color="auto"/>
            </w:tcBorders>
            <w:hideMark/>
          </w:tcPr>
          <w:p w:rsidR="00A24000" w:rsidRDefault="00422627">
            <w:r>
              <w:rPr>
                <w:u w:val="single"/>
              </w:rPr>
              <w:t>Catalytic effects</w:t>
            </w:r>
            <w:r>
              <w:t xml:space="preserve">: Did the project achieve any catalytic effects, either through attracting additional funding commitments or creating immediate conditions to unblock/ accelerate peace relevant processes? Briefly describe. </w:t>
            </w:r>
            <w:r w:rsidRPr="00245840">
              <w:rPr>
                <w:i/>
                <w:sz w:val="22"/>
                <w:szCs w:val="22"/>
              </w:rPr>
              <w:t>(1500 character limit)</w:t>
            </w:r>
          </w:p>
        </w:tc>
        <w:tc>
          <w:tcPr>
            <w:tcW w:w="6510" w:type="dxa"/>
            <w:tcBorders>
              <w:top w:val="single" w:sz="4" w:space="0" w:color="auto"/>
              <w:left w:val="single" w:sz="4" w:space="0" w:color="auto"/>
              <w:bottom w:val="single" w:sz="4" w:space="0" w:color="auto"/>
              <w:right w:val="single" w:sz="4" w:space="0" w:color="auto"/>
            </w:tcBorders>
            <w:hideMark/>
          </w:tcPr>
          <w:p w:rsidR="00A24000" w:rsidRDefault="00593C7F" w:rsidP="00526F6F">
            <w:r>
              <w:t xml:space="preserve">The project </w:t>
            </w:r>
            <w:r w:rsidR="00526F6F" w:rsidRPr="00526F6F">
              <w:rPr>
                <w:i/>
              </w:rPr>
              <w:t xml:space="preserve">inter alia </w:t>
            </w:r>
            <w:r>
              <w:t xml:space="preserve">focuses on </w:t>
            </w:r>
            <w:r w:rsidR="00526F6F">
              <w:t xml:space="preserve">the </w:t>
            </w:r>
            <w:r>
              <w:t>elaboration of key pieces of legislation related to administration of justice</w:t>
            </w:r>
            <w:r w:rsidR="00BF1A85">
              <w:t>;</w:t>
            </w:r>
            <w:r w:rsidR="00526F6F">
              <w:t xml:space="preserve"> on the holistic implementation of UN human rig</w:t>
            </w:r>
            <w:r w:rsidR="00BF1A85">
              <w:t>hts mechanisms’ recommendations;</w:t>
            </w:r>
            <w:r>
              <w:t xml:space="preserve"> and on promoting dialogue between civil society and state authorities </w:t>
            </w:r>
            <w:r w:rsidR="00BF1A85">
              <w:t>on past human rights violations.</w:t>
            </w:r>
            <w:r>
              <w:t xml:space="preserve"> </w:t>
            </w:r>
            <w:r w:rsidR="00BF1A85">
              <w:t>T</w:t>
            </w:r>
            <w:r w:rsidR="00526F6F">
              <w:t xml:space="preserve">he </w:t>
            </w:r>
            <w:r>
              <w:t xml:space="preserve">overall aim </w:t>
            </w:r>
            <w:r w:rsidR="00BF1A85">
              <w:t xml:space="preserve">is, </w:t>
            </w:r>
            <w:r>
              <w:t>improv</w:t>
            </w:r>
            <w:r w:rsidR="00526F6F">
              <w:t>ing</w:t>
            </w:r>
            <w:r>
              <w:t xml:space="preserve"> </w:t>
            </w:r>
            <w:r w:rsidR="00BF1A85">
              <w:t xml:space="preserve">the </w:t>
            </w:r>
            <w:r>
              <w:t xml:space="preserve">trust in state structures and </w:t>
            </w:r>
            <w:r w:rsidR="00526F6F">
              <w:t xml:space="preserve">in </w:t>
            </w:r>
            <w:r>
              <w:t>consolidat</w:t>
            </w:r>
            <w:r w:rsidR="00526F6F">
              <w:t>ing</w:t>
            </w:r>
            <w:r>
              <w:t xml:space="preserve"> peace.</w:t>
            </w:r>
          </w:p>
          <w:p w:rsidR="00565F0B" w:rsidRDefault="00565F0B" w:rsidP="00526F6F"/>
          <w:p w:rsidR="00565F0B" w:rsidRDefault="00565F0B" w:rsidP="00526F6F">
            <w:r>
              <w:t xml:space="preserve">The project furthermore facilitated that the National Preventive Mechanisms submitted a funding proposal to the OPCAT Special Fund. Also, the project increased the attention of the donors to the judicial reform, and with that increased their willingness in providing funding. </w:t>
            </w:r>
          </w:p>
          <w:p w:rsidR="00565F0B" w:rsidRDefault="00565F0B" w:rsidP="00526F6F"/>
          <w:p w:rsidR="00CE366E" w:rsidRDefault="00CE366E" w:rsidP="00565F0B">
            <w:r>
              <w:t xml:space="preserve">Although the official starting date of the project is 1 July 2014, OHCHR started implementing the project using own resources from </w:t>
            </w:r>
            <w:r w:rsidR="00565F0B">
              <w:t>January</w:t>
            </w:r>
            <w:r>
              <w:t xml:space="preserve"> 2014.</w:t>
            </w:r>
          </w:p>
        </w:tc>
      </w:tr>
      <w:tr w:rsidR="00A24000">
        <w:tc>
          <w:tcPr>
            <w:tcW w:w="3660" w:type="dxa"/>
            <w:tcBorders>
              <w:top w:val="single" w:sz="4" w:space="0" w:color="auto"/>
              <w:left w:val="single" w:sz="4" w:space="0" w:color="auto"/>
              <w:bottom w:val="single" w:sz="4" w:space="0" w:color="auto"/>
              <w:right w:val="single" w:sz="4" w:space="0" w:color="auto"/>
            </w:tcBorders>
            <w:hideMark/>
          </w:tcPr>
          <w:p w:rsidR="00A24000" w:rsidRDefault="00422627">
            <w:r>
              <w:rPr>
                <w:u w:val="single"/>
              </w:rPr>
              <w:t>Risk taking/ innovation</w:t>
            </w:r>
            <w:r>
              <w:t xml:space="preserve">: Did the project support any innovative or risky activities to achieve peacebuilding results? What were they and what was the result? </w:t>
            </w:r>
            <w:r w:rsidRPr="00245840">
              <w:rPr>
                <w:i/>
                <w:sz w:val="22"/>
                <w:szCs w:val="22"/>
              </w:rPr>
              <w:t>(1500 character limit)</w:t>
            </w:r>
          </w:p>
        </w:tc>
        <w:tc>
          <w:tcPr>
            <w:tcW w:w="6510" w:type="dxa"/>
            <w:tcBorders>
              <w:top w:val="single" w:sz="4" w:space="0" w:color="auto"/>
              <w:left w:val="single" w:sz="4" w:space="0" w:color="auto"/>
              <w:bottom w:val="single" w:sz="4" w:space="0" w:color="auto"/>
              <w:right w:val="single" w:sz="4" w:space="0" w:color="auto"/>
            </w:tcBorders>
            <w:hideMark/>
          </w:tcPr>
          <w:p w:rsidR="00A24000" w:rsidRDefault="00422627">
            <w:r>
              <w:fldChar w:fldCharType="begin">
                <w:ffData>
                  <w:name w:val="Text4"/>
                  <w:enabled/>
                  <w:calcOnExit w:val="0"/>
                  <w:textInput>
                    <w:maxLength w:val="1500"/>
                    <w:format w:val="Первая прописная"/>
                  </w:textInput>
                </w:ffData>
              </w:fldChar>
            </w:r>
            <w:bookmarkStart w:id="29" w:name="Text4"/>
            <w:r>
              <w:instrText xml:space="preserve"> FORMTEXT </w:instrText>
            </w:r>
            <w:r>
              <w:fldChar w:fldCharType="separate"/>
            </w:r>
            <w:r w:rsidR="00565F0B">
              <w:rPr>
                <w:noProof/>
              </w:rPr>
              <w:t xml:space="preserve">ROCA supported the Coordination Council on Human Rights in organizing a public consultation in Osh in the context of the UPR during which concerns related to minorities and tranitional justice were discussed. </w:t>
            </w:r>
            <w:r>
              <w:rPr>
                <w:noProof/>
              </w:rPr>
              <w:t> </w:t>
            </w:r>
            <w:r>
              <w:rPr>
                <w:noProof/>
              </w:rPr>
              <w:t> </w:t>
            </w:r>
            <w:r>
              <w:rPr>
                <w:noProof/>
              </w:rPr>
              <w:t> </w:t>
            </w:r>
            <w:r>
              <w:rPr>
                <w:noProof/>
              </w:rPr>
              <w:t> </w:t>
            </w:r>
            <w:r>
              <w:fldChar w:fldCharType="end"/>
            </w:r>
            <w:bookmarkEnd w:id="29"/>
          </w:p>
        </w:tc>
      </w:tr>
      <w:tr w:rsidR="00A24000">
        <w:tc>
          <w:tcPr>
            <w:tcW w:w="3660" w:type="dxa"/>
            <w:tcBorders>
              <w:top w:val="single" w:sz="4" w:space="0" w:color="auto"/>
              <w:left w:val="single" w:sz="4" w:space="0" w:color="auto"/>
              <w:bottom w:val="single" w:sz="4" w:space="0" w:color="auto"/>
              <w:right w:val="single" w:sz="4" w:space="0" w:color="auto"/>
            </w:tcBorders>
            <w:hideMark/>
          </w:tcPr>
          <w:p w:rsidR="00A24000" w:rsidRDefault="00422627">
            <w:pPr>
              <w:rPr>
                <w:u w:val="single"/>
              </w:rPr>
            </w:pPr>
            <w:r>
              <w:rPr>
                <w:u w:val="single"/>
              </w:rPr>
              <w:t>Gender</w:t>
            </w:r>
            <w:r>
              <w:t>: How have gender considerations been mainstreamed in the project to the extent possible? Is the original gender marker for the</w:t>
            </w:r>
            <w:r>
              <w:rPr>
                <w:u w:val="single"/>
              </w:rPr>
              <w:t xml:space="preserve"> </w:t>
            </w:r>
            <w:r>
              <w:t xml:space="preserve">project still the right </w:t>
            </w:r>
            <w:r>
              <w:lastRenderedPageBreak/>
              <w:t xml:space="preserve">one? Briefly justify. </w:t>
            </w:r>
            <w:r w:rsidRPr="00245840">
              <w:rPr>
                <w:i/>
                <w:sz w:val="22"/>
                <w:szCs w:val="22"/>
              </w:rPr>
              <w:t>(1500 character limit)</w:t>
            </w:r>
          </w:p>
        </w:tc>
        <w:tc>
          <w:tcPr>
            <w:tcW w:w="6510" w:type="dxa"/>
            <w:tcBorders>
              <w:top w:val="single" w:sz="4" w:space="0" w:color="auto"/>
              <w:left w:val="single" w:sz="4" w:space="0" w:color="auto"/>
              <w:bottom w:val="single" w:sz="4" w:space="0" w:color="auto"/>
              <w:right w:val="single" w:sz="4" w:space="0" w:color="auto"/>
            </w:tcBorders>
            <w:hideMark/>
          </w:tcPr>
          <w:p w:rsidR="00A24000" w:rsidRDefault="006402DD">
            <w:r>
              <w:lastRenderedPageBreak/>
              <w:t xml:space="preserve">Women’s representation has been ensured in all activities conducted so far in the project. Special attention has been paid to gender </w:t>
            </w:r>
            <w:r w:rsidR="008C55C1">
              <w:t>issues</w:t>
            </w:r>
            <w:r>
              <w:t xml:space="preserve"> </w:t>
            </w:r>
            <w:r w:rsidR="00526F6F">
              <w:t xml:space="preserve">and </w:t>
            </w:r>
            <w:r>
              <w:t>the rights of women and girls while implementing project components related to the work of the Coordination Council, the Uni</w:t>
            </w:r>
            <w:r w:rsidR="00565F0B">
              <w:t>versal Periodic Review and other</w:t>
            </w:r>
            <w:r>
              <w:t xml:space="preserve"> </w:t>
            </w:r>
            <w:r>
              <w:lastRenderedPageBreak/>
              <w:t>UN human rights mechanisms, in particular CEDAW.</w:t>
            </w:r>
          </w:p>
        </w:tc>
      </w:tr>
      <w:tr w:rsidR="00A24000">
        <w:tc>
          <w:tcPr>
            <w:tcW w:w="3660" w:type="dxa"/>
            <w:tcBorders>
              <w:top w:val="single" w:sz="4" w:space="0" w:color="auto"/>
              <w:left w:val="single" w:sz="4" w:space="0" w:color="auto"/>
              <w:bottom w:val="single" w:sz="4" w:space="0" w:color="auto"/>
              <w:right w:val="single" w:sz="4" w:space="0" w:color="auto"/>
            </w:tcBorders>
            <w:hideMark/>
          </w:tcPr>
          <w:p w:rsidR="00A24000" w:rsidRDefault="00422627">
            <w:pPr>
              <w:rPr>
                <w:u w:val="single"/>
              </w:rPr>
            </w:pPr>
            <w:r>
              <w:rPr>
                <w:u w:val="single"/>
              </w:rPr>
              <w:lastRenderedPageBreak/>
              <w:t xml:space="preserve">Other issues: </w:t>
            </w:r>
            <w:r>
              <w:t xml:space="preserve">Are there any other issues concerning project implementation that should be shared with PBSO? This can include any cross-cutting issues or other issues which have not been included in the report so far. </w:t>
            </w:r>
            <w:r w:rsidRPr="00245840">
              <w:rPr>
                <w:i/>
                <w:sz w:val="22"/>
                <w:szCs w:val="22"/>
              </w:rPr>
              <w:t>(1500 character limit)</w:t>
            </w:r>
          </w:p>
        </w:tc>
        <w:tc>
          <w:tcPr>
            <w:tcW w:w="6510" w:type="dxa"/>
            <w:tcBorders>
              <w:top w:val="single" w:sz="4" w:space="0" w:color="auto"/>
              <w:left w:val="single" w:sz="4" w:space="0" w:color="auto"/>
              <w:bottom w:val="single" w:sz="4" w:space="0" w:color="auto"/>
              <w:right w:val="single" w:sz="4" w:space="0" w:color="auto"/>
            </w:tcBorders>
            <w:hideMark/>
          </w:tcPr>
          <w:p w:rsidR="00A24000" w:rsidRDefault="00422627" w:rsidP="00526F6F">
            <w:pPr>
              <w:jc w:val="both"/>
            </w:pPr>
            <w:r>
              <w:fldChar w:fldCharType="begin">
                <w:ffData>
                  <w:name w:val="Text4"/>
                  <w:enabled/>
                  <w:calcOnExit w:val="0"/>
                  <w:textInput>
                    <w:maxLength w:val="1500"/>
                    <w:format w:val="Первая прописная"/>
                  </w:textInput>
                </w:ffData>
              </w:fldChar>
            </w:r>
            <w:r>
              <w:instrText xml:space="preserve"> FORMTEXT </w:instrText>
            </w:r>
            <w:r>
              <w:fldChar w:fldCharType="separate"/>
            </w:r>
            <w:r w:rsidR="00565F0B">
              <w:rPr>
                <w:noProof/>
              </w:rPr>
              <w:t>ROCA is</w:t>
            </w:r>
            <w:r w:rsidR="005F084D">
              <w:rPr>
                <w:noProof/>
              </w:rPr>
              <w:t xml:space="preserve"> concerned </w:t>
            </w:r>
            <w:r w:rsidR="00526F6F">
              <w:rPr>
                <w:noProof/>
              </w:rPr>
              <w:t>with</w:t>
            </w:r>
            <w:r w:rsidR="005F084D">
              <w:rPr>
                <w:noProof/>
              </w:rPr>
              <w:t xml:space="preserve"> the </w:t>
            </w:r>
            <w:r w:rsidR="00526F6F">
              <w:rPr>
                <w:noProof/>
              </w:rPr>
              <w:t xml:space="preserve">draft </w:t>
            </w:r>
            <w:r w:rsidR="005F084D">
              <w:rPr>
                <w:noProof/>
              </w:rPr>
              <w:t>bills on "foreign agents</w:t>
            </w:r>
            <w:r w:rsidR="00526F6F">
              <w:rPr>
                <w:noProof/>
              </w:rPr>
              <w:t xml:space="preserve"> - </w:t>
            </w:r>
            <w:r w:rsidR="005F084D">
              <w:rPr>
                <w:noProof/>
              </w:rPr>
              <w:t>NGOs" and against "uncovential sexual relations" currently being considered by the Parliament of Kyrgyzsta</w:t>
            </w:r>
            <w:r w:rsidR="00526F6F">
              <w:rPr>
                <w:noProof/>
              </w:rPr>
              <w:t>n</w:t>
            </w:r>
            <w:r w:rsidR="005F084D">
              <w:rPr>
                <w:noProof/>
              </w:rPr>
              <w:t xml:space="preserve">. If adopted, the bills would significantly shrink the democratic space, serve as a legal cause for discriminating vulnerable groups, crack down the civil society, limit RUNOs activities and negatively affect achievements in </w:t>
            </w:r>
            <w:r w:rsidR="00526F6F">
              <w:rPr>
                <w:noProof/>
              </w:rPr>
              <w:t xml:space="preserve">the </w:t>
            </w:r>
            <w:r w:rsidR="005F084D">
              <w:rPr>
                <w:noProof/>
              </w:rPr>
              <w:t>peacebuilding process in Kyrgyzstan.</w:t>
            </w:r>
            <w:r>
              <w:rPr>
                <w:noProof/>
              </w:rPr>
              <w:t> </w:t>
            </w:r>
            <w:r>
              <w:fldChar w:fldCharType="end"/>
            </w:r>
          </w:p>
        </w:tc>
      </w:tr>
    </w:tbl>
    <w:p w:rsidR="00A24000" w:rsidRDefault="00A24000">
      <w:pPr>
        <w:rPr>
          <w:b/>
        </w:rPr>
      </w:pPr>
    </w:p>
    <w:p w:rsidR="00A24000" w:rsidRDefault="00A24000">
      <w:pPr>
        <w:rPr>
          <w:b/>
        </w:rPr>
      </w:pPr>
    </w:p>
    <w:p w:rsidR="00A24000" w:rsidRDefault="00422627">
      <w:pPr>
        <w:rPr>
          <w:i/>
          <w:u w:val="single"/>
        </w:rPr>
      </w:pPr>
      <w:r>
        <w:rPr>
          <w:b/>
        </w:rPr>
        <w:t>PART 2: LESSONS LEARNED AND SUCCESS STORY</w:t>
      </w:r>
      <w:r>
        <w:rPr>
          <w:i/>
          <w:u w:val="single"/>
        </w:rPr>
        <w:t xml:space="preserve">  </w:t>
      </w:r>
    </w:p>
    <w:p w:rsidR="00A24000" w:rsidRDefault="00A24000"/>
    <w:p w:rsidR="00A24000" w:rsidRDefault="00422627">
      <w:pPr>
        <w:rPr>
          <w:b/>
        </w:rPr>
      </w:pPr>
      <w:r>
        <w:rPr>
          <w:b/>
        </w:rPr>
        <w:t>2.1 Lessons learned</w:t>
      </w:r>
    </w:p>
    <w:p w:rsidR="00A24000" w:rsidRDefault="00A24000">
      <w:pPr>
        <w:rPr>
          <w:i/>
        </w:rPr>
      </w:pPr>
    </w:p>
    <w:p w:rsidR="00A24000" w:rsidRDefault="00422627">
      <w:pPr>
        <w:rPr>
          <w:i/>
        </w:rPr>
      </w:pPr>
      <w:r>
        <w:rPr>
          <w:i/>
        </w:rPr>
        <w:t>Provide at least three key lessons learned from the implementation of the project. These can include lessons on the themes supported by the project or the project processes and management.</w:t>
      </w:r>
    </w:p>
    <w:p w:rsidR="00A24000" w:rsidRDefault="00A24000"/>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41"/>
      </w:tblGrid>
      <w:tr w:rsidR="00A24000" w:rsidRPr="00245840">
        <w:tc>
          <w:tcPr>
            <w:tcW w:w="2273" w:type="dxa"/>
            <w:tcBorders>
              <w:top w:val="single" w:sz="4" w:space="0" w:color="auto"/>
              <w:left w:val="single" w:sz="4" w:space="0" w:color="auto"/>
              <w:bottom w:val="single" w:sz="4" w:space="0" w:color="auto"/>
              <w:right w:val="single" w:sz="4" w:space="0" w:color="auto"/>
            </w:tcBorders>
            <w:hideMark/>
          </w:tcPr>
          <w:p w:rsidR="00A24000" w:rsidRPr="00245840" w:rsidRDefault="00422627">
            <w:r w:rsidRPr="00245840">
              <w:t xml:space="preserve">Lesson 1 </w:t>
            </w:r>
            <w:r w:rsidRPr="00245840">
              <w:rPr>
                <w:i/>
                <w:sz w:val="22"/>
                <w:szCs w:val="22"/>
              </w:rPr>
              <w:t>(1000 character limit)</w:t>
            </w:r>
          </w:p>
        </w:tc>
        <w:tc>
          <w:tcPr>
            <w:tcW w:w="7041" w:type="dxa"/>
            <w:tcBorders>
              <w:top w:val="single" w:sz="4" w:space="0" w:color="auto"/>
              <w:left w:val="single" w:sz="4" w:space="0" w:color="auto"/>
              <w:bottom w:val="single" w:sz="4" w:space="0" w:color="auto"/>
              <w:right w:val="single" w:sz="4" w:space="0" w:color="auto"/>
            </w:tcBorders>
            <w:hideMark/>
          </w:tcPr>
          <w:p w:rsidR="00A24000" w:rsidRPr="00245840" w:rsidRDefault="001E77E9" w:rsidP="008C55C1">
            <w:r>
              <w:t>Through the support provided to the Coordination Council on Human Rights the lesson</w:t>
            </w:r>
            <w:r w:rsidR="008C55C1">
              <w:t xml:space="preserve"> learned is that the role of</w:t>
            </w:r>
            <w:r>
              <w:t xml:space="preserve"> the Vice Prime Minister as the Chair of the Coordination Council is crucial. Ministries have shown resistance</w:t>
            </w:r>
            <w:r w:rsidR="008C55C1">
              <w:t xml:space="preserve"> in lateral cooperation with each other. T</w:t>
            </w:r>
            <w:r>
              <w:t>he</w:t>
            </w:r>
            <w:r w:rsidR="008C55C1">
              <w:t>re is a great</w:t>
            </w:r>
            <w:r>
              <w:t xml:space="preserve"> need for a strong coordination council as a body of coordination between ministries. </w:t>
            </w:r>
            <w:r w:rsidR="008C55C1">
              <w:t>For that</w:t>
            </w:r>
            <w:r>
              <w:t xml:space="preserve"> </w:t>
            </w:r>
            <w:r w:rsidR="008C55C1">
              <w:t xml:space="preserve">a </w:t>
            </w:r>
            <w:r>
              <w:t>person with greater leverage in so</w:t>
            </w:r>
            <w:r w:rsidR="008C55C1">
              <w:t>lving coordination difficulties is essential, therefore</w:t>
            </w:r>
            <w:r>
              <w:t xml:space="preserve"> the role of the Vice Prime Minister</w:t>
            </w:r>
            <w:r w:rsidR="008C55C1">
              <w:t>, as the person with greater leverage,</w:t>
            </w:r>
            <w:r>
              <w:t xml:space="preserve"> is central.</w:t>
            </w:r>
          </w:p>
        </w:tc>
      </w:tr>
      <w:tr w:rsidR="00A24000" w:rsidRPr="00245840">
        <w:tc>
          <w:tcPr>
            <w:tcW w:w="2273" w:type="dxa"/>
            <w:tcBorders>
              <w:top w:val="single" w:sz="4" w:space="0" w:color="auto"/>
              <w:left w:val="single" w:sz="4" w:space="0" w:color="auto"/>
              <w:bottom w:val="single" w:sz="4" w:space="0" w:color="auto"/>
              <w:right w:val="single" w:sz="4" w:space="0" w:color="auto"/>
            </w:tcBorders>
            <w:hideMark/>
          </w:tcPr>
          <w:p w:rsidR="00A24000" w:rsidRPr="00245840" w:rsidRDefault="00422627">
            <w:r w:rsidRPr="00245840">
              <w:t xml:space="preserve">Lesson 2 </w:t>
            </w:r>
            <w:r w:rsidRPr="00245840">
              <w:rPr>
                <w:i/>
                <w:sz w:val="22"/>
                <w:szCs w:val="22"/>
              </w:rPr>
              <w:t>(1000 character limit)</w:t>
            </w:r>
          </w:p>
        </w:tc>
        <w:tc>
          <w:tcPr>
            <w:tcW w:w="7041" w:type="dxa"/>
            <w:tcBorders>
              <w:top w:val="single" w:sz="4" w:space="0" w:color="auto"/>
              <w:left w:val="single" w:sz="4" w:space="0" w:color="auto"/>
              <w:bottom w:val="single" w:sz="4" w:space="0" w:color="auto"/>
              <w:right w:val="single" w:sz="4" w:space="0" w:color="auto"/>
            </w:tcBorders>
            <w:hideMark/>
          </w:tcPr>
          <w:p w:rsidR="00A24000" w:rsidRPr="00245840" w:rsidRDefault="001E77E9" w:rsidP="008C55C1">
            <w:r>
              <w:t>There is a large number of donors that are presently providing support to the newly established National Cen</w:t>
            </w:r>
            <w:r w:rsidR="00FC7873">
              <w:t>ter for Prevention of Torture (N</w:t>
            </w:r>
            <w:r>
              <w:t xml:space="preserve">PM). This, including </w:t>
            </w:r>
            <w:r w:rsidR="008C55C1">
              <w:t>little</w:t>
            </w:r>
            <w:r>
              <w:t xml:space="preserve"> coordination between donors, has led to training fatigue of members of the NPM. The lesson learned is the need for strong coordination among the donors and partners working with the NPM to ensure the best </w:t>
            </w:r>
            <w:r w:rsidR="008C55C1">
              <w:t>possible</w:t>
            </w:r>
            <w:r w:rsidR="00835C4E">
              <w:t xml:space="preserve"> results and impact</w:t>
            </w:r>
            <w:r>
              <w:t>.</w:t>
            </w:r>
          </w:p>
        </w:tc>
      </w:tr>
      <w:tr w:rsidR="00A24000" w:rsidRPr="00245840" w:rsidTr="008C55C1">
        <w:tc>
          <w:tcPr>
            <w:tcW w:w="2273" w:type="dxa"/>
            <w:tcBorders>
              <w:top w:val="single" w:sz="4" w:space="0" w:color="auto"/>
              <w:left w:val="single" w:sz="4" w:space="0" w:color="auto"/>
              <w:bottom w:val="single" w:sz="4" w:space="0" w:color="auto"/>
              <w:right w:val="single" w:sz="4" w:space="0" w:color="auto"/>
            </w:tcBorders>
            <w:hideMark/>
          </w:tcPr>
          <w:p w:rsidR="00A24000" w:rsidRPr="00245840" w:rsidRDefault="00422627">
            <w:r w:rsidRPr="00245840">
              <w:t xml:space="preserve">Lesson 3 </w:t>
            </w:r>
            <w:r w:rsidRPr="00245840">
              <w:rPr>
                <w:i/>
                <w:sz w:val="22"/>
                <w:szCs w:val="22"/>
              </w:rPr>
              <w:t xml:space="preserve">(1000 character limit) </w:t>
            </w:r>
          </w:p>
        </w:tc>
        <w:tc>
          <w:tcPr>
            <w:tcW w:w="7041" w:type="dxa"/>
            <w:tcBorders>
              <w:top w:val="single" w:sz="4" w:space="0" w:color="auto"/>
              <w:left w:val="single" w:sz="4" w:space="0" w:color="auto"/>
              <w:bottom w:val="single" w:sz="4" w:space="0" w:color="auto"/>
              <w:right w:val="single" w:sz="4" w:space="0" w:color="auto"/>
            </w:tcBorders>
          </w:tcPr>
          <w:p w:rsidR="00A24000" w:rsidRPr="00245840" w:rsidRDefault="00FC7873" w:rsidP="00671925">
            <w:r>
              <w:t>The qualifications of the members of the Expert Working Groups (EWGs) are crucial in ensuring that the draft laws comply with international human rights standards. The lesson</w:t>
            </w:r>
            <w:r w:rsidR="00671925">
              <w:t xml:space="preserve"> learned for ROCA is that more capacity building of the experts on international human rights standards related to criminal justice should have been provided, in order for the experts to ensure that these standards are fully incorporated into the new draft laws.</w:t>
            </w:r>
          </w:p>
        </w:tc>
      </w:tr>
      <w:tr w:rsidR="00A24000" w:rsidRPr="00245840">
        <w:tc>
          <w:tcPr>
            <w:tcW w:w="2273" w:type="dxa"/>
            <w:tcBorders>
              <w:top w:val="single" w:sz="4" w:space="0" w:color="auto"/>
              <w:left w:val="single" w:sz="4" w:space="0" w:color="auto"/>
              <w:bottom w:val="single" w:sz="4" w:space="0" w:color="auto"/>
              <w:right w:val="single" w:sz="4" w:space="0" w:color="auto"/>
            </w:tcBorders>
            <w:hideMark/>
          </w:tcPr>
          <w:p w:rsidR="00A24000" w:rsidRPr="00245840" w:rsidRDefault="00422627">
            <w:r w:rsidRPr="00245840">
              <w:t xml:space="preserve">Lesson 4 </w:t>
            </w:r>
            <w:r w:rsidRPr="00245840">
              <w:rPr>
                <w:i/>
                <w:sz w:val="22"/>
                <w:szCs w:val="22"/>
              </w:rPr>
              <w:t>(1000 character limit)</w:t>
            </w:r>
          </w:p>
        </w:tc>
        <w:tc>
          <w:tcPr>
            <w:tcW w:w="7041" w:type="dxa"/>
            <w:tcBorders>
              <w:top w:val="single" w:sz="4" w:space="0" w:color="auto"/>
              <w:left w:val="single" w:sz="4" w:space="0" w:color="auto"/>
              <w:bottom w:val="single" w:sz="4" w:space="0" w:color="auto"/>
              <w:right w:val="single" w:sz="4" w:space="0" w:color="auto"/>
            </w:tcBorders>
            <w:hideMark/>
          </w:tcPr>
          <w:p w:rsidR="00A24000" w:rsidRPr="00245840" w:rsidRDefault="00422627">
            <w:r w:rsidRPr="00245840">
              <w:fldChar w:fldCharType="begin">
                <w:ffData>
                  <w:name w:val="Text4"/>
                  <w:enabled/>
                  <w:calcOnExit w:val="0"/>
                  <w:textInput>
                    <w:maxLength w:val="1000"/>
                    <w:format w:val="Первая прописная"/>
                  </w:textInput>
                </w:ffData>
              </w:fldChar>
            </w:r>
            <w:r w:rsidRPr="00245840">
              <w:instrText xml:space="preserve"> FORMTEXT </w:instrText>
            </w:r>
            <w:r w:rsidRPr="00245840">
              <w:fldChar w:fldCharType="separate"/>
            </w:r>
            <w:r w:rsidRPr="00245840">
              <w:rPr>
                <w:noProof/>
              </w:rPr>
              <w:t> </w:t>
            </w:r>
            <w:r w:rsidRPr="00245840">
              <w:rPr>
                <w:noProof/>
              </w:rPr>
              <w:t> </w:t>
            </w:r>
            <w:r w:rsidRPr="00245840">
              <w:rPr>
                <w:noProof/>
              </w:rPr>
              <w:t> </w:t>
            </w:r>
            <w:r w:rsidRPr="00245840">
              <w:rPr>
                <w:noProof/>
              </w:rPr>
              <w:t> </w:t>
            </w:r>
            <w:r w:rsidRPr="00245840">
              <w:rPr>
                <w:noProof/>
              </w:rPr>
              <w:t> </w:t>
            </w:r>
            <w:r w:rsidRPr="00245840">
              <w:fldChar w:fldCharType="end"/>
            </w:r>
          </w:p>
        </w:tc>
      </w:tr>
      <w:tr w:rsidR="00A24000" w:rsidRPr="00245840">
        <w:tc>
          <w:tcPr>
            <w:tcW w:w="2273" w:type="dxa"/>
            <w:tcBorders>
              <w:top w:val="single" w:sz="4" w:space="0" w:color="auto"/>
              <w:left w:val="single" w:sz="4" w:space="0" w:color="auto"/>
              <w:bottom w:val="single" w:sz="4" w:space="0" w:color="auto"/>
              <w:right w:val="single" w:sz="4" w:space="0" w:color="auto"/>
            </w:tcBorders>
            <w:hideMark/>
          </w:tcPr>
          <w:p w:rsidR="00A24000" w:rsidRPr="00245840" w:rsidRDefault="00422627">
            <w:r w:rsidRPr="00245840">
              <w:t xml:space="preserve">Lesson 5 </w:t>
            </w:r>
            <w:r w:rsidRPr="00245840">
              <w:rPr>
                <w:i/>
                <w:sz w:val="22"/>
                <w:szCs w:val="22"/>
              </w:rPr>
              <w:t>(1000 character limit)</w:t>
            </w:r>
          </w:p>
        </w:tc>
        <w:tc>
          <w:tcPr>
            <w:tcW w:w="7041" w:type="dxa"/>
            <w:tcBorders>
              <w:top w:val="single" w:sz="4" w:space="0" w:color="auto"/>
              <w:left w:val="single" w:sz="4" w:space="0" w:color="auto"/>
              <w:bottom w:val="single" w:sz="4" w:space="0" w:color="auto"/>
              <w:right w:val="single" w:sz="4" w:space="0" w:color="auto"/>
            </w:tcBorders>
            <w:hideMark/>
          </w:tcPr>
          <w:p w:rsidR="00A24000" w:rsidRPr="00245840" w:rsidRDefault="00422627">
            <w:r w:rsidRPr="00245840">
              <w:fldChar w:fldCharType="begin">
                <w:ffData>
                  <w:name w:val="Text4"/>
                  <w:enabled/>
                  <w:calcOnExit w:val="0"/>
                  <w:textInput>
                    <w:maxLength w:val="1000"/>
                    <w:format w:val="Первая прописная"/>
                  </w:textInput>
                </w:ffData>
              </w:fldChar>
            </w:r>
            <w:r w:rsidRPr="00245840">
              <w:instrText xml:space="preserve"> FORMTEXT </w:instrText>
            </w:r>
            <w:r w:rsidRPr="00245840">
              <w:fldChar w:fldCharType="separate"/>
            </w:r>
            <w:r w:rsidRPr="00245840">
              <w:rPr>
                <w:noProof/>
              </w:rPr>
              <w:t> </w:t>
            </w:r>
            <w:r w:rsidRPr="00245840">
              <w:rPr>
                <w:noProof/>
              </w:rPr>
              <w:t> </w:t>
            </w:r>
            <w:r w:rsidRPr="00245840">
              <w:rPr>
                <w:noProof/>
              </w:rPr>
              <w:t> </w:t>
            </w:r>
            <w:r w:rsidRPr="00245840">
              <w:rPr>
                <w:noProof/>
              </w:rPr>
              <w:t> </w:t>
            </w:r>
            <w:r w:rsidRPr="00245840">
              <w:rPr>
                <w:noProof/>
              </w:rPr>
              <w:t> </w:t>
            </w:r>
            <w:r w:rsidRPr="00245840">
              <w:fldChar w:fldCharType="end"/>
            </w:r>
          </w:p>
        </w:tc>
      </w:tr>
    </w:tbl>
    <w:p w:rsidR="00A24000" w:rsidRDefault="00A24000"/>
    <w:p w:rsidR="00A24000" w:rsidRDefault="00422627">
      <w:pPr>
        <w:rPr>
          <w:b/>
        </w:rPr>
      </w:pPr>
      <w:r>
        <w:rPr>
          <w:b/>
        </w:rPr>
        <w:t>2.2 Success story (OPTIONAL)</w:t>
      </w:r>
    </w:p>
    <w:p w:rsidR="00A24000" w:rsidRDefault="00A24000">
      <w:pPr>
        <w:rPr>
          <w:b/>
        </w:rPr>
      </w:pPr>
    </w:p>
    <w:p w:rsidR="00A24000" w:rsidRDefault="00422627">
      <w:pPr>
        <w:rPr>
          <w:i/>
        </w:rPr>
      </w:pPr>
      <w:r>
        <w:rPr>
          <w:i/>
        </w:rPr>
        <w:t xml:space="preserve">Provide one success story from the project implementation which can be shared on the PBSO website and Newsletter as well as the Annual Report on Fund performance. Please include key facts and figures and any citations </w:t>
      </w:r>
      <w:r>
        <w:rPr>
          <w:rFonts w:ascii="Arial Narrow" w:hAnsi="Arial Narrow"/>
          <w:i/>
          <w:sz w:val="22"/>
          <w:szCs w:val="22"/>
        </w:rPr>
        <w:t>(3000 character limit).</w:t>
      </w:r>
    </w:p>
    <w:p w:rsidR="00A24000" w:rsidRDefault="00A24000">
      <w:pPr>
        <w:rPr>
          <w:i/>
        </w:rPr>
      </w:pPr>
    </w:p>
    <w:p w:rsidR="00A24000" w:rsidRDefault="00422627">
      <w:r>
        <w:lastRenderedPageBreak/>
        <w:fldChar w:fldCharType="begin">
          <w:ffData>
            <w:name w:val="Text6"/>
            <w:enabled/>
            <w:calcOnExit w:val="0"/>
            <w:textInput>
              <w:maxLength w:val="3000"/>
              <w:format w:val="Первая прописная"/>
            </w:textInput>
          </w:ffData>
        </w:fldChar>
      </w:r>
      <w:bookmarkStart w:id="30" w:name="Text6"/>
      <w:r>
        <w:instrText xml:space="preserve"> FORMTEXT </w:instrText>
      </w:r>
      <w:r>
        <w:fldChar w:fldCharType="separate"/>
      </w:r>
      <w:r>
        <w:t> </w:t>
      </w:r>
      <w:r>
        <w:t> </w:t>
      </w:r>
      <w:r>
        <w:t> </w:t>
      </w:r>
      <w:r>
        <w:t> </w:t>
      </w:r>
      <w:r>
        <w:t> </w:t>
      </w:r>
      <w:r>
        <w:fldChar w:fldCharType="end"/>
      </w:r>
      <w:bookmarkEnd w:id="30"/>
    </w:p>
    <w:p w:rsidR="00A24000" w:rsidRDefault="00A24000">
      <w:pPr>
        <w:tabs>
          <w:tab w:val="left" w:pos="0"/>
        </w:tabs>
      </w:pPr>
    </w:p>
    <w:p w:rsidR="00A24000" w:rsidRDefault="00A24000">
      <w:pPr>
        <w:rPr>
          <w:rFonts w:ascii="Arial Narrow" w:hAnsi="Arial Narrow"/>
          <w:b/>
          <w:sz w:val="22"/>
          <w:szCs w:val="22"/>
        </w:rPr>
      </w:pPr>
    </w:p>
    <w:p w:rsidR="00A24000" w:rsidRPr="006529C9" w:rsidRDefault="00422627">
      <w:pPr>
        <w:rPr>
          <w:b/>
          <w:i/>
          <w:sz w:val="22"/>
          <w:szCs w:val="22"/>
        </w:rPr>
      </w:pPr>
      <w:r w:rsidRPr="006529C9">
        <w:rPr>
          <w:b/>
          <w:sz w:val="22"/>
          <w:szCs w:val="22"/>
        </w:rPr>
        <w:t xml:space="preserve">PART 3 </w:t>
      </w:r>
      <w:r w:rsidRPr="006529C9">
        <w:rPr>
          <w:b/>
          <w:i/>
          <w:sz w:val="22"/>
          <w:szCs w:val="22"/>
        </w:rPr>
        <w:t>–</w:t>
      </w:r>
      <w:r w:rsidRPr="006529C9">
        <w:rPr>
          <w:b/>
          <w:sz w:val="22"/>
          <w:szCs w:val="22"/>
        </w:rPr>
        <w:t xml:space="preserve"> FINANCIAL PROGRESS AND MANAGEMENT ARRANGEMENTS</w:t>
      </w:r>
    </w:p>
    <w:p w:rsidR="00A24000" w:rsidRPr="006529C9" w:rsidRDefault="00A24000">
      <w:pPr>
        <w:rPr>
          <w:sz w:val="22"/>
          <w:szCs w:val="22"/>
        </w:rPr>
      </w:pPr>
    </w:p>
    <w:p w:rsidR="00A24000" w:rsidRPr="006529C9" w:rsidRDefault="00422627">
      <w:r w:rsidRPr="006529C9">
        <w:t xml:space="preserve">   </w:t>
      </w:r>
    </w:p>
    <w:p w:rsidR="00A24000" w:rsidRPr="006529C9" w:rsidRDefault="00422627">
      <w:pPr>
        <w:numPr>
          <w:ilvl w:val="1"/>
          <w:numId w:val="6"/>
        </w:numPr>
        <w:ind w:left="1080" w:hanging="1080"/>
        <w:rPr>
          <w:b/>
          <w:sz w:val="22"/>
          <w:szCs w:val="22"/>
        </w:rPr>
      </w:pPr>
      <w:r w:rsidRPr="006529C9">
        <w:rPr>
          <w:b/>
          <w:sz w:val="22"/>
          <w:szCs w:val="22"/>
        </w:rPr>
        <w:t>Comments on the overall state of financial expenditure</w:t>
      </w:r>
    </w:p>
    <w:p w:rsidR="00A24000" w:rsidRPr="006529C9" w:rsidRDefault="00A24000"/>
    <w:p w:rsidR="00A24000" w:rsidRPr="006529C9" w:rsidRDefault="00422627">
      <w:pPr>
        <w:jc w:val="both"/>
        <w:rPr>
          <w:sz w:val="22"/>
          <w:szCs w:val="22"/>
        </w:rPr>
      </w:pPr>
      <w:r w:rsidRPr="006529C9">
        <w:rPr>
          <w:i/>
          <w:sz w:val="22"/>
          <w:szCs w:val="22"/>
        </w:rPr>
        <w:t xml:space="preserve">Please rate whether project financial expenditures are on track, slightly delayed, or off track:  </w:t>
      </w:r>
      <w:r w:rsidRPr="006529C9">
        <w:rPr>
          <w:i/>
          <w:sz w:val="22"/>
          <w:szCs w:val="22"/>
        </w:rPr>
        <w:fldChar w:fldCharType="begin">
          <w:ffData>
            <w:name w:val="Dropdown1"/>
            <w:enabled/>
            <w:calcOnExit w:val="0"/>
            <w:ddList>
              <w:listEntry w:val="on track"/>
              <w:listEntry w:val="delayed"/>
              <w:listEntry w:val="off track"/>
            </w:ddList>
          </w:ffData>
        </w:fldChar>
      </w:r>
      <w:bookmarkStart w:id="31" w:name="Dropdown1"/>
      <w:r w:rsidRPr="006529C9">
        <w:rPr>
          <w:i/>
          <w:sz w:val="22"/>
          <w:szCs w:val="22"/>
        </w:rPr>
        <w:instrText xml:space="preserve"> FORMDROPDOWN </w:instrText>
      </w:r>
      <w:r w:rsidR="00525B76">
        <w:rPr>
          <w:i/>
          <w:sz w:val="22"/>
          <w:szCs w:val="22"/>
        </w:rPr>
      </w:r>
      <w:r w:rsidR="00525B76">
        <w:rPr>
          <w:i/>
          <w:sz w:val="22"/>
          <w:szCs w:val="22"/>
        </w:rPr>
        <w:fldChar w:fldCharType="separate"/>
      </w:r>
      <w:r w:rsidRPr="006529C9">
        <w:rPr>
          <w:i/>
          <w:sz w:val="22"/>
          <w:szCs w:val="22"/>
        </w:rPr>
        <w:fldChar w:fldCharType="end"/>
      </w:r>
      <w:bookmarkEnd w:id="31"/>
    </w:p>
    <w:p w:rsidR="00A24000" w:rsidRPr="006529C9" w:rsidRDefault="00422627">
      <w:pPr>
        <w:jc w:val="both"/>
        <w:rPr>
          <w:sz w:val="22"/>
          <w:szCs w:val="22"/>
        </w:rPr>
      </w:pPr>
      <w:r w:rsidRPr="006529C9">
        <w:rPr>
          <w:sz w:val="22"/>
          <w:szCs w:val="22"/>
        </w:rPr>
        <w:tab/>
      </w:r>
      <w:r w:rsidRPr="006529C9">
        <w:rPr>
          <w:sz w:val="22"/>
          <w:szCs w:val="22"/>
        </w:rPr>
        <w:tab/>
      </w:r>
      <w:r w:rsidRPr="006529C9">
        <w:rPr>
          <w:sz w:val="22"/>
          <w:szCs w:val="22"/>
        </w:rPr>
        <w:tab/>
      </w:r>
      <w:r w:rsidRPr="006529C9">
        <w:rPr>
          <w:sz w:val="22"/>
          <w:szCs w:val="22"/>
        </w:rPr>
        <w:tab/>
      </w:r>
    </w:p>
    <w:p w:rsidR="00A24000" w:rsidRPr="006529C9" w:rsidRDefault="00422627">
      <w:pPr>
        <w:jc w:val="both"/>
        <w:rPr>
          <w:sz w:val="22"/>
          <w:szCs w:val="22"/>
        </w:rPr>
      </w:pPr>
      <w:r w:rsidRPr="006529C9">
        <w:rPr>
          <w:sz w:val="22"/>
          <w:szCs w:val="22"/>
        </w:rPr>
        <w:t>If expenditure is delayed or off track, please provide a brief explanation (500 characters maximum):</w:t>
      </w:r>
    </w:p>
    <w:p w:rsidR="00A24000" w:rsidRPr="006529C9" w:rsidRDefault="00A24000">
      <w:pPr>
        <w:jc w:val="both"/>
        <w:rPr>
          <w:sz w:val="22"/>
          <w:szCs w:val="22"/>
        </w:rPr>
      </w:pPr>
    </w:p>
    <w:p w:rsidR="00A24000" w:rsidRPr="006529C9" w:rsidRDefault="00422627">
      <w:pPr>
        <w:jc w:val="both"/>
        <w:rPr>
          <w:sz w:val="22"/>
          <w:szCs w:val="22"/>
        </w:rPr>
      </w:pPr>
      <w:r w:rsidRPr="006529C9">
        <w:rPr>
          <w:sz w:val="22"/>
          <w:szCs w:val="22"/>
        </w:rPr>
        <w:fldChar w:fldCharType="begin">
          <w:ffData>
            <w:name w:val="Text1"/>
            <w:enabled/>
            <w:calcOnExit w:val="0"/>
            <w:textInput>
              <w:maxLength w:val="500"/>
              <w:format w:val="Первая прописная"/>
            </w:textInput>
          </w:ffData>
        </w:fldChar>
      </w:r>
      <w:bookmarkStart w:id="32" w:name="Text1"/>
      <w:r w:rsidRPr="006529C9">
        <w:rPr>
          <w:sz w:val="22"/>
          <w:szCs w:val="22"/>
        </w:rPr>
        <w:instrText xml:space="preserve"> FORMTEXT </w:instrText>
      </w:r>
      <w:r w:rsidRPr="006529C9">
        <w:rPr>
          <w:sz w:val="22"/>
          <w:szCs w:val="22"/>
        </w:rPr>
      </w:r>
      <w:r w:rsidRPr="006529C9">
        <w:rPr>
          <w:sz w:val="22"/>
          <w:szCs w:val="22"/>
        </w:rPr>
        <w:fldChar w:fldCharType="separate"/>
      </w:r>
      <w:r w:rsidRPr="006529C9">
        <w:rPr>
          <w:noProof/>
          <w:sz w:val="22"/>
          <w:szCs w:val="22"/>
        </w:rPr>
        <w:t> </w:t>
      </w:r>
      <w:r w:rsidRPr="006529C9">
        <w:rPr>
          <w:noProof/>
          <w:sz w:val="22"/>
          <w:szCs w:val="22"/>
        </w:rPr>
        <w:t> </w:t>
      </w:r>
      <w:r w:rsidRPr="006529C9">
        <w:rPr>
          <w:noProof/>
          <w:sz w:val="22"/>
          <w:szCs w:val="22"/>
        </w:rPr>
        <w:t> </w:t>
      </w:r>
      <w:r w:rsidRPr="006529C9">
        <w:rPr>
          <w:noProof/>
          <w:sz w:val="22"/>
          <w:szCs w:val="22"/>
        </w:rPr>
        <w:t> </w:t>
      </w:r>
      <w:r w:rsidRPr="006529C9">
        <w:rPr>
          <w:noProof/>
          <w:sz w:val="22"/>
          <w:szCs w:val="22"/>
        </w:rPr>
        <w:t> </w:t>
      </w:r>
      <w:r w:rsidRPr="006529C9">
        <w:fldChar w:fldCharType="end"/>
      </w:r>
      <w:bookmarkEnd w:id="32"/>
    </w:p>
    <w:p w:rsidR="00A24000" w:rsidRPr="006529C9" w:rsidRDefault="00A24000">
      <w:pPr>
        <w:jc w:val="both"/>
        <w:rPr>
          <w:sz w:val="22"/>
          <w:szCs w:val="22"/>
        </w:rPr>
      </w:pPr>
    </w:p>
    <w:p w:rsidR="00A24000" w:rsidRPr="006529C9" w:rsidRDefault="00422627">
      <w:pPr>
        <w:jc w:val="both"/>
        <w:rPr>
          <w:sz w:val="22"/>
          <w:szCs w:val="22"/>
        </w:rPr>
      </w:pPr>
      <w:r w:rsidRPr="006529C9">
        <w:rPr>
          <w:sz w:val="22"/>
          <w:szCs w:val="22"/>
        </w:rPr>
        <w:t>Please provide an overview of expensed project budget by outcome and output as per the table below.</w:t>
      </w:r>
      <w:r w:rsidRPr="006529C9">
        <w:rPr>
          <w:rStyle w:val="FootnoteReference"/>
          <w:sz w:val="22"/>
          <w:szCs w:val="22"/>
        </w:rPr>
        <w:footnoteReference w:id="5"/>
      </w:r>
    </w:p>
    <w:p w:rsidR="00A24000" w:rsidRPr="006529C9" w:rsidRDefault="00A24000">
      <w:pPr>
        <w:jc w:val="both"/>
        <w:rPr>
          <w:sz w:val="22"/>
          <w:szCs w:val="22"/>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922"/>
        <w:gridCol w:w="1205"/>
        <w:gridCol w:w="1590"/>
        <w:gridCol w:w="1619"/>
        <w:gridCol w:w="1877"/>
      </w:tblGrid>
      <w:tr w:rsidR="00BD2422" w:rsidRPr="006529C9">
        <w:tc>
          <w:tcPr>
            <w:tcW w:w="1293" w:type="dxa"/>
            <w:tcBorders>
              <w:top w:val="single" w:sz="4" w:space="0" w:color="auto"/>
              <w:left w:val="single" w:sz="4" w:space="0" w:color="auto"/>
              <w:bottom w:val="single" w:sz="4" w:space="0" w:color="auto"/>
              <w:right w:val="single" w:sz="4" w:space="0" w:color="auto"/>
            </w:tcBorders>
            <w:hideMark/>
          </w:tcPr>
          <w:p w:rsidR="00A24000" w:rsidRPr="006529C9" w:rsidRDefault="00422627">
            <w:r w:rsidRPr="006529C9">
              <w:t>Output number</w:t>
            </w:r>
          </w:p>
        </w:tc>
        <w:tc>
          <w:tcPr>
            <w:tcW w:w="1586" w:type="dxa"/>
            <w:tcBorders>
              <w:top w:val="single" w:sz="4" w:space="0" w:color="auto"/>
              <w:left w:val="single" w:sz="4" w:space="0" w:color="auto"/>
              <w:bottom w:val="single" w:sz="4" w:space="0" w:color="auto"/>
              <w:right w:val="single" w:sz="4" w:space="0" w:color="auto"/>
            </w:tcBorders>
            <w:hideMark/>
          </w:tcPr>
          <w:p w:rsidR="00A24000" w:rsidRPr="006529C9" w:rsidRDefault="00422627">
            <w:r w:rsidRPr="006529C9">
              <w:t>Output name</w:t>
            </w:r>
          </w:p>
        </w:tc>
        <w:tc>
          <w:tcPr>
            <w:tcW w:w="1221" w:type="dxa"/>
            <w:tcBorders>
              <w:top w:val="single" w:sz="4" w:space="0" w:color="auto"/>
              <w:left w:val="single" w:sz="4" w:space="0" w:color="auto"/>
              <w:bottom w:val="single" w:sz="4" w:space="0" w:color="auto"/>
              <w:right w:val="single" w:sz="4" w:space="0" w:color="auto"/>
            </w:tcBorders>
          </w:tcPr>
          <w:p w:rsidR="00A24000" w:rsidRPr="006529C9" w:rsidRDefault="00A24000"/>
          <w:p w:rsidR="00A24000" w:rsidRPr="006529C9" w:rsidRDefault="00422627">
            <w:r w:rsidRPr="006529C9">
              <w:t>RUNOs</w:t>
            </w:r>
          </w:p>
        </w:tc>
        <w:tc>
          <w:tcPr>
            <w:tcW w:w="1659" w:type="dxa"/>
            <w:tcBorders>
              <w:top w:val="single" w:sz="4" w:space="0" w:color="auto"/>
              <w:left w:val="single" w:sz="4" w:space="0" w:color="auto"/>
              <w:bottom w:val="single" w:sz="4" w:space="0" w:color="auto"/>
              <w:right w:val="single" w:sz="4" w:space="0" w:color="auto"/>
            </w:tcBorders>
            <w:hideMark/>
          </w:tcPr>
          <w:p w:rsidR="00A24000" w:rsidRPr="006529C9" w:rsidRDefault="00422627">
            <w:r w:rsidRPr="006529C9">
              <w:t>Approved budget</w:t>
            </w:r>
          </w:p>
        </w:tc>
        <w:tc>
          <w:tcPr>
            <w:tcW w:w="1711" w:type="dxa"/>
            <w:tcBorders>
              <w:top w:val="single" w:sz="4" w:space="0" w:color="auto"/>
              <w:left w:val="single" w:sz="4" w:space="0" w:color="auto"/>
              <w:bottom w:val="single" w:sz="4" w:space="0" w:color="auto"/>
              <w:right w:val="single" w:sz="4" w:space="0" w:color="auto"/>
            </w:tcBorders>
            <w:hideMark/>
          </w:tcPr>
          <w:p w:rsidR="00A24000" w:rsidRPr="006529C9" w:rsidRDefault="00422627">
            <w:r w:rsidRPr="006529C9">
              <w:t>Expensed budget</w:t>
            </w:r>
          </w:p>
        </w:tc>
        <w:tc>
          <w:tcPr>
            <w:tcW w:w="1980" w:type="dxa"/>
            <w:tcBorders>
              <w:top w:val="single" w:sz="4" w:space="0" w:color="auto"/>
              <w:left w:val="single" w:sz="4" w:space="0" w:color="auto"/>
              <w:bottom w:val="single" w:sz="4" w:space="0" w:color="auto"/>
              <w:right w:val="single" w:sz="4" w:space="0" w:color="auto"/>
            </w:tcBorders>
            <w:hideMark/>
          </w:tcPr>
          <w:p w:rsidR="00A24000" w:rsidRPr="006529C9" w:rsidRDefault="00422627">
            <w:r w:rsidRPr="006529C9">
              <w:t>Any remarks on expenditure</w:t>
            </w:r>
          </w:p>
        </w:tc>
      </w:tr>
      <w:tr w:rsidR="00A24000" w:rsidRPr="006529C9">
        <w:tc>
          <w:tcPr>
            <w:tcW w:w="9450" w:type="dxa"/>
            <w:gridSpan w:val="6"/>
            <w:tcBorders>
              <w:top w:val="single" w:sz="4" w:space="0" w:color="auto"/>
              <w:left w:val="single" w:sz="4" w:space="0" w:color="auto"/>
              <w:bottom w:val="single" w:sz="4" w:space="0" w:color="auto"/>
              <w:right w:val="single" w:sz="4" w:space="0" w:color="auto"/>
            </w:tcBorders>
            <w:hideMark/>
          </w:tcPr>
          <w:p w:rsidR="00A24000" w:rsidRPr="00FC6ED8" w:rsidRDefault="00422627" w:rsidP="00FC6ED8">
            <w:pPr>
              <w:rPr>
                <w:b/>
              </w:rPr>
            </w:pPr>
            <w:r w:rsidRPr="006529C9">
              <w:t xml:space="preserve">Outcome 1: </w:t>
            </w:r>
            <w:r w:rsidR="00FC6ED8">
              <w:rPr>
                <w:b/>
              </w:rPr>
              <w:t>136,500</w:t>
            </w:r>
          </w:p>
        </w:tc>
      </w:tr>
      <w:tr w:rsidR="00BD2422" w:rsidRPr="006529C9" w:rsidTr="007826B6">
        <w:tc>
          <w:tcPr>
            <w:tcW w:w="1293" w:type="dxa"/>
            <w:tcBorders>
              <w:top w:val="single" w:sz="4" w:space="0" w:color="auto"/>
              <w:left w:val="single" w:sz="4" w:space="0" w:color="auto"/>
              <w:bottom w:val="single" w:sz="4" w:space="0" w:color="auto"/>
              <w:right w:val="single" w:sz="4" w:space="0" w:color="auto"/>
            </w:tcBorders>
            <w:hideMark/>
          </w:tcPr>
          <w:p w:rsidR="00FC6ED8" w:rsidRPr="006529C9" w:rsidRDefault="00FC6ED8">
            <w:r w:rsidRPr="006529C9">
              <w:t>Output 1.1</w:t>
            </w:r>
          </w:p>
        </w:tc>
        <w:tc>
          <w:tcPr>
            <w:tcW w:w="1586" w:type="dxa"/>
            <w:tcBorders>
              <w:top w:val="single" w:sz="4" w:space="0" w:color="auto"/>
              <w:left w:val="single" w:sz="4" w:space="0" w:color="auto"/>
              <w:bottom w:val="single" w:sz="4" w:space="0" w:color="auto"/>
              <w:right w:val="single" w:sz="4" w:space="0" w:color="auto"/>
            </w:tcBorders>
            <w:hideMark/>
          </w:tcPr>
          <w:p w:rsidR="00FC6ED8" w:rsidRPr="006529C9" w:rsidRDefault="00BD2422">
            <w:r>
              <w:t>Technical and expert support to the NCJR and the EWGs</w:t>
            </w:r>
          </w:p>
        </w:tc>
        <w:tc>
          <w:tcPr>
            <w:tcW w:w="1221" w:type="dxa"/>
            <w:tcBorders>
              <w:top w:val="single" w:sz="4" w:space="0" w:color="auto"/>
              <w:left w:val="single" w:sz="4" w:space="0" w:color="auto"/>
              <w:bottom w:val="single" w:sz="4" w:space="0" w:color="auto"/>
              <w:right w:val="single" w:sz="4" w:space="0" w:color="auto"/>
            </w:tcBorders>
          </w:tcPr>
          <w:p w:rsidR="00FC6ED8" w:rsidRPr="00FC6ED8" w:rsidRDefault="000670FD">
            <w:pPr>
              <w:rPr>
                <w:b/>
              </w:rPr>
            </w:pPr>
            <w:r>
              <w:rPr>
                <w:b/>
              </w:rPr>
              <w:t>OHCHR</w:t>
            </w:r>
          </w:p>
        </w:tc>
        <w:tc>
          <w:tcPr>
            <w:tcW w:w="1659" w:type="dxa"/>
            <w:tcBorders>
              <w:top w:val="single" w:sz="4" w:space="0" w:color="auto"/>
              <w:left w:val="single" w:sz="4" w:space="0" w:color="auto"/>
              <w:bottom w:val="single" w:sz="4" w:space="0" w:color="auto"/>
              <w:right w:val="single" w:sz="4" w:space="0" w:color="auto"/>
            </w:tcBorders>
            <w:hideMark/>
          </w:tcPr>
          <w:p w:rsidR="00FC6ED8" w:rsidRPr="00FC6ED8" w:rsidRDefault="00FC6ED8" w:rsidP="00716E24">
            <w:pPr>
              <w:rPr>
                <w:b/>
              </w:rPr>
            </w:pPr>
            <w:r>
              <w:rPr>
                <w:b/>
              </w:rPr>
              <w:t>95,800</w:t>
            </w:r>
          </w:p>
        </w:tc>
        <w:tc>
          <w:tcPr>
            <w:tcW w:w="1711" w:type="dxa"/>
            <w:tcBorders>
              <w:top w:val="single" w:sz="4" w:space="0" w:color="auto"/>
              <w:left w:val="single" w:sz="4" w:space="0" w:color="auto"/>
              <w:bottom w:val="single" w:sz="4" w:space="0" w:color="auto"/>
              <w:right w:val="single" w:sz="4" w:space="0" w:color="auto"/>
            </w:tcBorders>
          </w:tcPr>
          <w:p w:rsidR="00FC6ED8" w:rsidRPr="007826B6" w:rsidRDefault="007826B6">
            <w:pPr>
              <w:rPr>
                <w:b/>
              </w:rPr>
            </w:pPr>
            <w:r>
              <w:rPr>
                <w:b/>
              </w:rPr>
              <w:t>9,923</w:t>
            </w:r>
          </w:p>
        </w:tc>
        <w:tc>
          <w:tcPr>
            <w:tcW w:w="1980" w:type="dxa"/>
            <w:tcBorders>
              <w:top w:val="single" w:sz="4" w:space="0" w:color="auto"/>
              <w:left w:val="single" w:sz="4" w:space="0" w:color="auto"/>
              <w:bottom w:val="single" w:sz="4" w:space="0" w:color="auto"/>
              <w:right w:val="single" w:sz="4" w:space="0" w:color="auto"/>
            </w:tcBorders>
            <w:hideMark/>
          </w:tcPr>
          <w:p w:rsidR="00FC6ED8" w:rsidRPr="006529C9" w:rsidRDefault="00FC6ED8">
            <w:r w:rsidRPr="006529C9">
              <w:fldChar w:fldCharType="begin">
                <w:ffData>
                  <w:name w:val="Text45"/>
                  <w:enabled/>
                  <w:calcOnExit w:val="0"/>
                  <w:textInput/>
                </w:ffData>
              </w:fldChar>
            </w:r>
            <w:r w:rsidRPr="006529C9">
              <w:instrText xml:space="preserve"> FORMTEXT </w:instrText>
            </w:r>
            <w:r w:rsidRPr="006529C9">
              <w:fldChar w:fldCharType="separate"/>
            </w:r>
            <w:r w:rsidRPr="006529C9">
              <w:rPr>
                <w:noProof/>
              </w:rPr>
              <w:t> </w:t>
            </w:r>
            <w:r w:rsidRPr="006529C9">
              <w:rPr>
                <w:noProof/>
              </w:rPr>
              <w:t> </w:t>
            </w:r>
            <w:r w:rsidRPr="006529C9">
              <w:rPr>
                <w:noProof/>
              </w:rPr>
              <w:t> </w:t>
            </w:r>
            <w:r w:rsidRPr="006529C9">
              <w:rPr>
                <w:noProof/>
              </w:rPr>
              <w:t> </w:t>
            </w:r>
            <w:r w:rsidRPr="006529C9">
              <w:rPr>
                <w:noProof/>
              </w:rPr>
              <w:t> </w:t>
            </w:r>
            <w:r w:rsidRPr="006529C9">
              <w:fldChar w:fldCharType="end"/>
            </w:r>
          </w:p>
        </w:tc>
      </w:tr>
      <w:tr w:rsidR="00BD2422" w:rsidRPr="006529C9" w:rsidTr="007826B6">
        <w:tc>
          <w:tcPr>
            <w:tcW w:w="1293" w:type="dxa"/>
            <w:tcBorders>
              <w:top w:val="single" w:sz="4" w:space="0" w:color="auto"/>
              <w:left w:val="single" w:sz="4" w:space="0" w:color="auto"/>
              <w:bottom w:val="single" w:sz="4" w:space="0" w:color="auto"/>
              <w:right w:val="single" w:sz="4" w:space="0" w:color="auto"/>
            </w:tcBorders>
            <w:hideMark/>
          </w:tcPr>
          <w:p w:rsidR="00FC6ED8" w:rsidRPr="006529C9" w:rsidRDefault="00FC6ED8">
            <w:r w:rsidRPr="006529C9">
              <w:t>Output 1.2</w:t>
            </w:r>
          </w:p>
        </w:tc>
        <w:tc>
          <w:tcPr>
            <w:tcW w:w="1586" w:type="dxa"/>
            <w:tcBorders>
              <w:top w:val="single" w:sz="4" w:space="0" w:color="auto"/>
              <w:left w:val="single" w:sz="4" w:space="0" w:color="auto"/>
              <w:bottom w:val="single" w:sz="4" w:space="0" w:color="auto"/>
              <w:right w:val="single" w:sz="4" w:space="0" w:color="auto"/>
            </w:tcBorders>
            <w:hideMark/>
          </w:tcPr>
          <w:p w:rsidR="00FC6ED8" w:rsidRPr="006529C9" w:rsidRDefault="00BD2422" w:rsidP="00BD2422">
            <w:r>
              <w:t>Technical assistance to Supreme Court judges</w:t>
            </w:r>
          </w:p>
        </w:tc>
        <w:tc>
          <w:tcPr>
            <w:tcW w:w="1221" w:type="dxa"/>
            <w:tcBorders>
              <w:top w:val="single" w:sz="4" w:space="0" w:color="auto"/>
              <w:left w:val="single" w:sz="4" w:space="0" w:color="auto"/>
              <w:bottom w:val="single" w:sz="4" w:space="0" w:color="auto"/>
              <w:right w:val="single" w:sz="4" w:space="0" w:color="auto"/>
            </w:tcBorders>
          </w:tcPr>
          <w:p w:rsidR="00FC6ED8" w:rsidRPr="00FC6ED8" w:rsidRDefault="000670FD">
            <w:pPr>
              <w:rPr>
                <w:b/>
              </w:rPr>
            </w:pPr>
            <w:r>
              <w:rPr>
                <w:b/>
              </w:rPr>
              <w:t>OHCHR</w:t>
            </w:r>
          </w:p>
        </w:tc>
        <w:tc>
          <w:tcPr>
            <w:tcW w:w="1659" w:type="dxa"/>
            <w:tcBorders>
              <w:top w:val="single" w:sz="4" w:space="0" w:color="auto"/>
              <w:left w:val="single" w:sz="4" w:space="0" w:color="auto"/>
              <w:bottom w:val="single" w:sz="4" w:space="0" w:color="auto"/>
              <w:right w:val="single" w:sz="4" w:space="0" w:color="auto"/>
            </w:tcBorders>
            <w:hideMark/>
          </w:tcPr>
          <w:p w:rsidR="00FC6ED8" w:rsidRPr="00FC6ED8" w:rsidRDefault="00FC6ED8" w:rsidP="00716E24">
            <w:pPr>
              <w:rPr>
                <w:b/>
              </w:rPr>
            </w:pPr>
            <w:r>
              <w:rPr>
                <w:b/>
              </w:rPr>
              <w:t>24,400</w:t>
            </w:r>
          </w:p>
        </w:tc>
        <w:tc>
          <w:tcPr>
            <w:tcW w:w="1711" w:type="dxa"/>
            <w:tcBorders>
              <w:top w:val="single" w:sz="4" w:space="0" w:color="auto"/>
              <w:left w:val="single" w:sz="4" w:space="0" w:color="auto"/>
              <w:bottom w:val="single" w:sz="4" w:space="0" w:color="auto"/>
              <w:right w:val="single" w:sz="4" w:space="0" w:color="auto"/>
            </w:tcBorders>
          </w:tcPr>
          <w:p w:rsidR="00FC6ED8" w:rsidRPr="007826B6" w:rsidRDefault="007826B6">
            <w:pPr>
              <w:rPr>
                <w:b/>
              </w:rPr>
            </w:pPr>
            <w:r>
              <w:rPr>
                <w:b/>
              </w:rPr>
              <w:t>0</w:t>
            </w:r>
          </w:p>
        </w:tc>
        <w:tc>
          <w:tcPr>
            <w:tcW w:w="1980" w:type="dxa"/>
            <w:tcBorders>
              <w:top w:val="single" w:sz="4" w:space="0" w:color="auto"/>
              <w:left w:val="single" w:sz="4" w:space="0" w:color="auto"/>
              <w:bottom w:val="single" w:sz="4" w:space="0" w:color="auto"/>
              <w:right w:val="single" w:sz="4" w:space="0" w:color="auto"/>
            </w:tcBorders>
            <w:hideMark/>
          </w:tcPr>
          <w:p w:rsidR="00FC6ED8" w:rsidRPr="006529C9" w:rsidRDefault="00FC6ED8">
            <w:r w:rsidRPr="006529C9">
              <w:fldChar w:fldCharType="begin">
                <w:ffData>
                  <w:name w:val="Text45"/>
                  <w:enabled/>
                  <w:calcOnExit w:val="0"/>
                  <w:textInput/>
                </w:ffData>
              </w:fldChar>
            </w:r>
            <w:r w:rsidRPr="006529C9">
              <w:instrText xml:space="preserve"> FORMTEXT </w:instrText>
            </w:r>
            <w:r w:rsidRPr="006529C9">
              <w:fldChar w:fldCharType="separate"/>
            </w:r>
            <w:r w:rsidRPr="006529C9">
              <w:rPr>
                <w:noProof/>
              </w:rPr>
              <w:t> </w:t>
            </w:r>
            <w:r w:rsidRPr="006529C9">
              <w:rPr>
                <w:noProof/>
              </w:rPr>
              <w:t> </w:t>
            </w:r>
            <w:r w:rsidRPr="006529C9">
              <w:rPr>
                <w:noProof/>
              </w:rPr>
              <w:t> </w:t>
            </w:r>
            <w:r w:rsidRPr="006529C9">
              <w:rPr>
                <w:noProof/>
              </w:rPr>
              <w:t> </w:t>
            </w:r>
            <w:r w:rsidRPr="006529C9">
              <w:rPr>
                <w:noProof/>
              </w:rPr>
              <w:t> </w:t>
            </w:r>
            <w:r w:rsidRPr="006529C9">
              <w:fldChar w:fldCharType="end"/>
            </w:r>
          </w:p>
        </w:tc>
      </w:tr>
      <w:tr w:rsidR="00BD2422" w:rsidRPr="006529C9" w:rsidTr="007826B6">
        <w:tc>
          <w:tcPr>
            <w:tcW w:w="1293" w:type="dxa"/>
            <w:tcBorders>
              <w:top w:val="single" w:sz="4" w:space="0" w:color="auto"/>
              <w:left w:val="single" w:sz="4" w:space="0" w:color="auto"/>
              <w:bottom w:val="single" w:sz="4" w:space="0" w:color="auto"/>
              <w:right w:val="single" w:sz="4" w:space="0" w:color="auto"/>
            </w:tcBorders>
            <w:hideMark/>
          </w:tcPr>
          <w:p w:rsidR="00FC6ED8" w:rsidRPr="006529C9" w:rsidRDefault="00FC6ED8">
            <w:r w:rsidRPr="006529C9">
              <w:t>Output 1.3</w:t>
            </w:r>
          </w:p>
        </w:tc>
        <w:tc>
          <w:tcPr>
            <w:tcW w:w="1586" w:type="dxa"/>
            <w:tcBorders>
              <w:top w:val="single" w:sz="4" w:space="0" w:color="auto"/>
              <w:left w:val="single" w:sz="4" w:space="0" w:color="auto"/>
              <w:bottom w:val="single" w:sz="4" w:space="0" w:color="auto"/>
              <w:right w:val="single" w:sz="4" w:space="0" w:color="auto"/>
            </w:tcBorders>
            <w:hideMark/>
          </w:tcPr>
          <w:p w:rsidR="00FC6ED8" w:rsidRPr="006529C9" w:rsidRDefault="00BD2422">
            <w:r>
              <w:t>Human rights training package/curricula</w:t>
            </w:r>
          </w:p>
        </w:tc>
        <w:tc>
          <w:tcPr>
            <w:tcW w:w="1221" w:type="dxa"/>
            <w:tcBorders>
              <w:top w:val="single" w:sz="4" w:space="0" w:color="auto"/>
              <w:left w:val="single" w:sz="4" w:space="0" w:color="auto"/>
              <w:bottom w:val="single" w:sz="4" w:space="0" w:color="auto"/>
              <w:right w:val="single" w:sz="4" w:space="0" w:color="auto"/>
            </w:tcBorders>
          </w:tcPr>
          <w:p w:rsidR="00FC6ED8" w:rsidRPr="00FC6ED8" w:rsidRDefault="000670FD">
            <w:pPr>
              <w:rPr>
                <w:b/>
              </w:rPr>
            </w:pPr>
            <w:r>
              <w:rPr>
                <w:b/>
              </w:rPr>
              <w:t>OHCHR</w:t>
            </w:r>
          </w:p>
        </w:tc>
        <w:tc>
          <w:tcPr>
            <w:tcW w:w="1659" w:type="dxa"/>
            <w:tcBorders>
              <w:top w:val="single" w:sz="4" w:space="0" w:color="auto"/>
              <w:left w:val="single" w:sz="4" w:space="0" w:color="auto"/>
              <w:bottom w:val="single" w:sz="4" w:space="0" w:color="auto"/>
              <w:right w:val="single" w:sz="4" w:space="0" w:color="auto"/>
            </w:tcBorders>
            <w:hideMark/>
          </w:tcPr>
          <w:p w:rsidR="00FC6ED8" w:rsidRPr="00FC6ED8" w:rsidRDefault="00FC6ED8" w:rsidP="00716E24">
            <w:pPr>
              <w:rPr>
                <w:b/>
              </w:rPr>
            </w:pPr>
            <w:r>
              <w:rPr>
                <w:b/>
              </w:rPr>
              <w:t>16,300</w:t>
            </w:r>
          </w:p>
        </w:tc>
        <w:tc>
          <w:tcPr>
            <w:tcW w:w="1711" w:type="dxa"/>
            <w:tcBorders>
              <w:top w:val="single" w:sz="4" w:space="0" w:color="auto"/>
              <w:left w:val="single" w:sz="4" w:space="0" w:color="auto"/>
              <w:bottom w:val="single" w:sz="4" w:space="0" w:color="auto"/>
              <w:right w:val="single" w:sz="4" w:space="0" w:color="auto"/>
            </w:tcBorders>
          </w:tcPr>
          <w:p w:rsidR="00FC6ED8" w:rsidRPr="007826B6" w:rsidRDefault="007826B6">
            <w:pPr>
              <w:rPr>
                <w:b/>
              </w:rPr>
            </w:pPr>
            <w:r>
              <w:rPr>
                <w:b/>
              </w:rPr>
              <w:t>0</w:t>
            </w:r>
          </w:p>
        </w:tc>
        <w:tc>
          <w:tcPr>
            <w:tcW w:w="1980" w:type="dxa"/>
            <w:tcBorders>
              <w:top w:val="single" w:sz="4" w:space="0" w:color="auto"/>
              <w:left w:val="single" w:sz="4" w:space="0" w:color="auto"/>
              <w:bottom w:val="single" w:sz="4" w:space="0" w:color="auto"/>
              <w:right w:val="single" w:sz="4" w:space="0" w:color="auto"/>
            </w:tcBorders>
            <w:hideMark/>
          </w:tcPr>
          <w:p w:rsidR="00FC6ED8" w:rsidRPr="006529C9" w:rsidRDefault="00FC6ED8">
            <w:r w:rsidRPr="006529C9">
              <w:fldChar w:fldCharType="begin">
                <w:ffData>
                  <w:name w:val="Text45"/>
                  <w:enabled/>
                  <w:calcOnExit w:val="0"/>
                  <w:textInput/>
                </w:ffData>
              </w:fldChar>
            </w:r>
            <w:r w:rsidRPr="006529C9">
              <w:instrText xml:space="preserve"> FORMTEXT </w:instrText>
            </w:r>
            <w:r w:rsidRPr="006529C9">
              <w:fldChar w:fldCharType="separate"/>
            </w:r>
            <w:r w:rsidRPr="006529C9">
              <w:rPr>
                <w:noProof/>
              </w:rPr>
              <w:t> </w:t>
            </w:r>
            <w:r w:rsidRPr="006529C9">
              <w:rPr>
                <w:noProof/>
              </w:rPr>
              <w:t> </w:t>
            </w:r>
            <w:r w:rsidRPr="006529C9">
              <w:rPr>
                <w:noProof/>
              </w:rPr>
              <w:t> </w:t>
            </w:r>
            <w:r w:rsidRPr="006529C9">
              <w:rPr>
                <w:noProof/>
              </w:rPr>
              <w:t> </w:t>
            </w:r>
            <w:r w:rsidRPr="006529C9">
              <w:rPr>
                <w:noProof/>
              </w:rPr>
              <w:t> </w:t>
            </w:r>
            <w:r w:rsidRPr="006529C9">
              <w:fldChar w:fldCharType="end"/>
            </w:r>
          </w:p>
        </w:tc>
      </w:tr>
      <w:tr w:rsidR="00FC6ED8" w:rsidRPr="006529C9">
        <w:tc>
          <w:tcPr>
            <w:tcW w:w="9450" w:type="dxa"/>
            <w:gridSpan w:val="6"/>
            <w:tcBorders>
              <w:top w:val="single" w:sz="4" w:space="0" w:color="auto"/>
              <w:left w:val="single" w:sz="4" w:space="0" w:color="auto"/>
              <w:bottom w:val="single" w:sz="4" w:space="0" w:color="auto"/>
              <w:right w:val="single" w:sz="4" w:space="0" w:color="auto"/>
            </w:tcBorders>
            <w:hideMark/>
          </w:tcPr>
          <w:p w:rsidR="00FC6ED8" w:rsidRPr="00FC6ED8" w:rsidRDefault="00FC6ED8" w:rsidP="00FC6ED8">
            <w:pPr>
              <w:rPr>
                <w:b/>
              </w:rPr>
            </w:pPr>
            <w:r w:rsidRPr="006529C9">
              <w:t xml:space="preserve">Outcome 2: </w:t>
            </w:r>
            <w:r>
              <w:rPr>
                <w:b/>
              </w:rPr>
              <w:t>236,890</w:t>
            </w:r>
          </w:p>
        </w:tc>
      </w:tr>
      <w:tr w:rsidR="00BD2422" w:rsidRPr="006529C9" w:rsidTr="007826B6">
        <w:tc>
          <w:tcPr>
            <w:tcW w:w="1293"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t>Output 2.1</w:t>
            </w:r>
          </w:p>
        </w:tc>
        <w:tc>
          <w:tcPr>
            <w:tcW w:w="1586" w:type="dxa"/>
            <w:tcBorders>
              <w:top w:val="single" w:sz="4" w:space="0" w:color="auto"/>
              <w:left w:val="single" w:sz="4" w:space="0" w:color="auto"/>
              <w:bottom w:val="single" w:sz="4" w:space="0" w:color="auto"/>
              <w:right w:val="single" w:sz="4" w:space="0" w:color="auto"/>
            </w:tcBorders>
            <w:hideMark/>
          </w:tcPr>
          <w:p w:rsidR="000670FD" w:rsidRPr="006529C9" w:rsidRDefault="00BD2422">
            <w:r>
              <w:t>NPM capacity building</w:t>
            </w:r>
          </w:p>
        </w:tc>
        <w:tc>
          <w:tcPr>
            <w:tcW w:w="1221" w:type="dxa"/>
            <w:tcBorders>
              <w:top w:val="single" w:sz="4" w:space="0" w:color="auto"/>
              <w:left w:val="single" w:sz="4" w:space="0" w:color="auto"/>
              <w:bottom w:val="single" w:sz="4" w:space="0" w:color="auto"/>
              <w:right w:val="single" w:sz="4" w:space="0" w:color="auto"/>
            </w:tcBorders>
          </w:tcPr>
          <w:p w:rsidR="000670FD" w:rsidRPr="00FC6ED8" w:rsidRDefault="000670FD">
            <w:pPr>
              <w:rPr>
                <w:b/>
              </w:rPr>
            </w:pPr>
            <w:r>
              <w:rPr>
                <w:b/>
              </w:rPr>
              <w:t>OHCHR</w:t>
            </w:r>
          </w:p>
        </w:tc>
        <w:tc>
          <w:tcPr>
            <w:tcW w:w="1659" w:type="dxa"/>
            <w:tcBorders>
              <w:top w:val="single" w:sz="4" w:space="0" w:color="auto"/>
              <w:left w:val="single" w:sz="4" w:space="0" w:color="auto"/>
              <w:bottom w:val="single" w:sz="4" w:space="0" w:color="auto"/>
              <w:right w:val="single" w:sz="4" w:space="0" w:color="auto"/>
            </w:tcBorders>
            <w:hideMark/>
          </w:tcPr>
          <w:p w:rsidR="000670FD" w:rsidRPr="00FC6ED8" w:rsidRDefault="000670FD" w:rsidP="00716E24">
            <w:pPr>
              <w:rPr>
                <w:b/>
              </w:rPr>
            </w:pPr>
            <w:r>
              <w:rPr>
                <w:b/>
              </w:rPr>
              <w:t>30,300</w:t>
            </w:r>
          </w:p>
        </w:tc>
        <w:tc>
          <w:tcPr>
            <w:tcW w:w="1711" w:type="dxa"/>
            <w:tcBorders>
              <w:top w:val="single" w:sz="4" w:space="0" w:color="auto"/>
              <w:left w:val="single" w:sz="4" w:space="0" w:color="auto"/>
              <w:bottom w:val="single" w:sz="4" w:space="0" w:color="auto"/>
              <w:right w:val="single" w:sz="4" w:space="0" w:color="auto"/>
            </w:tcBorders>
          </w:tcPr>
          <w:p w:rsidR="000670FD" w:rsidRPr="007826B6" w:rsidRDefault="00807305">
            <w:pPr>
              <w:rPr>
                <w:b/>
              </w:rPr>
            </w:pPr>
            <w:r>
              <w:rPr>
                <w:b/>
              </w:rPr>
              <w:t>15,222</w:t>
            </w:r>
          </w:p>
        </w:tc>
        <w:tc>
          <w:tcPr>
            <w:tcW w:w="1980"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fldChar w:fldCharType="begin">
                <w:ffData>
                  <w:name w:val="Text45"/>
                  <w:enabled/>
                  <w:calcOnExit w:val="0"/>
                  <w:textInput/>
                </w:ffData>
              </w:fldChar>
            </w:r>
            <w:r w:rsidRPr="006529C9">
              <w:instrText xml:space="preserve"> FORMTEXT </w:instrText>
            </w:r>
            <w:r w:rsidRPr="006529C9">
              <w:fldChar w:fldCharType="separate"/>
            </w:r>
            <w:r w:rsidRPr="006529C9">
              <w:rPr>
                <w:noProof/>
              </w:rPr>
              <w:t> </w:t>
            </w:r>
            <w:r w:rsidRPr="006529C9">
              <w:rPr>
                <w:noProof/>
              </w:rPr>
              <w:t> </w:t>
            </w:r>
            <w:r w:rsidRPr="006529C9">
              <w:rPr>
                <w:noProof/>
              </w:rPr>
              <w:t> </w:t>
            </w:r>
            <w:r w:rsidRPr="006529C9">
              <w:rPr>
                <w:noProof/>
              </w:rPr>
              <w:t> </w:t>
            </w:r>
            <w:r w:rsidRPr="006529C9">
              <w:rPr>
                <w:noProof/>
              </w:rPr>
              <w:t> </w:t>
            </w:r>
            <w:r w:rsidRPr="006529C9">
              <w:fldChar w:fldCharType="end"/>
            </w:r>
          </w:p>
        </w:tc>
      </w:tr>
      <w:tr w:rsidR="00BD2422" w:rsidRPr="006529C9" w:rsidTr="007826B6">
        <w:tc>
          <w:tcPr>
            <w:tcW w:w="1293"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t>Output 2.2</w:t>
            </w:r>
          </w:p>
        </w:tc>
        <w:tc>
          <w:tcPr>
            <w:tcW w:w="1586" w:type="dxa"/>
            <w:tcBorders>
              <w:top w:val="single" w:sz="4" w:space="0" w:color="auto"/>
              <w:left w:val="single" w:sz="4" w:space="0" w:color="auto"/>
              <w:bottom w:val="single" w:sz="4" w:space="0" w:color="auto"/>
              <w:right w:val="single" w:sz="4" w:space="0" w:color="auto"/>
            </w:tcBorders>
            <w:hideMark/>
          </w:tcPr>
          <w:p w:rsidR="000670FD" w:rsidRPr="006529C9" w:rsidRDefault="00BD2422">
            <w:r>
              <w:t>CCHR capacity building</w:t>
            </w:r>
          </w:p>
        </w:tc>
        <w:tc>
          <w:tcPr>
            <w:tcW w:w="1221" w:type="dxa"/>
            <w:tcBorders>
              <w:top w:val="single" w:sz="4" w:space="0" w:color="auto"/>
              <w:left w:val="single" w:sz="4" w:space="0" w:color="auto"/>
              <w:bottom w:val="single" w:sz="4" w:space="0" w:color="auto"/>
              <w:right w:val="single" w:sz="4" w:space="0" w:color="auto"/>
            </w:tcBorders>
          </w:tcPr>
          <w:p w:rsidR="000670FD" w:rsidRPr="00FC6ED8" w:rsidRDefault="000670FD">
            <w:pPr>
              <w:rPr>
                <w:b/>
              </w:rPr>
            </w:pPr>
            <w:r>
              <w:rPr>
                <w:b/>
              </w:rPr>
              <w:t>OHCHR</w:t>
            </w:r>
          </w:p>
        </w:tc>
        <w:tc>
          <w:tcPr>
            <w:tcW w:w="1659" w:type="dxa"/>
            <w:tcBorders>
              <w:top w:val="single" w:sz="4" w:space="0" w:color="auto"/>
              <w:left w:val="single" w:sz="4" w:space="0" w:color="auto"/>
              <w:bottom w:val="single" w:sz="4" w:space="0" w:color="auto"/>
              <w:right w:val="single" w:sz="4" w:space="0" w:color="auto"/>
            </w:tcBorders>
            <w:hideMark/>
          </w:tcPr>
          <w:p w:rsidR="000670FD" w:rsidRPr="00FC6ED8" w:rsidRDefault="000670FD" w:rsidP="00716E24">
            <w:pPr>
              <w:rPr>
                <w:b/>
              </w:rPr>
            </w:pPr>
            <w:r>
              <w:rPr>
                <w:b/>
              </w:rPr>
              <w:t>30,300</w:t>
            </w:r>
          </w:p>
        </w:tc>
        <w:tc>
          <w:tcPr>
            <w:tcW w:w="1711" w:type="dxa"/>
            <w:tcBorders>
              <w:top w:val="single" w:sz="4" w:space="0" w:color="auto"/>
              <w:left w:val="single" w:sz="4" w:space="0" w:color="auto"/>
              <w:bottom w:val="single" w:sz="4" w:space="0" w:color="auto"/>
              <w:right w:val="single" w:sz="4" w:space="0" w:color="auto"/>
            </w:tcBorders>
          </w:tcPr>
          <w:p w:rsidR="000670FD" w:rsidRPr="007826B6" w:rsidRDefault="00807305">
            <w:pPr>
              <w:rPr>
                <w:b/>
              </w:rPr>
            </w:pPr>
            <w:r>
              <w:rPr>
                <w:b/>
              </w:rPr>
              <w:t>15,324</w:t>
            </w:r>
          </w:p>
        </w:tc>
        <w:tc>
          <w:tcPr>
            <w:tcW w:w="1980"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fldChar w:fldCharType="begin">
                <w:ffData>
                  <w:name w:val="Text45"/>
                  <w:enabled/>
                  <w:calcOnExit w:val="0"/>
                  <w:textInput/>
                </w:ffData>
              </w:fldChar>
            </w:r>
            <w:r w:rsidRPr="006529C9">
              <w:instrText xml:space="preserve"> FORMTEXT </w:instrText>
            </w:r>
            <w:r w:rsidRPr="006529C9">
              <w:fldChar w:fldCharType="separate"/>
            </w:r>
            <w:r w:rsidRPr="006529C9">
              <w:rPr>
                <w:noProof/>
              </w:rPr>
              <w:t> </w:t>
            </w:r>
            <w:r w:rsidRPr="006529C9">
              <w:rPr>
                <w:noProof/>
              </w:rPr>
              <w:t> </w:t>
            </w:r>
            <w:r w:rsidRPr="006529C9">
              <w:rPr>
                <w:noProof/>
              </w:rPr>
              <w:t> </w:t>
            </w:r>
            <w:r w:rsidRPr="006529C9">
              <w:rPr>
                <w:noProof/>
              </w:rPr>
              <w:t> </w:t>
            </w:r>
            <w:r w:rsidRPr="006529C9">
              <w:rPr>
                <w:noProof/>
              </w:rPr>
              <w:t> </w:t>
            </w:r>
            <w:r w:rsidRPr="006529C9">
              <w:fldChar w:fldCharType="end"/>
            </w:r>
          </w:p>
        </w:tc>
      </w:tr>
      <w:tr w:rsidR="00BD2422" w:rsidRPr="006529C9" w:rsidTr="007826B6">
        <w:tc>
          <w:tcPr>
            <w:tcW w:w="1293"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t>Output 2.3</w:t>
            </w:r>
          </w:p>
        </w:tc>
        <w:tc>
          <w:tcPr>
            <w:tcW w:w="1586" w:type="dxa"/>
            <w:tcBorders>
              <w:top w:val="single" w:sz="4" w:space="0" w:color="auto"/>
              <w:left w:val="single" w:sz="4" w:space="0" w:color="auto"/>
              <w:bottom w:val="single" w:sz="4" w:space="0" w:color="auto"/>
              <w:right w:val="single" w:sz="4" w:space="0" w:color="auto"/>
            </w:tcBorders>
            <w:hideMark/>
          </w:tcPr>
          <w:p w:rsidR="000670FD" w:rsidRPr="006529C9" w:rsidRDefault="00BD2422">
            <w:r>
              <w:t>Capacity building for young defence lawyers</w:t>
            </w:r>
          </w:p>
        </w:tc>
        <w:tc>
          <w:tcPr>
            <w:tcW w:w="1221" w:type="dxa"/>
            <w:tcBorders>
              <w:top w:val="single" w:sz="4" w:space="0" w:color="auto"/>
              <w:left w:val="single" w:sz="4" w:space="0" w:color="auto"/>
              <w:bottom w:val="single" w:sz="4" w:space="0" w:color="auto"/>
              <w:right w:val="single" w:sz="4" w:space="0" w:color="auto"/>
            </w:tcBorders>
          </w:tcPr>
          <w:p w:rsidR="000670FD" w:rsidRPr="00FC6ED8" w:rsidRDefault="000670FD">
            <w:pPr>
              <w:rPr>
                <w:b/>
              </w:rPr>
            </w:pPr>
            <w:r>
              <w:rPr>
                <w:b/>
              </w:rPr>
              <w:t>OHCHR</w:t>
            </w:r>
          </w:p>
        </w:tc>
        <w:tc>
          <w:tcPr>
            <w:tcW w:w="1659" w:type="dxa"/>
            <w:tcBorders>
              <w:top w:val="single" w:sz="4" w:space="0" w:color="auto"/>
              <w:left w:val="single" w:sz="4" w:space="0" w:color="auto"/>
              <w:bottom w:val="single" w:sz="4" w:space="0" w:color="auto"/>
              <w:right w:val="single" w:sz="4" w:space="0" w:color="auto"/>
            </w:tcBorders>
            <w:hideMark/>
          </w:tcPr>
          <w:p w:rsidR="000670FD" w:rsidRPr="00FC6ED8" w:rsidRDefault="000670FD" w:rsidP="00716E24">
            <w:pPr>
              <w:rPr>
                <w:b/>
              </w:rPr>
            </w:pPr>
            <w:r>
              <w:rPr>
                <w:b/>
              </w:rPr>
              <w:t>69,490</w:t>
            </w:r>
          </w:p>
        </w:tc>
        <w:tc>
          <w:tcPr>
            <w:tcW w:w="1711" w:type="dxa"/>
            <w:tcBorders>
              <w:top w:val="single" w:sz="4" w:space="0" w:color="auto"/>
              <w:left w:val="single" w:sz="4" w:space="0" w:color="auto"/>
              <w:bottom w:val="single" w:sz="4" w:space="0" w:color="auto"/>
              <w:right w:val="single" w:sz="4" w:space="0" w:color="auto"/>
            </w:tcBorders>
          </w:tcPr>
          <w:p w:rsidR="000670FD" w:rsidRPr="007826B6" w:rsidRDefault="007B7E24">
            <w:pPr>
              <w:rPr>
                <w:b/>
              </w:rPr>
            </w:pPr>
            <w:r>
              <w:rPr>
                <w:b/>
              </w:rPr>
              <w:t>0</w:t>
            </w:r>
          </w:p>
        </w:tc>
        <w:tc>
          <w:tcPr>
            <w:tcW w:w="1980"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fldChar w:fldCharType="begin">
                <w:ffData>
                  <w:name w:val="Text45"/>
                  <w:enabled/>
                  <w:calcOnExit w:val="0"/>
                  <w:textInput/>
                </w:ffData>
              </w:fldChar>
            </w:r>
            <w:r w:rsidRPr="006529C9">
              <w:instrText xml:space="preserve"> FORMTEXT </w:instrText>
            </w:r>
            <w:r w:rsidRPr="006529C9">
              <w:fldChar w:fldCharType="separate"/>
            </w:r>
            <w:r w:rsidRPr="006529C9">
              <w:rPr>
                <w:noProof/>
              </w:rPr>
              <w:t> </w:t>
            </w:r>
            <w:r w:rsidRPr="006529C9">
              <w:rPr>
                <w:noProof/>
              </w:rPr>
              <w:t> </w:t>
            </w:r>
            <w:r w:rsidRPr="006529C9">
              <w:rPr>
                <w:noProof/>
              </w:rPr>
              <w:t> </w:t>
            </w:r>
            <w:r w:rsidRPr="006529C9">
              <w:rPr>
                <w:noProof/>
              </w:rPr>
              <w:t> </w:t>
            </w:r>
            <w:r w:rsidRPr="006529C9">
              <w:rPr>
                <w:noProof/>
              </w:rPr>
              <w:t> </w:t>
            </w:r>
            <w:r w:rsidRPr="006529C9">
              <w:fldChar w:fldCharType="end"/>
            </w:r>
          </w:p>
        </w:tc>
      </w:tr>
      <w:tr w:rsidR="00BD2422" w:rsidRPr="006529C9">
        <w:tc>
          <w:tcPr>
            <w:tcW w:w="1293" w:type="dxa"/>
            <w:tcBorders>
              <w:top w:val="single" w:sz="4" w:space="0" w:color="auto"/>
              <w:left w:val="single" w:sz="4" w:space="0" w:color="auto"/>
              <w:bottom w:val="single" w:sz="4" w:space="0" w:color="auto"/>
              <w:right w:val="single" w:sz="4" w:space="0" w:color="auto"/>
            </w:tcBorders>
          </w:tcPr>
          <w:p w:rsidR="000670FD" w:rsidRPr="006529C9" w:rsidRDefault="000670FD" w:rsidP="00716E24">
            <w:r>
              <w:t>Output 2.4</w:t>
            </w:r>
          </w:p>
        </w:tc>
        <w:tc>
          <w:tcPr>
            <w:tcW w:w="1586" w:type="dxa"/>
            <w:tcBorders>
              <w:top w:val="single" w:sz="4" w:space="0" w:color="auto"/>
              <w:left w:val="single" w:sz="4" w:space="0" w:color="auto"/>
              <w:bottom w:val="single" w:sz="4" w:space="0" w:color="auto"/>
              <w:right w:val="single" w:sz="4" w:space="0" w:color="auto"/>
            </w:tcBorders>
          </w:tcPr>
          <w:p w:rsidR="000670FD" w:rsidRPr="006529C9" w:rsidRDefault="00BD2422" w:rsidP="00716E24">
            <w:r>
              <w:t>Grants for NGOs</w:t>
            </w:r>
          </w:p>
        </w:tc>
        <w:tc>
          <w:tcPr>
            <w:tcW w:w="1221" w:type="dxa"/>
            <w:tcBorders>
              <w:top w:val="single" w:sz="4" w:space="0" w:color="auto"/>
              <w:left w:val="single" w:sz="4" w:space="0" w:color="auto"/>
              <w:bottom w:val="single" w:sz="4" w:space="0" w:color="auto"/>
              <w:right w:val="single" w:sz="4" w:space="0" w:color="auto"/>
            </w:tcBorders>
          </w:tcPr>
          <w:p w:rsidR="000670FD" w:rsidRPr="00FC6ED8" w:rsidRDefault="000670FD" w:rsidP="00716E24">
            <w:pPr>
              <w:rPr>
                <w:b/>
              </w:rPr>
            </w:pPr>
            <w:r>
              <w:rPr>
                <w:b/>
              </w:rPr>
              <w:t>OHCHR</w:t>
            </w:r>
          </w:p>
        </w:tc>
        <w:tc>
          <w:tcPr>
            <w:tcW w:w="1659" w:type="dxa"/>
            <w:tcBorders>
              <w:top w:val="single" w:sz="4" w:space="0" w:color="auto"/>
              <w:left w:val="single" w:sz="4" w:space="0" w:color="auto"/>
              <w:bottom w:val="single" w:sz="4" w:space="0" w:color="auto"/>
              <w:right w:val="single" w:sz="4" w:space="0" w:color="auto"/>
            </w:tcBorders>
          </w:tcPr>
          <w:p w:rsidR="000670FD" w:rsidRPr="00FC6ED8" w:rsidRDefault="000670FD" w:rsidP="00716E24">
            <w:pPr>
              <w:rPr>
                <w:b/>
              </w:rPr>
            </w:pPr>
            <w:r>
              <w:rPr>
                <w:b/>
              </w:rPr>
              <w:t>84,300</w:t>
            </w:r>
          </w:p>
        </w:tc>
        <w:tc>
          <w:tcPr>
            <w:tcW w:w="1711" w:type="dxa"/>
            <w:tcBorders>
              <w:top w:val="single" w:sz="4" w:space="0" w:color="auto"/>
              <w:left w:val="single" w:sz="4" w:space="0" w:color="auto"/>
              <w:bottom w:val="single" w:sz="4" w:space="0" w:color="auto"/>
              <w:right w:val="single" w:sz="4" w:space="0" w:color="auto"/>
            </w:tcBorders>
          </w:tcPr>
          <w:p w:rsidR="000670FD" w:rsidRPr="007826B6" w:rsidRDefault="007B7E24" w:rsidP="00716E24">
            <w:pPr>
              <w:rPr>
                <w:b/>
              </w:rPr>
            </w:pPr>
            <w:r>
              <w:rPr>
                <w:b/>
              </w:rPr>
              <w:t>0</w:t>
            </w:r>
          </w:p>
        </w:tc>
        <w:tc>
          <w:tcPr>
            <w:tcW w:w="1980" w:type="dxa"/>
            <w:tcBorders>
              <w:top w:val="single" w:sz="4" w:space="0" w:color="auto"/>
              <w:left w:val="single" w:sz="4" w:space="0" w:color="auto"/>
              <w:bottom w:val="single" w:sz="4" w:space="0" w:color="auto"/>
              <w:right w:val="single" w:sz="4" w:space="0" w:color="auto"/>
            </w:tcBorders>
          </w:tcPr>
          <w:p w:rsidR="000670FD" w:rsidRPr="006529C9" w:rsidRDefault="000670FD" w:rsidP="00716E24">
            <w:r w:rsidRPr="006529C9">
              <w:fldChar w:fldCharType="begin">
                <w:ffData>
                  <w:name w:val="Text45"/>
                  <w:enabled/>
                  <w:calcOnExit w:val="0"/>
                  <w:textInput/>
                </w:ffData>
              </w:fldChar>
            </w:r>
            <w:r w:rsidRPr="006529C9">
              <w:instrText xml:space="preserve"> FORMTEXT </w:instrText>
            </w:r>
            <w:r w:rsidRPr="006529C9">
              <w:fldChar w:fldCharType="separate"/>
            </w:r>
            <w:r w:rsidRPr="006529C9">
              <w:rPr>
                <w:noProof/>
              </w:rPr>
              <w:t> </w:t>
            </w:r>
            <w:r w:rsidRPr="006529C9">
              <w:rPr>
                <w:noProof/>
              </w:rPr>
              <w:t> </w:t>
            </w:r>
            <w:r w:rsidRPr="006529C9">
              <w:rPr>
                <w:noProof/>
              </w:rPr>
              <w:t> </w:t>
            </w:r>
            <w:r w:rsidRPr="006529C9">
              <w:rPr>
                <w:noProof/>
              </w:rPr>
              <w:t> </w:t>
            </w:r>
            <w:r w:rsidRPr="006529C9">
              <w:rPr>
                <w:noProof/>
              </w:rPr>
              <w:t> </w:t>
            </w:r>
            <w:r w:rsidRPr="006529C9">
              <w:fldChar w:fldCharType="end"/>
            </w:r>
          </w:p>
        </w:tc>
      </w:tr>
      <w:tr w:rsidR="000670FD" w:rsidRPr="006529C9">
        <w:tc>
          <w:tcPr>
            <w:tcW w:w="9450" w:type="dxa"/>
            <w:gridSpan w:val="6"/>
            <w:tcBorders>
              <w:top w:val="single" w:sz="4" w:space="0" w:color="auto"/>
              <w:left w:val="single" w:sz="4" w:space="0" w:color="auto"/>
              <w:bottom w:val="single" w:sz="4" w:space="0" w:color="auto"/>
              <w:right w:val="single" w:sz="4" w:space="0" w:color="auto"/>
            </w:tcBorders>
            <w:hideMark/>
          </w:tcPr>
          <w:p w:rsidR="000670FD" w:rsidRPr="00FC6ED8" w:rsidRDefault="000670FD" w:rsidP="00FC6ED8">
            <w:pPr>
              <w:rPr>
                <w:b/>
              </w:rPr>
            </w:pPr>
            <w:r w:rsidRPr="006529C9">
              <w:t xml:space="preserve">Outcome 3: </w:t>
            </w:r>
            <w:r>
              <w:rPr>
                <w:b/>
              </w:rPr>
              <w:t>104,500</w:t>
            </w:r>
          </w:p>
        </w:tc>
      </w:tr>
      <w:tr w:rsidR="00BD2422" w:rsidRPr="006529C9" w:rsidTr="007826B6">
        <w:tc>
          <w:tcPr>
            <w:tcW w:w="1293"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t>Output 3.1</w:t>
            </w:r>
          </w:p>
        </w:tc>
        <w:tc>
          <w:tcPr>
            <w:tcW w:w="1586" w:type="dxa"/>
            <w:tcBorders>
              <w:top w:val="single" w:sz="4" w:space="0" w:color="auto"/>
              <w:left w:val="single" w:sz="4" w:space="0" w:color="auto"/>
              <w:bottom w:val="single" w:sz="4" w:space="0" w:color="auto"/>
              <w:right w:val="single" w:sz="4" w:space="0" w:color="auto"/>
            </w:tcBorders>
            <w:hideMark/>
          </w:tcPr>
          <w:p w:rsidR="000670FD" w:rsidRPr="006529C9" w:rsidRDefault="00BD2422">
            <w:r>
              <w:t>Awareness raising and capacity building on justice for 2010 events</w:t>
            </w:r>
          </w:p>
        </w:tc>
        <w:tc>
          <w:tcPr>
            <w:tcW w:w="1221" w:type="dxa"/>
            <w:tcBorders>
              <w:top w:val="single" w:sz="4" w:space="0" w:color="auto"/>
              <w:left w:val="single" w:sz="4" w:space="0" w:color="auto"/>
              <w:bottom w:val="single" w:sz="4" w:space="0" w:color="auto"/>
              <w:right w:val="single" w:sz="4" w:space="0" w:color="auto"/>
            </w:tcBorders>
            <w:hideMark/>
          </w:tcPr>
          <w:p w:rsidR="000670FD" w:rsidRPr="00FC6ED8" w:rsidRDefault="000670FD">
            <w:pPr>
              <w:rPr>
                <w:b/>
              </w:rPr>
            </w:pPr>
            <w:r>
              <w:rPr>
                <w:b/>
              </w:rPr>
              <w:t>OHCHR</w:t>
            </w:r>
          </w:p>
        </w:tc>
        <w:tc>
          <w:tcPr>
            <w:tcW w:w="1659" w:type="dxa"/>
            <w:tcBorders>
              <w:top w:val="single" w:sz="4" w:space="0" w:color="auto"/>
              <w:left w:val="single" w:sz="4" w:space="0" w:color="auto"/>
              <w:bottom w:val="single" w:sz="4" w:space="0" w:color="auto"/>
              <w:right w:val="single" w:sz="4" w:space="0" w:color="auto"/>
            </w:tcBorders>
            <w:hideMark/>
          </w:tcPr>
          <w:p w:rsidR="000670FD" w:rsidRPr="006529C9" w:rsidRDefault="000670FD" w:rsidP="000670FD">
            <w:r w:rsidRPr="00FC6ED8">
              <w:rPr>
                <w:b/>
              </w:rPr>
              <w:t>104,500</w:t>
            </w:r>
          </w:p>
        </w:tc>
        <w:tc>
          <w:tcPr>
            <w:tcW w:w="1711" w:type="dxa"/>
            <w:tcBorders>
              <w:top w:val="single" w:sz="4" w:space="0" w:color="auto"/>
              <w:left w:val="single" w:sz="4" w:space="0" w:color="auto"/>
              <w:bottom w:val="single" w:sz="4" w:space="0" w:color="auto"/>
              <w:right w:val="single" w:sz="4" w:space="0" w:color="auto"/>
            </w:tcBorders>
          </w:tcPr>
          <w:p w:rsidR="000670FD" w:rsidRPr="007826B6" w:rsidRDefault="007B7E24">
            <w:pPr>
              <w:rPr>
                <w:b/>
              </w:rPr>
            </w:pPr>
            <w:r>
              <w:rPr>
                <w:b/>
              </w:rPr>
              <w:t>0</w:t>
            </w:r>
          </w:p>
        </w:tc>
        <w:tc>
          <w:tcPr>
            <w:tcW w:w="1980"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fldChar w:fldCharType="begin">
                <w:ffData>
                  <w:name w:val="Text45"/>
                  <w:enabled/>
                  <w:calcOnExit w:val="0"/>
                  <w:textInput/>
                </w:ffData>
              </w:fldChar>
            </w:r>
            <w:r w:rsidRPr="006529C9">
              <w:instrText xml:space="preserve"> FORMTEXT </w:instrText>
            </w:r>
            <w:r w:rsidRPr="006529C9">
              <w:fldChar w:fldCharType="separate"/>
            </w:r>
            <w:r w:rsidRPr="006529C9">
              <w:rPr>
                <w:noProof/>
              </w:rPr>
              <w:t> </w:t>
            </w:r>
            <w:r w:rsidRPr="006529C9">
              <w:rPr>
                <w:noProof/>
              </w:rPr>
              <w:t> </w:t>
            </w:r>
            <w:r w:rsidRPr="006529C9">
              <w:rPr>
                <w:noProof/>
              </w:rPr>
              <w:t> </w:t>
            </w:r>
            <w:r w:rsidRPr="006529C9">
              <w:rPr>
                <w:noProof/>
              </w:rPr>
              <w:t> </w:t>
            </w:r>
            <w:r w:rsidRPr="006529C9">
              <w:rPr>
                <w:noProof/>
              </w:rPr>
              <w:t> </w:t>
            </w:r>
            <w:r w:rsidRPr="006529C9">
              <w:fldChar w:fldCharType="end"/>
            </w:r>
          </w:p>
        </w:tc>
      </w:tr>
      <w:tr w:rsidR="00BD2422" w:rsidRPr="006529C9" w:rsidTr="007826B6">
        <w:tc>
          <w:tcPr>
            <w:tcW w:w="1293"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t>Total:</w:t>
            </w:r>
          </w:p>
        </w:tc>
        <w:tc>
          <w:tcPr>
            <w:tcW w:w="1586"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fldChar w:fldCharType="begin">
                <w:ffData>
                  <w:name w:val="Text45"/>
                  <w:enabled/>
                  <w:calcOnExit w:val="0"/>
                  <w:textInput/>
                </w:ffData>
              </w:fldChar>
            </w:r>
            <w:r w:rsidRPr="006529C9">
              <w:instrText xml:space="preserve"> FORMTEXT </w:instrText>
            </w:r>
            <w:r w:rsidRPr="006529C9">
              <w:fldChar w:fldCharType="separate"/>
            </w:r>
            <w:r>
              <w:rPr>
                <w:b/>
                <w:noProof/>
              </w:rPr>
              <w:t>477,890</w:t>
            </w:r>
            <w:r w:rsidRPr="006529C9">
              <w:rPr>
                <w:noProof/>
              </w:rPr>
              <w:t> </w:t>
            </w:r>
            <w:r w:rsidRPr="006529C9">
              <w:fldChar w:fldCharType="end"/>
            </w:r>
          </w:p>
        </w:tc>
        <w:tc>
          <w:tcPr>
            <w:tcW w:w="1221" w:type="dxa"/>
            <w:tcBorders>
              <w:top w:val="single" w:sz="4" w:space="0" w:color="auto"/>
              <w:left w:val="single" w:sz="4" w:space="0" w:color="auto"/>
              <w:bottom w:val="single" w:sz="4" w:space="0" w:color="auto"/>
              <w:right w:val="single" w:sz="4" w:space="0" w:color="auto"/>
            </w:tcBorders>
            <w:hideMark/>
          </w:tcPr>
          <w:p w:rsidR="000670FD" w:rsidRPr="006529C9" w:rsidRDefault="000670FD"/>
        </w:tc>
        <w:tc>
          <w:tcPr>
            <w:tcW w:w="1659"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fldChar w:fldCharType="begin">
                <w:ffData>
                  <w:name w:val="Text45"/>
                  <w:enabled/>
                  <w:calcOnExit w:val="0"/>
                  <w:textInput/>
                </w:ffData>
              </w:fldChar>
            </w:r>
            <w:r w:rsidRPr="006529C9">
              <w:instrText xml:space="preserve"> FORMTEXT </w:instrText>
            </w:r>
            <w:r w:rsidRPr="006529C9">
              <w:fldChar w:fldCharType="separate"/>
            </w:r>
            <w:r w:rsidRPr="006529C9">
              <w:fldChar w:fldCharType="begin">
                <w:ffData>
                  <w:name w:val="Text45"/>
                  <w:enabled/>
                  <w:calcOnExit w:val="0"/>
                  <w:textInput/>
                </w:ffData>
              </w:fldChar>
            </w:r>
            <w:r w:rsidRPr="006529C9">
              <w:instrText xml:space="preserve"> FORMTEXT </w:instrText>
            </w:r>
            <w:r w:rsidRPr="006529C9">
              <w:fldChar w:fldCharType="separate"/>
            </w:r>
            <w:r>
              <w:rPr>
                <w:b/>
                <w:noProof/>
              </w:rPr>
              <w:t>477,890</w:t>
            </w:r>
            <w:r w:rsidRPr="006529C9">
              <w:rPr>
                <w:noProof/>
              </w:rPr>
              <w:t> </w:t>
            </w:r>
            <w:r w:rsidRPr="006529C9">
              <w:fldChar w:fldCharType="end"/>
            </w:r>
            <w:r w:rsidRPr="006529C9">
              <w:rPr>
                <w:noProof/>
              </w:rPr>
              <w:t> </w:t>
            </w:r>
            <w:r w:rsidRPr="006529C9">
              <w:fldChar w:fldCharType="end"/>
            </w:r>
          </w:p>
        </w:tc>
        <w:tc>
          <w:tcPr>
            <w:tcW w:w="1711" w:type="dxa"/>
            <w:tcBorders>
              <w:top w:val="single" w:sz="4" w:space="0" w:color="auto"/>
              <w:left w:val="single" w:sz="4" w:space="0" w:color="auto"/>
              <w:bottom w:val="single" w:sz="4" w:space="0" w:color="auto"/>
              <w:right w:val="single" w:sz="4" w:space="0" w:color="auto"/>
            </w:tcBorders>
          </w:tcPr>
          <w:p w:rsidR="000670FD" w:rsidRPr="007B7E24" w:rsidRDefault="000004D9" w:rsidP="007B7E24">
            <w:pPr>
              <w:rPr>
                <w:b/>
              </w:rPr>
            </w:pPr>
            <w:r>
              <w:t>40,469</w:t>
            </w:r>
          </w:p>
        </w:tc>
        <w:tc>
          <w:tcPr>
            <w:tcW w:w="1980" w:type="dxa"/>
            <w:tcBorders>
              <w:top w:val="single" w:sz="4" w:space="0" w:color="auto"/>
              <w:left w:val="single" w:sz="4" w:space="0" w:color="auto"/>
              <w:bottom w:val="single" w:sz="4" w:space="0" w:color="auto"/>
              <w:right w:val="single" w:sz="4" w:space="0" w:color="auto"/>
            </w:tcBorders>
            <w:hideMark/>
          </w:tcPr>
          <w:p w:rsidR="000670FD" w:rsidRPr="006529C9" w:rsidRDefault="000670FD">
            <w:r w:rsidRPr="006529C9">
              <w:fldChar w:fldCharType="begin">
                <w:ffData>
                  <w:name w:val="Text45"/>
                  <w:enabled/>
                  <w:calcOnExit w:val="0"/>
                  <w:textInput/>
                </w:ffData>
              </w:fldChar>
            </w:r>
            <w:r w:rsidRPr="006529C9">
              <w:instrText xml:space="preserve"> FORMTEXT </w:instrText>
            </w:r>
            <w:r w:rsidRPr="006529C9">
              <w:fldChar w:fldCharType="separate"/>
            </w:r>
            <w:r w:rsidRPr="006529C9">
              <w:rPr>
                <w:noProof/>
              </w:rPr>
              <w:t> </w:t>
            </w:r>
            <w:r w:rsidRPr="006529C9">
              <w:rPr>
                <w:noProof/>
              </w:rPr>
              <w:t> </w:t>
            </w:r>
            <w:r w:rsidRPr="006529C9">
              <w:rPr>
                <w:noProof/>
              </w:rPr>
              <w:t> </w:t>
            </w:r>
            <w:r w:rsidRPr="006529C9">
              <w:rPr>
                <w:noProof/>
              </w:rPr>
              <w:t> </w:t>
            </w:r>
            <w:r w:rsidRPr="006529C9">
              <w:rPr>
                <w:noProof/>
              </w:rPr>
              <w:t> </w:t>
            </w:r>
            <w:r w:rsidRPr="006529C9">
              <w:fldChar w:fldCharType="end"/>
            </w:r>
          </w:p>
        </w:tc>
      </w:tr>
    </w:tbl>
    <w:p w:rsidR="00A24000" w:rsidRPr="006529C9" w:rsidRDefault="00A24000">
      <w:pPr>
        <w:jc w:val="both"/>
        <w:rPr>
          <w:sz w:val="22"/>
          <w:szCs w:val="22"/>
        </w:rPr>
      </w:pPr>
    </w:p>
    <w:p w:rsidR="00A24000" w:rsidRPr="006529C9" w:rsidRDefault="00A24000">
      <w:pPr>
        <w:jc w:val="both"/>
        <w:rPr>
          <w:sz w:val="22"/>
          <w:szCs w:val="22"/>
        </w:rPr>
      </w:pPr>
    </w:p>
    <w:p w:rsidR="00A24000" w:rsidRPr="006529C9" w:rsidRDefault="00422627">
      <w:pPr>
        <w:numPr>
          <w:ilvl w:val="1"/>
          <w:numId w:val="6"/>
        </w:numPr>
        <w:ind w:left="1080" w:hanging="1080"/>
        <w:jc w:val="both"/>
        <w:rPr>
          <w:b/>
          <w:sz w:val="22"/>
          <w:szCs w:val="22"/>
        </w:rPr>
      </w:pPr>
      <w:r w:rsidRPr="006529C9">
        <w:rPr>
          <w:b/>
          <w:sz w:val="22"/>
          <w:szCs w:val="22"/>
        </w:rPr>
        <w:t>Comments on management and implementation arrangements</w:t>
      </w:r>
    </w:p>
    <w:p w:rsidR="00A24000" w:rsidRPr="006529C9" w:rsidRDefault="00A24000">
      <w:pPr>
        <w:jc w:val="both"/>
        <w:rPr>
          <w:sz w:val="22"/>
          <w:szCs w:val="22"/>
        </w:rPr>
      </w:pPr>
    </w:p>
    <w:p w:rsidR="00A24000" w:rsidRPr="006529C9" w:rsidRDefault="00422627">
      <w:pPr>
        <w:jc w:val="both"/>
        <w:rPr>
          <w:i/>
          <w:sz w:val="22"/>
          <w:szCs w:val="22"/>
        </w:rPr>
      </w:pPr>
      <w:r w:rsidRPr="006529C9">
        <w:rPr>
          <w:i/>
          <w:sz w:val="22"/>
          <w:szCs w:val="22"/>
        </w:rPr>
        <w:t xml:space="preserve">Please comment on the management and implementation arrangements for the project, such as: the effectiveness of the implementation partnerships, coordination/coherence with other projects, any South-South cooperation, the modalities of support, any capacity building aspect, the use of partner country systems if any, the support by the PBF Secretariat and oversight by the Joint Steering Committee (for PRF only). Please also mention if there have been any changes to the project (what kind and when); or whether any changes are envisaged in the near future </w:t>
      </w:r>
      <w:r w:rsidRPr="006529C9">
        <w:rPr>
          <w:sz w:val="22"/>
          <w:szCs w:val="22"/>
        </w:rPr>
        <w:t>(2000 character maximum):</w:t>
      </w:r>
    </w:p>
    <w:p w:rsidR="00A24000" w:rsidRPr="006529C9" w:rsidRDefault="00A24000">
      <w:pPr>
        <w:jc w:val="both"/>
        <w:rPr>
          <w:sz w:val="22"/>
          <w:szCs w:val="22"/>
        </w:rPr>
      </w:pPr>
    </w:p>
    <w:p w:rsidR="00A24000" w:rsidRPr="006529C9" w:rsidRDefault="00422627">
      <w:pPr>
        <w:rPr>
          <w:sz w:val="22"/>
          <w:szCs w:val="22"/>
        </w:rPr>
      </w:pPr>
      <w:r w:rsidRPr="006529C9">
        <w:rPr>
          <w:sz w:val="22"/>
          <w:szCs w:val="22"/>
        </w:rPr>
        <w:fldChar w:fldCharType="begin">
          <w:ffData>
            <w:name w:val="Text7"/>
            <w:enabled/>
            <w:calcOnExit w:val="0"/>
            <w:textInput>
              <w:maxLength w:val="2000"/>
              <w:format w:val="Первая прописная"/>
            </w:textInput>
          </w:ffData>
        </w:fldChar>
      </w:r>
      <w:bookmarkStart w:id="33" w:name="Text7"/>
      <w:r w:rsidRPr="006529C9">
        <w:rPr>
          <w:sz w:val="22"/>
          <w:szCs w:val="22"/>
        </w:rPr>
        <w:instrText xml:space="preserve"> FORMTEXT </w:instrText>
      </w:r>
      <w:r w:rsidRPr="006529C9">
        <w:rPr>
          <w:sz w:val="22"/>
          <w:szCs w:val="22"/>
        </w:rPr>
      </w:r>
      <w:r w:rsidRPr="006529C9">
        <w:rPr>
          <w:sz w:val="22"/>
          <w:szCs w:val="22"/>
        </w:rPr>
        <w:fldChar w:fldCharType="separate"/>
      </w:r>
      <w:r w:rsidRPr="006529C9">
        <w:rPr>
          <w:sz w:val="22"/>
          <w:szCs w:val="22"/>
        </w:rPr>
        <w:t> </w:t>
      </w:r>
      <w:r w:rsidRPr="006529C9">
        <w:rPr>
          <w:sz w:val="22"/>
          <w:szCs w:val="22"/>
        </w:rPr>
        <w:t> </w:t>
      </w:r>
      <w:r w:rsidRPr="006529C9">
        <w:rPr>
          <w:sz w:val="22"/>
          <w:szCs w:val="22"/>
        </w:rPr>
        <w:t> </w:t>
      </w:r>
      <w:r w:rsidRPr="006529C9">
        <w:rPr>
          <w:sz w:val="22"/>
          <w:szCs w:val="22"/>
        </w:rPr>
        <w:t> </w:t>
      </w:r>
      <w:r w:rsidRPr="006529C9">
        <w:rPr>
          <w:sz w:val="22"/>
          <w:szCs w:val="22"/>
        </w:rPr>
        <w:t> </w:t>
      </w:r>
      <w:r w:rsidRPr="006529C9">
        <w:fldChar w:fldCharType="end"/>
      </w:r>
      <w:bookmarkEnd w:id="33"/>
    </w:p>
    <w:p w:rsidR="00A24000" w:rsidRPr="006529C9" w:rsidRDefault="00A24000">
      <w:pPr>
        <w:tabs>
          <w:tab w:val="left" w:pos="0"/>
        </w:tabs>
      </w:pPr>
    </w:p>
    <w:sectPr w:rsidR="00A24000" w:rsidRPr="006529C9" w:rsidSect="007F7272">
      <w:pgSz w:w="11906" w:h="16838"/>
      <w:pgMar w:top="993" w:right="991" w:bottom="12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76" w:rsidRDefault="00525B76">
      <w:r>
        <w:separator/>
      </w:r>
    </w:p>
  </w:endnote>
  <w:endnote w:type="continuationSeparator" w:id="0">
    <w:p w:rsidR="00525B76" w:rsidRDefault="0052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B0" w:rsidRDefault="006C34B0">
    <w:pPr>
      <w:pStyle w:val="Footer"/>
      <w:jc w:val="center"/>
    </w:pPr>
    <w:r>
      <w:fldChar w:fldCharType="begin"/>
    </w:r>
    <w:r>
      <w:instrText xml:space="preserve"> PAGE   \* MERGEFORMAT </w:instrText>
    </w:r>
    <w:r>
      <w:fldChar w:fldCharType="separate"/>
    </w:r>
    <w:r w:rsidR="00562A21">
      <w:rPr>
        <w:noProof/>
      </w:rPr>
      <w:t>1</w:t>
    </w:r>
    <w:r>
      <w:fldChar w:fldCharType="end"/>
    </w:r>
  </w:p>
  <w:p w:rsidR="006C34B0" w:rsidRDefault="006C3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76" w:rsidRDefault="00525B76">
      <w:r>
        <w:separator/>
      </w:r>
    </w:p>
  </w:footnote>
  <w:footnote w:type="continuationSeparator" w:id="0">
    <w:p w:rsidR="00525B76" w:rsidRDefault="00525B76">
      <w:r>
        <w:continuationSeparator/>
      </w:r>
    </w:p>
  </w:footnote>
  <w:footnote w:id="1">
    <w:p w:rsidR="006C34B0" w:rsidRDefault="006C34B0">
      <w:pPr>
        <w:pStyle w:val="FootnoteText"/>
        <w:rPr>
          <w:sz w:val="16"/>
          <w:szCs w:val="16"/>
        </w:rPr>
      </w:pPr>
      <w:r>
        <w:rPr>
          <w:rStyle w:val="FootnoteReference"/>
          <w:sz w:val="16"/>
          <w:szCs w:val="16"/>
        </w:rPr>
        <w:footnoteRef/>
      </w:r>
      <w:r>
        <w:rPr>
          <w:sz w:val="16"/>
          <w:szCs w:val="16"/>
        </w:rPr>
        <w:t xml:space="preserve"> The MPTF Office Project Reference Number is the same number as the one on the Notification message. It is also referred to “Project ID” on the </w:t>
      </w:r>
      <w:hyperlink r:id="rId1" w:history="1">
        <w:r>
          <w:rPr>
            <w:rStyle w:val="Hyperlink"/>
            <w:sz w:val="16"/>
            <w:szCs w:val="16"/>
          </w:rPr>
          <w:t>MPTF Office GATEWAY</w:t>
        </w:r>
      </w:hyperlink>
    </w:p>
  </w:footnote>
  <w:footnote w:id="2">
    <w:p w:rsidR="006C34B0" w:rsidRDefault="006C34B0">
      <w:pPr>
        <w:pStyle w:val="FootnoteText"/>
        <w:rPr>
          <w:sz w:val="16"/>
          <w:szCs w:val="16"/>
        </w:rPr>
      </w:pPr>
      <w:r>
        <w:rPr>
          <w:rStyle w:val="FootnoteReference"/>
          <w:sz w:val="16"/>
          <w:szCs w:val="16"/>
        </w:rPr>
        <w:footnoteRef/>
      </w:r>
      <w:r>
        <w:rPr>
          <w:sz w:val="16"/>
          <w:szCs w:val="16"/>
        </w:rPr>
        <w:t xml:space="preserve"> The start date is the date of the first transfer of the funds from the MPTF Office as Administrative Agent. Transfer date is available on the </w:t>
      </w:r>
      <w:hyperlink r:id="rId2" w:history="1">
        <w:r>
          <w:rPr>
            <w:rStyle w:val="Hyperlink"/>
            <w:sz w:val="16"/>
            <w:szCs w:val="16"/>
          </w:rPr>
          <w:t>MPTF Office GATEWAY</w:t>
        </w:r>
      </w:hyperlink>
    </w:p>
  </w:footnote>
  <w:footnote w:id="3">
    <w:p w:rsidR="006C34B0" w:rsidRDefault="006C34B0">
      <w:pPr>
        <w:pStyle w:val="FootnoteText"/>
        <w:rPr>
          <w:sz w:val="16"/>
          <w:szCs w:val="16"/>
        </w:rPr>
      </w:pPr>
      <w:r>
        <w:rPr>
          <w:rStyle w:val="FootnoteReference"/>
          <w:sz w:val="16"/>
          <w:szCs w:val="16"/>
        </w:rPr>
        <w:footnoteRef/>
      </w:r>
      <w:r>
        <w:rPr>
          <w:sz w:val="16"/>
          <w:szCs w:val="16"/>
        </w:rPr>
        <w:t xml:space="preserve"> As per approval of the original project document by the relevant decision-making body/Steering Committee.</w:t>
      </w:r>
    </w:p>
  </w:footnote>
  <w:footnote w:id="4">
    <w:p w:rsidR="006C34B0" w:rsidRDefault="006C34B0">
      <w:pPr>
        <w:pStyle w:val="FootnoteText"/>
      </w:pPr>
      <w:r>
        <w:rPr>
          <w:rStyle w:val="FootnoteReference"/>
          <w:sz w:val="16"/>
          <w:szCs w:val="16"/>
        </w:rPr>
        <w:footnoteRef/>
      </w:r>
      <w:r>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w:t>
      </w:r>
    </w:p>
  </w:footnote>
  <w:footnote w:id="5">
    <w:p w:rsidR="006C34B0" w:rsidRDefault="006C34B0">
      <w:pPr>
        <w:autoSpaceDE w:val="0"/>
        <w:autoSpaceDN w:val="0"/>
        <w:adjustRightInd w:val="0"/>
        <w:rPr>
          <w:rFonts w:ascii="Arial Narrow" w:hAnsi="Arial Narrow"/>
          <w:sz w:val="22"/>
          <w:szCs w:val="22"/>
        </w:rPr>
      </w:pPr>
      <w:r>
        <w:rPr>
          <w:rStyle w:val="FootnoteReference"/>
        </w:rPr>
        <w:footnoteRef/>
      </w:r>
      <w:r>
        <w:t xml:space="preserve"> </w:t>
      </w:r>
      <w:r>
        <w:rPr>
          <w:rFonts w:ascii="Arial Narrow" w:hAnsi="Arial Narrow"/>
          <w:sz w:val="20"/>
          <w:szCs w:val="20"/>
        </w:rPr>
        <w:t>Please note that financial information is preliminary pending submission of annual financial report to the Administrative Agent.</w:t>
      </w:r>
      <w:r>
        <w:rPr>
          <w:rFonts w:ascii="Arial Narrow" w:hAnsi="Arial Narrow"/>
          <w:sz w:val="22"/>
          <w:szCs w:val="22"/>
        </w:rPr>
        <w:t xml:space="preserve"> </w:t>
      </w:r>
    </w:p>
    <w:p w:rsidR="006C34B0" w:rsidRDefault="006C34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2C8B"/>
    <w:multiLevelType w:val="multilevel"/>
    <w:tmpl w:val="090A1372"/>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17AF3BF0"/>
    <w:multiLevelType w:val="multilevel"/>
    <w:tmpl w:val="5570FF3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29BE0B47"/>
    <w:multiLevelType w:val="multilevel"/>
    <w:tmpl w:val="1C38E9E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62"/>
    <w:rsid w:val="000004D9"/>
    <w:rsid w:val="00015088"/>
    <w:rsid w:val="000670FD"/>
    <w:rsid w:val="000676C5"/>
    <w:rsid w:val="0007615D"/>
    <w:rsid w:val="00080E92"/>
    <w:rsid w:val="00084320"/>
    <w:rsid w:val="00084DAE"/>
    <w:rsid w:val="000C1B5F"/>
    <w:rsid w:val="001270BB"/>
    <w:rsid w:val="00135F5A"/>
    <w:rsid w:val="00192272"/>
    <w:rsid w:val="0019348B"/>
    <w:rsid w:val="001A4602"/>
    <w:rsid w:val="001B54BB"/>
    <w:rsid w:val="001C1662"/>
    <w:rsid w:val="001D3B16"/>
    <w:rsid w:val="001E77E9"/>
    <w:rsid w:val="002043A9"/>
    <w:rsid w:val="00220221"/>
    <w:rsid w:val="00245840"/>
    <w:rsid w:val="002A0E80"/>
    <w:rsid w:val="002D405A"/>
    <w:rsid w:val="002E5339"/>
    <w:rsid w:val="002E658E"/>
    <w:rsid w:val="00312165"/>
    <w:rsid w:val="00345AF5"/>
    <w:rsid w:val="00366186"/>
    <w:rsid w:val="003668F6"/>
    <w:rsid w:val="003A49A3"/>
    <w:rsid w:val="00405B1B"/>
    <w:rsid w:val="00411F69"/>
    <w:rsid w:val="00415764"/>
    <w:rsid w:val="00422627"/>
    <w:rsid w:val="004D03FC"/>
    <w:rsid w:val="00501EAF"/>
    <w:rsid w:val="00525A8F"/>
    <w:rsid w:val="00525B76"/>
    <w:rsid w:val="00526F6F"/>
    <w:rsid w:val="00531EA3"/>
    <w:rsid w:val="0053238C"/>
    <w:rsid w:val="00554F68"/>
    <w:rsid w:val="00562A21"/>
    <w:rsid w:val="00565F0B"/>
    <w:rsid w:val="005712D3"/>
    <w:rsid w:val="00593C7F"/>
    <w:rsid w:val="00597A63"/>
    <w:rsid w:val="005B7B46"/>
    <w:rsid w:val="005C4F46"/>
    <w:rsid w:val="005F084D"/>
    <w:rsid w:val="005F6A59"/>
    <w:rsid w:val="00600CEF"/>
    <w:rsid w:val="006305E0"/>
    <w:rsid w:val="00631CC6"/>
    <w:rsid w:val="006402DD"/>
    <w:rsid w:val="006529C9"/>
    <w:rsid w:val="00660314"/>
    <w:rsid w:val="00671925"/>
    <w:rsid w:val="006C34B0"/>
    <w:rsid w:val="006D525A"/>
    <w:rsid w:val="006E6EB3"/>
    <w:rsid w:val="00703588"/>
    <w:rsid w:val="007157F3"/>
    <w:rsid w:val="00716E24"/>
    <w:rsid w:val="00727A18"/>
    <w:rsid w:val="0077332E"/>
    <w:rsid w:val="007753D5"/>
    <w:rsid w:val="007826B6"/>
    <w:rsid w:val="00791532"/>
    <w:rsid w:val="007A4C3B"/>
    <w:rsid w:val="007B7E24"/>
    <w:rsid w:val="007C0F99"/>
    <w:rsid w:val="007C1A06"/>
    <w:rsid w:val="007C562A"/>
    <w:rsid w:val="007C7978"/>
    <w:rsid w:val="007E210F"/>
    <w:rsid w:val="007F7272"/>
    <w:rsid w:val="00807305"/>
    <w:rsid w:val="00835C4E"/>
    <w:rsid w:val="008C55C1"/>
    <w:rsid w:val="008E406E"/>
    <w:rsid w:val="00906EBE"/>
    <w:rsid w:val="009222C2"/>
    <w:rsid w:val="00965EE4"/>
    <w:rsid w:val="00966AF3"/>
    <w:rsid w:val="00967818"/>
    <w:rsid w:val="00967934"/>
    <w:rsid w:val="0099221F"/>
    <w:rsid w:val="00A24000"/>
    <w:rsid w:val="00A35AF6"/>
    <w:rsid w:val="00A70D46"/>
    <w:rsid w:val="00AF61E7"/>
    <w:rsid w:val="00B37AFE"/>
    <w:rsid w:val="00B621AF"/>
    <w:rsid w:val="00B74425"/>
    <w:rsid w:val="00B9494A"/>
    <w:rsid w:val="00B97B32"/>
    <w:rsid w:val="00BD2422"/>
    <w:rsid w:val="00BF1A85"/>
    <w:rsid w:val="00C6569B"/>
    <w:rsid w:val="00C70D2F"/>
    <w:rsid w:val="00C9174A"/>
    <w:rsid w:val="00C9755A"/>
    <w:rsid w:val="00CE065E"/>
    <w:rsid w:val="00CE366E"/>
    <w:rsid w:val="00CF67AB"/>
    <w:rsid w:val="00D63A13"/>
    <w:rsid w:val="00DB33CF"/>
    <w:rsid w:val="00DD7566"/>
    <w:rsid w:val="00E351AB"/>
    <w:rsid w:val="00E500D9"/>
    <w:rsid w:val="00E509BE"/>
    <w:rsid w:val="00E76452"/>
    <w:rsid w:val="00EA6F0C"/>
    <w:rsid w:val="00EE5A0C"/>
    <w:rsid w:val="00F51F45"/>
    <w:rsid w:val="00F72D88"/>
    <w:rsid w:val="00F8207C"/>
    <w:rsid w:val="00F83075"/>
    <w:rsid w:val="00FC6ED8"/>
    <w:rsid w:val="00FC7873"/>
    <w:rsid w:val="00FE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EAA29A-1EEC-42AC-B0A3-A0B2F1A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FootnoteTextChar">
    <w:name w:val="Footnote Text Char"/>
    <w:aliases w:val="ft Char,ADB Char,single space Char,Footnote Text Char Char Char Char1,Footnote Text Char Char Char Char Char"/>
    <w:link w:val="FootnoteText"/>
    <w:uiPriority w:val="99"/>
    <w:locked/>
    <w:rPr>
      <w:rFonts w:ascii="Times New Roman" w:eastAsia="Times New Roman" w:hAnsi="Times New Roman" w:cs="Times New Roman" w:hint="default"/>
      <w:sz w:val="20"/>
      <w:szCs w:val="20"/>
      <w:lang w:val="en-GB" w:eastAsia="en-GB"/>
    </w:rPr>
  </w:style>
  <w:style w:type="paragraph" w:styleId="FootnoteText">
    <w:name w:val="footnote text"/>
    <w:aliases w:val="ft,ADB,single space,Footnote Text Char Char Char,Footnote Text Char Char Char Char"/>
    <w:basedOn w:val="Normal"/>
    <w:link w:val="FootnoteTextChar"/>
    <w:uiPriority w:val="99"/>
    <w:unhideWhenUsed/>
    <w:rPr>
      <w:sz w:val="20"/>
      <w:szCs w:val="20"/>
    </w:rPr>
  </w:style>
  <w:style w:type="character" w:customStyle="1" w:styleId="1">
    <w:name w:val="Текст сноски Знак1"/>
    <w:aliases w:val="ft Знак1,ADB Знак1,single space Знак1,Footnote Text Char Char Char Знак1,Footnote Text Char Char Char Char Знак1"/>
    <w:basedOn w:val="DefaultParagraphFont"/>
    <w:semiHidden/>
    <w:rPr>
      <w:rFonts w:ascii="Times New Roman" w:eastAsia="Times New Roman" w:hAnsi="Times New Roman" w:cs="Times New Roman" w:hint="default"/>
      <w:lang w:val="en-GB"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imes New Roman" w:hAnsi="Times New Roman" w:cs="Times New Roman" w:hint="default"/>
      <w:lang w:val="en-GB" w:eastAsia="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rFonts w:ascii="Times New Roman" w:eastAsia="Times New Roman" w:hAnsi="Times New Roman" w:cs="Times New Roman" w:hint="default"/>
      <w:sz w:val="24"/>
      <w:szCs w:val="24"/>
      <w:lang w:val="en-GB" w:eastAsia="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rFonts w:ascii="Times New Roman" w:eastAsia="Times New Roman" w:hAnsi="Times New Roman" w:cs="Times New Roman" w:hint="default"/>
      <w:sz w:val="24"/>
      <w:szCs w:val="24"/>
      <w:lang w:val="en-GB" w:eastAsia="en-GB"/>
    </w:rPr>
  </w:style>
  <w:style w:type="paragraph" w:styleId="BodyText">
    <w:name w:val="Body Text"/>
    <w:basedOn w:val="Normal"/>
    <w:link w:val="BodyTextChar"/>
    <w:uiPriority w:val="99"/>
    <w:unhideWhenUsed/>
    <w:rPr>
      <w:rFonts w:ascii="Arial" w:hAnsi="Arial" w:cs="Arial"/>
      <w:sz w:val="20"/>
      <w:szCs w:val="20"/>
      <w:lang w:val="en-US" w:eastAsia="en-US"/>
    </w:rPr>
  </w:style>
  <w:style w:type="character" w:customStyle="1" w:styleId="BodyTextChar">
    <w:name w:val="Body Text Char"/>
    <w:basedOn w:val="DefaultParagraphFont"/>
    <w:link w:val="BodyText"/>
    <w:uiPriority w:val="99"/>
    <w:locked/>
    <w:rPr>
      <w:rFonts w:ascii="Times New Roman" w:eastAsia="Times New Roman" w:hAnsi="Times New Roman" w:cs="Times New Roman" w:hint="default"/>
      <w:sz w:val="24"/>
      <w:szCs w:val="24"/>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lang w:val="en-GB"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eastAsia="Times New Roman" w:hAnsi="Tahoma" w:cs="Tahoma" w:hint="default"/>
      <w:sz w:val="16"/>
      <w:szCs w:val="16"/>
      <w:lang w:val="en-GB" w:eastAsia="en-GB"/>
    </w:rPr>
  </w:style>
  <w:style w:type="paragraph" w:styleId="Revision">
    <w:name w:val="Revision"/>
    <w:uiPriority w:val="99"/>
    <w:semiHidden/>
    <w:rPr>
      <w:rFonts w:ascii="Times New Roman" w:eastAsia="Times New Roman" w:hAnsi="Times New Roman"/>
      <w:sz w:val="24"/>
      <w:szCs w:val="24"/>
      <w:lang w:val="en-GB" w:eastAsia="en-GB"/>
    </w:rPr>
  </w:style>
  <w:style w:type="paragraph" w:styleId="ListParagraph">
    <w:name w:val="List Paragraph"/>
    <w:basedOn w:val="Normal"/>
    <w:uiPriority w:val="34"/>
    <w:qFormat/>
    <w:pPr>
      <w:ind w:left="720"/>
      <w:contextualSpacing/>
    </w:pPr>
  </w:style>
  <w:style w:type="paragraph" w:customStyle="1" w:styleId="H1">
    <w:name w:val="H1"/>
    <w:pPr>
      <w:snapToGrid w:val="0"/>
      <w:spacing w:before="60" w:after="60"/>
    </w:pPr>
    <w:rPr>
      <w:rFonts w:ascii="Times New Roman" w:eastAsia="Times New Roman" w:hAnsi="Times New Roman" w:cs="Arial"/>
      <w:b/>
      <w:bCs/>
      <w:kern w:val="32"/>
      <w:sz w:val="24"/>
      <w:szCs w:val="32"/>
      <w:lang w:val="en-GB" w:eastAsia="en-US"/>
    </w:rPr>
  </w:style>
  <w:style w:type="paragraph" w:customStyle="1" w:styleId="H2">
    <w:name w:val="H2"/>
    <w:pPr>
      <w:snapToGrid w:val="0"/>
    </w:pPr>
    <w:rPr>
      <w:rFonts w:ascii="Times New Roman" w:eastAsia="Times New Roman" w:hAnsi="Times New Roman" w:cs="Arial"/>
      <w:b/>
      <w:bCs/>
      <w:iCs/>
      <w:sz w:val="22"/>
      <w:szCs w:val="28"/>
      <w:lang w:val="en-GB" w:eastAsia="en-US"/>
    </w:rPr>
  </w:style>
  <w:style w:type="character" w:styleId="FootnoteReference">
    <w:name w:val="footnote reference"/>
    <w:aliases w:val="BVI fnr,BVI fnr Car Car,BVI fnr Car,BVI fnr Car Car Car Car,Footnote text,ftref,16 Point,Superscript 6 Point"/>
    <w:uiPriority w:val="99"/>
    <w:unhideWhenUsed/>
    <w:rPr>
      <w:vertAlign w:val="superscript"/>
    </w:rPr>
  </w:style>
  <w:style w:type="character" w:styleId="CommentReference">
    <w:name w:val="annotation reference"/>
    <w:uiPriority w:val="99"/>
    <w:semiHidden/>
    <w:unhideWhenUsed/>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8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0B0F-07B1-4FA3-9E47-9D0F1D01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4753</Words>
  <Characters>27096</Characters>
  <Application>Microsoft Office Word</Application>
  <DocSecurity>0</DocSecurity>
  <Lines>225</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Mirlan Mamyrov</cp:lastModifiedBy>
  <cp:revision>2</cp:revision>
  <cp:lastPrinted>2014-02-10T06:12:00Z</cp:lastPrinted>
  <dcterms:created xsi:type="dcterms:W3CDTF">2014-11-18T11:30:00Z</dcterms:created>
  <dcterms:modified xsi:type="dcterms:W3CDTF">2014-11-18T11:30:00Z</dcterms:modified>
</cp:coreProperties>
</file>