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C93AB" w14:textId="77777777" w:rsidR="00CF6D08" w:rsidRPr="00EE50E9" w:rsidRDefault="00CF6D08">
      <w:pPr>
        <w:rPr>
          <w:b/>
        </w:rPr>
      </w:pPr>
      <w:bookmarkStart w:id="0" w:name="_GoBack"/>
      <w:bookmarkEnd w:id="0"/>
      <w:r w:rsidRPr="00EE50E9">
        <w:tab/>
      </w:r>
      <w:r w:rsidRPr="00EE50E9">
        <w:tab/>
      </w:r>
      <w:r w:rsidRPr="00EE50E9">
        <w:tab/>
      </w:r>
      <w:r w:rsidRPr="00EE50E9">
        <w:tab/>
      </w:r>
      <w:r w:rsidRPr="00EE50E9">
        <w:tab/>
      </w:r>
      <w:r w:rsidRPr="00EE50E9">
        <w:tab/>
      </w:r>
      <w:r w:rsidRPr="00EE50E9">
        <w:tab/>
      </w:r>
      <w:r w:rsidRPr="00EE50E9">
        <w:tab/>
      </w:r>
      <w:r w:rsidRPr="00EE50E9">
        <w:tab/>
      </w:r>
    </w:p>
    <w:p w14:paraId="5939C409" w14:textId="44E881EF" w:rsidR="00052BFC" w:rsidRDefault="00052BFC" w:rsidP="003B27F3">
      <w:pPr>
        <w:numPr>
          <w:ilvl w:val="12"/>
          <w:numId w:val="0"/>
        </w:numPr>
        <w:tabs>
          <w:tab w:val="left" w:pos="0"/>
        </w:tabs>
        <w:suppressAutoHyphens/>
        <w:rPr>
          <w:b/>
          <w:bCs/>
          <w:spacing w:val="-3"/>
        </w:rPr>
      </w:pPr>
      <w:r>
        <w:rPr>
          <w:noProof/>
          <w:lang w:val="en-US" w:eastAsia="en-US"/>
        </w:rPr>
        <w:drawing>
          <wp:inline distT="0" distB="0" distL="0" distR="0" wp14:anchorId="38A922FC" wp14:editId="4BAFFFDA">
            <wp:extent cx="1625600" cy="1052195"/>
            <wp:effectExtent l="0" t="0" r="0" b="0"/>
            <wp:docPr id="3" name="Image 3" descr="F:\LOGOS PBF\Logo PBF rectangle sans nom.jpg"/>
            <wp:cNvGraphicFramePr/>
            <a:graphic xmlns:a="http://schemas.openxmlformats.org/drawingml/2006/main">
              <a:graphicData uri="http://schemas.openxmlformats.org/drawingml/2006/picture">
                <pic:pic xmlns:pic="http://schemas.openxmlformats.org/drawingml/2006/picture">
                  <pic:nvPicPr>
                    <pic:cNvPr id="3" name="Image 3" descr="F:\LOGOS PBF\Logo PBF rectangle sans nom.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052195"/>
                    </a:xfrm>
                    <a:prstGeom prst="rect">
                      <a:avLst/>
                    </a:prstGeom>
                    <a:noFill/>
                    <a:ln>
                      <a:noFill/>
                    </a:ln>
                  </pic:spPr>
                </pic:pic>
              </a:graphicData>
            </a:graphic>
          </wp:inline>
        </w:drawing>
      </w:r>
      <w:r w:rsidR="003B27F3">
        <w:rPr>
          <w:b/>
          <w:bCs/>
          <w:spacing w:val="-3"/>
        </w:rPr>
        <w:t xml:space="preserve">                         </w:t>
      </w:r>
      <w:r w:rsidR="001C10F4">
        <w:rPr>
          <w:b/>
          <w:bCs/>
          <w:spacing w:val="-3"/>
        </w:rPr>
        <w:t xml:space="preserve">                            </w:t>
      </w:r>
      <w:r w:rsidR="001C10F4">
        <w:rPr>
          <w:b/>
          <w:bCs/>
          <w:noProof/>
          <w:lang w:val="en-US" w:eastAsia="en-US"/>
        </w:rPr>
        <w:drawing>
          <wp:inline distT="0" distB="0" distL="0" distR="0" wp14:anchorId="26CD8019" wp14:editId="34B8037E">
            <wp:extent cx="1936166" cy="543600"/>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6166" cy="543600"/>
                    </a:xfrm>
                    <a:prstGeom prst="rect">
                      <a:avLst/>
                    </a:prstGeom>
                    <a:noFill/>
                    <a:ln>
                      <a:noFill/>
                    </a:ln>
                  </pic:spPr>
                </pic:pic>
              </a:graphicData>
            </a:graphic>
          </wp:inline>
        </w:drawing>
      </w:r>
    </w:p>
    <w:p w14:paraId="182280F6" w14:textId="77777777" w:rsidR="00CF6D08" w:rsidRPr="00EE50E9" w:rsidRDefault="003B27F3" w:rsidP="003B27F3">
      <w:pPr>
        <w:numPr>
          <w:ilvl w:val="12"/>
          <w:numId w:val="0"/>
        </w:numPr>
        <w:tabs>
          <w:tab w:val="left" w:pos="0"/>
        </w:tabs>
        <w:suppressAutoHyphens/>
        <w:rPr>
          <w:b/>
          <w:bCs/>
          <w:spacing w:val="-3"/>
        </w:rPr>
      </w:pPr>
      <w:r>
        <w:rPr>
          <w:b/>
          <w:bCs/>
          <w:spacing w:val="-3"/>
        </w:rPr>
        <w:t xml:space="preserve">                                                                         </w:t>
      </w:r>
      <w:r w:rsidR="00485362">
        <w:rPr>
          <w:b/>
          <w:bCs/>
          <w:spacing w:val="-3"/>
        </w:rPr>
        <w:t xml:space="preserve"> </w:t>
      </w:r>
    </w:p>
    <w:p w14:paraId="7EBA2239" w14:textId="77777777" w:rsidR="00CF6D08" w:rsidRPr="00EE50E9" w:rsidRDefault="00CF6D08" w:rsidP="00913BF5">
      <w:pPr>
        <w:jc w:val="center"/>
        <w:rPr>
          <w:b/>
          <w:sz w:val="22"/>
          <w:szCs w:val="22"/>
        </w:rPr>
      </w:pPr>
      <w:r w:rsidRPr="00EE50E9">
        <w:rPr>
          <w:b/>
          <w:bCs/>
          <w:sz w:val="28"/>
          <w:szCs w:val="28"/>
        </w:rPr>
        <w:t>FONDS POUR LA CONSOLIDATION DE LA PAIX (PBF)</w:t>
      </w:r>
    </w:p>
    <w:p w14:paraId="45BFE223" w14:textId="77777777" w:rsidR="00CF6D08" w:rsidRPr="00EE50E9" w:rsidRDefault="004E1040" w:rsidP="00913BF5">
      <w:pPr>
        <w:jc w:val="center"/>
        <w:rPr>
          <w:b/>
          <w:sz w:val="22"/>
          <w:szCs w:val="22"/>
        </w:rPr>
      </w:pPr>
      <w:r>
        <w:rPr>
          <w:b/>
          <w:sz w:val="22"/>
          <w:szCs w:val="22"/>
        </w:rPr>
        <w:t>GUINEE</w:t>
      </w:r>
    </w:p>
    <w:p w14:paraId="6D533540" w14:textId="77777777" w:rsidR="00CF6D08" w:rsidRPr="00EE50E9" w:rsidRDefault="00CF6D08" w:rsidP="00913BF5">
      <w:pPr>
        <w:jc w:val="center"/>
        <w:rPr>
          <w:b/>
          <w:sz w:val="22"/>
          <w:szCs w:val="22"/>
        </w:rPr>
      </w:pPr>
    </w:p>
    <w:p w14:paraId="2C2EBE9B" w14:textId="77777777" w:rsidR="00CF6D08" w:rsidRDefault="00CF6D08" w:rsidP="00913BF5">
      <w:pPr>
        <w:jc w:val="center"/>
        <w:rPr>
          <w:b/>
          <w:sz w:val="22"/>
          <w:szCs w:val="22"/>
        </w:rPr>
      </w:pPr>
      <w:r w:rsidRPr="00EE50E9">
        <w:rPr>
          <w:b/>
          <w:sz w:val="22"/>
          <w:szCs w:val="22"/>
        </w:rPr>
        <w:t xml:space="preserve">ACTUALISATION SEMESTRIELLE DES PROGRES DU PROJET </w:t>
      </w:r>
    </w:p>
    <w:p w14:paraId="1852F895" w14:textId="77777777" w:rsidR="004E1040" w:rsidRPr="00EE50E9" w:rsidRDefault="004E1040" w:rsidP="00913BF5">
      <w:pPr>
        <w:jc w:val="center"/>
        <w:rPr>
          <w:b/>
          <w:sz w:val="22"/>
          <w:szCs w:val="22"/>
        </w:rPr>
      </w:pPr>
    </w:p>
    <w:p w14:paraId="42172F6A" w14:textId="77777777" w:rsidR="00CF6D08" w:rsidRPr="00EE50E9" w:rsidRDefault="00CF6D08" w:rsidP="00913BF5">
      <w:pPr>
        <w:jc w:val="center"/>
        <w:rPr>
          <w:b/>
          <w:sz w:val="22"/>
          <w:szCs w:val="22"/>
        </w:rPr>
      </w:pPr>
    </w:p>
    <w:p w14:paraId="0E82D3B2" w14:textId="77777777" w:rsidR="00CF6D08" w:rsidRPr="00EE50E9" w:rsidRDefault="00CF6D08" w:rsidP="00913BF5">
      <w:pPr>
        <w:jc w:val="center"/>
        <w:rPr>
          <w:b/>
          <w:sz w:val="22"/>
          <w:szCs w:val="22"/>
        </w:rPr>
      </w:pPr>
      <w:r w:rsidRPr="00EE50E9">
        <w:rPr>
          <w:b/>
          <w:sz w:val="22"/>
          <w:szCs w:val="22"/>
        </w:rPr>
        <w:t>POUR LA PERIODE</w:t>
      </w:r>
      <w:r w:rsidRPr="00EE50E9">
        <w:rPr>
          <w:b/>
          <w:sz w:val="22"/>
          <w:szCs w:val="22"/>
          <w:u w:val="single"/>
        </w:rPr>
        <w:t xml:space="preserve"> JANVIER- JUIN 20</w:t>
      </w:r>
      <w:r w:rsidR="004E1040">
        <w:rPr>
          <w:b/>
          <w:sz w:val="22"/>
          <w:szCs w:val="22"/>
          <w:u w:val="single"/>
        </w:rPr>
        <w:t>14</w:t>
      </w:r>
    </w:p>
    <w:p w14:paraId="4C001381" w14:textId="77777777" w:rsidR="00CF6D08" w:rsidRPr="00EE50E9" w:rsidRDefault="00CF6D08" w:rsidP="00913BF5">
      <w:pPr>
        <w:jc w:val="center"/>
        <w:rPr>
          <w:b/>
          <w:sz w:val="22"/>
          <w:szCs w:val="22"/>
        </w:rPr>
      </w:pPr>
    </w:p>
    <w:tbl>
      <w:tblPr>
        <w:tblW w:w="103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2567"/>
        <w:gridCol w:w="2880"/>
        <w:gridCol w:w="2340"/>
      </w:tblGrid>
      <w:tr w:rsidR="00CF6D08" w:rsidRPr="00052BFC" w14:paraId="57B4D43F" w14:textId="77777777" w:rsidTr="00F06CBB">
        <w:trPr>
          <w:trHeight w:val="620"/>
        </w:trPr>
        <w:tc>
          <w:tcPr>
            <w:tcW w:w="2523" w:type="dxa"/>
            <w:shd w:val="clear" w:color="auto" w:fill="E6E6E6"/>
            <w:vAlign w:val="center"/>
          </w:tcPr>
          <w:p w14:paraId="39F90C69" w14:textId="77777777" w:rsidR="00CF6D08" w:rsidRPr="00EE50E9" w:rsidRDefault="00CF6D08" w:rsidP="00EE50E9">
            <w:pPr>
              <w:rPr>
                <w:b/>
              </w:rPr>
            </w:pPr>
            <w:r w:rsidRPr="00EE50E9">
              <w:rPr>
                <w:b/>
                <w:sz w:val="22"/>
                <w:szCs w:val="22"/>
              </w:rPr>
              <w:t>No &amp; Intitulé du projet</w:t>
            </w:r>
          </w:p>
        </w:tc>
        <w:tc>
          <w:tcPr>
            <w:tcW w:w="7787" w:type="dxa"/>
            <w:gridSpan w:val="3"/>
            <w:shd w:val="clear" w:color="auto" w:fill="FFFFFF"/>
          </w:tcPr>
          <w:p w14:paraId="225DFC1A" w14:textId="77777777" w:rsidR="00E02D2C" w:rsidRDefault="004C7BE4" w:rsidP="00913BF5">
            <w:pPr>
              <w:rPr>
                <w:lang w:val="en-US"/>
              </w:rPr>
            </w:pPr>
            <w:r w:rsidRPr="00DC5429">
              <w:rPr>
                <w:sz w:val="22"/>
                <w:szCs w:val="22"/>
                <w:lang w:val="en-US"/>
              </w:rPr>
              <w:t>PBF/ GIN /IRF-49 </w:t>
            </w:r>
          </w:p>
          <w:p w14:paraId="0A9D30C3" w14:textId="77777777" w:rsidR="00E02D2C" w:rsidRDefault="00E02D2C" w:rsidP="00913BF5">
            <w:pPr>
              <w:rPr>
                <w:color w:val="000000"/>
                <w:lang w:val="en-US"/>
              </w:rPr>
            </w:pPr>
            <w:r>
              <w:rPr>
                <w:lang w:val="en-US"/>
              </w:rPr>
              <w:t xml:space="preserve">ID </w:t>
            </w:r>
            <w:hyperlink r:id="rId10" w:history="1">
              <w:r w:rsidR="004C7BE4" w:rsidRPr="004C7BE4">
                <w:rPr>
                  <w:color w:val="000000"/>
                  <w:lang w:val="en-US"/>
                </w:rPr>
                <w:t>00081961</w:t>
              </w:r>
            </w:hyperlink>
            <w:r w:rsidR="004C7BE4" w:rsidRPr="004C7BE4">
              <w:rPr>
                <w:color w:val="000000"/>
                <w:lang w:val="en-US"/>
              </w:rPr>
              <w:t xml:space="preserve">    </w:t>
            </w:r>
          </w:p>
          <w:p w14:paraId="4B646EF9" w14:textId="77777777" w:rsidR="00CF6D08" w:rsidRPr="004E1040" w:rsidRDefault="00E02D2C" w:rsidP="00913BF5">
            <w:pPr>
              <w:rPr>
                <w:lang w:val="en-US"/>
              </w:rPr>
            </w:pPr>
            <w:r w:rsidRPr="00E02D2C">
              <w:rPr>
                <w:color w:val="000000"/>
              </w:rPr>
              <w:t>Titre du Projet</w:t>
            </w:r>
            <w:r>
              <w:rPr>
                <w:color w:val="000000"/>
                <w:lang w:val="en-US"/>
              </w:rPr>
              <w:t xml:space="preserve">: </w:t>
            </w:r>
            <w:r w:rsidR="004E1040" w:rsidRPr="004E1040">
              <w:rPr>
                <w:lang w:val="en-US"/>
              </w:rPr>
              <w:t>Strategic Advisory Team</w:t>
            </w:r>
          </w:p>
          <w:p w14:paraId="670220E5" w14:textId="77777777" w:rsidR="00CF6D08" w:rsidRPr="00DC5429" w:rsidRDefault="00CF6D08" w:rsidP="00913BF5">
            <w:pPr>
              <w:rPr>
                <w:lang w:val="en-US"/>
              </w:rPr>
            </w:pPr>
          </w:p>
        </w:tc>
      </w:tr>
      <w:tr w:rsidR="00CF6D08" w:rsidRPr="00EE50E9" w14:paraId="1895FBB3" w14:textId="77777777" w:rsidTr="00F06CBB">
        <w:trPr>
          <w:trHeight w:val="436"/>
        </w:trPr>
        <w:tc>
          <w:tcPr>
            <w:tcW w:w="2523" w:type="dxa"/>
            <w:shd w:val="clear" w:color="auto" w:fill="E6E6E6"/>
            <w:vAlign w:val="center"/>
          </w:tcPr>
          <w:p w14:paraId="4F3F53AC" w14:textId="77777777" w:rsidR="00CF6D08" w:rsidRPr="00EE50E9" w:rsidRDefault="00CF6D08" w:rsidP="000F1231">
            <w:r w:rsidRPr="00EE50E9">
              <w:rPr>
                <w:b/>
                <w:sz w:val="22"/>
                <w:szCs w:val="22"/>
              </w:rPr>
              <w:t xml:space="preserve">Organe(s) bénéficiaire(s):  </w:t>
            </w:r>
          </w:p>
        </w:tc>
        <w:tc>
          <w:tcPr>
            <w:tcW w:w="7787" w:type="dxa"/>
            <w:gridSpan w:val="3"/>
            <w:vAlign w:val="center"/>
          </w:tcPr>
          <w:p w14:paraId="4B79BEB5" w14:textId="77777777" w:rsidR="00CF6D08" w:rsidRPr="00EE50E9" w:rsidRDefault="000F1231" w:rsidP="00913BF5">
            <w:bookmarkStart w:id="1" w:name="_Toc249364478"/>
            <w:r w:rsidRPr="000F1231">
              <w:t>Interlocuteurs nationaux (</w:t>
            </w:r>
            <w:bookmarkEnd w:id="1"/>
            <w:r w:rsidRPr="000F1231">
              <w:t>comité national de pilotage de la RSS) et autres organisations internationales (partenaires multi et bilatéraux de la Guinée</w:t>
            </w:r>
          </w:p>
        </w:tc>
      </w:tr>
      <w:tr w:rsidR="00CF6D08" w:rsidRPr="00EE50E9" w14:paraId="1F91AF07" w14:textId="77777777" w:rsidTr="00F06CBB">
        <w:trPr>
          <w:trHeight w:val="375"/>
        </w:trPr>
        <w:tc>
          <w:tcPr>
            <w:tcW w:w="2523" w:type="dxa"/>
            <w:shd w:val="clear" w:color="auto" w:fill="E6E6E6"/>
            <w:vAlign w:val="center"/>
          </w:tcPr>
          <w:p w14:paraId="4CE5C29D" w14:textId="77777777" w:rsidR="00CF6D08" w:rsidRPr="00EE50E9" w:rsidRDefault="00CF6D08" w:rsidP="00913BF5">
            <w:pPr>
              <w:rPr>
                <w:bCs/>
              </w:rPr>
            </w:pPr>
            <w:r w:rsidRPr="00EE50E9">
              <w:rPr>
                <w:b/>
                <w:sz w:val="22"/>
                <w:szCs w:val="22"/>
              </w:rPr>
              <w:t>Partenaires d’exécution (gouvernement, institutions de l’ONU, ONG, etc.)</w:t>
            </w:r>
          </w:p>
        </w:tc>
        <w:tc>
          <w:tcPr>
            <w:tcW w:w="7787" w:type="dxa"/>
            <w:gridSpan w:val="3"/>
            <w:vAlign w:val="center"/>
          </w:tcPr>
          <w:p w14:paraId="2567F0E8" w14:textId="77777777" w:rsidR="00CF6D08" w:rsidRPr="00EE50E9" w:rsidRDefault="000F1231" w:rsidP="00913BF5">
            <w:pPr>
              <w:rPr>
                <w:bCs/>
              </w:rPr>
            </w:pPr>
            <w:r w:rsidRPr="000F1231">
              <w:rPr>
                <w:bCs/>
              </w:rPr>
              <w:t>Programme UNOWA, administrativement géré par le PNUD</w:t>
            </w:r>
          </w:p>
        </w:tc>
      </w:tr>
      <w:tr w:rsidR="00CF6D08" w:rsidRPr="00EE50E9" w14:paraId="5BE5760E" w14:textId="77777777" w:rsidTr="00F06CBB">
        <w:trPr>
          <w:trHeight w:val="375"/>
        </w:trPr>
        <w:tc>
          <w:tcPr>
            <w:tcW w:w="2523" w:type="dxa"/>
            <w:shd w:val="clear" w:color="auto" w:fill="E6E6E6"/>
            <w:vAlign w:val="center"/>
          </w:tcPr>
          <w:p w14:paraId="32F4629B" w14:textId="77777777" w:rsidR="00CF6D08" w:rsidRPr="00EE50E9" w:rsidRDefault="00CF6D08" w:rsidP="00913BF5">
            <w:pPr>
              <w:rPr>
                <w:b/>
              </w:rPr>
            </w:pPr>
            <w:r w:rsidRPr="00EE50E9">
              <w:rPr>
                <w:b/>
                <w:sz w:val="22"/>
                <w:szCs w:val="22"/>
              </w:rPr>
              <w:t>Site:</w:t>
            </w:r>
          </w:p>
        </w:tc>
        <w:tc>
          <w:tcPr>
            <w:tcW w:w="7787" w:type="dxa"/>
            <w:gridSpan w:val="3"/>
            <w:vAlign w:val="center"/>
          </w:tcPr>
          <w:p w14:paraId="64779D96" w14:textId="77777777" w:rsidR="00CF6D08" w:rsidRPr="00EE50E9" w:rsidRDefault="004E1040" w:rsidP="00913BF5">
            <w:r>
              <w:t xml:space="preserve">Conakry, Guinée </w:t>
            </w:r>
          </w:p>
        </w:tc>
      </w:tr>
      <w:tr w:rsidR="00CF6D08" w:rsidRPr="00EE50E9" w14:paraId="7C00D92B" w14:textId="77777777" w:rsidTr="00F06CBB">
        <w:trPr>
          <w:trHeight w:val="375"/>
        </w:trPr>
        <w:tc>
          <w:tcPr>
            <w:tcW w:w="2523" w:type="dxa"/>
            <w:shd w:val="clear" w:color="auto" w:fill="E6E6E6"/>
          </w:tcPr>
          <w:p w14:paraId="0CEEECE0" w14:textId="77777777" w:rsidR="00CF6D08" w:rsidRPr="00EE50E9" w:rsidRDefault="00CF6D08" w:rsidP="000F1231">
            <w:pPr>
              <w:rPr>
                <w:b/>
              </w:rPr>
            </w:pPr>
            <w:r w:rsidRPr="00EE50E9">
              <w:rPr>
                <w:b/>
                <w:sz w:val="22"/>
                <w:szCs w:val="22"/>
              </w:rPr>
              <w:t>Budget total approuvé</w:t>
            </w:r>
          </w:p>
        </w:tc>
        <w:tc>
          <w:tcPr>
            <w:tcW w:w="7787" w:type="dxa"/>
            <w:gridSpan w:val="3"/>
            <w:vAlign w:val="center"/>
          </w:tcPr>
          <w:p w14:paraId="45021588" w14:textId="77777777" w:rsidR="00CF6D08" w:rsidRPr="00EE50E9" w:rsidRDefault="000F1231" w:rsidP="00913BF5">
            <w:r w:rsidRPr="000F1231">
              <w:t>Contribution PBF : USD</w:t>
            </w:r>
            <w:r w:rsidR="00E02D2C">
              <w:t xml:space="preserve"> </w:t>
            </w:r>
            <w:r w:rsidRPr="000F1231">
              <w:t>1.617.033</w:t>
            </w:r>
          </w:p>
        </w:tc>
      </w:tr>
      <w:tr w:rsidR="00CF6D08" w:rsidRPr="00EE50E9" w14:paraId="435D40A2" w14:textId="77777777" w:rsidTr="00F06CBB">
        <w:trPr>
          <w:trHeight w:val="375"/>
        </w:trPr>
        <w:tc>
          <w:tcPr>
            <w:tcW w:w="2523" w:type="dxa"/>
            <w:shd w:val="clear" w:color="auto" w:fill="E6E6E6"/>
          </w:tcPr>
          <w:p w14:paraId="479853DC" w14:textId="77777777" w:rsidR="00CF6D08" w:rsidRPr="00EE50E9" w:rsidRDefault="00CF6D08" w:rsidP="000F1231">
            <w:pPr>
              <w:rPr>
                <w:b/>
              </w:rPr>
            </w:pPr>
            <w:r w:rsidRPr="00EE50E9">
              <w:rPr>
                <w:b/>
                <w:sz w:val="22"/>
                <w:szCs w:val="22"/>
              </w:rPr>
              <w:t>Fonds engagés</w:t>
            </w:r>
          </w:p>
        </w:tc>
        <w:tc>
          <w:tcPr>
            <w:tcW w:w="2567" w:type="dxa"/>
            <w:vAlign w:val="center"/>
          </w:tcPr>
          <w:p w14:paraId="39D607E6" w14:textId="77777777" w:rsidR="00DF0FC6" w:rsidRDefault="00CF6D08" w:rsidP="00DF0FC6">
            <w:pPr>
              <w:rPr>
                <w:sz w:val="22"/>
                <w:szCs w:val="22"/>
                <w:lang w:eastAsia="ja-JP"/>
              </w:rPr>
            </w:pPr>
            <w:r w:rsidRPr="00EE50E9">
              <w:rPr>
                <w:sz w:val="22"/>
                <w:szCs w:val="22"/>
                <w:lang w:eastAsia="ja-JP"/>
              </w:rPr>
              <w:t xml:space="preserve"> </w:t>
            </w:r>
            <w:r w:rsidR="00DF0FC6">
              <w:rPr>
                <w:sz w:val="22"/>
                <w:szCs w:val="22"/>
                <w:lang w:eastAsia="ja-JP"/>
              </w:rPr>
              <w:t xml:space="preserve">Budget 2014 : </w:t>
            </w:r>
          </w:p>
          <w:p w14:paraId="62F9C863" w14:textId="77777777" w:rsidR="00DF0FC6" w:rsidRPr="00DF0FC6" w:rsidRDefault="00C0688C" w:rsidP="00DF0FC6">
            <w:pPr>
              <w:rPr>
                <w:sz w:val="22"/>
                <w:szCs w:val="22"/>
                <w:lang w:eastAsia="ja-JP"/>
              </w:rPr>
            </w:pPr>
            <w:r>
              <w:rPr>
                <w:sz w:val="22"/>
                <w:szCs w:val="22"/>
                <w:lang w:eastAsia="ja-JP"/>
              </w:rPr>
              <w:t>7</w:t>
            </w:r>
            <w:r w:rsidR="00DF0FC6">
              <w:rPr>
                <w:sz w:val="22"/>
                <w:szCs w:val="22"/>
                <w:lang w:eastAsia="ja-JP"/>
              </w:rPr>
              <w:t xml:space="preserve">08, 332 </w:t>
            </w:r>
          </w:p>
          <w:p w14:paraId="238962E5" w14:textId="77777777" w:rsidR="00CF6D08" w:rsidRPr="00EE50E9" w:rsidRDefault="00CF6D08" w:rsidP="00913BF5"/>
        </w:tc>
        <w:tc>
          <w:tcPr>
            <w:tcW w:w="2880" w:type="dxa"/>
            <w:shd w:val="pct15" w:color="auto" w:fill="auto"/>
            <w:vAlign w:val="center"/>
          </w:tcPr>
          <w:p w14:paraId="68A3B85E" w14:textId="77777777" w:rsidR="00CF6D08" w:rsidRPr="00EE50E9" w:rsidRDefault="00CF6D08" w:rsidP="00913BF5">
            <w:pPr>
              <w:rPr>
                <w:b/>
              </w:rPr>
            </w:pPr>
            <w:r w:rsidRPr="00EE50E9">
              <w:rPr>
                <w:b/>
                <w:sz w:val="22"/>
                <w:szCs w:val="22"/>
              </w:rPr>
              <w:t>% de fonds engagés / budget total approuvé:</w:t>
            </w:r>
          </w:p>
        </w:tc>
        <w:tc>
          <w:tcPr>
            <w:tcW w:w="2340" w:type="dxa"/>
            <w:vAlign w:val="center"/>
          </w:tcPr>
          <w:p w14:paraId="6BE4CB6F" w14:textId="77777777" w:rsidR="00CF6D08" w:rsidRPr="00EE50E9" w:rsidRDefault="00E02D2C" w:rsidP="00913BF5">
            <w:r>
              <w:t>6</w:t>
            </w:r>
            <w:r w:rsidR="00445D63">
              <w:t>0,04</w:t>
            </w:r>
          </w:p>
        </w:tc>
      </w:tr>
      <w:tr w:rsidR="00CF6D08" w:rsidRPr="00EE50E9" w14:paraId="14635AB6" w14:textId="77777777" w:rsidTr="00F06CBB">
        <w:trPr>
          <w:trHeight w:val="375"/>
        </w:trPr>
        <w:tc>
          <w:tcPr>
            <w:tcW w:w="2523" w:type="dxa"/>
            <w:shd w:val="clear" w:color="auto" w:fill="E6E6E6"/>
          </w:tcPr>
          <w:p w14:paraId="6B85627D" w14:textId="77777777" w:rsidR="00CF6D08" w:rsidRPr="00EE50E9" w:rsidRDefault="00F06CBB" w:rsidP="000F1231">
            <w:pPr>
              <w:rPr>
                <w:b/>
              </w:rPr>
            </w:pPr>
            <w:r w:rsidRPr="00EE50E9">
              <w:rPr>
                <w:b/>
                <w:sz w:val="22"/>
                <w:szCs w:val="22"/>
              </w:rPr>
              <w:t>Dépense</w:t>
            </w:r>
            <w:r w:rsidR="00CF6D08" w:rsidRPr="00EE50E9">
              <w:rPr>
                <w:b/>
                <w:sz w:val="22"/>
                <w:szCs w:val="22"/>
              </w:rPr>
              <w:t>:</w:t>
            </w:r>
          </w:p>
        </w:tc>
        <w:tc>
          <w:tcPr>
            <w:tcW w:w="2567" w:type="dxa"/>
            <w:vAlign w:val="center"/>
          </w:tcPr>
          <w:p w14:paraId="772034DE" w14:textId="77777777" w:rsidR="00CF6D08" w:rsidRPr="00EE50E9" w:rsidRDefault="00302F0F" w:rsidP="00913BF5">
            <w:pPr>
              <w:rPr>
                <w:lang w:eastAsia="ja-JP"/>
              </w:rPr>
            </w:pPr>
            <w:r>
              <w:rPr>
                <w:b/>
                <w:bCs/>
                <w:lang w:eastAsia="ja-JP"/>
              </w:rPr>
              <w:t xml:space="preserve">USD </w:t>
            </w:r>
            <w:r w:rsidRPr="00302F0F">
              <w:rPr>
                <w:b/>
                <w:bCs/>
                <w:lang w:eastAsia="ja-JP"/>
              </w:rPr>
              <w:t>150,588.02</w:t>
            </w:r>
            <w:r w:rsidR="00DF0FC6">
              <w:rPr>
                <w:b/>
                <w:bCs/>
                <w:lang w:eastAsia="ja-JP"/>
              </w:rPr>
              <w:t xml:space="preserve"> (à la date du 24 juin 2014)</w:t>
            </w:r>
          </w:p>
        </w:tc>
        <w:tc>
          <w:tcPr>
            <w:tcW w:w="2880" w:type="dxa"/>
            <w:shd w:val="pct15" w:color="auto" w:fill="auto"/>
            <w:vAlign w:val="center"/>
          </w:tcPr>
          <w:p w14:paraId="29991260" w14:textId="77777777" w:rsidR="00CF6D08" w:rsidRPr="00EE50E9" w:rsidRDefault="00CF6D08" w:rsidP="00913BF5">
            <w:r w:rsidRPr="00EE50E9">
              <w:rPr>
                <w:b/>
                <w:sz w:val="22"/>
                <w:szCs w:val="22"/>
              </w:rPr>
              <w:t>% de dépenses / budget total: (taux d’exécution)</w:t>
            </w:r>
          </w:p>
        </w:tc>
        <w:tc>
          <w:tcPr>
            <w:tcW w:w="2340" w:type="dxa"/>
            <w:vAlign w:val="center"/>
          </w:tcPr>
          <w:p w14:paraId="7062ABBD" w14:textId="77777777" w:rsidR="00CF6D08" w:rsidRPr="00EE50E9" w:rsidRDefault="00C0688C" w:rsidP="009D4F4B">
            <w:pPr>
              <w:rPr>
                <w:lang w:eastAsia="ja-JP"/>
              </w:rPr>
            </w:pPr>
            <w:r>
              <w:rPr>
                <w:lang w:eastAsia="ja-JP"/>
              </w:rPr>
              <w:t>2</w:t>
            </w:r>
            <w:r w:rsidR="009D4F4B">
              <w:rPr>
                <w:lang w:eastAsia="ja-JP"/>
              </w:rPr>
              <w:t>1, 25</w:t>
            </w:r>
            <w:r>
              <w:rPr>
                <w:lang w:eastAsia="ja-JP"/>
              </w:rPr>
              <w:t>%</w:t>
            </w:r>
          </w:p>
        </w:tc>
      </w:tr>
      <w:tr w:rsidR="00CF6D08" w:rsidRPr="00EE50E9" w14:paraId="28E4B6CE" w14:textId="77777777" w:rsidTr="00F06CBB">
        <w:trPr>
          <w:trHeight w:val="420"/>
        </w:trPr>
        <w:tc>
          <w:tcPr>
            <w:tcW w:w="2523" w:type="dxa"/>
            <w:shd w:val="clear" w:color="auto" w:fill="E6E6E6"/>
            <w:vAlign w:val="center"/>
          </w:tcPr>
          <w:p w14:paraId="429BC512" w14:textId="77777777" w:rsidR="00CF6D08" w:rsidRPr="00EE50E9" w:rsidRDefault="00CF6D08" w:rsidP="00913BF5">
            <w:pPr>
              <w:rPr>
                <w:b/>
              </w:rPr>
            </w:pPr>
            <w:r w:rsidRPr="00EE50E9">
              <w:rPr>
                <w:b/>
                <w:sz w:val="22"/>
                <w:szCs w:val="22"/>
              </w:rPr>
              <w:t>Date d’approbation du projet:</w:t>
            </w:r>
          </w:p>
          <w:p w14:paraId="6CE40BEB" w14:textId="77777777" w:rsidR="00CF6D08" w:rsidRPr="00EE50E9" w:rsidRDefault="00CF6D08" w:rsidP="00913BF5">
            <w:pPr>
              <w:rPr>
                <w:b/>
              </w:rPr>
            </w:pPr>
          </w:p>
        </w:tc>
        <w:tc>
          <w:tcPr>
            <w:tcW w:w="2567" w:type="dxa"/>
            <w:vAlign w:val="center"/>
          </w:tcPr>
          <w:p w14:paraId="03AA220C" w14:textId="77777777" w:rsidR="00CF6D08" w:rsidRPr="00DC5429" w:rsidRDefault="00DC5429" w:rsidP="00913BF5">
            <w:pPr>
              <w:jc w:val="center"/>
              <w:rPr>
                <w:b/>
              </w:rPr>
            </w:pPr>
            <w:r w:rsidRPr="00DC5429">
              <w:rPr>
                <w:rFonts w:eastAsia="Calibri"/>
                <w:b/>
                <w:lang w:val="en-US" w:eastAsia="en-US"/>
              </w:rPr>
              <w:t>9-Mar-12</w:t>
            </w:r>
          </w:p>
        </w:tc>
        <w:tc>
          <w:tcPr>
            <w:tcW w:w="2880" w:type="dxa"/>
            <w:vMerge w:val="restart"/>
            <w:shd w:val="pct15" w:color="auto" w:fill="auto"/>
            <w:vAlign w:val="center"/>
          </w:tcPr>
          <w:p w14:paraId="30E8DA96" w14:textId="77777777" w:rsidR="00CF6D08" w:rsidRPr="00EE50E9" w:rsidRDefault="00CF6D08" w:rsidP="00913BF5">
            <w:pPr>
              <w:jc w:val="center"/>
              <w:rPr>
                <w:b/>
                <w:bCs/>
              </w:rPr>
            </w:pPr>
            <w:r w:rsidRPr="00EE50E9">
              <w:rPr>
                <w:b/>
                <w:bCs/>
                <w:sz w:val="22"/>
                <w:szCs w:val="22"/>
              </w:rPr>
              <w:t>Retard possible concernant la date de clôture opérationnelle (en nombre de mois)</w:t>
            </w:r>
          </w:p>
        </w:tc>
        <w:tc>
          <w:tcPr>
            <w:tcW w:w="2340" w:type="dxa"/>
            <w:vMerge w:val="restart"/>
            <w:vAlign w:val="center"/>
          </w:tcPr>
          <w:p w14:paraId="7016771E" w14:textId="77777777" w:rsidR="00CF6D08" w:rsidRPr="00EE50E9" w:rsidRDefault="00CF6D08" w:rsidP="00913BF5">
            <w:pPr>
              <w:jc w:val="center"/>
              <w:rPr>
                <w:bCs/>
              </w:rPr>
            </w:pPr>
          </w:p>
        </w:tc>
      </w:tr>
      <w:tr w:rsidR="00CF6D08" w:rsidRPr="00EE50E9" w14:paraId="09B590E6" w14:textId="77777777" w:rsidTr="00F06CBB">
        <w:trPr>
          <w:trHeight w:val="420"/>
        </w:trPr>
        <w:tc>
          <w:tcPr>
            <w:tcW w:w="2523" w:type="dxa"/>
            <w:shd w:val="clear" w:color="auto" w:fill="E6E6E6"/>
            <w:vAlign w:val="center"/>
          </w:tcPr>
          <w:p w14:paraId="6945CEE1" w14:textId="77777777" w:rsidR="00CF6D08" w:rsidRPr="00EE50E9" w:rsidRDefault="00CF6D08" w:rsidP="00913BF5">
            <w:pPr>
              <w:rPr>
                <w:b/>
              </w:rPr>
            </w:pPr>
            <w:r w:rsidRPr="00EE50E9">
              <w:rPr>
                <w:b/>
                <w:sz w:val="22"/>
                <w:szCs w:val="22"/>
              </w:rPr>
              <w:t>Date de démarrage du projet:</w:t>
            </w:r>
          </w:p>
          <w:p w14:paraId="361E89F8" w14:textId="77777777" w:rsidR="00CF6D08" w:rsidRPr="00EE50E9" w:rsidRDefault="00CF6D08" w:rsidP="00913BF5">
            <w:pPr>
              <w:rPr>
                <w:b/>
              </w:rPr>
            </w:pPr>
          </w:p>
        </w:tc>
        <w:tc>
          <w:tcPr>
            <w:tcW w:w="2567" w:type="dxa"/>
            <w:vAlign w:val="center"/>
          </w:tcPr>
          <w:p w14:paraId="4C9FCF14" w14:textId="77777777" w:rsidR="00CF6D08" w:rsidRPr="00EE50E9" w:rsidRDefault="000F1231" w:rsidP="00913BF5">
            <w:pPr>
              <w:jc w:val="center"/>
              <w:rPr>
                <w:b/>
              </w:rPr>
            </w:pPr>
            <w:r>
              <w:rPr>
                <w:b/>
              </w:rPr>
              <w:t>Mai 2012</w:t>
            </w:r>
          </w:p>
        </w:tc>
        <w:tc>
          <w:tcPr>
            <w:tcW w:w="2880" w:type="dxa"/>
            <w:vMerge/>
            <w:shd w:val="pct15" w:color="auto" w:fill="auto"/>
            <w:vAlign w:val="center"/>
          </w:tcPr>
          <w:p w14:paraId="29D7FFE5" w14:textId="77777777" w:rsidR="00CF6D08" w:rsidRPr="00EE50E9" w:rsidRDefault="00CF6D08" w:rsidP="00913BF5">
            <w:pPr>
              <w:jc w:val="center"/>
              <w:rPr>
                <w:bCs/>
              </w:rPr>
            </w:pPr>
          </w:p>
        </w:tc>
        <w:tc>
          <w:tcPr>
            <w:tcW w:w="2340" w:type="dxa"/>
            <w:vMerge/>
            <w:vAlign w:val="center"/>
          </w:tcPr>
          <w:p w14:paraId="5E80AE8F" w14:textId="77777777" w:rsidR="00CF6D08" w:rsidRPr="00EE50E9" w:rsidRDefault="00CF6D08" w:rsidP="00913BF5">
            <w:pPr>
              <w:jc w:val="center"/>
              <w:rPr>
                <w:bCs/>
              </w:rPr>
            </w:pPr>
          </w:p>
        </w:tc>
      </w:tr>
      <w:tr w:rsidR="00CF6D08" w:rsidRPr="00EE50E9" w14:paraId="09EA6629" w14:textId="77777777" w:rsidTr="00F06CBB">
        <w:trPr>
          <w:trHeight w:val="420"/>
        </w:trPr>
        <w:tc>
          <w:tcPr>
            <w:tcW w:w="2523" w:type="dxa"/>
            <w:shd w:val="clear" w:color="auto" w:fill="E6E6E6"/>
            <w:vAlign w:val="center"/>
          </w:tcPr>
          <w:p w14:paraId="15847F14" w14:textId="77777777" w:rsidR="00CF6D08" w:rsidRPr="00EE50E9" w:rsidRDefault="00CF6D08" w:rsidP="00EE50E9">
            <w:pPr>
              <w:rPr>
                <w:b/>
              </w:rPr>
            </w:pPr>
            <w:r w:rsidRPr="00EE50E9">
              <w:rPr>
                <w:b/>
                <w:sz w:val="22"/>
                <w:szCs w:val="22"/>
              </w:rPr>
              <w:t>Date prévue pour la clôture opérationnelle du projet:</w:t>
            </w:r>
          </w:p>
        </w:tc>
        <w:tc>
          <w:tcPr>
            <w:tcW w:w="2567" w:type="dxa"/>
            <w:vAlign w:val="center"/>
          </w:tcPr>
          <w:p w14:paraId="170BEC99" w14:textId="77777777" w:rsidR="00CF6D08" w:rsidRPr="00EE50E9" w:rsidRDefault="000F1231" w:rsidP="00913BF5">
            <w:pPr>
              <w:jc w:val="center"/>
              <w:rPr>
                <w:b/>
              </w:rPr>
            </w:pPr>
            <w:r>
              <w:rPr>
                <w:b/>
              </w:rPr>
              <w:t>Septembre 2014</w:t>
            </w:r>
          </w:p>
        </w:tc>
        <w:tc>
          <w:tcPr>
            <w:tcW w:w="2880" w:type="dxa"/>
            <w:vMerge/>
            <w:shd w:val="pct15" w:color="auto" w:fill="auto"/>
            <w:vAlign w:val="center"/>
          </w:tcPr>
          <w:p w14:paraId="3F806440" w14:textId="77777777" w:rsidR="00CF6D08" w:rsidRPr="00EE50E9" w:rsidRDefault="00CF6D08" w:rsidP="00913BF5">
            <w:pPr>
              <w:jc w:val="center"/>
              <w:rPr>
                <w:bCs/>
              </w:rPr>
            </w:pPr>
          </w:p>
        </w:tc>
        <w:tc>
          <w:tcPr>
            <w:tcW w:w="2340" w:type="dxa"/>
            <w:vMerge/>
            <w:vAlign w:val="center"/>
          </w:tcPr>
          <w:p w14:paraId="3B92CDB5" w14:textId="77777777" w:rsidR="00CF6D08" w:rsidRPr="00EE50E9" w:rsidRDefault="00CF6D08" w:rsidP="00913BF5">
            <w:pPr>
              <w:jc w:val="center"/>
              <w:rPr>
                <w:bCs/>
              </w:rPr>
            </w:pPr>
          </w:p>
        </w:tc>
      </w:tr>
      <w:tr w:rsidR="00CF6D08" w:rsidRPr="00EE50E9" w14:paraId="0F19D9B1" w14:textId="77777777" w:rsidTr="00F06CBB">
        <w:trPr>
          <w:trHeight w:val="778"/>
        </w:trPr>
        <w:tc>
          <w:tcPr>
            <w:tcW w:w="2523" w:type="dxa"/>
            <w:shd w:val="clear" w:color="auto" w:fill="E6E6E6"/>
            <w:vAlign w:val="center"/>
          </w:tcPr>
          <w:p w14:paraId="005DD85D" w14:textId="77777777" w:rsidR="00CF6D08" w:rsidRPr="00EE50E9" w:rsidRDefault="00CF6D08" w:rsidP="009179D1">
            <w:pPr>
              <w:rPr>
                <w:b/>
              </w:rPr>
            </w:pPr>
            <w:r w:rsidRPr="00EE50E9">
              <w:rPr>
                <w:b/>
                <w:sz w:val="22"/>
                <w:szCs w:val="22"/>
              </w:rPr>
              <w:t>Domaine de résultats attendus par le PBF</w:t>
            </w:r>
          </w:p>
        </w:tc>
        <w:tc>
          <w:tcPr>
            <w:tcW w:w="7787" w:type="dxa"/>
            <w:gridSpan w:val="3"/>
            <w:vAlign w:val="center"/>
          </w:tcPr>
          <w:p w14:paraId="2B42145E" w14:textId="77777777" w:rsidR="00864DDB" w:rsidRDefault="00864DDB" w:rsidP="000F1231">
            <w:pPr>
              <w:rPr>
                <w:bCs/>
              </w:rPr>
            </w:pPr>
          </w:p>
          <w:p w14:paraId="211436EA" w14:textId="77777777" w:rsidR="000F1231" w:rsidRPr="009179D1" w:rsidRDefault="000F1231" w:rsidP="000F1231">
            <w:pPr>
              <w:rPr>
                <w:bCs/>
              </w:rPr>
            </w:pPr>
            <w:r w:rsidRPr="009179D1">
              <w:rPr>
                <w:bCs/>
              </w:rPr>
              <w:t>A travers le déploiement d’une équipe de conseil stratégique sur la RSS, le projet vise à (i) fournir des conseils et une assistance aux autorités nationales dans le processus de réforme de la sécurité et dans la mobilisation des ressources pour la mise en œuvre de la stratégie de RSS (ii) coordonner les efforts avec l’équipe technique du PNUD, les autres partenaires des Nations Unies et la communauté internationale représentée à Conakry.</w:t>
            </w:r>
          </w:p>
          <w:p w14:paraId="1F8B6BED" w14:textId="77777777" w:rsidR="000F1231" w:rsidRPr="009179D1" w:rsidRDefault="000F1231" w:rsidP="000F1231">
            <w:pPr>
              <w:rPr>
                <w:bCs/>
              </w:rPr>
            </w:pPr>
          </w:p>
          <w:p w14:paraId="42B8306C" w14:textId="77777777" w:rsidR="000F1231" w:rsidRPr="009179D1" w:rsidRDefault="000F1231" w:rsidP="000F1231">
            <w:pPr>
              <w:rPr>
                <w:bCs/>
              </w:rPr>
            </w:pPr>
            <w:r w:rsidRPr="009179D1">
              <w:rPr>
                <w:bCs/>
              </w:rPr>
              <w:t xml:space="preserve">Le projet est axé sur trois résultats stratégiques clés: </w:t>
            </w:r>
          </w:p>
          <w:p w14:paraId="2F268A75" w14:textId="77777777" w:rsidR="000F1231" w:rsidRPr="009179D1" w:rsidRDefault="000F1231" w:rsidP="000F1231">
            <w:pPr>
              <w:rPr>
                <w:bCs/>
              </w:rPr>
            </w:pPr>
          </w:p>
          <w:p w14:paraId="749A8191" w14:textId="77777777" w:rsidR="000F1231" w:rsidRPr="009179D1" w:rsidRDefault="000F1231" w:rsidP="000F1231">
            <w:pPr>
              <w:pStyle w:val="ListParagraph"/>
              <w:numPr>
                <w:ilvl w:val="0"/>
                <w:numId w:val="6"/>
              </w:numPr>
              <w:ind w:left="289" w:hanging="289"/>
              <w:rPr>
                <w:bCs/>
              </w:rPr>
            </w:pPr>
            <w:r w:rsidRPr="009179D1">
              <w:rPr>
                <w:bCs/>
              </w:rPr>
              <w:lastRenderedPageBreak/>
              <w:t xml:space="preserve">Les parties prenantes  nationales reçoivent les avis stratégique et politique nécessaires afin d’assurer une mise en œuvre efficace d’une stratégie nationale de RSS ; </w:t>
            </w:r>
          </w:p>
          <w:p w14:paraId="66699A6C" w14:textId="77777777" w:rsidR="000F1231" w:rsidRPr="009179D1" w:rsidRDefault="000F1231" w:rsidP="000F1231">
            <w:pPr>
              <w:pStyle w:val="ListParagraph"/>
              <w:numPr>
                <w:ilvl w:val="0"/>
                <w:numId w:val="6"/>
              </w:numPr>
              <w:ind w:left="289" w:hanging="289"/>
              <w:rPr>
                <w:bCs/>
              </w:rPr>
            </w:pPr>
            <w:r w:rsidRPr="009179D1">
              <w:rPr>
                <w:bCs/>
              </w:rPr>
              <w:t>Un appui NU/international cohérent est assuré à la stratégie nationale de RSS ;  </w:t>
            </w:r>
          </w:p>
          <w:p w14:paraId="7C562016" w14:textId="77777777" w:rsidR="00CF6D08" w:rsidRPr="001151A7" w:rsidRDefault="000F1231" w:rsidP="000F1231">
            <w:pPr>
              <w:pStyle w:val="ListParagraph"/>
              <w:numPr>
                <w:ilvl w:val="0"/>
                <w:numId w:val="6"/>
              </w:numPr>
              <w:ind w:left="289" w:hanging="289"/>
              <w:rPr>
                <w:bCs/>
              </w:rPr>
            </w:pPr>
            <w:r w:rsidRPr="009179D1">
              <w:rPr>
                <w:bCs/>
              </w:rPr>
              <w:t>Des ressources adéquates sont mobilisées pour la mise en œuvre de la stratégie de RSS.  </w:t>
            </w:r>
          </w:p>
        </w:tc>
      </w:tr>
      <w:tr w:rsidR="00CF6D08" w:rsidRPr="00EE50E9" w14:paraId="4850CD03" w14:textId="77777777" w:rsidTr="00F06CBB">
        <w:trPr>
          <w:trHeight w:val="917"/>
        </w:trPr>
        <w:tc>
          <w:tcPr>
            <w:tcW w:w="2523" w:type="dxa"/>
            <w:shd w:val="clear" w:color="auto" w:fill="E6E6E6"/>
            <w:vAlign w:val="center"/>
          </w:tcPr>
          <w:p w14:paraId="6DC10BC7" w14:textId="77777777" w:rsidR="00CF6D08" w:rsidRPr="00EE50E9" w:rsidRDefault="00CF6D08" w:rsidP="00913BF5">
            <w:pPr>
              <w:rPr>
                <w:b/>
              </w:rPr>
            </w:pPr>
            <w:r w:rsidRPr="00EE50E9">
              <w:rPr>
                <w:b/>
                <w:sz w:val="22"/>
                <w:szCs w:val="22"/>
              </w:rPr>
              <w:lastRenderedPageBreak/>
              <w:t>Évaluation qualitative des résultats obtenus et des problèmes subsistants</w:t>
            </w:r>
          </w:p>
        </w:tc>
        <w:tc>
          <w:tcPr>
            <w:tcW w:w="7787" w:type="dxa"/>
            <w:gridSpan w:val="3"/>
          </w:tcPr>
          <w:p w14:paraId="21EDBF24" w14:textId="77777777" w:rsidR="003A52BD" w:rsidRPr="009179D1" w:rsidRDefault="003A52BD" w:rsidP="00DF0FC6">
            <w:pPr>
              <w:pStyle w:val="PlainText"/>
              <w:numPr>
                <w:ilvl w:val="0"/>
                <w:numId w:val="11"/>
              </w:numPr>
              <w:ind w:hanging="431"/>
              <w:jc w:val="both"/>
              <w:rPr>
                <w:b/>
                <w:u w:val="single"/>
              </w:rPr>
            </w:pPr>
            <w:r w:rsidRPr="009179D1">
              <w:rPr>
                <w:b/>
                <w:u w:val="single"/>
              </w:rPr>
              <w:t>Résultats et produits</w:t>
            </w:r>
            <w:r w:rsidR="009179D1">
              <w:rPr>
                <w:b/>
                <w:u w:val="single"/>
              </w:rPr>
              <w:t xml:space="preserve"> obtenus</w:t>
            </w:r>
            <w:r w:rsidRPr="009179D1">
              <w:rPr>
                <w:b/>
                <w:u w:val="single"/>
              </w:rPr>
              <w:t xml:space="preserve"> </w:t>
            </w:r>
            <w:r w:rsidR="00302F0F" w:rsidRPr="009179D1">
              <w:rPr>
                <w:b/>
                <w:u w:val="single"/>
              </w:rPr>
              <w:t>(janvier à juin 2014)</w:t>
            </w:r>
          </w:p>
          <w:p w14:paraId="38CA86A5" w14:textId="77777777" w:rsidR="003A52BD" w:rsidRPr="009179D1" w:rsidRDefault="003A52BD" w:rsidP="008C189F">
            <w:pPr>
              <w:pStyle w:val="PlainText"/>
              <w:jc w:val="both"/>
            </w:pPr>
          </w:p>
          <w:p w14:paraId="4C9C351E" w14:textId="77777777" w:rsidR="008C189F" w:rsidRPr="009179D1" w:rsidRDefault="008C189F" w:rsidP="00A50C6E">
            <w:pPr>
              <w:pStyle w:val="PlainText"/>
              <w:numPr>
                <w:ilvl w:val="0"/>
                <w:numId w:val="7"/>
              </w:numPr>
              <w:jc w:val="both"/>
            </w:pPr>
            <w:r w:rsidRPr="009179D1">
              <w:t>Les résultats clés à noter pour la période allant du 1</w:t>
            </w:r>
            <w:r w:rsidRPr="009179D1">
              <w:rPr>
                <w:vertAlign w:val="superscript"/>
              </w:rPr>
              <w:t>er</w:t>
            </w:r>
            <w:r w:rsidRPr="009179D1">
              <w:t xml:space="preserve"> janvier au 30 juin 2014 sont : 1) Le renforcement des capacités du CNP-RSS ; 2) L’élaboration de la Stratégie Nationale d’Actions Prioritaires (SNAP); et 3) l’harmonisation des 5 politiques sectorielles avec la Politique Nationale de Défense et de Sécurité et la Stratégie Nationale d’Actions Prioritaire. </w:t>
            </w:r>
          </w:p>
          <w:p w14:paraId="1FAE9D30" w14:textId="77777777" w:rsidR="00DF0FC6" w:rsidRPr="00DF0FC6" w:rsidRDefault="00DF0FC6" w:rsidP="00DF0FC6">
            <w:pPr>
              <w:pStyle w:val="PlainText"/>
              <w:jc w:val="both"/>
              <w:rPr>
                <w:b/>
              </w:rPr>
            </w:pPr>
          </w:p>
          <w:p w14:paraId="08D0F363" w14:textId="77777777" w:rsidR="00DF0FC6" w:rsidRDefault="00DF0FC6" w:rsidP="00DF0FC6">
            <w:pPr>
              <w:pStyle w:val="ListParagraph"/>
              <w:numPr>
                <w:ilvl w:val="0"/>
                <w:numId w:val="12"/>
              </w:numPr>
              <w:ind w:left="714" w:hanging="425"/>
              <w:rPr>
                <w:b/>
                <w:i/>
              </w:rPr>
            </w:pPr>
            <w:r w:rsidRPr="00DF0FC6">
              <w:rPr>
                <w:b/>
                <w:i/>
              </w:rPr>
              <w:t xml:space="preserve">Renforcement des capacités du CNP-RSS </w:t>
            </w:r>
            <w:r>
              <w:rPr>
                <w:b/>
                <w:i/>
              </w:rPr>
              <w:t>et harmonisation des 5 politiques sectorielles</w:t>
            </w:r>
          </w:p>
          <w:p w14:paraId="5315D23D" w14:textId="77777777" w:rsidR="00B86DCD" w:rsidRPr="00DF0FC6" w:rsidRDefault="00B86DCD" w:rsidP="00B86DCD">
            <w:pPr>
              <w:pStyle w:val="ListParagraph"/>
              <w:ind w:left="714"/>
              <w:rPr>
                <w:b/>
                <w:i/>
              </w:rPr>
            </w:pPr>
          </w:p>
          <w:p w14:paraId="072F4D9F" w14:textId="77777777" w:rsidR="00DF0FC6" w:rsidRPr="00DF0FC6" w:rsidRDefault="00DF0FC6" w:rsidP="009179D1">
            <w:pPr>
              <w:pStyle w:val="PlainText"/>
              <w:numPr>
                <w:ilvl w:val="0"/>
                <w:numId w:val="7"/>
              </w:numPr>
              <w:jc w:val="both"/>
              <w:rPr>
                <w:b/>
              </w:rPr>
            </w:pPr>
            <w:r>
              <w:t>Les capacités du CNP-RSS ont étés renforcées à travers l’appui constant du Bureau Conseil Stratégique et l’organisation d’un atelier qui</w:t>
            </w:r>
            <w:r w:rsidR="009179D1">
              <w:t xml:space="preserve"> a eu lieu à Kindia du 17 au 22 février 2014.</w:t>
            </w:r>
          </w:p>
          <w:p w14:paraId="3CC18FF9" w14:textId="77777777" w:rsidR="00DF0FC6" w:rsidRPr="00DF0FC6" w:rsidRDefault="00DF0FC6" w:rsidP="00DF0FC6">
            <w:pPr>
              <w:pStyle w:val="PlainText"/>
              <w:ind w:left="720"/>
              <w:jc w:val="both"/>
              <w:rPr>
                <w:b/>
              </w:rPr>
            </w:pPr>
          </w:p>
          <w:p w14:paraId="68BD1AAC" w14:textId="77777777" w:rsidR="00DF0FC6" w:rsidRPr="00DF0FC6" w:rsidRDefault="009179D1" w:rsidP="009179D1">
            <w:pPr>
              <w:pStyle w:val="PlainText"/>
              <w:numPr>
                <w:ilvl w:val="0"/>
                <w:numId w:val="7"/>
              </w:numPr>
              <w:jc w:val="both"/>
              <w:rPr>
                <w:b/>
              </w:rPr>
            </w:pPr>
            <w:r>
              <w:t xml:space="preserve">Cet atelier, </w:t>
            </w:r>
            <w:r w:rsidR="008C189F" w:rsidRPr="009179D1">
              <w:t xml:space="preserve">financé par le Bureau Conseil Stratégique RSS et le CNP-RSS, a permis aux 5 Comités Techniques Sectoriels d’harmoniser les 5 politiques sectorielles avec la </w:t>
            </w:r>
            <w:r w:rsidR="001A3CA5" w:rsidRPr="009179D1">
              <w:t>Politique Nationale de Défense et de Sécurité</w:t>
            </w:r>
            <w:r w:rsidR="00106ACC" w:rsidRPr="009179D1">
              <w:t xml:space="preserve"> et d’engranger le processus d’élaboration de la Stratégie Nationale d’Actions Prioritaires.</w:t>
            </w:r>
          </w:p>
          <w:p w14:paraId="39B522CF" w14:textId="77777777" w:rsidR="00DF0FC6" w:rsidRDefault="00DF0FC6" w:rsidP="00DF0FC6">
            <w:pPr>
              <w:pStyle w:val="ListParagraph"/>
            </w:pPr>
          </w:p>
          <w:p w14:paraId="75052F5F" w14:textId="77777777" w:rsidR="009179D1" w:rsidRPr="009179D1" w:rsidRDefault="009179D1" w:rsidP="009179D1">
            <w:pPr>
              <w:pStyle w:val="PlainText"/>
              <w:numPr>
                <w:ilvl w:val="0"/>
                <w:numId w:val="7"/>
              </w:numPr>
              <w:jc w:val="both"/>
              <w:rPr>
                <w:b/>
              </w:rPr>
            </w:pPr>
            <w:r>
              <w:t>L’atelier de Kindia a réuni</w:t>
            </w:r>
            <w:r w:rsidRPr="009179D1">
              <w:t xml:space="preserve"> une soixantaine de participants venant des </w:t>
            </w:r>
            <w:r w:rsidR="00DF0FC6">
              <w:t>parties prenantes du</w:t>
            </w:r>
            <w:r>
              <w:t xml:space="preserve"> CNP-RSS (comités techniques sectoriels, Commission Technique de Suivi, </w:t>
            </w:r>
            <w:r w:rsidRPr="009179D1">
              <w:t>Secrétariat général à la PRG chargé des services spéciaux, de la  lutte contre la drogue, le crime organisé et de la répression des délits économiques et financiers</w:t>
            </w:r>
            <w:r>
              <w:t xml:space="preserve">, </w:t>
            </w:r>
            <w:r w:rsidRPr="009179D1">
              <w:t>Commission nationale de lutte contre la circulation et le trafic illicite  des Armes Légères et Petits Calibres</w:t>
            </w:r>
            <w:r>
              <w:rPr>
                <w:b/>
              </w:rPr>
              <w:t xml:space="preserve">. </w:t>
            </w:r>
          </w:p>
          <w:p w14:paraId="62F736FC" w14:textId="77777777" w:rsidR="00106ACC" w:rsidRPr="009179D1" w:rsidRDefault="00106ACC" w:rsidP="008C189F">
            <w:pPr>
              <w:pStyle w:val="PlainText"/>
              <w:jc w:val="both"/>
            </w:pPr>
          </w:p>
          <w:p w14:paraId="41055BE8" w14:textId="77777777" w:rsidR="00DF0FC6" w:rsidRDefault="00DF0FC6" w:rsidP="00DF0FC6">
            <w:pPr>
              <w:pStyle w:val="ListParagraph"/>
              <w:numPr>
                <w:ilvl w:val="0"/>
                <w:numId w:val="12"/>
              </w:numPr>
              <w:ind w:left="714" w:hanging="425"/>
              <w:rPr>
                <w:b/>
                <w:i/>
              </w:rPr>
            </w:pPr>
            <w:r>
              <w:rPr>
                <w:b/>
                <w:i/>
              </w:rPr>
              <w:t>Appui à l’é</w:t>
            </w:r>
            <w:r w:rsidRPr="00DF0FC6">
              <w:rPr>
                <w:b/>
                <w:i/>
              </w:rPr>
              <w:t>laboration de la Stratégie Nationale d’</w:t>
            </w:r>
            <w:r w:rsidR="00B86DCD">
              <w:rPr>
                <w:b/>
                <w:i/>
              </w:rPr>
              <w:t>Actions Prioritaires</w:t>
            </w:r>
          </w:p>
          <w:p w14:paraId="05A39E83" w14:textId="77777777" w:rsidR="00B86DCD" w:rsidRPr="00DF0FC6" w:rsidRDefault="00B86DCD" w:rsidP="00B86DCD">
            <w:pPr>
              <w:pStyle w:val="ListParagraph"/>
              <w:ind w:left="714"/>
              <w:rPr>
                <w:b/>
                <w:i/>
              </w:rPr>
            </w:pPr>
          </w:p>
          <w:p w14:paraId="7104C926" w14:textId="77777777" w:rsidR="00302F0F" w:rsidRPr="009179D1" w:rsidRDefault="009179D1" w:rsidP="009179D1">
            <w:pPr>
              <w:pStyle w:val="PlainText"/>
              <w:numPr>
                <w:ilvl w:val="0"/>
                <w:numId w:val="7"/>
              </w:numPr>
              <w:jc w:val="both"/>
            </w:pPr>
            <w:r w:rsidRPr="009179D1">
              <w:rPr>
                <w:rFonts w:ascii="Cambria" w:hAnsi="Cambria"/>
              </w:rPr>
              <w:t xml:space="preserve">Suite à </w:t>
            </w:r>
            <w:r w:rsidR="00DF0FC6">
              <w:rPr>
                <w:rFonts w:ascii="Cambria" w:hAnsi="Cambria"/>
              </w:rPr>
              <w:t>l’atelier de Kindia</w:t>
            </w:r>
            <w:r>
              <w:rPr>
                <w:rFonts w:ascii="Cambria" w:hAnsi="Cambria"/>
              </w:rPr>
              <w:t xml:space="preserve">, une commission </w:t>
            </w:r>
            <w:r w:rsidRPr="009179D1">
              <w:rPr>
                <w:rFonts w:ascii="Cambria" w:hAnsi="Cambria"/>
              </w:rPr>
              <w:t xml:space="preserve">d’élaboration </w:t>
            </w:r>
            <w:r>
              <w:rPr>
                <w:rFonts w:ascii="Cambria" w:hAnsi="Cambria"/>
              </w:rPr>
              <w:t xml:space="preserve">a été constituée pour la rédaction </w:t>
            </w:r>
            <w:r w:rsidRPr="009179D1">
              <w:rPr>
                <w:rFonts w:ascii="Cambria" w:hAnsi="Cambria"/>
              </w:rPr>
              <w:t>de la Stratégie Nationale d’Actions Prioritaires (SNAP)</w:t>
            </w:r>
            <w:r>
              <w:rPr>
                <w:rFonts w:ascii="Cambria" w:hAnsi="Cambria"/>
              </w:rPr>
              <w:t xml:space="preserve">. </w:t>
            </w:r>
            <w:r w:rsidR="00DF0FC6">
              <w:rPr>
                <w:rFonts w:ascii="Cambria" w:hAnsi="Cambria"/>
              </w:rPr>
              <w:t>Cette commission, appuyée par le Bureau Conseil Stratégique a élaboré la</w:t>
            </w:r>
            <w:r w:rsidR="00106ACC" w:rsidRPr="009179D1">
              <w:t xml:space="preserve"> </w:t>
            </w:r>
            <w:r>
              <w:t>SNAP</w:t>
            </w:r>
            <w:r w:rsidR="00106ACC" w:rsidRPr="009179D1">
              <w:t xml:space="preserve"> pour la période 2014-2017</w:t>
            </w:r>
            <w:r w:rsidR="00DF0FC6">
              <w:t>. La SNAP</w:t>
            </w:r>
            <w:r w:rsidR="00106ACC" w:rsidRPr="009179D1">
              <w:t xml:space="preserve"> s’articule sur les actions identifiées prenant en compte les problèmes sectoriels et intersectoriels, répondant aux exigences sécuritaires du pays conformément à la Politique Nationale de Défense et de Sécurité et les politiques sectorielles. Par ailleurs, la Stratégie Nationale d’Actions Prioritaires définit les efforts de mobilisation des ressources humaines, matérielles et financières indispensables à leur réalisation. A cet effet, elle devient ainsi un outil important de mise en œuvre de la Politique Nationale de Défense et de Sécurité en général et des politiques sectorielles en matière de Réforme du Secteur de Sécurité en particulier.  </w:t>
            </w:r>
          </w:p>
          <w:p w14:paraId="5FA5B488" w14:textId="77777777" w:rsidR="00302F0F" w:rsidRPr="009179D1" w:rsidRDefault="00302F0F" w:rsidP="00302F0F">
            <w:pPr>
              <w:pStyle w:val="ListParagraph"/>
            </w:pPr>
          </w:p>
          <w:p w14:paraId="730BBDD0" w14:textId="77777777" w:rsidR="00106ACC" w:rsidRPr="009179D1" w:rsidRDefault="00106ACC" w:rsidP="00A50C6E">
            <w:pPr>
              <w:pStyle w:val="PlainText"/>
              <w:numPr>
                <w:ilvl w:val="0"/>
                <w:numId w:val="7"/>
              </w:numPr>
              <w:jc w:val="both"/>
            </w:pPr>
            <w:r w:rsidRPr="009179D1">
              <w:t>La SNAP  complète l’édifice stratégique en fixant des priorités et un point d’achèvement pour la période 2014-2017. Il s’agit d’une avancée majeure dans le processus de la ré</w:t>
            </w:r>
            <w:r w:rsidR="003D58DF" w:rsidRPr="009179D1">
              <w:t xml:space="preserve">forme du secteur de la sécurité qui marque le début de </w:t>
            </w:r>
            <w:r w:rsidR="00302F0F" w:rsidRPr="009179D1">
              <w:t>l’opérationnalisation</w:t>
            </w:r>
            <w:r w:rsidR="003D58DF" w:rsidRPr="009179D1">
              <w:t xml:space="preserve"> de la réforme. </w:t>
            </w:r>
          </w:p>
          <w:p w14:paraId="247DD0CC" w14:textId="77777777" w:rsidR="00302F0F" w:rsidRPr="009179D1" w:rsidRDefault="00302F0F" w:rsidP="00302F0F">
            <w:pPr>
              <w:pStyle w:val="PlainText"/>
              <w:jc w:val="both"/>
            </w:pPr>
          </w:p>
          <w:p w14:paraId="09BFDBE2" w14:textId="77777777" w:rsidR="00302F0F" w:rsidRPr="009179D1" w:rsidRDefault="00302F0F" w:rsidP="00DF0FC6">
            <w:pPr>
              <w:pStyle w:val="PlainText"/>
              <w:numPr>
                <w:ilvl w:val="0"/>
                <w:numId w:val="11"/>
              </w:numPr>
              <w:ind w:hanging="431"/>
              <w:jc w:val="both"/>
              <w:rPr>
                <w:b/>
                <w:u w:val="single"/>
              </w:rPr>
            </w:pPr>
            <w:r w:rsidRPr="009179D1">
              <w:rPr>
                <w:b/>
                <w:u w:val="single"/>
              </w:rPr>
              <w:t xml:space="preserve">Opportunités et résultats supplémentaires </w:t>
            </w:r>
          </w:p>
          <w:p w14:paraId="2063224E" w14:textId="77777777" w:rsidR="00302F0F" w:rsidRPr="009179D1" w:rsidRDefault="00302F0F" w:rsidP="00302F0F">
            <w:pPr>
              <w:pStyle w:val="PlainText"/>
              <w:jc w:val="both"/>
            </w:pPr>
          </w:p>
          <w:p w14:paraId="1627BC77" w14:textId="77777777" w:rsidR="009179D1" w:rsidRDefault="00302F0F" w:rsidP="009179D1">
            <w:pPr>
              <w:pStyle w:val="PlainText"/>
              <w:numPr>
                <w:ilvl w:val="0"/>
                <w:numId w:val="7"/>
              </w:numPr>
              <w:jc w:val="both"/>
              <w:rPr>
                <w:szCs w:val="24"/>
              </w:rPr>
            </w:pPr>
            <w:r w:rsidRPr="009179D1">
              <w:t xml:space="preserve">L’achèvement des documents cadres stratégiques de la réforme a permis d’élaborer la Stratégie Nationale d’Actions Prioritaires qui précise les actions de mise en œuvre de la réforme, nécessitant ainsi une mobilisation des ressources et un appui conseil stratégique et politique au Président de la République pour une meilleure atteinte des objectifs. </w:t>
            </w:r>
            <w:r w:rsidRPr="009179D1">
              <w:rPr>
                <w:szCs w:val="24"/>
              </w:rPr>
              <w:t xml:space="preserve"> </w:t>
            </w:r>
          </w:p>
          <w:p w14:paraId="0D75E891" w14:textId="77777777" w:rsidR="009179D1" w:rsidRDefault="009179D1" w:rsidP="00302F0F">
            <w:pPr>
              <w:pStyle w:val="PlainText"/>
              <w:jc w:val="both"/>
              <w:rPr>
                <w:szCs w:val="24"/>
              </w:rPr>
            </w:pPr>
          </w:p>
          <w:p w14:paraId="7F67B327" w14:textId="77777777" w:rsidR="00CF6D08" w:rsidRPr="009179D1" w:rsidRDefault="00302F0F" w:rsidP="009179D1">
            <w:pPr>
              <w:pStyle w:val="PlainText"/>
              <w:numPr>
                <w:ilvl w:val="0"/>
                <w:numId w:val="7"/>
              </w:numPr>
              <w:jc w:val="both"/>
            </w:pPr>
            <w:r w:rsidRPr="009179D1">
              <w:rPr>
                <w:szCs w:val="24"/>
              </w:rPr>
              <w:t xml:space="preserve">Les activités du deuxième semestre de 2014 se focaliseront sur l’élaboration de la stratégie de mobilisation des ressources, y compris l’organisation de la Table Ronde des bailleurs, et un appui au CNP-RSS pour une meilleure appropriation nationale de la réforme du secteur de la sécurité par les autorités civiles et militaires. </w:t>
            </w:r>
          </w:p>
        </w:tc>
      </w:tr>
    </w:tbl>
    <w:p w14:paraId="5ED5D104" w14:textId="77777777" w:rsidR="00CF6D08" w:rsidRPr="00EE50E9" w:rsidRDefault="00CF6D08" w:rsidP="00913BF5">
      <w:pPr>
        <w:outlineLvl w:val="0"/>
        <w:rPr>
          <w:sz w:val="22"/>
          <w:szCs w:val="22"/>
        </w:rPr>
      </w:pPr>
    </w:p>
    <w:p w14:paraId="4BC079FE" w14:textId="77777777" w:rsidR="00CF6D08" w:rsidRPr="00EE50E9" w:rsidRDefault="00CF6D08" w:rsidP="00F11DAC">
      <w:pPr>
        <w:outlineLvl w:val="0"/>
        <w:rPr>
          <w:sz w:val="22"/>
          <w:szCs w:val="22"/>
        </w:rPr>
      </w:pPr>
    </w:p>
    <w:p w14:paraId="3214E28F" w14:textId="77777777" w:rsidR="00CF6D08" w:rsidRPr="00EE50E9" w:rsidRDefault="00CF6D08" w:rsidP="00F11DAC">
      <w:pPr>
        <w:outlineLvl w:val="0"/>
        <w:rPr>
          <w:sz w:val="22"/>
          <w:szCs w:val="22"/>
        </w:rPr>
        <w:sectPr w:rsidR="00CF6D08" w:rsidRPr="00EE50E9" w:rsidSect="00BB2676">
          <w:footerReference w:type="even" r:id="rId11"/>
          <w:footerReference w:type="default" r:id="rId12"/>
          <w:pgSz w:w="12240" w:h="15840"/>
          <w:pgMar w:top="562" w:right="1800" w:bottom="562" w:left="1800" w:header="720" w:footer="720" w:gutter="0"/>
          <w:pgNumType w:start="1"/>
          <w:cols w:space="720"/>
          <w:docGrid w:linePitch="360"/>
        </w:sectPr>
      </w:pPr>
    </w:p>
    <w:p w14:paraId="66446742" w14:textId="77777777" w:rsidR="00CF6D08" w:rsidRPr="00EE50E9" w:rsidRDefault="00CF6D08" w:rsidP="00F11DAC">
      <w:pPr>
        <w:rPr>
          <w:sz w:val="22"/>
          <w:szCs w:val="22"/>
        </w:rPr>
      </w:pPr>
      <w:r w:rsidRPr="00EE50E9">
        <w:rPr>
          <w:rFonts w:cs="Tahoma"/>
          <w:b/>
          <w:szCs w:val="20"/>
          <w:lang w:eastAsia="en-US"/>
        </w:rPr>
        <w:lastRenderedPageBreak/>
        <w:t>EVALUATION DE LA PERFORMANCE A PARTIR D’INDICATEURS:</w:t>
      </w:r>
      <w:r w:rsidRPr="00EE50E9">
        <w:rPr>
          <w:rFonts w:ascii="Calibri" w:hAnsi="Calibri" w:cs="Arial"/>
          <w:b/>
        </w:rPr>
        <w:t xml:space="preserve"> </w:t>
      </w:r>
      <w:r w:rsidRPr="00EE50E9">
        <w:rPr>
          <w:bCs/>
          <w:i/>
          <w:sz w:val="22"/>
          <w:szCs w:val="22"/>
        </w:rPr>
        <w:t xml:space="preserve">Sur la base du </w:t>
      </w:r>
      <w:r w:rsidRPr="00EE50E9">
        <w:rPr>
          <w:b/>
          <w:bCs/>
          <w:i/>
          <w:sz w:val="22"/>
          <w:szCs w:val="22"/>
        </w:rPr>
        <w:t>Cadre de résultats des programmes à partir du Descriptif de projet,</w:t>
      </w:r>
      <w:r w:rsidRPr="00EE50E9">
        <w:rPr>
          <w:bCs/>
          <w:i/>
          <w:sz w:val="22"/>
          <w:szCs w:val="22"/>
        </w:rPr>
        <w:t xml:space="preserve"> fournir</w:t>
      </w:r>
      <w:r w:rsidRPr="00EE50E9">
        <w:rPr>
          <w:b/>
          <w:bCs/>
          <w:i/>
          <w:sz w:val="22"/>
          <w:szCs w:val="22"/>
        </w:rPr>
        <w:t xml:space="preserve">, </w:t>
      </w:r>
      <w:r w:rsidRPr="00EE50E9">
        <w:rPr>
          <w:bCs/>
          <w:i/>
          <w:sz w:val="22"/>
          <w:szCs w:val="22"/>
        </w:rPr>
        <w:t xml:space="preserve"> dans le tableau ci-dessous,  une actualisation soulignant la conformité avec les indicateurs aux niveaux des résultats et des produits. À défaut de données concernant les indicateurs, préciser les raisons de ce manque, ainsi que le mode de collecte envisagé pour ce type de données, et la date à laquelle la collecte aura lieu.</w:t>
      </w:r>
    </w:p>
    <w:p w14:paraId="693A2A9D" w14:textId="77777777" w:rsidR="00CF6D08" w:rsidRDefault="00CF6D08" w:rsidP="00F11DAC">
      <w:pPr>
        <w:outlineLvl w:val="0"/>
        <w:rPr>
          <w:sz w:val="22"/>
          <w:szCs w:val="22"/>
        </w:rPr>
      </w:pPr>
    </w:p>
    <w:tbl>
      <w:tblPr>
        <w:tblW w:w="13266" w:type="dxa"/>
        <w:jc w:val="center"/>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9"/>
        <w:gridCol w:w="3543"/>
        <w:gridCol w:w="3261"/>
        <w:gridCol w:w="3003"/>
      </w:tblGrid>
      <w:tr w:rsidR="003A52BD" w:rsidRPr="00334073" w14:paraId="0517EA24" w14:textId="77777777" w:rsidTr="009179D1">
        <w:trPr>
          <w:jc w:val="center"/>
        </w:trPr>
        <w:tc>
          <w:tcPr>
            <w:tcW w:w="3459" w:type="dxa"/>
          </w:tcPr>
          <w:p w14:paraId="7781A87E" w14:textId="77777777" w:rsidR="003A52BD" w:rsidRPr="00334073" w:rsidRDefault="003A52BD" w:rsidP="00FD0C10">
            <w:pPr>
              <w:pStyle w:val="BodyText"/>
              <w:jc w:val="both"/>
              <w:rPr>
                <w:bCs/>
                <w:lang w:val="fr-FR"/>
              </w:rPr>
            </w:pPr>
          </w:p>
        </w:tc>
        <w:tc>
          <w:tcPr>
            <w:tcW w:w="3543" w:type="dxa"/>
          </w:tcPr>
          <w:p w14:paraId="4429D359" w14:textId="77777777" w:rsidR="003A52BD" w:rsidRPr="00334073" w:rsidRDefault="003A52BD" w:rsidP="00FD0C10">
            <w:pPr>
              <w:jc w:val="center"/>
              <w:rPr>
                <w:b/>
              </w:rPr>
            </w:pPr>
            <w:r w:rsidRPr="00334073">
              <w:rPr>
                <w:b/>
              </w:rPr>
              <w:t xml:space="preserve">Objectifs </w:t>
            </w:r>
            <w:r w:rsidRPr="00334073">
              <w:rPr>
                <w:b/>
                <w:u w:val="single"/>
              </w:rPr>
              <w:t>atteints</w:t>
            </w:r>
            <w:r w:rsidRPr="00334073">
              <w:rPr>
                <w:b/>
              </w:rPr>
              <w:t xml:space="preserve"> en liaison avec les indicateurs</w:t>
            </w:r>
          </w:p>
        </w:tc>
        <w:tc>
          <w:tcPr>
            <w:tcW w:w="3261" w:type="dxa"/>
          </w:tcPr>
          <w:p w14:paraId="139DD4A0" w14:textId="77777777" w:rsidR="003A52BD" w:rsidRPr="00334073" w:rsidRDefault="003A52BD" w:rsidP="00FD0C10">
            <w:pPr>
              <w:jc w:val="center"/>
              <w:rPr>
                <w:b/>
              </w:rPr>
            </w:pPr>
            <w:r w:rsidRPr="00334073">
              <w:rPr>
                <w:b/>
              </w:rPr>
              <w:t>Raisons des écarts éventuels par rapport aux objectifs fixés à l’origine</w:t>
            </w:r>
          </w:p>
        </w:tc>
        <w:tc>
          <w:tcPr>
            <w:tcW w:w="3003" w:type="dxa"/>
          </w:tcPr>
          <w:p w14:paraId="28F2C90E" w14:textId="77777777" w:rsidR="003A52BD" w:rsidRPr="00334073" w:rsidRDefault="003A52BD" w:rsidP="00FD0C10">
            <w:pPr>
              <w:jc w:val="center"/>
              <w:rPr>
                <w:b/>
              </w:rPr>
            </w:pPr>
            <w:r w:rsidRPr="00334073">
              <w:rPr>
                <w:b/>
              </w:rPr>
              <w:t>Source de vérification</w:t>
            </w:r>
          </w:p>
        </w:tc>
      </w:tr>
      <w:tr w:rsidR="003A52BD" w:rsidRPr="00334073" w14:paraId="3FA4B98B" w14:textId="77777777" w:rsidTr="009179D1">
        <w:trPr>
          <w:jc w:val="center"/>
        </w:trPr>
        <w:tc>
          <w:tcPr>
            <w:tcW w:w="3459" w:type="dxa"/>
            <w:shd w:val="clear" w:color="auto" w:fill="auto"/>
          </w:tcPr>
          <w:p w14:paraId="017E2892" w14:textId="77777777" w:rsidR="003A52BD" w:rsidRPr="003D58DF" w:rsidRDefault="003A52BD" w:rsidP="003D58DF">
            <w:pPr>
              <w:rPr>
                <w:rFonts w:asciiTheme="majorHAnsi" w:hAnsiTheme="majorHAnsi"/>
                <w:b/>
                <w:sz w:val="20"/>
                <w:szCs w:val="20"/>
              </w:rPr>
            </w:pPr>
            <w:r w:rsidRPr="003D58DF">
              <w:rPr>
                <w:rFonts w:asciiTheme="majorHAnsi" w:hAnsiTheme="majorHAnsi"/>
                <w:b/>
                <w:sz w:val="20"/>
                <w:szCs w:val="20"/>
              </w:rPr>
              <w:t>Résultat / Produit 1</w:t>
            </w:r>
          </w:p>
          <w:p w14:paraId="5FE71312" w14:textId="77777777" w:rsidR="003A52BD" w:rsidRPr="003D58DF" w:rsidRDefault="003A52BD" w:rsidP="003D58DF">
            <w:pPr>
              <w:jc w:val="both"/>
              <w:rPr>
                <w:rFonts w:asciiTheme="majorHAnsi" w:hAnsiTheme="majorHAnsi"/>
                <w:b/>
                <w:i/>
                <w:color w:val="000000"/>
                <w:sz w:val="20"/>
                <w:szCs w:val="20"/>
              </w:rPr>
            </w:pPr>
            <w:r w:rsidRPr="003D58DF">
              <w:rPr>
                <w:rFonts w:asciiTheme="majorHAnsi" w:hAnsiTheme="majorHAnsi"/>
                <w:b/>
                <w:i/>
                <w:color w:val="000000"/>
                <w:sz w:val="20"/>
                <w:szCs w:val="20"/>
              </w:rPr>
              <w:t>Les parties prenantes  nationales reçoivent les avis stratégique et politique nécessaires afin d’assurer une mise en œuvre efficace d’une stratégie nationale de RSS.</w:t>
            </w:r>
          </w:p>
          <w:p w14:paraId="3ED395EC" w14:textId="77777777" w:rsidR="003A52BD" w:rsidRPr="003D58DF" w:rsidRDefault="003A52BD" w:rsidP="003D58DF">
            <w:pPr>
              <w:jc w:val="both"/>
              <w:rPr>
                <w:rFonts w:asciiTheme="majorHAnsi" w:hAnsiTheme="majorHAnsi"/>
                <w:b/>
                <w:sz w:val="20"/>
                <w:szCs w:val="20"/>
              </w:rPr>
            </w:pPr>
          </w:p>
          <w:p w14:paraId="562B51C1" w14:textId="77777777" w:rsidR="003A52BD" w:rsidRPr="003D58DF" w:rsidRDefault="003A52BD" w:rsidP="003D58DF">
            <w:pPr>
              <w:rPr>
                <w:rFonts w:asciiTheme="majorHAnsi" w:hAnsiTheme="majorHAnsi"/>
                <w:sz w:val="20"/>
                <w:szCs w:val="20"/>
              </w:rPr>
            </w:pPr>
            <w:r w:rsidRPr="003D58DF">
              <w:rPr>
                <w:rFonts w:asciiTheme="majorHAnsi" w:hAnsiTheme="majorHAnsi"/>
                <w:b/>
                <w:sz w:val="20"/>
                <w:szCs w:val="20"/>
              </w:rPr>
              <w:t xml:space="preserve">Indicateur 1.1: </w:t>
            </w:r>
            <w:r w:rsidRPr="003D58DF">
              <w:rPr>
                <w:rFonts w:asciiTheme="majorHAnsi" w:hAnsiTheme="majorHAnsi"/>
                <w:sz w:val="20"/>
                <w:szCs w:val="20"/>
              </w:rPr>
              <w:t>Les parties prenantes nationales ont une meilleure compréhension des enjeux politiques dans le processus de RSS</w:t>
            </w:r>
          </w:p>
          <w:p w14:paraId="56EC3CD7" w14:textId="77777777" w:rsidR="003A52BD" w:rsidRPr="003D58DF" w:rsidRDefault="003A52BD" w:rsidP="003D58DF">
            <w:pPr>
              <w:rPr>
                <w:rFonts w:asciiTheme="majorHAnsi" w:hAnsiTheme="majorHAnsi"/>
                <w:sz w:val="20"/>
                <w:szCs w:val="20"/>
              </w:rPr>
            </w:pPr>
          </w:p>
          <w:p w14:paraId="3FE6FB3E" w14:textId="77777777" w:rsidR="003A52BD" w:rsidRPr="003D58DF" w:rsidRDefault="003A52BD" w:rsidP="003D58DF">
            <w:pPr>
              <w:rPr>
                <w:rFonts w:asciiTheme="majorHAnsi" w:hAnsiTheme="majorHAnsi"/>
                <w:sz w:val="20"/>
                <w:szCs w:val="20"/>
              </w:rPr>
            </w:pPr>
          </w:p>
          <w:p w14:paraId="1B414C06" w14:textId="77777777" w:rsidR="003A52BD" w:rsidRPr="003D58DF" w:rsidRDefault="003A52BD" w:rsidP="003D58DF">
            <w:pPr>
              <w:rPr>
                <w:rFonts w:asciiTheme="majorHAnsi" w:hAnsiTheme="majorHAnsi"/>
                <w:b/>
                <w:sz w:val="20"/>
                <w:szCs w:val="20"/>
              </w:rPr>
            </w:pPr>
          </w:p>
          <w:p w14:paraId="330E3522" w14:textId="77777777" w:rsidR="003A52BD" w:rsidRPr="003D58DF" w:rsidRDefault="003A52BD" w:rsidP="003D58DF">
            <w:pPr>
              <w:rPr>
                <w:rFonts w:asciiTheme="majorHAnsi" w:hAnsiTheme="majorHAnsi"/>
                <w:b/>
                <w:sz w:val="20"/>
                <w:szCs w:val="20"/>
              </w:rPr>
            </w:pPr>
          </w:p>
          <w:p w14:paraId="4319209C" w14:textId="77777777" w:rsidR="003A52BD" w:rsidRPr="003D58DF" w:rsidRDefault="003A52BD" w:rsidP="003D58DF">
            <w:pPr>
              <w:rPr>
                <w:rFonts w:asciiTheme="majorHAnsi" w:hAnsiTheme="majorHAnsi"/>
                <w:b/>
                <w:sz w:val="20"/>
                <w:szCs w:val="20"/>
              </w:rPr>
            </w:pPr>
          </w:p>
          <w:p w14:paraId="3604D08C" w14:textId="77777777" w:rsidR="003A52BD" w:rsidRPr="003D58DF" w:rsidRDefault="003A52BD" w:rsidP="003D58DF">
            <w:pPr>
              <w:rPr>
                <w:rFonts w:asciiTheme="majorHAnsi" w:hAnsiTheme="majorHAnsi"/>
                <w:b/>
                <w:sz w:val="20"/>
                <w:szCs w:val="20"/>
              </w:rPr>
            </w:pPr>
          </w:p>
          <w:p w14:paraId="71C15676" w14:textId="77777777" w:rsidR="003A52BD" w:rsidRPr="003D58DF" w:rsidRDefault="003A52BD" w:rsidP="003D58DF">
            <w:pPr>
              <w:rPr>
                <w:rFonts w:asciiTheme="majorHAnsi" w:hAnsiTheme="majorHAnsi"/>
                <w:sz w:val="20"/>
                <w:szCs w:val="20"/>
              </w:rPr>
            </w:pPr>
            <w:r w:rsidRPr="003D58DF">
              <w:rPr>
                <w:rFonts w:asciiTheme="majorHAnsi" w:hAnsiTheme="majorHAnsi"/>
                <w:b/>
                <w:sz w:val="20"/>
                <w:szCs w:val="20"/>
              </w:rPr>
              <w:t>Indicateur 1.2 :</w:t>
            </w:r>
            <w:r w:rsidRPr="003D58DF">
              <w:rPr>
                <w:rFonts w:asciiTheme="majorHAnsi" w:hAnsiTheme="majorHAnsi"/>
                <w:sz w:val="20"/>
                <w:szCs w:val="20"/>
              </w:rPr>
              <w:t xml:space="preserve"> </w:t>
            </w:r>
            <w:r w:rsidRPr="003D58DF">
              <w:rPr>
                <w:rStyle w:val="hps"/>
                <w:rFonts w:asciiTheme="majorHAnsi" w:hAnsiTheme="majorHAnsi"/>
                <w:sz w:val="20"/>
                <w:szCs w:val="20"/>
              </w:rPr>
              <w:t>Une stratégie nationale de</w:t>
            </w:r>
            <w:r w:rsidRPr="003D58DF">
              <w:rPr>
                <w:rFonts w:asciiTheme="majorHAnsi" w:hAnsiTheme="majorHAnsi"/>
                <w:sz w:val="20"/>
                <w:szCs w:val="20"/>
              </w:rPr>
              <w:t xml:space="preserve"> </w:t>
            </w:r>
            <w:r w:rsidRPr="003D58DF">
              <w:rPr>
                <w:rStyle w:val="hps"/>
                <w:rFonts w:asciiTheme="majorHAnsi" w:hAnsiTheme="majorHAnsi"/>
                <w:sz w:val="20"/>
                <w:szCs w:val="20"/>
              </w:rPr>
              <w:t>RSS est</w:t>
            </w:r>
            <w:r w:rsidRPr="003D58DF">
              <w:rPr>
                <w:rFonts w:asciiTheme="majorHAnsi" w:hAnsiTheme="majorHAnsi"/>
                <w:sz w:val="20"/>
                <w:szCs w:val="20"/>
              </w:rPr>
              <w:t xml:space="preserve"> </w:t>
            </w:r>
            <w:r w:rsidRPr="003D58DF">
              <w:rPr>
                <w:rStyle w:val="hps"/>
                <w:rFonts w:asciiTheme="majorHAnsi" w:hAnsiTheme="majorHAnsi"/>
                <w:sz w:val="20"/>
                <w:szCs w:val="20"/>
              </w:rPr>
              <w:t>adoptée</w:t>
            </w:r>
            <w:r w:rsidRPr="003D58DF">
              <w:rPr>
                <w:rFonts w:asciiTheme="majorHAnsi" w:hAnsiTheme="majorHAnsi"/>
                <w:sz w:val="20"/>
                <w:szCs w:val="20"/>
              </w:rPr>
              <w:t xml:space="preserve"> </w:t>
            </w:r>
            <w:r w:rsidRPr="003D58DF">
              <w:rPr>
                <w:rStyle w:val="hps"/>
                <w:rFonts w:asciiTheme="majorHAnsi" w:hAnsiTheme="majorHAnsi"/>
                <w:sz w:val="20"/>
                <w:szCs w:val="20"/>
              </w:rPr>
              <w:t>et approuvée par</w:t>
            </w:r>
            <w:r w:rsidRPr="003D58DF">
              <w:rPr>
                <w:rFonts w:asciiTheme="majorHAnsi" w:hAnsiTheme="majorHAnsi"/>
                <w:sz w:val="20"/>
                <w:szCs w:val="20"/>
              </w:rPr>
              <w:t xml:space="preserve"> </w:t>
            </w:r>
            <w:r w:rsidRPr="003D58DF">
              <w:rPr>
                <w:rStyle w:val="hps"/>
                <w:rFonts w:asciiTheme="majorHAnsi" w:hAnsiTheme="majorHAnsi"/>
                <w:sz w:val="20"/>
                <w:szCs w:val="20"/>
              </w:rPr>
              <w:t>toutes les parties prenantes</w:t>
            </w:r>
            <w:r w:rsidRPr="003D58DF">
              <w:rPr>
                <w:rFonts w:asciiTheme="majorHAnsi" w:hAnsiTheme="majorHAnsi"/>
                <w:sz w:val="20"/>
                <w:szCs w:val="20"/>
              </w:rPr>
              <w:t xml:space="preserve">, y compris </w:t>
            </w:r>
            <w:r w:rsidRPr="003D58DF">
              <w:rPr>
                <w:rStyle w:val="hps"/>
                <w:rFonts w:asciiTheme="majorHAnsi" w:hAnsiTheme="majorHAnsi"/>
                <w:sz w:val="20"/>
                <w:szCs w:val="20"/>
              </w:rPr>
              <w:t>par la société civile</w:t>
            </w:r>
          </w:p>
          <w:p w14:paraId="211ED146" w14:textId="77777777" w:rsidR="003A52BD" w:rsidRPr="003D58DF" w:rsidRDefault="003A52BD" w:rsidP="003D58DF">
            <w:pPr>
              <w:rPr>
                <w:rFonts w:asciiTheme="majorHAnsi" w:hAnsiTheme="majorHAnsi"/>
                <w:bCs/>
                <w:sz w:val="20"/>
                <w:szCs w:val="20"/>
              </w:rPr>
            </w:pPr>
          </w:p>
        </w:tc>
        <w:tc>
          <w:tcPr>
            <w:tcW w:w="3543" w:type="dxa"/>
            <w:shd w:val="clear" w:color="auto" w:fill="auto"/>
          </w:tcPr>
          <w:p w14:paraId="364F2D31" w14:textId="77777777" w:rsidR="003A52BD" w:rsidRPr="003D58DF" w:rsidRDefault="003A52BD" w:rsidP="003D58DF">
            <w:pPr>
              <w:pStyle w:val="BodyText"/>
              <w:spacing w:after="0"/>
              <w:jc w:val="both"/>
              <w:rPr>
                <w:bCs/>
                <w:sz w:val="20"/>
                <w:lang w:val="fr-FR"/>
              </w:rPr>
            </w:pPr>
          </w:p>
          <w:p w14:paraId="16858493" w14:textId="77777777" w:rsidR="003A52BD" w:rsidRPr="003D58DF" w:rsidRDefault="003A52BD" w:rsidP="003D58DF">
            <w:pPr>
              <w:pStyle w:val="BodyText"/>
              <w:spacing w:after="0"/>
              <w:jc w:val="both"/>
              <w:rPr>
                <w:rFonts w:asciiTheme="majorHAnsi" w:hAnsiTheme="majorHAnsi"/>
                <w:bCs/>
                <w:sz w:val="20"/>
                <w:lang w:val="fr-FR"/>
              </w:rPr>
            </w:pPr>
          </w:p>
          <w:p w14:paraId="1B3BB1BA" w14:textId="77777777" w:rsidR="003A52BD" w:rsidRPr="003D58DF" w:rsidRDefault="003A52BD" w:rsidP="003D58DF">
            <w:pPr>
              <w:pStyle w:val="BodyText"/>
              <w:spacing w:after="0"/>
              <w:jc w:val="both"/>
              <w:rPr>
                <w:rFonts w:asciiTheme="majorHAnsi" w:hAnsiTheme="majorHAnsi"/>
                <w:bCs/>
                <w:sz w:val="20"/>
                <w:lang w:val="fr-FR"/>
              </w:rPr>
            </w:pPr>
          </w:p>
          <w:p w14:paraId="5C1DFA7F" w14:textId="77777777" w:rsidR="003A52BD" w:rsidRDefault="003A52BD" w:rsidP="003D58DF">
            <w:pPr>
              <w:pStyle w:val="BodyText"/>
              <w:spacing w:after="0"/>
              <w:jc w:val="both"/>
              <w:rPr>
                <w:rFonts w:asciiTheme="majorHAnsi" w:hAnsiTheme="majorHAnsi"/>
                <w:bCs/>
                <w:sz w:val="20"/>
                <w:lang w:val="fr-FR"/>
              </w:rPr>
            </w:pPr>
          </w:p>
          <w:p w14:paraId="051FB062" w14:textId="77777777" w:rsidR="003A52BD" w:rsidRDefault="003A52BD" w:rsidP="003D58DF">
            <w:pPr>
              <w:pStyle w:val="BodyText"/>
              <w:spacing w:after="0"/>
              <w:jc w:val="both"/>
              <w:rPr>
                <w:rFonts w:asciiTheme="majorHAnsi" w:hAnsiTheme="majorHAnsi"/>
                <w:bCs/>
                <w:sz w:val="20"/>
                <w:lang w:val="fr-FR"/>
              </w:rPr>
            </w:pPr>
          </w:p>
          <w:p w14:paraId="2BBE55B4" w14:textId="77777777" w:rsidR="003A52BD" w:rsidRDefault="003A52BD" w:rsidP="003D58DF">
            <w:pPr>
              <w:pStyle w:val="BodyText"/>
              <w:spacing w:after="0"/>
              <w:jc w:val="both"/>
              <w:rPr>
                <w:rFonts w:asciiTheme="majorHAnsi" w:hAnsiTheme="majorHAnsi"/>
                <w:bCs/>
                <w:sz w:val="20"/>
                <w:lang w:val="fr-FR"/>
              </w:rPr>
            </w:pPr>
          </w:p>
          <w:p w14:paraId="3FEA9369" w14:textId="77777777" w:rsidR="003A52BD" w:rsidRDefault="003A52BD" w:rsidP="003D58DF">
            <w:pPr>
              <w:pStyle w:val="BodyText"/>
              <w:spacing w:after="0"/>
              <w:jc w:val="both"/>
              <w:rPr>
                <w:rFonts w:asciiTheme="majorHAnsi" w:hAnsiTheme="majorHAnsi"/>
                <w:bCs/>
                <w:sz w:val="20"/>
                <w:lang w:val="fr-FR"/>
              </w:rPr>
            </w:pPr>
          </w:p>
          <w:p w14:paraId="252605C1" w14:textId="77777777" w:rsidR="003A52BD" w:rsidRDefault="003A52BD" w:rsidP="003D58DF">
            <w:pPr>
              <w:pStyle w:val="BodyText"/>
              <w:spacing w:after="0"/>
              <w:jc w:val="both"/>
              <w:rPr>
                <w:rFonts w:asciiTheme="majorHAnsi" w:hAnsiTheme="majorHAnsi"/>
                <w:bCs/>
                <w:sz w:val="20"/>
                <w:lang w:val="fr-FR"/>
              </w:rPr>
            </w:pPr>
          </w:p>
          <w:p w14:paraId="3EB77217" w14:textId="77777777" w:rsidR="003A52BD" w:rsidRPr="003D58DF" w:rsidRDefault="003A52BD" w:rsidP="003D58DF">
            <w:pPr>
              <w:pStyle w:val="BodyText"/>
              <w:spacing w:after="0"/>
              <w:jc w:val="both"/>
              <w:rPr>
                <w:rFonts w:asciiTheme="majorHAnsi" w:hAnsiTheme="majorHAnsi"/>
                <w:bCs/>
                <w:sz w:val="20"/>
                <w:lang w:val="fr-FR"/>
              </w:rPr>
            </w:pPr>
            <w:r w:rsidRPr="003D58DF">
              <w:rPr>
                <w:rFonts w:asciiTheme="majorHAnsi" w:hAnsiTheme="majorHAnsi"/>
                <w:bCs/>
                <w:sz w:val="20"/>
                <w:lang w:val="fr-FR"/>
              </w:rPr>
              <w:t xml:space="preserve">Les capacités du Comité National de Pilotage de la RSS ont étés renforcés, en vue de la finalisation des 5 politiques sectorielles et l’élaboration de la Stratégie Nationale d’Actions Prioritaires. </w:t>
            </w:r>
          </w:p>
          <w:p w14:paraId="1EA09FF1" w14:textId="77777777" w:rsidR="003A52BD" w:rsidRPr="003D58DF" w:rsidRDefault="003A52BD" w:rsidP="003D58DF">
            <w:pPr>
              <w:pStyle w:val="BodyText"/>
              <w:spacing w:after="0"/>
              <w:jc w:val="both"/>
              <w:rPr>
                <w:rFonts w:asciiTheme="majorHAnsi" w:hAnsiTheme="majorHAnsi"/>
                <w:bCs/>
                <w:sz w:val="20"/>
                <w:lang w:val="fr-FR"/>
              </w:rPr>
            </w:pPr>
          </w:p>
          <w:p w14:paraId="1324B440" w14:textId="77777777" w:rsidR="003A52BD" w:rsidRDefault="003A52BD" w:rsidP="003D58DF">
            <w:pPr>
              <w:pStyle w:val="BodyText"/>
              <w:spacing w:after="0"/>
              <w:jc w:val="both"/>
              <w:rPr>
                <w:rFonts w:asciiTheme="majorHAnsi" w:hAnsiTheme="majorHAnsi"/>
                <w:bCs/>
                <w:sz w:val="20"/>
                <w:lang w:val="fr-FR"/>
              </w:rPr>
            </w:pPr>
          </w:p>
          <w:p w14:paraId="0223AA9C" w14:textId="77777777" w:rsidR="003A52BD" w:rsidRDefault="003A52BD" w:rsidP="003D58DF">
            <w:pPr>
              <w:pStyle w:val="BodyText"/>
              <w:spacing w:after="0"/>
              <w:jc w:val="both"/>
              <w:rPr>
                <w:rFonts w:asciiTheme="majorHAnsi" w:hAnsiTheme="majorHAnsi"/>
                <w:bCs/>
                <w:sz w:val="20"/>
                <w:lang w:val="fr-FR"/>
              </w:rPr>
            </w:pPr>
          </w:p>
          <w:p w14:paraId="2D54CE5B" w14:textId="77777777" w:rsidR="003A52BD" w:rsidRPr="003D58DF" w:rsidRDefault="003A52BD" w:rsidP="003D58DF">
            <w:pPr>
              <w:pStyle w:val="BodyText"/>
              <w:spacing w:after="0"/>
              <w:jc w:val="both"/>
              <w:rPr>
                <w:bCs/>
                <w:sz w:val="20"/>
                <w:lang w:val="fr-FR"/>
              </w:rPr>
            </w:pPr>
            <w:r w:rsidRPr="003D58DF">
              <w:rPr>
                <w:rFonts w:asciiTheme="majorHAnsi" w:hAnsiTheme="majorHAnsi"/>
                <w:bCs/>
                <w:sz w:val="20"/>
                <w:lang w:val="fr-FR"/>
              </w:rPr>
              <w:t>Le Bureau Conseil Stratégique a appuyé l’élaboration et la finalisation de la politique nationale de défense et de sécurité. Le document a été présenté par le Président de la République lors de la réunion de la Commission d’Orientation Stratégique du 15 novembre 2013.</w:t>
            </w:r>
            <w:r w:rsidRPr="003D58DF">
              <w:rPr>
                <w:bCs/>
                <w:sz w:val="20"/>
                <w:lang w:val="fr-FR"/>
              </w:rPr>
              <w:t xml:space="preserve"> </w:t>
            </w:r>
          </w:p>
        </w:tc>
        <w:tc>
          <w:tcPr>
            <w:tcW w:w="3261" w:type="dxa"/>
            <w:shd w:val="clear" w:color="auto" w:fill="auto"/>
          </w:tcPr>
          <w:p w14:paraId="297D4EEE" w14:textId="77777777" w:rsidR="003A52BD" w:rsidRPr="003D58DF" w:rsidRDefault="003A52BD" w:rsidP="003D58DF">
            <w:pPr>
              <w:pStyle w:val="BodyText"/>
              <w:spacing w:after="0"/>
              <w:jc w:val="both"/>
              <w:rPr>
                <w:rFonts w:asciiTheme="majorHAnsi" w:hAnsiTheme="majorHAnsi"/>
                <w:bCs/>
                <w:sz w:val="20"/>
                <w:lang w:val="fr-FR"/>
              </w:rPr>
            </w:pPr>
          </w:p>
          <w:p w14:paraId="4749D115" w14:textId="77777777" w:rsidR="003A52BD" w:rsidRPr="003D58DF" w:rsidRDefault="003A52BD" w:rsidP="003D58DF">
            <w:pPr>
              <w:pStyle w:val="BodyText"/>
              <w:spacing w:after="0"/>
              <w:jc w:val="both"/>
              <w:rPr>
                <w:rFonts w:asciiTheme="majorHAnsi" w:hAnsiTheme="majorHAnsi"/>
                <w:bCs/>
                <w:sz w:val="20"/>
                <w:lang w:val="fr-FR"/>
              </w:rPr>
            </w:pPr>
          </w:p>
          <w:p w14:paraId="75E6FD8C" w14:textId="77777777" w:rsidR="003A52BD" w:rsidRPr="003D58DF" w:rsidRDefault="003A52BD" w:rsidP="003D58DF">
            <w:pPr>
              <w:pStyle w:val="BodyText"/>
              <w:spacing w:after="0"/>
              <w:jc w:val="both"/>
              <w:rPr>
                <w:rFonts w:asciiTheme="majorHAnsi" w:hAnsiTheme="majorHAnsi"/>
                <w:bCs/>
                <w:sz w:val="20"/>
                <w:lang w:val="fr-FR"/>
              </w:rPr>
            </w:pPr>
          </w:p>
          <w:p w14:paraId="3999EBC8" w14:textId="77777777" w:rsidR="003A52BD" w:rsidRDefault="003A52BD" w:rsidP="003D58DF">
            <w:pPr>
              <w:pStyle w:val="BodyText"/>
              <w:spacing w:after="0"/>
              <w:jc w:val="both"/>
              <w:rPr>
                <w:rFonts w:asciiTheme="majorHAnsi" w:hAnsiTheme="majorHAnsi"/>
                <w:bCs/>
                <w:sz w:val="20"/>
                <w:lang w:val="fr-FR"/>
              </w:rPr>
            </w:pPr>
          </w:p>
          <w:p w14:paraId="60F71E50" w14:textId="77777777" w:rsidR="003A52BD" w:rsidRDefault="003A52BD" w:rsidP="003D58DF">
            <w:pPr>
              <w:pStyle w:val="BodyText"/>
              <w:spacing w:after="0"/>
              <w:jc w:val="both"/>
              <w:rPr>
                <w:rFonts w:asciiTheme="majorHAnsi" w:hAnsiTheme="majorHAnsi"/>
                <w:bCs/>
                <w:sz w:val="20"/>
                <w:lang w:val="fr-FR"/>
              </w:rPr>
            </w:pPr>
          </w:p>
          <w:p w14:paraId="0352C7EC" w14:textId="77777777" w:rsidR="003A52BD" w:rsidRDefault="003A52BD" w:rsidP="003D58DF">
            <w:pPr>
              <w:pStyle w:val="BodyText"/>
              <w:spacing w:after="0"/>
              <w:jc w:val="both"/>
              <w:rPr>
                <w:rFonts w:asciiTheme="majorHAnsi" w:hAnsiTheme="majorHAnsi"/>
                <w:bCs/>
                <w:sz w:val="20"/>
                <w:lang w:val="fr-FR"/>
              </w:rPr>
            </w:pPr>
          </w:p>
          <w:p w14:paraId="19CC4895" w14:textId="77777777" w:rsidR="003A52BD" w:rsidRDefault="003A52BD" w:rsidP="003D58DF">
            <w:pPr>
              <w:pStyle w:val="BodyText"/>
              <w:spacing w:after="0"/>
              <w:jc w:val="both"/>
              <w:rPr>
                <w:rFonts w:asciiTheme="majorHAnsi" w:hAnsiTheme="majorHAnsi"/>
                <w:bCs/>
                <w:sz w:val="20"/>
                <w:lang w:val="fr-FR"/>
              </w:rPr>
            </w:pPr>
          </w:p>
          <w:p w14:paraId="4D09372D" w14:textId="77777777" w:rsidR="003A52BD" w:rsidRDefault="003A52BD" w:rsidP="003D58DF">
            <w:pPr>
              <w:pStyle w:val="BodyText"/>
              <w:spacing w:after="0"/>
              <w:jc w:val="both"/>
              <w:rPr>
                <w:rFonts w:asciiTheme="majorHAnsi" w:hAnsiTheme="majorHAnsi"/>
                <w:bCs/>
                <w:sz w:val="20"/>
                <w:lang w:val="fr-FR"/>
              </w:rPr>
            </w:pPr>
          </w:p>
          <w:p w14:paraId="759688EB" w14:textId="77777777" w:rsidR="003A52BD" w:rsidRPr="003D58DF" w:rsidRDefault="003A52BD" w:rsidP="003D58DF">
            <w:pPr>
              <w:pStyle w:val="BodyText"/>
              <w:spacing w:after="0"/>
              <w:jc w:val="both"/>
              <w:rPr>
                <w:rFonts w:asciiTheme="majorHAnsi" w:hAnsiTheme="majorHAnsi"/>
                <w:bCs/>
                <w:sz w:val="20"/>
                <w:lang w:val="fr-FR"/>
              </w:rPr>
            </w:pPr>
            <w:r w:rsidRPr="003D58DF">
              <w:rPr>
                <w:rFonts w:asciiTheme="majorHAnsi" w:hAnsiTheme="majorHAnsi"/>
                <w:bCs/>
                <w:sz w:val="20"/>
                <w:lang w:val="fr-FR"/>
              </w:rPr>
              <w:t>N/A</w:t>
            </w:r>
          </w:p>
          <w:p w14:paraId="2B0F9BD4" w14:textId="77777777" w:rsidR="003A52BD" w:rsidRPr="003D58DF" w:rsidRDefault="003A52BD" w:rsidP="003D58DF">
            <w:pPr>
              <w:pStyle w:val="BodyText"/>
              <w:spacing w:after="0"/>
              <w:jc w:val="both"/>
              <w:rPr>
                <w:rFonts w:asciiTheme="majorHAnsi" w:hAnsiTheme="majorHAnsi"/>
                <w:bCs/>
                <w:sz w:val="20"/>
                <w:lang w:val="fr-FR"/>
              </w:rPr>
            </w:pPr>
          </w:p>
          <w:p w14:paraId="10D9E29E" w14:textId="77777777" w:rsidR="003A52BD" w:rsidRPr="003D58DF" w:rsidRDefault="003A52BD" w:rsidP="003D58DF">
            <w:pPr>
              <w:pStyle w:val="BodyText"/>
              <w:spacing w:after="0"/>
              <w:jc w:val="both"/>
              <w:rPr>
                <w:rFonts w:asciiTheme="majorHAnsi" w:hAnsiTheme="majorHAnsi"/>
                <w:bCs/>
                <w:sz w:val="20"/>
                <w:lang w:val="fr-FR"/>
              </w:rPr>
            </w:pPr>
          </w:p>
          <w:p w14:paraId="11D78FA2" w14:textId="77777777" w:rsidR="003A52BD" w:rsidRPr="003D58DF" w:rsidRDefault="003A52BD" w:rsidP="003D58DF">
            <w:pPr>
              <w:pStyle w:val="BodyText"/>
              <w:spacing w:after="0"/>
              <w:jc w:val="both"/>
              <w:rPr>
                <w:rFonts w:asciiTheme="majorHAnsi" w:hAnsiTheme="majorHAnsi"/>
                <w:bCs/>
                <w:sz w:val="20"/>
                <w:lang w:val="fr-FR"/>
              </w:rPr>
            </w:pPr>
          </w:p>
          <w:p w14:paraId="15ADF13A" w14:textId="77777777" w:rsidR="003A52BD" w:rsidRPr="003D58DF" w:rsidRDefault="003A52BD" w:rsidP="003D58DF">
            <w:pPr>
              <w:pStyle w:val="BodyText"/>
              <w:spacing w:after="0"/>
              <w:jc w:val="both"/>
              <w:rPr>
                <w:rFonts w:asciiTheme="majorHAnsi" w:hAnsiTheme="majorHAnsi"/>
                <w:bCs/>
                <w:sz w:val="20"/>
                <w:lang w:val="fr-FR"/>
              </w:rPr>
            </w:pPr>
          </w:p>
          <w:p w14:paraId="4D0BFA76" w14:textId="77777777" w:rsidR="003A52BD" w:rsidRPr="003D58DF" w:rsidRDefault="003A52BD" w:rsidP="003D58DF">
            <w:pPr>
              <w:pStyle w:val="BodyText"/>
              <w:spacing w:after="0"/>
              <w:jc w:val="both"/>
              <w:rPr>
                <w:rFonts w:asciiTheme="majorHAnsi" w:hAnsiTheme="majorHAnsi"/>
                <w:bCs/>
                <w:sz w:val="20"/>
                <w:lang w:val="fr-FR"/>
              </w:rPr>
            </w:pPr>
          </w:p>
          <w:p w14:paraId="5F946A24" w14:textId="77777777" w:rsidR="003A52BD" w:rsidRDefault="003A52BD" w:rsidP="003D58DF">
            <w:pPr>
              <w:pStyle w:val="BodyText"/>
              <w:spacing w:after="0"/>
              <w:jc w:val="both"/>
              <w:rPr>
                <w:rFonts w:asciiTheme="majorHAnsi" w:hAnsiTheme="majorHAnsi"/>
                <w:bCs/>
                <w:sz w:val="20"/>
                <w:lang w:val="fr-FR"/>
              </w:rPr>
            </w:pPr>
          </w:p>
          <w:p w14:paraId="5BB8C8C9" w14:textId="77777777" w:rsidR="003A52BD" w:rsidRDefault="003A52BD" w:rsidP="003D58DF">
            <w:pPr>
              <w:pStyle w:val="BodyText"/>
              <w:spacing w:after="0"/>
              <w:jc w:val="both"/>
              <w:rPr>
                <w:rFonts w:asciiTheme="majorHAnsi" w:hAnsiTheme="majorHAnsi"/>
                <w:bCs/>
                <w:sz w:val="20"/>
                <w:lang w:val="fr-FR"/>
              </w:rPr>
            </w:pPr>
          </w:p>
          <w:p w14:paraId="5AFB9B76" w14:textId="77777777" w:rsidR="003A52BD" w:rsidRDefault="003A52BD" w:rsidP="003D58DF">
            <w:pPr>
              <w:pStyle w:val="BodyText"/>
              <w:spacing w:after="0"/>
              <w:jc w:val="both"/>
              <w:rPr>
                <w:rFonts w:asciiTheme="majorHAnsi" w:hAnsiTheme="majorHAnsi"/>
                <w:bCs/>
                <w:sz w:val="20"/>
                <w:lang w:val="fr-FR"/>
              </w:rPr>
            </w:pPr>
          </w:p>
          <w:p w14:paraId="0187F2E9" w14:textId="77777777" w:rsidR="003A52BD" w:rsidRPr="003D58DF" w:rsidRDefault="003A52BD" w:rsidP="003D58DF">
            <w:pPr>
              <w:pStyle w:val="BodyText"/>
              <w:spacing w:after="0"/>
              <w:jc w:val="both"/>
              <w:rPr>
                <w:rFonts w:asciiTheme="majorHAnsi" w:hAnsiTheme="majorHAnsi"/>
                <w:bCs/>
                <w:sz w:val="20"/>
                <w:lang w:val="fr-FR"/>
              </w:rPr>
            </w:pPr>
            <w:r w:rsidRPr="003D58DF">
              <w:rPr>
                <w:rFonts w:asciiTheme="majorHAnsi" w:hAnsiTheme="majorHAnsi"/>
                <w:bCs/>
                <w:sz w:val="20"/>
                <w:lang w:val="fr-FR"/>
              </w:rPr>
              <w:t>N/A</w:t>
            </w:r>
          </w:p>
        </w:tc>
        <w:tc>
          <w:tcPr>
            <w:tcW w:w="3003" w:type="dxa"/>
            <w:shd w:val="clear" w:color="auto" w:fill="auto"/>
          </w:tcPr>
          <w:p w14:paraId="577E7D7B" w14:textId="77777777" w:rsidR="003A52BD" w:rsidRPr="003D58DF" w:rsidRDefault="003A52BD" w:rsidP="003D58DF">
            <w:pPr>
              <w:pStyle w:val="BodyText"/>
              <w:spacing w:after="0"/>
              <w:jc w:val="both"/>
              <w:rPr>
                <w:rFonts w:asciiTheme="majorHAnsi" w:hAnsiTheme="majorHAnsi"/>
                <w:bCs/>
                <w:sz w:val="20"/>
                <w:lang w:val="fr-FR"/>
              </w:rPr>
            </w:pPr>
          </w:p>
          <w:p w14:paraId="2AA0B14D" w14:textId="77777777" w:rsidR="003A52BD" w:rsidRPr="003D58DF" w:rsidRDefault="003A52BD" w:rsidP="003D58DF">
            <w:pPr>
              <w:pStyle w:val="BodyText"/>
              <w:spacing w:after="0"/>
              <w:jc w:val="both"/>
              <w:rPr>
                <w:rFonts w:asciiTheme="majorHAnsi" w:hAnsiTheme="majorHAnsi"/>
                <w:bCs/>
                <w:sz w:val="20"/>
                <w:lang w:val="fr-FR"/>
              </w:rPr>
            </w:pPr>
          </w:p>
          <w:p w14:paraId="71BE9F33" w14:textId="77777777" w:rsidR="003A52BD" w:rsidRPr="003D58DF" w:rsidRDefault="003A52BD" w:rsidP="003D58DF">
            <w:pPr>
              <w:pStyle w:val="BodyText"/>
              <w:spacing w:after="0"/>
              <w:jc w:val="both"/>
              <w:rPr>
                <w:rFonts w:asciiTheme="majorHAnsi" w:hAnsiTheme="majorHAnsi"/>
                <w:bCs/>
                <w:sz w:val="20"/>
                <w:lang w:val="fr-FR"/>
              </w:rPr>
            </w:pPr>
          </w:p>
          <w:p w14:paraId="38EE6BA0" w14:textId="77777777" w:rsidR="003A52BD" w:rsidRPr="003D58DF" w:rsidRDefault="003A52BD" w:rsidP="003D58DF">
            <w:pPr>
              <w:pStyle w:val="BodyText"/>
              <w:spacing w:after="0"/>
              <w:jc w:val="both"/>
              <w:rPr>
                <w:rFonts w:asciiTheme="majorHAnsi" w:hAnsiTheme="majorHAnsi"/>
                <w:bCs/>
                <w:sz w:val="20"/>
                <w:lang w:val="fr-FR"/>
              </w:rPr>
            </w:pPr>
          </w:p>
          <w:p w14:paraId="2DA3BBF5" w14:textId="77777777" w:rsidR="003A52BD" w:rsidRPr="003D58DF" w:rsidRDefault="003A52BD" w:rsidP="003D58DF">
            <w:pPr>
              <w:pStyle w:val="BodyText"/>
              <w:spacing w:after="0"/>
              <w:jc w:val="both"/>
              <w:rPr>
                <w:rFonts w:asciiTheme="majorHAnsi" w:hAnsiTheme="majorHAnsi"/>
                <w:bCs/>
                <w:sz w:val="20"/>
                <w:lang w:val="fr-FR"/>
              </w:rPr>
            </w:pPr>
          </w:p>
          <w:p w14:paraId="7D6E6FE1" w14:textId="77777777" w:rsidR="003A52BD" w:rsidRPr="003D58DF" w:rsidRDefault="003A52BD" w:rsidP="003D58DF">
            <w:pPr>
              <w:pStyle w:val="BodyText"/>
              <w:spacing w:after="0"/>
              <w:jc w:val="both"/>
              <w:rPr>
                <w:rFonts w:asciiTheme="majorHAnsi" w:hAnsiTheme="majorHAnsi"/>
                <w:bCs/>
                <w:sz w:val="20"/>
                <w:lang w:val="fr-FR"/>
              </w:rPr>
            </w:pPr>
          </w:p>
          <w:p w14:paraId="10C70EB1" w14:textId="77777777" w:rsidR="003A52BD" w:rsidRDefault="003A52BD" w:rsidP="003D58DF">
            <w:pPr>
              <w:pStyle w:val="BodyText"/>
              <w:spacing w:after="0"/>
              <w:jc w:val="both"/>
              <w:rPr>
                <w:rFonts w:asciiTheme="majorHAnsi" w:hAnsiTheme="majorHAnsi"/>
                <w:bCs/>
                <w:sz w:val="20"/>
                <w:lang w:val="fr-FR"/>
              </w:rPr>
            </w:pPr>
          </w:p>
          <w:p w14:paraId="3F8B4AD5" w14:textId="77777777" w:rsidR="003A52BD" w:rsidRDefault="003A52BD" w:rsidP="003D58DF">
            <w:pPr>
              <w:pStyle w:val="BodyText"/>
              <w:spacing w:after="0"/>
              <w:jc w:val="both"/>
              <w:rPr>
                <w:rFonts w:asciiTheme="majorHAnsi" w:hAnsiTheme="majorHAnsi"/>
                <w:bCs/>
                <w:sz w:val="20"/>
                <w:lang w:val="fr-FR"/>
              </w:rPr>
            </w:pPr>
          </w:p>
          <w:p w14:paraId="5DC29F80" w14:textId="77777777" w:rsidR="003A52BD" w:rsidRPr="003D58DF" w:rsidRDefault="003A52BD" w:rsidP="003D58DF">
            <w:pPr>
              <w:pStyle w:val="BodyText"/>
              <w:spacing w:after="0"/>
              <w:jc w:val="both"/>
              <w:rPr>
                <w:rFonts w:asciiTheme="majorHAnsi" w:hAnsiTheme="majorHAnsi"/>
                <w:bCs/>
                <w:sz w:val="20"/>
                <w:lang w:val="fr-FR"/>
              </w:rPr>
            </w:pPr>
            <w:r w:rsidRPr="003D58DF">
              <w:rPr>
                <w:rFonts w:asciiTheme="majorHAnsi" w:hAnsiTheme="majorHAnsi"/>
                <w:bCs/>
                <w:sz w:val="20"/>
                <w:lang w:val="fr-FR"/>
              </w:rPr>
              <w:t xml:space="preserve">5 projets de  politiques sectorielles </w:t>
            </w:r>
            <w:r>
              <w:rPr>
                <w:rFonts w:asciiTheme="majorHAnsi" w:hAnsiTheme="majorHAnsi"/>
                <w:bCs/>
                <w:sz w:val="20"/>
                <w:lang w:val="fr-FR"/>
              </w:rPr>
              <w:t xml:space="preserve">finalisés et la Stratégie Nationale d’Actions Prioritaires </w:t>
            </w:r>
          </w:p>
          <w:p w14:paraId="0E6DCE57" w14:textId="77777777" w:rsidR="003A52BD" w:rsidRPr="003D58DF" w:rsidRDefault="003A52BD" w:rsidP="003D58DF">
            <w:pPr>
              <w:pStyle w:val="BodyText"/>
              <w:spacing w:after="0"/>
              <w:jc w:val="both"/>
              <w:rPr>
                <w:rFonts w:asciiTheme="majorHAnsi" w:hAnsiTheme="majorHAnsi"/>
                <w:bCs/>
                <w:sz w:val="20"/>
                <w:lang w:val="fr-FR"/>
              </w:rPr>
            </w:pPr>
          </w:p>
          <w:p w14:paraId="2591951B" w14:textId="77777777" w:rsidR="003A52BD" w:rsidRPr="003D58DF" w:rsidRDefault="003A52BD" w:rsidP="003D58DF">
            <w:pPr>
              <w:pStyle w:val="BodyText"/>
              <w:spacing w:after="0"/>
              <w:jc w:val="both"/>
              <w:rPr>
                <w:rFonts w:asciiTheme="majorHAnsi" w:hAnsiTheme="majorHAnsi"/>
                <w:bCs/>
                <w:sz w:val="20"/>
                <w:lang w:val="fr-FR"/>
              </w:rPr>
            </w:pPr>
          </w:p>
          <w:p w14:paraId="5D11FACF" w14:textId="77777777" w:rsidR="003A52BD" w:rsidRPr="003D58DF" w:rsidRDefault="003A52BD" w:rsidP="003D58DF">
            <w:pPr>
              <w:pStyle w:val="BodyText"/>
              <w:spacing w:after="0"/>
              <w:jc w:val="both"/>
              <w:rPr>
                <w:rFonts w:asciiTheme="majorHAnsi" w:hAnsiTheme="majorHAnsi"/>
                <w:bCs/>
                <w:sz w:val="20"/>
                <w:lang w:val="fr-FR"/>
              </w:rPr>
            </w:pPr>
          </w:p>
          <w:p w14:paraId="15CFB46A" w14:textId="77777777" w:rsidR="003A52BD" w:rsidRPr="003D58DF" w:rsidRDefault="003A52BD" w:rsidP="003D58DF">
            <w:pPr>
              <w:pStyle w:val="BodyText"/>
              <w:spacing w:after="0"/>
              <w:jc w:val="both"/>
              <w:rPr>
                <w:rFonts w:asciiTheme="majorHAnsi" w:hAnsiTheme="majorHAnsi"/>
                <w:bCs/>
                <w:sz w:val="20"/>
                <w:lang w:val="fr-FR"/>
              </w:rPr>
            </w:pPr>
          </w:p>
          <w:p w14:paraId="5C48F87C" w14:textId="77777777" w:rsidR="003A52BD" w:rsidRDefault="003A52BD" w:rsidP="003D58DF">
            <w:pPr>
              <w:pStyle w:val="BodyText"/>
              <w:spacing w:after="0"/>
              <w:jc w:val="both"/>
              <w:rPr>
                <w:rFonts w:asciiTheme="majorHAnsi" w:hAnsiTheme="majorHAnsi"/>
                <w:bCs/>
                <w:sz w:val="20"/>
                <w:lang w:val="fr-FR"/>
              </w:rPr>
            </w:pPr>
          </w:p>
          <w:p w14:paraId="76718CCD" w14:textId="77777777" w:rsidR="003A52BD" w:rsidRPr="003D58DF" w:rsidRDefault="003A52BD" w:rsidP="003D58DF">
            <w:pPr>
              <w:pStyle w:val="BodyText"/>
              <w:spacing w:after="0"/>
              <w:jc w:val="both"/>
              <w:rPr>
                <w:rFonts w:asciiTheme="majorHAnsi" w:hAnsiTheme="majorHAnsi"/>
                <w:bCs/>
                <w:sz w:val="20"/>
                <w:lang w:val="fr-FR"/>
              </w:rPr>
            </w:pPr>
            <w:r w:rsidRPr="003D58DF">
              <w:rPr>
                <w:rFonts w:asciiTheme="majorHAnsi" w:hAnsiTheme="majorHAnsi"/>
                <w:bCs/>
                <w:sz w:val="20"/>
                <w:lang w:val="fr-FR"/>
              </w:rPr>
              <w:t xml:space="preserve">5 projets de  politiques sectorielles </w:t>
            </w:r>
            <w:r>
              <w:rPr>
                <w:rFonts w:asciiTheme="majorHAnsi" w:hAnsiTheme="majorHAnsi"/>
                <w:bCs/>
                <w:sz w:val="20"/>
                <w:lang w:val="fr-FR"/>
              </w:rPr>
              <w:t xml:space="preserve">finalisés et la Stratégie Nationale d’Actions Prioritaires </w:t>
            </w:r>
          </w:p>
          <w:p w14:paraId="7D3399EB" w14:textId="77777777" w:rsidR="003A52BD" w:rsidRPr="003D58DF" w:rsidRDefault="003A52BD" w:rsidP="003D58DF">
            <w:pPr>
              <w:pStyle w:val="BodyText"/>
              <w:spacing w:after="0"/>
              <w:jc w:val="both"/>
              <w:rPr>
                <w:rFonts w:asciiTheme="majorHAnsi" w:hAnsiTheme="majorHAnsi"/>
                <w:bCs/>
                <w:sz w:val="20"/>
                <w:lang w:val="fr-FR"/>
              </w:rPr>
            </w:pPr>
          </w:p>
        </w:tc>
      </w:tr>
      <w:tr w:rsidR="003A52BD" w:rsidRPr="003A52BD" w14:paraId="043D2E81" w14:textId="77777777" w:rsidTr="009179D1">
        <w:trPr>
          <w:trHeight w:val="2838"/>
          <w:jc w:val="center"/>
        </w:trPr>
        <w:tc>
          <w:tcPr>
            <w:tcW w:w="3459" w:type="dxa"/>
          </w:tcPr>
          <w:p w14:paraId="2D6ED600" w14:textId="77777777" w:rsidR="003A52BD" w:rsidRPr="003D58DF" w:rsidRDefault="003A52BD" w:rsidP="003D58DF">
            <w:pPr>
              <w:rPr>
                <w:rFonts w:asciiTheme="majorHAnsi" w:hAnsiTheme="majorHAnsi"/>
                <w:b/>
                <w:sz w:val="20"/>
                <w:szCs w:val="20"/>
              </w:rPr>
            </w:pPr>
            <w:r w:rsidRPr="003D58DF">
              <w:rPr>
                <w:rFonts w:asciiTheme="majorHAnsi" w:hAnsiTheme="majorHAnsi"/>
                <w:b/>
                <w:sz w:val="20"/>
                <w:szCs w:val="20"/>
              </w:rPr>
              <w:lastRenderedPageBreak/>
              <w:t>Résultat / Produit 2 :</w:t>
            </w:r>
          </w:p>
          <w:p w14:paraId="101482F0" w14:textId="77777777" w:rsidR="003A52BD" w:rsidRPr="003D58DF" w:rsidRDefault="003A52BD" w:rsidP="003D58DF">
            <w:pPr>
              <w:rPr>
                <w:rFonts w:asciiTheme="majorHAnsi" w:hAnsiTheme="majorHAnsi"/>
                <w:b/>
                <w:sz w:val="20"/>
                <w:szCs w:val="20"/>
              </w:rPr>
            </w:pPr>
            <w:r w:rsidRPr="003D58DF">
              <w:rPr>
                <w:rFonts w:asciiTheme="majorHAnsi" w:hAnsiTheme="majorHAnsi"/>
                <w:b/>
                <w:i/>
                <w:sz w:val="20"/>
                <w:szCs w:val="20"/>
              </w:rPr>
              <w:t>Un appui NU/international cohérent est assuré à la stratégie nationale de RSS</w:t>
            </w:r>
            <w:r w:rsidRPr="003D58DF">
              <w:rPr>
                <w:rFonts w:asciiTheme="majorHAnsi" w:hAnsiTheme="majorHAnsi"/>
                <w:b/>
                <w:sz w:val="20"/>
                <w:szCs w:val="20"/>
              </w:rPr>
              <w:t>:</w:t>
            </w:r>
          </w:p>
          <w:p w14:paraId="7DEFE8DB" w14:textId="77777777" w:rsidR="003A52BD" w:rsidRPr="003D58DF" w:rsidRDefault="003A52BD" w:rsidP="003D58DF">
            <w:pPr>
              <w:rPr>
                <w:rFonts w:asciiTheme="majorHAnsi" w:hAnsiTheme="majorHAnsi"/>
                <w:sz w:val="20"/>
                <w:szCs w:val="20"/>
              </w:rPr>
            </w:pPr>
          </w:p>
          <w:p w14:paraId="77C5182F" w14:textId="77777777" w:rsidR="003A52BD" w:rsidRPr="003D58DF" w:rsidRDefault="003A52BD" w:rsidP="003D58DF">
            <w:pPr>
              <w:pStyle w:val="BodyText"/>
              <w:spacing w:after="0"/>
              <w:rPr>
                <w:rFonts w:asciiTheme="majorHAnsi" w:hAnsiTheme="majorHAnsi"/>
                <w:sz w:val="20"/>
                <w:lang w:val="fr-FR"/>
              </w:rPr>
            </w:pPr>
            <w:r w:rsidRPr="003D58DF">
              <w:rPr>
                <w:rFonts w:asciiTheme="majorHAnsi" w:hAnsiTheme="majorHAnsi"/>
                <w:b/>
                <w:sz w:val="20"/>
                <w:lang w:val="fr-FR"/>
              </w:rPr>
              <w:t>Indicateur 2.1 :</w:t>
            </w:r>
            <w:r w:rsidRPr="003D58DF">
              <w:rPr>
                <w:rFonts w:asciiTheme="majorHAnsi" w:hAnsiTheme="majorHAnsi"/>
                <w:sz w:val="20"/>
                <w:lang w:val="fr-FR"/>
              </w:rPr>
              <w:t xml:space="preserve"> Une coordination est garantie parmi les partenaires onusiens et internationaux impliqués dans la RSS ;</w:t>
            </w:r>
          </w:p>
          <w:p w14:paraId="5F3DC260" w14:textId="77777777" w:rsidR="003A52BD" w:rsidRPr="003D58DF" w:rsidRDefault="003A52BD" w:rsidP="003D58DF">
            <w:pPr>
              <w:rPr>
                <w:rFonts w:asciiTheme="majorHAnsi" w:hAnsiTheme="majorHAnsi"/>
                <w:b/>
                <w:sz w:val="20"/>
                <w:szCs w:val="20"/>
              </w:rPr>
            </w:pPr>
          </w:p>
          <w:p w14:paraId="5F56CE17" w14:textId="77777777" w:rsidR="003A52BD" w:rsidRPr="003D58DF" w:rsidRDefault="003A52BD" w:rsidP="003D58DF">
            <w:pPr>
              <w:rPr>
                <w:rFonts w:asciiTheme="majorHAnsi" w:hAnsiTheme="majorHAnsi"/>
                <w:b/>
                <w:sz w:val="20"/>
                <w:szCs w:val="20"/>
              </w:rPr>
            </w:pPr>
          </w:p>
          <w:p w14:paraId="202D33CE" w14:textId="77777777" w:rsidR="003A52BD" w:rsidRPr="003D58DF" w:rsidRDefault="003A52BD" w:rsidP="003D58DF">
            <w:pPr>
              <w:rPr>
                <w:rFonts w:asciiTheme="majorHAnsi" w:hAnsiTheme="majorHAnsi"/>
                <w:b/>
                <w:sz w:val="20"/>
                <w:szCs w:val="20"/>
              </w:rPr>
            </w:pPr>
          </w:p>
          <w:p w14:paraId="01292B73" w14:textId="77777777" w:rsidR="003A52BD" w:rsidRPr="003D58DF" w:rsidRDefault="003A52BD" w:rsidP="003D58DF">
            <w:pPr>
              <w:rPr>
                <w:rFonts w:asciiTheme="majorHAnsi" w:hAnsiTheme="majorHAnsi"/>
                <w:b/>
                <w:sz w:val="20"/>
                <w:szCs w:val="20"/>
              </w:rPr>
            </w:pPr>
          </w:p>
          <w:p w14:paraId="23748471" w14:textId="77777777" w:rsidR="003A52BD" w:rsidRPr="003D58DF" w:rsidRDefault="003A52BD" w:rsidP="003D58DF">
            <w:pPr>
              <w:rPr>
                <w:rFonts w:asciiTheme="majorHAnsi" w:hAnsiTheme="majorHAnsi"/>
                <w:b/>
                <w:sz w:val="20"/>
                <w:szCs w:val="20"/>
              </w:rPr>
            </w:pPr>
          </w:p>
          <w:p w14:paraId="4809963A" w14:textId="77777777" w:rsidR="003A52BD" w:rsidRPr="003D58DF" w:rsidRDefault="003A52BD" w:rsidP="003D58DF">
            <w:pPr>
              <w:rPr>
                <w:rFonts w:asciiTheme="majorHAnsi" w:hAnsiTheme="majorHAnsi"/>
                <w:b/>
                <w:sz w:val="20"/>
                <w:szCs w:val="20"/>
              </w:rPr>
            </w:pPr>
          </w:p>
          <w:p w14:paraId="32D516BC" w14:textId="77777777" w:rsidR="003A52BD" w:rsidRPr="003D58DF" w:rsidRDefault="003A52BD" w:rsidP="003D58DF">
            <w:pPr>
              <w:rPr>
                <w:rFonts w:asciiTheme="majorHAnsi" w:hAnsiTheme="majorHAnsi"/>
                <w:b/>
                <w:sz w:val="20"/>
                <w:szCs w:val="20"/>
              </w:rPr>
            </w:pPr>
          </w:p>
          <w:p w14:paraId="33D5FC6B" w14:textId="77777777" w:rsidR="003A52BD" w:rsidRPr="003D58DF" w:rsidRDefault="003A52BD" w:rsidP="003D58DF">
            <w:pPr>
              <w:rPr>
                <w:rFonts w:asciiTheme="majorHAnsi" w:hAnsiTheme="majorHAnsi"/>
                <w:b/>
                <w:sz w:val="20"/>
                <w:szCs w:val="20"/>
              </w:rPr>
            </w:pPr>
          </w:p>
          <w:p w14:paraId="334171B5" w14:textId="77777777" w:rsidR="003A52BD" w:rsidRPr="003D58DF" w:rsidRDefault="003A52BD" w:rsidP="003D58DF">
            <w:pPr>
              <w:rPr>
                <w:rFonts w:asciiTheme="majorHAnsi" w:hAnsiTheme="majorHAnsi"/>
                <w:b/>
                <w:sz w:val="20"/>
                <w:szCs w:val="20"/>
              </w:rPr>
            </w:pPr>
          </w:p>
          <w:p w14:paraId="70B4089D" w14:textId="77777777" w:rsidR="003A52BD" w:rsidRPr="003D58DF" w:rsidRDefault="003A52BD" w:rsidP="003D58DF">
            <w:pPr>
              <w:rPr>
                <w:rFonts w:asciiTheme="majorHAnsi" w:hAnsiTheme="majorHAnsi"/>
                <w:b/>
                <w:sz w:val="20"/>
                <w:szCs w:val="20"/>
              </w:rPr>
            </w:pPr>
          </w:p>
          <w:p w14:paraId="45BB6366" w14:textId="77777777" w:rsidR="003A52BD" w:rsidRDefault="003A52BD" w:rsidP="003D58DF">
            <w:pPr>
              <w:pStyle w:val="BodyText"/>
              <w:spacing w:after="0"/>
              <w:rPr>
                <w:rFonts w:asciiTheme="majorHAnsi" w:hAnsiTheme="majorHAnsi"/>
                <w:b/>
                <w:sz w:val="20"/>
                <w:lang w:val="fr-FR"/>
              </w:rPr>
            </w:pPr>
          </w:p>
          <w:p w14:paraId="40E11D57" w14:textId="77777777" w:rsidR="003A52BD" w:rsidRDefault="003A52BD" w:rsidP="003D58DF">
            <w:pPr>
              <w:pStyle w:val="BodyText"/>
              <w:spacing w:after="0"/>
              <w:rPr>
                <w:rFonts w:asciiTheme="majorHAnsi" w:hAnsiTheme="majorHAnsi"/>
                <w:b/>
                <w:sz w:val="20"/>
                <w:lang w:val="fr-FR"/>
              </w:rPr>
            </w:pPr>
          </w:p>
          <w:p w14:paraId="172F71EB" w14:textId="77777777" w:rsidR="003A52BD" w:rsidRDefault="003A52BD" w:rsidP="003D58DF">
            <w:pPr>
              <w:pStyle w:val="BodyText"/>
              <w:spacing w:after="0"/>
              <w:rPr>
                <w:rFonts w:asciiTheme="majorHAnsi" w:hAnsiTheme="majorHAnsi"/>
                <w:b/>
                <w:sz w:val="20"/>
                <w:lang w:val="fr-FR"/>
              </w:rPr>
            </w:pPr>
          </w:p>
          <w:p w14:paraId="1231F9A6" w14:textId="77777777" w:rsidR="003A52BD" w:rsidRPr="003D58DF" w:rsidRDefault="003A52BD" w:rsidP="003D58DF">
            <w:pPr>
              <w:pStyle w:val="BodyText"/>
              <w:spacing w:after="0"/>
              <w:rPr>
                <w:rFonts w:asciiTheme="majorHAnsi" w:hAnsiTheme="majorHAnsi"/>
                <w:bCs/>
                <w:sz w:val="20"/>
                <w:lang w:val="fr-FR"/>
              </w:rPr>
            </w:pPr>
            <w:r w:rsidRPr="003D58DF">
              <w:rPr>
                <w:rFonts w:asciiTheme="majorHAnsi" w:hAnsiTheme="majorHAnsi"/>
                <w:b/>
                <w:sz w:val="20"/>
                <w:lang w:val="fr-FR"/>
              </w:rPr>
              <w:t xml:space="preserve">Indicateur 2.2 : </w:t>
            </w:r>
            <w:r w:rsidRPr="003D58DF">
              <w:rPr>
                <w:rFonts w:asciiTheme="majorHAnsi" w:hAnsiTheme="majorHAnsi"/>
                <w:sz w:val="20"/>
                <w:lang w:val="fr-FR"/>
              </w:rPr>
              <w:t>Les aspects politiques sont inclus dans la stratégie de la RSS</w:t>
            </w:r>
          </w:p>
        </w:tc>
        <w:tc>
          <w:tcPr>
            <w:tcW w:w="3543" w:type="dxa"/>
          </w:tcPr>
          <w:p w14:paraId="22430E67" w14:textId="77777777" w:rsidR="003A52BD" w:rsidRPr="003D58DF" w:rsidRDefault="003A52BD" w:rsidP="003D58DF">
            <w:pPr>
              <w:pStyle w:val="BodyText"/>
              <w:spacing w:after="0"/>
              <w:jc w:val="both"/>
              <w:rPr>
                <w:rFonts w:asciiTheme="majorHAnsi" w:hAnsiTheme="majorHAnsi"/>
                <w:bCs/>
                <w:sz w:val="20"/>
                <w:lang w:val="fr-FR"/>
              </w:rPr>
            </w:pPr>
          </w:p>
          <w:p w14:paraId="018C48A2" w14:textId="77777777" w:rsidR="003A52BD" w:rsidRPr="003D58DF" w:rsidRDefault="003A52BD" w:rsidP="003D58DF">
            <w:pPr>
              <w:pStyle w:val="BodyText"/>
              <w:spacing w:after="0"/>
              <w:jc w:val="both"/>
              <w:rPr>
                <w:rFonts w:asciiTheme="majorHAnsi" w:hAnsiTheme="majorHAnsi"/>
                <w:bCs/>
                <w:sz w:val="20"/>
                <w:lang w:val="fr-FR"/>
              </w:rPr>
            </w:pPr>
          </w:p>
          <w:p w14:paraId="7DCB1FB4" w14:textId="77777777" w:rsidR="003A52BD" w:rsidRPr="003D58DF" w:rsidRDefault="003A52BD" w:rsidP="003D58DF">
            <w:pPr>
              <w:pStyle w:val="BodyText"/>
              <w:spacing w:after="0"/>
              <w:jc w:val="both"/>
              <w:rPr>
                <w:rFonts w:asciiTheme="majorHAnsi" w:hAnsiTheme="majorHAnsi"/>
                <w:bCs/>
                <w:sz w:val="20"/>
                <w:lang w:val="fr-FR"/>
              </w:rPr>
            </w:pPr>
          </w:p>
          <w:p w14:paraId="748C26B6" w14:textId="77777777" w:rsidR="003A52BD" w:rsidRPr="003D58DF" w:rsidRDefault="003A52BD" w:rsidP="003D58DF">
            <w:pPr>
              <w:pStyle w:val="BodyText"/>
              <w:spacing w:after="0"/>
              <w:jc w:val="both"/>
              <w:rPr>
                <w:rFonts w:asciiTheme="majorHAnsi" w:hAnsiTheme="majorHAnsi"/>
                <w:bCs/>
                <w:sz w:val="20"/>
                <w:lang w:val="fr-FR"/>
              </w:rPr>
            </w:pPr>
          </w:p>
          <w:p w14:paraId="3FB61645" w14:textId="77777777" w:rsidR="003A52BD" w:rsidRDefault="003A52BD" w:rsidP="003D58DF">
            <w:pPr>
              <w:pStyle w:val="BodyText"/>
              <w:spacing w:after="0"/>
              <w:jc w:val="both"/>
              <w:rPr>
                <w:rFonts w:asciiTheme="majorHAnsi" w:hAnsiTheme="majorHAnsi"/>
                <w:bCs/>
                <w:sz w:val="20"/>
                <w:lang w:val="fr-FR"/>
              </w:rPr>
            </w:pPr>
          </w:p>
          <w:p w14:paraId="47811C2C" w14:textId="77777777" w:rsidR="003A52BD" w:rsidRPr="003D58DF" w:rsidRDefault="003A52BD" w:rsidP="003D58DF">
            <w:pPr>
              <w:pStyle w:val="BodyText"/>
              <w:spacing w:after="0"/>
              <w:jc w:val="both"/>
              <w:rPr>
                <w:rFonts w:asciiTheme="majorHAnsi" w:hAnsiTheme="majorHAnsi"/>
                <w:bCs/>
                <w:sz w:val="20"/>
                <w:lang w:val="fr-FR"/>
              </w:rPr>
            </w:pPr>
            <w:r w:rsidRPr="003D58DF">
              <w:rPr>
                <w:rFonts w:asciiTheme="majorHAnsi" w:hAnsiTheme="majorHAnsi"/>
                <w:bCs/>
                <w:sz w:val="20"/>
                <w:lang w:val="fr-FR"/>
              </w:rPr>
              <w:t xml:space="preserve">Le Bureau Conseil Stratégique appuie la coordination des rencontres mensuelles des partenaires techniques et financiers de la RSS qui est pilotée par le PNUD. </w:t>
            </w:r>
            <w:r>
              <w:rPr>
                <w:rFonts w:asciiTheme="majorHAnsi" w:hAnsiTheme="majorHAnsi"/>
                <w:bCs/>
                <w:sz w:val="20"/>
                <w:lang w:val="fr-FR"/>
              </w:rPr>
              <w:t xml:space="preserve">Un document de suivi des taches, élaboré par le Bureau Conseil Stratégique, est mensuellement mis à jour. Ce document  reflète </w:t>
            </w:r>
            <w:r w:rsidRPr="003D58DF">
              <w:rPr>
                <w:rFonts w:asciiTheme="majorHAnsi" w:hAnsiTheme="majorHAnsi"/>
                <w:bCs/>
                <w:sz w:val="20"/>
                <w:lang w:val="fr-FR"/>
              </w:rPr>
              <w:t xml:space="preserve">la mise en œuvre des recommandations du rapport d’évaluation du secteur de la sécurité. Afin d’assurer une coordination des activités et éviter la duplication des efforts, ce document intègre l’appui des partenaires aux différents secteurs. </w:t>
            </w:r>
          </w:p>
          <w:p w14:paraId="3F22AC49" w14:textId="77777777" w:rsidR="003A52BD" w:rsidRPr="003D58DF" w:rsidRDefault="003A52BD" w:rsidP="003D58DF">
            <w:pPr>
              <w:pStyle w:val="BodyText"/>
              <w:spacing w:after="0"/>
              <w:jc w:val="both"/>
              <w:rPr>
                <w:rFonts w:asciiTheme="majorHAnsi" w:hAnsiTheme="majorHAnsi"/>
                <w:bCs/>
                <w:sz w:val="20"/>
                <w:lang w:val="fr-FR"/>
              </w:rPr>
            </w:pPr>
          </w:p>
          <w:p w14:paraId="3038405E" w14:textId="77777777" w:rsidR="003A52BD" w:rsidRPr="003D58DF" w:rsidRDefault="003A52BD" w:rsidP="003A52BD">
            <w:pPr>
              <w:pStyle w:val="BodyText"/>
              <w:spacing w:after="0"/>
              <w:jc w:val="both"/>
              <w:rPr>
                <w:rFonts w:asciiTheme="majorHAnsi" w:hAnsiTheme="majorHAnsi"/>
                <w:bCs/>
                <w:sz w:val="20"/>
                <w:lang w:val="fr-FR"/>
              </w:rPr>
            </w:pPr>
            <w:r w:rsidRPr="003D58DF">
              <w:rPr>
                <w:rFonts w:asciiTheme="majorHAnsi" w:hAnsiTheme="majorHAnsi"/>
                <w:bCs/>
                <w:sz w:val="20"/>
                <w:lang w:val="fr-FR"/>
              </w:rPr>
              <w:t xml:space="preserve">Suite à la présentation de la </w:t>
            </w:r>
            <w:r>
              <w:rPr>
                <w:rFonts w:asciiTheme="majorHAnsi" w:hAnsiTheme="majorHAnsi"/>
                <w:bCs/>
                <w:sz w:val="20"/>
                <w:lang w:val="fr-FR"/>
              </w:rPr>
              <w:t>Stratégie Nationale d’Actions Prioritaires</w:t>
            </w:r>
            <w:r w:rsidRPr="003D58DF">
              <w:rPr>
                <w:rFonts w:asciiTheme="majorHAnsi" w:hAnsiTheme="majorHAnsi"/>
                <w:bCs/>
                <w:sz w:val="20"/>
                <w:lang w:val="fr-FR"/>
              </w:rPr>
              <w:t xml:space="preserve">, les partenaires techniques et financiers ont fourni leurs commentaires sur le draft du document. Afin d’assurer la prise en compte des aspects politiques dans la stratégie de la RSS, ces commentaires ont étés intégrés dans le document final. </w:t>
            </w:r>
            <w:r w:rsidRPr="003D58DF">
              <w:rPr>
                <w:rFonts w:asciiTheme="majorHAnsi" w:hAnsiTheme="majorHAnsi"/>
                <w:sz w:val="20"/>
                <w:lang w:val="fr-FR"/>
              </w:rPr>
              <w:t xml:space="preserve">Les partenaires ont offert des suggestions pour l’amélioration du document, notamment le besoin d’approfondir certaines sections, dont la protection de l’environnement, la dimension régionale, le genre, la lutte contre la criminalité, etc. </w:t>
            </w:r>
            <w:r w:rsidRPr="003D58DF">
              <w:rPr>
                <w:rFonts w:asciiTheme="majorHAnsi" w:hAnsiTheme="majorHAnsi"/>
                <w:bCs/>
                <w:sz w:val="20"/>
                <w:lang w:val="fr-FR"/>
              </w:rPr>
              <w:t xml:space="preserve"> </w:t>
            </w:r>
          </w:p>
        </w:tc>
        <w:tc>
          <w:tcPr>
            <w:tcW w:w="3261" w:type="dxa"/>
          </w:tcPr>
          <w:p w14:paraId="790A1370" w14:textId="77777777" w:rsidR="003A52BD" w:rsidRPr="003D58DF" w:rsidRDefault="003A52BD" w:rsidP="003D58DF">
            <w:pPr>
              <w:pStyle w:val="BodyText"/>
              <w:spacing w:after="0"/>
              <w:jc w:val="both"/>
              <w:rPr>
                <w:rFonts w:asciiTheme="majorHAnsi" w:hAnsiTheme="majorHAnsi"/>
                <w:bCs/>
                <w:sz w:val="20"/>
                <w:lang w:val="fr-FR"/>
              </w:rPr>
            </w:pPr>
          </w:p>
          <w:p w14:paraId="12989FDC" w14:textId="77777777" w:rsidR="003A52BD" w:rsidRPr="003D58DF" w:rsidRDefault="003A52BD" w:rsidP="003D58DF">
            <w:pPr>
              <w:pStyle w:val="BodyText"/>
              <w:spacing w:after="0"/>
              <w:jc w:val="both"/>
              <w:rPr>
                <w:rFonts w:asciiTheme="majorHAnsi" w:hAnsiTheme="majorHAnsi"/>
                <w:bCs/>
                <w:sz w:val="20"/>
                <w:lang w:val="fr-FR"/>
              </w:rPr>
            </w:pPr>
          </w:p>
          <w:p w14:paraId="04396B41" w14:textId="77777777" w:rsidR="003A52BD" w:rsidRPr="003D58DF" w:rsidRDefault="003A52BD" w:rsidP="003D58DF">
            <w:pPr>
              <w:pStyle w:val="BodyText"/>
              <w:spacing w:after="0"/>
              <w:jc w:val="both"/>
              <w:rPr>
                <w:rFonts w:asciiTheme="majorHAnsi" w:hAnsiTheme="majorHAnsi"/>
                <w:bCs/>
                <w:sz w:val="20"/>
                <w:lang w:val="fr-FR"/>
              </w:rPr>
            </w:pPr>
          </w:p>
          <w:p w14:paraId="29D45629" w14:textId="77777777" w:rsidR="003A52BD" w:rsidRPr="003D58DF" w:rsidRDefault="003A52BD" w:rsidP="003D58DF">
            <w:pPr>
              <w:pStyle w:val="BodyText"/>
              <w:spacing w:after="0"/>
              <w:jc w:val="both"/>
              <w:rPr>
                <w:rFonts w:asciiTheme="majorHAnsi" w:hAnsiTheme="majorHAnsi"/>
                <w:bCs/>
                <w:sz w:val="20"/>
                <w:lang w:val="fr-FR"/>
              </w:rPr>
            </w:pPr>
          </w:p>
          <w:p w14:paraId="51FA298D" w14:textId="77777777" w:rsidR="003A52BD" w:rsidRPr="003D58DF" w:rsidRDefault="003A52BD" w:rsidP="003D58DF">
            <w:pPr>
              <w:pStyle w:val="BodyText"/>
              <w:spacing w:after="0"/>
              <w:jc w:val="both"/>
              <w:rPr>
                <w:rFonts w:asciiTheme="majorHAnsi" w:hAnsiTheme="majorHAnsi"/>
                <w:bCs/>
                <w:sz w:val="20"/>
                <w:lang w:val="fr-FR"/>
              </w:rPr>
            </w:pPr>
            <w:r w:rsidRPr="003D58DF">
              <w:rPr>
                <w:rFonts w:asciiTheme="majorHAnsi" w:hAnsiTheme="majorHAnsi"/>
                <w:bCs/>
                <w:sz w:val="20"/>
                <w:lang w:val="fr-FR"/>
              </w:rPr>
              <w:t>N/A</w:t>
            </w:r>
          </w:p>
          <w:p w14:paraId="0518EB14" w14:textId="77777777" w:rsidR="003A52BD" w:rsidRPr="003D58DF" w:rsidRDefault="003A52BD" w:rsidP="003D58DF">
            <w:pPr>
              <w:pStyle w:val="BodyText"/>
              <w:spacing w:after="0"/>
              <w:jc w:val="both"/>
              <w:rPr>
                <w:rFonts w:asciiTheme="majorHAnsi" w:hAnsiTheme="majorHAnsi"/>
                <w:bCs/>
                <w:sz w:val="20"/>
                <w:lang w:val="fr-FR"/>
              </w:rPr>
            </w:pPr>
          </w:p>
          <w:p w14:paraId="27FF247A" w14:textId="77777777" w:rsidR="003A52BD" w:rsidRPr="003D58DF" w:rsidRDefault="003A52BD" w:rsidP="003D58DF">
            <w:pPr>
              <w:pStyle w:val="BodyText"/>
              <w:spacing w:after="0"/>
              <w:jc w:val="both"/>
              <w:rPr>
                <w:rFonts w:asciiTheme="majorHAnsi" w:hAnsiTheme="majorHAnsi"/>
                <w:bCs/>
                <w:sz w:val="20"/>
                <w:lang w:val="fr-FR"/>
              </w:rPr>
            </w:pPr>
          </w:p>
          <w:p w14:paraId="0227175E" w14:textId="77777777" w:rsidR="003A52BD" w:rsidRPr="003D58DF" w:rsidRDefault="003A52BD" w:rsidP="003D58DF">
            <w:pPr>
              <w:pStyle w:val="BodyText"/>
              <w:spacing w:after="0"/>
              <w:jc w:val="both"/>
              <w:rPr>
                <w:rFonts w:asciiTheme="majorHAnsi" w:hAnsiTheme="majorHAnsi"/>
                <w:bCs/>
                <w:sz w:val="20"/>
                <w:lang w:val="fr-FR"/>
              </w:rPr>
            </w:pPr>
          </w:p>
          <w:p w14:paraId="30B829B8" w14:textId="77777777" w:rsidR="003A52BD" w:rsidRPr="003D58DF" w:rsidRDefault="003A52BD" w:rsidP="003D58DF">
            <w:pPr>
              <w:pStyle w:val="BodyText"/>
              <w:spacing w:after="0"/>
              <w:jc w:val="both"/>
              <w:rPr>
                <w:rFonts w:asciiTheme="majorHAnsi" w:hAnsiTheme="majorHAnsi"/>
                <w:bCs/>
                <w:sz w:val="20"/>
                <w:lang w:val="fr-FR"/>
              </w:rPr>
            </w:pPr>
          </w:p>
          <w:p w14:paraId="24255702" w14:textId="77777777" w:rsidR="003A52BD" w:rsidRPr="003D58DF" w:rsidRDefault="003A52BD" w:rsidP="003D58DF">
            <w:pPr>
              <w:pStyle w:val="BodyText"/>
              <w:spacing w:after="0"/>
              <w:jc w:val="both"/>
              <w:rPr>
                <w:rFonts w:asciiTheme="majorHAnsi" w:hAnsiTheme="majorHAnsi"/>
                <w:bCs/>
                <w:sz w:val="20"/>
                <w:lang w:val="fr-FR"/>
              </w:rPr>
            </w:pPr>
          </w:p>
          <w:p w14:paraId="4787A611" w14:textId="77777777" w:rsidR="003A52BD" w:rsidRPr="003D58DF" w:rsidRDefault="003A52BD" w:rsidP="003D58DF">
            <w:pPr>
              <w:pStyle w:val="BodyText"/>
              <w:spacing w:after="0"/>
              <w:jc w:val="both"/>
              <w:rPr>
                <w:rFonts w:asciiTheme="majorHAnsi" w:hAnsiTheme="majorHAnsi"/>
                <w:bCs/>
                <w:sz w:val="20"/>
                <w:lang w:val="fr-FR"/>
              </w:rPr>
            </w:pPr>
          </w:p>
          <w:p w14:paraId="39FAB8D0" w14:textId="77777777" w:rsidR="003A52BD" w:rsidRPr="003D58DF" w:rsidRDefault="003A52BD" w:rsidP="003D58DF">
            <w:pPr>
              <w:pStyle w:val="BodyText"/>
              <w:spacing w:after="0"/>
              <w:jc w:val="both"/>
              <w:rPr>
                <w:rFonts w:asciiTheme="majorHAnsi" w:hAnsiTheme="majorHAnsi"/>
                <w:bCs/>
                <w:sz w:val="20"/>
                <w:lang w:val="fr-FR"/>
              </w:rPr>
            </w:pPr>
          </w:p>
          <w:p w14:paraId="6290C6D9" w14:textId="77777777" w:rsidR="003A52BD" w:rsidRPr="003D58DF" w:rsidRDefault="003A52BD" w:rsidP="003D58DF">
            <w:pPr>
              <w:pStyle w:val="BodyText"/>
              <w:spacing w:after="0"/>
              <w:jc w:val="both"/>
              <w:rPr>
                <w:rFonts w:asciiTheme="majorHAnsi" w:hAnsiTheme="majorHAnsi"/>
                <w:bCs/>
                <w:sz w:val="20"/>
                <w:lang w:val="fr-FR"/>
              </w:rPr>
            </w:pPr>
          </w:p>
          <w:p w14:paraId="67295104" w14:textId="77777777" w:rsidR="003A52BD" w:rsidRPr="003D58DF" w:rsidRDefault="003A52BD" w:rsidP="003D58DF">
            <w:pPr>
              <w:pStyle w:val="BodyText"/>
              <w:spacing w:after="0"/>
              <w:jc w:val="both"/>
              <w:rPr>
                <w:rFonts w:asciiTheme="majorHAnsi" w:hAnsiTheme="majorHAnsi"/>
                <w:bCs/>
                <w:sz w:val="20"/>
                <w:lang w:val="fr-FR"/>
              </w:rPr>
            </w:pPr>
          </w:p>
          <w:p w14:paraId="3715ECA8" w14:textId="77777777" w:rsidR="003A52BD" w:rsidRPr="003D58DF" w:rsidRDefault="003A52BD" w:rsidP="003D58DF">
            <w:pPr>
              <w:pStyle w:val="BodyText"/>
              <w:spacing w:after="0"/>
              <w:jc w:val="both"/>
              <w:rPr>
                <w:rFonts w:asciiTheme="majorHAnsi" w:hAnsiTheme="majorHAnsi"/>
                <w:bCs/>
                <w:sz w:val="20"/>
                <w:lang w:val="fr-FR"/>
              </w:rPr>
            </w:pPr>
          </w:p>
          <w:p w14:paraId="5F24B994" w14:textId="77777777" w:rsidR="003A52BD" w:rsidRPr="003D58DF" w:rsidRDefault="003A52BD" w:rsidP="003D58DF">
            <w:pPr>
              <w:pStyle w:val="BodyText"/>
              <w:spacing w:after="0"/>
              <w:jc w:val="both"/>
              <w:rPr>
                <w:rFonts w:asciiTheme="majorHAnsi" w:hAnsiTheme="majorHAnsi"/>
                <w:bCs/>
                <w:sz w:val="20"/>
                <w:lang w:val="fr-FR"/>
              </w:rPr>
            </w:pPr>
          </w:p>
          <w:p w14:paraId="1EF046B9" w14:textId="77777777" w:rsidR="003A52BD" w:rsidRPr="003D58DF" w:rsidRDefault="003A52BD" w:rsidP="003D58DF">
            <w:pPr>
              <w:pStyle w:val="BodyText"/>
              <w:spacing w:after="0"/>
              <w:jc w:val="both"/>
              <w:rPr>
                <w:rFonts w:asciiTheme="majorHAnsi" w:hAnsiTheme="majorHAnsi"/>
                <w:bCs/>
                <w:sz w:val="20"/>
                <w:lang w:val="fr-FR"/>
              </w:rPr>
            </w:pPr>
          </w:p>
          <w:p w14:paraId="02D5E687" w14:textId="77777777" w:rsidR="003A52BD" w:rsidRDefault="003A52BD" w:rsidP="003D58DF">
            <w:pPr>
              <w:pStyle w:val="BodyText"/>
              <w:spacing w:after="0"/>
              <w:jc w:val="both"/>
              <w:rPr>
                <w:rFonts w:asciiTheme="majorHAnsi" w:hAnsiTheme="majorHAnsi"/>
                <w:bCs/>
                <w:sz w:val="20"/>
                <w:lang w:val="fr-FR"/>
              </w:rPr>
            </w:pPr>
          </w:p>
          <w:p w14:paraId="62F968D0" w14:textId="77777777" w:rsidR="003A52BD" w:rsidRDefault="003A52BD" w:rsidP="003D58DF">
            <w:pPr>
              <w:pStyle w:val="BodyText"/>
              <w:spacing w:after="0"/>
              <w:jc w:val="both"/>
              <w:rPr>
                <w:rFonts w:asciiTheme="majorHAnsi" w:hAnsiTheme="majorHAnsi"/>
                <w:bCs/>
                <w:sz w:val="20"/>
                <w:lang w:val="fr-FR"/>
              </w:rPr>
            </w:pPr>
          </w:p>
          <w:p w14:paraId="1536CE02" w14:textId="77777777" w:rsidR="003A52BD" w:rsidRDefault="003A52BD" w:rsidP="003D58DF">
            <w:pPr>
              <w:pStyle w:val="BodyText"/>
              <w:spacing w:after="0"/>
              <w:jc w:val="both"/>
              <w:rPr>
                <w:rFonts w:asciiTheme="majorHAnsi" w:hAnsiTheme="majorHAnsi"/>
                <w:bCs/>
                <w:sz w:val="20"/>
                <w:lang w:val="fr-FR"/>
              </w:rPr>
            </w:pPr>
          </w:p>
          <w:p w14:paraId="7289D00E" w14:textId="77777777" w:rsidR="003A52BD" w:rsidRDefault="003A52BD" w:rsidP="003D58DF">
            <w:pPr>
              <w:pStyle w:val="BodyText"/>
              <w:spacing w:after="0"/>
              <w:jc w:val="both"/>
              <w:rPr>
                <w:rFonts w:asciiTheme="majorHAnsi" w:hAnsiTheme="majorHAnsi"/>
                <w:bCs/>
                <w:sz w:val="20"/>
                <w:lang w:val="fr-FR"/>
              </w:rPr>
            </w:pPr>
          </w:p>
          <w:p w14:paraId="2BFFA52B" w14:textId="77777777" w:rsidR="003A52BD" w:rsidRDefault="003A52BD" w:rsidP="003D58DF">
            <w:pPr>
              <w:pStyle w:val="BodyText"/>
              <w:spacing w:after="0"/>
              <w:jc w:val="both"/>
              <w:rPr>
                <w:rFonts w:asciiTheme="majorHAnsi" w:hAnsiTheme="majorHAnsi"/>
                <w:bCs/>
                <w:sz w:val="20"/>
                <w:lang w:val="fr-FR"/>
              </w:rPr>
            </w:pPr>
          </w:p>
          <w:p w14:paraId="097034AC" w14:textId="77777777" w:rsidR="003A52BD" w:rsidRDefault="003A52BD" w:rsidP="003D58DF">
            <w:pPr>
              <w:pStyle w:val="BodyText"/>
              <w:spacing w:after="0"/>
              <w:jc w:val="both"/>
              <w:rPr>
                <w:rFonts w:asciiTheme="majorHAnsi" w:hAnsiTheme="majorHAnsi"/>
                <w:bCs/>
                <w:sz w:val="20"/>
                <w:lang w:val="fr-FR"/>
              </w:rPr>
            </w:pPr>
          </w:p>
          <w:p w14:paraId="30A159FD" w14:textId="77777777" w:rsidR="003A52BD" w:rsidRPr="003D58DF" w:rsidRDefault="003A52BD" w:rsidP="003D58DF">
            <w:pPr>
              <w:pStyle w:val="BodyText"/>
              <w:spacing w:after="0"/>
              <w:jc w:val="both"/>
              <w:rPr>
                <w:rFonts w:asciiTheme="majorHAnsi" w:hAnsiTheme="majorHAnsi"/>
                <w:bCs/>
                <w:sz w:val="20"/>
                <w:lang w:val="fr-FR"/>
              </w:rPr>
            </w:pPr>
            <w:r w:rsidRPr="003D58DF">
              <w:rPr>
                <w:rFonts w:asciiTheme="majorHAnsi" w:hAnsiTheme="majorHAnsi"/>
                <w:bCs/>
                <w:sz w:val="20"/>
                <w:lang w:val="fr-FR"/>
              </w:rPr>
              <w:t>N/A</w:t>
            </w:r>
          </w:p>
        </w:tc>
        <w:tc>
          <w:tcPr>
            <w:tcW w:w="3003" w:type="dxa"/>
          </w:tcPr>
          <w:p w14:paraId="39061EE5" w14:textId="77777777" w:rsidR="003A52BD" w:rsidRPr="003D58DF" w:rsidRDefault="003A52BD" w:rsidP="003D58DF">
            <w:pPr>
              <w:pStyle w:val="BodyText"/>
              <w:spacing w:after="0"/>
              <w:jc w:val="both"/>
              <w:rPr>
                <w:rFonts w:asciiTheme="majorHAnsi" w:hAnsiTheme="majorHAnsi"/>
                <w:bCs/>
                <w:sz w:val="20"/>
                <w:lang w:val="fr-FR"/>
              </w:rPr>
            </w:pPr>
          </w:p>
          <w:p w14:paraId="3ADC04D1" w14:textId="77777777" w:rsidR="003A52BD" w:rsidRPr="003D58DF" w:rsidRDefault="003A52BD" w:rsidP="003D58DF">
            <w:pPr>
              <w:pStyle w:val="BodyText"/>
              <w:spacing w:after="0"/>
              <w:jc w:val="both"/>
              <w:rPr>
                <w:rFonts w:asciiTheme="majorHAnsi" w:hAnsiTheme="majorHAnsi"/>
                <w:bCs/>
                <w:sz w:val="20"/>
                <w:lang w:val="fr-FR"/>
              </w:rPr>
            </w:pPr>
          </w:p>
          <w:p w14:paraId="25B1A6A9" w14:textId="77777777" w:rsidR="003A52BD" w:rsidRPr="003D58DF" w:rsidRDefault="003A52BD" w:rsidP="003D58DF">
            <w:pPr>
              <w:pStyle w:val="BodyText"/>
              <w:spacing w:after="0"/>
              <w:jc w:val="both"/>
              <w:rPr>
                <w:rFonts w:asciiTheme="majorHAnsi" w:hAnsiTheme="majorHAnsi"/>
                <w:bCs/>
                <w:sz w:val="20"/>
                <w:lang w:val="fr-FR"/>
              </w:rPr>
            </w:pPr>
          </w:p>
          <w:p w14:paraId="2B5367FB" w14:textId="77777777" w:rsidR="003A52BD" w:rsidRPr="003D58DF" w:rsidRDefault="003A52BD" w:rsidP="003D58DF">
            <w:pPr>
              <w:pStyle w:val="BodyText"/>
              <w:spacing w:after="0"/>
              <w:jc w:val="both"/>
              <w:rPr>
                <w:rFonts w:asciiTheme="majorHAnsi" w:hAnsiTheme="majorHAnsi"/>
                <w:bCs/>
                <w:sz w:val="20"/>
                <w:lang w:val="fr-FR"/>
              </w:rPr>
            </w:pPr>
          </w:p>
          <w:p w14:paraId="39C8BFB5" w14:textId="77777777" w:rsidR="003A52BD" w:rsidRPr="003D58DF" w:rsidRDefault="003A52BD" w:rsidP="003D58DF">
            <w:pPr>
              <w:pStyle w:val="BodyText"/>
              <w:spacing w:after="0"/>
              <w:jc w:val="both"/>
              <w:rPr>
                <w:rFonts w:asciiTheme="majorHAnsi" w:hAnsiTheme="majorHAnsi"/>
                <w:bCs/>
                <w:sz w:val="20"/>
                <w:lang w:val="fr-FR"/>
              </w:rPr>
            </w:pPr>
            <w:r w:rsidRPr="003D58DF">
              <w:rPr>
                <w:rFonts w:asciiTheme="majorHAnsi" w:hAnsiTheme="majorHAnsi"/>
                <w:bCs/>
                <w:sz w:val="20"/>
                <w:lang w:val="fr-FR"/>
              </w:rPr>
              <w:t xml:space="preserve">Document de suivi des taches et compte-rendu des réunions mensuelles des PTFs. </w:t>
            </w:r>
          </w:p>
          <w:p w14:paraId="656F4D15" w14:textId="77777777" w:rsidR="003A52BD" w:rsidRPr="003D58DF" w:rsidRDefault="003A52BD" w:rsidP="003D58DF">
            <w:pPr>
              <w:pStyle w:val="BodyText"/>
              <w:spacing w:after="0"/>
              <w:jc w:val="both"/>
              <w:rPr>
                <w:rFonts w:asciiTheme="majorHAnsi" w:hAnsiTheme="majorHAnsi"/>
                <w:bCs/>
                <w:sz w:val="20"/>
                <w:lang w:val="fr-FR"/>
              </w:rPr>
            </w:pPr>
          </w:p>
          <w:p w14:paraId="79ECFFA8" w14:textId="77777777" w:rsidR="003A52BD" w:rsidRPr="003D58DF" w:rsidRDefault="003A52BD" w:rsidP="003D58DF">
            <w:pPr>
              <w:pStyle w:val="BodyText"/>
              <w:spacing w:after="0"/>
              <w:jc w:val="both"/>
              <w:rPr>
                <w:rFonts w:asciiTheme="majorHAnsi" w:hAnsiTheme="majorHAnsi"/>
                <w:bCs/>
                <w:sz w:val="20"/>
                <w:lang w:val="fr-FR"/>
              </w:rPr>
            </w:pPr>
          </w:p>
          <w:p w14:paraId="1418D8DA" w14:textId="77777777" w:rsidR="003A52BD" w:rsidRPr="003D58DF" w:rsidRDefault="003A52BD" w:rsidP="003D58DF">
            <w:pPr>
              <w:pStyle w:val="BodyText"/>
              <w:spacing w:after="0"/>
              <w:jc w:val="both"/>
              <w:rPr>
                <w:rFonts w:asciiTheme="majorHAnsi" w:hAnsiTheme="majorHAnsi"/>
                <w:bCs/>
                <w:sz w:val="20"/>
                <w:lang w:val="fr-FR"/>
              </w:rPr>
            </w:pPr>
          </w:p>
          <w:p w14:paraId="1843F0C0" w14:textId="77777777" w:rsidR="003A52BD" w:rsidRPr="003D58DF" w:rsidRDefault="003A52BD" w:rsidP="003D58DF">
            <w:pPr>
              <w:pStyle w:val="BodyText"/>
              <w:spacing w:after="0"/>
              <w:jc w:val="both"/>
              <w:rPr>
                <w:rFonts w:asciiTheme="majorHAnsi" w:hAnsiTheme="majorHAnsi"/>
                <w:bCs/>
                <w:sz w:val="20"/>
                <w:lang w:val="fr-FR"/>
              </w:rPr>
            </w:pPr>
          </w:p>
          <w:p w14:paraId="0177A928" w14:textId="77777777" w:rsidR="003A52BD" w:rsidRPr="003D58DF" w:rsidRDefault="003A52BD" w:rsidP="003D58DF">
            <w:pPr>
              <w:pStyle w:val="BodyText"/>
              <w:spacing w:after="0"/>
              <w:jc w:val="both"/>
              <w:rPr>
                <w:rFonts w:asciiTheme="majorHAnsi" w:hAnsiTheme="majorHAnsi"/>
                <w:bCs/>
                <w:sz w:val="20"/>
                <w:lang w:val="fr-FR"/>
              </w:rPr>
            </w:pPr>
          </w:p>
          <w:p w14:paraId="66A107DF" w14:textId="77777777" w:rsidR="003A52BD" w:rsidRPr="003D58DF" w:rsidRDefault="003A52BD" w:rsidP="003D58DF">
            <w:pPr>
              <w:pStyle w:val="BodyText"/>
              <w:spacing w:after="0"/>
              <w:jc w:val="both"/>
              <w:rPr>
                <w:rFonts w:asciiTheme="majorHAnsi" w:hAnsiTheme="majorHAnsi"/>
                <w:bCs/>
                <w:sz w:val="20"/>
                <w:lang w:val="fr-FR"/>
              </w:rPr>
            </w:pPr>
          </w:p>
          <w:p w14:paraId="4AB7D386" w14:textId="77777777" w:rsidR="003A52BD" w:rsidRPr="003D58DF" w:rsidRDefault="003A52BD" w:rsidP="003D58DF">
            <w:pPr>
              <w:pStyle w:val="BodyText"/>
              <w:spacing w:after="0"/>
              <w:jc w:val="both"/>
              <w:rPr>
                <w:rFonts w:asciiTheme="majorHAnsi" w:hAnsiTheme="majorHAnsi"/>
                <w:bCs/>
                <w:sz w:val="20"/>
                <w:lang w:val="fr-FR"/>
              </w:rPr>
            </w:pPr>
          </w:p>
          <w:p w14:paraId="093A94FF" w14:textId="77777777" w:rsidR="003A52BD" w:rsidRPr="003D58DF" w:rsidRDefault="003A52BD" w:rsidP="003D58DF">
            <w:pPr>
              <w:pStyle w:val="BodyText"/>
              <w:spacing w:after="0"/>
              <w:jc w:val="both"/>
              <w:rPr>
                <w:rFonts w:asciiTheme="majorHAnsi" w:hAnsiTheme="majorHAnsi"/>
                <w:bCs/>
                <w:sz w:val="20"/>
                <w:lang w:val="fr-FR"/>
              </w:rPr>
            </w:pPr>
          </w:p>
          <w:p w14:paraId="2772C1E5" w14:textId="77777777" w:rsidR="003A52BD" w:rsidRPr="003D58DF" w:rsidRDefault="003A52BD" w:rsidP="003D58DF">
            <w:pPr>
              <w:pStyle w:val="BodyText"/>
              <w:spacing w:after="0"/>
              <w:jc w:val="both"/>
              <w:rPr>
                <w:rFonts w:asciiTheme="majorHAnsi" w:hAnsiTheme="majorHAnsi"/>
                <w:bCs/>
                <w:sz w:val="20"/>
                <w:lang w:val="fr-FR"/>
              </w:rPr>
            </w:pPr>
          </w:p>
          <w:p w14:paraId="78853E10" w14:textId="77777777" w:rsidR="003A52BD" w:rsidRPr="003D58DF" w:rsidRDefault="003A52BD" w:rsidP="003D58DF">
            <w:pPr>
              <w:pStyle w:val="BodyText"/>
              <w:spacing w:after="0"/>
              <w:jc w:val="both"/>
              <w:rPr>
                <w:rFonts w:asciiTheme="majorHAnsi" w:hAnsiTheme="majorHAnsi"/>
                <w:bCs/>
                <w:sz w:val="20"/>
                <w:lang w:val="fr-FR"/>
              </w:rPr>
            </w:pPr>
          </w:p>
          <w:p w14:paraId="2AAADDC8" w14:textId="77777777" w:rsidR="003A52BD" w:rsidRDefault="003A52BD" w:rsidP="003D58DF">
            <w:pPr>
              <w:pStyle w:val="BodyText"/>
              <w:spacing w:after="0"/>
              <w:jc w:val="both"/>
              <w:rPr>
                <w:rFonts w:asciiTheme="majorHAnsi" w:hAnsiTheme="majorHAnsi"/>
                <w:bCs/>
                <w:sz w:val="20"/>
                <w:lang w:val="fr-FR"/>
              </w:rPr>
            </w:pPr>
          </w:p>
          <w:p w14:paraId="780AFFC5" w14:textId="77777777" w:rsidR="003A52BD" w:rsidRDefault="003A52BD" w:rsidP="003D58DF">
            <w:pPr>
              <w:pStyle w:val="BodyText"/>
              <w:spacing w:after="0"/>
              <w:jc w:val="both"/>
              <w:rPr>
                <w:rFonts w:asciiTheme="majorHAnsi" w:hAnsiTheme="majorHAnsi"/>
                <w:bCs/>
                <w:sz w:val="20"/>
                <w:lang w:val="fr-FR"/>
              </w:rPr>
            </w:pPr>
          </w:p>
          <w:p w14:paraId="590318A8" w14:textId="77777777" w:rsidR="003A52BD" w:rsidRDefault="003A52BD" w:rsidP="003D58DF">
            <w:pPr>
              <w:pStyle w:val="BodyText"/>
              <w:spacing w:after="0"/>
              <w:jc w:val="both"/>
              <w:rPr>
                <w:rFonts w:asciiTheme="majorHAnsi" w:hAnsiTheme="majorHAnsi"/>
                <w:bCs/>
                <w:sz w:val="20"/>
                <w:lang w:val="fr-FR"/>
              </w:rPr>
            </w:pPr>
          </w:p>
          <w:p w14:paraId="66D5DB0B" w14:textId="77777777" w:rsidR="003A52BD" w:rsidRDefault="003A52BD" w:rsidP="003D58DF">
            <w:pPr>
              <w:pStyle w:val="BodyText"/>
              <w:spacing w:after="0"/>
              <w:jc w:val="both"/>
              <w:rPr>
                <w:rFonts w:asciiTheme="majorHAnsi" w:hAnsiTheme="majorHAnsi"/>
                <w:bCs/>
                <w:sz w:val="20"/>
                <w:lang w:val="fr-FR"/>
              </w:rPr>
            </w:pPr>
          </w:p>
          <w:p w14:paraId="3541120F" w14:textId="77777777" w:rsidR="003A52BD" w:rsidRDefault="003A52BD" w:rsidP="003D58DF">
            <w:pPr>
              <w:pStyle w:val="BodyText"/>
              <w:spacing w:after="0"/>
              <w:jc w:val="both"/>
              <w:rPr>
                <w:rFonts w:asciiTheme="majorHAnsi" w:hAnsiTheme="majorHAnsi"/>
                <w:bCs/>
                <w:sz w:val="20"/>
                <w:lang w:val="fr-FR"/>
              </w:rPr>
            </w:pPr>
          </w:p>
          <w:p w14:paraId="1C5E93DB" w14:textId="77777777" w:rsidR="003A52BD" w:rsidRDefault="003A52BD" w:rsidP="003D58DF">
            <w:pPr>
              <w:pStyle w:val="BodyText"/>
              <w:spacing w:after="0"/>
              <w:jc w:val="both"/>
              <w:rPr>
                <w:rFonts w:asciiTheme="majorHAnsi" w:hAnsiTheme="majorHAnsi"/>
                <w:bCs/>
                <w:sz w:val="20"/>
                <w:lang w:val="fr-FR"/>
              </w:rPr>
            </w:pPr>
          </w:p>
          <w:p w14:paraId="735AFA31" w14:textId="77777777" w:rsidR="003A52BD" w:rsidRPr="003D58DF" w:rsidRDefault="003A52BD" w:rsidP="003A52BD">
            <w:pPr>
              <w:pStyle w:val="BodyText"/>
              <w:spacing w:after="0"/>
              <w:jc w:val="both"/>
              <w:rPr>
                <w:rFonts w:asciiTheme="majorHAnsi" w:hAnsiTheme="majorHAnsi"/>
                <w:bCs/>
                <w:sz w:val="20"/>
                <w:lang w:val="fr-FR"/>
              </w:rPr>
            </w:pPr>
            <w:r w:rsidRPr="003D58DF">
              <w:rPr>
                <w:rFonts w:asciiTheme="majorHAnsi" w:hAnsiTheme="majorHAnsi"/>
                <w:bCs/>
                <w:sz w:val="20"/>
                <w:lang w:val="fr-FR"/>
              </w:rPr>
              <w:t xml:space="preserve">Intégration des commentaires des partenaires techniques et financiers dans le draft final de la </w:t>
            </w:r>
            <w:r>
              <w:rPr>
                <w:rFonts w:asciiTheme="majorHAnsi" w:hAnsiTheme="majorHAnsi"/>
                <w:bCs/>
                <w:sz w:val="20"/>
                <w:lang w:val="fr-FR"/>
              </w:rPr>
              <w:t>Stratégie Nationale d’Actions Prioritaires</w:t>
            </w:r>
            <w:r w:rsidRPr="003D58DF">
              <w:rPr>
                <w:rFonts w:asciiTheme="majorHAnsi" w:hAnsiTheme="majorHAnsi"/>
                <w:bCs/>
                <w:sz w:val="20"/>
                <w:lang w:val="fr-FR"/>
              </w:rPr>
              <w:t xml:space="preserve">  </w:t>
            </w:r>
          </w:p>
        </w:tc>
      </w:tr>
      <w:tr w:rsidR="003A52BD" w:rsidRPr="00334073" w14:paraId="33C88E8B" w14:textId="77777777" w:rsidTr="009179D1">
        <w:trPr>
          <w:trHeight w:val="3366"/>
          <w:jc w:val="center"/>
        </w:trPr>
        <w:tc>
          <w:tcPr>
            <w:tcW w:w="3459" w:type="dxa"/>
          </w:tcPr>
          <w:p w14:paraId="3A2DB25A" w14:textId="77777777" w:rsidR="003A52BD" w:rsidRPr="003D58DF" w:rsidRDefault="003A52BD" w:rsidP="003D58DF">
            <w:pPr>
              <w:rPr>
                <w:rFonts w:asciiTheme="majorHAnsi" w:hAnsiTheme="majorHAnsi"/>
                <w:b/>
                <w:sz w:val="20"/>
                <w:szCs w:val="20"/>
              </w:rPr>
            </w:pPr>
            <w:r w:rsidRPr="003D58DF">
              <w:rPr>
                <w:rFonts w:asciiTheme="majorHAnsi" w:hAnsiTheme="majorHAnsi"/>
                <w:b/>
                <w:sz w:val="20"/>
                <w:szCs w:val="20"/>
              </w:rPr>
              <w:lastRenderedPageBreak/>
              <w:t>Résultat / Produit 3 :</w:t>
            </w:r>
          </w:p>
          <w:p w14:paraId="061FF5F9" w14:textId="77777777" w:rsidR="003A52BD" w:rsidRPr="003D58DF" w:rsidRDefault="003A52BD" w:rsidP="003D58DF">
            <w:pPr>
              <w:rPr>
                <w:rFonts w:asciiTheme="majorHAnsi" w:hAnsiTheme="majorHAnsi"/>
                <w:sz w:val="20"/>
                <w:szCs w:val="20"/>
              </w:rPr>
            </w:pPr>
            <w:r w:rsidRPr="003D58DF">
              <w:rPr>
                <w:rFonts w:asciiTheme="majorHAnsi" w:hAnsiTheme="majorHAnsi"/>
                <w:b/>
                <w:i/>
                <w:color w:val="000000"/>
                <w:sz w:val="20"/>
                <w:szCs w:val="20"/>
              </w:rPr>
              <w:t>Des ressources adéquates sont mobilisées pour la mise en œuvre de la stratégie de RSS</w:t>
            </w:r>
            <w:r w:rsidRPr="003D58DF">
              <w:rPr>
                <w:rFonts w:asciiTheme="majorHAnsi" w:hAnsiTheme="majorHAnsi"/>
                <w:sz w:val="20"/>
                <w:szCs w:val="20"/>
              </w:rPr>
              <w:t>.</w:t>
            </w:r>
          </w:p>
          <w:p w14:paraId="132C0BAE" w14:textId="77777777" w:rsidR="003A52BD" w:rsidRPr="003D58DF" w:rsidRDefault="003A52BD" w:rsidP="003D58DF">
            <w:pPr>
              <w:rPr>
                <w:rFonts w:asciiTheme="majorHAnsi" w:hAnsiTheme="majorHAnsi"/>
                <w:sz w:val="20"/>
                <w:szCs w:val="20"/>
              </w:rPr>
            </w:pPr>
          </w:p>
          <w:p w14:paraId="1BC8CADC" w14:textId="77777777" w:rsidR="003A52BD" w:rsidRPr="003D58DF" w:rsidRDefault="003A52BD" w:rsidP="003D58DF">
            <w:pPr>
              <w:jc w:val="both"/>
              <w:rPr>
                <w:rFonts w:asciiTheme="majorHAnsi" w:hAnsiTheme="majorHAnsi"/>
                <w:sz w:val="20"/>
                <w:szCs w:val="20"/>
              </w:rPr>
            </w:pPr>
            <w:r w:rsidRPr="003D58DF">
              <w:rPr>
                <w:rFonts w:asciiTheme="majorHAnsi" w:hAnsiTheme="majorHAnsi"/>
                <w:b/>
                <w:sz w:val="20"/>
                <w:szCs w:val="20"/>
              </w:rPr>
              <w:t>Indicateur 3.1 :</w:t>
            </w:r>
            <w:r w:rsidRPr="003D58DF">
              <w:rPr>
                <w:rFonts w:asciiTheme="majorHAnsi" w:hAnsiTheme="majorHAnsi"/>
                <w:sz w:val="20"/>
                <w:szCs w:val="20"/>
              </w:rPr>
              <w:t xml:space="preserve"> Une stratégie de mobilisation de ressources est élaborée avec la Commission d’orientation stratégique de la RSS et autres parties prenantes nationales</w:t>
            </w:r>
          </w:p>
          <w:p w14:paraId="011B19B1" w14:textId="77777777" w:rsidR="003A52BD" w:rsidRPr="003D58DF" w:rsidRDefault="003A52BD" w:rsidP="003D58DF">
            <w:pPr>
              <w:rPr>
                <w:rFonts w:asciiTheme="majorHAnsi" w:hAnsiTheme="majorHAnsi"/>
                <w:sz w:val="20"/>
                <w:szCs w:val="20"/>
              </w:rPr>
            </w:pPr>
          </w:p>
          <w:p w14:paraId="07B53E85" w14:textId="77777777" w:rsidR="003A52BD" w:rsidRPr="003D58DF" w:rsidRDefault="003A52BD" w:rsidP="003D58DF">
            <w:pPr>
              <w:rPr>
                <w:rFonts w:asciiTheme="majorHAnsi" w:hAnsiTheme="majorHAnsi"/>
                <w:sz w:val="20"/>
                <w:szCs w:val="20"/>
              </w:rPr>
            </w:pPr>
            <w:r w:rsidRPr="003D58DF">
              <w:rPr>
                <w:rFonts w:asciiTheme="majorHAnsi" w:hAnsiTheme="majorHAnsi"/>
                <w:b/>
                <w:sz w:val="20"/>
                <w:szCs w:val="20"/>
              </w:rPr>
              <w:t>Indicateur 3.2 :</w:t>
            </w:r>
            <w:r w:rsidRPr="003D58DF">
              <w:rPr>
                <w:rFonts w:asciiTheme="majorHAnsi" w:hAnsiTheme="majorHAnsi"/>
                <w:sz w:val="20"/>
                <w:szCs w:val="20"/>
              </w:rPr>
              <w:t xml:space="preserve"> </w:t>
            </w:r>
            <w:r w:rsidRPr="003D58DF">
              <w:rPr>
                <w:rStyle w:val="hps"/>
                <w:rFonts w:asciiTheme="majorHAnsi" w:hAnsiTheme="majorHAnsi"/>
                <w:sz w:val="20"/>
                <w:szCs w:val="20"/>
              </w:rPr>
              <w:t>Stratégie de mobilisation des ressources adoptée</w:t>
            </w:r>
            <w:r w:rsidRPr="003D58DF">
              <w:rPr>
                <w:rFonts w:asciiTheme="majorHAnsi" w:hAnsiTheme="majorHAnsi"/>
                <w:sz w:val="20"/>
                <w:szCs w:val="20"/>
              </w:rPr>
              <w:t xml:space="preserve"> </w:t>
            </w:r>
            <w:r w:rsidRPr="003D58DF">
              <w:rPr>
                <w:rStyle w:val="hps"/>
                <w:rFonts w:asciiTheme="majorHAnsi" w:hAnsiTheme="majorHAnsi"/>
                <w:sz w:val="20"/>
                <w:szCs w:val="20"/>
              </w:rPr>
              <w:t>par le gouvernement et les bailleurs de fonds</w:t>
            </w:r>
            <w:r w:rsidRPr="003D58DF">
              <w:rPr>
                <w:rFonts w:asciiTheme="majorHAnsi" w:hAnsiTheme="majorHAnsi"/>
                <w:sz w:val="20"/>
                <w:szCs w:val="20"/>
              </w:rPr>
              <w:t xml:space="preserve"> </w:t>
            </w:r>
            <w:r w:rsidRPr="003D58DF">
              <w:rPr>
                <w:rStyle w:val="hps"/>
                <w:rFonts w:asciiTheme="majorHAnsi" w:hAnsiTheme="majorHAnsi"/>
                <w:sz w:val="20"/>
                <w:szCs w:val="20"/>
              </w:rPr>
              <w:t>approuvent la</w:t>
            </w:r>
            <w:r w:rsidRPr="003D58DF">
              <w:rPr>
                <w:rFonts w:asciiTheme="majorHAnsi" w:hAnsiTheme="majorHAnsi"/>
                <w:sz w:val="20"/>
                <w:szCs w:val="20"/>
              </w:rPr>
              <w:t xml:space="preserve"> </w:t>
            </w:r>
            <w:r w:rsidRPr="003D58DF">
              <w:rPr>
                <w:rStyle w:val="hps"/>
                <w:rFonts w:asciiTheme="majorHAnsi" w:hAnsiTheme="majorHAnsi"/>
                <w:sz w:val="20"/>
                <w:szCs w:val="20"/>
              </w:rPr>
              <w:t>stratégie de la mobilisation des fonds pour la RSS</w:t>
            </w:r>
            <w:r w:rsidRPr="003D58DF">
              <w:rPr>
                <w:rFonts w:asciiTheme="majorHAnsi" w:hAnsiTheme="majorHAnsi"/>
                <w:sz w:val="20"/>
                <w:szCs w:val="20"/>
              </w:rPr>
              <w:t>;</w:t>
            </w:r>
          </w:p>
          <w:p w14:paraId="4F2C3607" w14:textId="77777777" w:rsidR="003A52BD" w:rsidRPr="003D58DF" w:rsidRDefault="003A52BD" w:rsidP="003D58DF">
            <w:pPr>
              <w:pStyle w:val="BodyText"/>
              <w:spacing w:after="0"/>
              <w:jc w:val="both"/>
              <w:rPr>
                <w:bCs/>
                <w:sz w:val="20"/>
                <w:lang w:val="fr-FR"/>
              </w:rPr>
            </w:pPr>
          </w:p>
          <w:p w14:paraId="6E219B58" w14:textId="77777777" w:rsidR="003A52BD" w:rsidRPr="003D58DF" w:rsidRDefault="003A52BD" w:rsidP="003D58DF">
            <w:pPr>
              <w:pStyle w:val="BodyText"/>
              <w:spacing w:after="0"/>
              <w:jc w:val="both"/>
              <w:rPr>
                <w:bCs/>
                <w:sz w:val="20"/>
                <w:lang w:val="fr-FR"/>
              </w:rPr>
            </w:pPr>
          </w:p>
        </w:tc>
        <w:tc>
          <w:tcPr>
            <w:tcW w:w="3543" w:type="dxa"/>
          </w:tcPr>
          <w:p w14:paraId="1A517D9A" w14:textId="77777777" w:rsidR="003A52BD" w:rsidRPr="003D58DF" w:rsidRDefault="003A52BD" w:rsidP="003D58DF">
            <w:pPr>
              <w:pStyle w:val="BodyText"/>
              <w:spacing w:after="0"/>
              <w:jc w:val="both"/>
              <w:rPr>
                <w:rFonts w:asciiTheme="majorHAnsi" w:hAnsiTheme="majorHAnsi"/>
                <w:bCs/>
                <w:sz w:val="20"/>
                <w:lang w:val="fr-FR"/>
              </w:rPr>
            </w:pPr>
          </w:p>
          <w:p w14:paraId="434C2F86" w14:textId="77777777" w:rsidR="003A52BD" w:rsidRPr="003D58DF" w:rsidRDefault="003A52BD" w:rsidP="003D58DF">
            <w:pPr>
              <w:pStyle w:val="BodyText"/>
              <w:spacing w:after="0"/>
              <w:jc w:val="both"/>
              <w:rPr>
                <w:rFonts w:asciiTheme="majorHAnsi" w:hAnsiTheme="majorHAnsi"/>
                <w:bCs/>
                <w:sz w:val="20"/>
                <w:lang w:val="fr-FR"/>
              </w:rPr>
            </w:pPr>
          </w:p>
          <w:p w14:paraId="5CC7F275" w14:textId="77777777" w:rsidR="003A52BD" w:rsidRPr="003D58DF" w:rsidRDefault="003A52BD" w:rsidP="003D58DF">
            <w:pPr>
              <w:pStyle w:val="BodyText"/>
              <w:spacing w:after="0"/>
              <w:jc w:val="both"/>
              <w:rPr>
                <w:rFonts w:asciiTheme="majorHAnsi" w:hAnsiTheme="majorHAnsi"/>
                <w:bCs/>
                <w:sz w:val="20"/>
                <w:lang w:val="fr-FR"/>
              </w:rPr>
            </w:pPr>
          </w:p>
          <w:p w14:paraId="7DAD56FB" w14:textId="77777777" w:rsidR="003A52BD" w:rsidRPr="003D58DF" w:rsidRDefault="003A52BD" w:rsidP="003D58DF">
            <w:pPr>
              <w:pStyle w:val="BodyText"/>
              <w:spacing w:after="0"/>
              <w:jc w:val="both"/>
              <w:rPr>
                <w:rFonts w:asciiTheme="majorHAnsi" w:hAnsiTheme="majorHAnsi"/>
                <w:bCs/>
                <w:sz w:val="20"/>
                <w:lang w:val="fr-FR"/>
              </w:rPr>
            </w:pPr>
          </w:p>
          <w:p w14:paraId="7DEECB46" w14:textId="77777777" w:rsidR="003A52BD" w:rsidRDefault="003A52BD" w:rsidP="003D58DF">
            <w:pPr>
              <w:pStyle w:val="BodyText"/>
              <w:spacing w:after="0"/>
              <w:jc w:val="both"/>
              <w:rPr>
                <w:rFonts w:asciiTheme="majorHAnsi" w:hAnsiTheme="majorHAnsi"/>
                <w:bCs/>
                <w:sz w:val="20"/>
                <w:lang w:val="fr-FR"/>
              </w:rPr>
            </w:pPr>
          </w:p>
          <w:p w14:paraId="4CF93271" w14:textId="77777777" w:rsidR="003A52BD" w:rsidRPr="003D58DF" w:rsidRDefault="003A52BD" w:rsidP="003D58DF">
            <w:pPr>
              <w:pStyle w:val="BodyText"/>
              <w:spacing w:after="0"/>
              <w:jc w:val="both"/>
              <w:rPr>
                <w:rFonts w:asciiTheme="majorHAnsi" w:hAnsiTheme="majorHAnsi"/>
                <w:bCs/>
                <w:sz w:val="20"/>
                <w:lang w:val="fr-FR"/>
              </w:rPr>
            </w:pPr>
            <w:r w:rsidRPr="003D58DF">
              <w:rPr>
                <w:rFonts w:asciiTheme="majorHAnsi" w:hAnsiTheme="majorHAnsi"/>
                <w:bCs/>
                <w:sz w:val="20"/>
                <w:lang w:val="fr-FR"/>
              </w:rPr>
              <w:t>La stratégie de mobilisation des ressources n’a pas encore été élaborée. La finalisation récente de la Stratégie Nationale d’Actions Prioritaires (SNAP) pour la Réforme du Secteur de la Sécurité (RSS)</w:t>
            </w:r>
            <w:r>
              <w:rPr>
                <w:rFonts w:asciiTheme="majorHAnsi" w:hAnsiTheme="majorHAnsi"/>
                <w:bCs/>
                <w:sz w:val="20"/>
                <w:lang w:val="fr-FR"/>
              </w:rPr>
              <w:t xml:space="preserve"> permettra d’engendrer l’élaboration de la stratégie de mobilisation des ressources pour la mise en œuvre de la réforme</w:t>
            </w:r>
            <w:r w:rsidRPr="003D58DF">
              <w:rPr>
                <w:rFonts w:asciiTheme="majorHAnsi" w:hAnsiTheme="majorHAnsi"/>
                <w:bCs/>
                <w:sz w:val="20"/>
                <w:lang w:val="fr-FR"/>
              </w:rPr>
              <w:t xml:space="preserve">. </w:t>
            </w:r>
          </w:p>
        </w:tc>
        <w:tc>
          <w:tcPr>
            <w:tcW w:w="3261" w:type="dxa"/>
          </w:tcPr>
          <w:p w14:paraId="0F10F631" w14:textId="77777777" w:rsidR="003A52BD" w:rsidRPr="003D58DF" w:rsidRDefault="003A52BD" w:rsidP="003D58DF">
            <w:pPr>
              <w:pStyle w:val="BodyText"/>
              <w:spacing w:after="0"/>
              <w:jc w:val="both"/>
              <w:rPr>
                <w:rFonts w:asciiTheme="majorHAnsi" w:hAnsiTheme="majorHAnsi"/>
                <w:bCs/>
                <w:sz w:val="20"/>
                <w:lang w:val="fr-FR"/>
              </w:rPr>
            </w:pPr>
          </w:p>
          <w:p w14:paraId="18C160D0" w14:textId="77777777" w:rsidR="003A52BD" w:rsidRPr="003D58DF" w:rsidRDefault="003A52BD" w:rsidP="003D58DF">
            <w:pPr>
              <w:pStyle w:val="BodyText"/>
              <w:spacing w:after="0"/>
              <w:jc w:val="both"/>
              <w:rPr>
                <w:rFonts w:asciiTheme="majorHAnsi" w:hAnsiTheme="majorHAnsi"/>
                <w:bCs/>
                <w:sz w:val="20"/>
                <w:lang w:val="fr-FR"/>
              </w:rPr>
            </w:pPr>
          </w:p>
          <w:p w14:paraId="4DABC914" w14:textId="77777777" w:rsidR="003A52BD" w:rsidRPr="003D58DF" w:rsidRDefault="003A52BD" w:rsidP="003D58DF">
            <w:pPr>
              <w:pStyle w:val="BodyText"/>
              <w:spacing w:after="0"/>
              <w:jc w:val="both"/>
              <w:rPr>
                <w:rFonts w:asciiTheme="majorHAnsi" w:hAnsiTheme="majorHAnsi"/>
                <w:bCs/>
                <w:sz w:val="20"/>
                <w:lang w:val="fr-FR"/>
              </w:rPr>
            </w:pPr>
          </w:p>
          <w:p w14:paraId="524DE2F9" w14:textId="77777777" w:rsidR="003A52BD" w:rsidRPr="003D58DF" w:rsidRDefault="003A52BD" w:rsidP="003D58DF">
            <w:pPr>
              <w:pStyle w:val="BodyText"/>
              <w:spacing w:after="0"/>
              <w:jc w:val="both"/>
              <w:rPr>
                <w:rFonts w:asciiTheme="majorHAnsi" w:hAnsiTheme="majorHAnsi"/>
                <w:bCs/>
                <w:sz w:val="20"/>
                <w:lang w:val="fr-FR"/>
              </w:rPr>
            </w:pPr>
          </w:p>
          <w:p w14:paraId="11095B14" w14:textId="77777777" w:rsidR="003A52BD" w:rsidRDefault="003A52BD" w:rsidP="003D58DF">
            <w:pPr>
              <w:pStyle w:val="BodyText"/>
              <w:spacing w:after="0"/>
              <w:jc w:val="both"/>
              <w:rPr>
                <w:rFonts w:asciiTheme="majorHAnsi" w:hAnsiTheme="majorHAnsi"/>
                <w:bCs/>
                <w:sz w:val="20"/>
                <w:lang w:val="fr-FR"/>
              </w:rPr>
            </w:pPr>
          </w:p>
          <w:p w14:paraId="2EF7C1F8" w14:textId="77777777" w:rsidR="003A52BD" w:rsidRPr="003D58DF" w:rsidRDefault="003A52BD" w:rsidP="003D58DF">
            <w:pPr>
              <w:pStyle w:val="BodyText"/>
              <w:spacing w:after="0"/>
              <w:jc w:val="both"/>
              <w:rPr>
                <w:rFonts w:asciiTheme="majorHAnsi" w:hAnsiTheme="majorHAnsi"/>
                <w:bCs/>
                <w:sz w:val="20"/>
                <w:lang w:val="fr-FR"/>
              </w:rPr>
            </w:pPr>
            <w:r w:rsidRPr="003D58DF">
              <w:rPr>
                <w:rFonts w:asciiTheme="majorHAnsi" w:hAnsiTheme="majorHAnsi"/>
                <w:bCs/>
                <w:sz w:val="20"/>
                <w:lang w:val="fr-FR"/>
              </w:rPr>
              <w:t xml:space="preserve">Voir cellule précédente  </w:t>
            </w:r>
          </w:p>
        </w:tc>
        <w:tc>
          <w:tcPr>
            <w:tcW w:w="3003" w:type="dxa"/>
          </w:tcPr>
          <w:p w14:paraId="71D9074E" w14:textId="77777777" w:rsidR="003A52BD" w:rsidRPr="003D58DF" w:rsidRDefault="003A52BD" w:rsidP="003D58DF">
            <w:pPr>
              <w:pStyle w:val="BodyText"/>
              <w:spacing w:after="0"/>
              <w:jc w:val="both"/>
              <w:rPr>
                <w:rFonts w:asciiTheme="majorHAnsi" w:hAnsiTheme="majorHAnsi"/>
                <w:bCs/>
                <w:sz w:val="20"/>
                <w:lang w:val="fr-FR"/>
              </w:rPr>
            </w:pPr>
          </w:p>
          <w:p w14:paraId="2DFA2EBA" w14:textId="77777777" w:rsidR="003A52BD" w:rsidRPr="003D58DF" w:rsidRDefault="003A52BD" w:rsidP="003D58DF">
            <w:pPr>
              <w:pStyle w:val="BodyText"/>
              <w:spacing w:after="0"/>
              <w:jc w:val="both"/>
              <w:rPr>
                <w:rFonts w:asciiTheme="majorHAnsi" w:hAnsiTheme="majorHAnsi"/>
                <w:bCs/>
                <w:sz w:val="20"/>
                <w:lang w:val="fr-FR"/>
              </w:rPr>
            </w:pPr>
          </w:p>
          <w:p w14:paraId="71DF64EB" w14:textId="77777777" w:rsidR="003A52BD" w:rsidRPr="003D58DF" w:rsidRDefault="003A52BD" w:rsidP="003D58DF">
            <w:pPr>
              <w:pStyle w:val="BodyText"/>
              <w:spacing w:after="0"/>
              <w:jc w:val="both"/>
              <w:rPr>
                <w:rFonts w:asciiTheme="majorHAnsi" w:hAnsiTheme="majorHAnsi"/>
                <w:bCs/>
                <w:sz w:val="20"/>
                <w:lang w:val="fr-FR"/>
              </w:rPr>
            </w:pPr>
          </w:p>
          <w:p w14:paraId="222F72ED" w14:textId="77777777" w:rsidR="003A52BD" w:rsidRPr="003D58DF" w:rsidRDefault="003A52BD" w:rsidP="003D58DF">
            <w:pPr>
              <w:pStyle w:val="BodyText"/>
              <w:spacing w:after="0"/>
              <w:jc w:val="both"/>
              <w:rPr>
                <w:rFonts w:asciiTheme="majorHAnsi" w:hAnsiTheme="majorHAnsi"/>
                <w:bCs/>
                <w:sz w:val="20"/>
                <w:lang w:val="fr-FR"/>
              </w:rPr>
            </w:pPr>
          </w:p>
          <w:p w14:paraId="1158A2C7" w14:textId="77777777" w:rsidR="003A52BD" w:rsidRDefault="003A52BD" w:rsidP="003D58DF">
            <w:pPr>
              <w:pStyle w:val="BodyText"/>
              <w:spacing w:after="0"/>
              <w:jc w:val="both"/>
              <w:rPr>
                <w:rFonts w:asciiTheme="majorHAnsi" w:hAnsiTheme="majorHAnsi"/>
                <w:bCs/>
                <w:sz w:val="20"/>
                <w:lang w:val="fr-FR"/>
              </w:rPr>
            </w:pPr>
          </w:p>
          <w:p w14:paraId="10695402" w14:textId="77777777" w:rsidR="003A52BD" w:rsidRPr="003D58DF" w:rsidRDefault="003A52BD" w:rsidP="003D58DF">
            <w:pPr>
              <w:pStyle w:val="BodyText"/>
              <w:spacing w:after="0"/>
              <w:jc w:val="both"/>
              <w:rPr>
                <w:rFonts w:asciiTheme="majorHAnsi" w:hAnsiTheme="majorHAnsi"/>
                <w:bCs/>
                <w:sz w:val="20"/>
                <w:lang w:val="fr-FR"/>
              </w:rPr>
            </w:pPr>
            <w:r w:rsidRPr="003D58DF">
              <w:rPr>
                <w:rFonts w:asciiTheme="majorHAnsi" w:hAnsiTheme="majorHAnsi"/>
                <w:bCs/>
                <w:sz w:val="20"/>
                <w:lang w:val="fr-FR"/>
              </w:rPr>
              <w:t xml:space="preserve">Voir cellule précédente  </w:t>
            </w:r>
          </w:p>
        </w:tc>
      </w:tr>
    </w:tbl>
    <w:p w14:paraId="30113EB7" w14:textId="77777777" w:rsidR="003D58DF" w:rsidRPr="00EE50E9" w:rsidRDefault="003D58DF" w:rsidP="00F11DAC">
      <w:pPr>
        <w:outlineLvl w:val="0"/>
        <w:rPr>
          <w:sz w:val="22"/>
          <w:szCs w:val="22"/>
        </w:rPr>
      </w:pPr>
    </w:p>
    <w:p w14:paraId="209FD29E" w14:textId="77777777" w:rsidR="004271F2" w:rsidRDefault="004271F2" w:rsidP="00F11DAC">
      <w:pPr>
        <w:outlineLvl w:val="0"/>
        <w:rPr>
          <w:sz w:val="22"/>
          <w:szCs w:val="22"/>
        </w:rPr>
      </w:pPr>
    </w:p>
    <w:p w14:paraId="2E5FAC99" w14:textId="77777777" w:rsidR="004271F2" w:rsidRPr="004271F2" w:rsidRDefault="004271F2" w:rsidP="004271F2">
      <w:pPr>
        <w:rPr>
          <w:sz w:val="22"/>
          <w:szCs w:val="22"/>
        </w:rPr>
      </w:pPr>
    </w:p>
    <w:p w14:paraId="276D4213" w14:textId="77777777" w:rsidR="004271F2" w:rsidRPr="004271F2" w:rsidRDefault="004271F2" w:rsidP="004271F2">
      <w:pPr>
        <w:rPr>
          <w:sz w:val="22"/>
          <w:szCs w:val="22"/>
        </w:rPr>
      </w:pPr>
    </w:p>
    <w:p w14:paraId="258C9A3C" w14:textId="77777777" w:rsidR="004271F2" w:rsidRPr="004271F2" w:rsidRDefault="004271F2" w:rsidP="004271F2">
      <w:pPr>
        <w:rPr>
          <w:sz w:val="22"/>
          <w:szCs w:val="22"/>
        </w:rPr>
      </w:pPr>
    </w:p>
    <w:p w14:paraId="1E05C6A4" w14:textId="77777777" w:rsidR="004271F2" w:rsidRPr="004271F2" w:rsidRDefault="004271F2" w:rsidP="004271F2">
      <w:pPr>
        <w:rPr>
          <w:sz w:val="22"/>
          <w:szCs w:val="22"/>
        </w:rPr>
      </w:pPr>
    </w:p>
    <w:p w14:paraId="5EA2490F" w14:textId="77777777" w:rsidR="004271F2" w:rsidRPr="004271F2" w:rsidRDefault="004271F2" w:rsidP="004271F2">
      <w:pPr>
        <w:rPr>
          <w:sz w:val="22"/>
          <w:szCs w:val="22"/>
        </w:rPr>
      </w:pPr>
    </w:p>
    <w:p w14:paraId="12D9A93B" w14:textId="77777777" w:rsidR="004271F2" w:rsidRPr="004271F2" w:rsidRDefault="004271F2" w:rsidP="004271F2">
      <w:pPr>
        <w:rPr>
          <w:sz w:val="22"/>
          <w:szCs w:val="22"/>
        </w:rPr>
      </w:pPr>
    </w:p>
    <w:p w14:paraId="433DFBAC" w14:textId="77777777" w:rsidR="004271F2" w:rsidRDefault="004271F2" w:rsidP="004271F2">
      <w:pPr>
        <w:rPr>
          <w:sz w:val="22"/>
          <w:szCs w:val="22"/>
        </w:rPr>
      </w:pPr>
    </w:p>
    <w:p w14:paraId="3BECDB03" w14:textId="77777777" w:rsidR="004271F2" w:rsidRDefault="004271F2" w:rsidP="004271F2">
      <w:pPr>
        <w:rPr>
          <w:sz w:val="22"/>
          <w:szCs w:val="22"/>
        </w:rPr>
      </w:pPr>
    </w:p>
    <w:p w14:paraId="089AE0A7" w14:textId="77777777" w:rsidR="00CF6D08" w:rsidRPr="004271F2" w:rsidRDefault="004271F2" w:rsidP="004271F2">
      <w:pPr>
        <w:tabs>
          <w:tab w:val="left" w:pos="2469"/>
        </w:tabs>
        <w:rPr>
          <w:sz w:val="22"/>
          <w:szCs w:val="22"/>
        </w:rPr>
      </w:pPr>
      <w:r>
        <w:rPr>
          <w:sz w:val="22"/>
          <w:szCs w:val="22"/>
        </w:rPr>
        <w:tab/>
      </w:r>
    </w:p>
    <w:sectPr w:rsidR="00CF6D08" w:rsidRPr="004271F2" w:rsidSect="00F11DAC">
      <w:headerReference w:type="even" r:id="rId13"/>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E3815" w14:textId="77777777" w:rsidR="00823948" w:rsidRDefault="00823948">
      <w:r>
        <w:separator/>
      </w:r>
    </w:p>
  </w:endnote>
  <w:endnote w:type="continuationSeparator" w:id="0">
    <w:p w14:paraId="0B2259D7" w14:textId="77777777" w:rsidR="00823948" w:rsidRDefault="0082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329BD" w14:textId="77777777" w:rsidR="00CF6D08" w:rsidRDefault="00CF6D08" w:rsidP="00A54051">
    <w:pPr>
      <w:pStyle w:val="Footer"/>
      <w:framePr w:wrap="around" w:vAnchor="text" w:hAnchor="margin" w:xAlign="right"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end"/>
    </w:r>
  </w:p>
  <w:p w14:paraId="65150522" w14:textId="77777777" w:rsidR="00CF6D08" w:rsidRDefault="00CF6D08" w:rsidP="00A540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88A6A" w14:textId="77777777" w:rsidR="00CF6D08" w:rsidRDefault="00CF6D08" w:rsidP="00A54051">
    <w:pPr>
      <w:pStyle w:val="Footer"/>
      <w:framePr w:wrap="around" w:vAnchor="text" w:hAnchor="margin" w:xAlign="right"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separate"/>
    </w:r>
    <w:r w:rsidR="00C859FA">
      <w:rPr>
        <w:rStyle w:val="PageNumber"/>
        <w:rFonts w:cs="Tahoma"/>
        <w:noProof/>
      </w:rPr>
      <w:t>1</w:t>
    </w:r>
    <w:r>
      <w:rPr>
        <w:rStyle w:val="PageNumber"/>
        <w:rFonts w:cs="Tahoma"/>
      </w:rPr>
      <w:fldChar w:fldCharType="end"/>
    </w:r>
  </w:p>
  <w:p w14:paraId="1192E1A6" w14:textId="77777777" w:rsidR="00CF6D08" w:rsidRDefault="00CF6D08" w:rsidP="00A5405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EA95C" w14:textId="77777777" w:rsidR="00CF6D08" w:rsidRDefault="00CF6D08" w:rsidP="00F11DAC">
    <w:pPr>
      <w:pStyle w:val="Footer"/>
      <w:framePr w:wrap="around" w:vAnchor="text" w:hAnchor="margin" w:xAlign="right"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separate"/>
    </w:r>
    <w:r w:rsidR="00C859FA">
      <w:rPr>
        <w:rStyle w:val="PageNumber"/>
        <w:rFonts w:cs="Tahoma"/>
        <w:noProof/>
      </w:rPr>
      <w:t>6</w:t>
    </w:r>
    <w:r>
      <w:rPr>
        <w:rStyle w:val="PageNumber"/>
        <w:rFonts w:cs="Tahoma"/>
      </w:rPr>
      <w:fldChar w:fldCharType="end"/>
    </w:r>
  </w:p>
  <w:p w14:paraId="4FA3F59A" w14:textId="77777777" w:rsidR="00CF6D08" w:rsidRDefault="00CF6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73406" w14:textId="77777777" w:rsidR="00823948" w:rsidRDefault="00823948">
      <w:r>
        <w:separator/>
      </w:r>
    </w:p>
  </w:footnote>
  <w:footnote w:type="continuationSeparator" w:id="0">
    <w:p w14:paraId="492ACF72" w14:textId="77777777" w:rsidR="00823948" w:rsidRDefault="00823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E08F2" w14:textId="77777777" w:rsidR="00CF6D08" w:rsidRDefault="00CF6D08" w:rsidP="00EC1D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39E442" w14:textId="77777777" w:rsidR="00CF6D08" w:rsidRDefault="00CF6D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9"/>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927"/>
        </w:tabs>
        <w:ind w:left="927"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A5F1989"/>
    <w:multiLevelType w:val="hybridMultilevel"/>
    <w:tmpl w:val="BB88E7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39B7695E"/>
    <w:multiLevelType w:val="hybridMultilevel"/>
    <w:tmpl w:val="29C4C2AC"/>
    <w:lvl w:ilvl="0" w:tplc="363E4B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426477"/>
    <w:multiLevelType w:val="hybridMultilevel"/>
    <w:tmpl w:val="0584E1E0"/>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B02455"/>
    <w:multiLevelType w:val="hybridMultilevel"/>
    <w:tmpl w:val="8A9E6622"/>
    <w:lvl w:ilvl="0" w:tplc="7A080FB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548745F"/>
    <w:multiLevelType w:val="hybridMultilevel"/>
    <w:tmpl w:val="0A84DDF2"/>
    <w:lvl w:ilvl="0" w:tplc="A42485D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58E46413"/>
    <w:multiLevelType w:val="hybridMultilevel"/>
    <w:tmpl w:val="58F8B9FE"/>
    <w:lvl w:ilvl="0" w:tplc="93442680">
      <w:numFmt w:val="bullet"/>
      <w:lvlText w:val="-"/>
      <w:lvlJc w:val="left"/>
      <w:pPr>
        <w:ind w:left="1080" w:hanging="360"/>
      </w:pPr>
      <w:rPr>
        <w:rFonts w:ascii="Cambria" w:eastAsia="Calibri" w:hAnsi="Cambria" w:cs="Times New Roman" w:hint="default"/>
        <w:color w:val="00000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8">
    <w:nsid w:val="725E5D3E"/>
    <w:multiLevelType w:val="hybridMultilevel"/>
    <w:tmpl w:val="977E4872"/>
    <w:lvl w:ilvl="0" w:tplc="AC3E417A">
      <w:start w:val="2"/>
      <w:numFmt w:val="bullet"/>
      <w:lvlText w:val="-"/>
      <w:lvlJc w:val="left"/>
      <w:pPr>
        <w:ind w:left="1206" w:hanging="360"/>
      </w:pPr>
      <w:rPr>
        <w:rFonts w:ascii="Calibri" w:eastAsia="Calibri" w:hAnsi="Calibri" w:cs="Times New Roman" w:hint="default"/>
      </w:rPr>
    </w:lvl>
    <w:lvl w:ilvl="1" w:tplc="40090003">
      <w:start w:val="1"/>
      <w:numFmt w:val="bullet"/>
      <w:lvlText w:val="o"/>
      <w:lvlJc w:val="left"/>
      <w:pPr>
        <w:ind w:left="1926" w:hanging="360"/>
      </w:pPr>
      <w:rPr>
        <w:rFonts w:ascii="Courier New" w:hAnsi="Courier New" w:cs="Courier New" w:hint="default"/>
      </w:rPr>
    </w:lvl>
    <w:lvl w:ilvl="2" w:tplc="40090005">
      <w:start w:val="1"/>
      <w:numFmt w:val="bullet"/>
      <w:lvlText w:val=""/>
      <w:lvlJc w:val="left"/>
      <w:pPr>
        <w:ind w:left="2646" w:hanging="360"/>
      </w:pPr>
      <w:rPr>
        <w:rFonts w:ascii="Wingdings" w:hAnsi="Wingdings" w:hint="default"/>
      </w:rPr>
    </w:lvl>
    <w:lvl w:ilvl="3" w:tplc="40090001" w:tentative="1">
      <w:start w:val="1"/>
      <w:numFmt w:val="bullet"/>
      <w:lvlText w:val=""/>
      <w:lvlJc w:val="left"/>
      <w:pPr>
        <w:ind w:left="3366" w:hanging="360"/>
      </w:pPr>
      <w:rPr>
        <w:rFonts w:ascii="Symbol" w:hAnsi="Symbol" w:hint="default"/>
      </w:rPr>
    </w:lvl>
    <w:lvl w:ilvl="4" w:tplc="40090003" w:tentative="1">
      <w:start w:val="1"/>
      <w:numFmt w:val="bullet"/>
      <w:lvlText w:val="o"/>
      <w:lvlJc w:val="left"/>
      <w:pPr>
        <w:ind w:left="4086" w:hanging="360"/>
      </w:pPr>
      <w:rPr>
        <w:rFonts w:ascii="Courier New" w:hAnsi="Courier New" w:cs="Courier New" w:hint="default"/>
      </w:rPr>
    </w:lvl>
    <w:lvl w:ilvl="5" w:tplc="40090005" w:tentative="1">
      <w:start w:val="1"/>
      <w:numFmt w:val="bullet"/>
      <w:lvlText w:val=""/>
      <w:lvlJc w:val="left"/>
      <w:pPr>
        <w:ind w:left="4806" w:hanging="360"/>
      </w:pPr>
      <w:rPr>
        <w:rFonts w:ascii="Wingdings" w:hAnsi="Wingdings" w:hint="default"/>
      </w:rPr>
    </w:lvl>
    <w:lvl w:ilvl="6" w:tplc="40090001" w:tentative="1">
      <w:start w:val="1"/>
      <w:numFmt w:val="bullet"/>
      <w:lvlText w:val=""/>
      <w:lvlJc w:val="left"/>
      <w:pPr>
        <w:ind w:left="5526" w:hanging="360"/>
      </w:pPr>
      <w:rPr>
        <w:rFonts w:ascii="Symbol" w:hAnsi="Symbol" w:hint="default"/>
      </w:rPr>
    </w:lvl>
    <w:lvl w:ilvl="7" w:tplc="40090003" w:tentative="1">
      <w:start w:val="1"/>
      <w:numFmt w:val="bullet"/>
      <w:lvlText w:val="o"/>
      <w:lvlJc w:val="left"/>
      <w:pPr>
        <w:ind w:left="6246" w:hanging="360"/>
      </w:pPr>
      <w:rPr>
        <w:rFonts w:ascii="Courier New" w:hAnsi="Courier New" w:cs="Courier New" w:hint="default"/>
      </w:rPr>
    </w:lvl>
    <w:lvl w:ilvl="8" w:tplc="40090005" w:tentative="1">
      <w:start w:val="1"/>
      <w:numFmt w:val="bullet"/>
      <w:lvlText w:val=""/>
      <w:lvlJc w:val="left"/>
      <w:pPr>
        <w:ind w:left="6966" w:hanging="360"/>
      </w:pPr>
      <w:rPr>
        <w:rFonts w:ascii="Wingdings" w:hAnsi="Wingdings" w:hint="default"/>
      </w:rPr>
    </w:lvl>
  </w:abstractNum>
  <w:abstractNum w:abstractNumId="9">
    <w:nsid w:val="77AD0516"/>
    <w:multiLevelType w:val="hybridMultilevel"/>
    <w:tmpl w:val="7D5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981F6A"/>
    <w:multiLevelType w:val="hybridMultilevel"/>
    <w:tmpl w:val="949EF83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
  </w:num>
  <w:num w:numId="4">
    <w:abstractNumId w:val="7"/>
  </w:num>
  <w:num w:numId="5">
    <w:abstractNumId w:val="1"/>
  </w:num>
  <w:num w:numId="6">
    <w:abstractNumId w:val="2"/>
  </w:num>
  <w:num w:numId="7">
    <w:abstractNumId w:val="10"/>
  </w:num>
  <w:num w:numId="8">
    <w:abstractNumId w:val="0"/>
  </w:num>
  <w:num w:numId="9">
    <w:abstractNumId w:val="8"/>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E4"/>
    <w:rsid w:val="00000B40"/>
    <w:rsid w:val="00001E49"/>
    <w:rsid w:val="00003415"/>
    <w:rsid w:val="00004401"/>
    <w:rsid w:val="0000600A"/>
    <w:rsid w:val="00006D54"/>
    <w:rsid w:val="00007B30"/>
    <w:rsid w:val="00007BC1"/>
    <w:rsid w:val="000116C1"/>
    <w:rsid w:val="0001585B"/>
    <w:rsid w:val="00015C58"/>
    <w:rsid w:val="000164AE"/>
    <w:rsid w:val="00022ACB"/>
    <w:rsid w:val="000234F4"/>
    <w:rsid w:val="000256FA"/>
    <w:rsid w:val="00026454"/>
    <w:rsid w:val="000314C3"/>
    <w:rsid w:val="0003210A"/>
    <w:rsid w:val="00033959"/>
    <w:rsid w:val="00036291"/>
    <w:rsid w:val="00036E35"/>
    <w:rsid w:val="000440E9"/>
    <w:rsid w:val="00044194"/>
    <w:rsid w:val="000445F1"/>
    <w:rsid w:val="00044EF4"/>
    <w:rsid w:val="0004701E"/>
    <w:rsid w:val="00047A98"/>
    <w:rsid w:val="00050376"/>
    <w:rsid w:val="00051516"/>
    <w:rsid w:val="00051E3A"/>
    <w:rsid w:val="00052BFC"/>
    <w:rsid w:val="00054DCB"/>
    <w:rsid w:val="00055CA5"/>
    <w:rsid w:val="00060B1F"/>
    <w:rsid w:val="00064103"/>
    <w:rsid w:val="000646FF"/>
    <w:rsid w:val="00065738"/>
    <w:rsid w:val="000665EF"/>
    <w:rsid w:val="000674E5"/>
    <w:rsid w:val="0006769A"/>
    <w:rsid w:val="00067E99"/>
    <w:rsid w:val="00070673"/>
    <w:rsid w:val="00071863"/>
    <w:rsid w:val="0007217D"/>
    <w:rsid w:val="00075754"/>
    <w:rsid w:val="00075E09"/>
    <w:rsid w:val="00076233"/>
    <w:rsid w:val="00076F81"/>
    <w:rsid w:val="000815B9"/>
    <w:rsid w:val="00083FC2"/>
    <w:rsid w:val="000909BE"/>
    <w:rsid w:val="00091616"/>
    <w:rsid w:val="000949C9"/>
    <w:rsid w:val="000961B9"/>
    <w:rsid w:val="000A14A2"/>
    <w:rsid w:val="000A21E7"/>
    <w:rsid w:val="000A483D"/>
    <w:rsid w:val="000B08F7"/>
    <w:rsid w:val="000B1923"/>
    <w:rsid w:val="000B3020"/>
    <w:rsid w:val="000B4388"/>
    <w:rsid w:val="000B7AFA"/>
    <w:rsid w:val="000C1E2D"/>
    <w:rsid w:val="000C663B"/>
    <w:rsid w:val="000D3582"/>
    <w:rsid w:val="000D5162"/>
    <w:rsid w:val="000D637F"/>
    <w:rsid w:val="000D6F3F"/>
    <w:rsid w:val="000D7806"/>
    <w:rsid w:val="000E20A9"/>
    <w:rsid w:val="000E20E0"/>
    <w:rsid w:val="000E222E"/>
    <w:rsid w:val="000E2244"/>
    <w:rsid w:val="000E4422"/>
    <w:rsid w:val="000E5282"/>
    <w:rsid w:val="000E56D7"/>
    <w:rsid w:val="000E7CC1"/>
    <w:rsid w:val="000E7FB6"/>
    <w:rsid w:val="000F04C6"/>
    <w:rsid w:val="000F1231"/>
    <w:rsid w:val="000F17B2"/>
    <w:rsid w:val="000F3A75"/>
    <w:rsid w:val="00105995"/>
    <w:rsid w:val="00106ACC"/>
    <w:rsid w:val="001079CC"/>
    <w:rsid w:val="00110DDD"/>
    <w:rsid w:val="00111C9C"/>
    <w:rsid w:val="00112D95"/>
    <w:rsid w:val="0011440F"/>
    <w:rsid w:val="001151A7"/>
    <w:rsid w:val="0011559A"/>
    <w:rsid w:val="00116120"/>
    <w:rsid w:val="001169F1"/>
    <w:rsid w:val="00122DC1"/>
    <w:rsid w:val="0012466B"/>
    <w:rsid w:val="00125C12"/>
    <w:rsid w:val="00131EE4"/>
    <w:rsid w:val="00132CB9"/>
    <w:rsid w:val="00133BD3"/>
    <w:rsid w:val="001377E8"/>
    <w:rsid w:val="0014011C"/>
    <w:rsid w:val="00140706"/>
    <w:rsid w:val="001473C0"/>
    <w:rsid w:val="001519D1"/>
    <w:rsid w:val="00151F6F"/>
    <w:rsid w:val="00152115"/>
    <w:rsid w:val="00152378"/>
    <w:rsid w:val="001527E8"/>
    <w:rsid w:val="00152E92"/>
    <w:rsid w:val="00154290"/>
    <w:rsid w:val="001576EA"/>
    <w:rsid w:val="001607BA"/>
    <w:rsid w:val="00163695"/>
    <w:rsid w:val="001662E1"/>
    <w:rsid w:val="001700D9"/>
    <w:rsid w:val="00170556"/>
    <w:rsid w:val="00171F6E"/>
    <w:rsid w:val="00172EA3"/>
    <w:rsid w:val="00173E5B"/>
    <w:rsid w:val="0017581B"/>
    <w:rsid w:val="001822CA"/>
    <w:rsid w:val="001836FF"/>
    <w:rsid w:val="00184AD1"/>
    <w:rsid w:val="00184B1C"/>
    <w:rsid w:val="00192C0F"/>
    <w:rsid w:val="001A222A"/>
    <w:rsid w:val="001A37C9"/>
    <w:rsid w:val="001A3CA5"/>
    <w:rsid w:val="001A43F0"/>
    <w:rsid w:val="001A5E0B"/>
    <w:rsid w:val="001A6CBC"/>
    <w:rsid w:val="001B67A1"/>
    <w:rsid w:val="001C10F4"/>
    <w:rsid w:val="001C171D"/>
    <w:rsid w:val="001C3D48"/>
    <w:rsid w:val="001C6983"/>
    <w:rsid w:val="001D1819"/>
    <w:rsid w:val="001D280D"/>
    <w:rsid w:val="001D2AAC"/>
    <w:rsid w:val="001E4DCF"/>
    <w:rsid w:val="001E5296"/>
    <w:rsid w:val="001E5490"/>
    <w:rsid w:val="001E79E5"/>
    <w:rsid w:val="001F0026"/>
    <w:rsid w:val="001F269E"/>
    <w:rsid w:val="001F33F1"/>
    <w:rsid w:val="001F40E3"/>
    <w:rsid w:val="001F47E7"/>
    <w:rsid w:val="001F6F2F"/>
    <w:rsid w:val="001F7C1C"/>
    <w:rsid w:val="00202126"/>
    <w:rsid w:val="002036CC"/>
    <w:rsid w:val="00203C63"/>
    <w:rsid w:val="0021092C"/>
    <w:rsid w:val="002139A1"/>
    <w:rsid w:val="00216361"/>
    <w:rsid w:val="002167F3"/>
    <w:rsid w:val="0021731C"/>
    <w:rsid w:val="0022562F"/>
    <w:rsid w:val="0022642C"/>
    <w:rsid w:val="00231319"/>
    <w:rsid w:val="00231E0F"/>
    <w:rsid w:val="00231E45"/>
    <w:rsid w:val="00240103"/>
    <w:rsid w:val="00240E17"/>
    <w:rsid w:val="00241E68"/>
    <w:rsid w:val="0024221A"/>
    <w:rsid w:val="00243BD4"/>
    <w:rsid w:val="0024567C"/>
    <w:rsid w:val="00246D67"/>
    <w:rsid w:val="0024716E"/>
    <w:rsid w:val="00247557"/>
    <w:rsid w:val="0025103B"/>
    <w:rsid w:val="002518FB"/>
    <w:rsid w:val="00252830"/>
    <w:rsid w:val="002534D1"/>
    <w:rsid w:val="00253822"/>
    <w:rsid w:val="00253B25"/>
    <w:rsid w:val="00257F89"/>
    <w:rsid w:val="0026324A"/>
    <w:rsid w:val="0027031A"/>
    <w:rsid w:val="002715AD"/>
    <w:rsid w:val="00272907"/>
    <w:rsid w:val="00272BDB"/>
    <w:rsid w:val="0027398B"/>
    <w:rsid w:val="00275D16"/>
    <w:rsid w:val="0028032D"/>
    <w:rsid w:val="00282180"/>
    <w:rsid w:val="002828C1"/>
    <w:rsid w:val="00283362"/>
    <w:rsid w:val="00287829"/>
    <w:rsid w:val="00293B3A"/>
    <w:rsid w:val="00294791"/>
    <w:rsid w:val="0029694B"/>
    <w:rsid w:val="00297385"/>
    <w:rsid w:val="00297516"/>
    <w:rsid w:val="002A4481"/>
    <w:rsid w:val="002A4982"/>
    <w:rsid w:val="002B056D"/>
    <w:rsid w:val="002B0660"/>
    <w:rsid w:val="002B1876"/>
    <w:rsid w:val="002B222B"/>
    <w:rsid w:val="002B31EF"/>
    <w:rsid w:val="002B32E5"/>
    <w:rsid w:val="002C20F1"/>
    <w:rsid w:val="002C5958"/>
    <w:rsid w:val="002C6D27"/>
    <w:rsid w:val="002C73D4"/>
    <w:rsid w:val="002D105C"/>
    <w:rsid w:val="002D1712"/>
    <w:rsid w:val="002D359A"/>
    <w:rsid w:val="002D3F09"/>
    <w:rsid w:val="002D4116"/>
    <w:rsid w:val="002D5DF4"/>
    <w:rsid w:val="002D7970"/>
    <w:rsid w:val="002D7D73"/>
    <w:rsid w:val="002E0C2B"/>
    <w:rsid w:val="002E5AE5"/>
    <w:rsid w:val="002F17D3"/>
    <w:rsid w:val="002F29D9"/>
    <w:rsid w:val="002F672E"/>
    <w:rsid w:val="002F69C6"/>
    <w:rsid w:val="002F6F9A"/>
    <w:rsid w:val="0030076E"/>
    <w:rsid w:val="003029D7"/>
    <w:rsid w:val="00302A7B"/>
    <w:rsid w:val="00302F0F"/>
    <w:rsid w:val="00304929"/>
    <w:rsid w:val="00304C5E"/>
    <w:rsid w:val="003056C7"/>
    <w:rsid w:val="00310519"/>
    <w:rsid w:val="00310E18"/>
    <w:rsid w:val="003153D6"/>
    <w:rsid w:val="00316BDB"/>
    <w:rsid w:val="00317C09"/>
    <w:rsid w:val="00317EDC"/>
    <w:rsid w:val="003236F5"/>
    <w:rsid w:val="00332795"/>
    <w:rsid w:val="00332F6C"/>
    <w:rsid w:val="003344F4"/>
    <w:rsid w:val="003411B4"/>
    <w:rsid w:val="003423D0"/>
    <w:rsid w:val="00342CAC"/>
    <w:rsid w:val="00343FB0"/>
    <w:rsid w:val="00345956"/>
    <w:rsid w:val="00347FBC"/>
    <w:rsid w:val="00351BF9"/>
    <w:rsid w:val="00351DC5"/>
    <w:rsid w:val="00352446"/>
    <w:rsid w:val="00354BF1"/>
    <w:rsid w:val="0035519D"/>
    <w:rsid w:val="00357651"/>
    <w:rsid w:val="00362F26"/>
    <w:rsid w:val="00370882"/>
    <w:rsid w:val="003717E7"/>
    <w:rsid w:val="0037226B"/>
    <w:rsid w:val="0037263B"/>
    <w:rsid w:val="00373CAF"/>
    <w:rsid w:val="00374251"/>
    <w:rsid w:val="00382990"/>
    <w:rsid w:val="00384C8C"/>
    <w:rsid w:val="0038672F"/>
    <w:rsid w:val="003917BB"/>
    <w:rsid w:val="00391CBF"/>
    <w:rsid w:val="003976B5"/>
    <w:rsid w:val="003A069A"/>
    <w:rsid w:val="003A4E7F"/>
    <w:rsid w:val="003A52BD"/>
    <w:rsid w:val="003B0A11"/>
    <w:rsid w:val="003B27F3"/>
    <w:rsid w:val="003B3457"/>
    <w:rsid w:val="003B5289"/>
    <w:rsid w:val="003C3526"/>
    <w:rsid w:val="003C377A"/>
    <w:rsid w:val="003C40C4"/>
    <w:rsid w:val="003C4DF5"/>
    <w:rsid w:val="003C5543"/>
    <w:rsid w:val="003D1A08"/>
    <w:rsid w:val="003D1AA7"/>
    <w:rsid w:val="003D50C7"/>
    <w:rsid w:val="003D58DF"/>
    <w:rsid w:val="003E4838"/>
    <w:rsid w:val="003E791B"/>
    <w:rsid w:val="003E7E5E"/>
    <w:rsid w:val="003F01A8"/>
    <w:rsid w:val="003F17F5"/>
    <w:rsid w:val="003F3DA5"/>
    <w:rsid w:val="004021CB"/>
    <w:rsid w:val="0040574D"/>
    <w:rsid w:val="00406858"/>
    <w:rsid w:val="004154D6"/>
    <w:rsid w:val="00415EFE"/>
    <w:rsid w:val="0042137C"/>
    <w:rsid w:val="00425304"/>
    <w:rsid w:val="00425664"/>
    <w:rsid w:val="004259C7"/>
    <w:rsid w:val="004271F2"/>
    <w:rsid w:val="00433561"/>
    <w:rsid w:val="00435D0C"/>
    <w:rsid w:val="00437CA3"/>
    <w:rsid w:val="00440713"/>
    <w:rsid w:val="00443DB4"/>
    <w:rsid w:val="0044507A"/>
    <w:rsid w:val="00445B9D"/>
    <w:rsid w:val="00445D63"/>
    <w:rsid w:val="00450B6E"/>
    <w:rsid w:val="00450BB2"/>
    <w:rsid w:val="00450F6C"/>
    <w:rsid w:val="00451B93"/>
    <w:rsid w:val="00460ADE"/>
    <w:rsid w:val="00461426"/>
    <w:rsid w:val="00461D96"/>
    <w:rsid w:val="00462138"/>
    <w:rsid w:val="004638D6"/>
    <w:rsid w:val="00463A57"/>
    <w:rsid w:val="00465A60"/>
    <w:rsid w:val="00465F7A"/>
    <w:rsid w:val="004677BE"/>
    <w:rsid w:val="0047050A"/>
    <w:rsid w:val="00471A2D"/>
    <w:rsid w:val="0047349D"/>
    <w:rsid w:val="00473B43"/>
    <w:rsid w:val="004748F0"/>
    <w:rsid w:val="00474A01"/>
    <w:rsid w:val="00474E09"/>
    <w:rsid w:val="00475EC5"/>
    <w:rsid w:val="004801A7"/>
    <w:rsid w:val="00485362"/>
    <w:rsid w:val="004855DB"/>
    <w:rsid w:val="0048739A"/>
    <w:rsid w:val="0049081F"/>
    <w:rsid w:val="004925FD"/>
    <w:rsid w:val="004958E3"/>
    <w:rsid w:val="004A44E3"/>
    <w:rsid w:val="004A5EDB"/>
    <w:rsid w:val="004A760C"/>
    <w:rsid w:val="004B68F6"/>
    <w:rsid w:val="004B708D"/>
    <w:rsid w:val="004B7EBF"/>
    <w:rsid w:val="004C210D"/>
    <w:rsid w:val="004C7BE4"/>
    <w:rsid w:val="004D445C"/>
    <w:rsid w:val="004D4C2B"/>
    <w:rsid w:val="004D5E5E"/>
    <w:rsid w:val="004E1040"/>
    <w:rsid w:val="004E3C1D"/>
    <w:rsid w:val="004E4157"/>
    <w:rsid w:val="004E6DDD"/>
    <w:rsid w:val="004F41DA"/>
    <w:rsid w:val="004F42A0"/>
    <w:rsid w:val="004F4458"/>
    <w:rsid w:val="004F5437"/>
    <w:rsid w:val="004F5C76"/>
    <w:rsid w:val="004F6F83"/>
    <w:rsid w:val="004F7992"/>
    <w:rsid w:val="00500C18"/>
    <w:rsid w:val="00500C8A"/>
    <w:rsid w:val="005039F1"/>
    <w:rsid w:val="00506BB3"/>
    <w:rsid w:val="005070D8"/>
    <w:rsid w:val="0051171E"/>
    <w:rsid w:val="00511EF1"/>
    <w:rsid w:val="005161F9"/>
    <w:rsid w:val="00517642"/>
    <w:rsid w:val="00517BFC"/>
    <w:rsid w:val="005206D6"/>
    <w:rsid w:val="0052365C"/>
    <w:rsid w:val="00526AC9"/>
    <w:rsid w:val="00527264"/>
    <w:rsid w:val="00527731"/>
    <w:rsid w:val="0053054F"/>
    <w:rsid w:val="00530B10"/>
    <w:rsid w:val="005327CC"/>
    <w:rsid w:val="00532CBB"/>
    <w:rsid w:val="00537241"/>
    <w:rsid w:val="00537D9F"/>
    <w:rsid w:val="005440CA"/>
    <w:rsid w:val="005501B5"/>
    <w:rsid w:val="005511BA"/>
    <w:rsid w:val="00553721"/>
    <w:rsid w:val="005562ED"/>
    <w:rsid w:val="00557073"/>
    <w:rsid w:val="00557348"/>
    <w:rsid w:val="0056097D"/>
    <w:rsid w:val="005642EE"/>
    <w:rsid w:val="0056460A"/>
    <w:rsid w:val="005675A0"/>
    <w:rsid w:val="00567F17"/>
    <w:rsid w:val="00573D5E"/>
    <w:rsid w:val="00580626"/>
    <w:rsid w:val="0058079E"/>
    <w:rsid w:val="005809F9"/>
    <w:rsid w:val="00580D38"/>
    <w:rsid w:val="00582B7A"/>
    <w:rsid w:val="00585B55"/>
    <w:rsid w:val="00587925"/>
    <w:rsid w:val="005901F5"/>
    <w:rsid w:val="005A085D"/>
    <w:rsid w:val="005A110A"/>
    <w:rsid w:val="005A2963"/>
    <w:rsid w:val="005A4AE8"/>
    <w:rsid w:val="005A4E98"/>
    <w:rsid w:val="005A55C8"/>
    <w:rsid w:val="005A7566"/>
    <w:rsid w:val="005B053A"/>
    <w:rsid w:val="005B2CC8"/>
    <w:rsid w:val="005B7EEA"/>
    <w:rsid w:val="005C00DE"/>
    <w:rsid w:val="005C37E3"/>
    <w:rsid w:val="005C661D"/>
    <w:rsid w:val="005C7355"/>
    <w:rsid w:val="005C73A2"/>
    <w:rsid w:val="005C7AFA"/>
    <w:rsid w:val="005D2620"/>
    <w:rsid w:val="005D42D6"/>
    <w:rsid w:val="005D6AF3"/>
    <w:rsid w:val="005D6E70"/>
    <w:rsid w:val="005E1A95"/>
    <w:rsid w:val="005E2839"/>
    <w:rsid w:val="005E4E08"/>
    <w:rsid w:val="005E7678"/>
    <w:rsid w:val="005F26F8"/>
    <w:rsid w:val="005F5182"/>
    <w:rsid w:val="005F52EC"/>
    <w:rsid w:val="00601040"/>
    <w:rsid w:val="00601804"/>
    <w:rsid w:val="0060279C"/>
    <w:rsid w:val="00603A46"/>
    <w:rsid w:val="00607912"/>
    <w:rsid w:val="0061159E"/>
    <w:rsid w:val="00611BD1"/>
    <w:rsid w:val="00611DE4"/>
    <w:rsid w:val="006132F7"/>
    <w:rsid w:val="00613450"/>
    <w:rsid w:val="006149E7"/>
    <w:rsid w:val="00616DE0"/>
    <w:rsid w:val="00622157"/>
    <w:rsid w:val="00622814"/>
    <w:rsid w:val="00623F06"/>
    <w:rsid w:val="00625E7A"/>
    <w:rsid w:val="00627724"/>
    <w:rsid w:val="00627A59"/>
    <w:rsid w:val="006329C7"/>
    <w:rsid w:val="00637CE9"/>
    <w:rsid w:val="00643882"/>
    <w:rsid w:val="00643DBE"/>
    <w:rsid w:val="00645321"/>
    <w:rsid w:val="0065640A"/>
    <w:rsid w:val="00656AC7"/>
    <w:rsid w:val="0066211F"/>
    <w:rsid w:val="00663FC1"/>
    <w:rsid w:val="00667123"/>
    <w:rsid w:val="00667365"/>
    <w:rsid w:val="00673BC8"/>
    <w:rsid w:val="00676026"/>
    <w:rsid w:val="00677142"/>
    <w:rsid w:val="00680CD8"/>
    <w:rsid w:val="0068295C"/>
    <w:rsid w:val="006908A9"/>
    <w:rsid w:val="00690D2A"/>
    <w:rsid w:val="00690DE0"/>
    <w:rsid w:val="00691A52"/>
    <w:rsid w:val="006942CF"/>
    <w:rsid w:val="006944F3"/>
    <w:rsid w:val="00694A8D"/>
    <w:rsid w:val="006A1C9C"/>
    <w:rsid w:val="006A259B"/>
    <w:rsid w:val="006A599A"/>
    <w:rsid w:val="006B2089"/>
    <w:rsid w:val="006B2124"/>
    <w:rsid w:val="006B301D"/>
    <w:rsid w:val="006B3AC1"/>
    <w:rsid w:val="006B4A98"/>
    <w:rsid w:val="006B5076"/>
    <w:rsid w:val="006B5D15"/>
    <w:rsid w:val="006B605D"/>
    <w:rsid w:val="006B7E2D"/>
    <w:rsid w:val="006C1F0A"/>
    <w:rsid w:val="006C3F9B"/>
    <w:rsid w:val="006C59A7"/>
    <w:rsid w:val="006C6313"/>
    <w:rsid w:val="006C7E2F"/>
    <w:rsid w:val="006D13E5"/>
    <w:rsid w:val="006D4441"/>
    <w:rsid w:val="006D73C0"/>
    <w:rsid w:val="006E014B"/>
    <w:rsid w:val="006E1149"/>
    <w:rsid w:val="006E1D9C"/>
    <w:rsid w:val="006E3923"/>
    <w:rsid w:val="006E4B4B"/>
    <w:rsid w:val="006E553E"/>
    <w:rsid w:val="006E7EC7"/>
    <w:rsid w:val="006F2564"/>
    <w:rsid w:val="006F262D"/>
    <w:rsid w:val="006F351D"/>
    <w:rsid w:val="006F626D"/>
    <w:rsid w:val="006F7F13"/>
    <w:rsid w:val="00700EBF"/>
    <w:rsid w:val="007024F9"/>
    <w:rsid w:val="00702CEF"/>
    <w:rsid w:val="0070326C"/>
    <w:rsid w:val="0071087B"/>
    <w:rsid w:val="0071258C"/>
    <w:rsid w:val="007140CB"/>
    <w:rsid w:val="00716A5B"/>
    <w:rsid w:val="00716F13"/>
    <w:rsid w:val="007244B1"/>
    <w:rsid w:val="0072545E"/>
    <w:rsid w:val="007300F6"/>
    <w:rsid w:val="00730F04"/>
    <w:rsid w:val="0073108D"/>
    <w:rsid w:val="00731564"/>
    <w:rsid w:val="0073224A"/>
    <w:rsid w:val="007335B1"/>
    <w:rsid w:val="00737024"/>
    <w:rsid w:val="007416DD"/>
    <w:rsid w:val="00741F65"/>
    <w:rsid w:val="00742904"/>
    <w:rsid w:val="00744768"/>
    <w:rsid w:val="00745FC8"/>
    <w:rsid w:val="007461D0"/>
    <w:rsid w:val="00750CAC"/>
    <w:rsid w:val="00752660"/>
    <w:rsid w:val="00753C6A"/>
    <w:rsid w:val="0075558F"/>
    <w:rsid w:val="00755737"/>
    <w:rsid w:val="00756D2F"/>
    <w:rsid w:val="00756D7C"/>
    <w:rsid w:val="007573FA"/>
    <w:rsid w:val="00760368"/>
    <w:rsid w:val="00761EDA"/>
    <w:rsid w:val="00764328"/>
    <w:rsid w:val="00764709"/>
    <w:rsid w:val="00766CF9"/>
    <w:rsid w:val="00770115"/>
    <w:rsid w:val="00770526"/>
    <w:rsid w:val="00771E3E"/>
    <w:rsid w:val="00777DAD"/>
    <w:rsid w:val="007817A1"/>
    <w:rsid w:val="0078215C"/>
    <w:rsid w:val="00784BB6"/>
    <w:rsid w:val="00784F14"/>
    <w:rsid w:val="00785B5F"/>
    <w:rsid w:val="00785C6C"/>
    <w:rsid w:val="00785CD3"/>
    <w:rsid w:val="00787D3C"/>
    <w:rsid w:val="00787D76"/>
    <w:rsid w:val="0079095F"/>
    <w:rsid w:val="00791B47"/>
    <w:rsid w:val="00793A5E"/>
    <w:rsid w:val="007A43DF"/>
    <w:rsid w:val="007A4F00"/>
    <w:rsid w:val="007A7700"/>
    <w:rsid w:val="007B051D"/>
    <w:rsid w:val="007B1131"/>
    <w:rsid w:val="007B3CA7"/>
    <w:rsid w:val="007B5A23"/>
    <w:rsid w:val="007B635C"/>
    <w:rsid w:val="007C3D5B"/>
    <w:rsid w:val="007D3C16"/>
    <w:rsid w:val="007D43C7"/>
    <w:rsid w:val="007D4575"/>
    <w:rsid w:val="007E04CD"/>
    <w:rsid w:val="007E247B"/>
    <w:rsid w:val="007E2D5C"/>
    <w:rsid w:val="007E62A4"/>
    <w:rsid w:val="007E6CA7"/>
    <w:rsid w:val="007F0357"/>
    <w:rsid w:val="007F15B7"/>
    <w:rsid w:val="007F1ED2"/>
    <w:rsid w:val="007F2932"/>
    <w:rsid w:val="007F4334"/>
    <w:rsid w:val="007F4F3B"/>
    <w:rsid w:val="007F4FE9"/>
    <w:rsid w:val="007F517F"/>
    <w:rsid w:val="007F5BFE"/>
    <w:rsid w:val="007F63E3"/>
    <w:rsid w:val="00802856"/>
    <w:rsid w:val="00802E6F"/>
    <w:rsid w:val="00803746"/>
    <w:rsid w:val="008041E4"/>
    <w:rsid w:val="00806D23"/>
    <w:rsid w:val="0081222C"/>
    <w:rsid w:val="0081739C"/>
    <w:rsid w:val="00820564"/>
    <w:rsid w:val="00823948"/>
    <w:rsid w:val="00823C02"/>
    <w:rsid w:val="00823CA4"/>
    <w:rsid w:val="00827568"/>
    <w:rsid w:val="00827FA1"/>
    <w:rsid w:val="008301FA"/>
    <w:rsid w:val="00830E72"/>
    <w:rsid w:val="00831E8E"/>
    <w:rsid w:val="00833289"/>
    <w:rsid w:val="00833C9B"/>
    <w:rsid w:val="008541D9"/>
    <w:rsid w:val="00864DDB"/>
    <w:rsid w:val="0086516A"/>
    <w:rsid w:val="008671CB"/>
    <w:rsid w:val="008671F8"/>
    <w:rsid w:val="0087190C"/>
    <w:rsid w:val="008728B9"/>
    <w:rsid w:val="008735CC"/>
    <w:rsid w:val="00873FA0"/>
    <w:rsid w:val="008740B7"/>
    <w:rsid w:val="00876B94"/>
    <w:rsid w:val="00880C23"/>
    <w:rsid w:val="00881E8E"/>
    <w:rsid w:val="008836A5"/>
    <w:rsid w:val="008836CD"/>
    <w:rsid w:val="00890EED"/>
    <w:rsid w:val="00895424"/>
    <w:rsid w:val="00896457"/>
    <w:rsid w:val="00896D16"/>
    <w:rsid w:val="00897798"/>
    <w:rsid w:val="008A66FC"/>
    <w:rsid w:val="008A6E9C"/>
    <w:rsid w:val="008B4A4C"/>
    <w:rsid w:val="008B5E07"/>
    <w:rsid w:val="008C0690"/>
    <w:rsid w:val="008C189F"/>
    <w:rsid w:val="008C2B2E"/>
    <w:rsid w:val="008C320C"/>
    <w:rsid w:val="008C4D11"/>
    <w:rsid w:val="008C5C72"/>
    <w:rsid w:val="008D082E"/>
    <w:rsid w:val="008D0F26"/>
    <w:rsid w:val="008D13D5"/>
    <w:rsid w:val="008D155A"/>
    <w:rsid w:val="008D1AA6"/>
    <w:rsid w:val="008D3BB4"/>
    <w:rsid w:val="008D4411"/>
    <w:rsid w:val="008D71B6"/>
    <w:rsid w:val="008E1419"/>
    <w:rsid w:val="008E1F81"/>
    <w:rsid w:val="008E4C0F"/>
    <w:rsid w:val="008E5CC1"/>
    <w:rsid w:val="008E6CF2"/>
    <w:rsid w:val="008E7654"/>
    <w:rsid w:val="008E7DB9"/>
    <w:rsid w:val="008F4692"/>
    <w:rsid w:val="008F5157"/>
    <w:rsid w:val="008F67C2"/>
    <w:rsid w:val="008F6FE5"/>
    <w:rsid w:val="008F7FBA"/>
    <w:rsid w:val="00900CF7"/>
    <w:rsid w:val="00902AD2"/>
    <w:rsid w:val="00904594"/>
    <w:rsid w:val="0091170F"/>
    <w:rsid w:val="00913321"/>
    <w:rsid w:val="00913BF5"/>
    <w:rsid w:val="009179D1"/>
    <w:rsid w:val="00917FB2"/>
    <w:rsid w:val="00920048"/>
    <w:rsid w:val="00923401"/>
    <w:rsid w:val="009239B2"/>
    <w:rsid w:val="00924095"/>
    <w:rsid w:val="00927152"/>
    <w:rsid w:val="00930386"/>
    <w:rsid w:val="009323FE"/>
    <w:rsid w:val="00934E2F"/>
    <w:rsid w:val="009401FB"/>
    <w:rsid w:val="009407A9"/>
    <w:rsid w:val="0094204B"/>
    <w:rsid w:val="00945DBC"/>
    <w:rsid w:val="00945E8E"/>
    <w:rsid w:val="00946194"/>
    <w:rsid w:val="009471BC"/>
    <w:rsid w:val="009474A4"/>
    <w:rsid w:val="00950F75"/>
    <w:rsid w:val="00957239"/>
    <w:rsid w:val="00960C89"/>
    <w:rsid w:val="00960ECC"/>
    <w:rsid w:val="00964057"/>
    <w:rsid w:val="009666E0"/>
    <w:rsid w:val="0097055D"/>
    <w:rsid w:val="0097355D"/>
    <w:rsid w:val="00973C48"/>
    <w:rsid w:val="00975686"/>
    <w:rsid w:val="00980921"/>
    <w:rsid w:val="00982BA9"/>
    <w:rsid w:val="009831F3"/>
    <w:rsid w:val="00983F69"/>
    <w:rsid w:val="009871FA"/>
    <w:rsid w:val="009902EB"/>
    <w:rsid w:val="00991457"/>
    <w:rsid w:val="00995596"/>
    <w:rsid w:val="009970C2"/>
    <w:rsid w:val="009A0711"/>
    <w:rsid w:val="009A1749"/>
    <w:rsid w:val="009A208D"/>
    <w:rsid w:val="009A4A08"/>
    <w:rsid w:val="009A6009"/>
    <w:rsid w:val="009A7264"/>
    <w:rsid w:val="009A7BCC"/>
    <w:rsid w:val="009B1FA8"/>
    <w:rsid w:val="009B244B"/>
    <w:rsid w:val="009B4FC4"/>
    <w:rsid w:val="009B5AB0"/>
    <w:rsid w:val="009C1AF6"/>
    <w:rsid w:val="009C3829"/>
    <w:rsid w:val="009C66AE"/>
    <w:rsid w:val="009D13ED"/>
    <w:rsid w:val="009D14FE"/>
    <w:rsid w:val="009D1C00"/>
    <w:rsid w:val="009D4F4B"/>
    <w:rsid w:val="009D64E0"/>
    <w:rsid w:val="009D7AD5"/>
    <w:rsid w:val="009E1227"/>
    <w:rsid w:val="009E38C8"/>
    <w:rsid w:val="009E56DE"/>
    <w:rsid w:val="009E5F65"/>
    <w:rsid w:val="009F32D8"/>
    <w:rsid w:val="009F3E8C"/>
    <w:rsid w:val="009F418C"/>
    <w:rsid w:val="00A05311"/>
    <w:rsid w:val="00A06CA8"/>
    <w:rsid w:val="00A10D82"/>
    <w:rsid w:val="00A13E6B"/>
    <w:rsid w:val="00A17619"/>
    <w:rsid w:val="00A2353B"/>
    <w:rsid w:val="00A23A5A"/>
    <w:rsid w:val="00A24EBB"/>
    <w:rsid w:val="00A2645A"/>
    <w:rsid w:val="00A27755"/>
    <w:rsid w:val="00A27CB9"/>
    <w:rsid w:val="00A3088C"/>
    <w:rsid w:val="00A31D45"/>
    <w:rsid w:val="00A342B9"/>
    <w:rsid w:val="00A34445"/>
    <w:rsid w:val="00A36FBE"/>
    <w:rsid w:val="00A37A88"/>
    <w:rsid w:val="00A41893"/>
    <w:rsid w:val="00A42965"/>
    <w:rsid w:val="00A4631F"/>
    <w:rsid w:val="00A50C6E"/>
    <w:rsid w:val="00A51D26"/>
    <w:rsid w:val="00A530F0"/>
    <w:rsid w:val="00A54051"/>
    <w:rsid w:val="00A54FBF"/>
    <w:rsid w:val="00A61201"/>
    <w:rsid w:val="00A622AB"/>
    <w:rsid w:val="00A63BA0"/>
    <w:rsid w:val="00A64338"/>
    <w:rsid w:val="00A65A61"/>
    <w:rsid w:val="00A67C1A"/>
    <w:rsid w:val="00A7117E"/>
    <w:rsid w:val="00A71221"/>
    <w:rsid w:val="00A7134A"/>
    <w:rsid w:val="00A730B6"/>
    <w:rsid w:val="00A735A5"/>
    <w:rsid w:val="00A81DEF"/>
    <w:rsid w:val="00A81F66"/>
    <w:rsid w:val="00A831D6"/>
    <w:rsid w:val="00A83E99"/>
    <w:rsid w:val="00A8480A"/>
    <w:rsid w:val="00A848CE"/>
    <w:rsid w:val="00A84AA1"/>
    <w:rsid w:val="00A84BD1"/>
    <w:rsid w:val="00A86967"/>
    <w:rsid w:val="00A875A2"/>
    <w:rsid w:val="00A93624"/>
    <w:rsid w:val="00AA0EA3"/>
    <w:rsid w:val="00AA0EA4"/>
    <w:rsid w:val="00AA137D"/>
    <w:rsid w:val="00AA1F14"/>
    <w:rsid w:val="00AA2B6B"/>
    <w:rsid w:val="00AA5460"/>
    <w:rsid w:val="00AA5E24"/>
    <w:rsid w:val="00AA6398"/>
    <w:rsid w:val="00AA6817"/>
    <w:rsid w:val="00AA7090"/>
    <w:rsid w:val="00AA7BA6"/>
    <w:rsid w:val="00AB1F97"/>
    <w:rsid w:val="00AB3457"/>
    <w:rsid w:val="00AB6227"/>
    <w:rsid w:val="00AB7CFA"/>
    <w:rsid w:val="00AC0261"/>
    <w:rsid w:val="00AC1523"/>
    <w:rsid w:val="00AC165B"/>
    <w:rsid w:val="00AC2685"/>
    <w:rsid w:val="00AC344F"/>
    <w:rsid w:val="00AC4B9A"/>
    <w:rsid w:val="00AC62AE"/>
    <w:rsid w:val="00AC656D"/>
    <w:rsid w:val="00AD0CEA"/>
    <w:rsid w:val="00AD17CB"/>
    <w:rsid w:val="00AE14EC"/>
    <w:rsid w:val="00AE1932"/>
    <w:rsid w:val="00AE6D6C"/>
    <w:rsid w:val="00AF16E1"/>
    <w:rsid w:val="00AF2097"/>
    <w:rsid w:val="00AF26DE"/>
    <w:rsid w:val="00AF26E4"/>
    <w:rsid w:val="00AF4C40"/>
    <w:rsid w:val="00AF711A"/>
    <w:rsid w:val="00B01031"/>
    <w:rsid w:val="00B0515E"/>
    <w:rsid w:val="00B05DCC"/>
    <w:rsid w:val="00B10763"/>
    <w:rsid w:val="00B1096B"/>
    <w:rsid w:val="00B13496"/>
    <w:rsid w:val="00B16FBD"/>
    <w:rsid w:val="00B173A1"/>
    <w:rsid w:val="00B1793B"/>
    <w:rsid w:val="00B218D9"/>
    <w:rsid w:val="00B22C27"/>
    <w:rsid w:val="00B22E49"/>
    <w:rsid w:val="00B233D6"/>
    <w:rsid w:val="00B235FF"/>
    <w:rsid w:val="00B23DA9"/>
    <w:rsid w:val="00B276DC"/>
    <w:rsid w:val="00B33934"/>
    <w:rsid w:val="00B459BE"/>
    <w:rsid w:val="00B46A7B"/>
    <w:rsid w:val="00B5121A"/>
    <w:rsid w:val="00B515EC"/>
    <w:rsid w:val="00B51784"/>
    <w:rsid w:val="00B560EA"/>
    <w:rsid w:val="00B56FC4"/>
    <w:rsid w:val="00B57829"/>
    <w:rsid w:val="00B65841"/>
    <w:rsid w:val="00B66979"/>
    <w:rsid w:val="00B66DD3"/>
    <w:rsid w:val="00B67B28"/>
    <w:rsid w:val="00B756AB"/>
    <w:rsid w:val="00B75B82"/>
    <w:rsid w:val="00B81307"/>
    <w:rsid w:val="00B81CF0"/>
    <w:rsid w:val="00B82901"/>
    <w:rsid w:val="00B8292A"/>
    <w:rsid w:val="00B83B3D"/>
    <w:rsid w:val="00B86DCD"/>
    <w:rsid w:val="00B87E11"/>
    <w:rsid w:val="00B9025B"/>
    <w:rsid w:val="00B9187E"/>
    <w:rsid w:val="00B9613A"/>
    <w:rsid w:val="00BA3313"/>
    <w:rsid w:val="00BA382F"/>
    <w:rsid w:val="00BA6E35"/>
    <w:rsid w:val="00BB251D"/>
    <w:rsid w:val="00BB2676"/>
    <w:rsid w:val="00BB34FA"/>
    <w:rsid w:val="00BB56A2"/>
    <w:rsid w:val="00BC03BA"/>
    <w:rsid w:val="00BC20CB"/>
    <w:rsid w:val="00BC69E4"/>
    <w:rsid w:val="00BD0E0C"/>
    <w:rsid w:val="00BD2621"/>
    <w:rsid w:val="00BD643A"/>
    <w:rsid w:val="00BD77C2"/>
    <w:rsid w:val="00BE0155"/>
    <w:rsid w:val="00BE7463"/>
    <w:rsid w:val="00BF2B26"/>
    <w:rsid w:val="00BF321A"/>
    <w:rsid w:val="00BF5C4A"/>
    <w:rsid w:val="00BF67E9"/>
    <w:rsid w:val="00C0022F"/>
    <w:rsid w:val="00C002C1"/>
    <w:rsid w:val="00C0688C"/>
    <w:rsid w:val="00C07552"/>
    <w:rsid w:val="00C11431"/>
    <w:rsid w:val="00C13380"/>
    <w:rsid w:val="00C1386E"/>
    <w:rsid w:val="00C149A1"/>
    <w:rsid w:val="00C17453"/>
    <w:rsid w:val="00C20FD2"/>
    <w:rsid w:val="00C220C7"/>
    <w:rsid w:val="00C23239"/>
    <w:rsid w:val="00C250A8"/>
    <w:rsid w:val="00C252BB"/>
    <w:rsid w:val="00C27397"/>
    <w:rsid w:val="00C27EF3"/>
    <w:rsid w:val="00C304A0"/>
    <w:rsid w:val="00C30E7F"/>
    <w:rsid w:val="00C32220"/>
    <w:rsid w:val="00C35FEA"/>
    <w:rsid w:val="00C36A08"/>
    <w:rsid w:val="00C37A84"/>
    <w:rsid w:val="00C37F0F"/>
    <w:rsid w:val="00C40DDE"/>
    <w:rsid w:val="00C412C4"/>
    <w:rsid w:val="00C41FE1"/>
    <w:rsid w:val="00C421E4"/>
    <w:rsid w:val="00C45BDD"/>
    <w:rsid w:val="00C47534"/>
    <w:rsid w:val="00C4759A"/>
    <w:rsid w:val="00C47B25"/>
    <w:rsid w:val="00C50326"/>
    <w:rsid w:val="00C510EC"/>
    <w:rsid w:val="00C51D09"/>
    <w:rsid w:val="00C529E6"/>
    <w:rsid w:val="00C601CB"/>
    <w:rsid w:val="00C60E63"/>
    <w:rsid w:val="00C61E4A"/>
    <w:rsid w:val="00C6579B"/>
    <w:rsid w:val="00C658E9"/>
    <w:rsid w:val="00C74F38"/>
    <w:rsid w:val="00C75C04"/>
    <w:rsid w:val="00C76E94"/>
    <w:rsid w:val="00C777C6"/>
    <w:rsid w:val="00C80F34"/>
    <w:rsid w:val="00C81E96"/>
    <w:rsid w:val="00C82844"/>
    <w:rsid w:val="00C83328"/>
    <w:rsid w:val="00C835B3"/>
    <w:rsid w:val="00C848B9"/>
    <w:rsid w:val="00C8565B"/>
    <w:rsid w:val="00C859FA"/>
    <w:rsid w:val="00C91AD3"/>
    <w:rsid w:val="00C94DCE"/>
    <w:rsid w:val="00C95957"/>
    <w:rsid w:val="00CA18F6"/>
    <w:rsid w:val="00CA1AE6"/>
    <w:rsid w:val="00CA4FCE"/>
    <w:rsid w:val="00CA5E13"/>
    <w:rsid w:val="00CA62E4"/>
    <w:rsid w:val="00CA7429"/>
    <w:rsid w:val="00CB13ED"/>
    <w:rsid w:val="00CB1A69"/>
    <w:rsid w:val="00CB2032"/>
    <w:rsid w:val="00CB491D"/>
    <w:rsid w:val="00CB5F92"/>
    <w:rsid w:val="00CC0FDE"/>
    <w:rsid w:val="00CC5677"/>
    <w:rsid w:val="00CD0722"/>
    <w:rsid w:val="00CD13D1"/>
    <w:rsid w:val="00CD31C0"/>
    <w:rsid w:val="00CD67A6"/>
    <w:rsid w:val="00CD788A"/>
    <w:rsid w:val="00CE1D08"/>
    <w:rsid w:val="00CE3F19"/>
    <w:rsid w:val="00CE5026"/>
    <w:rsid w:val="00CE53C8"/>
    <w:rsid w:val="00CE5424"/>
    <w:rsid w:val="00CF046E"/>
    <w:rsid w:val="00CF14E6"/>
    <w:rsid w:val="00CF423C"/>
    <w:rsid w:val="00CF4C3A"/>
    <w:rsid w:val="00CF6D08"/>
    <w:rsid w:val="00CF7162"/>
    <w:rsid w:val="00CF7795"/>
    <w:rsid w:val="00D05D28"/>
    <w:rsid w:val="00D06D29"/>
    <w:rsid w:val="00D201C8"/>
    <w:rsid w:val="00D21953"/>
    <w:rsid w:val="00D2249A"/>
    <w:rsid w:val="00D22A18"/>
    <w:rsid w:val="00D35637"/>
    <w:rsid w:val="00D357E5"/>
    <w:rsid w:val="00D36EED"/>
    <w:rsid w:val="00D50023"/>
    <w:rsid w:val="00D505AF"/>
    <w:rsid w:val="00D56077"/>
    <w:rsid w:val="00D577A0"/>
    <w:rsid w:val="00D60B18"/>
    <w:rsid w:val="00D6336D"/>
    <w:rsid w:val="00D637BA"/>
    <w:rsid w:val="00D64E7F"/>
    <w:rsid w:val="00D65CCB"/>
    <w:rsid w:val="00D710D2"/>
    <w:rsid w:val="00D7514F"/>
    <w:rsid w:val="00D772A9"/>
    <w:rsid w:val="00D800E0"/>
    <w:rsid w:val="00D8277F"/>
    <w:rsid w:val="00D83375"/>
    <w:rsid w:val="00D872F5"/>
    <w:rsid w:val="00D93A5D"/>
    <w:rsid w:val="00D944DE"/>
    <w:rsid w:val="00D94BE4"/>
    <w:rsid w:val="00D95F9A"/>
    <w:rsid w:val="00D9641B"/>
    <w:rsid w:val="00D97C26"/>
    <w:rsid w:val="00D97D8B"/>
    <w:rsid w:val="00DA2B5B"/>
    <w:rsid w:val="00DA3D4A"/>
    <w:rsid w:val="00DA4046"/>
    <w:rsid w:val="00DA4844"/>
    <w:rsid w:val="00DA4FDD"/>
    <w:rsid w:val="00DA775E"/>
    <w:rsid w:val="00DB74B8"/>
    <w:rsid w:val="00DC01DA"/>
    <w:rsid w:val="00DC05D6"/>
    <w:rsid w:val="00DC2949"/>
    <w:rsid w:val="00DC4B6B"/>
    <w:rsid w:val="00DC5429"/>
    <w:rsid w:val="00DC5C44"/>
    <w:rsid w:val="00DD5414"/>
    <w:rsid w:val="00DE0446"/>
    <w:rsid w:val="00DE1133"/>
    <w:rsid w:val="00DE16C5"/>
    <w:rsid w:val="00DE3246"/>
    <w:rsid w:val="00DE34D4"/>
    <w:rsid w:val="00DE5B3E"/>
    <w:rsid w:val="00DE62A4"/>
    <w:rsid w:val="00DE709A"/>
    <w:rsid w:val="00DF01D0"/>
    <w:rsid w:val="00DF0872"/>
    <w:rsid w:val="00DF0FC6"/>
    <w:rsid w:val="00DF306C"/>
    <w:rsid w:val="00DF31D1"/>
    <w:rsid w:val="00DF3A59"/>
    <w:rsid w:val="00DF6AF0"/>
    <w:rsid w:val="00DF6EB6"/>
    <w:rsid w:val="00DF749D"/>
    <w:rsid w:val="00E01F94"/>
    <w:rsid w:val="00E020E6"/>
    <w:rsid w:val="00E02A2F"/>
    <w:rsid w:val="00E02D2C"/>
    <w:rsid w:val="00E03026"/>
    <w:rsid w:val="00E05225"/>
    <w:rsid w:val="00E06B10"/>
    <w:rsid w:val="00E10553"/>
    <w:rsid w:val="00E2120D"/>
    <w:rsid w:val="00E2128C"/>
    <w:rsid w:val="00E250F7"/>
    <w:rsid w:val="00E2586E"/>
    <w:rsid w:val="00E25A69"/>
    <w:rsid w:val="00E25DC9"/>
    <w:rsid w:val="00E260A8"/>
    <w:rsid w:val="00E26B20"/>
    <w:rsid w:val="00E27CFE"/>
    <w:rsid w:val="00E3324E"/>
    <w:rsid w:val="00E3344A"/>
    <w:rsid w:val="00E35ED8"/>
    <w:rsid w:val="00E43B35"/>
    <w:rsid w:val="00E43E1F"/>
    <w:rsid w:val="00E44F5D"/>
    <w:rsid w:val="00E452D4"/>
    <w:rsid w:val="00E523FE"/>
    <w:rsid w:val="00E536D6"/>
    <w:rsid w:val="00E539CB"/>
    <w:rsid w:val="00E62BD4"/>
    <w:rsid w:val="00E630B6"/>
    <w:rsid w:val="00E66865"/>
    <w:rsid w:val="00E671FF"/>
    <w:rsid w:val="00E67AFE"/>
    <w:rsid w:val="00E71738"/>
    <w:rsid w:val="00E7462A"/>
    <w:rsid w:val="00E752F7"/>
    <w:rsid w:val="00E87F26"/>
    <w:rsid w:val="00E9243C"/>
    <w:rsid w:val="00E92C65"/>
    <w:rsid w:val="00E93327"/>
    <w:rsid w:val="00E975ED"/>
    <w:rsid w:val="00EA1E5D"/>
    <w:rsid w:val="00EB0E59"/>
    <w:rsid w:val="00EB399B"/>
    <w:rsid w:val="00EB42CD"/>
    <w:rsid w:val="00EC1D2B"/>
    <w:rsid w:val="00ED0039"/>
    <w:rsid w:val="00ED0CEC"/>
    <w:rsid w:val="00ED4898"/>
    <w:rsid w:val="00ED62A1"/>
    <w:rsid w:val="00ED6697"/>
    <w:rsid w:val="00ED765A"/>
    <w:rsid w:val="00EE165E"/>
    <w:rsid w:val="00EE23AC"/>
    <w:rsid w:val="00EE50E9"/>
    <w:rsid w:val="00EE6554"/>
    <w:rsid w:val="00EE6724"/>
    <w:rsid w:val="00EF01C0"/>
    <w:rsid w:val="00EF0D04"/>
    <w:rsid w:val="00EF2232"/>
    <w:rsid w:val="00EF46C5"/>
    <w:rsid w:val="00EF6332"/>
    <w:rsid w:val="00F049C1"/>
    <w:rsid w:val="00F06CBB"/>
    <w:rsid w:val="00F10751"/>
    <w:rsid w:val="00F10FB2"/>
    <w:rsid w:val="00F11DAC"/>
    <w:rsid w:val="00F12830"/>
    <w:rsid w:val="00F12AFD"/>
    <w:rsid w:val="00F14BCA"/>
    <w:rsid w:val="00F17308"/>
    <w:rsid w:val="00F17F99"/>
    <w:rsid w:val="00F20FBD"/>
    <w:rsid w:val="00F2216A"/>
    <w:rsid w:val="00F24CEE"/>
    <w:rsid w:val="00F25876"/>
    <w:rsid w:val="00F3284D"/>
    <w:rsid w:val="00F32B63"/>
    <w:rsid w:val="00F34CDF"/>
    <w:rsid w:val="00F34E56"/>
    <w:rsid w:val="00F34F6A"/>
    <w:rsid w:val="00F37E13"/>
    <w:rsid w:val="00F42EE7"/>
    <w:rsid w:val="00F43423"/>
    <w:rsid w:val="00F4723A"/>
    <w:rsid w:val="00F477B0"/>
    <w:rsid w:val="00F502AD"/>
    <w:rsid w:val="00F512CF"/>
    <w:rsid w:val="00F6198B"/>
    <w:rsid w:val="00F7321F"/>
    <w:rsid w:val="00F74BA5"/>
    <w:rsid w:val="00F76F16"/>
    <w:rsid w:val="00F80466"/>
    <w:rsid w:val="00F80DE8"/>
    <w:rsid w:val="00F832BF"/>
    <w:rsid w:val="00F8396F"/>
    <w:rsid w:val="00F844A6"/>
    <w:rsid w:val="00F86BCF"/>
    <w:rsid w:val="00F90734"/>
    <w:rsid w:val="00F90A92"/>
    <w:rsid w:val="00F9520E"/>
    <w:rsid w:val="00F95A45"/>
    <w:rsid w:val="00F95F7A"/>
    <w:rsid w:val="00F960A2"/>
    <w:rsid w:val="00FA2501"/>
    <w:rsid w:val="00FA299A"/>
    <w:rsid w:val="00FA3EAC"/>
    <w:rsid w:val="00FA44BB"/>
    <w:rsid w:val="00FA45F3"/>
    <w:rsid w:val="00FA78C0"/>
    <w:rsid w:val="00FA7B6B"/>
    <w:rsid w:val="00FB07A7"/>
    <w:rsid w:val="00FB4A3A"/>
    <w:rsid w:val="00FB5633"/>
    <w:rsid w:val="00FB5FE3"/>
    <w:rsid w:val="00FB7D2F"/>
    <w:rsid w:val="00FC0747"/>
    <w:rsid w:val="00FC0976"/>
    <w:rsid w:val="00FC3721"/>
    <w:rsid w:val="00FC3905"/>
    <w:rsid w:val="00FD06AF"/>
    <w:rsid w:val="00FD351A"/>
    <w:rsid w:val="00FD4016"/>
    <w:rsid w:val="00FD5155"/>
    <w:rsid w:val="00FE15B0"/>
    <w:rsid w:val="00FE6E13"/>
    <w:rsid w:val="00FF0E0A"/>
    <w:rsid w:val="00FF1974"/>
    <w:rsid w:val="00FF19B5"/>
    <w:rsid w:val="00FF434A"/>
    <w:rsid w:val="00FF4565"/>
    <w:rsid w:val="00FF4945"/>
    <w:rsid w:val="00FF52FA"/>
    <w:rsid w:val="00FF5D2F"/>
    <w:rsid w:val="00FF66AE"/>
    <w:rsid w:val="00FF6D08"/>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0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C3"/>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1D2B"/>
    <w:pPr>
      <w:tabs>
        <w:tab w:val="center" w:pos="4536"/>
        <w:tab w:val="right" w:pos="9072"/>
      </w:tabs>
    </w:pPr>
  </w:style>
  <w:style w:type="character" w:customStyle="1" w:styleId="HeaderChar">
    <w:name w:val="Header Char"/>
    <w:basedOn w:val="DefaultParagraphFont"/>
    <w:link w:val="Header"/>
    <w:uiPriority w:val="99"/>
    <w:semiHidden/>
    <w:rsid w:val="00F35072"/>
    <w:rPr>
      <w:sz w:val="24"/>
      <w:szCs w:val="24"/>
      <w:lang w:val="fr-FR" w:eastAsia="fr-FR"/>
    </w:rPr>
  </w:style>
  <w:style w:type="character" w:styleId="PageNumber">
    <w:name w:val="page number"/>
    <w:basedOn w:val="DefaultParagraphFont"/>
    <w:uiPriority w:val="99"/>
    <w:rsid w:val="00EC1D2B"/>
    <w:rPr>
      <w:rFonts w:cs="Times New Roman"/>
    </w:rPr>
  </w:style>
  <w:style w:type="paragraph" w:styleId="BodyText">
    <w:name w:val="Body Text"/>
    <w:basedOn w:val="Normal"/>
    <w:link w:val="BodyTextChar"/>
    <w:uiPriority w:val="99"/>
    <w:rsid w:val="00913BF5"/>
    <w:pPr>
      <w:spacing w:after="120"/>
    </w:pPr>
    <w:rPr>
      <w:rFonts w:cs="Tahoma"/>
      <w:szCs w:val="20"/>
      <w:lang w:val="en-US" w:eastAsia="en-US"/>
    </w:rPr>
  </w:style>
  <w:style w:type="character" w:customStyle="1" w:styleId="BodyTextChar">
    <w:name w:val="Body Text Char"/>
    <w:basedOn w:val="DefaultParagraphFont"/>
    <w:link w:val="BodyText"/>
    <w:uiPriority w:val="99"/>
    <w:semiHidden/>
    <w:rsid w:val="00F35072"/>
    <w:rPr>
      <w:sz w:val="24"/>
      <w:szCs w:val="24"/>
      <w:lang w:val="fr-FR" w:eastAsia="fr-FR"/>
    </w:rPr>
  </w:style>
  <w:style w:type="paragraph" w:styleId="Footer">
    <w:name w:val="footer"/>
    <w:basedOn w:val="Normal"/>
    <w:link w:val="FooterChar"/>
    <w:uiPriority w:val="99"/>
    <w:rsid w:val="00913BF5"/>
    <w:pPr>
      <w:tabs>
        <w:tab w:val="center" w:pos="4320"/>
        <w:tab w:val="right" w:pos="8640"/>
      </w:tabs>
    </w:pPr>
    <w:rPr>
      <w:rFonts w:cs="Tahoma"/>
      <w:szCs w:val="20"/>
      <w:lang w:val="en-US" w:eastAsia="en-US"/>
    </w:rPr>
  </w:style>
  <w:style w:type="character" w:customStyle="1" w:styleId="FooterChar">
    <w:name w:val="Footer Char"/>
    <w:basedOn w:val="DefaultParagraphFont"/>
    <w:link w:val="Footer"/>
    <w:uiPriority w:val="99"/>
    <w:semiHidden/>
    <w:rsid w:val="00F35072"/>
    <w:rPr>
      <w:sz w:val="24"/>
      <w:szCs w:val="24"/>
      <w:lang w:val="fr-FR" w:eastAsia="fr-FR"/>
    </w:rPr>
  </w:style>
  <w:style w:type="paragraph" w:styleId="FootnoteText">
    <w:name w:val="footnote text"/>
    <w:basedOn w:val="Normal"/>
    <w:link w:val="FootnoteTextChar"/>
    <w:uiPriority w:val="99"/>
    <w:rsid w:val="00913BF5"/>
    <w:pPr>
      <w:widowControl w:val="0"/>
    </w:pPr>
    <w:rPr>
      <w:lang w:val="en-GB"/>
    </w:rPr>
  </w:style>
  <w:style w:type="character" w:customStyle="1" w:styleId="FootnoteTextChar">
    <w:name w:val="Footnote Text Char"/>
    <w:basedOn w:val="DefaultParagraphFont"/>
    <w:link w:val="FootnoteText"/>
    <w:uiPriority w:val="99"/>
    <w:locked/>
    <w:rsid w:val="00913BF5"/>
    <w:rPr>
      <w:snapToGrid w:val="0"/>
      <w:sz w:val="24"/>
      <w:lang w:val="en-GB" w:eastAsia="fr-FR"/>
    </w:rPr>
  </w:style>
  <w:style w:type="character" w:styleId="FootnoteReference">
    <w:name w:val="footnote reference"/>
    <w:basedOn w:val="DefaultParagraphFont"/>
    <w:uiPriority w:val="99"/>
    <w:rsid w:val="00913BF5"/>
    <w:rPr>
      <w:rFonts w:cs="Times New Roman"/>
      <w:vertAlign w:val="superscript"/>
    </w:rPr>
  </w:style>
  <w:style w:type="table" w:styleId="TableGrid">
    <w:name w:val="Table Grid"/>
    <w:basedOn w:val="TableNormal"/>
    <w:uiPriority w:val="99"/>
    <w:rsid w:val="009955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040"/>
    <w:rPr>
      <w:rFonts w:ascii="Tahoma" w:hAnsi="Tahoma" w:cs="Tahoma"/>
      <w:sz w:val="16"/>
      <w:szCs w:val="16"/>
    </w:rPr>
  </w:style>
  <w:style w:type="character" w:customStyle="1" w:styleId="BalloonTextChar">
    <w:name w:val="Balloon Text Char"/>
    <w:basedOn w:val="DefaultParagraphFont"/>
    <w:link w:val="BalloonText"/>
    <w:uiPriority w:val="99"/>
    <w:semiHidden/>
    <w:rsid w:val="004E1040"/>
    <w:rPr>
      <w:rFonts w:ascii="Tahoma" w:hAnsi="Tahoma" w:cs="Tahoma"/>
      <w:sz w:val="16"/>
      <w:szCs w:val="16"/>
      <w:lang w:val="fr-FR" w:eastAsia="fr-FR"/>
    </w:rPr>
  </w:style>
  <w:style w:type="paragraph" w:styleId="ListParagraph">
    <w:name w:val="List Paragraph"/>
    <w:basedOn w:val="Normal"/>
    <w:uiPriority w:val="34"/>
    <w:qFormat/>
    <w:rsid w:val="000F1231"/>
    <w:pPr>
      <w:ind w:left="720"/>
      <w:contextualSpacing/>
    </w:pPr>
  </w:style>
  <w:style w:type="paragraph" w:styleId="PlainText">
    <w:name w:val="Plain Text"/>
    <w:basedOn w:val="Normal"/>
    <w:link w:val="PlainTextChar"/>
    <w:uiPriority w:val="99"/>
    <w:unhideWhenUsed/>
    <w:rsid w:val="008C189F"/>
    <w:rPr>
      <w:rFonts w:eastAsia="Calibri"/>
      <w:szCs w:val="21"/>
      <w:lang w:eastAsia="en-US"/>
    </w:rPr>
  </w:style>
  <w:style w:type="character" w:customStyle="1" w:styleId="PlainTextChar">
    <w:name w:val="Plain Text Char"/>
    <w:basedOn w:val="DefaultParagraphFont"/>
    <w:link w:val="PlainText"/>
    <w:uiPriority w:val="99"/>
    <w:rsid w:val="008C189F"/>
    <w:rPr>
      <w:rFonts w:eastAsia="Calibri"/>
      <w:sz w:val="24"/>
      <w:szCs w:val="21"/>
      <w:lang w:val="fr-FR"/>
    </w:rPr>
  </w:style>
  <w:style w:type="character" w:customStyle="1" w:styleId="hps">
    <w:name w:val="hps"/>
    <w:rsid w:val="003D5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C3"/>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1D2B"/>
    <w:pPr>
      <w:tabs>
        <w:tab w:val="center" w:pos="4536"/>
        <w:tab w:val="right" w:pos="9072"/>
      </w:tabs>
    </w:pPr>
  </w:style>
  <w:style w:type="character" w:customStyle="1" w:styleId="HeaderChar">
    <w:name w:val="Header Char"/>
    <w:basedOn w:val="DefaultParagraphFont"/>
    <w:link w:val="Header"/>
    <w:uiPriority w:val="99"/>
    <w:semiHidden/>
    <w:rsid w:val="00F35072"/>
    <w:rPr>
      <w:sz w:val="24"/>
      <w:szCs w:val="24"/>
      <w:lang w:val="fr-FR" w:eastAsia="fr-FR"/>
    </w:rPr>
  </w:style>
  <w:style w:type="character" w:styleId="PageNumber">
    <w:name w:val="page number"/>
    <w:basedOn w:val="DefaultParagraphFont"/>
    <w:uiPriority w:val="99"/>
    <w:rsid w:val="00EC1D2B"/>
    <w:rPr>
      <w:rFonts w:cs="Times New Roman"/>
    </w:rPr>
  </w:style>
  <w:style w:type="paragraph" w:styleId="BodyText">
    <w:name w:val="Body Text"/>
    <w:basedOn w:val="Normal"/>
    <w:link w:val="BodyTextChar"/>
    <w:uiPriority w:val="99"/>
    <w:rsid w:val="00913BF5"/>
    <w:pPr>
      <w:spacing w:after="120"/>
    </w:pPr>
    <w:rPr>
      <w:rFonts w:cs="Tahoma"/>
      <w:szCs w:val="20"/>
      <w:lang w:val="en-US" w:eastAsia="en-US"/>
    </w:rPr>
  </w:style>
  <w:style w:type="character" w:customStyle="1" w:styleId="BodyTextChar">
    <w:name w:val="Body Text Char"/>
    <w:basedOn w:val="DefaultParagraphFont"/>
    <w:link w:val="BodyText"/>
    <w:uiPriority w:val="99"/>
    <w:semiHidden/>
    <w:rsid w:val="00F35072"/>
    <w:rPr>
      <w:sz w:val="24"/>
      <w:szCs w:val="24"/>
      <w:lang w:val="fr-FR" w:eastAsia="fr-FR"/>
    </w:rPr>
  </w:style>
  <w:style w:type="paragraph" w:styleId="Footer">
    <w:name w:val="footer"/>
    <w:basedOn w:val="Normal"/>
    <w:link w:val="FooterChar"/>
    <w:uiPriority w:val="99"/>
    <w:rsid w:val="00913BF5"/>
    <w:pPr>
      <w:tabs>
        <w:tab w:val="center" w:pos="4320"/>
        <w:tab w:val="right" w:pos="8640"/>
      </w:tabs>
    </w:pPr>
    <w:rPr>
      <w:rFonts w:cs="Tahoma"/>
      <w:szCs w:val="20"/>
      <w:lang w:val="en-US" w:eastAsia="en-US"/>
    </w:rPr>
  </w:style>
  <w:style w:type="character" w:customStyle="1" w:styleId="FooterChar">
    <w:name w:val="Footer Char"/>
    <w:basedOn w:val="DefaultParagraphFont"/>
    <w:link w:val="Footer"/>
    <w:uiPriority w:val="99"/>
    <w:semiHidden/>
    <w:rsid w:val="00F35072"/>
    <w:rPr>
      <w:sz w:val="24"/>
      <w:szCs w:val="24"/>
      <w:lang w:val="fr-FR" w:eastAsia="fr-FR"/>
    </w:rPr>
  </w:style>
  <w:style w:type="paragraph" w:styleId="FootnoteText">
    <w:name w:val="footnote text"/>
    <w:basedOn w:val="Normal"/>
    <w:link w:val="FootnoteTextChar"/>
    <w:uiPriority w:val="99"/>
    <w:rsid w:val="00913BF5"/>
    <w:pPr>
      <w:widowControl w:val="0"/>
    </w:pPr>
    <w:rPr>
      <w:lang w:val="en-GB"/>
    </w:rPr>
  </w:style>
  <w:style w:type="character" w:customStyle="1" w:styleId="FootnoteTextChar">
    <w:name w:val="Footnote Text Char"/>
    <w:basedOn w:val="DefaultParagraphFont"/>
    <w:link w:val="FootnoteText"/>
    <w:uiPriority w:val="99"/>
    <w:locked/>
    <w:rsid w:val="00913BF5"/>
    <w:rPr>
      <w:snapToGrid w:val="0"/>
      <w:sz w:val="24"/>
      <w:lang w:val="en-GB" w:eastAsia="fr-FR"/>
    </w:rPr>
  </w:style>
  <w:style w:type="character" w:styleId="FootnoteReference">
    <w:name w:val="footnote reference"/>
    <w:basedOn w:val="DefaultParagraphFont"/>
    <w:uiPriority w:val="99"/>
    <w:rsid w:val="00913BF5"/>
    <w:rPr>
      <w:rFonts w:cs="Times New Roman"/>
      <w:vertAlign w:val="superscript"/>
    </w:rPr>
  </w:style>
  <w:style w:type="table" w:styleId="TableGrid">
    <w:name w:val="Table Grid"/>
    <w:basedOn w:val="TableNormal"/>
    <w:uiPriority w:val="99"/>
    <w:rsid w:val="009955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040"/>
    <w:rPr>
      <w:rFonts w:ascii="Tahoma" w:hAnsi="Tahoma" w:cs="Tahoma"/>
      <w:sz w:val="16"/>
      <w:szCs w:val="16"/>
    </w:rPr>
  </w:style>
  <w:style w:type="character" w:customStyle="1" w:styleId="BalloonTextChar">
    <w:name w:val="Balloon Text Char"/>
    <w:basedOn w:val="DefaultParagraphFont"/>
    <w:link w:val="BalloonText"/>
    <w:uiPriority w:val="99"/>
    <w:semiHidden/>
    <w:rsid w:val="004E1040"/>
    <w:rPr>
      <w:rFonts w:ascii="Tahoma" w:hAnsi="Tahoma" w:cs="Tahoma"/>
      <w:sz w:val="16"/>
      <w:szCs w:val="16"/>
      <w:lang w:val="fr-FR" w:eastAsia="fr-FR"/>
    </w:rPr>
  </w:style>
  <w:style w:type="paragraph" w:styleId="ListParagraph">
    <w:name w:val="List Paragraph"/>
    <w:basedOn w:val="Normal"/>
    <w:uiPriority w:val="34"/>
    <w:qFormat/>
    <w:rsid w:val="000F1231"/>
    <w:pPr>
      <w:ind w:left="720"/>
      <w:contextualSpacing/>
    </w:pPr>
  </w:style>
  <w:style w:type="paragraph" w:styleId="PlainText">
    <w:name w:val="Plain Text"/>
    <w:basedOn w:val="Normal"/>
    <w:link w:val="PlainTextChar"/>
    <w:uiPriority w:val="99"/>
    <w:unhideWhenUsed/>
    <w:rsid w:val="008C189F"/>
    <w:rPr>
      <w:rFonts w:eastAsia="Calibri"/>
      <w:szCs w:val="21"/>
      <w:lang w:eastAsia="en-US"/>
    </w:rPr>
  </w:style>
  <w:style w:type="character" w:customStyle="1" w:styleId="PlainTextChar">
    <w:name w:val="Plain Text Char"/>
    <w:basedOn w:val="DefaultParagraphFont"/>
    <w:link w:val="PlainText"/>
    <w:uiPriority w:val="99"/>
    <w:rsid w:val="008C189F"/>
    <w:rPr>
      <w:rFonts w:eastAsia="Calibri"/>
      <w:sz w:val="24"/>
      <w:szCs w:val="21"/>
      <w:lang w:val="fr-FR"/>
    </w:rPr>
  </w:style>
  <w:style w:type="character" w:customStyle="1" w:styleId="hps">
    <w:name w:val="hps"/>
    <w:rsid w:val="003D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75">
      <w:bodyDiv w:val="1"/>
      <w:marLeft w:val="0"/>
      <w:marRight w:val="0"/>
      <w:marTop w:val="0"/>
      <w:marBottom w:val="0"/>
      <w:divBdr>
        <w:top w:val="none" w:sz="0" w:space="0" w:color="auto"/>
        <w:left w:val="none" w:sz="0" w:space="0" w:color="auto"/>
        <w:bottom w:val="none" w:sz="0" w:space="0" w:color="auto"/>
        <w:right w:val="none" w:sz="0" w:space="0" w:color="auto"/>
      </w:divBdr>
    </w:div>
    <w:div w:id="126361676">
      <w:bodyDiv w:val="1"/>
      <w:marLeft w:val="0"/>
      <w:marRight w:val="0"/>
      <w:marTop w:val="0"/>
      <w:marBottom w:val="0"/>
      <w:divBdr>
        <w:top w:val="none" w:sz="0" w:space="0" w:color="auto"/>
        <w:left w:val="none" w:sz="0" w:space="0" w:color="auto"/>
        <w:bottom w:val="none" w:sz="0" w:space="0" w:color="auto"/>
        <w:right w:val="none" w:sz="0" w:space="0" w:color="auto"/>
      </w:divBdr>
    </w:div>
    <w:div w:id="640886160">
      <w:bodyDiv w:val="1"/>
      <w:marLeft w:val="0"/>
      <w:marRight w:val="0"/>
      <w:marTop w:val="0"/>
      <w:marBottom w:val="0"/>
      <w:divBdr>
        <w:top w:val="none" w:sz="0" w:space="0" w:color="auto"/>
        <w:left w:val="none" w:sz="0" w:space="0" w:color="auto"/>
        <w:bottom w:val="none" w:sz="0" w:space="0" w:color="auto"/>
        <w:right w:val="none" w:sz="0" w:space="0" w:color="auto"/>
      </w:divBdr>
    </w:div>
    <w:div w:id="739400420">
      <w:bodyDiv w:val="1"/>
      <w:marLeft w:val="0"/>
      <w:marRight w:val="0"/>
      <w:marTop w:val="0"/>
      <w:marBottom w:val="0"/>
      <w:divBdr>
        <w:top w:val="none" w:sz="0" w:space="0" w:color="auto"/>
        <w:left w:val="none" w:sz="0" w:space="0" w:color="auto"/>
        <w:bottom w:val="none" w:sz="0" w:space="0" w:color="auto"/>
        <w:right w:val="none" w:sz="0" w:space="0" w:color="auto"/>
      </w:divBdr>
    </w:div>
    <w:div w:id="1021663608">
      <w:bodyDiv w:val="1"/>
      <w:marLeft w:val="0"/>
      <w:marRight w:val="0"/>
      <w:marTop w:val="0"/>
      <w:marBottom w:val="0"/>
      <w:divBdr>
        <w:top w:val="none" w:sz="0" w:space="0" w:color="auto"/>
        <w:left w:val="none" w:sz="0" w:space="0" w:color="auto"/>
        <w:bottom w:val="none" w:sz="0" w:space="0" w:color="auto"/>
        <w:right w:val="none" w:sz="0" w:space="0" w:color="auto"/>
      </w:divBdr>
    </w:div>
    <w:div w:id="144141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ub112.mail.live.com/m/messages.m/openurl/?mid=m7da9f16b-1c60-11e3-9be3-00237de3f16c&amp;mts=2013-09-13T10:37:46.883Z&amp;fid=00000000-0000-0000-0000-000000000001&amp;iru=%2fm%2ffolders.m%2f&amp;pmid=m7d063ff6-1ef2-11e3-8f7e-00215ad6eef8&amp;pmts=2013-09-16T17:08:03.570Z&amp;nmid=mb7395c68-1b89-11e3-bf55-00215ad7133e&amp;nmts=2013-09-12T09:00:19.407Z&amp;rt=true&amp;link=http%3a%2f%2fmptf.undp.org%2ffactsheet%2fproject%2f0008196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8907</Characters>
  <Application>Microsoft Office Word</Application>
  <DocSecurity>4</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Partie E-TEMPLATE 4.3</vt:lpstr>
      <vt:lpstr>Partie E-TEMPLATE 4.3</vt:lpstr>
    </vt:vector>
  </TitlesOfParts>
  <Company>Microsoft</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E-TEMPLATE 4.3</dc:title>
  <dc:creator>Lea Dispa</dc:creator>
  <cp:lastModifiedBy>Mitsy Jean-Louis</cp:lastModifiedBy>
  <cp:revision>2</cp:revision>
  <dcterms:created xsi:type="dcterms:W3CDTF">2014-08-08T19:39:00Z</dcterms:created>
  <dcterms:modified xsi:type="dcterms:W3CDTF">2014-08-08T19:39:00Z</dcterms:modified>
</cp:coreProperties>
</file>