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AB" w:rsidRPr="006A721B" w:rsidRDefault="001648AB" w:rsidP="00930ED4">
      <w:pPr>
        <w:jc w:val="right"/>
        <w:rPr>
          <w:b/>
        </w:rPr>
      </w:pPr>
      <w:r w:rsidRPr="006A721B">
        <w:rPr>
          <w:b/>
        </w:rPr>
        <w:t>FORMULAIRE 4.5</w:t>
      </w:r>
    </w:p>
    <w:p w:rsidR="001648AB" w:rsidRPr="006A721B" w:rsidRDefault="007807AE" w:rsidP="00DD025C">
      <w:pPr>
        <w:jc w:val="center"/>
        <w:rPr>
          <w:b/>
          <w:sz w:val="28"/>
          <w:szCs w:val="28"/>
          <w:u w:val="single"/>
        </w:rPr>
      </w:pPr>
      <w:r>
        <w:rPr>
          <w:rFonts w:ascii="Arial" w:hAnsi="Arial"/>
          <w:noProof/>
          <w:spacing w:val="-3"/>
          <w:sz w:val="20"/>
          <w:lang w:val="en-US" w:eastAsia="en-US"/>
        </w:rPr>
        <w:drawing>
          <wp:inline distT="0" distB="0" distL="0" distR="0">
            <wp:extent cx="8763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10834" t="3618" r="17258" b="16399"/>
                    <a:stretch>
                      <a:fillRect/>
                    </a:stretch>
                  </pic:blipFill>
                  <pic:spPr bwMode="auto">
                    <a:xfrm>
                      <a:off x="0" y="0"/>
                      <a:ext cx="876300" cy="762000"/>
                    </a:xfrm>
                    <a:prstGeom prst="rect">
                      <a:avLst/>
                    </a:prstGeom>
                    <a:solidFill>
                      <a:srgbClr val="3366FF"/>
                    </a:solidFill>
                    <a:ln>
                      <a:noFill/>
                    </a:ln>
                  </pic:spPr>
                </pic:pic>
              </a:graphicData>
            </a:graphic>
          </wp:inline>
        </w:drawing>
      </w:r>
      <w:r w:rsidR="001648AB" w:rsidRPr="006A721B">
        <w:rPr>
          <w:rFonts w:ascii="Arial" w:hAnsi="Arial"/>
          <w:spacing w:val="-3"/>
          <w:sz w:val="20"/>
        </w:rPr>
        <w:tab/>
      </w:r>
      <w:r w:rsidR="001648AB" w:rsidRPr="006A721B">
        <w:rPr>
          <w:rFonts w:ascii="Arial" w:hAnsi="Arial"/>
          <w:spacing w:val="-3"/>
          <w:sz w:val="20"/>
        </w:rPr>
        <w:tab/>
      </w:r>
      <w:r w:rsidR="001648AB" w:rsidRPr="006A721B">
        <w:rPr>
          <w:rFonts w:ascii="Arial" w:hAnsi="Arial"/>
          <w:spacing w:val="-3"/>
          <w:sz w:val="20"/>
        </w:rPr>
        <w:tab/>
      </w:r>
      <w:r>
        <w:rPr>
          <w:noProof/>
          <w:lang w:val="en-US" w:eastAsia="en-US"/>
        </w:rPr>
        <w:drawing>
          <wp:inline distT="0" distB="0" distL="0" distR="0">
            <wp:extent cx="933450" cy="752475"/>
            <wp:effectExtent l="0" t="0" r="0" b="9525"/>
            <wp:docPr id="2" name="Immagine 2" descr="P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B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752475"/>
                    </a:xfrm>
                    <a:prstGeom prst="rect">
                      <a:avLst/>
                    </a:prstGeom>
                    <a:noFill/>
                    <a:ln>
                      <a:noFill/>
                    </a:ln>
                  </pic:spPr>
                </pic:pic>
              </a:graphicData>
            </a:graphic>
          </wp:inline>
        </w:drawing>
      </w:r>
    </w:p>
    <w:p w:rsidR="001648AB" w:rsidRPr="006A721B" w:rsidRDefault="001648AB" w:rsidP="00DD025C">
      <w:pPr>
        <w:jc w:val="center"/>
        <w:rPr>
          <w:b/>
        </w:rPr>
      </w:pPr>
    </w:p>
    <w:p w:rsidR="001648AB" w:rsidRPr="006A721B" w:rsidRDefault="001648AB" w:rsidP="00DD025C">
      <w:pPr>
        <w:jc w:val="center"/>
        <w:rPr>
          <w:b/>
        </w:rPr>
      </w:pPr>
      <w:r w:rsidRPr="006A721B">
        <w:rPr>
          <w:b/>
        </w:rPr>
        <w:t>FONDS POUR LA CONSOLIDATION DE LA PAIX (PBF)</w:t>
      </w:r>
    </w:p>
    <w:p w:rsidR="001648AB" w:rsidRDefault="001648AB" w:rsidP="00DD025C">
      <w:pPr>
        <w:jc w:val="center"/>
        <w:rPr>
          <w:b/>
          <w:bCs/>
          <w:caps/>
        </w:rPr>
      </w:pPr>
      <w:r w:rsidRPr="006A721B">
        <w:rPr>
          <w:b/>
          <w:bCs/>
          <w:caps/>
        </w:rPr>
        <w:t>RAPPORT NARRATIF FINAL SUR LE PROGRAMME</w:t>
      </w:r>
      <w:r w:rsidRPr="006A721B">
        <w:rPr>
          <w:rStyle w:val="FootnoteReference"/>
          <w:b/>
          <w:bCs/>
          <w:caps/>
        </w:rPr>
        <w:footnoteReference w:id="1"/>
      </w:r>
      <w:r w:rsidRPr="006A721B">
        <w:rPr>
          <w:b/>
          <w:bCs/>
          <w:caps/>
        </w:rPr>
        <w:t xml:space="preserve"> </w:t>
      </w:r>
    </w:p>
    <w:p w:rsidR="00AD197B" w:rsidRDefault="00AD197B" w:rsidP="00DD025C">
      <w:pPr>
        <w:jc w:val="center"/>
        <w:rPr>
          <w:b/>
          <w:bCs/>
          <w:caps/>
        </w:rPr>
      </w:pPr>
    </w:p>
    <w:p w:rsidR="001648AB" w:rsidRPr="006A721B" w:rsidRDefault="001648AB" w:rsidP="00DD025C">
      <w:pPr>
        <w:jc w:val="center"/>
        <w:rPr>
          <w:b/>
          <w:bCs/>
          <w:i/>
          <w:caps/>
          <w:u w:val="single"/>
        </w:rPr>
      </w:pPr>
      <w:r w:rsidRPr="006A721B">
        <w:rPr>
          <w:b/>
          <w:bCs/>
          <w:caps/>
          <w:u w:val="single"/>
        </w:rPr>
        <w:t>PERIODE COUVERTE PAR LE RAPPORT: DE</w:t>
      </w:r>
      <w:r w:rsidR="00BA4FC6">
        <w:rPr>
          <w:b/>
          <w:bCs/>
          <w:caps/>
          <w:u w:val="single"/>
        </w:rPr>
        <w:t xml:space="preserve"> JUIN 2010 a</w:t>
      </w:r>
      <w:r w:rsidRPr="006A721B">
        <w:rPr>
          <w:b/>
          <w:bCs/>
          <w:caps/>
          <w:u w:val="single"/>
        </w:rPr>
        <w:t xml:space="preserve"> </w:t>
      </w:r>
      <w:r w:rsidR="00287D0A">
        <w:rPr>
          <w:b/>
          <w:bCs/>
          <w:caps/>
          <w:u w:val="single"/>
        </w:rPr>
        <w:t>mars 2014</w:t>
      </w:r>
      <w:r w:rsidRPr="006A721B">
        <w:rPr>
          <w:b/>
          <w:bCs/>
          <w:caps/>
          <w:u w:val="single"/>
        </w:rPr>
        <w:t xml:space="preserve"> </w:t>
      </w:r>
    </w:p>
    <w:p w:rsidR="001648AB" w:rsidRPr="006A721B" w:rsidRDefault="001648AB" w:rsidP="00DD025C">
      <w:pPr>
        <w:jc w:val="center"/>
        <w:rPr>
          <w:b/>
          <w:bCs/>
          <w:caps/>
        </w:rPr>
      </w:pPr>
    </w:p>
    <w:tbl>
      <w:tblPr>
        <w:tblW w:w="10732" w:type="dxa"/>
        <w:tblInd w:w="-72" w:type="dxa"/>
        <w:tblLayout w:type="fixed"/>
        <w:tblLook w:val="01E0" w:firstRow="1" w:lastRow="1" w:firstColumn="1" w:lastColumn="1" w:noHBand="0" w:noVBand="0"/>
      </w:tblPr>
      <w:tblGrid>
        <w:gridCol w:w="3328"/>
        <w:gridCol w:w="1814"/>
        <w:gridCol w:w="258"/>
        <w:gridCol w:w="3881"/>
        <w:gridCol w:w="1451"/>
      </w:tblGrid>
      <w:tr w:rsidR="001648AB" w:rsidRPr="006A721B" w:rsidTr="00BF67E9">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1648AB" w:rsidRPr="006A721B" w:rsidRDefault="001648AB" w:rsidP="00F24EC3">
            <w:pPr>
              <w:pStyle w:val="H1"/>
              <w:jc w:val="center"/>
              <w:rPr>
                <w:rFonts w:cs="Times New Roman"/>
                <w:lang w:val="fr-FR"/>
              </w:rPr>
            </w:pPr>
            <w:r w:rsidRPr="006A721B">
              <w:rPr>
                <w:rFonts w:cs="Times New Roman"/>
                <w:lang w:val="fr-FR"/>
              </w:rPr>
              <w:t xml:space="preserve">Intitulé du programme &amp; numéro du projet </w:t>
            </w:r>
          </w:p>
        </w:tc>
        <w:tc>
          <w:tcPr>
            <w:tcW w:w="258" w:type="dxa"/>
            <w:vMerge w:val="restart"/>
            <w:tcBorders>
              <w:left w:val="single" w:sz="4" w:space="0" w:color="auto"/>
              <w:right w:val="single" w:sz="4" w:space="0" w:color="auto"/>
            </w:tcBorders>
            <w:vAlign w:val="center"/>
          </w:tcPr>
          <w:p w:rsidR="001648AB" w:rsidRPr="006A721B" w:rsidRDefault="001648AB" w:rsidP="00BF67E9">
            <w:pPr>
              <w:jc w:val="center"/>
            </w:pPr>
          </w:p>
        </w:tc>
        <w:tc>
          <w:tcPr>
            <w:tcW w:w="5332" w:type="dxa"/>
            <w:gridSpan w:val="2"/>
            <w:tcBorders>
              <w:top w:val="single" w:sz="4" w:space="0" w:color="auto"/>
              <w:left w:val="single" w:sz="4" w:space="0" w:color="auto"/>
              <w:right w:val="single" w:sz="4" w:space="0" w:color="auto"/>
            </w:tcBorders>
            <w:shd w:val="clear" w:color="auto" w:fill="F3F3F3"/>
            <w:vAlign w:val="center"/>
          </w:tcPr>
          <w:p w:rsidR="001648AB" w:rsidRPr="006A721B" w:rsidRDefault="001648AB" w:rsidP="00F24EC3">
            <w:pPr>
              <w:pStyle w:val="H1"/>
              <w:jc w:val="center"/>
              <w:rPr>
                <w:rFonts w:cs="Times New Roman"/>
                <w:lang w:val="fr-FR"/>
              </w:rPr>
            </w:pPr>
            <w:r w:rsidRPr="006A721B">
              <w:rPr>
                <w:rFonts w:cs="Times New Roman"/>
                <w:lang w:val="fr-FR"/>
              </w:rPr>
              <w:t>Pays, localité(s), domaine(s) prioritaire(s) / résultats stratégiques</w:t>
            </w:r>
            <w:r w:rsidRPr="006A721B">
              <w:rPr>
                <w:rStyle w:val="FootnoteReference"/>
                <w:lang w:val="fr-FR"/>
              </w:rPr>
              <w:footnoteReference w:id="2"/>
            </w:r>
          </w:p>
        </w:tc>
      </w:tr>
      <w:tr w:rsidR="001648AB" w:rsidRPr="006A721B" w:rsidTr="00BF67E9">
        <w:trPr>
          <w:trHeight w:val="300"/>
        </w:trPr>
        <w:tc>
          <w:tcPr>
            <w:tcW w:w="5142" w:type="dxa"/>
            <w:gridSpan w:val="2"/>
            <w:vMerge w:val="restart"/>
            <w:tcBorders>
              <w:left w:val="single" w:sz="4" w:space="0" w:color="auto"/>
              <w:right w:val="single" w:sz="4" w:space="0" w:color="auto"/>
            </w:tcBorders>
          </w:tcPr>
          <w:p w:rsidR="001648AB" w:rsidRPr="00AD197B" w:rsidRDefault="001648AB" w:rsidP="00046E24">
            <w:pPr>
              <w:pStyle w:val="BodyText"/>
              <w:numPr>
                <w:ilvl w:val="0"/>
                <w:numId w:val="6"/>
              </w:numPr>
              <w:spacing w:before="60" w:after="60"/>
              <w:ind w:left="342"/>
              <w:jc w:val="both"/>
              <w:rPr>
                <w:rFonts w:ascii="Times New Roman" w:hAnsi="Times New Roman" w:cs="Times New Roman"/>
                <w:bCs/>
                <w:iCs/>
                <w:snapToGrid w:val="0"/>
                <w:szCs w:val="28"/>
                <w:lang w:val="fr-FR"/>
              </w:rPr>
            </w:pPr>
            <w:r w:rsidRPr="00AD197B">
              <w:rPr>
                <w:rFonts w:ascii="Times New Roman" w:hAnsi="Times New Roman" w:cs="Times New Roman"/>
                <w:bCs/>
                <w:iCs/>
                <w:snapToGrid w:val="0"/>
                <w:szCs w:val="28"/>
                <w:lang w:val="fr-FR"/>
              </w:rPr>
              <w:t>Intitulé du programme:</w:t>
            </w:r>
            <w:r w:rsidR="00AD197B" w:rsidRPr="00AD197B">
              <w:rPr>
                <w:rFonts w:ascii="Times New Roman" w:hAnsi="Times New Roman" w:cs="Times New Roman"/>
                <w:lang w:val="fr-FR"/>
              </w:rPr>
              <w:t xml:space="preserve"> Projet d’Appui à la Médiation Internationale en Guinée</w:t>
            </w:r>
          </w:p>
          <w:p w:rsidR="001648AB" w:rsidRPr="00AD197B" w:rsidRDefault="001648AB" w:rsidP="00046E24">
            <w:pPr>
              <w:pStyle w:val="BodyText"/>
              <w:numPr>
                <w:ilvl w:val="0"/>
                <w:numId w:val="6"/>
              </w:numPr>
              <w:spacing w:before="60" w:after="60"/>
              <w:ind w:left="342"/>
              <w:jc w:val="both"/>
              <w:rPr>
                <w:rFonts w:ascii="Times New Roman" w:hAnsi="Times New Roman" w:cs="Times New Roman"/>
                <w:bCs/>
                <w:iCs/>
                <w:snapToGrid w:val="0"/>
                <w:szCs w:val="28"/>
                <w:lang w:val="fr-FR"/>
              </w:rPr>
            </w:pPr>
            <w:r w:rsidRPr="00AD197B">
              <w:rPr>
                <w:rFonts w:ascii="Times New Roman" w:hAnsi="Times New Roman" w:cs="Times New Roman"/>
                <w:bCs/>
                <w:iCs/>
                <w:snapToGrid w:val="0"/>
                <w:szCs w:val="28"/>
                <w:lang w:val="fr-FR"/>
              </w:rPr>
              <w:t>Numéro du programme (</w:t>
            </w:r>
            <w:r w:rsidRPr="00AD197B">
              <w:rPr>
                <w:rFonts w:ascii="Times New Roman" w:hAnsi="Times New Roman" w:cs="Times New Roman"/>
                <w:bCs/>
                <w:i/>
                <w:iCs/>
                <w:snapToGrid w:val="0"/>
                <w:szCs w:val="28"/>
                <w:lang w:val="fr-FR"/>
              </w:rPr>
              <w:t>le cas échéant</w:t>
            </w:r>
            <w:r w:rsidRPr="00AD197B">
              <w:rPr>
                <w:rFonts w:ascii="Times New Roman" w:hAnsi="Times New Roman" w:cs="Times New Roman"/>
                <w:bCs/>
                <w:iCs/>
                <w:snapToGrid w:val="0"/>
                <w:szCs w:val="28"/>
                <w:lang w:val="fr-FR"/>
              </w:rPr>
              <w:t xml:space="preserve">): </w:t>
            </w:r>
            <w:r w:rsidR="00AD197B" w:rsidRPr="00AD197B">
              <w:rPr>
                <w:rFonts w:ascii="Times New Roman" w:hAnsi="Times New Roman" w:cs="Times New Roman"/>
                <w:lang w:val="fr-FR"/>
              </w:rPr>
              <w:t>PBF/IRF-19</w:t>
            </w:r>
          </w:p>
          <w:p w:rsidR="001648AB" w:rsidRPr="00AD197B" w:rsidRDefault="001648AB" w:rsidP="00DD73A5">
            <w:pPr>
              <w:pStyle w:val="BodyText"/>
              <w:numPr>
                <w:ilvl w:val="0"/>
                <w:numId w:val="6"/>
              </w:numPr>
              <w:spacing w:before="60" w:after="60"/>
              <w:ind w:left="342"/>
              <w:jc w:val="both"/>
              <w:rPr>
                <w:rFonts w:ascii="Times New Roman" w:hAnsi="Times New Roman" w:cs="Times New Roman"/>
                <w:i/>
                <w:lang w:val="fr-FR"/>
              </w:rPr>
            </w:pPr>
            <w:r w:rsidRPr="00AD197B">
              <w:rPr>
                <w:rFonts w:ascii="Times New Roman" w:hAnsi="Times New Roman" w:cs="Times New Roman"/>
                <w:bCs/>
                <w:iCs/>
                <w:snapToGrid w:val="0"/>
                <w:szCs w:val="28"/>
                <w:lang w:val="fr-FR"/>
              </w:rPr>
              <w:t>Numéro de référence du projet au MPTF (Bureau des Fonds d’affectation spéciale pluri</w:t>
            </w:r>
            <w:r w:rsidR="00645D14">
              <w:rPr>
                <w:rFonts w:ascii="Times New Roman" w:hAnsi="Times New Roman" w:cs="Times New Roman"/>
                <w:bCs/>
                <w:iCs/>
                <w:snapToGrid w:val="0"/>
                <w:szCs w:val="28"/>
                <w:lang w:val="fr-FR"/>
              </w:rPr>
              <w:t>-</w:t>
            </w:r>
            <w:r w:rsidRPr="00AD197B">
              <w:rPr>
                <w:rFonts w:ascii="Times New Roman" w:hAnsi="Times New Roman" w:cs="Times New Roman"/>
                <w:bCs/>
                <w:iCs/>
                <w:snapToGrid w:val="0"/>
                <w:szCs w:val="28"/>
                <w:lang w:val="fr-FR"/>
              </w:rPr>
              <w:t>partenaires):</w:t>
            </w:r>
            <w:r w:rsidRPr="00AD197B">
              <w:rPr>
                <w:rStyle w:val="FootnoteReference"/>
                <w:rFonts w:ascii="Times New Roman" w:hAnsi="Times New Roman"/>
                <w:bCs/>
                <w:iCs/>
                <w:snapToGrid w:val="0"/>
                <w:szCs w:val="28"/>
                <w:lang w:val="fr-FR"/>
              </w:rPr>
              <w:footnoteReference w:id="3"/>
            </w:r>
            <w:r w:rsidRPr="00AD197B">
              <w:rPr>
                <w:rFonts w:ascii="Times New Roman" w:hAnsi="Times New Roman" w:cs="Times New Roman"/>
                <w:i/>
                <w:lang w:val="fr-FR"/>
              </w:rPr>
              <w:t xml:space="preserve"> </w:t>
            </w:r>
            <w:r w:rsidR="00AD197B" w:rsidRPr="00AD197B">
              <w:rPr>
                <w:rFonts w:ascii="Times New Roman" w:hAnsi="Times New Roman" w:cs="Times New Roman"/>
                <w:lang w:val="fr-FR"/>
              </w:rPr>
              <w:t>00075358</w:t>
            </w:r>
          </w:p>
        </w:tc>
        <w:tc>
          <w:tcPr>
            <w:tcW w:w="258" w:type="dxa"/>
            <w:vMerge/>
            <w:tcBorders>
              <w:left w:val="single" w:sz="4" w:space="0" w:color="auto"/>
              <w:right w:val="single" w:sz="4" w:space="0" w:color="auto"/>
            </w:tcBorders>
          </w:tcPr>
          <w:p w:rsidR="001648AB" w:rsidRPr="006A721B" w:rsidRDefault="001648AB" w:rsidP="00046E24">
            <w:pPr>
              <w:pStyle w:val="BodyText"/>
              <w:rPr>
                <w:rFonts w:ascii="Times New Roman" w:hAnsi="Times New Roman"/>
                <w:lang w:val="fr-FR"/>
              </w:rPr>
            </w:pPr>
          </w:p>
        </w:tc>
        <w:tc>
          <w:tcPr>
            <w:tcW w:w="5332" w:type="dxa"/>
            <w:gridSpan w:val="2"/>
            <w:tcBorders>
              <w:left w:val="single" w:sz="4" w:space="0" w:color="auto"/>
              <w:bottom w:val="single" w:sz="4" w:space="0" w:color="auto"/>
              <w:right w:val="single" w:sz="4" w:space="0" w:color="auto"/>
            </w:tcBorders>
          </w:tcPr>
          <w:p w:rsidR="001648AB" w:rsidRPr="006A721B" w:rsidRDefault="001648AB" w:rsidP="00046E24">
            <w:pPr>
              <w:pStyle w:val="BodyText"/>
              <w:rPr>
                <w:rFonts w:ascii="Times New Roman" w:hAnsi="Times New Roman"/>
                <w:bCs/>
                <w:i/>
                <w:iCs/>
                <w:snapToGrid w:val="0"/>
                <w:lang w:val="fr-FR"/>
              </w:rPr>
            </w:pPr>
            <w:r w:rsidRPr="006A721B">
              <w:rPr>
                <w:rFonts w:ascii="Times New Roman" w:hAnsi="Times New Roman"/>
                <w:bCs/>
                <w:i/>
                <w:iCs/>
                <w:snapToGrid w:val="0"/>
                <w:lang w:val="fr-FR"/>
              </w:rPr>
              <w:t>(le cas échéant)</w:t>
            </w:r>
          </w:p>
          <w:p w:rsidR="001648AB" w:rsidRPr="006A721B" w:rsidRDefault="001648AB" w:rsidP="00046E24">
            <w:pPr>
              <w:pStyle w:val="BodyText"/>
              <w:rPr>
                <w:rFonts w:ascii="Times New Roman" w:hAnsi="Times New Roman"/>
                <w:bCs/>
                <w:i/>
                <w:iCs/>
                <w:snapToGrid w:val="0"/>
                <w:lang w:val="fr-FR"/>
              </w:rPr>
            </w:pPr>
            <w:r w:rsidRPr="006A721B">
              <w:rPr>
                <w:rFonts w:ascii="Times New Roman" w:hAnsi="Times New Roman"/>
                <w:bCs/>
                <w:i/>
                <w:iCs/>
                <w:snapToGrid w:val="0"/>
                <w:lang w:val="fr-FR"/>
              </w:rPr>
              <w:t>Pays/Région</w:t>
            </w:r>
            <w:r w:rsidR="00BF09A6">
              <w:rPr>
                <w:rFonts w:ascii="Times New Roman" w:hAnsi="Times New Roman"/>
                <w:bCs/>
                <w:i/>
                <w:iCs/>
                <w:snapToGrid w:val="0"/>
                <w:lang w:val="fr-FR"/>
              </w:rPr>
              <w:t xml:space="preserve"> GUINEE</w:t>
            </w:r>
          </w:p>
          <w:p w:rsidR="001648AB" w:rsidRPr="006A721B" w:rsidRDefault="001648AB" w:rsidP="00046E24">
            <w:pPr>
              <w:pStyle w:val="BodyText"/>
              <w:rPr>
                <w:rFonts w:ascii="Times New Roman" w:hAnsi="Times New Roman"/>
                <w:lang w:val="fr-FR"/>
              </w:rPr>
            </w:pPr>
          </w:p>
        </w:tc>
      </w:tr>
      <w:tr w:rsidR="001648AB" w:rsidRPr="006A721B" w:rsidTr="00BF67E9">
        <w:trPr>
          <w:trHeight w:val="426"/>
        </w:trPr>
        <w:tc>
          <w:tcPr>
            <w:tcW w:w="5142" w:type="dxa"/>
            <w:gridSpan w:val="2"/>
            <w:vMerge/>
            <w:tcBorders>
              <w:left w:val="single" w:sz="4" w:space="0" w:color="auto"/>
              <w:bottom w:val="single" w:sz="4" w:space="0" w:color="auto"/>
              <w:right w:val="single" w:sz="4" w:space="0" w:color="auto"/>
            </w:tcBorders>
          </w:tcPr>
          <w:p w:rsidR="001648AB" w:rsidRPr="006A721B" w:rsidRDefault="001648AB" w:rsidP="00046E24">
            <w:pPr>
              <w:pStyle w:val="BodyText"/>
              <w:numPr>
                <w:ilvl w:val="0"/>
                <w:numId w:val="6"/>
              </w:numPr>
              <w:spacing w:before="60" w:after="60"/>
              <w:ind w:left="342"/>
              <w:jc w:val="both"/>
              <w:rPr>
                <w:rFonts w:ascii="Times New Roman" w:hAnsi="Times New Roman"/>
                <w:bCs/>
                <w:iCs/>
                <w:snapToGrid w:val="0"/>
                <w:szCs w:val="28"/>
                <w:lang w:val="fr-FR"/>
              </w:rPr>
            </w:pPr>
          </w:p>
        </w:tc>
        <w:tc>
          <w:tcPr>
            <w:tcW w:w="258" w:type="dxa"/>
            <w:vMerge/>
            <w:tcBorders>
              <w:left w:val="single" w:sz="4" w:space="0" w:color="auto"/>
              <w:right w:val="single" w:sz="4" w:space="0" w:color="auto"/>
            </w:tcBorders>
          </w:tcPr>
          <w:p w:rsidR="001648AB" w:rsidRPr="006A721B" w:rsidRDefault="001648AB" w:rsidP="00046E24">
            <w:pPr>
              <w:pStyle w:val="BodyText"/>
              <w:rPr>
                <w:rFonts w:ascii="Times New Roman" w:hAnsi="Times New Roman"/>
                <w:lang w:val="fr-FR"/>
              </w:rPr>
            </w:pPr>
          </w:p>
        </w:tc>
        <w:tc>
          <w:tcPr>
            <w:tcW w:w="5332" w:type="dxa"/>
            <w:gridSpan w:val="2"/>
            <w:tcBorders>
              <w:top w:val="single" w:sz="4" w:space="0" w:color="auto"/>
              <w:left w:val="single" w:sz="4" w:space="0" w:color="auto"/>
              <w:bottom w:val="single" w:sz="4" w:space="0" w:color="auto"/>
              <w:right w:val="single" w:sz="4" w:space="0" w:color="auto"/>
            </w:tcBorders>
          </w:tcPr>
          <w:p w:rsidR="001648AB" w:rsidRPr="008E4B05" w:rsidRDefault="001648AB" w:rsidP="00046E24">
            <w:pPr>
              <w:pStyle w:val="BodyText"/>
              <w:rPr>
                <w:rFonts w:ascii="Times New Roman" w:hAnsi="Times New Roman" w:cs="Times New Roman"/>
                <w:bCs/>
                <w:i/>
                <w:iCs/>
                <w:snapToGrid w:val="0"/>
                <w:lang w:val="fr-FR"/>
              </w:rPr>
            </w:pPr>
            <w:r w:rsidRPr="008E4B05">
              <w:rPr>
                <w:rFonts w:ascii="Times New Roman" w:hAnsi="Times New Roman" w:cs="Times New Roman"/>
                <w:bCs/>
                <w:i/>
                <w:iCs/>
                <w:snapToGrid w:val="0"/>
                <w:lang w:val="fr-FR"/>
              </w:rPr>
              <w:t>Domaine prioritaire/ résultats stratégiques</w:t>
            </w:r>
            <w:r w:rsidR="0036554C" w:rsidRPr="008E4B05">
              <w:rPr>
                <w:rFonts w:ascii="Times New Roman" w:hAnsi="Times New Roman" w:cs="Times New Roman"/>
                <w:bCs/>
                <w:i/>
                <w:iCs/>
                <w:snapToGrid w:val="0"/>
                <w:lang w:val="fr-FR"/>
              </w:rPr>
              <w:t> ;</w:t>
            </w:r>
          </w:p>
          <w:p w:rsidR="0036554C" w:rsidRPr="00420AB2" w:rsidRDefault="0036554C" w:rsidP="00046E24">
            <w:pPr>
              <w:pStyle w:val="BodyText"/>
              <w:rPr>
                <w:rFonts w:ascii="Times New Roman" w:hAnsi="Times New Roman"/>
                <w:bCs/>
                <w:i/>
                <w:iCs/>
                <w:snapToGrid w:val="0"/>
                <w:lang w:val="fr-FR"/>
              </w:rPr>
            </w:pPr>
            <w:r w:rsidRPr="00420AB2">
              <w:rPr>
                <w:rFonts w:ascii="Times New Roman" w:hAnsi="Times New Roman" w:cs="Times New Roman"/>
                <w:lang w:val="fr-FR"/>
              </w:rPr>
              <w:t>Médiation</w:t>
            </w:r>
            <w:r w:rsidR="00420AB2" w:rsidRPr="00420AB2">
              <w:rPr>
                <w:rFonts w:ascii="Times New Roman" w:hAnsi="Times New Roman" w:cs="Times New Roman"/>
                <w:lang w:val="fr-FR"/>
              </w:rPr>
              <w:t xml:space="preserve"> et appui au dialogue national</w:t>
            </w:r>
          </w:p>
        </w:tc>
      </w:tr>
      <w:tr w:rsidR="001648AB" w:rsidRPr="006A721B" w:rsidTr="00BF67E9">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1648AB" w:rsidRPr="006A721B" w:rsidRDefault="001648AB" w:rsidP="00046E24">
            <w:pPr>
              <w:pStyle w:val="H1"/>
              <w:jc w:val="center"/>
              <w:rPr>
                <w:rFonts w:cs="Times New Roman"/>
                <w:lang w:val="fr-FR"/>
              </w:rPr>
            </w:pPr>
            <w:r w:rsidRPr="006A721B">
              <w:rPr>
                <w:rFonts w:cs="Times New Roman"/>
                <w:lang w:val="fr-FR"/>
              </w:rPr>
              <w:t>Organisation(s) participante(s)</w:t>
            </w:r>
          </w:p>
        </w:tc>
        <w:tc>
          <w:tcPr>
            <w:tcW w:w="258" w:type="dxa"/>
            <w:vMerge w:val="restart"/>
            <w:tcBorders>
              <w:left w:val="single" w:sz="4" w:space="0" w:color="auto"/>
              <w:right w:val="single" w:sz="4" w:space="0" w:color="auto"/>
            </w:tcBorders>
            <w:vAlign w:val="center"/>
          </w:tcPr>
          <w:p w:rsidR="001648AB" w:rsidRPr="006A721B" w:rsidRDefault="001648AB" w:rsidP="00046E24">
            <w:pPr>
              <w:jc w:val="center"/>
            </w:pPr>
          </w:p>
        </w:tc>
        <w:tc>
          <w:tcPr>
            <w:tcW w:w="5332" w:type="dxa"/>
            <w:gridSpan w:val="2"/>
            <w:tcBorders>
              <w:top w:val="single" w:sz="4" w:space="0" w:color="auto"/>
              <w:left w:val="single" w:sz="4" w:space="0" w:color="auto"/>
              <w:right w:val="single" w:sz="4" w:space="0" w:color="auto"/>
            </w:tcBorders>
            <w:shd w:val="clear" w:color="auto" w:fill="F3F3F3"/>
            <w:vAlign w:val="center"/>
          </w:tcPr>
          <w:p w:rsidR="001648AB" w:rsidRPr="006A721B" w:rsidRDefault="001648AB" w:rsidP="00046E24">
            <w:pPr>
              <w:pStyle w:val="H1"/>
              <w:jc w:val="center"/>
              <w:rPr>
                <w:rFonts w:cs="Times New Roman"/>
                <w:sz w:val="20"/>
                <w:lang w:val="fr-FR"/>
              </w:rPr>
            </w:pPr>
            <w:r w:rsidRPr="006A721B">
              <w:rPr>
                <w:rFonts w:cs="Times New Roman"/>
                <w:lang w:val="fr-FR"/>
              </w:rPr>
              <w:t>Partenaires d’exécution</w:t>
            </w:r>
          </w:p>
        </w:tc>
      </w:tr>
      <w:tr w:rsidR="001648AB" w:rsidRPr="006A721B" w:rsidTr="00BF67E9">
        <w:trPr>
          <w:trHeight w:val="495"/>
        </w:trPr>
        <w:tc>
          <w:tcPr>
            <w:tcW w:w="5142" w:type="dxa"/>
            <w:gridSpan w:val="2"/>
            <w:tcBorders>
              <w:left w:val="single" w:sz="4" w:space="0" w:color="auto"/>
              <w:bottom w:val="single" w:sz="4" w:space="0" w:color="auto"/>
              <w:right w:val="single" w:sz="4" w:space="0" w:color="auto"/>
            </w:tcBorders>
          </w:tcPr>
          <w:p w:rsidR="00645D14" w:rsidRPr="00645D14" w:rsidRDefault="001648AB" w:rsidP="00645D14">
            <w:pPr>
              <w:pStyle w:val="BodyText"/>
              <w:numPr>
                <w:ilvl w:val="0"/>
                <w:numId w:val="11"/>
              </w:numPr>
              <w:ind w:left="342" w:hanging="342"/>
              <w:rPr>
                <w:rFonts w:ascii="Times New Roman" w:hAnsi="Times New Roman"/>
                <w:i/>
                <w:sz w:val="24"/>
                <w:lang w:val="fr-FR"/>
              </w:rPr>
            </w:pPr>
            <w:r w:rsidRPr="006A721B">
              <w:rPr>
                <w:rFonts w:ascii="Times New Roman" w:hAnsi="Times New Roman"/>
                <w:lang w:val="fr-FR"/>
              </w:rPr>
              <w:t xml:space="preserve">Organisations ayant perçu directement des fonds de la part du Bureau du MPTF, pour la mise en œuvre du présent Programme </w:t>
            </w:r>
          </w:p>
          <w:p w:rsidR="00F95643" w:rsidRPr="00F95643" w:rsidRDefault="00F95643" w:rsidP="00F95643">
            <w:pPr>
              <w:pStyle w:val="BodyText"/>
              <w:numPr>
                <w:ilvl w:val="0"/>
                <w:numId w:val="25"/>
              </w:numPr>
              <w:rPr>
                <w:rFonts w:ascii="Times New Roman" w:hAnsi="Times New Roman"/>
                <w:sz w:val="24"/>
                <w:lang w:val="fr-FR"/>
              </w:rPr>
            </w:pPr>
            <w:r w:rsidRPr="00F95643">
              <w:rPr>
                <w:rFonts w:ascii="Times New Roman" w:hAnsi="Times New Roman"/>
                <w:sz w:val="24"/>
                <w:lang w:val="fr-FR"/>
              </w:rPr>
              <w:t>Programme des Nations Unies pour le Développement (</w:t>
            </w:r>
            <w:r w:rsidR="00645D14" w:rsidRPr="00F95643">
              <w:rPr>
                <w:rFonts w:ascii="Times New Roman" w:hAnsi="Times New Roman"/>
                <w:sz w:val="24"/>
                <w:lang w:val="fr-FR"/>
              </w:rPr>
              <w:t>PNUD</w:t>
            </w:r>
            <w:r w:rsidRPr="00F95643">
              <w:rPr>
                <w:rFonts w:ascii="Times New Roman" w:hAnsi="Times New Roman"/>
                <w:sz w:val="24"/>
                <w:lang w:val="fr-FR"/>
              </w:rPr>
              <w:t>)</w:t>
            </w:r>
          </w:p>
          <w:p w:rsidR="001648AB" w:rsidRPr="00F95643" w:rsidRDefault="00F95643" w:rsidP="00F95643">
            <w:pPr>
              <w:pStyle w:val="BodyText"/>
              <w:numPr>
                <w:ilvl w:val="0"/>
                <w:numId w:val="25"/>
              </w:numPr>
              <w:rPr>
                <w:rFonts w:ascii="Times New Roman" w:hAnsi="Times New Roman"/>
                <w:i/>
                <w:sz w:val="24"/>
              </w:rPr>
            </w:pPr>
            <w:r w:rsidRPr="00F95643">
              <w:rPr>
                <w:rFonts w:ascii="Times New Roman" w:hAnsi="Times New Roman"/>
                <w:sz w:val="24"/>
              </w:rPr>
              <w:t>United Nations office for West Africa (</w:t>
            </w:r>
            <w:r w:rsidR="00645D14" w:rsidRPr="00F95643">
              <w:rPr>
                <w:rFonts w:ascii="Times New Roman" w:hAnsi="Times New Roman"/>
                <w:sz w:val="24"/>
              </w:rPr>
              <w:t>UNOWA</w:t>
            </w:r>
            <w:r w:rsidRPr="00F95643">
              <w:rPr>
                <w:rFonts w:ascii="Times New Roman" w:hAnsi="Times New Roman"/>
                <w:sz w:val="24"/>
              </w:rPr>
              <w:t>)</w:t>
            </w:r>
          </w:p>
        </w:tc>
        <w:tc>
          <w:tcPr>
            <w:tcW w:w="258" w:type="dxa"/>
            <w:vMerge/>
            <w:tcBorders>
              <w:left w:val="single" w:sz="4" w:space="0" w:color="auto"/>
              <w:right w:val="single" w:sz="4" w:space="0" w:color="auto"/>
            </w:tcBorders>
          </w:tcPr>
          <w:p w:rsidR="001648AB" w:rsidRPr="00F95643" w:rsidRDefault="001648AB" w:rsidP="00046E24">
            <w:pPr>
              <w:pStyle w:val="BodyText"/>
              <w:rPr>
                <w:rFonts w:ascii="Times New Roman" w:hAnsi="Times New Roman"/>
              </w:rPr>
            </w:pPr>
          </w:p>
        </w:tc>
        <w:tc>
          <w:tcPr>
            <w:tcW w:w="5332" w:type="dxa"/>
            <w:gridSpan w:val="2"/>
            <w:tcBorders>
              <w:left w:val="single" w:sz="4" w:space="0" w:color="auto"/>
              <w:bottom w:val="single" w:sz="4" w:space="0" w:color="auto"/>
              <w:right w:val="single" w:sz="4" w:space="0" w:color="auto"/>
            </w:tcBorders>
          </w:tcPr>
          <w:p w:rsidR="00645D14" w:rsidRPr="008E4B05" w:rsidRDefault="00645D14" w:rsidP="00645D14">
            <w:pPr>
              <w:pStyle w:val="BodyText"/>
              <w:numPr>
                <w:ilvl w:val="0"/>
                <w:numId w:val="7"/>
              </w:numPr>
              <w:spacing w:before="60" w:after="60"/>
              <w:ind w:left="376"/>
              <w:rPr>
                <w:rFonts w:ascii="Times New Roman" w:hAnsi="Times New Roman" w:cs="Times New Roman"/>
                <w:bCs/>
                <w:iCs/>
                <w:color w:val="000000"/>
                <w:szCs w:val="24"/>
                <w:lang w:val="fr-FR"/>
              </w:rPr>
            </w:pPr>
            <w:bookmarkStart w:id="0" w:name="_Toc249364478"/>
            <w:r w:rsidRPr="008E4B05">
              <w:rPr>
                <w:rFonts w:ascii="Times New Roman" w:hAnsi="Times New Roman" w:cs="Times New Roman"/>
                <w:szCs w:val="24"/>
                <w:lang w:val="fr-FR"/>
              </w:rPr>
              <w:t>Acteurs de la transition</w:t>
            </w:r>
          </w:p>
          <w:p w:rsidR="00645D14" w:rsidRPr="008E4B05" w:rsidRDefault="008E4B05" w:rsidP="00645D14">
            <w:pPr>
              <w:pStyle w:val="BodyText"/>
              <w:numPr>
                <w:ilvl w:val="0"/>
                <w:numId w:val="7"/>
              </w:numPr>
              <w:spacing w:before="60" w:after="60"/>
              <w:ind w:left="376"/>
              <w:rPr>
                <w:rFonts w:ascii="Times New Roman" w:hAnsi="Times New Roman" w:cs="Times New Roman"/>
                <w:bCs/>
                <w:iCs/>
                <w:color w:val="000000"/>
                <w:szCs w:val="24"/>
                <w:lang w:val="fr-FR"/>
              </w:rPr>
            </w:pPr>
            <w:r>
              <w:rPr>
                <w:rFonts w:ascii="Times New Roman" w:hAnsi="Times New Roman" w:cs="Times New Roman"/>
                <w:szCs w:val="24"/>
                <w:lang w:val="fr-FR"/>
              </w:rPr>
              <w:t>Parti</w:t>
            </w:r>
            <w:r w:rsidR="00645D14" w:rsidRPr="008E4B05">
              <w:rPr>
                <w:rFonts w:ascii="Times New Roman" w:hAnsi="Times New Roman" w:cs="Times New Roman"/>
                <w:szCs w:val="24"/>
                <w:lang w:val="fr-FR"/>
              </w:rPr>
              <w:t>s politiques</w:t>
            </w:r>
          </w:p>
          <w:p w:rsidR="00645D14" w:rsidRPr="008E4B05" w:rsidRDefault="00645D14" w:rsidP="00645D14">
            <w:pPr>
              <w:pStyle w:val="BodyText"/>
              <w:numPr>
                <w:ilvl w:val="0"/>
                <w:numId w:val="7"/>
              </w:numPr>
              <w:spacing w:before="60" w:after="60"/>
              <w:ind w:left="376"/>
              <w:rPr>
                <w:rFonts w:ascii="Times New Roman" w:hAnsi="Times New Roman" w:cs="Times New Roman"/>
                <w:bCs/>
                <w:iCs/>
                <w:color w:val="000000"/>
                <w:szCs w:val="24"/>
                <w:lang w:val="fr-FR"/>
              </w:rPr>
            </w:pPr>
            <w:r w:rsidRPr="008E4B05">
              <w:rPr>
                <w:rFonts w:ascii="Times New Roman" w:hAnsi="Times New Roman" w:cs="Times New Roman"/>
                <w:szCs w:val="24"/>
                <w:lang w:val="fr-FR"/>
              </w:rPr>
              <w:t>Facilitateurs</w:t>
            </w:r>
          </w:p>
          <w:p w:rsidR="00645D14" w:rsidRPr="008E4B05" w:rsidRDefault="00645D14" w:rsidP="00645D14">
            <w:pPr>
              <w:pStyle w:val="BodyText"/>
              <w:numPr>
                <w:ilvl w:val="0"/>
                <w:numId w:val="7"/>
              </w:numPr>
              <w:spacing w:before="60" w:after="60"/>
              <w:ind w:left="376"/>
              <w:rPr>
                <w:rFonts w:ascii="Times New Roman" w:hAnsi="Times New Roman" w:cs="Times New Roman"/>
                <w:bCs/>
                <w:iCs/>
                <w:color w:val="000000"/>
                <w:szCs w:val="24"/>
                <w:lang w:val="fr-FR"/>
              </w:rPr>
            </w:pPr>
            <w:r w:rsidRPr="008E4B05">
              <w:rPr>
                <w:rFonts w:ascii="Times New Roman" w:hAnsi="Times New Roman" w:cs="Times New Roman"/>
                <w:szCs w:val="24"/>
                <w:lang w:val="fr-FR"/>
              </w:rPr>
              <w:t>National Democratic Institute</w:t>
            </w:r>
            <w:r w:rsidR="00160148" w:rsidRPr="008E4B05">
              <w:rPr>
                <w:rFonts w:ascii="Times New Roman" w:hAnsi="Times New Roman" w:cs="Times New Roman"/>
                <w:szCs w:val="24"/>
                <w:lang w:val="fr-FR"/>
              </w:rPr>
              <w:t xml:space="preserve"> (ONG)</w:t>
            </w:r>
          </w:p>
          <w:p w:rsidR="00645D14" w:rsidRPr="008E4B05" w:rsidRDefault="00645D14" w:rsidP="00645D14">
            <w:pPr>
              <w:pStyle w:val="BodyText"/>
              <w:numPr>
                <w:ilvl w:val="0"/>
                <w:numId w:val="7"/>
              </w:numPr>
              <w:spacing w:before="60" w:after="60"/>
              <w:ind w:left="376"/>
              <w:rPr>
                <w:rFonts w:ascii="Times New Roman" w:hAnsi="Times New Roman" w:cs="Times New Roman"/>
                <w:bCs/>
                <w:iCs/>
                <w:color w:val="000000"/>
                <w:szCs w:val="24"/>
              </w:rPr>
            </w:pPr>
            <w:r w:rsidRPr="008E4B05">
              <w:rPr>
                <w:rFonts w:ascii="Times New Roman" w:hAnsi="Times New Roman" w:cs="Times New Roman"/>
                <w:szCs w:val="24"/>
              </w:rPr>
              <w:t>Search for Common Ground</w:t>
            </w:r>
            <w:r w:rsidR="00160148" w:rsidRPr="008E4B05">
              <w:rPr>
                <w:rFonts w:ascii="Times New Roman" w:hAnsi="Times New Roman" w:cs="Times New Roman"/>
                <w:szCs w:val="24"/>
              </w:rPr>
              <w:t xml:space="preserve"> (ONG)</w:t>
            </w:r>
          </w:p>
          <w:p w:rsidR="001648AB" w:rsidRPr="00160148" w:rsidRDefault="00645D14" w:rsidP="00160148">
            <w:pPr>
              <w:pStyle w:val="BodyText"/>
              <w:numPr>
                <w:ilvl w:val="0"/>
                <w:numId w:val="7"/>
              </w:numPr>
              <w:spacing w:before="60" w:after="60"/>
              <w:ind w:left="376"/>
              <w:rPr>
                <w:rFonts w:cs="Times New Roman"/>
                <w:bCs/>
                <w:iCs/>
                <w:color w:val="000000"/>
                <w:szCs w:val="24"/>
                <w:lang w:val="fr-FR"/>
              </w:rPr>
            </w:pPr>
            <w:r w:rsidRPr="008E4B05">
              <w:rPr>
                <w:rFonts w:ascii="Times New Roman" w:hAnsi="Times New Roman" w:cs="Times New Roman"/>
                <w:szCs w:val="24"/>
                <w:lang w:val="fr-FR"/>
              </w:rPr>
              <w:t>Communauté Economique des Etats de l’Afrique de l’Ouest (CEDEAO)</w:t>
            </w:r>
            <w:bookmarkEnd w:id="0"/>
          </w:p>
        </w:tc>
      </w:tr>
      <w:tr w:rsidR="001648AB" w:rsidRPr="006A721B" w:rsidTr="00BF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bottom w:val="nil"/>
            </w:tcBorders>
            <w:shd w:val="clear" w:color="auto" w:fill="F2F2F2"/>
            <w:vAlign w:val="center"/>
          </w:tcPr>
          <w:p w:rsidR="001648AB" w:rsidRPr="006A721B" w:rsidRDefault="001648AB" w:rsidP="00046E24">
            <w:pPr>
              <w:pStyle w:val="H1"/>
              <w:jc w:val="center"/>
              <w:rPr>
                <w:rFonts w:cs="Times New Roman"/>
                <w:lang w:val="fr-FR"/>
              </w:rPr>
            </w:pPr>
            <w:r w:rsidRPr="006A721B">
              <w:rPr>
                <w:rFonts w:cs="Times New Roman"/>
                <w:lang w:val="fr-FR"/>
              </w:rPr>
              <w:t>Coût du Programme/du Projet (en dollars)</w:t>
            </w:r>
          </w:p>
        </w:tc>
        <w:tc>
          <w:tcPr>
            <w:tcW w:w="258" w:type="dxa"/>
            <w:tcBorders>
              <w:top w:val="nil"/>
              <w:bottom w:val="nil"/>
            </w:tcBorders>
            <w:vAlign w:val="center"/>
          </w:tcPr>
          <w:p w:rsidR="001648AB" w:rsidRPr="006A721B" w:rsidRDefault="001648AB" w:rsidP="00046E24">
            <w:pPr>
              <w:pStyle w:val="H1"/>
              <w:jc w:val="center"/>
              <w:rPr>
                <w:rFonts w:cs="Times New Roman"/>
                <w:lang w:val="fr-FR"/>
              </w:rPr>
            </w:pPr>
          </w:p>
        </w:tc>
        <w:tc>
          <w:tcPr>
            <w:tcW w:w="5332" w:type="dxa"/>
            <w:gridSpan w:val="2"/>
            <w:tcBorders>
              <w:bottom w:val="nil"/>
            </w:tcBorders>
            <w:shd w:val="clear" w:color="auto" w:fill="F2F2F2"/>
            <w:vAlign w:val="center"/>
          </w:tcPr>
          <w:p w:rsidR="001648AB" w:rsidRPr="006A721B" w:rsidRDefault="001648AB" w:rsidP="00046E24">
            <w:pPr>
              <w:pStyle w:val="H1"/>
              <w:jc w:val="center"/>
              <w:rPr>
                <w:rFonts w:cs="Times New Roman"/>
                <w:lang w:val="fr-FR"/>
              </w:rPr>
            </w:pPr>
            <w:r w:rsidRPr="006A721B">
              <w:rPr>
                <w:rFonts w:cs="Times New Roman"/>
                <w:lang w:val="fr-FR"/>
              </w:rPr>
              <w:t>Durée du Programme</w:t>
            </w:r>
          </w:p>
        </w:tc>
      </w:tr>
      <w:tr w:rsidR="001648AB" w:rsidRPr="006A721B" w:rsidTr="0065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328" w:type="dxa"/>
            <w:tcBorders>
              <w:top w:val="nil"/>
              <w:bottom w:val="nil"/>
              <w:right w:val="nil"/>
            </w:tcBorders>
            <w:vAlign w:val="center"/>
          </w:tcPr>
          <w:p w:rsidR="001648AB" w:rsidRPr="003E6235" w:rsidRDefault="001648AB" w:rsidP="006E12A1">
            <w:pPr>
              <w:pStyle w:val="H2"/>
              <w:rPr>
                <w:rFonts w:cs="Times New Roman"/>
                <w:sz w:val="20"/>
                <w:szCs w:val="20"/>
                <w:lang w:val="fr-FR"/>
              </w:rPr>
            </w:pPr>
            <w:r w:rsidRPr="003E6235">
              <w:rPr>
                <w:rFonts w:cs="Times New Roman"/>
                <w:sz w:val="20"/>
                <w:szCs w:val="20"/>
                <w:lang w:val="fr-FR"/>
              </w:rPr>
              <w:t>Budget total approuvé, par projet:</w:t>
            </w:r>
            <w:r w:rsidR="00DD73A5" w:rsidRPr="003E6235">
              <w:rPr>
                <w:rFonts w:cs="Times New Roman"/>
                <w:sz w:val="20"/>
                <w:szCs w:val="20"/>
                <w:lang w:val="fr-FR"/>
              </w:rPr>
              <w:t xml:space="preserve"> $</w:t>
            </w:r>
            <w:r w:rsidR="003E6235" w:rsidRPr="003E6235">
              <w:rPr>
                <w:rFonts w:cs="Times New Roman"/>
                <w:b w:val="0"/>
                <w:sz w:val="20"/>
                <w:szCs w:val="20"/>
                <w:lang w:val="fr-FR"/>
              </w:rPr>
              <w:t>9</w:t>
            </w:r>
            <w:r w:rsidR="00DD73A5" w:rsidRPr="003E6235">
              <w:rPr>
                <w:rFonts w:cs="Times New Roman"/>
                <w:b w:val="0"/>
                <w:sz w:val="20"/>
                <w:szCs w:val="20"/>
                <w:lang w:val="fr-FR"/>
              </w:rPr>
              <w:t>34.935 USD</w:t>
            </w:r>
          </w:p>
          <w:p w:rsidR="001648AB" w:rsidRPr="003E6235" w:rsidRDefault="001648AB" w:rsidP="00046E24">
            <w:pPr>
              <w:pStyle w:val="H2"/>
              <w:rPr>
                <w:rFonts w:cs="Times New Roman"/>
                <w:b w:val="0"/>
                <w:sz w:val="20"/>
                <w:szCs w:val="20"/>
                <w:lang w:val="fr-FR"/>
              </w:rPr>
            </w:pPr>
            <w:r w:rsidRPr="003E6235">
              <w:rPr>
                <w:rFonts w:cs="Times New Roman"/>
                <w:b w:val="0"/>
                <w:sz w:val="20"/>
                <w:szCs w:val="20"/>
                <w:lang w:val="fr-FR"/>
              </w:rPr>
              <w:t>Contribution MPTF/JP (JP= Programme conjoint)</w:t>
            </w:r>
            <w:r w:rsidRPr="003E6235">
              <w:rPr>
                <w:rStyle w:val="FootnoteReference"/>
                <w:b w:val="0"/>
                <w:sz w:val="20"/>
                <w:szCs w:val="20"/>
                <w:lang w:val="fr-FR"/>
              </w:rPr>
              <w:footnoteReference w:id="4"/>
            </w:r>
            <w:r w:rsidRPr="003E6235">
              <w:rPr>
                <w:rFonts w:cs="Times New Roman"/>
                <w:b w:val="0"/>
                <w:sz w:val="20"/>
                <w:szCs w:val="20"/>
                <w:lang w:val="fr-FR"/>
              </w:rPr>
              <w:t xml:space="preserve">: </w:t>
            </w:r>
            <w:r w:rsidR="003E6235" w:rsidRPr="003E6235">
              <w:rPr>
                <w:rFonts w:cs="Times New Roman"/>
                <w:sz w:val="20"/>
                <w:szCs w:val="20"/>
                <w:lang w:val="fr-FR"/>
              </w:rPr>
              <w:t xml:space="preserve">$ </w:t>
            </w:r>
            <w:r w:rsidR="003E6235" w:rsidRPr="003E6235">
              <w:rPr>
                <w:rFonts w:cs="Times New Roman"/>
                <w:b w:val="0"/>
                <w:sz w:val="20"/>
                <w:szCs w:val="20"/>
                <w:lang w:val="fr-FR"/>
              </w:rPr>
              <w:t xml:space="preserve">634.935 </w:t>
            </w:r>
            <w:r w:rsidR="003E6235" w:rsidRPr="003E6235">
              <w:rPr>
                <w:rFonts w:cs="Times New Roman"/>
                <w:b w:val="0"/>
                <w:sz w:val="20"/>
                <w:szCs w:val="20"/>
                <w:lang w:val="fr-FR"/>
              </w:rPr>
              <w:lastRenderedPageBreak/>
              <w:t>USD</w:t>
            </w:r>
          </w:p>
          <w:p w:rsidR="001648AB" w:rsidRPr="003E6235" w:rsidRDefault="001648AB" w:rsidP="000C5E6C">
            <w:pPr>
              <w:pStyle w:val="H2"/>
              <w:numPr>
                <w:ilvl w:val="0"/>
                <w:numId w:val="9"/>
              </w:numPr>
              <w:ind w:left="162" w:hanging="180"/>
              <w:rPr>
                <w:rFonts w:cs="Times New Roman"/>
                <w:i/>
                <w:sz w:val="20"/>
                <w:szCs w:val="20"/>
                <w:lang w:val="fr-FR"/>
              </w:rPr>
            </w:pPr>
            <w:r w:rsidRPr="003E6235">
              <w:rPr>
                <w:rFonts w:cs="Times New Roman"/>
                <w:b w:val="0"/>
                <w:i/>
                <w:sz w:val="20"/>
                <w:szCs w:val="20"/>
                <w:lang w:val="fr-FR"/>
              </w:rPr>
              <w:t xml:space="preserve">par </w:t>
            </w:r>
            <w:r w:rsidR="000C5E6C">
              <w:rPr>
                <w:rFonts w:cs="Times New Roman"/>
                <w:b w:val="0"/>
                <w:i/>
                <w:sz w:val="20"/>
                <w:szCs w:val="20"/>
                <w:lang w:val="fr-FR"/>
              </w:rPr>
              <w:t xml:space="preserve">institution : </w:t>
            </w:r>
            <w:r w:rsidR="003E6235">
              <w:rPr>
                <w:rFonts w:cs="Times New Roman"/>
                <w:b w:val="0"/>
                <w:i/>
                <w:sz w:val="20"/>
                <w:szCs w:val="20"/>
                <w:lang w:val="fr-FR"/>
              </w:rPr>
              <w:t>C</w:t>
            </w:r>
            <w:r w:rsidR="00D618DD">
              <w:rPr>
                <w:rFonts w:cs="Times New Roman"/>
                <w:b w:val="0"/>
                <w:i/>
                <w:sz w:val="20"/>
                <w:szCs w:val="20"/>
                <w:lang w:val="fr-FR"/>
              </w:rPr>
              <w:t>E</w:t>
            </w:r>
            <w:r w:rsidR="003E6235">
              <w:rPr>
                <w:rFonts w:cs="Times New Roman"/>
                <w:b w:val="0"/>
                <w:i/>
                <w:sz w:val="20"/>
                <w:szCs w:val="20"/>
                <w:lang w:val="fr-FR"/>
              </w:rPr>
              <w:t>DEAO 300.000 USD</w:t>
            </w:r>
          </w:p>
        </w:tc>
        <w:tc>
          <w:tcPr>
            <w:tcW w:w="1814" w:type="dxa"/>
            <w:tcBorders>
              <w:top w:val="nil"/>
              <w:left w:val="nil"/>
              <w:bottom w:val="nil"/>
            </w:tcBorders>
            <w:vAlign w:val="center"/>
          </w:tcPr>
          <w:p w:rsidR="001648AB" w:rsidRPr="006A721B" w:rsidRDefault="001648AB" w:rsidP="00046E24">
            <w:pPr>
              <w:pStyle w:val="BodyText"/>
              <w:rPr>
                <w:rFonts w:ascii="Times New Roman" w:hAnsi="Times New Roman"/>
                <w:color w:val="000000"/>
                <w:lang w:val="fr-FR"/>
              </w:rPr>
            </w:pPr>
          </w:p>
        </w:tc>
        <w:tc>
          <w:tcPr>
            <w:tcW w:w="258" w:type="dxa"/>
            <w:tcBorders>
              <w:top w:val="nil"/>
              <w:bottom w:val="nil"/>
            </w:tcBorders>
            <w:vAlign w:val="center"/>
          </w:tcPr>
          <w:p w:rsidR="001648AB" w:rsidRPr="006A721B" w:rsidRDefault="001648AB" w:rsidP="00046E24">
            <w:pPr>
              <w:pStyle w:val="BodyText"/>
              <w:rPr>
                <w:rFonts w:ascii="Times New Roman" w:hAnsi="Times New Roman"/>
                <w:lang w:val="fr-FR"/>
              </w:rPr>
            </w:pPr>
          </w:p>
        </w:tc>
        <w:tc>
          <w:tcPr>
            <w:tcW w:w="3881" w:type="dxa"/>
            <w:tcBorders>
              <w:top w:val="nil"/>
              <w:bottom w:val="nil"/>
              <w:right w:val="nil"/>
            </w:tcBorders>
            <w:vAlign w:val="center"/>
          </w:tcPr>
          <w:p w:rsidR="00DE6DA2" w:rsidRPr="00BF09A6" w:rsidRDefault="001648AB" w:rsidP="001F69EA">
            <w:pPr>
              <w:pStyle w:val="BodyText"/>
              <w:rPr>
                <w:rFonts w:ascii="Times New Roman" w:hAnsi="Times New Roman"/>
                <w:i/>
                <w:lang w:val="fr-FR"/>
              </w:rPr>
            </w:pPr>
            <w:r w:rsidRPr="00BF09A6">
              <w:rPr>
                <w:rFonts w:ascii="Times New Roman" w:hAnsi="Times New Roman"/>
                <w:lang w:val="fr-FR"/>
              </w:rPr>
              <w:t>Durée totale (</w:t>
            </w:r>
            <w:r w:rsidRPr="00BF09A6">
              <w:rPr>
                <w:rFonts w:ascii="Times New Roman" w:hAnsi="Times New Roman"/>
                <w:i/>
                <w:lang w:val="fr-FR"/>
              </w:rPr>
              <w:t>en mois)</w:t>
            </w:r>
            <w:r w:rsidR="00DE6DA2" w:rsidRPr="00BF09A6">
              <w:rPr>
                <w:rFonts w:ascii="Times New Roman" w:hAnsi="Times New Roman"/>
                <w:i/>
                <w:lang w:val="fr-FR"/>
              </w:rPr>
              <w:t> :</w:t>
            </w:r>
            <w:r w:rsidR="00D00D8E" w:rsidRPr="00BF09A6">
              <w:rPr>
                <w:rFonts w:ascii="Times New Roman" w:hAnsi="Times New Roman"/>
                <w:i/>
                <w:lang w:val="fr-FR"/>
              </w:rPr>
              <w:t>30</w:t>
            </w:r>
            <w:r w:rsidR="00DE6DA2" w:rsidRPr="00BF09A6">
              <w:rPr>
                <w:rFonts w:ascii="Times New Roman" w:hAnsi="Times New Roman"/>
                <w:i/>
                <w:lang w:val="fr-FR"/>
              </w:rPr>
              <w:t xml:space="preserve"> mois</w:t>
            </w:r>
          </w:p>
          <w:p w:rsidR="001648AB" w:rsidRPr="00160148" w:rsidRDefault="001648AB" w:rsidP="00D00D8E">
            <w:pPr>
              <w:pStyle w:val="BodyText"/>
              <w:rPr>
                <w:rFonts w:ascii="Times New Roman" w:hAnsi="Times New Roman"/>
                <w:i/>
                <w:highlight w:val="yellow"/>
                <w:lang w:val="fr-FR"/>
              </w:rPr>
            </w:pPr>
            <w:r w:rsidRPr="00BF09A6">
              <w:rPr>
                <w:rFonts w:ascii="Times New Roman" w:hAnsi="Times New Roman"/>
                <w:lang w:val="fr-FR"/>
              </w:rPr>
              <w:t>Date de démarrage</w:t>
            </w:r>
            <w:r w:rsidRPr="00BF09A6">
              <w:rPr>
                <w:rStyle w:val="FootnoteReference"/>
                <w:rFonts w:ascii="Times New Roman" w:hAnsi="Times New Roman" w:cs="Arial"/>
                <w:lang w:val="fr-FR"/>
              </w:rPr>
              <w:footnoteReference w:id="5"/>
            </w:r>
            <w:r w:rsidRPr="00BF09A6">
              <w:rPr>
                <w:rFonts w:ascii="Times New Roman" w:hAnsi="Times New Roman"/>
                <w:lang w:val="fr-FR"/>
              </w:rPr>
              <w:t xml:space="preserve"> </w:t>
            </w:r>
            <w:r w:rsidRPr="00BF09A6">
              <w:rPr>
                <w:rFonts w:ascii="Times New Roman" w:hAnsi="Times New Roman"/>
                <w:i/>
                <w:lang w:val="fr-FR"/>
              </w:rPr>
              <w:t>(jour/mois/année)</w:t>
            </w:r>
            <w:r w:rsidR="00DE6DA2" w:rsidRPr="00BF09A6">
              <w:rPr>
                <w:rFonts w:ascii="Times New Roman" w:hAnsi="Times New Roman"/>
                <w:i/>
                <w:lang w:val="fr-FR"/>
              </w:rPr>
              <w:t xml:space="preserve"> : </w:t>
            </w:r>
            <w:r w:rsidR="00D00D8E" w:rsidRPr="00BF09A6">
              <w:rPr>
                <w:rFonts w:ascii="Times New Roman" w:hAnsi="Times New Roman"/>
                <w:i/>
                <w:lang w:val="fr-FR"/>
              </w:rPr>
              <w:t>Juin</w:t>
            </w:r>
            <w:r w:rsidR="00DE6DA2" w:rsidRPr="00BF09A6">
              <w:rPr>
                <w:rFonts w:ascii="Times New Roman" w:hAnsi="Times New Roman"/>
                <w:i/>
                <w:lang w:val="fr-FR"/>
              </w:rPr>
              <w:t xml:space="preserve"> 2010</w:t>
            </w:r>
          </w:p>
        </w:tc>
        <w:tc>
          <w:tcPr>
            <w:tcW w:w="1451" w:type="dxa"/>
            <w:tcBorders>
              <w:top w:val="nil"/>
              <w:left w:val="nil"/>
              <w:bottom w:val="nil"/>
            </w:tcBorders>
            <w:vAlign w:val="center"/>
          </w:tcPr>
          <w:p w:rsidR="001648AB" w:rsidRPr="006A721B" w:rsidRDefault="001648AB" w:rsidP="00046E24">
            <w:pPr>
              <w:pStyle w:val="BodyText"/>
              <w:widowControl w:val="0"/>
              <w:rPr>
                <w:rFonts w:ascii="Times New Roman" w:hAnsi="Times New Roman"/>
                <w:lang w:val="fr-FR"/>
              </w:rPr>
            </w:pPr>
          </w:p>
        </w:tc>
      </w:tr>
      <w:tr w:rsidR="001648AB" w:rsidRPr="006A721B" w:rsidTr="0065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328" w:type="dxa"/>
            <w:tcBorders>
              <w:top w:val="nil"/>
              <w:bottom w:val="nil"/>
              <w:right w:val="nil"/>
            </w:tcBorders>
            <w:vAlign w:val="center"/>
          </w:tcPr>
          <w:p w:rsidR="001648AB" w:rsidRPr="003E6235" w:rsidRDefault="001648AB" w:rsidP="00046E24">
            <w:pPr>
              <w:pStyle w:val="H2"/>
              <w:rPr>
                <w:rFonts w:cs="Times New Roman"/>
                <w:b w:val="0"/>
                <w:sz w:val="20"/>
                <w:szCs w:val="20"/>
                <w:lang w:val="fr-FR"/>
              </w:rPr>
            </w:pPr>
            <w:r w:rsidRPr="003E6235">
              <w:rPr>
                <w:rFonts w:cs="Times New Roman"/>
                <w:b w:val="0"/>
                <w:sz w:val="20"/>
                <w:szCs w:val="20"/>
                <w:lang w:val="fr-FR"/>
              </w:rPr>
              <w:lastRenderedPageBreak/>
              <w:t>Contribution de l’institution concernée</w:t>
            </w:r>
            <w:r w:rsidRPr="003E6235">
              <w:rPr>
                <w:rFonts w:cs="Times New Roman"/>
                <w:sz w:val="20"/>
                <w:szCs w:val="20"/>
                <w:lang w:val="fr-FR"/>
              </w:rPr>
              <w:t xml:space="preserve"> </w:t>
            </w:r>
          </w:p>
          <w:p w:rsidR="003E6235" w:rsidRPr="003E6235" w:rsidRDefault="001648AB" w:rsidP="005824BA">
            <w:pPr>
              <w:pStyle w:val="H2"/>
              <w:numPr>
                <w:ilvl w:val="0"/>
                <w:numId w:val="8"/>
              </w:numPr>
              <w:ind w:left="162" w:hanging="162"/>
              <w:rPr>
                <w:rFonts w:cs="Times New Roman"/>
                <w:sz w:val="20"/>
                <w:szCs w:val="20"/>
                <w:lang w:val="fr-FR"/>
              </w:rPr>
            </w:pPr>
            <w:r w:rsidRPr="003E6235">
              <w:rPr>
                <w:rFonts w:cs="Times New Roman"/>
                <w:b w:val="0"/>
                <w:i/>
                <w:sz w:val="20"/>
                <w:szCs w:val="20"/>
                <w:lang w:val="fr-FR"/>
              </w:rPr>
              <w:t>par institution (le cas échéant)</w:t>
            </w:r>
          </w:p>
        </w:tc>
        <w:tc>
          <w:tcPr>
            <w:tcW w:w="1814" w:type="dxa"/>
            <w:tcBorders>
              <w:top w:val="nil"/>
              <w:left w:val="nil"/>
              <w:bottom w:val="nil"/>
            </w:tcBorders>
            <w:vAlign w:val="center"/>
          </w:tcPr>
          <w:p w:rsidR="001648AB" w:rsidRPr="006A721B" w:rsidRDefault="001648AB" w:rsidP="00046E24">
            <w:pPr>
              <w:pStyle w:val="BodyText"/>
              <w:rPr>
                <w:rFonts w:ascii="Times New Roman" w:hAnsi="Times New Roman"/>
                <w:color w:val="000000"/>
                <w:lang w:val="fr-FR"/>
              </w:rPr>
            </w:pPr>
          </w:p>
        </w:tc>
        <w:tc>
          <w:tcPr>
            <w:tcW w:w="258" w:type="dxa"/>
            <w:tcBorders>
              <w:top w:val="nil"/>
              <w:bottom w:val="nil"/>
            </w:tcBorders>
            <w:vAlign w:val="center"/>
          </w:tcPr>
          <w:p w:rsidR="001648AB" w:rsidRPr="006A721B" w:rsidRDefault="001648AB" w:rsidP="00046E24">
            <w:pPr>
              <w:pStyle w:val="BodyText"/>
              <w:rPr>
                <w:rFonts w:ascii="Times New Roman" w:hAnsi="Times New Roman"/>
                <w:lang w:val="fr-FR"/>
              </w:rPr>
            </w:pPr>
          </w:p>
        </w:tc>
        <w:tc>
          <w:tcPr>
            <w:tcW w:w="3881" w:type="dxa"/>
            <w:tcBorders>
              <w:top w:val="nil"/>
              <w:bottom w:val="nil"/>
              <w:right w:val="nil"/>
            </w:tcBorders>
            <w:vAlign w:val="center"/>
          </w:tcPr>
          <w:p w:rsidR="001648AB" w:rsidRPr="00BF09A6" w:rsidRDefault="001648AB" w:rsidP="00A6775C">
            <w:pPr>
              <w:pStyle w:val="BodyText"/>
              <w:rPr>
                <w:rFonts w:ascii="Times New Roman" w:hAnsi="Times New Roman"/>
                <w:lang w:val="fr-FR"/>
              </w:rPr>
            </w:pPr>
            <w:r w:rsidRPr="00BF09A6">
              <w:rPr>
                <w:rFonts w:ascii="Times New Roman" w:hAnsi="Times New Roman"/>
                <w:lang w:val="fr-FR"/>
              </w:rPr>
              <w:t>Date de fin prévue à l’origine</w:t>
            </w:r>
            <w:r w:rsidRPr="00BF09A6">
              <w:rPr>
                <w:rStyle w:val="FootnoteReference"/>
                <w:rFonts w:ascii="Times New Roman" w:hAnsi="Times New Roman" w:cs="Arial"/>
                <w:bCs/>
                <w:i/>
                <w:iCs/>
                <w:snapToGrid w:val="0"/>
                <w:sz w:val="18"/>
                <w:szCs w:val="18"/>
                <w:lang w:val="fr-FR"/>
              </w:rPr>
              <w:footnoteReference w:id="6"/>
            </w:r>
            <w:r w:rsidRPr="00BF09A6">
              <w:rPr>
                <w:rFonts w:ascii="Times New Roman" w:hAnsi="Times New Roman"/>
                <w:lang w:val="fr-FR"/>
              </w:rPr>
              <w:t xml:space="preserve"> </w:t>
            </w:r>
            <w:r w:rsidRPr="00BF09A6">
              <w:rPr>
                <w:rFonts w:ascii="Times New Roman" w:hAnsi="Times New Roman"/>
                <w:i/>
                <w:lang w:val="fr-FR"/>
              </w:rPr>
              <w:t>(jour/mois/année)</w:t>
            </w:r>
            <w:r w:rsidR="00DE6DA2" w:rsidRPr="00BF09A6">
              <w:rPr>
                <w:rFonts w:ascii="Times New Roman" w:hAnsi="Times New Roman"/>
                <w:i/>
                <w:lang w:val="fr-FR"/>
              </w:rPr>
              <w:t xml:space="preserve"> : </w:t>
            </w:r>
            <w:r w:rsidR="00A6775C" w:rsidRPr="00BF09A6">
              <w:rPr>
                <w:rFonts w:ascii="Times New Roman" w:hAnsi="Times New Roman"/>
                <w:i/>
                <w:lang w:val="fr-FR"/>
              </w:rPr>
              <w:t>Juillet 2013</w:t>
            </w:r>
          </w:p>
        </w:tc>
        <w:tc>
          <w:tcPr>
            <w:tcW w:w="1451" w:type="dxa"/>
            <w:tcBorders>
              <w:top w:val="nil"/>
              <w:left w:val="nil"/>
              <w:bottom w:val="nil"/>
            </w:tcBorders>
            <w:vAlign w:val="center"/>
          </w:tcPr>
          <w:p w:rsidR="001648AB" w:rsidRPr="006A721B" w:rsidRDefault="001648AB" w:rsidP="00046E24">
            <w:pPr>
              <w:pStyle w:val="BodyText"/>
              <w:rPr>
                <w:rFonts w:ascii="Times New Roman" w:hAnsi="Times New Roman"/>
                <w:lang w:val="fr-FR"/>
              </w:rPr>
            </w:pPr>
          </w:p>
        </w:tc>
      </w:tr>
      <w:tr w:rsidR="001648AB" w:rsidRPr="006A721B" w:rsidTr="0065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328" w:type="dxa"/>
            <w:tcBorders>
              <w:top w:val="nil"/>
              <w:bottom w:val="nil"/>
              <w:right w:val="nil"/>
            </w:tcBorders>
            <w:shd w:val="clear" w:color="auto" w:fill="D9D9D9"/>
            <w:vAlign w:val="center"/>
          </w:tcPr>
          <w:p w:rsidR="001648AB" w:rsidRPr="003E6235" w:rsidRDefault="001648AB" w:rsidP="003E6235">
            <w:pPr>
              <w:pStyle w:val="H2"/>
              <w:rPr>
                <w:rFonts w:cs="Times New Roman"/>
                <w:b w:val="0"/>
                <w:sz w:val="20"/>
                <w:szCs w:val="20"/>
                <w:lang w:val="fr-FR"/>
              </w:rPr>
            </w:pPr>
          </w:p>
        </w:tc>
        <w:tc>
          <w:tcPr>
            <w:tcW w:w="1814" w:type="dxa"/>
            <w:tcBorders>
              <w:top w:val="nil"/>
              <w:left w:val="nil"/>
              <w:bottom w:val="nil"/>
            </w:tcBorders>
            <w:shd w:val="clear" w:color="auto" w:fill="D9D9D9"/>
            <w:vAlign w:val="center"/>
          </w:tcPr>
          <w:p w:rsidR="001648AB" w:rsidRPr="006A721B" w:rsidRDefault="001648AB" w:rsidP="00046E24">
            <w:pPr>
              <w:pStyle w:val="BodyText"/>
              <w:rPr>
                <w:rFonts w:ascii="Times New Roman" w:hAnsi="Times New Roman"/>
                <w:color w:val="000000"/>
                <w:lang w:val="fr-FR"/>
              </w:rPr>
            </w:pPr>
          </w:p>
        </w:tc>
        <w:tc>
          <w:tcPr>
            <w:tcW w:w="258" w:type="dxa"/>
            <w:tcBorders>
              <w:top w:val="nil"/>
              <w:bottom w:val="nil"/>
            </w:tcBorders>
            <w:vAlign w:val="center"/>
          </w:tcPr>
          <w:p w:rsidR="001648AB" w:rsidRPr="006A721B" w:rsidRDefault="001648AB" w:rsidP="00046E24">
            <w:pPr>
              <w:pStyle w:val="BodyText"/>
              <w:rPr>
                <w:rFonts w:ascii="Times New Roman" w:hAnsi="Times New Roman"/>
                <w:lang w:val="fr-FR"/>
              </w:rPr>
            </w:pPr>
          </w:p>
        </w:tc>
        <w:tc>
          <w:tcPr>
            <w:tcW w:w="3881" w:type="dxa"/>
            <w:tcBorders>
              <w:top w:val="nil"/>
              <w:bottom w:val="nil"/>
              <w:right w:val="nil"/>
            </w:tcBorders>
            <w:vAlign w:val="center"/>
          </w:tcPr>
          <w:p w:rsidR="001648AB" w:rsidRPr="00BF09A6" w:rsidRDefault="001648AB" w:rsidP="00046E24">
            <w:pPr>
              <w:pStyle w:val="BodyText"/>
              <w:rPr>
                <w:rFonts w:ascii="Times New Roman" w:hAnsi="Times New Roman"/>
                <w:i/>
                <w:lang w:val="fr-FR"/>
              </w:rPr>
            </w:pPr>
            <w:r w:rsidRPr="00BF09A6">
              <w:rPr>
                <w:rFonts w:ascii="Times New Roman" w:hAnsi="Times New Roman"/>
                <w:lang w:val="fr-FR"/>
              </w:rPr>
              <w:t>Date de fin réelle</w:t>
            </w:r>
            <w:r w:rsidRPr="00BF09A6">
              <w:rPr>
                <w:rStyle w:val="FootnoteReference"/>
                <w:rFonts w:ascii="Times New Roman" w:hAnsi="Times New Roman" w:cs="Arial"/>
                <w:lang w:val="fr-FR"/>
              </w:rPr>
              <w:footnoteReference w:id="7"/>
            </w:r>
            <w:r w:rsidRPr="00BF09A6">
              <w:rPr>
                <w:rFonts w:ascii="Times New Roman" w:hAnsi="Times New Roman"/>
                <w:lang w:val="fr-FR"/>
              </w:rPr>
              <w:t xml:space="preserve"> </w:t>
            </w:r>
            <w:r w:rsidRPr="00BF09A6">
              <w:rPr>
                <w:rFonts w:ascii="Times New Roman" w:hAnsi="Times New Roman"/>
                <w:i/>
                <w:lang w:val="fr-FR"/>
              </w:rPr>
              <w:t>(jour/mois/année)</w:t>
            </w:r>
          </w:p>
          <w:p w:rsidR="001648AB" w:rsidRPr="00BF09A6" w:rsidRDefault="001648AB" w:rsidP="00046E24">
            <w:pPr>
              <w:pStyle w:val="BodyText"/>
              <w:rPr>
                <w:rFonts w:ascii="Times New Roman" w:hAnsi="Times New Roman"/>
                <w:lang w:val="fr-FR"/>
              </w:rPr>
            </w:pPr>
          </w:p>
          <w:p w:rsidR="001648AB" w:rsidRPr="00BF09A6" w:rsidRDefault="001648AB" w:rsidP="001F69EA">
            <w:pPr>
              <w:pStyle w:val="BodyText"/>
              <w:rPr>
                <w:rFonts w:ascii="Times New Roman" w:hAnsi="Times New Roman"/>
                <w:lang w:val="fr-FR"/>
              </w:rPr>
            </w:pPr>
            <w:r w:rsidRPr="00BF09A6">
              <w:rPr>
                <w:rFonts w:ascii="Times New Roman" w:hAnsi="Times New Roman"/>
                <w:lang w:val="fr-FR"/>
              </w:rPr>
              <w:t xml:space="preserve">Dans le cadre de son (ou de leur) système(s), les institutions d’exécution ont-elles procédé à la clôture opérationnelle du programme? </w:t>
            </w:r>
          </w:p>
        </w:tc>
        <w:tc>
          <w:tcPr>
            <w:tcW w:w="1451" w:type="dxa"/>
            <w:tcBorders>
              <w:top w:val="nil"/>
              <w:left w:val="nil"/>
              <w:bottom w:val="nil"/>
            </w:tcBorders>
            <w:vAlign w:val="center"/>
          </w:tcPr>
          <w:p w:rsidR="001648AB" w:rsidRPr="006A721B" w:rsidRDefault="001648AB" w:rsidP="00046E24">
            <w:pPr>
              <w:pStyle w:val="BodyText"/>
              <w:rPr>
                <w:rFonts w:ascii="Times New Roman" w:hAnsi="Times New Roman"/>
                <w:lang w:val="fr-FR"/>
              </w:rPr>
            </w:pPr>
          </w:p>
          <w:p w:rsidR="001648AB" w:rsidRPr="006A721B" w:rsidRDefault="001648AB" w:rsidP="00046E24">
            <w:pPr>
              <w:pStyle w:val="BodyText"/>
              <w:rPr>
                <w:rFonts w:ascii="Times New Roman" w:hAnsi="Times New Roman"/>
                <w:lang w:val="fr-FR"/>
              </w:rPr>
            </w:pPr>
          </w:p>
          <w:p w:rsidR="001648AB" w:rsidRPr="006A721B" w:rsidRDefault="001648AB" w:rsidP="00046E24">
            <w:pPr>
              <w:pStyle w:val="BodyText"/>
              <w:rPr>
                <w:rFonts w:ascii="Times New Roman" w:hAnsi="Times New Roman"/>
                <w:lang w:val="fr-FR"/>
              </w:rPr>
            </w:pPr>
          </w:p>
          <w:p w:rsidR="001648AB" w:rsidRPr="006A721B" w:rsidRDefault="007807AE" w:rsidP="001F69EA">
            <w:pPr>
              <w:pStyle w:val="BodyText"/>
              <w:rPr>
                <w:rFonts w:ascii="Times New Roman" w:hAnsi="Times New Roman"/>
                <w:lang w:val="fr-FR"/>
              </w:rPr>
            </w:pPr>
            <w:r>
              <w:rPr>
                <w:noProof/>
              </w:rPr>
              <mc:AlternateContent>
                <mc:Choice Requires="wps">
                  <w:drawing>
                    <wp:anchor distT="0" distB="0" distL="114300" distR="114300" simplePos="0" relativeHeight="251655680" behindDoc="0" locked="0" layoutInCell="1" allowOverlap="1" wp14:anchorId="3EF5F71C" wp14:editId="7D15B121">
                      <wp:simplePos x="0" y="0"/>
                      <wp:positionH relativeFrom="column">
                        <wp:posOffset>75565</wp:posOffset>
                      </wp:positionH>
                      <wp:positionV relativeFrom="paragraph">
                        <wp:posOffset>147320</wp:posOffset>
                      </wp:positionV>
                      <wp:extent cx="90805" cy="90805"/>
                      <wp:effectExtent l="0" t="0" r="23495" b="234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a:solidFill>
                                  <a:schemeClr val="tx1"/>
                                </a:solid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2" o:spid="_x0000_s1026" style="position:absolute;margin-left:5.95pt;margin-top:11.6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" fillcolor="black [3213]" strokecolor="black [3213]" strokeweight="2pt"/>
                  </w:pict>
                </mc:Fallback>
              </mc:AlternateContent>
            </w:r>
            <w:r>
              <w:rPr>
                <w:noProof/>
              </w:rPr>
              <mc:AlternateContent>
                <mc:Choice Requires="wps">
                  <w:drawing>
                    <wp:anchor distT="0" distB="0" distL="114300" distR="114300" simplePos="0" relativeHeight="251656704" behindDoc="0" locked="0" layoutInCell="1" allowOverlap="1" wp14:anchorId="44393586" wp14:editId="61C73D4E">
                      <wp:simplePos x="0" y="0"/>
                      <wp:positionH relativeFrom="column">
                        <wp:posOffset>326390</wp:posOffset>
                      </wp:positionH>
                      <wp:positionV relativeFrom="paragraph">
                        <wp:posOffset>156845</wp:posOffset>
                      </wp:positionV>
                      <wp:extent cx="90805" cy="90805"/>
                      <wp:effectExtent l="0" t="0" r="23495" b="2349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3" o:spid="_x0000_s1026" style="position:absolute;margin-left:25.7pt;margin-top:12.3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"/>
                  </w:pict>
                </mc:Fallback>
              </mc:AlternateContent>
            </w:r>
            <w:r w:rsidR="001648AB" w:rsidRPr="006A721B">
              <w:rPr>
                <w:rFonts w:ascii="Times New Roman" w:hAnsi="Times New Roman"/>
                <w:lang w:val="fr-FR"/>
              </w:rPr>
              <w:t>Oui Non</w:t>
            </w:r>
          </w:p>
        </w:tc>
      </w:tr>
      <w:tr w:rsidR="001648AB" w:rsidRPr="006A721B" w:rsidTr="0065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328" w:type="dxa"/>
            <w:tcBorders>
              <w:top w:val="nil"/>
              <w:bottom w:val="nil"/>
              <w:right w:val="nil"/>
            </w:tcBorders>
            <w:shd w:val="clear" w:color="auto" w:fill="D9D9D9"/>
            <w:vAlign w:val="center"/>
          </w:tcPr>
          <w:p w:rsidR="001648AB" w:rsidRPr="006A721B" w:rsidRDefault="001648AB" w:rsidP="003E6235">
            <w:pPr>
              <w:pStyle w:val="H2"/>
              <w:rPr>
                <w:rFonts w:cs="Times New Roman"/>
                <w:lang w:val="fr-FR"/>
              </w:rPr>
            </w:pPr>
          </w:p>
        </w:tc>
        <w:tc>
          <w:tcPr>
            <w:tcW w:w="1814" w:type="dxa"/>
            <w:tcBorders>
              <w:top w:val="nil"/>
              <w:left w:val="nil"/>
              <w:bottom w:val="nil"/>
            </w:tcBorders>
            <w:shd w:val="clear" w:color="auto" w:fill="D9D9D9"/>
            <w:vAlign w:val="center"/>
          </w:tcPr>
          <w:p w:rsidR="001648AB" w:rsidRPr="006A721B" w:rsidRDefault="001648AB" w:rsidP="00046E24">
            <w:pPr>
              <w:pStyle w:val="BodyText"/>
              <w:rPr>
                <w:rFonts w:ascii="Times New Roman" w:hAnsi="Times New Roman"/>
                <w:color w:val="000000"/>
                <w:lang w:val="fr-FR"/>
              </w:rPr>
            </w:pPr>
          </w:p>
        </w:tc>
        <w:tc>
          <w:tcPr>
            <w:tcW w:w="258" w:type="dxa"/>
            <w:tcBorders>
              <w:top w:val="nil"/>
              <w:bottom w:val="nil"/>
            </w:tcBorders>
            <w:vAlign w:val="center"/>
          </w:tcPr>
          <w:p w:rsidR="001648AB" w:rsidRPr="006A721B" w:rsidRDefault="001648AB" w:rsidP="00046E24">
            <w:pPr>
              <w:pStyle w:val="BodyText"/>
              <w:rPr>
                <w:rFonts w:ascii="Times New Roman" w:hAnsi="Times New Roman"/>
                <w:lang w:val="fr-FR"/>
              </w:rPr>
            </w:pPr>
          </w:p>
        </w:tc>
        <w:tc>
          <w:tcPr>
            <w:tcW w:w="3881" w:type="dxa"/>
            <w:tcBorders>
              <w:top w:val="nil"/>
              <w:bottom w:val="nil"/>
              <w:right w:val="nil"/>
            </w:tcBorders>
            <w:vAlign w:val="center"/>
          </w:tcPr>
          <w:p w:rsidR="001648AB" w:rsidRPr="006A721B" w:rsidRDefault="001648AB" w:rsidP="00647E82">
            <w:pPr>
              <w:pStyle w:val="BodyText"/>
              <w:rPr>
                <w:rFonts w:ascii="Times New Roman" w:hAnsi="Times New Roman"/>
                <w:lang w:val="fr-FR"/>
              </w:rPr>
            </w:pPr>
            <w:r w:rsidRPr="006A721B">
              <w:rPr>
                <w:rFonts w:ascii="Times New Roman" w:hAnsi="Times New Roman"/>
                <w:lang w:val="fr-FR"/>
              </w:rPr>
              <w:t>Date de clôture financière prévue</w:t>
            </w:r>
            <w:r w:rsidRPr="006A721B">
              <w:rPr>
                <w:rStyle w:val="FootnoteReference"/>
                <w:rFonts w:ascii="Times New Roman" w:hAnsi="Times New Roman" w:cs="Arial"/>
                <w:lang w:val="fr-FR"/>
              </w:rPr>
              <w:footnoteReference w:id="8"/>
            </w:r>
            <w:r w:rsidRPr="006A721B">
              <w:rPr>
                <w:rFonts w:ascii="Times New Roman" w:hAnsi="Times New Roman"/>
                <w:lang w:val="fr-FR"/>
              </w:rPr>
              <w:t xml:space="preserve">: </w:t>
            </w:r>
            <w:r w:rsidR="00287D0A">
              <w:rPr>
                <w:rFonts w:ascii="Times New Roman" w:hAnsi="Times New Roman"/>
                <w:lang w:val="fr-FR"/>
              </w:rPr>
              <w:t>Mars 2014</w:t>
            </w:r>
            <w:bookmarkStart w:id="1" w:name="_GoBack"/>
            <w:bookmarkEnd w:id="1"/>
          </w:p>
        </w:tc>
        <w:tc>
          <w:tcPr>
            <w:tcW w:w="1451" w:type="dxa"/>
            <w:tcBorders>
              <w:top w:val="nil"/>
              <w:left w:val="nil"/>
              <w:bottom w:val="nil"/>
            </w:tcBorders>
            <w:vAlign w:val="center"/>
          </w:tcPr>
          <w:p w:rsidR="001648AB" w:rsidRPr="006A721B" w:rsidRDefault="001648AB" w:rsidP="00046E24">
            <w:pPr>
              <w:pStyle w:val="BodyText"/>
              <w:rPr>
                <w:rFonts w:ascii="Times New Roman" w:hAnsi="Times New Roman"/>
                <w:lang w:val="fr-FR"/>
              </w:rPr>
            </w:pPr>
          </w:p>
        </w:tc>
      </w:tr>
      <w:tr w:rsidR="001648AB" w:rsidRPr="006A721B" w:rsidTr="00657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328" w:type="dxa"/>
            <w:tcBorders>
              <w:top w:val="nil"/>
              <w:right w:val="nil"/>
            </w:tcBorders>
            <w:vAlign w:val="center"/>
          </w:tcPr>
          <w:p w:rsidR="001648AB" w:rsidRPr="006A721B" w:rsidRDefault="001648AB" w:rsidP="003E6235">
            <w:pPr>
              <w:pStyle w:val="H2"/>
              <w:rPr>
                <w:rFonts w:cs="Times New Roman"/>
                <w:sz w:val="20"/>
                <w:szCs w:val="20"/>
                <w:lang w:val="fr-FR"/>
              </w:rPr>
            </w:pPr>
          </w:p>
        </w:tc>
        <w:tc>
          <w:tcPr>
            <w:tcW w:w="1814" w:type="dxa"/>
            <w:tcBorders>
              <w:top w:val="nil"/>
              <w:left w:val="nil"/>
            </w:tcBorders>
            <w:vAlign w:val="center"/>
          </w:tcPr>
          <w:p w:rsidR="001648AB" w:rsidRPr="006A721B" w:rsidRDefault="001648AB" w:rsidP="00046E24">
            <w:pPr>
              <w:pStyle w:val="BodyText"/>
              <w:rPr>
                <w:rFonts w:ascii="Times New Roman" w:hAnsi="Times New Roman"/>
                <w:color w:val="000000"/>
                <w:lang w:val="fr-FR"/>
              </w:rPr>
            </w:pPr>
          </w:p>
        </w:tc>
        <w:tc>
          <w:tcPr>
            <w:tcW w:w="258" w:type="dxa"/>
            <w:tcBorders>
              <w:top w:val="nil"/>
              <w:bottom w:val="nil"/>
            </w:tcBorders>
            <w:vAlign w:val="center"/>
          </w:tcPr>
          <w:p w:rsidR="001648AB" w:rsidRPr="006A721B" w:rsidRDefault="001648AB" w:rsidP="00046E24">
            <w:pPr>
              <w:pStyle w:val="BodyText"/>
              <w:rPr>
                <w:rFonts w:ascii="Times New Roman" w:hAnsi="Times New Roman"/>
                <w:lang w:val="fr-FR"/>
              </w:rPr>
            </w:pPr>
          </w:p>
        </w:tc>
        <w:tc>
          <w:tcPr>
            <w:tcW w:w="3881" w:type="dxa"/>
            <w:tcBorders>
              <w:top w:val="nil"/>
              <w:right w:val="nil"/>
            </w:tcBorders>
            <w:vAlign w:val="center"/>
          </w:tcPr>
          <w:p w:rsidR="001648AB" w:rsidRPr="006A721B" w:rsidRDefault="001648AB" w:rsidP="00046E24">
            <w:pPr>
              <w:pStyle w:val="BodyText"/>
              <w:rPr>
                <w:rFonts w:ascii="Times New Roman" w:hAnsi="Times New Roman"/>
                <w:color w:val="000000"/>
                <w:lang w:val="fr-FR"/>
              </w:rPr>
            </w:pPr>
          </w:p>
        </w:tc>
        <w:tc>
          <w:tcPr>
            <w:tcW w:w="1451" w:type="dxa"/>
            <w:tcBorders>
              <w:top w:val="nil"/>
              <w:left w:val="nil"/>
            </w:tcBorders>
            <w:vAlign w:val="center"/>
          </w:tcPr>
          <w:p w:rsidR="001648AB" w:rsidRPr="006A721B" w:rsidRDefault="001648AB" w:rsidP="00046E24">
            <w:pPr>
              <w:pStyle w:val="BodyText"/>
              <w:rPr>
                <w:rFonts w:ascii="Times New Roman" w:hAnsi="Times New Roman"/>
                <w:lang w:val="fr-FR"/>
              </w:rPr>
            </w:pPr>
          </w:p>
        </w:tc>
      </w:tr>
    </w:tbl>
    <w:p w:rsidR="001648AB" w:rsidRPr="006A721B" w:rsidRDefault="001648AB"/>
    <w:tbl>
      <w:tblPr>
        <w:tblW w:w="10732" w:type="dxa"/>
        <w:tblInd w:w="-72" w:type="dxa"/>
        <w:tblLayout w:type="fixed"/>
        <w:tblLook w:val="01E0" w:firstRow="1" w:lastRow="1" w:firstColumn="1" w:lastColumn="1" w:noHBand="0" w:noVBand="0"/>
      </w:tblPr>
      <w:tblGrid>
        <w:gridCol w:w="5142"/>
        <w:gridCol w:w="258"/>
        <w:gridCol w:w="5332"/>
      </w:tblGrid>
      <w:tr w:rsidR="001648AB" w:rsidRPr="006A721B" w:rsidTr="00C30680">
        <w:trPr>
          <w:trHeight w:val="625"/>
        </w:trPr>
        <w:tc>
          <w:tcPr>
            <w:tcW w:w="5142" w:type="dxa"/>
            <w:tcBorders>
              <w:top w:val="single" w:sz="4" w:space="0" w:color="auto"/>
              <w:left w:val="single" w:sz="4" w:space="0" w:color="auto"/>
              <w:right w:val="single" w:sz="4" w:space="0" w:color="auto"/>
            </w:tcBorders>
            <w:shd w:val="clear" w:color="auto" w:fill="F3F3F3"/>
          </w:tcPr>
          <w:p w:rsidR="001648AB" w:rsidRPr="00C30680" w:rsidRDefault="001648AB" w:rsidP="00647E82">
            <w:pPr>
              <w:pStyle w:val="H1"/>
              <w:ind w:right="-120" w:hanging="70"/>
              <w:jc w:val="center"/>
              <w:rPr>
                <w:rFonts w:cs="Times New Roman"/>
                <w:lang w:val="fr-FR"/>
              </w:rPr>
            </w:pPr>
            <w:r w:rsidRPr="00C30680">
              <w:rPr>
                <w:rFonts w:cs="Times New Roman"/>
                <w:lang w:val="fr-FR"/>
              </w:rPr>
              <w:t>Évaluation du programme /examen/évaluation à mi-parcours</w:t>
            </w:r>
          </w:p>
        </w:tc>
        <w:tc>
          <w:tcPr>
            <w:tcW w:w="258" w:type="dxa"/>
            <w:vMerge w:val="restart"/>
            <w:tcBorders>
              <w:left w:val="single" w:sz="4" w:space="0" w:color="auto"/>
              <w:right w:val="single" w:sz="4" w:space="0" w:color="auto"/>
            </w:tcBorders>
          </w:tcPr>
          <w:p w:rsidR="001648AB" w:rsidRPr="006A721B" w:rsidRDefault="001648AB" w:rsidP="00647E82"/>
        </w:tc>
        <w:tc>
          <w:tcPr>
            <w:tcW w:w="5332" w:type="dxa"/>
            <w:tcBorders>
              <w:top w:val="single" w:sz="4" w:space="0" w:color="auto"/>
              <w:left w:val="single" w:sz="4" w:space="0" w:color="auto"/>
              <w:right w:val="single" w:sz="4" w:space="0" w:color="auto"/>
            </w:tcBorders>
            <w:shd w:val="clear" w:color="auto" w:fill="F3F3F3"/>
          </w:tcPr>
          <w:p w:rsidR="001648AB" w:rsidRPr="006A721B" w:rsidRDefault="001648AB" w:rsidP="00647E82">
            <w:pPr>
              <w:pStyle w:val="H1"/>
              <w:jc w:val="center"/>
              <w:rPr>
                <w:rFonts w:cs="Times New Roman"/>
                <w:lang w:val="fr-FR"/>
              </w:rPr>
            </w:pPr>
            <w:r w:rsidRPr="006A721B">
              <w:rPr>
                <w:bCs w:val="0"/>
                <w:lang w:val="fr-FR"/>
              </w:rPr>
              <w:t>Rapport soumis par</w:t>
            </w:r>
          </w:p>
        </w:tc>
      </w:tr>
      <w:tr w:rsidR="001648AB" w:rsidRPr="006A721B" w:rsidTr="00BF67E9">
        <w:trPr>
          <w:trHeight w:val="285"/>
        </w:trPr>
        <w:tc>
          <w:tcPr>
            <w:tcW w:w="5142" w:type="dxa"/>
            <w:tcBorders>
              <w:left w:val="single" w:sz="4" w:space="0" w:color="auto"/>
              <w:bottom w:val="single" w:sz="4" w:space="0" w:color="auto"/>
              <w:right w:val="single" w:sz="4" w:space="0" w:color="auto"/>
            </w:tcBorders>
          </w:tcPr>
          <w:p w:rsidR="001648AB" w:rsidRPr="00C30680" w:rsidRDefault="001648AB" w:rsidP="00647E82">
            <w:pPr>
              <w:pStyle w:val="BodyText"/>
              <w:rPr>
                <w:rFonts w:ascii="Times New Roman" w:hAnsi="Times New Roman" w:cs="Times New Roman"/>
                <w:bCs/>
                <w:i/>
                <w:iCs/>
                <w:snapToGrid w:val="0"/>
                <w:sz w:val="22"/>
                <w:szCs w:val="22"/>
                <w:lang w:val="fr-FR"/>
              </w:rPr>
            </w:pPr>
            <w:r w:rsidRPr="00C30680">
              <w:rPr>
                <w:rFonts w:ascii="Times New Roman" w:hAnsi="Times New Roman"/>
                <w:sz w:val="22"/>
                <w:szCs w:val="22"/>
                <w:lang w:val="fr-FR"/>
              </w:rPr>
              <w:t>Évaluation achevée</w:t>
            </w:r>
          </w:p>
          <w:p w:rsidR="001648AB" w:rsidRPr="00C30680" w:rsidRDefault="007807AE" w:rsidP="00647E82">
            <w:pPr>
              <w:pStyle w:val="BodyText"/>
              <w:rPr>
                <w:rFonts w:ascii="Times New Roman" w:hAnsi="Times New Roman"/>
                <w:sz w:val="22"/>
                <w:szCs w:val="22"/>
                <w:lang w:val="fr-FR"/>
              </w:rPr>
            </w:pPr>
            <w:r w:rsidRPr="00C30680">
              <w:rPr>
                <w:noProof/>
              </w:rPr>
              <mc:AlternateContent>
                <mc:Choice Requires="wps">
                  <w:drawing>
                    <wp:anchor distT="0" distB="0" distL="114300" distR="114300" simplePos="0" relativeHeight="251657728" behindDoc="0" locked="0" layoutInCell="1" allowOverlap="1" wp14:anchorId="3AF61558" wp14:editId="0D9DAF15">
                      <wp:simplePos x="0" y="0"/>
                      <wp:positionH relativeFrom="column">
                        <wp:posOffset>524510</wp:posOffset>
                      </wp:positionH>
                      <wp:positionV relativeFrom="paragraph">
                        <wp:posOffset>17145</wp:posOffset>
                      </wp:positionV>
                      <wp:extent cx="90805" cy="90805"/>
                      <wp:effectExtent l="0" t="0" r="23495" b="234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3pt;margin-top:1.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" fillcolor="black [3213]"/>
                  </w:pict>
                </mc:Fallback>
              </mc:AlternateContent>
            </w:r>
            <w:r w:rsidRPr="00C30680">
              <w:rPr>
                <w:noProof/>
              </w:rPr>
              <mc:AlternateContent>
                <mc:Choice Requires="wps">
                  <w:drawing>
                    <wp:anchor distT="0" distB="0" distL="114300" distR="114300" simplePos="0" relativeHeight="251660800" behindDoc="0" locked="0" layoutInCell="1" allowOverlap="1" wp14:anchorId="7552717F" wp14:editId="76D9102A">
                      <wp:simplePos x="0" y="0"/>
                      <wp:positionH relativeFrom="column">
                        <wp:posOffset>-8890</wp:posOffset>
                      </wp:positionH>
                      <wp:positionV relativeFrom="paragraph">
                        <wp:posOffset>17145</wp:posOffset>
                      </wp:positionV>
                      <wp:extent cx="90805" cy="90805"/>
                      <wp:effectExtent l="0" t="0" r="23495" b="234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pt;margin-top:1.3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E/GwIAADk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"/>
                  </w:pict>
                </mc:Fallback>
              </mc:AlternateContent>
            </w:r>
            <w:r w:rsidR="001648AB" w:rsidRPr="00C30680">
              <w:rPr>
                <w:rFonts w:ascii="Times New Roman" w:hAnsi="Times New Roman"/>
                <w:sz w:val="22"/>
                <w:szCs w:val="22"/>
                <w:lang w:val="fr-FR"/>
              </w:rPr>
              <w:t xml:space="preserve">     Oui         Non     Date: </w:t>
            </w:r>
            <w:r w:rsidR="001648AB" w:rsidRPr="00C30680">
              <w:rPr>
                <w:rFonts w:ascii="Times New Roman" w:hAnsi="Times New Roman"/>
                <w:i/>
                <w:sz w:val="22"/>
                <w:szCs w:val="22"/>
                <w:lang w:val="fr-FR"/>
              </w:rPr>
              <w:t>jour/mois/année</w:t>
            </w:r>
          </w:p>
          <w:p w:rsidR="001648AB" w:rsidRPr="00C30680" w:rsidRDefault="001648AB" w:rsidP="00647E82">
            <w:pPr>
              <w:pStyle w:val="BodyText"/>
              <w:rPr>
                <w:rFonts w:ascii="Times New Roman" w:hAnsi="Times New Roman"/>
                <w:sz w:val="22"/>
                <w:szCs w:val="22"/>
                <w:lang w:val="fr-FR"/>
              </w:rPr>
            </w:pPr>
            <w:r w:rsidRPr="00C30680">
              <w:rPr>
                <w:rFonts w:ascii="Times New Roman" w:hAnsi="Times New Roman"/>
                <w:sz w:val="22"/>
                <w:szCs w:val="22"/>
                <w:lang w:val="fr-FR"/>
              </w:rPr>
              <w:t>Rapport d’évaluation - joint</w:t>
            </w:r>
            <w:r w:rsidRPr="00C30680">
              <w:rPr>
                <w:rFonts w:ascii="Times New Roman" w:hAnsi="Times New Roman"/>
                <w:b/>
                <w:sz w:val="22"/>
                <w:szCs w:val="22"/>
                <w:lang w:val="fr-FR"/>
              </w:rPr>
              <w:t xml:space="preserve"> </w:t>
            </w:r>
          </w:p>
          <w:p w:rsidR="001648AB" w:rsidRPr="00C30680" w:rsidRDefault="007807AE" w:rsidP="00647E82">
            <w:pPr>
              <w:pStyle w:val="BodyText"/>
              <w:rPr>
                <w:rFonts w:ascii="Times New Roman" w:hAnsi="Times New Roman"/>
                <w:sz w:val="22"/>
                <w:szCs w:val="22"/>
                <w:lang w:val="fr-FR"/>
              </w:rPr>
            </w:pPr>
            <w:r w:rsidRPr="00C30680">
              <w:rPr>
                <w:noProof/>
              </w:rPr>
              <mc:AlternateContent>
                <mc:Choice Requires="wps">
                  <w:drawing>
                    <wp:anchor distT="0" distB="0" distL="114300" distR="114300" simplePos="0" relativeHeight="251659776" behindDoc="0" locked="0" layoutInCell="1" allowOverlap="1" wp14:anchorId="004E2534" wp14:editId="50F5FECD">
                      <wp:simplePos x="0" y="0"/>
                      <wp:positionH relativeFrom="column">
                        <wp:posOffset>519430</wp:posOffset>
                      </wp:positionH>
                      <wp:positionV relativeFrom="paragraph">
                        <wp:posOffset>20320</wp:posOffset>
                      </wp:positionV>
                      <wp:extent cx="90805" cy="90805"/>
                      <wp:effectExtent l="0" t="0" r="23495" b="234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9pt;margin-top:1.6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" fillcolor="black [3213]"/>
                  </w:pict>
                </mc:Fallback>
              </mc:AlternateContent>
            </w:r>
            <w:r w:rsidRPr="00C30680">
              <w:rPr>
                <w:noProof/>
              </w:rPr>
              <mc:AlternateContent>
                <mc:Choice Requires="wps">
                  <w:drawing>
                    <wp:anchor distT="0" distB="0" distL="114300" distR="114300" simplePos="0" relativeHeight="251658752" behindDoc="0" locked="0" layoutInCell="1" allowOverlap="1" wp14:anchorId="083CE02F" wp14:editId="2271278B">
                      <wp:simplePos x="0" y="0"/>
                      <wp:positionH relativeFrom="column">
                        <wp:posOffset>-8890</wp:posOffset>
                      </wp:positionH>
                      <wp:positionV relativeFrom="paragraph">
                        <wp:posOffset>20955</wp:posOffset>
                      </wp:positionV>
                      <wp:extent cx="90805" cy="90805"/>
                      <wp:effectExtent l="0" t="0" r="23495"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pt;margin-top:1.6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B4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"/>
                  </w:pict>
                </mc:Fallback>
              </mc:AlternateContent>
            </w:r>
            <w:r w:rsidR="001648AB" w:rsidRPr="00C30680">
              <w:rPr>
                <w:rFonts w:ascii="Times New Roman" w:hAnsi="Times New Roman"/>
                <w:sz w:val="22"/>
                <w:szCs w:val="22"/>
                <w:lang w:val="fr-FR"/>
              </w:rPr>
              <w:t xml:space="preserve">     Oui        Non     Date: </w:t>
            </w:r>
            <w:r w:rsidR="001648AB" w:rsidRPr="00C30680">
              <w:rPr>
                <w:rFonts w:ascii="Times New Roman" w:hAnsi="Times New Roman"/>
                <w:i/>
                <w:sz w:val="22"/>
                <w:szCs w:val="22"/>
                <w:lang w:val="fr-FR"/>
              </w:rPr>
              <w:t>jour/mois/année</w:t>
            </w:r>
          </w:p>
        </w:tc>
        <w:tc>
          <w:tcPr>
            <w:tcW w:w="258" w:type="dxa"/>
            <w:vMerge/>
            <w:tcBorders>
              <w:left w:val="single" w:sz="4" w:space="0" w:color="auto"/>
              <w:right w:val="single" w:sz="4" w:space="0" w:color="auto"/>
            </w:tcBorders>
          </w:tcPr>
          <w:p w:rsidR="001648AB" w:rsidRPr="006A721B" w:rsidRDefault="001648AB" w:rsidP="00647E82">
            <w:pPr>
              <w:pStyle w:val="BodyText"/>
              <w:rPr>
                <w:rFonts w:ascii="Times New Roman" w:hAnsi="Times New Roman"/>
                <w:sz w:val="22"/>
                <w:szCs w:val="22"/>
                <w:lang w:val="fr-FR"/>
              </w:rPr>
            </w:pPr>
          </w:p>
        </w:tc>
        <w:tc>
          <w:tcPr>
            <w:tcW w:w="5332" w:type="dxa"/>
            <w:tcBorders>
              <w:left w:val="single" w:sz="4" w:space="0" w:color="auto"/>
              <w:bottom w:val="single" w:sz="4" w:space="0" w:color="auto"/>
              <w:right w:val="single" w:sz="4" w:space="0" w:color="auto"/>
            </w:tcBorders>
          </w:tcPr>
          <w:p w:rsidR="001648AB" w:rsidRPr="00C30680" w:rsidRDefault="001648AB" w:rsidP="00647E82">
            <w:pPr>
              <w:numPr>
                <w:ilvl w:val="0"/>
                <w:numId w:val="10"/>
              </w:numPr>
              <w:ind w:left="342"/>
            </w:pPr>
            <w:r w:rsidRPr="00C30680">
              <w:rPr>
                <w:sz w:val="22"/>
                <w:szCs w:val="22"/>
              </w:rPr>
              <w:t>Nom:</w:t>
            </w:r>
            <w:r w:rsidR="00C30680" w:rsidRPr="00C30680">
              <w:rPr>
                <w:sz w:val="22"/>
                <w:szCs w:val="22"/>
              </w:rPr>
              <w:t xml:space="preserve"> Adama-Dian Barry</w:t>
            </w:r>
          </w:p>
          <w:p w:rsidR="001648AB" w:rsidRPr="00C30680" w:rsidRDefault="001648AB" w:rsidP="00647E82">
            <w:pPr>
              <w:numPr>
                <w:ilvl w:val="0"/>
                <w:numId w:val="10"/>
              </w:numPr>
              <w:ind w:left="342"/>
            </w:pPr>
            <w:r w:rsidRPr="00C30680">
              <w:rPr>
                <w:sz w:val="22"/>
                <w:szCs w:val="22"/>
              </w:rPr>
              <w:t>Titre:</w:t>
            </w:r>
            <w:r w:rsidR="00C30680" w:rsidRPr="00C30680">
              <w:rPr>
                <w:sz w:val="22"/>
                <w:szCs w:val="22"/>
              </w:rPr>
              <w:t xml:space="preserve"> Chargée de Programme consolidation de la paix</w:t>
            </w:r>
          </w:p>
          <w:p w:rsidR="001648AB" w:rsidRPr="00C30680" w:rsidRDefault="001648AB" w:rsidP="00647E82">
            <w:pPr>
              <w:numPr>
                <w:ilvl w:val="0"/>
                <w:numId w:val="10"/>
              </w:numPr>
              <w:ind w:left="342"/>
            </w:pPr>
            <w:r w:rsidRPr="00C30680">
              <w:rPr>
                <w:sz w:val="22"/>
                <w:szCs w:val="22"/>
              </w:rPr>
              <w:t>Organisation participante (principale):</w:t>
            </w:r>
            <w:r w:rsidR="00C30680" w:rsidRPr="00C30680">
              <w:rPr>
                <w:sz w:val="22"/>
                <w:szCs w:val="22"/>
              </w:rPr>
              <w:t xml:space="preserve"> PNUD</w:t>
            </w:r>
          </w:p>
          <w:p w:rsidR="001648AB" w:rsidRPr="00C30680" w:rsidRDefault="001648AB" w:rsidP="00647E82">
            <w:pPr>
              <w:pStyle w:val="BodyText"/>
              <w:numPr>
                <w:ilvl w:val="0"/>
                <w:numId w:val="10"/>
              </w:numPr>
              <w:spacing w:after="120"/>
              <w:ind w:left="342"/>
              <w:jc w:val="both"/>
              <w:rPr>
                <w:rFonts w:ascii="Times New Roman" w:hAnsi="Times New Roman"/>
                <w:b/>
                <w:bCs/>
                <w:snapToGrid w:val="0"/>
                <w:kern w:val="32"/>
                <w:sz w:val="22"/>
                <w:szCs w:val="22"/>
                <w:lang w:val="fr-FR"/>
              </w:rPr>
            </w:pPr>
            <w:r w:rsidRPr="00C30680">
              <w:rPr>
                <w:rFonts w:ascii="Times New Roman" w:hAnsi="Times New Roman"/>
                <w:sz w:val="22"/>
                <w:szCs w:val="22"/>
                <w:lang w:val="fr-FR"/>
              </w:rPr>
              <w:t>Adresse e-mail:</w:t>
            </w:r>
            <w:r w:rsidR="00C30680" w:rsidRPr="00C30680">
              <w:rPr>
                <w:rFonts w:ascii="Times New Roman" w:hAnsi="Times New Roman"/>
                <w:sz w:val="22"/>
                <w:szCs w:val="22"/>
                <w:lang w:val="fr-FR"/>
              </w:rPr>
              <w:t>adama.dian.barry@undp.org</w:t>
            </w:r>
          </w:p>
          <w:p w:rsidR="00C30680" w:rsidRPr="006A721B" w:rsidRDefault="00C30680" w:rsidP="00C30680">
            <w:pPr>
              <w:pStyle w:val="BodyText"/>
              <w:spacing w:after="120"/>
              <w:ind w:left="-18"/>
              <w:jc w:val="both"/>
              <w:rPr>
                <w:rFonts w:ascii="Times New Roman" w:hAnsi="Times New Roman"/>
                <w:b/>
                <w:bCs/>
                <w:snapToGrid w:val="0"/>
                <w:kern w:val="32"/>
                <w:sz w:val="22"/>
                <w:szCs w:val="22"/>
                <w:lang w:val="fr-FR"/>
              </w:rPr>
            </w:pPr>
          </w:p>
        </w:tc>
      </w:tr>
    </w:tbl>
    <w:p w:rsidR="001648AB" w:rsidRPr="006A721B" w:rsidRDefault="001648AB" w:rsidP="00DD025C">
      <w:pPr>
        <w:rPr>
          <w:b/>
          <w:bCs/>
          <w:caps/>
          <w:sz w:val="20"/>
          <w:szCs w:val="20"/>
        </w:rPr>
      </w:pPr>
    </w:p>
    <w:p w:rsidR="001648AB" w:rsidRPr="006A721B" w:rsidRDefault="001648AB" w:rsidP="00DD025C">
      <w:pPr>
        <w:pStyle w:val="Heading1"/>
        <w:tabs>
          <w:tab w:val="left" w:pos="360"/>
        </w:tabs>
        <w:ind w:left="0"/>
        <w:jc w:val="center"/>
        <w:rPr>
          <w:rFonts w:ascii="Times New Roman" w:hAnsi="Times New Roman"/>
          <w:u w:val="single"/>
        </w:rPr>
      </w:pPr>
      <w:r w:rsidRPr="006A721B">
        <w:rPr>
          <w:rFonts w:ascii="Times New Roman" w:hAnsi="Times New Roman"/>
          <w:u w:val="single"/>
        </w:rPr>
        <w:br w:type="page"/>
      </w:r>
      <w:bookmarkStart w:id="2" w:name="_Toc249364482"/>
    </w:p>
    <w:bookmarkEnd w:id="2"/>
    <w:p w:rsidR="00C30680" w:rsidRDefault="00C30680" w:rsidP="00667773">
      <w:pPr>
        <w:pStyle w:val="Heading1"/>
        <w:tabs>
          <w:tab w:val="left" w:pos="360"/>
        </w:tabs>
        <w:ind w:left="0" w:right="493"/>
        <w:jc w:val="left"/>
        <w:rPr>
          <w:rFonts w:ascii="Times New Roman" w:hAnsi="Times New Roman" w:cs="Times New Roman"/>
        </w:rPr>
      </w:pPr>
    </w:p>
    <w:p w:rsidR="001648AB" w:rsidRDefault="001648AB" w:rsidP="00667773">
      <w:pPr>
        <w:pStyle w:val="Heading1"/>
        <w:tabs>
          <w:tab w:val="left" w:pos="360"/>
        </w:tabs>
        <w:ind w:left="0" w:right="493"/>
        <w:jc w:val="left"/>
        <w:rPr>
          <w:rFonts w:ascii="Times New Roman" w:hAnsi="Times New Roman" w:cs="Times New Roman"/>
        </w:rPr>
      </w:pPr>
      <w:r w:rsidRPr="000D1136">
        <w:rPr>
          <w:rFonts w:ascii="Times New Roman" w:hAnsi="Times New Roman" w:cs="Times New Roman"/>
        </w:rPr>
        <w:t xml:space="preserve">RESUME ANALYTIQUE </w:t>
      </w:r>
    </w:p>
    <w:p w:rsidR="00DE6DA2" w:rsidRDefault="00DE6DA2" w:rsidP="00667773">
      <w:pPr>
        <w:ind w:right="493"/>
      </w:pPr>
    </w:p>
    <w:p w:rsidR="00874FEA" w:rsidRPr="00874FEA" w:rsidRDefault="00874FEA" w:rsidP="00667773">
      <w:pPr>
        <w:ind w:right="493"/>
        <w:jc w:val="both"/>
      </w:pPr>
      <w:r>
        <w:t>Le</w:t>
      </w:r>
      <w:r w:rsidR="008E4B05" w:rsidRPr="00BA4FC6">
        <w:t xml:space="preserve"> Projet d’Appui à la </w:t>
      </w:r>
      <w:r>
        <w:t>M</w:t>
      </w:r>
      <w:r w:rsidR="008E4B05" w:rsidRPr="00BA4FC6">
        <w:t xml:space="preserve">édiation Internationale en Guinée </w:t>
      </w:r>
      <w:r w:rsidRPr="00874FEA">
        <w:t>été d’une contribution fondamentale pour calmer la crise politique guinéenne</w:t>
      </w:r>
      <w:r>
        <w:t xml:space="preserve"> en 2010</w:t>
      </w:r>
      <w:r w:rsidRPr="00874FEA">
        <w:t>, ramener les différents acteurs politiques autour de la table de négociation et rompre le cycle d’escalade de la violence</w:t>
      </w:r>
      <w:r>
        <w:t>. A travers l’appui au déploiement du médiateur de la CEDEAO, le</w:t>
      </w:r>
      <w:r w:rsidR="008E4B05" w:rsidRPr="00BA4FC6">
        <w:t xml:space="preserve"> </w:t>
      </w:r>
      <w:r w:rsidRPr="00BA4FC6">
        <w:t>Président Blaise Compaoré du Burkina</w:t>
      </w:r>
      <w:r>
        <w:t xml:space="preserve"> Faso, le projet a</w:t>
      </w:r>
      <w:r w:rsidR="001B7612">
        <w:t xml:space="preserve"> permis la mise en œuvre des accords de Ouagadougou et c</w:t>
      </w:r>
      <w:r>
        <w:t>ontribué</w:t>
      </w:r>
      <w:r w:rsidR="008E4B05" w:rsidRPr="00BA4FC6">
        <w:t xml:space="preserve"> à maintenir le dialogue politique en vue d’une sortie de crise apaisée en Guinée.</w:t>
      </w:r>
    </w:p>
    <w:p w:rsidR="00874FEA" w:rsidRDefault="00874FEA" w:rsidP="00667773">
      <w:pPr>
        <w:ind w:right="493"/>
        <w:jc w:val="both"/>
      </w:pPr>
    </w:p>
    <w:p w:rsidR="00874FEA" w:rsidRPr="00874FEA" w:rsidRDefault="00874FEA" w:rsidP="00667773">
      <w:pPr>
        <w:ind w:right="493"/>
        <w:jc w:val="both"/>
      </w:pPr>
      <w:r w:rsidRPr="00874FEA">
        <w:t xml:space="preserve">Ce projet a effectivement permis de dégager le consensus politique indispensable pour la tenue d’élections paisibles et crédibles ; il a permis d’organiser les élections </w:t>
      </w:r>
      <w:r w:rsidR="005A1FD5">
        <w:t>présidentielles de juin et novembre 2010</w:t>
      </w:r>
      <w:r w:rsidRPr="00874FEA">
        <w:t xml:space="preserve"> en République de Guinée.</w:t>
      </w:r>
      <w:r w:rsidR="005A1FD5">
        <w:t xml:space="preserve"> Par ailleurs, le reliquat du financement a contribué à la gestion de la crise politique autour de l’organisation des élections législatives en 2013.</w:t>
      </w:r>
    </w:p>
    <w:p w:rsidR="00874FEA" w:rsidRPr="00874FEA" w:rsidRDefault="00874FEA" w:rsidP="00667773">
      <w:pPr>
        <w:spacing w:after="120"/>
        <w:ind w:right="493"/>
        <w:jc w:val="both"/>
      </w:pPr>
    </w:p>
    <w:p w:rsidR="00874FEA" w:rsidRPr="00874FEA" w:rsidRDefault="00874FEA" w:rsidP="00667773">
      <w:pPr>
        <w:spacing w:after="120"/>
        <w:ind w:right="493"/>
        <w:jc w:val="both"/>
      </w:pPr>
      <w:r w:rsidRPr="00874FEA">
        <w:t>Tout au long du processus</w:t>
      </w:r>
      <w:r w:rsidR="001B7612">
        <w:t xml:space="preserve"> de facilitation de 2010 à 2013</w:t>
      </w:r>
      <w:r w:rsidRPr="00874FEA">
        <w:t>, les équipes ont déployé des actions aidant à rétablir la confiance entre les groupes d’intérêts politiques en Guinée en vue de la création d’un environnement pacifique nécessaire pour la conduite des élections et pour poser les jalons d’une paix durable. Dans cette perspective, les femmes, les médias et les mouvements sociaux ont bénéficié d’un renforcement de capacité consécutif au rôle qu’ils doivent jouer et des attentes du projet vis-à-vis de leur contribution.</w:t>
      </w:r>
    </w:p>
    <w:p w:rsidR="00874FEA" w:rsidRPr="00874FEA" w:rsidRDefault="00874FEA" w:rsidP="00667773">
      <w:pPr>
        <w:spacing w:after="120"/>
        <w:ind w:right="493"/>
        <w:jc w:val="both"/>
      </w:pPr>
      <w:r w:rsidRPr="00874FEA">
        <w:t xml:space="preserve">Il faut noter enfin, </w:t>
      </w:r>
      <w:r w:rsidR="001B7612">
        <w:t>des</w:t>
      </w:r>
      <w:r w:rsidRPr="00874FEA">
        <w:t xml:space="preserve"> synergies ont été développées entre les activités de la facilitation et celles des projets de dialogue, de formation des membres des bureaux de vote et de renforcement de la confiance des partis politiques et de l’</w:t>
      </w:r>
      <w:r w:rsidR="00E3423B" w:rsidRPr="00874FEA">
        <w:t>électorat</w:t>
      </w:r>
      <w:r w:rsidRPr="00874FEA">
        <w:t xml:space="preserve"> (RECOPPEL).</w:t>
      </w:r>
    </w:p>
    <w:p w:rsidR="008E4B05" w:rsidRPr="000D1136" w:rsidRDefault="008E4B05" w:rsidP="00667773">
      <w:pPr>
        <w:ind w:right="493"/>
      </w:pPr>
    </w:p>
    <w:p w:rsidR="001648AB" w:rsidRPr="000D1136" w:rsidRDefault="001648AB" w:rsidP="00667773">
      <w:pPr>
        <w:pStyle w:val="Heading1"/>
        <w:numPr>
          <w:ilvl w:val="0"/>
          <w:numId w:val="1"/>
        </w:numPr>
        <w:tabs>
          <w:tab w:val="clear" w:pos="1080"/>
          <w:tab w:val="left" w:pos="360"/>
        </w:tabs>
        <w:ind w:left="360" w:right="493" w:hanging="360"/>
        <w:jc w:val="left"/>
        <w:rPr>
          <w:rFonts w:ascii="Times New Roman" w:hAnsi="Times New Roman" w:cs="Times New Roman"/>
        </w:rPr>
      </w:pPr>
      <w:bookmarkStart w:id="3" w:name="_Toc249364483"/>
      <w:r w:rsidRPr="000D1136">
        <w:rPr>
          <w:rFonts w:ascii="Times New Roman" w:hAnsi="Times New Roman" w:cs="Times New Roman"/>
        </w:rPr>
        <w:t>But</w:t>
      </w:r>
      <w:bookmarkEnd w:id="3"/>
    </w:p>
    <w:p w:rsidR="00AA7B4A" w:rsidRPr="000D1136" w:rsidRDefault="00032FFD" w:rsidP="00667773">
      <w:pPr>
        <w:pStyle w:val="Default"/>
        <w:ind w:right="493"/>
        <w:jc w:val="both"/>
        <w:rPr>
          <w:lang w:val="fr-FR"/>
        </w:rPr>
      </w:pPr>
      <w:r w:rsidRPr="000D1136">
        <w:rPr>
          <w:lang w:val="fr-FR"/>
        </w:rPr>
        <w:t xml:space="preserve">La crise politique </w:t>
      </w:r>
      <w:r w:rsidR="00650678">
        <w:rPr>
          <w:lang w:val="fr-FR"/>
        </w:rPr>
        <w:t xml:space="preserve">autour de l’organisation des élections présidentielles et législatives </w:t>
      </w:r>
      <w:r w:rsidRPr="000D1136">
        <w:rPr>
          <w:lang w:val="fr-FR"/>
        </w:rPr>
        <w:t>guinéenne</w:t>
      </w:r>
      <w:r w:rsidR="00650678">
        <w:rPr>
          <w:lang w:val="fr-FR"/>
        </w:rPr>
        <w:t>s</w:t>
      </w:r>
      <w:r w:rsidRPr="000D1136">
        <w:rPr>
          <w:lang w:val="fr-FR"/>
        </w:rPr>
        <w:t xml:space="preserve"> a bénéficié d’un appui conséquent de la communauté internationale qui s’est organisée </w:t>
      </w:r>
      <w:r w:rsidR="001B7612">
        <w:rPr>
          <w:lang w:val="fr-FR"/>
        </w:rPr>
        <w:t xml:space="preserve">en 2010 </w:t>
      </w:r>
      <w:r w:rsidRPr="000D1136">
        <w:rPr>
          <w:lang w:val="fr-FR"/>
        </w:rPr>
        <w:t>sous l’égide la CEDEAO dans le cadre d’un Groupe International de Contact (GIC)</w:t>
      </w:r>
      <w:r w:rsidR="001B7612">
        <w:rPr>
          <w:lang w:val="fr-FR"/>
        </w:rPr>
        <w:t>, et en 2013 sous l’égide des Nations Unies. Le</w:t>
      </w:r>
      <w:r w:rsidR="009B56EE" w:rsidRPr="000D1136">
        <w:rPr>
          <w:lang w:val="fr-FR"/>
        </w:rPr>
        <w:t xml:space="preserve"> projet vis</w:t>
      </w:r>
      <w:r w:rsidR="001B7612">
        <w:rPr>
          <w:lang w:val="fr-FR"/>
        </w:rPr>
        <w:t xml:space="preserve">ait </w:t>
      </w:r>
      <w:r w:rsidR="009B56EE" w:rsidRPr="000D1136">
        <w:rPr>
          <w:lang w:val="fr-FR"/>
        </w:rPr>
        <w:t xml:space="preserve">à rétablir la confiance entre les acteurs politiques de la Guinée pour instaurer un climat politique et social propice au dialogue, aux consultations sociales et a un consensus pour la transition, </w:t>
      </w:r>
      <w:r w:rsidR="001B7612">
        <w:rPr>
          <w:lang w:val="fr-FR"/>
        </w:rPr>
        <w:t xml:space="preserve">permettant la conclusion </w:t>
      </w:r>
      <w:r w:rsidR="009B56EE" w:rsidRPr="000D1136">
        <w:rPr>
          <w:lang w:val="fr-FR"/>
        </w:rPr>
        <w:t>d’un accord favorisant l’organisation d’élect</w:t>
      </w:r>
      <w:r w:rsidR="001B7612">
        <w:rPr>
          <w:lang w:val="fr-FR"/>
        </w:rPr>
        <w:t>ions libres et transparentes</w:t>
      </w:r>
      <w:r w:rsidR="009B56EE" w:rsidRPr="000D1136">
        <w:rPr>
          <w:lang w:val="fr-FR"/>
        </w:rPr>
        <w:t>.</w:t>
      </w:r>
    </w:p>
    <w:p w:rsidR="001648AB" w:rsidRPr="000D1136" w:rsidRDefault="001648AB" w:rsidP="00667773">
      <w:pPr>
        <w:pStyle w:val="BodyText"/>
        <w:ind w:right="493"/>
        <w:jc w:val="both"/>
        <w:rPr>
          <w:rFonts w:ascii="Times New Roman" w:hAnsi="Times New Roman" w:cs="Times New Roman"/>
          <w:sz w:val="24"/>
          <w:szCs w:val="24"/>
          <w:lang w:val="fr-FR"/>
        </w:rPr>
      </w:pPr>
    </w:p>
    <w:p w:rsidR="00FE114B" w:rsidRPr="000D1136" w:rsidRDefault="00FE114B" w:rsidP="00667773">
      <w:pPr>
        <w:pStyle w:val="BodyText"/>
        <w:ind w:right="493"/>
        <w:jc w:val="both"/>
        <w:rPr>
          <w:rFonts w:ascii="Times New Roman" w:hAnsi="Times New Roman" w:cs="Times New Roman"/>
          <w:sz w:val="24"/>
          <w:szCs w:val="24"/>
          <w:lang w:val="fr-FR"/>
        </w:rPr>
      </w:pPr>
    </w:p>
    <w:p w:rsidR="001648AB" w:rsidRPr="000D1136" w:rsidRDefault="001648AB" w:rsidP="00667773">
      <w:pPr>
        <w:pStyle w:val="Heading1"/>
        <w:numPr>
          <w:ilvl w:val="0"/>
          <w:numId w:val="1"/>
        </w:numPr>
        <w:tabs>
          <w:tab w:val="clear" w:pos="1080"/>
          <w:tab w:val="left" w:pos="360"/>
        </w:tabs>
        <w:ind w:left="360" w:right="493" w:hanging="360"/>
        <w:jc w:val="left"/>
        <w:rPr>
          <w:rFonts w:ascii="Times New Roman" w:hAnsi="Times New Roman" w:cs="Times New Roman"/>
        </w:rPr>
      </w:pPr>
      <w:bookmarkStart w:id="4" w:name="_Toc249364486"/>
      <w:r w:rsidRPr="000D1136">
        <w:rPr>
          <w:rFonts w:ascii="Times New Roman" w:hAnsi="Times New Roman" w:cs="Times New Roman"/>
        </w:rPr>
        <w:t>Évaluation des résultats</w:t>
      </w:r>
      <w:bookmarkEnd w:id="4"/>
      <w:r w:rsidRPr="000D1136">
        <w:rPr>
          <w:rFonts w:ascii="Times New Roman" w:hAnsi="Times New Roman" w:cs="Times New Roman"/>
        </w:rPr>
        <w:t xml:space="preserve"> du programme </w:t>
      </w:r>
    </w:p>
    <w:p w:rsidR="0036554C" w:rsidRPr="000D1136" w:rsidRDefault="0036554C" w:rsidP="00667773">
      <w:pPr>
        <w:ind w:right="493"/>
      </w:pPr>
    </w:p>
    <w:p w:rsidR="0036554C" w:rsidRPr="000D1136" w:rsidRDefault="00725E2A" w:rsidP="00667773">
      <w:pPr>
        <w:pStyle w:val="BodyText2"/>
        <w:spacing w:after="0" w:line="240" w:lineRule="auto"/>
        <w:ind w:right="493"/>
        <w:jc w:val="both"/>
        <w:rPr>
          <w:bCs/>
        </w:rPr>
      </w:pPr>
      <w:r w:rsidRPr="000D1136">
        <w:rPr>
          <w:bCs/>
        </w:rPr>
        <w:t>L</w:t>
      </w:r>
      <w:r w:rsidR="0036554C" w:rsidRPr="000D1136">
        <w:rPr>
          <w:bCs/>
        </w:rPr>
        <w:t xml:space="preserve">e projet a été exécuté </w:t>
      </w:r>
      <w:r w:rsidR="00650678">
        <w:rPr>
          <w:bCs/>
        </w:rPr>
        <w:t xml:space="preserve">dans un premier dan </w:t>
      </w:r>
      <w:r w:rsidR="0036554C" w:rsidRPr="000D1136">
        <w:rPr>
          <w:bCs/>
        </w:rPr>
        <w:t xml:space="preserve">la perspective d’élections </w:t>
      </w:r>
      <w:r w:rsidR="00650678">
        <w:rPr>
          <w:bCs/>
        </w:rPr>
        <w:t xml:space="preserve">présidentielles, ensuite celle des </w:t>
      </w:r>
      <w:r w:rsidR="0036554C" w:rsidRPr="000D1136">
        <w:rPr>
          <w:bCs/>
        </w:rPr>
        <w:t xml:space="preserve">législatives dont la date a été </w:t>
      </w:r>
      <w:r w:rsidR="008F72DB" w:rsidRPr="000D1136">
        <w:rPr>
          <w:bCs/>
        </w:rPr>
        <w:t>plusieurs fois</w:t>
      </w:r>
      <w:r w:rsidR="0036554C" w:rsidRPr="000D1136">
        <w:rPr>
          <w:bCs/>
        </w:rPr>
        <w:t xml:space="preserve"> repoussée. Durant la période couverte par le rapport les progrès majeurs accomplis se déclinent comme suit :</w:t>
      </w:r>
    </w:p>
    <w:p w:rsidR="008F72DB" w:rsidRPr="000D1136" w:rsidRDefault="008F72DB" w:rsidP="00667773">
      <w:pPr>
        <w:pStyle w:val="BodyText2"/>
        <w:spacing w:after="0" w:line="240" w:lineRule="auto"/>
        <w:ind w:right="493"/>
        <w:jc w:val="both"/>
        <w:rPr>
          <w:rStyle w:val="hps"/>
          <w:color w:val="1F497D"/>
        </w:rPr>
      </w:pPr>
    </w:p>
    <w:p w:rsidR="0036554C" w:rsidRPr="000D1136" w:rsidRDefault="0036554C" w:rsidP="00667773">
      <w:pPr>
        <w:pStyle w:val="BodyText2"/>
        <w:numPr>
          <w:ilvl w:val="0"/>
          <w:numId w:val="17"/>
        </w:numPr>
        <w:spacing w:after="0" w:line="240" w:lineRule="auto"/>
        <w:ind w:left="426" w:right="493" w:hanging="142"/>
        <w:jc w:val="both"/>
        <w:rPr>
          <w:rStyle w:val="hps"/>
          <w:color w:val="000000"/>
        </w:rPr>
      </w:pPr>
      <w:r w:rsidRPr="000D1136">
        <w:rPr>
          <w:rStyle w:val="hps"/>
          <w:color w:val="000000"/>
        </w:rPr>
        <w:t>Une amélioration sensible des relations entre les acteurs politique et le pouvoir dans le cadre du di</w:t>
      </w:r>
      <w:r w:rsidR="006904A9">
        <w:rPr>
          <w:rStyle w:val="hps"/>
          <w:color w:val="000000"/>
        </w:rPr>
        <w:t xml:space="preserve">alogue politique inter-guinéen. </w:t>
      </w:r>
      <w:r w:rsidRPr="000D1136">
        <w:rPr>
          <w:rStyle w:val="hps"/>
          <w:color w:val="000000"/>
        </w:rPr>
        <w:t>Cet état de fait a permis de réduire les tensions et</w:t>
      </w:r>
      <w:r w:rsidR="006904A9">
        <w:rPr>
          <w:rStyle w:val="hps"/>
          <w:color w:val="000000"/>
        </w:rPr>
        <w:t xml:space="preserve"> de</w:t>
      </w:r>
      <w:r w:rsidRPr="000D1136">
        <w:rPr>
          <w:rStyle w:val="hps"/>
          <w:color w:val="000000"/>
        </w:rPr>
        <w:t xml:space="preserve"> baisse</w:t>
      </w:r>
      <w:r w:rsidR="00C30680">
        <w:rPr>
          <w:rStyle w:val="hps"/>
          <w:color w:val="000000"/>
        </w:rPr>
        <w:t>r considérablement la violence ;</w:t>
      </w:r>
    </w:p>
    <w:p w:rsidR="005D592B" w:rsidRPr="005D592B" w:rsidRDefault="0036554C" w:rsidP="00667773">
      <w:pPr>
        <w:pStyle w:val="BodyText2"/>
        <w:numPr>
          <w:ilvl w:val="0"/>
          <w:numId w:val="17"/>
        </w:numPr>
        <w:spacing w:after="0" w:line="240" w:lineRule="auto"/>
        <w:ind w:left="426" w:right="493" w:hanging="142"/>
        <w:jc w:val="both"/>
        <w:rPr>
          <w:rStyle w:val="hps"/>
          <w:bCs/>
          <w:i/>
        </w:rPr>
      </w:pPr>
      <w:r w:rsidRPr="000D1136">
        <w:rPr>
          <w:rStyle w:val="hps"/>
          <w:color w:val="000000"/>
        </w:rPr>
        <w:t>L’ouverture d’un dialogue politique inclusif entre le pouvoir et les partis d’opposition en vue de convenir des modalités d’organisation des élections</w:t>
      </w:r>
      <w:r w:rsidR="005D592B">
        <w:rPr>
          <w:rStyle w:val="hps"/>
          <w:color w:val="000000"/>
        </w:rPr>
        <w:t xml:space="preserve"> présidentielles et ensuite</w:t>
      </w:r>
      <w:r w:rsidRPr="000D1136">
        <w:rPr>
          <w:rStyle w:val="hps"/>
          <w:color w:val="000000"/>
        </w:rPr>
        <w:t xml:space="preserve"> législatives.  Cet état de fait </w:t>
      </w:r>
      <w:r w:rsidR="00B175E1" w:rsidRPr="000D1136">
        <w:rPr>
          <w:rStyle w:val="hps"/>
          <w:color w:val="000000"/>
        </w:rPr>
        <w:t>a</w:t>
      </w:r>
      <w:r w:rsidRPr="000D1136">
        <w:rPr>
          <w:rStyle w:val="hps"/>
          <w:color w:val="000000"/>
        </w:rPr>
        <w:t xml:space="preserve"> permis une évolution des positions les plus radicales, et l’ouverture d’une opportunité pour une conclusion pacifique de la transition politique</w:t>
      </w:r>
      <w:r w:rsidR="00C30680">
        <w:rPr>
          <w:rStyle w:val="hps"/>
          <w:color w:val="000000"/>
        </w:rPr>
        <w:t>.</w:t>
      </w:r>
    </w:p>
    <w:p w:rsidR="0036554C" w:rsidRPr="000D1136" w:rsidRDefault="005D592B" w:rsidP="00667773">
      <w:pPr>
        <w:pStyle w:val="BodyText2"/>
        <w:numPr>
          <w:ilvl w:val="0"/>
          <w:numId w:val="17"/>
        </w:numPr>
        <w:spacing w:after="0" w:line="240" w:lineRule="auto"/>
        <w:ind w:left="426" w:right="493" w:hanging="142"/>
        <w:jc w:val="both"/>
        <w:rPr>
          <w:rStyle w:val="hps"/>
          <w:bCs/>
          <w:i/>
        </w:rPr>
      </w:pPr>
      <w:r>
        <w:rPr>
          <w:rStyle w:val="hps"/>
          <w:color w:val="000000"/>
        </w:rPr>
        <w:t>La promotion de l’accord politique global de Ouagadougou en 2010 et la conclusion de l’accord politique inter guinéen du 03 juillet 2013</w:t>
      </w:r>
      <w:r w:rsidR="0036554C" w:rsidRPr="000D1136">
        <w:rPr>
          <w:rStyle w:val="hps"/>
          <w:color w:val="000000"/>
        </w:rPr>
        <w:t xml:space="preserve">. </w:t>
      </w:r>
    </w:p>
    <w:p w:rsidR="0036554C" w:rsidRDefault="0036554C" w:rsidP="00667773">
      <w:pPr>
        <w:ind w:right="493"/>
      </w:pPr>
    </w:p>
    <w:p w:rsidR="001648AB" w:rsidRPr="000D1136" w:rsidRDefault="001648AB" w:rsidP="00667773">
      <w:pPr>
        <w:numPr>
          <w:ilvl w:val="0"/>
          <w:numId w:val="12"/>
        </w:numPr>
        <w:ind w:right="493"/>
        <w:rPr>
          <w:b/>
        </w:rPr>
      </w:pPr>
      <w:r w:rsidRPr="000D1136">
        <w:rPr>
          <w:b/>
        </w:rPr>
        <w:t>Rapport narratif sur les résultats:</w:t>
      </w:r>
    </w:p>
    <w:p w:rsidR="00725E2A" w:rsidRPr="000D1136" w:rsidRDefault="00725E2A" w:rsidP="00667773">
      <w:pPr>
        <w:ind w:left="360" w:right="493"/>
        <w:jc w:val="both"/>
      </w:pPr>
    </w:p>
    <w:p w:rsidR="00725E2A" w:rsidRPr="000D1136" w:rsidRDefault="00725E2A" w:rsidP="00667773">
      <w:pPr>
        <w:pStyle w:val="FootnoteText"/>
        <w:ind w:right="493"/>
        <w:jc w:val="both"/>
        <w:rPr>
          <w:color w:val="000000"/>
          <w:lang w:val="fr-FR"/>
        </w:rPr>
      </w:pPr>
      <w:r w:rsidRPr="000D1136">
        <w:rPr>
          <w:bCs/>
          <w:lang w:val="fr-FR" w:eastAsia="fr-FR"/>
        </w:rPr>
        <w:t xml:space="preserve">Les </w:t>
      </w:r>
      <w:r w:rsidRPr="000D1136">
        <w:rPr>
          <w:color w:val="000000"/>
          <w:lang w:val="fr-FR"/>
        </w:rPr>
        <w:t xml:space="preserve">élections </w:t>
      </w:r>
      <w:r w:rsidR="00E3423B">
        <w:rPr>
          <w:color w:val="000000"/>
          <w:lang w:val="fr-FR"/>
        </w:rPr>
        <w:t xml:space="preserve">présidentielles et </w:t>
      </w:r>
      <w:r w:rsidRPr="000D1136">
        <w:rPr>
          <w:color w:val="000000"/>
          <w:lang w:val="fr-FR"/>
        </w:rPr>
        <w:t xml:space="preserve">législatives </w:t>
      </w:r>
      <w:r w:rsidR="00E3423B">
        <w:rPr>
          <w:color w:val="000000"/>
          <w:lang w:val="fr-FR"/>
        </w:rPr>
        <w:t xml:space="preserve">ont été </w:t>
      </w:r>
      <w:r w:rsidRPr="000D1136">
        <w:rPr>
          <w:color w:val="000000"/>
          <w:lang w:val="fr-FR"/>
        </w:rPr>
        <w:t>organisées dans un cadre politique apaisé avec le déploiement d’une équipe de facilitation qui a permis un dialogue politique inclusif sur les modalités d’organisation des élections.</w:t>
      </w:r>
    </w:p>
    <w:p w:rsidR="006904A9" w:rsidRDefault="006904A9" w:rsidP="00667773">
      <w:pPr>
        <w:pStyle w:val="FootnoteText"/>
        <w:tabs>
          <w:tab w:val="left" w:pos="426"/>
        </w:tabs>
        <w:ind w:right="493"/>
        <w:jc w:val="both"/>
        <w:rPr>
          <w:color w:val="000000"/>
          <w:lang w:val="fr-FR"/>
        </w:rPr>
      </w:pPr>
    </w:p>
    <w:p w:rsidR="00725E2A" w:rsidRPr="000D1136" w:rsidRDefault="00725E2A" w:rsidP="00667773">
      <w:pPr>
        <w:pStyle w:val="FootnoteText"/>
        <w:tabs>
          <w:tab w:val="left" w:pos="426"/>
        </w:tabs>
        <w:ind w:right="493"/>
        <w:jc w:val="both"/>
        <w:rPr>
          <w:color w:val="000000"/>
          <w:lang w:val="fr-FR"/>
        </w:rPr>
      </w:pPr>
      <w:r w:rsidRPr="000D1136">
        <w:rPr>
          <w:color w:val="000000"/>
          <w:lang w:val="fr-FR"/>
        </w:rPr>
        <w:t xml:space="preserve">Le déploiement du facilitateur international </w:t>
      </w:r>
      <w:r w:rsidR="00E3423B">
        <w:rPr>
          <w:color w:val="000000"/>
          <w:lang w:val="fr-FR"/>
        </w:rPr>
        <w:t xml:space="preserve">en 2010 </w:t>
      </w:r>
      <w:r w:rsidR="00650678">
        <w:rPr>
          <w:color w:val="000000"/>
          <w:lang w:val="fr-FR"/>
        </w:rPr>
        <w:t xml:space="preserve">(M. Blaise Compaoré) </w:t>
      </w:r>
      <w:r w:rsidR="00E3423B">
        <w:rPr>
          <w:color w:val="000000"/>
          <w:lang w:val="fr-FR"/>
        </w:rPr>
        <w:t xml:space="preserve">et 2013 </w:t>
      </w:r>
      <w:r w:rsidR="00650678">
        <w:rPr>
          <w:color w:val="000000"/>
          <w:lang w:val="fr-FR"/>
        </w:rPr>
        <w:t xml:space="preserve">(M. Saïd Djinit) </w:t>
      </w:r>
      <w:r w:rsidRPr="000D1136">
        <w:rPr>
          <w:color w:val="000000"/>
          <w:lang w:val="fr-FR"/>
        </w:rPr>
        <w:t>a permis de décrisper la tension sociopolitique qui était devenue palpable</w:t>
      </w:r>
      <w:r w:rsidR="00650678">
        <w:rPr>
          <w:color w:val="000000"/>
          <w:lang w:val="fr-FR"/>
        </w:rPr>
        <w:t xml:space="preserve"> dans le pays</w:t>
      </w:r>
      <w:r w:rsidRPr="000D1136">
        <w:rPr>
          <w:color w:val="000000"/>
          <w:lang w:val="fr-FR"/>
        </w:rPr>
        <w:t xml:space="preserve">. La qualité des conseils, orientations et avis fournis a permis de restaurer une confiance minimale entre les différents acteurs politique, les autorités et la Commission Electorale Nationale Indépendante. </w:t>
      </w:r>
    </w:p>
    <w:p w:rsidR="00650678" w:rsidRDefault="00650678" w:rsidP="00667773">
      <w:pPr>
        <w:pStyle w:val="BodyText2"/>
        <w:spacing w:after="0" w:line="240" w:lineRule="auto"/>
        <w:ind w:right="493"/>
        <w:jc w:val="both"/>
        <w:rPr>
          <w:rStyle w:val="hps"/>
          <w:color w:val="000000"/>
        </w:rPr>
      </w:pPr>
    </w:p>
    <w:p w:rsidR="00725E2A" w:rsidRPr="000D1136" w:rsidRDefault="00725E2A" w:rsidP="00667773">
      <w:pPr>
        <w:pStyle w:val="BodyText2"/>
        <w:spacing w:after="0" w:line="240" w:lineRule="auto"/>
        <w:ind w:right="493"/>
        <w:jc w:val="both"/>
        <w:rPr>
          <w:rStyle w:val="hps"/>
          <w:color w:val="000000"/>
        </w:rPr>
      </w:pPr>
      <w:r w:rsidRPr="000D1136">
        <w:rPr>
          <w:rStyle w:val="hps"/>
          <w:color w:val="000000"/>
        </w:rPr>
        <w:t>Les résultats immédiats obtenus, fruit des actions de l’équipe de facilitation se déclinent comme suit :</w:t>
      </w:r>
    </w:p>
    <w:p w:rsidR="00650678" w:rsidRDefault="00650678" w:rsidP="00667773">
      <w:pPr>
        <w:pStyle w:val="BodyText2"/>
        <w:numPr>
          <w:ilvl w:val="0"/>
          <w:numId w:val="18"/>
        </w:numPr>
        <w:spacing w:after="0" w:line="240" w:lineRule="auto"/>
        <w:ind w:right="493"/>
        <w:jc w:val="both"/>
        <w:rPr>
          <w:rStyle w:val="hps"/>
        </w:rPr>
      </w:pPr>
      <w:r>
        <w:rPr>
          <w:rStyle w:val="hps"/>
        </w:rPr>
        <w:t>En 2010, l’engagement des partis politiques à aller aux élections présidentielles dans le respect du code de bonne conduite des partis politiques ;</w:t>
      </w:r>
    </w:p>
    <w:p w:rsidR="00650678" w:rsidRDefault="00650678" w:rsidP="00667773">
      <w:pPr>
        <w:pStyle w:val="BodyText2"/>
        <w:numPr>
          <w:ilvl w:val="0"/>
          <w:numId w:val="18"/>
        </w:numPr>
        <w:spacing w:after="0" w:line="240" w:lineRule="auto"/>
        <w:ind w:right="493"/>
        <w:jc w:val="both"/>
        <w:rPr>
          <w:rStyle w:val="hps"/>
        </w:rPr>
      </w:pPr>
      <w:r>
        <w:rPr>
          <w:rStyle w:val="hps"/>
        </w:rPr>
        <w:t>En 2013 :</w:t>
      </w:r>
    </w:p>
    <w:p w:rsidR="00725E2A" w:rsidRDefault="00650678" w:rsidP="00650678">
      <w:pPr>
        <w:pStyle w:val="BodyText2"/>
        <w:numPr>
          <w:ilvl w:val="0"/>
          <w:numId w:val="25"/>
        </w:numPr>
        <w:spacing w:after="0" w:line="240" w:lineRule="auto"/>
        <w:ind w:right="493"/>
        <w:jc w:val="both"/>
        <w:rPr>
          <w:rStyle w:val="hps"/>
        </w:rPr>
      </w:pPr>
      <w:r>
        <w:rPr>
          <w:rStyle w:val="hps"/>
        </w:rPr>
        <w:t xml:space="preserve"> l</w:t>
      </w:r>
      <w:r w:rsidR="00725E2A" w:rsidRPr="000D1136">
        <w:rPr>
          <w:rStyle w:val="hps"/>
        </w:rPr>
        <w:t>’engament des parties de surseoir aux manifestations de rues en vue de la recherche d’une solution collectivement discutée de manière inclusive. Grâce à la facilitation du Représentant Spécial du Secrétaire Général des Nations Unies pour l’Afrique de l’ouest, les contacts entre les acteurs politiques ont permis l’obtention d’un accord pour l’ouverture d’un dialogue inclusif sur les modalités d’organisation des élections législatives. Au fils des jours (d’avril à juin) les positions des parties à la négociation  ont évolué sur un certain nombre de questions et la perspective de la signature d’un accord politique est désormais d’actualité.</w:t>
      </w:r>
    </w:p>
    <w:p w:rsidR="00725E2A" w:rsidRPr="000D1136" w:rsidRDefault="00725E2A" w:rsidP="00650678">
      <w:pPr>
        <w:pStyle w:val="BodyText2"/>
        <w:numPr>
          <w:ilvl w:val="0"/>
          <w:numId w:val="25"/>
        </w:numPr>
        <w:spacing w:after="0" w:line="240" w:lineRule="auto"/>
        <w:ind w:right="493"/>
        <w:jc w:val="both"/>
        <w:rPr>
          <w:rStyle w:val="hps"/>
        </w:rPr>
      </w:pPr>
      <w:r w:rsidRPr="000D1136">
        <w:rPr>
          <w:rStyle w:val="hps"/>
        </w:rPr>
        <w:t>L’engagement du Président</w:t>
      </w:r>
      <w:r w:rsidR="00650678">
        <w:rPr>
          <w:rStyle w:val="hps"/>
        </w:rPr>
        <w:t xml:space="preserve"> guinéen</w:t>
      </w:r>
      <w:r w:rsidRPr="000D1136">
        <w:rPr>
          <w:rStyle w:val="hps"/>
        </w:rPr>
        <w:t xml:space="preserve"> à repousser la tenue des élections législatives en vue de permettre que les conditions minimales de transparence et d’exclusivité du scrutin remplies. A cet égard, la date initiale du 30 juin pour la tenue des législatives a été reportée à une date ultérieure que l’accord politique permettra de fixer. </w:t>
      </w:r>
    </w:p>
    <w:p w:rsidR="005C1FFD" w:rsidRPr="000D1136" w:rsidRDefault="005C1FFD" w:rsidP="00667773">
      <w:pPr>
        <w:pStyle w:val="BodyText"/>
        <w:ind w:right="493"/>
        <w:jc w:val="both"/>
        <w:rPr>
          <w:rFonts w:ascii="Times New Roman" w:hAnsi="Times New Roman" w:cs="Times New Roman"/>
          <w:sz w:val="24"/>
          <w:szCs w:val="24"/>
          <w:lang w:val="fr-FR"/>
        </w:rPr>
      </w:pPr>
    </w:p>
    <w:p w:rsidR="00725E2A" w:rsidRPr="000D1136" w:rsidRDefault="00725E2A" w:rsidP="00667773">
      <w:pPr>
        <w:pStyle w:val="BodyText"/>
        <w:ind w:right="493"/>
        <w:jc w:val="both"/>
        <w:rPr>
          <w:rStyle w:val="hps"/>
          <w:rFonts w:ascii="Times New Roman" w:hAnsi="Times New Roman" w:cs="Times New Roman"/>
          <w:sz w:val="24"/>
          <w:szCs w:val="24"/>
          <w:lang w:val="fr-FR"/>
        </w:rPr>
      </w:pPr>
      <w:r w:rsidRPr="000D1136">
        <w:rPr>
          <w:rFonts w:ascii="Times New Roman" w:hAnsi="Times New Roman" w:cs="Times New Roman"/>
          <w:sz w:val="24"/>
          <w:szCs w:val="24"/>
          <w:lang w:val="fr-FR"/>
        </w:rPr>
        <w:t>Les activités réalisées au cours de la période ont produit un impact important sur le processus de consolidation de la paix et de prévention de la violence électorale. En particulier, c</w:t>
      </w:r>
      <w:r w:rsidRPr="000D1136">
        <w:rPr>
          <w:rStyle w:val="hps"/>
          <w:rFonts w:ascii="Times New Roman" w:hAnsi="Times New Roman" w:cs="Times New Roman"/>
          <w:sz w:val="24"/>
          <w:szCs w:val="24"/>
          <w:lang w:val="fr-FR"/>
        </w:rPr>
        <w:t xml:space="preserve">ompte tenu de tous les résultats immédiats apportés </w:t>
      </w:r>
      <w:r w:rsidRPr="000D1136">
        <w:rPr>
          <w:rStyle w:val="hps"/>
          <w:rFonts w:ascii="Times New Roman" w:hAnsi="Times New Roman" w:cs="Times New Roman"/>
          <w:sz w:val="24"/>
          <w:szCs w:val="24"/>
          <w:lang w:val="fr-FR"/>
        </w:rPr>
        <w:lastRenderedPageBreak/>
        <w:t>par l’ouverture du dialogue politique,  les violences ont été réduites et l’environnement politique a bénéficié d’une décrispation.</w:t>
      </w:r>
    </w:p>
    <w:p w:rsidR="00725E2A" w:rsidRPr="000D1136" w:rsidRDefault="00725E2A" w:rsidP="00667773">
      <w:pPr>
        <w:pStyle w:val="FootnoteText"/>
        <w:tabs>
          <w:tab w:val="left" w:pos="426"/>
        </w:tabs>
        <w:ind w:right="493"/>
        <w:jc w:val="both"/>
        <w:rPr>
          <w:lang w:val="fr-FR"/>
        </w:rPr>
      </w:pPr>
      <w:r w:rsidRPr="000D1136">
        <w:rPr>
          <w:color w:val="000000"/>
          <w:lang w:val="fr-FR"/>
        </w:rPr>
        <w:t>La décrispation de la tension entre les acteurs politiques au plus haut niveau a permis l’amélioration du climat social et l’arrêt des manifestations violentes</w:t>
      </w:r>
      <w:r w:rsidRPr="000D1136">
        <w:rPr>
          <w:rStyle w:val="hps"/>
          <w:lang w:val="fr-FR"/>
        </w:rPr>
        <w:t xml:space="preserve">. </w:t>
      </w:r>
    </w:p>
    <w:p w:rsidR="00725E2A" w:rsidRPr="000D1136" w:rsidRDefault="00725E2A" w:rsidP="00667773">
      <w:pPr>
        <w:pStyle w:val="BodyText"/>
        <w:ind w:left="360" w:right="493"/>
        <w:jc w:val="both"/>
        <w:rPr>
          <w:rFonts w:ascii="Times New Roman" w:hAnsi="Times New Roman" w:cs="Times New Roman"/>
          <w:sz w:val="24"/>
          <w:szCs w:val="24"/>
          <w:lang w:val="fr-FR"/>
        </w:rPr>
      </w:pPr>
    </w:p>
    <w:p w:rsidR="00725E2A" w:rsidRDefault="00725E2A" w:rsidP="00667773">
      <w:pPr>
        <w:autoSpaceDE w:val="0"/>
        <w:autoSpaceDN w:val="0"/>
        <w:adjustRightInd w:val="0"/>
        <w:ind w:right="493"/>
        <w:jc w:val="both"/>
        <w:rPr>
          <w:color w:val="000000"/>
        </w:rPr>
      </w:pPr>
      <w:r w:rsidRPr="000D1136">
        <w:rPr>
          <w:color w:val="000000"/>
        </w:rPr>
        <w:t>Les principales contraintes rencontrées dans la mise en œuvre du programme sont liées à la nature hautement politique de l’activité, et la nécessité de surveiller de près les avancées en vue d’éviter les risques de rechute dans la spirale de la violence.</w:t>
      </w:r>
      <w:r w:rsidR="000D1136">
        <w:rPr>
          <w:color w:val="000000"/>
        </w:rPr>
        <w:t xml:space="preserve"> </w:t>
      </w:r>
      <w:r w:rsidRPr="000D1136">
        <w:rPr>
          <w:color w:val="000000"/>
        </w:rPr>
        <w:t>En outre,  les activités du premier semestre 2013 ont été exécutées sur base des ressources résiduelles 2012, dès lors elles se sont limitées à la</w:t>
      </w:r>
      <w:r w:rsidR="00BD571C" w:rsidRPr="000D1136">
        <w:rPr>
          <w:color w:val="000000"/>
        </w:rPr>
        <w:t xml:space="preserve"> </w:t>
      </w:r>
      <w:r w:rsidRPr="000D1136">
        <w:rPr>
          <w:color w:val="000000"/>
        </w:rPr>
        <w:t xml:space="preserve">consolidation des initiatives enclenchées. </w:t>
      </w:r>
    </w:p>
    <w:p w:rsidR="00E3423B" w:rsidRDefault="00E3423B" w:rsidP="00667773">
      <w:pPr>
        <w:autoSpaceDE w:val="0"/>
        <w:autoSpaceDN w:val="0"/>
        <w:adjustRightInd w:val="0"/>
        <w:ind w:right="493"/>
        <w:jc w:val="both"/>
        <w:rPr>
          <w:color w:val="000000"/>
        </w:rPr>
      </w:pPr>
    </w:p>
    <w:p w:rsidR="00E3423B" w:rsidRDefault="00E3423B" w:rsidP="00667773">
      <w:pPr>
        <w:autoSpaceDE w:val="0"/>
        <w:autoSpaceDN w:val="0"/>
        <w:adjustRightInd w:val="0"/>
        <w:ind w:right="493"/>
        <w:jc w:val="both"/>
        <w:rPr>
          <w:color w:val="000000"/>
        </w:rPr>
      </w:pPr>
    </w:p>
    <w:p w:rsidR="00E3423B" w:rsidRDefault="00E3423B" w:rsidP="00667773">
      <w:pPr>
        <w:autoSpaceDE w:val="0"/>
        <w:autoSpaceDN w:val="0"/>
        <w:adjustRightInd w:val="0"/>
        <w:ind w:right="493"/>
        <w:jc w:val="both"/>
        <w:rPr>
          <w:color w:val="000000"/>
        </w:rPr>
      </w:pPr>
    </w:p>
    <w:p w:rsidR="003F36F9" w:rsidRDefault="003F36F9" w:rsidP="00667773">
      <w:pPr>
        <w:autoSpaceDE w:val="0"/>
        <w:autoSpaceDN w:val="0"/>
        <w:adjustRightInd w:val="0"/>
        <w:ind w:right="493"/>
        <w:jc w:val="both"/>
        <w:rPr>
          <w:color w:val="000000"/>
        </w:rPr>
      </w:pPr>
    </w:p>
    <w:p w:rsidR="003F36F9" w:rsidRDefault="003F36F9" w:rsidP="00667773">
      <w:pPr>
        <w:autoSpaceDE w:val="0"/>
        <w:autoSpaceDN w:val="0"/>
        <w:adjustRightInd w:val="0"/>
        <w:ind w:right="493"/>
        <w:jc w:val="both"/>
        <w:rPr>
          <w:color w:val="000000"/>
        </w:rPr>
      </w:pPr>
    </w:p>
    <w:p w:rsidR="003F36F9" w:rsidRDefault="003F36F9" w:rsidP="00667773">
      <w:pPr>
        <w:autoSpaceDE w:val="0"/>
        <w:autoSpaceDN w:val="0"/>
        <w:adjustRightInd w:val="0"/>
        <w:ind w:right="493"/>
        <w:jc w:val="both"/>
        <w:rPr>
          <w:color w:val="000000"/>
        </w:rPr>
      </w:pPr>
    </w:p>
    <w:p w:rsidR="003F36F9" w:rsidRPr="003F36F9" w:rsidRDefault="003F36F9" w:rsidP="00650678">
      <w:pPr>
        <w:ind w:right="493"/>
        <w:jc w:val="both"/>
      </w:pPr>
      <w:r w:rsidRPr="003F36F9">
        <w:t xml:space="preserve">Le projet visait la </w:t>
      </w:r>
      <w:r w:rsidR="00650678">
        <w:t>« </w:t>
      </w:r>
      <w:r w:rsidRPr="003F36F9">
        <w:rPr>
          <w:b/>
        </w:rPr>
        <w:t>Facilitation du dialogue politique national entre les acteurs politiques guinéens en vue de conduire à des élections libres, transparentes, sécurisées, inclusives et apaisées</w:t>
      </w:r>
      <w:r w:rsidR="00650678">
        <w:t> ». A cet effet, il a permis les principales activités suivantes :</w:t>
      </w:r>
    </w:p>
    <w:p w:rsidR="00650678" w:rsidRDefault="00650678" w:rsidP="00650678">
      <w:pPr>
        <w:ind w:right="493" w:firstLine="360"/>
        <w:jc w:val="both"/>
      </w:pPr>
      <w:r>
        <w:t xml:space="preserve">1)- En 2010 : </w:t>
      </w:r>
    </w:p>
    <w:p w:rsidR="003F36F9" w:rsidRDefault="00650678" w:rsidP="00650678">
      <w:pPr>
        <w:ind w:left="709" w:right="493"/>
        <w:jc w:val="both"/>
      </w:pPr>
      <w:r>
        <w:t>- l’</w:t>
      </w:r>
      <w:r w:rsidR="003F36F9" w:rsidRPr="003F36F9">
        <w:t xml:space="preserve">Organisation des déplacements </w:t>
      </w:r>
      <w:r>
        <w:t xml:space="preserve">du Représentant Spécial du facilitateur désigné par la CEDEAO </w:t>
      </w:r>
      <w:r w:rsidR="003F36F9" w:rsidRPr="003F36F9">
        <w:t>sur Conakry avec une équipe de soutien technique</w:t>
      </w:r>
      <w:r>
        <w:t xml:space="preserve"> ainsi que l’appui aux activités de plaidoyer menées par cette équipe ;</w:t>
      </w:r>
    </w:p>
    <w:p w:rsidR="00650678" w:rsidRDefault="00650678" w:rsidP="00650678">
      <w:pPr>
        <w:ind w:left="709" w:right="493"/>
        <w:jc w:val="both"/>
      </w:pPr>
      <w:r>
        <w:t>- la vulgarisation des accords de ouagadougou sur la sortie de la transition guinéenne.</w:t>
      </w:r>
    </w:p>
    <w:p w:rsidR="00650678" w:rsidRPr="003F36F9" w:rsidRDefault="00650678" w:rsidP="00650678">
      <w:pPr>
        <w:ind w:left="709" w:right="493"/>
        <w:jc w:val="both"/>
      </w:pPr>
    </w:p>
    <w:p w:rsidR="00650678" w:rsidRDefault="00650678" w:rsidP="00650678">
      <w:pPr>
        <w:ind w:right="493"/>
        <w:jc w:val="both"/>
      </w:pPr>
      <w:r>
        <w:t>2)- En 2013 :</w:t>
      </w:r>
    </w:p>
    <w:p w:rsidR="007F5EFF" w:rsidRDefault="00650678" w:rsidP="00650678">
      <w:pPr>
        <w:ind w:left="709" w:right="493"/>
        <w:jc w:val="both"/>
      </w:pPr>
      <w:r>
        <w:t xml:space="preserve">- </w:t>
      </w:r>
      <w:r w:rsidR="007F5EFF">
        <w:t>l’organisation des déplacements du facilitateur des Nations Unies en Guinée et appui aux activités de plaidoyer menées par cette équipe ;</w:t>
      </w:r>
    </w:p>
    <w:p w:rsidR="003F36F9" w:rsidRPr="003F36F9" w:rsidRDefault="007F5EFF" w:rsidP="00650678">
      <w:pPr>
        <w:ind w:left="709" w:right="493"/>
        <w:jc w:val="both"/>
      </w:pPr>
      <w:r>
        <w:t xml:space="preserve">- </w:t>
      </w:r>
      <w:r w:rsidR="003F36F9" w:rsidRPr="003F36F9">
        <w:t>Organisation de rencontres avec les autorités gouvernementales y compris le Chef de l’État, les Co-facilitateurs nationaux, et les principaux acteurs</w:t>
      </w:r>
    </w:p>
    <w:p w:rsidR="003F36F9" w:rsidRPr="003F36F9" w:rsidRDefault="003F36F9" w:rsidP="00667773">
      <w:pPr>
        <w:ind w:left="720" w:right="493"/>
        <w:jc w:val="both"/>
        <w:rPr>
          <w:rFonts w:cs="Arial"/>
          <w:sz w:val="16"/>
          <w:szCs w:val="20"/>
          <w:lang w:eastAsia="en-US"/>
        </w:rPr>
      </w:pPr>
    </w:p>
    <w:p w:rsidR="003F36F9" w:rsidRPr="003F36F9" w:rsidRDefault="003F36F9" w:rsidP="00667773">
      <w:pPr>
        <w:keepNext/>
        <w:numPr>
          <w:ilvl w:val="0"/>
          <w:numId w:val="1"/>
        </w:numPr>
        <w:tabs>
          <w:tab w:val="clear" w:pos="1080"/>
          <w:tab w:val="left" w:pos="360"/>
        </w:tabs>
        <w:ind w:left="360" w:right="493" w:hanging="360"/>
        <w:outlineLvl w:val="0"/>
        <w:rPr>
          <w:rFonts w:cs="Arial"/>
          <w:b/>
          <w:bCs/>
        </w:rPr>
      </w:pPr>
      <w:r w:rsidRPr="003F36F9">
        <w:rPr>
          <w:rFonts w:cs="Arial"/>
          <w:b/>
          <w:bCs/>
        </w:rPr>
        <w:t>Évaluation des résultats du programme</w:t>
      </w:r>
    </w:p>
    <w:p w:rsidR="003F36F9" w:rsidRPr="003F36F9" w:rsidRDefault="003F36F9" w:rsidP="00667773">
      <w:pPr>
        <w:ind w:right="493"/>
      </w:pPr>
    </w:p>
    <w:p w:rsidR="003F36F9" w:rsidRPr="003F36F9" w:rsidRDefault="003F36F9" w:rsidP="00667773">
      <w:pPr>
        <w:numPr>
          <w:ilvl w:val="0"/>
          <w:numId w:val="31"/>
        </w:numPr>
        <w:ind w:right="493"/>
        <w:contextualSpacing/>
        <w:rPr>
          <w:b/>
        </w:rPr>
      </w:pPr>
      <w:r w:rsidRPr="003F36F9">
        <w:rPr>
          <w:b/>
        </w:rPr>
        <w:t xml:space="preserve">Résultats : </w:t>
      </w:r>
    </w:p>
    <w:p w:rsidR="003F36F9" w:rsidRPr="003F36F9" w:rsidRDefault="003F36F9" w:rsidP="00667773">
      <w:pPr>
        <w:ind w:right="493"/>
      </w:pPr>
    </w:p>
    <w:p w:rsidR="003F36F9" w:rsidRPr="003F36F9" w:rsidRDefault="003F36F9" w:rsidP="00667773">
      <w:pPr>
        <w:ind w:right="493"/>
      </w:pPr>
      <w:r w:rsidRPr="003F36F9">
        <w:t>Les principaux changements que le projet a produit dans l’environnement guinéen se résument comme suit :</w:t>
      </w:r>
    </w:p>
    <w:p w:rsidR="003F36F9" w:rsidRPr="003F36F9" w:rsidRDefault="003F36F9" w:rsidP="00667773">
      <w:pPr>
        <w:ind w:right="493"/>
      </w:pPr>
    </w:p>
    <w:p w:rsidR="003F36F9" w:rsidRPr="003F36F9" w:rsidRDefault="003F36F9" w:rsidP="00667773">
      <w:pPr>
        <w:numPr>
          <w:ilvl w:val="0"/>
          <w:numId w:val="32"/>
        </w:numPr>
        <w:shd w:val="clear" w:color="auto" w:fill="FFFFFF"/>
        <w:ind w:right="493"/>
        <w:contextualSpacing/>
        <w:jc w:val="both"/>
        <w:rPr>
          <w:b/>
        </w:rPr>
      </w:pPr>
      <w:r w:rsidRPr="003F36F9">
        <w:rPr>
          <w:b/>
        </w:rPr>
        <w:t xml:space="preserve">Un consensus obtenus sur les modalités d’organisation des élections </w:t>
      </w:r>
      <w:r w:rsidR="007F5EFF">
        <w:rPr>
          <w:b/>
        </w:rPr>
        <w:t xml:space="preserve">présidentielles, puis </w:t>
      </w:r>
      <w:r w:rsidRPr="003F36F9">
        <w:rPr>
          <w:b/>
        </w:rPr>
        <w:t>législatives :</w:t>
      </w:r>
    </w:p>
    <w:p w:rsidR="003F36F9" w:rsidRPr="003F36F9" w:rsidRDefault="003F36F9" w:rsidP="00667773">
      <w:pPr>
        <w:shd w:val="clear" w:color="auto" w:fill="FFFFFF"/>
        <w:ind w:right="493"/>
        <w:jc w:val="both"/>
      </w:pPr>
      <w:r w:rsidRPr="003F36F9">
        <w:lastRenderedPageBreak/>
        <w:t xml:space="preserve">Le projet d’appui à la </w:t>
      </w:r>
      <w:r w:rsidR="009A3134">
        <w:t>médiation</w:t>
      </w:r>
      <w:r w:rsidRPr="003F36F9">
        <w:t xml:space="preserve"> internationale a permis de créer un cadre de dialogue permanemment entre les acteurs politiques et l’Etat (opposition, majorité présidentielle et Etat). </w:t>
      </w:r>
    </w:p>
    <w:p w:rsidR="003F36F9" w:rsidRPr="003F36F9" w:rsidRDefault="003F36F9" w:rsidP="00667773">
      <w:pPr>
        <w:shd w:val="clear" w:color="auto" w:fill="FFFFFF"/>
        <w:ind w:right="493"/>
        <w:jc w:val="both"/>
        <w:rPr>
          <w:color w:val="000000"/>
        </w:rPr>
      </w:pPr>
      <w:r w:rsidRPr="003F36F9">
        <w:t>Ce dialogue a abouti à l’obtention d’un</w:t>
      </w:r>
      <w:r w:rsidRPr="003F36F9">
        <w:rPr>
          <w:color w:val="000000"/>
        </w:rPr>
        <w:t xml:space="preserve"> consensus politique autour des règles et principes d’organisation de l’élection</w:t>
      </w:r>
      <w:r w:rsidR="009A3134">
        <w:rPr>
          <w:color w:val="000000"/>
        </w:rPr>
        <w:t xml:space="preserve"> présidentielle de 2010 et</w:t>
      </w:r>
      <w:r w:rsidRPr="003F36F9">
        <w:rPr>
          <w:color w:val="000000"/>
        </w:rPr>
        <w:t xml:space="preserve"> législative</w:t>
      </w:r>
      <w:r w:rsidR="009A3134">
        <w:rPr>
          <w:color w:val="000000"/>
        </w:rPr>
        <w:t xml:space="preserve"> 2013</w:t>
      </w:r>
      <w:r w:rsidRPr="003F36F9">
        <w:rPr>
          <w:color w:val="000000"/>
        </w:rPr>
        <w:t>, notamment sur les principaux points qui ont longtemps divisé la classe politique et retardé la tenue du scrutin législatif. Ces points concernent :</w:t>
      </w:r>
    </w:p>
    <w:p w:rsidR="003F36F9" w:rsidRPr="003F36F9" w:rsidRDefault="003F36F9" w:rsidP="00667773">
      <w:pPr>
        <w:shd w:val="clear" w:color="auto" w:fill="FFFFFF"/>
        <w:ind w:left="708" w:right="493" w:firstLine="708"/>
        <w:jc w:val="both"/>
        <w:rPr>
          <w:color w:val="000000"/>
        </w:rPr>
      </w:pPr>
      <w:r w:rsidRPr="003F36F9">
        <w:rPr>
          <w:color w:val="000000"/>
        </w:rPr>
        <w:t>-</w:t>
      </w:r>
      <w:r w:rsidRPr="003F36F9">
        <w:rPr>
          <w:color w:val="000000"/>
          <w:sz w:val="14"/>
          <w:szCs w:val="14"/>
        </w:rPr>
        <w:t xml:space="preserve">          </w:t>
      </w:r>
      <w:r w:rsidRPr="003F36F9">
        <w:rPr>
          <w:color w:val="000000"/>
        </w:rPr>
        <w:t>le choix de l’opérateur technique;</w:t>
      </w:r>
    </w:p>
    <w:p w:rsidR="003F36F9" w:rsidRPr="003F36F9" w:rsidRDefault="003F36F9" w:rsidP="00667773">
      <w:pPr>
        <w:shd w:val="clear" w:color="auto" w:fill="FFFFFF"/>
        <w:ind w:left="708" w:right="493" w:firstLine="708"/>
        <w:jc w:val="both"/>
        <w:rPr>
          <w:color w:val="000000"/>
        </w:rPr>
      </w:pPr>
      <w:r w:rsidRPr="003F36F9">
        <w:rPr>
          <w:color w:val="000000"/>
        </w:rPr>
        <w:t>-</w:t>
      </w:r>
      <w:r w:rsidRPr="003F36F9">
        <w:rPr>
          <w:color w:val="000000"/>
          <w:sz w:val="14"/>
          <w:szCs w:val="14"/>
        </w:rPr>
        <w:t xml:space="preserve">          </w:t>
      </w:r>
      <w:r w:rsidRPr="003F36F9">
        <w:rPr>
          <w:color w:val="000000"/>
        </w:rPr>
        <w:t>les mesures de sécurisation du fichier électoral;</w:t>
      </w:r>
    </w:p>
    <w:p w:rsidR="003F36F9" w:rsidRPr="003F36F9" w:rsidRDefault="003F36F9" w:rsidP="00667773">
      <w:pPr>
        <w:shd w:val="clear" w:color="auto" w:fill="FFFFFF"/>
        <w:ind w:left="708" w:right="493" w:firstLine="708"/>
        <w:jc w:val="both"/>
        <w:rPr>
          <w:color w:val="000000"/>
        </w:rPr>
      </w:pPr>
      <w:r w:rsidRPr="003F36F9">
        <w:rPr>
          <w:color w:val="000000"/>
        </w:rPr>
        <w:t>-</w:t>
      </w:r>
      <w:r w:rsidRPr="003F36F9">
        <w:rPr>
          <w:color w:val="000000"/>
          <w:sz w:val="14"/>
          <w:szCs w:val="14"/>
        </w:rPr>
        <w:t xml:space="preserve">          </w:t>
      </w:r>
      <w:r w:rsidRPr="003F36F9">
        <w:rPr>
          <w:color w:val="000000"/>
        </w:rPr>
        <w:t>le vote des guinéens de l’extérieur ;</w:t>
      </w:r>
    </w:p>
    <w:p w:rsidR="003F36F9" w:rsidRPr="003F36F9" w:rsidRDefault="003F36F9" w:rsidP="00667773">
      <w:pPr>
        <w:shd w:val="clear" w:color="auto" w:fill="FFFFFF"/>
        <w:ind w:left="708" w:right="493" w:firstLine="708"/>
        <w:jc w:val="both"/>
        <w:rPr>
          <w:color w:val="000000"/>
        </w:rPr>
      </w:pPr>
      <w:r w:rsidRPr="003F36F9">
        <w:rPr>
          <w:color w:val="000000"/>
        </w:rPr>
        <w:t>-</w:t>
      </w:r>
      <w:r w:rsidRPr="003F36F9">
        <w:rPr>
          <w:color w:val="000000"/>
          <w:sz w:val="14"/>
          <w:szCs w:val="14"/>
        </w:rPr>
        <w:t xml:space="preserve">          </w:t>
      </w:r>
      <w:r w:rsidRPr="003F36F9">
        <w:rPr>
          <w:color w:val="000000"/>
        </w:rPr>
        <w:t>le chronogramme électoral.</w:t>
      </w:r>
    </w:p>
    <w:p w:rsidR="003F36F9" w:rsidRPr="003F36F9" w:rsidRDefault="003F36F9" w:rsidP="00667773">
      <w:pPr>
        <w:shd w:val="clear" w:color="auto" w:fill="FFFFFF"/>
        <w:ind w:left="708" w:right="493" w:firstLine="708"/>
        <w:jc w:val="both"/>
        <w:rPr>
          <w:color w:val="000000"/>
        </w:rPr>
      </w:pPr>
    </w:p>
    <w:p w:rsidR="003F36F9" w:rsidRPr="003F36F9" w:rsidRDefault="003F36F9" w:rsidP="00667773">
      <w:pPr>
        <w:shd w:val="clear" w:color="auto" w:fill="FFFFFF"/>
        <w:ind w:right="493"/>
        <w:jc w:val="both"/>
        <w:rPr>
          <w:color w:val="000000"/>
        </w:rPr>
      </w:pPr>
      <w:r w:rsidRPr="003F36F9">
        <w:rPr>
          <w:color w:val="000000"/>
        </w:rPr>
        <w:t xml:space="preserve">L’entente autour de ces points et en particulier sur le dispositif de sécurisation du fichier électoral ont été déterminants dans l’acceptation des partis de l’opposition de s’engager dans le processus de l’élection législative du 28 septembre 2013. Un suivi étroit de la mise en œuvre des points susmentionnés a permis d’opérer les ajustements requis chaque fois que nécessaire afin que les élections législatives soient organisées en cohérence avec les standards internationaux. </w:t>
      </w:r>
    </w:p>
    <w:p w:rsidR="003F36F9" w:rsidRPr="003F36F9" w:rsidRDefault="003F36F9" w:rsidP="00667773">
      <w:pPr>
        <w:shd w:val="clear" w:color="auto" w:fill="FFFFFF"/>
        <w:ind w:right="493"/>
        <w:jc w:val="both"/>
        <w:rPr>
          <w:color w:val="000000"/>
        </w:rPr>
      </w:pPr>
    </w:p>
    <w:p w:rsidR="003F36F9" w:rsidRPr="003F36F9" w:rsidRDefault="003F36F9" w:rsidP="00667773">
      <w:pPr>
        <w:numPr>
          <w:ilvl w:val="0"/>
          <w:numId w:val="32"/>
        </w:numPr>
        <w:shd w:val="clear" w:color="auto" w:fill="FFFFFF"/>
        <w:ind w:right="493"/>
        <w:contextualSpacing/>
        <w:jc w:val="both"/>
        <w:rPr>
          <w:b/>
          <w:color w:val="000000"/>
        </w:rPr>
      </w:pPr>
      <w:r w:rsidRPr="003F36F9">
        <w:rPr>
          <w:b/>
          <w:bCs/>
          <w:color w:val="000000"/>
        </w:rPr>
        <w:t>Un climat politique et social apaisé :</w:t>
      </w:r>
    </w:p>
    <w:p w:rsidR="003F36F9" w:rsidRPr="003F36F9" w:rsidRDefault="003F36F9" w:rsidP="00667773">
      <w:pPr>
        <w:shd w:val="clear" w:color="auto" w:fill="FFFFFF"/>
        <w:ind w:right="493"/>
        <w:jc w:val="both"/>
        <w:rPr>
          <w:bCs/>
          <w:color w:val="000000"/>
        </w:rPr>
      </w:pPr>
    </w:p>
    <w:p w:rsidR="003F36F9" w:rsidRPr="003F36F9" w:rsidRDefault="003F36F9" w:rsidP="00667773">
      <w:pPr>
        <w:shd w:val="clear" w:color="auto" w:fill="FFFFFF"/>
        <w:ind w:right="493"/>
        <w:jc w:val="both"/>
        <w:rPr>
          <w:color w:val="000000"/>
        </w:rPr>
      </w:pPr>
      <w:r w:rsidRPr="003F36F9">
        <w:rPr>
          <w:bCs/>
          <w:color w:val="000000"/>
        </w:rPr>
        <w:t>Le projet a également contribué à l’apaisement du climat politique et social : en effet, l</w:t>
      </w:r>
      <w:r w:rsidRPr="003F36F9">
        <w:rPr>
          <w:color w:val="000000"/>
        </w:rPr>
        <w:t>es actions déroulées dans le cadre de la facilitation ont contribué à l’apaisement du climat politique et social tendu qui a caractérisé le champ politique guinéen, de la mort du Président Lansana Conté jusqu’au mois de mai 2013. Les mesures d’apaisement ont été également intégrées dans le corps de l’Accord Politique du 3 juillet. Outre les élections législatives, ces mesures portent aussi sur les initiatives de renforcement de l’état de droit à travers la lutte contre l’impunité consécutive aux violences ayant émaillé les manifestations de rue liées à l’organisation des élections législatives. C’est dans cette optique que l’Accord Politique a engagé le Gouvernement à diligenter les enquêtes judiciaires sur ces cas de violence et l’indemnisation des victimes de ces violences ou leurs ayants droits.</w:t>
      </w:r>
    </w:p>
    <w:p w:rsidR="003F36F9" w:rsidRPr="003F36F9" w:rsidRDefault="003F36F9" w:rsidP="00667773">
      <w:pPr>
        <w:shd w:val="clear" w:color="auto" w:fill="FFFFFF"/>
        <w:ind w:right="493"/>
        <w:jc w:val="both"/>
        <w:rPr>
          <w:b/>
          <w:color w:val="000000"/>
        </w:rPr>
      </w:pPr>
    </w:p>
    <w:p w:rsidR="003F36F9" w:rsidRPr="003F36F9" w:rsidRDefault="003F36F9" w:rsidP="00667773">
      <w:pPr>
        <w:numPr>
          <w:ilvl w:val="0"/>
          <w:numId w:val="32"/>
        </w:numPr>
        <w:shd w:val="clear" w:color="auto" w:fill="FFFFFF"/>
        <w:ind w:right="493"/>
        <w:contextualSpacing/>
        <w:jc w:val="both"/>
        <w:rPr>
          <w:rFonts w:eastAsiaTheme="minorHAnsi"/>
          <w:b/>
          <w:color w:val="000000"/>
        </w:rPr>
      </w:pPr>
      <w:r w:rsidRPr="003F36F9">
        <w:rPr>
          <w:b/>
          <w:color w:val="000000"/>
        </w:rPr>
        <w:t>Un système électoral guinéen renforcé :</w:t>
      </w:r>
    </w:p>
    <w:p w:rsidR="003F36F9" w:rsidRPr="003F36F9" w:rsidRDefault="003F36F9" w:rsidP="00667773">
      <w:pPr>
        <w:shd w:val="clear" w:color="auto" w:fill="FFFFFF"/>
        <w:ind w:right="493"/>
        <w:jc w:val="both"/>
        <w:rPr>
          <w:rFonts w:eastAsiaTheme="minorHAnsi"/>
          <w:color w:val="000000"/>
        </w:rPr>
      </w:pPr>
      <w:r w:rsidRPr="003F36F9">
        <w:rPr>
          <w:color w:val="000000"/>
        </w:rPr>
        <w:t xml:space="preserve">La tenue des élections </w:t>
      </w:r>
      <w:r w:rsidR="00D63FDD">
        <w:rPr>
          <w:color w:val="000000"/>
        </w:rPr>
        <w:t>présidentielle de 2010  et législatives du</w:t>
      </w:r>
      <w:r w:rsidRPr="003F36F9">
        <w:rPr>
          <w:color w:val="000000"/>
        </w:rPr>
        <w:t xml:space="preserve"> 28 septembre 2013, </w:t>
      </w:r>
      <w:r w:rsidR="00D63FDD">
        <w:rPr>
          <w:color w:val="000000"/>
        </w:rPr>
        <w:t>ont</w:t>
      </w:r>
      <w:r w:rsidRPr="003F36F9">
        <w:rPr>
          <w:color w:val="000000"/>
        </w:rPr>
        <w:t xml:space="preserve"> constitué un pas important pour le parachèvement de la transition politique en attendant les élections locales. L’autre impact de la Facilitation est sans doute la contribution au renforcement du système électoral guinéen à travers l’identification des défis institutionnels, organisationnels, d’ordre juridique et ceux touchant au renforcement de la sécurisation du fichier électoral et des résultats du vote, à relever pour des élections davantage plus crédibles, plus transparentes et plus apaisées en Guinée. </w:t>
      </w:r>
    </w:p>
    <w:p w:rsidR="003F36F9" w:rsidRPr="003F36F9" w:rsidRDefault="003F36F9" w:rsidP="00667773">
      <w:pPr>
        <w:shd w:val="clear" w:color="auto" w:fill="FFFFFF"/>
        <w:ind w:right="493"/>
        <w:jc w:val="both"/>
        <w:rPr>
          <w:color w:val="000000"/>
        </w:rPr>
      </w:pPr>
    </w:p>
    <w:p w:rsidR="003F36F9" w:rsidRPr="003F36F9" w:rsidRDefault="003F36F9" w:rsidP="00667773">
      <w:pPr>
        <w:numPr>
          <w:ilvl w:val="0"/>
          <w:numId w:val="31"/>
        </w:numPr>
        <w:spacing w:after="240"/>
        <w:ind w:right="493"/>
        <w:jc w:val="both"/>
        <w:rPr>
          <w:rFonts w:cs="Arial"/>
          <w:b/>
          <w:szCs w:val="20"/>
          <w:lang w:eastAsia="en-US"/>
        </w:rPr>
      </w:pPr>
      <w:r w:rsidRPr="003F36F9">
        <w:rPr>
          <w:rFonts w:cs="Arial"/>
          <w:b/>
          <w:szCs w:val="20"/>
          <w:lang w:eastAsia="en-US"/>
        </w:rPr>
        <w:t>Produits :</w:t>
      </w:r>
    </w:p>
    <w:p w:rsidR="003F36F9" w:rsidRPr="00667773" w:rsidRDefault="003F36F9" w:rsidP="00667773">
      <w:pPr>
        <w:spacing w:after="240"/>
        <w:ind w:right="493"/>
        <w:jc w:val="both"/>
        <w:rPr>
          <w:rFonts w:cs="Arial"/>
          <w:szCs w:val="20"/>
          <w:lang w:eastAsia="en-US"/>
        </w:rPr>
      </w:pPr>
      <w:r w:rsidRPr="003F36F9">
        <w:rPr>
          <w:rFonts w:cs="Arial"/>
          <w:szCs w:val="20"/>
          <w:lang w:eastAsia="en-US"/>
        </w:rPr>
        <w:lastRenderedPageBreak/>
        <w:t>Le</w:t>
      </w:r>
      <w:r w:rsidR="00667773">
        <w:rPr>
          <w:rFonts w:cs="Arial"/>
          <w:szCs w:val="20"/>
          <w:lang w:eastAsia="en-US"/>
        </w:rPr>
        <w:t xml:space="preserve"> principal produit escompté</w:t>
      </w:r>
      <w:r w:rsidRPr="003F36F9">
        <w:rPr>
          <w:rFonts w:cs="Arial"/>
          <w:szCs w:val="20"/>
          <w:lang w:eastAsia="en-US"/>
        </w:rPr>
        <w:t xml:space="preserve"> par le </w:t>
      </w:r>
      <w:r w:rsidR="00667773" w:rsidRPr="003F36F9">
        <w:rPr>
          <w:rFonts w:cs="Arial"/>
          <w:szCs w:val="20"/>
          <w:lang w:eastAsia="en-US"/>
        </w:rPr>
        <w:t>projet</w:t>
      </w:r>
      <w:r w:rsidR="00667773">
        <w:rPr>
          <w:rFonts w:cs="Arial"/>
          <w:szCs w:val="20"/>
          <w:lang w:eastAsia="en-US"/>
        </w:rPr>
        <w:t xml:space="preserve"> visait « la </w:t>
      </w:r>
      <w:r w:rsidR="00667773" w:rsidRPr="00667773">
        <w:rPr>
          <w:rFonts w:cs="Arial"/>
          <w:szCs w:val="20"/>
          <w:lang w:eastAsia="en-US"/>
        </w:rPr>
        <w:t>f</w:t>
      </w:r>
      <w:r w:rsidRPr="003F36F9">
        <w:t>acilitation du dialogue politique national entre les acteurs politiques guinéens en vue de conduire à des élections législatives libres, transparentes, sécurisées, inclusives et apaisées</w:t>
      </w:r>
      <w:r w:rsidR="00667773">
        <w:rPr>
          <w:b/>
        </w:rPr>
        <w:t> »</w:t>
      </w:r>
      <w:r w:rsidRPr="003F36F9">
        <w:rPr>
          <w:b/>
        </w:rPr>
        <w:t> :</w:t>
      </w:r>
    </w:p>
    <w:p w:rsidR="003F36F9" w:rsidRPr="003F36F9" w:rsidRDefault="003F36F9" w:rsidP="00667773">
      <w:pPr>
        <w:ind w:right="493"/>
        <w:jc w:val="center"/>
        <w:rPr>
          <w:sz w:val="18"/>
          <w:szCs w:val="18"/>
        </w:rPr>
      </w:pPr>
    </w:p>
    <w:p w:rsidR="003F36F9" w:rsidRPr="003F36F9" w:rsidRDefault="003F36F9" w:rsidP="00667773">
      <w:pPr>
        <w:spacing w:after="120"/>
        <w:ind w:right="493"/>
        <w:jc w:val="both"/>
        <w:rPr>
          <w:rFonts w:cs="Arial"/>
          <w:bCs/>
          <w:i/>
          <w:szCs w:val="20"/>
          <w:lang w:eastAsia="en-US"/>
        </w:rPr>
      </w:pPr>
      <w:r w:rsidRPr="003F36F9">
        <w:rPr>
          <w:rFonts w:cs="Arial"/>
          <w:b/>
          <w:bCs/>
          <w:szCs w:val="20"/>
          <w:lang w:eastAsia="en-US"/>
        </w:rPr>
        <w:t>Évaluation qualitative:</w:t>
      </w:r>
      <w:r w:rsidRPr="003F36F9">
        <w:rPr>
          <w:rFonts w:cs="Arial"/>
          <w:bCs/>
          <w:szCs w:val="20"/>
          <w:lang w:eastAsia="en-US"/>
        </w:rPr>
        <w:t xml:space="preserve"> </w:t>
      </w:r>
      <w:r w:rsidRPr="003F36F9">
        <w:rPr>
          <w:rFonts w:cs="Arial"/>
          <w:bCs/>
          <w:i/>
          <w:szCs w:val="20"/>
          <w:lang w:eastAsia="en-US"/>
        </w:rPr>
        <w:t xml:space="preserve">Fournir une évaluation qualitative du niveau de réussite du projet, de ses contributions aux résultats du programme, et indiquer si les </w:t>
      </w:r>
      <w:r w:rsidRPr="003F36F9">
        <w:rPr>
          <w:rFonts w:cs="Arial"/>
          <w:b/>
          <w:bCs/>
          <w:i/>
          <w:szCs w:val="20"/>
          <w:lang w:eastAsia="en-US"/>
        </w:rPr>
        <w:t xml:space="preserve">causes et principaux moteurs du conflit </w:t>
      </w:r>
      <w:r w:rsidRPr="003F36F9">
        <w:rPr>
          <w:rFonts w:cs="Arial"/>
          <w:bCs/>
          <w:i/>
          <w:szCs w:val="20"/>
          <w:lang w:eastAsia="en-US"/>
        </w:rPr>
        <w:t xml:space="preserve">ont été traités avec succès ou non. </w:t>
      </w:r>
      <w:bookmarkStart w:id="5" w:name="_Toc249364487"/>
      <w:r w:rsidRPr="003F36F9">
        <w:rPr>
          <w:rFonts w:cs="Arial"/>
          <w:bCs/>
          <w:i/>
          <w:szCs w:val="20"/>
          <w:lang w:eastAsia="en-US"/>
        </w:rPr>
        <w:t xml:space="preserve">Indiquer les principaux partenariats, et expliquer de quelle manière cette coopération a contribué à l’obtention de résultats. Exposer également les questions transversales concernant les résultats que vous avez rapportés. Enfin, quels ont été les </w:t>
      </w:r>
      <w:r w:rsidRPr="003F36F9">
        <w:rPr>
          <w:rFonts w:cs="Arial"/>
          <w:b/>
          <w:bCs/>
          <w:i/>
          <w:szCs w:val="20"/>
          <w:lang w:eastAsia="en-US"/>
        </w:rPr>
        <w:t xml:space="preserve">effets catalyseurs </w:t>
      </w:r>
      <w:r w:rsidRPr="003F36F9">
        <w:rPr>
          <w:rFonts w:cs="Arial"/>
          <w:bCs/>
          <w:i/>
          <w:szCs w:val="20"/>
          <w:lang w:eastAsia="en-US"/>
        </w:rPr>
        <w:t>de votre projet – engagements de financement supplémentaires, déclenchement de processus de paix pertinents?</w:t>
      </w:r>
    </w:p>
    <w:p w:rsidR="003F36F9" w:rsidRPr="003F36F9" w:rsidRDefault="003F36F9" w:rsidP="00D6211D">
      <w:pPr>
        <w:tabs>
          <w:tab w:val="left" w:pos="12049"/>
        </w:tabs>
        <w:spacing w:after="120"/>
        <w:ind w:right="493"/>
        <w:jc w:val="both"/>
        <w:rPr>
          <w:szCs w:val="23"/>
        </w:rPr>
      </w:pPr>
      <w:r w:rsidRPr="003F36F9">
        <w:t xml:space="preserve">Dans un contexte où le dialogue politique inclusif entre les acteurs au processus électoral était indispensable pour la paix et la stabilité du pays, le projet d’appui à la facilitation internationale a été la contribution la plus significative. En effet, l’organisation des élections </w:t>
      </w:r>
      <w:r w:rsidR="00667773">
        <w:t xml:space="preserve">présidentielles de 2010 et </w:t>
      </w:r>
      <w:r w:rsidRPr="003F36F9">
        <w:t xml:space="preserve">législatives du 28 septembre 2013 en Guinée, a été le fruit de la facilitation menée entre les acteurs politiques, et en cela l’intervention du projet a permis de dénouer  la crise de confiance et palier au déficit de dialogue entre les acteurs politiques </w:t>
      </w:r>
      <w:r w:rsidRPr="003F36F9">
        <w:rPr>
          <w:szCs w:val="23"/>
        </w:rPr>
        <w:t xml:space="preserve">guinéens. </w:t>
      </w:r>
    </w:p>
    <w:p w:rsidR="00667773" w:rsidRPr="00D6211D" w:rsidRDefault="00667773" w:rsidP="00D6211D">
      <w:pPr>
        <w:tabs>
          <w:tab w:val="left" w:pos="12049"/>
        </w:tabs>
        <w:spacing w:before="240"/>
        <w:ind w:right="493"/>
        <w:rPr>
          <w:szCs w:val="23"/>
        </w:rPr>
      </w:pPr>
      <w:r w:rsidRPr="00D6211D">
        <w:rPr>
          <w:szCs w:val="23"/>
        </w:rPr>
        <w:t>Cette contribution a été essentielle pour l’apaisement du climat politique national et la décrispation de la tension entre les parties prenantes au processus électoral. Au-delà du plaidoyer,  la médiation a participé aux différents cadres de concertation politique et facilité la vulgarisation des accords de Ouagadougou en 2010 et au suivi de ceux du 3 juillet 2013</w:t>
      </w:r>
    </w:p>
    <w:p w:rsidR="00667773" w:rsidRPr="00D6211D" w:rsidRDefault="00667773" w:rsidP="00D6211D">
      <w:pPr>
        <w:tabs>
          <w:tab w:val="left" w:pos="12049"/>
        </w:tabs>
        <w:spacing w:before="240"/>
        <w:ind w:right="493"/>
        <w:rPr>
          <w:szCs w:val="23"/>
        </w:rPr>
      </w:pPr>
      <w:r w:rsidRPr="00D6211D">
        <w:rPr>
          <w:szCs w:val="23"/>
        </w:rPr>
        <w:t xml:space="preserve">. </w:t>
      </w:r>
    </w:p>
    <w:p w:rsidR="003F36F9" w:rsidRPr="003F36F9" w:rsidRDefault="003F36F9" w:rsidP="00D6211D">
      <w:pPr>
        <w:tabs>
          <w:tab w:val="left" w:pos="12049"/>
        </w:tabs>
        <w:spacing w:after="120"/>
        <w:ind w:right="493"/>
        <w:jc w:val="both"/>
        <w:rPr>
          <w:szCs w:val="23"/>
        </w:rPr>
      </w:pPr>
      <w:r w:rsidRPr="003F36F9">
        <w:rPr>
          <w:szCs w:val="23"/>
        </w:rPr>
        <w:t>En outre le projet a joué un rôle catalytique à travers une mobilisation partenariale et financière conséquente, concrétisée par la mise en œuvre d’initiatives complémentaires dont l’appui à la Formation des agents des bureaux de vote, la surveillance électorale par la Société Civile, la sécurisation du processus électoral, etc.</w:t>
      </w:r>
    </w:p>
    <w:bookmarkEnd w:id="5"/>
    <w:p w:rsidR="00383C87" w:rsidRDefault="00383C87"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D6211D" w:rsidRDefault="00D6211D" w:rsidP="00667773">
      <w:pPr>
        <w:autoSpaceDE w:val="0"/>
        <w:autoSpaceDN w:val="0"/>
        <w:adjustRightInd w:val="0"/>
        <w:ind w:right="493"/>
        <w:jc w:val="both"/>
        <w:rPr>
          <w:color w:val="000000"/>
        </w:rPr>
      </w:pPr>
    </w:p>
    <w:p w:rsidR="001648AB" w:rsidRPr="006A721B" w:rsidRDefault="007807AE" w:rsidP="00DD025C">
      <w:pPr>
        <w:pStyle w:val="BodyText"/>
        <w:tabs>
          <w:tab w:val="left" w:pos="360"/>
        </w:tabs>
        <w:ind w:left="720"/>
        <w:jc w:val="both"/>
        <w:rPr>
          <w:rFonts w:ascii="Times New Roman" w:hAnsi="Times New Roman"/>
          <w:bCs/>
          <w:sz w:val="24"/>
          <w:lang w:val="fr-FR"/>
        </w:rPr>
      </w:pPr>
      <w:r>
        <w:rPr>
          <w:noProof/>
        </w:rPr>
        <mc:AlternateContent>
          <mc:Choice Requires="wps">
            <w:drawing>
              <wp:anchor distT="0" distB="0" distL="114300" distR="114300" simplePos="0" relativeHeight="251654656" behindDoc="0" locked="0" layoutInCell="1" allowOverlap="1" wp14:anchorId="3C00E5E9" wp14:editId="0980DF9C">
                <wp:simplePos x="0" y="0"/>
                <wp:positionH relativeFrom="column">
                  <wp:posOffset>-518160</wp:posOffset>
                </wp:positionH>
                <wp:positionV relativeFrom="paragraph">
                  <wp:posOffset>-178435</wp:posOffset>
                </wp:positionV>
                <wp:extent cx="9446260" cy="291465"/>
                <wp:effectExtent l="0" t="0" r="21590" b="133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1648AB" w:rsidRPr="004001D8" w:rsidRDefault="001648AB" w:rsidP="00DD025C">
                            <w:pPr>
                              <w:jc w:val="center"/>
                              <w:rPr>
                                <w:b/>
                              </w:rPr>
                            </w:pPr>
                            <w:r w:rsidRPr="004001D8">
                              <w:rPr>
                                <w:b/>
                              </w:rPr>
                              <w:t xml:space="preserve">ii) </w:t>
                            </w:r>
                            <w:r>
                              <w:rPr>
                                <w:b/>
                              </w:rPr>
                              <w:t>É</w:t>
                            </w:r>
                            <w:r w:rsidRPr="004001D8">
                              <w:rPr>
                                <w:b/>
                              </w:rPr>
                              <w:t>valuation de la performance à partir d’indicateurs: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" fillcolor="#f2f2f2" strokecolor="#d8d8d8">
                <v:textbox>
                  <w:txbxContent>
                    <w:p w:rsidR="001648AB" w:rsidRPr="004001D8" w:rsidRDefault="001648AB" w:rsidP="00DD025C">
                      <w:pPr>
                        <w:jc w:val="center"/>
                        <w:rPr>
                          <w:b/>
                        </w:rPr>
                      </w:pPr>
                      <w:r w:rsidRPr="004001D8">
                        <w:rPr>
                          <w:b/>
                        </w:rPr>
                        <w:t xml:space="preserve">ii) </w:t>
                      </w:r>
                      <w:r>
                        <w:rPr>
                          <w:b/>
                        </w:rPr>
                        <w:t>É</w:t>
                      </w:r>
                      <w:r w:rsidRPr="004001D8">
                        <w:rPr>
                          <w:b/>
                        </w:rPr>
                        <w:t>valuation de la performance à partir d’indicateurs:</w:t>
                      </w:r>
                    </w:p>
                  </w:txbxContent>
                </v:textbox>
              </v:shape>
            </w:pict>
          </mc:Fallback>
        </mc:AlternateContent>
      </w:r>
    </w:p>
    <w:p w:rsidR="001648AB" w:rsidRPr="006A721B" w:rsidRDefault="001648AB" w:rsidP="00DD025C">
      <w:pPr>
        <w:pStyle w:val="BodyText"/>
        <w:jc w:val="both"/>
        <w:rPr>
          <w:rFonts w:ascii="Times New Roman" w:hAnsi="Times New Roman"/>
          <w:bCs/>
          <w:sz w:val="24"/>
          <w:lang w:val="fr-FR"/>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5"/>
        <w:gridCol w:w="3745"/>
        <w:gridCol w:w="1980"/>
        <w:gridCol w:w="5130"/>
      </w:tblGrid>
      <w:tr w:rsidR="001648AB" w:rsidRPr="00923C96" w:rsidTr="00B7371C">
        <w:tc>
          <w:tcPr>
            <w:tcW w:w="4265" w:type="dxa"/>
          </w:tcPr>
          <w:p w:rsidR="001648AB" w:rsidRPr="00923C96" w:rsidRDefault="001648AB" w:rsidP="00E17407">
            <w:pPr>
              <w:pStyle w:val="BodyText"/>
              <w:jc w:val="both"/>
              <w:rPr>
                <w:rFonts w:ascii="Times New Roman" w:hAnsi="Times New Roman"/>
                <w:bCs/>
                <w:lang w:val="fr-FR"/>
              </w:rPr>
            </w:pPr>
          </w:p>
        </w:tc>
        <w:tc>
          <w:tcPr>
            <w:tcW w:w="3745" w:type="dxa"/>
          </w:tcPr>
          <w:p w:rsidR="001648AB" w:rsidRPr="00923C96" w:rsidRDefault="001648AB" w:rsidP="00E17407">
            <w:pPr>
              <w:jc w:val="center"/>
              <w:rPr>
                <w:b/>
                <w:sz w:val="20"/>
                <w:szCs w:val="20"/>
              </w:rPr>
            </w:pPr>
            <w:r w:rsidRPr="00923C96">
              <w:rPr>
                <w:b/>
                <w:sz w:val="20"/>
                <w:szCs w:val="20"/>
              </w:rPr>
              <w:t xml:space="preserve">Objectifs </w:t>
            </w:r>
            <w:r w:rsidRPr="00923C96">
              <w:rPr>
                <w:b/>
                <w:sz w:val="20"/>
                <w:szCs w:val="20"/>
                <w:u w:val="single"/>
              </w:rPr>
              <w:t>atteints</w:t>
            </w:r>
            <w:r w:rsidRPr="00923C96">
              <w:rPr>
                <w:b/>
                <w:sz w:val="20"/>
                <w:szCs w:val="20"/>
              </w:rPr>
              <w:t xml:space="preserve"> en liaison avec les indicateurs</w:t>
            </w:r>
          </w:p>
        </w:tc>
        <w:tc>
          <w:tcPr>
            <w:tcW w:w="1980" w:type="dxa"/>
          </w:tcPr>
          <w:p w:rsidR="001648AB" w:rsidRPr="00923C96" w:rsidRDefault="001648AB" w:rsidP="00E17407">
            <w:pPr>
              <w:jc w:val="center"/>
              <w:rPr>
                <w:b/>
                <w:sz w:val="20"/>
                <w:szCs w:val="20"/>
              </w:rPr>
            </w:pPr>
            <w:r w:rsidRPr="00923C96">
              <w:rPr>
                <w:b/>
                <w:sz w:val="20"/>
                <w:szCs w:val="20"/>
              </w:rPr>
              <w:t>Raisons des écarts éventuels par rapport aux objectifs fixés à l’origine</w:t>
            </w:r>
          </w:p>
        </w:tc>
        <w:tc>
          <w:tcPr>
            <w:tcW w:w="5130" w:type="dxa"/>
          </w:tcPr>
          <w:p w:rsidR="001648AB" w:rsidRPr="00923C96" w:rsidRDefault="001648AB" w:rsidP="00E17407">
            <w:pPr>
              <w:jc w:val="center"/>
              <w:rPr>
                <w:b/>
                <w:sz w:val="20"/>
                <w:szCs w:val="20"/>
              </w:rPr>
            </w:pPr>
            <w:r w:rsidRPr="00923C96">
              <w:rPr>
                <w:b/>
                <w:sz w:val="20"/>
                <w:szCs w:val="20"/>
              </w:rPr>
              <w:t>Source de vérification</w:t>
            </w:r>
          </w:p>
        </w:tc>
      </w:tr>
      <w:tr w:rsidR="001648AB" w:rsidRPr="00923C96" w:rsidTr="00B7371C">
        <w:tc>
          <w:tcPr>
            <w:tcW w:w="4265" w:type="dxa"/>
            <w:shd w:val="pct15" w:color="auto" w:fill="auto"/>
          </w:tcPr>
          <w:p w:rsidR="00FF3C28" w:rsidRPr="00923C96" w:rsidRDefault="0094590E" w:rsidP="00FF3C28">
            <w:pPr>
              <w:rPr>
                <w:sz w:val="20"/>
                <w:szCs w:val="20"/>
              </w:rPr>
            </w:pPr>
            <w:r w:rsidRPr="00923C96">
              <w:rPr>
                <w:b/>
                <w:sz w:val="20"/>
                <w:szCs w:val="20"/>
              </w:rPr>
              <w:t>Produit</w:t>
            </w:r>
            <w:r w:rsidR="001648AB" w:rsidRPr="00923C96">
              <w:rPr>
                <w:b/>
                <w:sz w:val="20"/>
                <w:szCs w:val="20"/>
              </w:rPr>
              <w:t xml:space="preserve"> 1</w:t>
            </w:r>
            <w:r w:rsidR="001648AB" w:rsidRPr="00923C96">
              <w:rPr>
                <w:rStyle w:val="FootnoteReference"/>
                <w:b/>
                <w:sz w:val="20"/>
                <w:szCs w:val="20"/>
              </w:rPr>
              <w:footnoteReference w:id="9"/>
            </w:r>
            <w:r w:rsidR="00FF3C28" w:rsidRPr="00923C96">
              <w:rPr>
                <w:b/>
                <w:sz w:val="20"/>
                <w:szCs w:val="20"/>
              </w:rPr>
              <w:t xml:space="preserve"> : </w:t>
            </w:r>
            <w:r w:rsidR="00FF3C28" w:rsidRPr="00923C96">
              <w:rPr>
                <w:sz w:val="20"/>
                <w:szCs w:val="20"/>
              </w:rPr>
              <w:t>Les élections sont organisées dans un cadre politique apaisé</w:t>
            </w:r>
          </w:p>
          <w:p w:rsidR="001648AB" w:rsidRPr="00923C96" w:rsidRDefault="001648AB" w:rsidP="00E17407">
            <w:pPr>
              <w:rPr>
                <w:b/>
                <w:sz w:val="20"/>
                <w:szCs w:val="20"/>
              </w:rPr>
            </w:pPr>
            <w:r w:rsidRPr="00923C96">
              <w:rPr>
                <w:b/>
                <w:sz w:val="20"/>
                <w:szCs w:val="20"/>
              </w:rPr>
              <w:t>Indicateur:</w:t>
            </w:r>
            <w:r w:rsidR="00FF3C28" w:rsidRPr="00923C96">
              <w:rPr>
                <w:b/>
                <w:sz w:val="20"/>
                <w:szCs w:val="20"/>
              </w:rPr>
              <w:t xml:space="preserve"> </w:t>
            </w:r>
            <w:r w:rsidR="00FF3C28" w:rsidRPr="00923C96">
              <w:rPr>
                <w:sz w:val="20"/>
                <w:szCs w:val="20"/>
              </w:rPr>
              <w:t>Disponibilité d’un accord politique entre les acteurs du processus électoral</w:t>
            </w:r>
          </w:p>
          <w:p w:rsidR="001648AB" w:rsidRPr="00923C96" w:rsidRDefault="001648AB" w:rsidP="00E17407">
            <w:pPr>
              <w:rPr>
                <w:b/>
                <w:sz w:val="20"/>
                <w:szCs w:val="20"/>
              </w:rPr>
            </w:pPr>
            <w:r w:rsidRPr="00923C96">
              <w:rPr>
                <w:b/>
                <w:sz w:val="20"/>
                <w:szCs w:val="20"/>
              </w:rPr>
              <w:t>Données de référence:</w:t>
            </w:r>
            <w:r w:rsidR="00FF3C28" w:rsidRPr="00923C96">
              <w:rPr>
                <w:b/>
                <w:sz w:val="20"/>
                <w:szCs w:val="20"/>
              </w:rPr>
              <w:t xml:space="preserve"> </w:t>
            </w:r>
            <w:r w:rsidR="00FF3C28" w:rsidRPr="00923C96">
              <w:rPr>
                <w:sz w:val="20"/>
                <w:szCs w:val="20"/>
              </w:rPr>
              <w:t>Tensions entre les partis de l’opposition et ceux de la mouvance</w:t>
            </w:r>
          </w:p>
          <w:p w:rsidR="001648AB" w:rsidRPr="00923C96" w:rsidRDefault="001648AB" w:rsidP="00FF3C28">
            <w:pPr>
              <w:rPr>
                <w:b/>
                <w:sz w:val="20"/>
                <w:szCs w:val="20"/>
              </w:rPr>
            </w:pPr>
            <w:r w:rsidRPr="00923C96">
              <w:rPr>
                <w:b/>
                <w:sz w:val="20"/>
                <w:szCs w:val="20"/>
              </w:rPr>
              <w:t>Cibles prévues à l’origine:</w:t>
            </w:r>
            <w:r w:rsidR="00FF3C28" w:rsidRPr="00923C96">
              <w:rPr>
                <w:b/>
                <w:sz w:val="20"/>
                <w:szCs w:val="20"/>
              </w:rPr>
              <w:t xml:space="preserve"> </w:t>
            </w:r>
            <w:r w:rsidR="00FF3C28" w:rsidRPr="00923C96">
              <w:rPr>
                <w:sz w:val="20"/>
                <w:szCs w:val="20"/>
              </w:rPr>
              <w:t>accord politique est signé, équipe de facilitation du dialogue  en place</w:t>
            </w:r>
          </w:p>
          <w:p w:rsidR="001648AB" w:rsidRPr="00923C96" w:rsidRDefault="001648AB" w:rsidP="00E17407">
            <w:pPr>
              <w:pStyle w:val="BodyText"/>
              <w:jc w:val="both"/>
              <w:rPr>
                <w:rFonts w:ascii="Times New Roman" w:hAnsi="Times New Roman"/>
                <w:bCs/>
                <w:lang w:val="fr-FR"/>
              </w:rPr>
            </w:pPr>
          </w:p>
        </w:tc>
        <w:tc>
          <w:tcPr>
            <w:tcW w:w="3745" w:type="dxa"/>
            <w:shd w:val="pct15" w:color="auto" w:fill="auto"/>
          </w:tcPr>
          <w:p w:rsidR="00FF3C28" w:rsidRPr="00923C96" w:rsidRDefault="00FF3C28" w:rsidP="00E17407">
            <w:pPr>
              <w:pStyle w:val="BodyText"/>
              <w:jc w:val="both"/>
              <w:rPr>
                <w:rFonts w:ascii="Times New Roman" w:hAnsi="Times New Roman"/>
                <w:bCs/>
                <w:lang w:val="fr-FR"/>
              </w:rPr>
            </w:pPr>
          </w:p>
          <w:p w:rsidR="00FF3C28" w:rsidRPr="00923C96" w:rsidRDefault="00FF3C28" w:rsidP="00B7371C">
            <w:pPr>
              <w:pStyle w:val="BodyText"/>
              <w:numPr>
                <w:ilvl w:val="0"/>
                <w:numId w:val="22"/>
              </w:numPr>
              <w:jc w:val="both"/>
              <w:rPr>
                <w:rFonts w:ascii="Times New Roman" w:hAnsi="Times New Roman"/>
                <w:bCs/>
                <w:lang w:val="fr-FR"/>
              </w:rPr>
            </w:pPr>
            <w:r w:rsidRPr="00923C96">
              <w:rPr>
                <w:rFonts w:ascii="Times New Roman" w:hAnsi="Times New Roman"/>
                <w:bCs/>
                <w:lang w:val="fr-FR"/>
              </w:rPr>
              <w:t>Finalisation des inscriptions sur les listes électorales</w:t>
            </w:r>
          </w:p>
          <w:p w:rsidR="00FF3C28" w:rsidRPr="00923C96" w:rsidRDefault="00FF3C28" w:rsidP="00B7371C">
            <w:pPr>
              <w:pStyle w:val="BodyText"/>
              <w:numPr>
                <w:ilvl w:val="0"/>
                <w:numId w:val="22"/>
              </w:numPr>
              <w:jc w:val="both"/>
              <w:rPr>
                <w:rFonts w:ascii="Times New Roman" w:hAnsi="Times New Roman"/>
                <w:bCs/>
                <w:lang w:val="fr-FR"/>
              </w:rPr>
            </w:pPr>
            <w:r w:rsidRPr="00923C96">
              <w:rPr>
                <w:rFonts w:ascii="Times New Roman" w:hAnsi="Times New Roman"/>
                <w:bCs/>
                <w:lang w:val="fr-FR"/>
              </w:rPr>
              <w:t>Nouvelle constitution approuvée</w:t>
            </w:r>
          </w:p>
          <w:p w:rsidR="001648AB" w:rsidRPr="00923C96" w:rsidRDefault="00FF3C28" w:rsidP="00B7371C">
            <w:pPr>
              <w:pStyle w:val="BodyText"/>
              <w:numPr>
                <w:ilvl w:val="0"/>
                <w:numId w:val="22"/>
              </w:numPr>
              <w:jc w:val="both"/>
              <w:rPr>
                <w:rFonts w:ascii="Times New Roman" w:hAnsi="Times New Roman"/>
                <w:bCs/>
                <w:lang w:val="fr-FR"/>
              </w:rPr>
            </w:pPr>
            <w:r w:rsidRPr="00923C96">
              <w:rPr>
                <w:rFonts w:ascii="Times New Roman" w:hAnsi="Times New Roman"/>
                <w:bCs/>
                <w:lang w:val="fr-FR"/>
              </w:rPr>
              <w:t>Code électoral consensuel</w:t>
            </w:r>
          </w:p>
          <w:p w:rsidR="00FF3C28" w:rsidRPr="00923C96" w:rsidRDefault="00FF3C28" w:rsidP="00B7371C">
            <w:pPr>
              <w:pStyle w:val="BodyText"/>
              <w:numPr>
                <w:ilvl w:val="0"/>
                <w:numId w:val="22"/>
              </w:numPr>
              <w:jc w:val="both"/>
              <w:rPr>
                <w:rFonts w:ascii="Times New Roman" w:hAnsi="Times New Roman"/>
                <w:bCs/>
                <w:lang w:val="fr-FR"/>
              </w:rPr>
            </w:pPr>
            <w:r w:rsidRPr="00923C96">
              <w:rPr>
                <w:rFonts w:ascii="Times New Roman" w:hAnsi="Times New Roman"/>
                <w:bCs/>
                <w:lang w:val="fr-FR"/>
              </w:rPr>
              <w:t>Campagne électorale apaisée</w:t>
            </w:r>
          </w:p>
          <w:p w:rsidR="00B7371C" w:rsidRPr="00923C96" w:rsidRDefault="00B7371C" w:rsidP="00B7371C">
            <w:pPr>
              <w:pStyle w:val="BodyText"/>
              <w:jc w:val="both"/>
              <w:rPr>
                <w:rFonts w:ascii="Times New Roman" w:hAnsi="Times New Roman"/>
                <w:bCs/>
                <w:lang w:val="fr-FR"/>
              </w:rPr>
            </w:pPr>
          </w:p>
        </w:tc>
        <w:tc>
          <w:tcPr>
            <w:tcW w:w="1980" w:type="dxa"/>
            <w:shd w:val="pct15" w:color="auto" w:fill="auto"/>
          </w:tcPr>
          <w:p w:rsidR="001648AB" w:rsidRPr="00923C96" w:rsidRDefault="001648AB" w:rsidP="00E17407">
            <w:pPr>
              <w:pStyle w:val="BodyText"/>
              <w:jc w:val="both"/>
              <w:rPr>
                <w:rFonts w:ascii="Times New Roman" w:hAnsi="Times New Roman"/>
                <w:bCs/>
                <w:lang w:val="fr-FR"/>
              </w:rPr>
            </w:pPr>
          </w:p>
        </w:tc>
        <w:tc>
          <w:tcPr>
            <w:tcW w:w="5130" w:type="dxa"/>
            <w:shd w:val="pct15" w:color="auto" w:fill="auto"/>
          </w:tcPr>
          <w:p w:rsidR="00B7371C" w:rsidRPr="00923C96" w:rsidRDefault="00B7371C" w:rsidP="00B7371C">
            <w:pPr>
              <w:pStyle w:val="BodyText"/>
              <w:ind w:left="720"/>
              <w:jc w:val="both"/>
              <w:rPr>
                <w:rFonts w:ascii="Times New Roman" w:hAnsi="Times New Roman"/>
                <w:bCs/>
                <w:lang w:val="fr-FR"/>
              </w:rPr>
            </w:pPr>
          </w:p>
          <w:p w:rsidR="00FF3C28" w:rsidRPr="00923C96" w:rsidRDefault="00B7371C" w:rsidP="00B7371C">
            <w:pPr>
              <w:pStyle w:val="BodyText"/>
              <w:numPr>
                <w:ilvl w:val="0"/>
                <w:numId w:val="14"/>
              </w:numPr>
              <w:jc w:val="both"/>
              <w:rPr>
                <w:rFonts w:ascii="Times New Roman" w:hAnsi="Times New Roman"/>
                <w:bCs/>
                <w:lang w:val="fr-FR"/>
              </w:rPr>
            </w:pPr>
            <w:r w:rsidRPr="00923C96">
              <w:rPr>
                <w:rFonts w:ascii="Times New Roman" w:hAnsi="Times New Roman"/>
                <w:bCs/>
                <w:lang w:val="fr-FR"/>
              </w:rPr>
              <w:t>La communauté internationale déclare les élections libres et indépendantes et celles-ci sont acceptées par les acteurs politiques</w:t>
            </w:r>
          </w:p>
          <w:p w:rsidR="001648AB" w:rsidRDefault="00FF3C28" w:rsidP="00B7371C">
            <w:pPr>
              <w:pStyle w:val="BodyText"/>
              <w:numPr>
                <w:ilvl w:val="0"/>
                <w:numId w:val="14"/>
              </w:numPr>
              <w:jc w:val="both"/>
              <w:rPr>
                <w:rFonts w:ascii="Times New Roman" w:hAnsi="Times New Roman"/>
                <w:bCs/>
                <w:lang w:val="fr-FR"/>
              </w:rPr>
            </w:pPr>
            <w:r w:rsidRPr="00923C96">
              <w:rPr>
                <w:rFonts w:ascii="Times New Roman" w:hAnsi="Times New Roman"/>
                <w:bCs/>
                <w:lang w:val="fr-FR"/>
              </w:rPr>
              <w:t>Pas de violences majeures durant la période pré-électorale</w:t>
            </w:r>
          </w:p>
          <w:p w:rsidR="007F5EFF" w:rsidRPr="007F5EFF" w:rsidRDefault="007F5EFF" w:rsidP="007F5EFF">
            <w:pPr>
              <w:pStyle w:val="BodyText"/>
              <w:numPr>
                <w:ilvl w:val="0"/>
                <w:numId w:val="14"/>
              </w:numPr>
              <w:jc w:val="both"/>
              <w:rPr>
                <w:rFonts w:ascii="Times New Roman" w:hAnsi="Times New Roman"/>
                <w:bCs/>
                <w:lang w:val="fr-FR"/>
              </w:rPr>
            </w:pPr>
            <w:r w:rsidRPr="007F5EFF">
              <w:rPr>
                <w:rFonts w:ascii="Times New Roman" w:hAnsi="Times New Roman"/>
                <w:bCs/>
                <w:lang w:val="fr-FR"/>
              </w:rPr>
              <w:t>Respect de la déclaration de Ouagadougou</w:t>
            </w:r>
          </w:p>
          <w:p w:rsidR="007F5EFF" w:rsidRPr="00923C96" w:rsidRDefault="007F5EFF" w:rsidP="007F5EFF">
            <w:pPr>
              <w:pStyle w:val="BodyText"/>
              <w:numPr>
                <w:ilvl w:val="0"/>
                <w:numId w:val="14"/>
              </w:numPr>
              <w:jc w:val="both"/>
              <w:rPr>
                <w:rFonts w:ascii="Times New Roman" w:hAnsi="Times New Roman"/>
                <w:bCs/>
                <w:lang w:val="fr-FR"/>
              </w:rPr>
            </w:pPr>
            <w:r w:rsidRPr="00923C96">
              <w:rPr>
                <w:rFonts w:ascii="Times New Roman" w:hAnsi="Times New Roman"/>
                <w:bCs/>
                <w:lang w:val="fr-FR"/>
              </w:rPr>
              <w:t>Signature du code de bonne conduite par les partis politiques</w:t>
            </w:r>
          </w:p>
        </w:tc>
      </w:tr>
    </w:tbl>
    <w:p w:rsidR="001648AB" w:rsidRPr="006A721B" w:rsidRDefault="001648AB" w:rsidP="00DD025C">
      <w:pPr>
        <w:pStyle w:val="BodyText"/>
        <w:jc w:val="both"/>
        <w:rPr>
          <w:rFonts w:ascii="Times New Roman" w:hAnsi="Times New Roman"/>
          <w:sz w:val="24"/>
          <w:lang w:val="fr-FR"/>
        </w:rPr>
      </w:pPr>
    </w:p>
    <w:p w:rsidR="001648AB" w:rsidRDefault="001648AB" w:rsidP="00DD025C">
      <w:pPr>
        <w:pStyle w:val="BodyText"/>
        <w:jc w:val="both"/>
        <w:rPr>
          <w:rFonts w:ascii="Times New Roman" w:hAnsi="Times New Roman"/>
          <w:sz w:val="24"/>
          <w:lang w:val="fr-FR"/>
        </w:rPr>
      </w:pPr>
    </w:p>
    <w:p w:rsidR="000D1136" w:rsidRPr="006A721B" w:rsidRDefault="000D1136" w:rsidP="00DD025C">
      <w:pPr>
        <w:pStyle w:val="BodyText"/>
        <w:jc w:val="both"/>
        <w:rPr>
          <w:rFonts w:ascii="Times New Roman" w:hAnsi="Times New Roman"/>
          <w:sz w:val="24"/>
          <w:lang w:val="fr-FR"/>
        </w:rPr>
        <w:sectPr w:rsidR="000D1136" w:rsidRPr="006A721B" w:rsidSect="00D6211D">
          <w:footerReference w:type="default" r:id="rId10"/>
          <w:footerReference w:type="first" r:id="rId11"/>
          <w:pgSz w:w="15840" w:h="12240" w:orient="landscape" w:code="1"/>
          <w:pgMar w:top="806" w:right="2657" w:bottom="810" w:left="1354" w:header="720" w:footer="418" w:gutter="0"/>
          <w:cols w:space="720"/>
          <w:docGrid w:linePitch="360"/>
        </w:sectPr>
      </w:pPr>
    </w:p>
    <w:p w:rsidR="001648AB" w:rsidRPr="006A721B" w:rsidRDefault="001648AB" w:rsidP="00DD025C">
      <w:pPr>
        <w:pStyle w:val="BodyText"/>
        <w:jc w:val="both"/>
        <w:rPr>
          <w:rFonts w:ascii="Times New Roman" w:hAnsi="Times New Roman"/>
          <w:b/>
          <w:sz w:val="24"/>
          <w:lang w:val="fr-FR"/>
        </w:rPr>
      </w:pPr>
      <w:r w:rsidRPr="006A721B">
        <w:rPr>
          <w:rFonts w:ascii="Times New Roman" w:hAnsi="Times New Roman"/>
          <w:b/>
          <w:sz w:val="24"/>
          <w:lang w:val="fr-FR"/>
        </w:rPr>
        <w:lastRenderedPageBreak/>
        <w:t>iii) Évaluation, meilleures pratiques et enseignements tirés</w:t>
      </w:r>
    </w:p>
    <w:p w:rsidR="007F5EFF" w:rsidRDefault="007F5EFF" w:rsidP="007F5EFF">
      <w:pPr>
        <w:spacing w:after="120"/>
        <w:jc w:val="both"/>
        <w:rPr>
          <w:szCs w:val="23"/>
        </w:rPr>
      </w:pPr>
    </w:p>
    <w:p w:rsidR="007F5EFF" w:rsidRPr="007F5EFF" w:rsidRDefault="007F5EFF" w:rsidP="007F5EFF">
      <w:pPr>
        <w:spacing w:after="120"/>
        <w:jc w:val="both"/>
        <w:rPr>
          <w:szCs w:val="23"/>
        </w:rPr>
      </w:pPr>
      <w:r w:rsidRPr="007F5EFF">
        <w:rPr>
          <w:szCs w:val="23"/>
        </w:rPr>
        <w:t xml:space="preserve">La facilitation internationale a contribué à renforcer la stabilité sociale et politique dans le Pays grâce à la tenue </w:t>
      </w:r>
      <w:r>
        <w:rPr>
          <w:szCs w:val="23"/>
        </w:rPr>
        <w:t>des élections présidentielles et législatives qui ont permis la sortie de apaisée de la transition</w:t>
      </w:r>
      <w:r w:rsidRPr="007F5EFF">
        <w:rPr>
          <w:szCs w:val="23"/>
        </w:rPr>
        <w:t xml:space="preserve">. </w:t>
      </w:r>
    </w:p>
    <w:p w:rsidR="007F5EFF" w:rsidRPr="007F5EFF" w:rsidRDefault="00D6211D" w:rsidP="007F5EFF">
      <w:pPr>
        <w:spacing w:after="120"/>
        <w:jc w:val="both"/>
        <w:rPr>
          <w:szCs w:val="23"/>
        </w:rPr>
      </w:pPr>
      <w:r>
        <w:rPr>
          <w:szCs w:val="23"/>
        </w:rPr>
        <w:t>En 2013, l</w:t>
      </w:r>
      <w:r w:rsidR="007F5EFF" w:rsidRPr="007F5EFF">
        <w:rPr>
          <w:szCs w:val="23"/>
        </w:rPr>
        <w:t xml:space="preserve">a réalisation de la facilitation internationale au sein </w:t>
      </w:r>
      <w:r>
        <w:rPr>
          <w:szCs w:val="23"/>
        </w:rPr>
        <w:t>d’un collège de</w:t>
      </w:r>
      <w:r w:rsidR="007F5EFF" w:rsidRPr="007F5EFF">
        <w:rPr>
          <w:szCs w:val="23"/>
        </w:rPr>
        <w:t xml:space="preserve"> facilitateurs et en harmonie avec les co-facilitateurs nationaux </w:t>
      </w:r>
      <w:r>
        <w:rPr>
          <w:szCs w:val="23"/>
        </w:rPr>
        <w:t>permis de</w:t>
      </w:r>
      <w:r w:rsidR="007F5EFF" w:rsidRPr="007F5EFF">
        <w:rPr>
          <w:szCs w:val="23"/>
        </w:rPr>
        <w:t xml:space="preserve"> restaurer la confiance entre les acteurs politiques d’amorcer le dialogue entre les différents groupes d’intérêt politique, notamment entre le gouvernement et l’opposition</w:t>
      </w:r>
      <w:r>
        <w:rPr>
          <w:szCs w:val="23"/>
        </w:rPr>
        <w:t>. Cela a</w:t>
      </w:r>
      <w:r w:rsidR="007F5EFF" w:rsidRPr="007F5EFF">
        <w:rPr>
          <w:szCs w:val="23"/>
        </w:rPr>
        <w:t xml:space="preserve"> abouti à </w:t>
      </w:r>
      <w:r>
        <w:rPr>
          <w:szCs w:val="23"/>
        </w:rPr>
        <w:t>l’</w:t>
      </w:r>
      <w:r w:rsidR="007F5EFF" w:rsidRPr="007F5EFF">
        <w:rPr>
          <w:szCs w:val="23"/>
        </w:rPr>
        <w:t xml:space="preserve">accord politique </w:t>
      </w:r>
      <w:r>
        <w:rPr>
          <w:szCs w:val="23"/>
        </w:rPr>
        <w:t xml:space="preserve">(du 03 juillet 2013) </w:t>
      </w:r>
      <w:r w:rsidR="007F5EFF" w:rsidRPr="007F5EFF">
        <w:rPr>
          <w:szCs w:val="23"/>
        </w:rPr>
        <w:t>ayant permis l’organisation d’élections libres, transparentes, inclusives et pacifiques.</w:t>
      </w:r>
    </w:p>
    <w:p w:rsidR="007F5EFF" w:rsidRPr="007F5EFF" w:rsidRDefault="007F5EFF" w:rsidP="007F5EFF">
      <w:pPr>
        <w:spacing w:after="120"/>
        <w:jc w:val="both"/>
        <w:rPr>
          <w:szCs w:val="23"/>
        </w:rPr>
      </w:pPr>
    </w:p>
    <w:p w:rsidR="007F5EFF" w:rsidRPr="007F5EFF" w:rsidRDefault="007F5EFF" w:rsidP="007F5EFF">
      <w:pPr>
        <w:spacing w:after="120"/>
        <w:jc w:val="both"/>
        <w:rPr>
          <w:szCs w:val="23"/>
        </w:rPr>
      </w:pPr>
      <w:r w:rsidRPr="007F5EFF">
        <w:rPr>
          <w:szCs w:val="23"/>
        </w:rPr>
        <w:t>Au titre des leçons apprises de ce processus, l’évaluation de l’équipe a relevé les deux points suivants :</w:t>
      </w:r>
    </w:p>
    <w:p w:rsidR="007F5EFF" w:rsidRPr="007F5EFF" w:rsidRDefault="007F5EFF" w:rsidP="007F5EFF">
      <w:pPr>
        <w:numPr>
          <w:ilvl w:val="0"/>
          <w:numId w:val="31"/>
        </w:numPr>
        <w:shd w:val="clear" w:color="auto" w:fill="FFFFFF"/>
        <w:contextualSpacing/>
        <w:jc w:val="both"/>
        <w:rPr>
          <w:rFonts w:eastAsiaTheme="minorHAnsi"/>
          <w:bCs/>
          <w:color w:val="000000"/>
        </w:rPr>
      </w:pPr>
      <w:r w:rsidRPr="007F5EFF">
        <w:rPr>
          <w:bCs/>
          <w:color w:val="000000"/>
        </w:rPr>
        <w:t xml:space="preserve">Le dialogue est une alternative aux divergences et à la violence politiques : </w:t>
      </w:r>
    </w:p>
    <w:p w:rsidR="007F5EFF" w:rsidRPr="007F5EFF" w:rsidRDefault="007F5EFF" w:rsidP="007F5EFF">
      <w:pPr>
        <w:shd w:val="clear" w:color="auto" w:fill="FFFFFF"/>
        <w:jc w:val="both"/>
        <w:rPr>
          <w:color w:val="000000"/>
        </w:rPr>
      </w:pPr>
      <w:r w:rsidRPr="007F5EFF">
        <w:rPr>
          <w:color w:val="000000"/>
        </w:rPr>
        <w:t>L’action de la Facilitation a été guidée tout au long de son œuvre par le principe selon lequel le dialogue est l’unique alternative aux divergences politiques surtout dans un contexte caractérisé par la violence et la radicalisation des positions des protagonistes en présence qui prenaient de plus en plus des relents communautaires menaçant la stabilité, la paix et la sécurité du pays.</w:t>
      </w:r>
    </w:p>
    <w:p w:rsidR="007F5EFF" w:rsidRPr="007F5EFF" w:rsidRDefault="007F5EFF" w:rsidP="007F5EFF">
      <w:pPr>
        <w:shd w:val="clear" w:color="auto" w:fill="FFFFFF"/>
        <w:jc w:val="both"/>
        <w:rPr>
          <w:bCs/>
          <w:color w:val="000000"/>
        </w:rPr>
      </w:pPr>
    </w:p>
    <w:p w:rsidR="007F5EFF" w:rsidRPr="007F5EFF" w:rsidRDefault="007F5EFF" w:rsidP="007F5EFF">
      <w:pPr>
        <w:numPr>
          <w:ilvl w:val="0"/>
          <w:numId w:val="31"/>
        </w:numPr>
        <w:shd w:val="clear" w:color="auto" w:fill="FFFFFF"/>
        <w:contextualSpacing/>
        <w:jc w:val="both"/>
        <w:rPr>
          <w:bCs/>
          <w:color w:val="000000"/>
        </w:rPr>
      </w:pPr>
      <w:r w:rsidRPr="007F5EFF">
        <w:rPr>
          <w:bCs/>
          <w:color w:val="000000"/>
        </w:rPr>
        <w:t>L’adoption d’une diplomatie préventive de proximité et de veille permanente :</w:t>
      </w:r>
    </w:p>
    <w:p w:rsidR="007F5EFF" w:rsidRPr="007F5EFF" w:rsidRDefault="007F5EFF" w:rsidP="007F5EFF">
      <w:pPr>
        <w:shd w:val="clear" w:color="auto" w:fill="FFFFFF"/>
        <w:jc w:val="both"/>
        <w:rPr>
          <w:rFonts w:eastAsiaTheme="minorHAnsi"/>
          <w:color w:val="000000"/>
        </w:rPr>
      </w:pPr>
      <w:r w:rsidRPr="007F5EFF">
        <w:rPr>
          <w:color w:val="000000"/>
        </w:rPr>
        <w:t>La démarche de proximité et de flexibilité de la Facilitation à l’endroit des protagonistes politiques eux-mêmes et en vers les structures bilatérales et multilatérales engagées dans l’appui au dialogue politique et au processus électoral a surement été un élément catalyseur et fédérateur de toutes les énergies. Le dispositif de veille permanente mis en place à travers le Comité de Coordination a permis de mieux circonscrire et d’adresser les problèmes au fur et à mesure qu’ils émergeaient tout au long du processus de suivi de la mise en œuvre de l’Accord Politique et de la préparation et de l’organisation des élections législatives.</w:t>
      </w:r>
    </w:p>
    <w:p w:rsidR="007F5EFF" w:rsidRPr="007F5EFF" w:rsidRDefault="007F5EFF" w:rsidP="007F5EFF">
      <w:pPr>
        <w:spacing w:after="120"/>
        <w:jc w:val="both"/>
        <w:rPr>
          <w:color w:val="FF0000"/>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7F5EFF" w:rsidRPr="007F5EFF" w:rsidTr="008420F1">
        <w:tc>
          <w:tcPr>
            <w:tcW w:w="9288" w:type="dxa"/>
          </w:tcPr>
          <w:p w:rsidR="007F5EFF" w:rsidRPr="007F5EFF" w:rsidRDefault="007F5EFF" w:rsidP="007F5EFF">
            <w:pPr>
              <w:spacing w:line="276" w:lineRule="auto"/>
              <w:rPr>
                <w:rFonts w:cs="Arial"/>
                <w:sz w:val="22"/>
                <w:szCs w:val="22"/>
                <w:lang w:eastAsia="en-US"/>
              </w:rPr>
            </w:pPr>
            <w:r w:rsidRPr="007F5EFF">
              <w:rPr>
                <w:rFonts w:cs="Arial"/>
                <w:b/>
                <w:sz w:val="22"/>
                <w:szCs w:val="22"/>
                <w:lang w:eastAsia="en-US"/>
              </w:rPr>
              <w:t>Traitement de la « dynamique » du conflit :</w:t>
            </w:r>
          </w:p>
          <w:p w:rsidR="007F5EFF" w:rsidRPr="007F5EFF" w:rsidRDefault="007F5EFF" w:rsidP="007F5EFF">
            <w:pPr>
              <w:spacing w:after="120"/>
              <w:jc w:val="both"/>
              <w:rPr>
                <w:szCs w:val="23"/>
              </w:rPr>
            </w:pPr>
            <w:r w:rsidRPr="007F5EFF">
              <w:rPr>
                <w:szCs w:val="23"/>
              </w:rPr>
              <w:t>L’histoire des élections en République de Guinée montre que celles-ci sont souvent empreintes de violence. Au nombre des facteurs induisant celles-ci, le manque de dialogue inclusif entre les acteurs politiques. Il s’agit en l’occurrence de l’ensemble du processus, depuis l’enregistrement des électeurs jusqu’à la proclamation des résultats définitifs.</w:t>
            </w:r>
          </w:p>
          <w:p w:rsidR="007F5EFF" w:rsidRPr="007F5EFF" w:rsidRDefault="007F5EFF" w:rsidP="007F5EFF">
            <w:pPr>
              <w:spacing w:after="120"/>
              <w:jc w:val="both"/>
              <w:rPr>
                <w:szCs w:val="23"/>
              </w:rPr>
            </w:pPr>
            <w:r w:rsidRPr="007F5EFF">
              <w:rPr>
                <w:szCs w:val="23"/>
              </w:rPr>
              <w:t>Lors des manifestations politiques récurrentes, des violences se sont multipliées et des cas de morts ont été enregistrés. C’est dans ce climat de tension que l’ensemble des acteurs sous la conduite de la facilitation internationale ont redoublé les efforts dans le cadre du dialogue  tenu les 5 et 6 Juin 2013 qui a permis d’aboutir à des préalables pour un accord de sortie de crise. Les ouvertures, suite au consensus acquis lors du dialogue du 5 et 6 juins et suivant une période de tensions et polarisation accrues ont été consolidé rapidement afin d’éviter un revers des gains politiques Ainsi, les acquis de l’accord ont permis d’organiser des élections libres, transparentes, inclusives et pacifiques.</w:t>
            </w:r>
          </w:p>
          <w:p w:rsidR="007F5EFF" w:rsidRPr="007F5EFF" w:rsidRDefault="007F5EFF" w:rsidP="007F5EFF">
            <w:pPr>
              <w:spacing w:line="276" w:lineRule="auto"/>
              <w:rPr>
                <w:rFonts w:cs="Arial"/>
                <w:sz w:val="22"/>
                <w:szCs w:val="22"/>
                <w:lang w:eastAsia="en-US"/>
              </w:rPr>
            </w:pPr>
            <w:r w:rsidRPr="007F5EFF">
              <w:rPr>
                <w:rFonts w:cs="Arial"/>
                <w:b/>
                <w:sz w:val="22"/>
                <w:szCs w:val="22"/>
                <w:lang w:eastAsia="en-US"/>
              </w:rPr>
              <w:t>Interventions dans le cadre du Projet:</w:t>
            </w:r>
            <w:r w:rsidRPr="007F5EFF">
              <w:rPr>
                <w:rFonts w:cs="Arial"/>
                <w:sz w:val="22"/>
                <w:szCs w:val="22"/>
                <w:lang w:eastAsia="en-US"/>
              </w:rPr>
              <w:t xml:space="preserve"> </w:t>
            </w:r>
          </w:p>
          <w:p w:rsidR="007F5EFF" w:rsidRPr="007F5EFF" w:rsidRDefault="007F5EFF" w:rsidP="007F5EFF">
            <w:pPr>
              <w:spacing w:after="120"/>
              <w:jc w:val="both"/>
              <w:rPr>
                <w:szCs w:val="23"/>
              </w:rPr>
            </w:pPr>
            <w:r w:rsidRPr="007F5EFF">
              <w:rPr>
                <w:szCs w:val="23"/>
              </w:rPr>
              <w:t xml:space="preserve">Le projet d’appui à la facilitation internationale a été d’un apport inestimable dans le cadre de la consolidation de la paix en Guinée, surtout dans l’accompagnement de la tenue d’élections </w:t>
            </w:r>
            <w:r w:rsidRPr="007F5EFF">
              <w:rPr>
                <w:szCs w:val="23"/>
              </w:rPr>
              <w:lastRenderedPageBreak/>
              <w:t>législatives apaisées.</w:t>
            </w:r>
          </w:p>
          <w:p w:rsidR="007F5EFF" w:rsidRPr="007F5EFF" w:rsidRDefault="007F5EFF" w:rsidP="007F5EFF">
            <w:pPr>
              <w:spacing w:after="120"/>
              <w:jc w:val="both"/>
              <w:rPr>
                <w:szCs w:val="23"/>
              </w:rPr>
            </w:pPr>
            <w:r w:rsidRPr="007F5EFF">
              <w:rPr>
                <w:szCs w:val="23"/>
              </w:rPr>
              <w:t>Dans cette perspective, les principales réalisations ont porté sur : i) la signature d’un accord politique le 3 juillet 2013 ; ii) l’accompagnement technique apporté aux différentes étapes du processus électoral; iii) le suivi de la mise en œuvre de l’accord politique et l’apport de solution aux problèmes identifiés pendant sa mise en œuvre ; iv) l’apaisement du climat politique et social ainsi que le développement de l’attention soutenue de la communauté internationale sur la Guinée et ; v) la parachèvement d’une transition politique à travers la tenue d’une élection législative apaisée et inclusive.</w:t>
            </w:r>
          </w:p>
          <w:p w:rsidR="007F5EFF" w:rsidRPr="007F5EFF" w:rsidRDefault="007F5EFF" w:rsidP="007F5EFF">
            <w:pPr>
              <w:rPr>
                <w:rFonts w:cs="Arial"/>
                <w:sz w:val="22"/>
                <w:szCs w:val="22"/>
                <w:lang w:eastAsia="en-US"/>
              </w:rPr>
            </w:pPr>
          </w:p>
          <w:p w:rsidR="007F5EFF" w:rsidRPr="007F5EFF" w:rsidRDefault="007F5EFF" w:rsidP="007F5EFF">
            <w:pPr>
              <w:spacing w:line="276" w:lineRule="auto"/>
              <w:rPr>
                <w:rFonts w:cs="Arial"/>
                <w:sz w:val="22"/>
                <w:szCs w:val="22"/>
                <w:lang w:eastAsia="en-US"/>
              </w:rPr>
            </w:pPr>
            <w:r w:rsidRPr="007F5EFF">
              <w:rPr>
                <w:rFonts w:cs="Arial"/>
                <w:b/>
                <w:sz w:val="22"/>
                <w:szCs w:val="22"/>
                <w:lang w:eastAsia="en-US"/>
              </w:rPr>
              <w:t>Résultat:</w:t>
            </w:r>
            <w:r w:rsidRPr="007F5EFF">
              <w:rPr>
                <w:rFonts w:cs="Arial"/>
                <w:sz w:val="22"/>
                <w:szCs w:val="22"/>
                <w:lang w:eastAsia="en-US"/>
              </w:rPr>
              <w:t xml:space="preserve"> </w:t>
            </w:r>
          </w:p>
          <w:p w:rsidR="007F5EFF" w:rsidRPr="007F5EFF" w:rsidRDefault="007F5EFF" w:rsidP="007F5EFF">
            <w:pPr>
              <w:spacing w:after="120" w:line="276" w:lineRule="auto"/>
              <w:jc w:val="both"/>
            </w:pPr>
            <w:r w:rsidRPr="007F5EFF">
              <w:t>Les interventions menées dans le cadre du projet d’appui à la facilitation internationale ont contribué à relancer et à animer le dialogue entre les principaux acteurs du processus électoral, et à créer un climat favorable (consensus autour des règles et principes d’organisation des élections) à l’organisation d’élection apaisé à travers la dynamisation d’une équipe d’appui technique aux étapes cruciales du processus.</w:t>
            </w:r>
          </w:p>
          <w:p w:rsidR="00D6211D" w:rsidRDefault="007F5EFF" w:rsidP="00D6211D">
            <w:pPr>
              <w:spacing w:after="120" w:line="276" w:lineRule="auto"/>
              <w:jc w:val="both"/>
            </w:pPr>
            <w:r w:rsidRPr="007F5EFF">
              <w:t xml:space="preserve">Les actions déroulées dans le cadre de la facilitation ont contribué à l’apaisement du climat politique et social tendu qui a caractérisé le champ politique guinéen, de la mort du Président Lansana Conté jusqu’au mois de mai 2013. Les mesures d’apaisement ont été également intégrées dans le corps de l’Accord Politique du 3 juillet. </w:t>
            </w:r>
          </w:p>
          <w:p w:rsidR="007F5EFF" w:rsidRPr="007F5EFF" w:rsidRDefault="007F5EFF" w:rsidP="00D6211D">
            <w:pPr>
              <w:spacing w:after="120" w:line="276" w:lineRule="auto"/>
              <w:jc w:val="both"/>
            </w:pPr>
            <w:r w:rsidRPr="007F5EFF">
              <w:t>La Facilitation a su également créer un partenariat synergétique entre acteurs nationaux guinéens, sous régionaux, régionaux, internationaux, bilatéraux et multilatéraux autour de la stabilité et de la paix en Guinée à travers la création d’espace d’échange et de concertation permanent autour de la préparation et de l’organisation des élections législatives crédibles, transparentes et apaisées.</w:t>
            </w:r>
          </w:p>
        </w:tc>
      </w:tr>
    </w:tbl>
    <w:p w:rsidR="007F5EFF" w:rsidRPr="007F5EFF" w:rsidRDefault="007F5EFF" w:rsidP="007F5EFF">
      <w:pPr>
        <w:rPr>
          <w:rFonts w:cs="Arial"/>
          <w:b/>
          <w:szCs w:val="20"/>
          <w:lang w:eastAsia="en-US"/>
        </w:rPr>
      </w:pPr>
    </w:p>
    <w:p w:rsidR="00753917" w:rsidRDefault="00753917" w:rsidP="000D1136">
      <w:pPr>
        <w:pStyle w:val="BodyText"/>
        <w:rPr>
          <w:rFonts w:ascii="Times New Roman" w:hAnsi="Times New Roman"/>
          <w:b/>
          <w:sz w:val="24"/>
          <w:lang w:val="fr-FR"/>
        </w:rPr>
      </w:pPr>
    </w:p>
    <w:sectPr w:rsidR="00753917" w:rsidSect="00895ECF">
      <w:headerReference w:type="even" r:id="rId1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8F3" w:rsidRDefault="00D018F3">
      <w:r>
        <w:separator/>
      </w:r>
    </w:p>
  </w:endnote>
  <w:endnote w:type="continuationSeparator" w:id="0">
    <w:p w:rsidR="00D018F3" w:rsidRDefault="00D0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AB" w:rsidRDefault="001648AB" w:rsidP="00BB20D0">
    <w:pPr>
      <w:pStyle w:val="Footer"/>
      <w:pBdr>
        <w:top w:val="single" w:sz="4" w:space="1" w:color="auto"/>
      </w:pBdr>
      <w:tabs>
        <w:tab w:val="clear" w:pos="4320"/>
        <w:tab w:val="clear" w:pos="8640"/>
        <w:tab w:val="center" w:pos="4500"/>
        <w:tab w:val="right" w:pos="9000"/>
      </w:tabs>
      <w:jc w:val="right"/>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287D0A">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de </w:t>
    </w:r>
    <w:fldSimple w:instr=" NUMPAGES   \* MERGEFORMAT ">
      <w:r w:rsidR="00287D0A" w:rsidRPr="00287D0A">
        <w:rPr>
          <w:rFonts w:ascii="Arial" w:hAnsi="Arial" w:cs="Arial"/>
          <w:noProof/>
          <w:sz w:val="18"/>
          <w:szCs w:val="18"/>
        </w:rPr>
        <w:t>10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AB" w:rsidRPr="004D18B1" w:rsidRDefault="001648AB">
    <w:pPr>
      <w:pStyle w:val="Footer"/>
      <w:pBdr>
        <w:top w:val="single" w:sz="4" w:space="1" w:color="auto"/>
      </w:pBdr>
      <w:tabs>
        <w:tab w:val="clear" w:pos="4320"/>
        <w:tab w:val="clear" w:pos="8640"/>
        <w:tab w:val="center" w:pos="4500"/>
        <w:tab w:val="right" w:pos="9000"/>
      </w:tabs>
      <w:rPr>
        <w:rFonts w:ascii="Arial" w:hAnsi="Arial" w:cs="Arial"/>
        <w:sz w:val="18"/>
        <w:szCs w:val="18"/>
        <w:lang w:val="en-GB"/>
      </w:rPr>
    </w:pPr>
    <w:r w:rsidRPr="004D18B1">
      <w:rPr>
        <w:rFonts w:ascii="Arial" w:hAnsi="Arial" w:cs="Arial"/>
        <w:sz w:val="18"/>
        <w:szCs w:val="18"/>
        <w:lang w:val="en-GB"/>
      </w:rPr>
      <w:t>Sixth Six-Month Progress Report</w:t>
    </w:r>
    <w:r w:rsidRPr="004D18B1">
      <w:rPr>
        <w:rFonts w:ascii="Arial" w:hAnsi="Arial" w:cs="Arial"/>
        <w:sz w:val="18"/>
        <w:szCs w:val="18"/>
        <w:lang w:val="en-GB"/>
      </w:rPr>
      <w:tab/>
      <w:t xml:space="preserve">1 January – </w:t>
    </w:r>
    <w:smartTag w:uri="urn:schemas-microsoft-com:office:smarttags" w:element="date">
      <w:smartTagPr>
        <w:attr w:name="Month" w:val="6"/>
        <w:attr w:name="Day" w:val="30"/>
        <w:attr w:name="Year" w:val="2007"/>
      </w:smartTagPr>
      <w:r w:rsidRPr="004D18B1">
        <w:rPr>
          <w:rFonts w:ascii="Arial" w:hAnsi="Arial" w:cs="Arial"/>
          <w:sz w:val="18"/>
          <w:szCs w:val="18"/>
          <w:lang w:val="en-GB"/>
        </w:rPr>
        <w:t>30 June 2007</w:t>
      </w:r>
    </w:smartTag>
    <w:r w:rsidRPr="004D18B1">
      <w:rPr>
        <w:rFonts w:ascii="Arial" w:hAnsi="Arial" w:cs="Arial"/>
        <w:sz w:val="18"/>
        <w:szCs w:val="18"/>
        <w:lang w:val="en-GB"/>
      </w:rPr>
      <w:tab/>
      <w:t xml:space="preserve">Page </w:t>
    </w:r>
    <w:r w:rsidRPr="004D18B1">
      <w:rPr>
        <w:rFonts w:ascii="Arial" w:hAnsi="Arial" w:cs="Arial"/>
        <w:sz w:val="18"/>
        <w:szCs w:val="18"/>
        <w:lang w:val="en-GB"/>
      </w:rPr>
      <w:fldChar w:fldCharType="begin"/>
    </w:r>
    <w:r w:rsidRPr="004D18B1">
      <w:rPr>
        <w:rFonts w:ascii="Arial" w:hAnsi="Arial" w:cs="Arial"/>
        <w:sz w:val="18"/>
        <w:szCs w:val="18"/>
        <w:lang w:val="en-GB"/>
      </w:rPr>
      <w:instrText xml:space="preserve"> PAGE   \* MERGEFORMAT </w:instrText>
    </w:r>
    <w:r w:rsidRPr="004D18B1">
      <w:rPr>
        <w:rFonts w:ascii="Arial" w:hAnsi="Arial" w:cs="Arial"/>
        <w:sz w:val="18"/>
        <w:szCs w:val="18"/>
        <w:lang w:val="en-GB"/>
      </w:rPr>
      <w:fldChar w:fldCharType="separate"/>
    </w:r>
    <w:r w:rsidRPr="004D18B1">
      <w:rPr>
        <w:rFonts w:ascii="Arial" w:hAnsi="Arial" w:cs="Arial"/>
        <w:noProof/>
        <w:sz w:val="18"/>
        <w:szCs w:val="18"/>
        <w:lang w:val="en-GB"/>
      </w:rPr>
      <w:t>5</w:t>
    </w:r>
    <w:r w:rsidRPr="004D18B1">
      <w:rPr>
        <w:rFonts w:ascii="Arial" w:hAnsi="Arial" w:cs="Arial"/>
        <w:sz w:val="18"/>
        <w:szCs w:val="18"/>
        <w:lang w:val="en-GB"/>
      </w:rPr>
      <w:fldChar w:fldCharType="end"/>
    </w:r>
    <w:r w:rsidRPr="004D18B1">
      <w:rPr>
        <w:rFonts w:ascii="Arial" w:hAnsi="Arial" w:cs="Arial"/>
        <w:sz w:val="18"/>
        <w:szCs w:val="18"/>
        <w:lang w:val="en-GB"/>
      </w:rPr>
      <w:t xml:space="preserve"> of </w:t>
    </w:r>
    <w:r w:rsidR="00106809">
      <w:fldChar w:fldCharType="begin"/>
    </w:r>
    <w:r w:rsidR="00106809" w:rsidRPr="00AD197B">
      <w:rPr>
        <w:lang w:val="en-US"/>
      </w:rPr>
      <w:instrText xml:space="preserve"> NUMPAGES   \* MERGEFORMAT </w:instrText>
    </w:r>
    <w:r w:rsidR="00106809">
      <w:fldChar w:fldCharType="separate"/>
    </w:r>
    <w:r w:rsidRPr="00133BED">
      <w:rPr>
        <w:rFonts w:ascii="Arial" w:hAnsi="Arial" w:cs="Arial"/>
        <w:noProof/>
        <w:sz w:val="18"/>
        <w:szCs w:val="18"/>
        <w:lang w:val="en-GB"/>
      </w:rPr>
      <w:t>1</w:t>
    </w:r>
    <w:r w:rsidR="00106809">
      <w:rPr>
        <w:rFonts w:ascii="Arial" w:hAnsi="Arial" w:cs="Arial"/>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8F3" w:rsidRDefault="00D018F3">
      <w:r>
        <w:separator/>
      </w:r>
    </w:p>
  </w:footnote>
  <w:footnote w:type="continuationSeparator" w:id="0">
    <w:p w:rsidR="00D018F3" w:rsidRDefault="00D018F3">
      <w:r>
        <w:continuationSeparator/>
      </w:r>
    </w:p>
  </w:footnote>
  <w:footnote w:id="1">
    <w:p w:rsidR="001648AB" w:rsidRPr="00AD197B" w:rsidRDefault="001648AB" w:rsidP="00DD025C">
      <w:pPr>
        <w:pStyle w:val="FootnoteText"/>
        <w:rPr>
          <w:lang w:val="fr-FR"/>
        </w:rPr>
      </w:pPr>
      <w:r w:rsidRPr="006506BD">
        <w:rPr>
          <w:rStyle w:val="FootnoteReference"/>
          <w:sz w:val="18"/>
          <w:szCs w:val="18"/>
        </w:rPr>
        <w:footnoteRef/>
      </w:r>
      <w:r w:rsidRPr="006506BD">
        <w:rPr>
          <w:sz w:val="18"/>
          <w:szCs w:val="18"/>
          <w:lang w:val="fr-FR"/>
        </w:rPr>
        <w:t xml:space="preserve"> Le mot « programme » représente globalement l’ensemble des programmes, des programmes conjoints et des projets.</w:t>
      </w:r>
    </w:p>
  </w:footnote>
  <w:footnote w:id="2">
    <w:p w:rsidR="001648AB" w:rsidRPr="00AD197B" w:rsidRDefault="001648AB" w:rsidP="00F24EC3">
      <w:pPr>
        <w:pStyle w:val="FootnoteText"/>
        <w:rPr>
          <w:lang w:val="fr-FR"/>
        </w:rPr>
      </w:pPr>
      <w:r w:rsidRPr="006506BD">
        <w:rPr>
          <w:rStyle w:val="FootnoteReference"/>
          <w:sz w:val="18"/>
          <w:szCs w:val="18"/>
        </w:rPr>
        <w:footnoteRef/>
      </w:r>
      <w:r w:rsidRPr="006506BD">
        <w:rPr>
          <w:sz w:val="18"/>
          <w:szCs w:val="18"/>
          <w:lang w:val="fr-FR"/>
        </w:rPr>
        <w:t xml:space="preserve"> Les « résultats stratégiques », tels qu’ils sont définis dans le Plan directeur du PBF, le Plan des priorités ou le Descriptif de projet. </w:t>
      </w:r>
    </w:p>
  </w:footnote>
  <w:footnote w:id="3">
    <w:p w:rsidR="001648AB" w:rsidRPr="00AD197B" w:rsidRDefault="001648AB" w:rsidP="00F24EC3">
      <w:pPr>
        <w:pStyle w:val="FootnoteText"/>
        <w:rPr>
          <w:lang w:val="fr-FR"/>
        </w:rPr>
      </w:pPr>
      <w:r w:rsidRPr="006506BD">
        <w:rPr>
          <w:rStyle w:val="FootnoteReference"/>
          <w:sz w:val="18"/>
          <w:szCs w:val="18"/>
        </w:rPr>
        <w:footnoteRef/>
      </w:r>
      <w:r w:rsidRPr="006506BD">
        <w:rPr>
          <w:sz w:val="18"/>
          <w:szCs w:val="18"/>
          <w:lang w:val="fr-FR"/>
        </w:rPr>
        <w:t xml:space="preserve"> Le numéro de référence du projet inscrit au Bureau du MPTF est le même que celui figurant dans le Message de notification. Sur le site </w:t>
      </w:r>
      <w:hyperlink r:id="rId1" w:history="1">
        <w:r w:rsidRPr="006506BD">
          <w:rPr>
            <w:rStyle w:val="Hyperlink"/>
            <w:sz w:val="18"/>
            <w:szCs w:val="18"/>
            <w:lang w:val="fr-FR"/>
          </w:rPr>
          <w:t>MPTF Office GATEWAY</w:t>
        </w:r>
      </w:hyperlink>
      <w:r w:rsidRPr="006506BD">
        <w:rPr>
          <w:sz w:val="18"/>
          <w:szCs w:val="18"/>
          <w:lang w:val="fr-FR"/>
        </w:rPr>
        <w:t>, l’expression « Project ID3 » (Identité du Projet) est également utilisée.</w:t>
      </w:r>
    </w:p>
  </w:footnote>
  <w:footnote w:id="4">
    <w:p w:rsidR="001648AB" w:rsidRPr="00AD197B" w:rsidRDefault="001648AB" w:rsidP="00F24EC3">
      <w:pPr>
        <w:pStyle w:val="FootnoteText"/>
        <w:rPr>
          <w:lang w:val="fr-FR"/>
        </w:rPr>
      </w:pPr>
      <w:r w:rsidRPr="006506BD">
        <w:rPr>
          <w:rStyle w:val="FootnoteReference"/>
          <w:sz w:val="18"/>
          <w:szCs w:val="18"/>
        </w:rPr>
        <w:footnoteRef/>
      </w:r>
      <w:r w:rsidRPr="006506BD">
        <w:rPr>
          <w:sz w:val="18"/>
          <w:szCs w:val="18"/>
          <w:lang w:val="fr-FR"/>
        </w:rPr>
        <w:t xml:space="preserve"> La contribution du MPTF et du Programme conjoint est la somme versée aux Organisations participantes – voir le site MPT Office GATEWAY.</w:t>
      </w:r>
    </w:p>
  </w:footnote>
  <w:footnote w:id="5">
    <w:p w:rsidR="001648AB" w:rsidRPr="00AD197B" w:rsidRDefault="001648AB" w:rsidP="00F24EC3">
      <w:pPr>
        <w:pStyle w:val="FootnoteText"/>
        <w:rPr>
          <w:lang w:val="fr-FR"/>
        </w:rPr>
      </w:pPr>
      <w:r w:rsidRPr="006506BD">
        <w:rPr>
          <w:rStyle w:val="FootnoteReference"/>
          <w:sz w:val="18"/>
          <w:szCs w:val="18"/>
        </w:rPr>
        <w:footnoteRef/>
      </w:r>
      <w:r w:rsidRPr="006506BD">
        <w:rPr>
          <w:sz w:val="18"/>
          <w:szCs w:val="18"/>
          <w:lang w:val="fr-FR"/>
        </w:rPr>
        <w:t xml:space="preserve"> La date de démarrage est celle à laquelle a lieu le premier versement de fonds de la part du Bureau du MPTF, qui fait office d’Agent administratif. La date du versement figure sur le site </w:t>
      </w:r>
      <w:hyperlink r:id="rId2" w:history="1">
        <w:r w:rsidRPr="006506BD">
          <w:rPr>
            <w:rStyle w:val="Hyperlink"/>
            <w:sz w:val="18"/>
            <w:szCs w:val="18"/>
            <w:lang w:val="fr-FR"/>
          </w:rPr>
          <w:t>MPTF Office GATEWAY</w:t>
        </w:r>
      </w:hyperlink>
      <w:r w:rsidRPr="006506BD">
        <w:rPr>
          <w:sz w:val="18"/>
          <w:szCs w:val="18"/>
          <w:lang w:val="fr-FR"/>
        </w:rPr>
        <w:t>.</w:t>
      </w:r>
    </w:p>
  </w:footnote>
  <w:footnote w:id="6">
    <w:p w:rsidR="001648AB" w:rsidRPr="00AD197B" w:rsidRDefault="001648AB" w:rsidP="00F24EC3">
      <w:pPr>
        <w:pStyle w:val="FootnoteText"/>
        <w:rPr>
          <w:lang w:val="fr-FR"/>
        </w:rPr>
      </w:pPr>
      <w:r w:rsidRPr="006506BD">
        <w:rPr>
          <w:rStyle w:val="FootnoteReference"/>
          <w:sz w:val="18"/>
          <w:szCs w:val="18"/>
        </w:rPr>
        <w:footnoteRef/>
      </w:r>
      <w:r w:rsidRPr="006506BD">
        <w:rPr>
          <w:sz w:val="18"/>
          <w:szCs w:val="18"/>
          <w:lang w:val="fr-FR"/>
        </w:rPr>
        <w:t xml:space="preserve"> Lors de l’approbation du Descriptif de projet original par l’Instance décisionnaire concernée/le Comité directeur.</w:t>
      </w:r>
    </w:p>
  </w:footnote>
  <w:footnote w:id="7">
    <w:p w:rsidR="001648AB" w:rsidRPr="00AD197B" w:rsidRDefault="001648AB" w:rsidP="00F24EC3">
      <w:pPr>
        <w:pStyle w:val="FootnoteText"/>
        <w:rPr>
          <w:lang w:val="fr-FR"/>
        </w:rPr>
      </w:pPr>
      <w:r w:rsidRPr="006506BD">
        <w:rPr>
          <w:rStyle w:val="FootnoteReference"/>
          <w:sz w:val="18"/>
          <w:szCs w:val="18"/>
        </w:rPr>
        <w:footnoteRef/>
      </w:r>
      <w:r w:rsidRPr="006506BD">
        <w:rPr>
          <w:sz w:val="18"/>
          <w:szCs w:val="18"/>
          <w:lang w:val="fr-FR"/>
        </w:rPr>
        <w:t xml:space="preserve"> S’il y a eu prolongation du projet, la date de fin révisée et approuvée devrait figurer à cet endroit. A défaut d’approbation d’une quelconque extension du projet, la date de fin réelle est la même que celle prévue à l’origine. La date de fin équivaut à la date de clôture opérationnelle – c’est-à-dire la date d’achèvement de l’ensemble des activités dont est chargée toute Organisation participante dans le cadre du Plan MPTF ou du Programme conjoint approuvés. Concernant le Mémorandum d’accord, les organisations participantes doivent signaler au Bureau du MPTF que tel ou tel programme arrive au terme de ses activités opérationnelles. Voir le site </w:t>
      </w:r>
      <w:hyperlink r:id="rId3" w:history="1">
        <w:r w:rsidRPr="006506BD">
          <w:rPr>
            <w:rStyle w:val="Hyperlink"/>
            <w:sz w:val="18"/>
            <w:szCs w:val="18"/>
            <w:lang w:val="fr-FR"/>
          </w:rPr>
          <w:t>MPTF Office Closure Guidelines</w:t>
        </w:r>
      </w:hyperlink>
      <w:r w:rsidRPr="006506BD">
        <w:rPr>
          <w:sz w:val="18"/>
          <w:szCs w:val="18"/>
          <w:lang w:val="fr-FR"/>
        </w:rPr>
        <w:t xml:space="preserve">. </w:t>
      </w:r>
    </w:p>
  </w:footnote>
  <w:footnote w:id="8">
    <w:p w:rsidR="001648AB" w:rsidRPr="00AD197B" w:rsidRDefault="001648AB" w:rsidP="00F24EC3">
      <w:pPr>
        <w:pStyle w:val="FootnoteText"/>
        <w:rPr>
          <w:lang w:val="fr-FR"/>
        </w:rPr>
      </w:pPr>
      <w:r w:rsidRPr="006506BD">
        <w:rPr>
          <w:rStyle w:val="FootnoteReference"/>
          <w:sz w:val="18"/>
          <w:szCs w:val="18"/>
        </w:rPr>
        <w:footnoteRef/>
      </w:r>
      <w:r w:rsidRPr="006506BD">
        <w:rPr>
          <w:sz w:val="18"/>
          <w:szCs w:val="18"/>
          <w:lang w:val="fr-FR"/>
        </w:rPr>
        <w:t xml:space="preserve"> Lors de la « clôture financière », il est obligatoire de rembourser le solde non utilisé et de soumettre le Certified Final Financial Statement and Report (</w:t>
      </w:r>
      <w:r>
        <w:rPr>
          <w:sz w:val="18"/>
          <w:szCs w:val="18"/>
          <w:lang w:val="fr-FR"/>
        </w:rPr>
        <w:t>l’É</w:t>
      </w:r>
      <w:r w:rsidRPr="006506BD">
        <w:rPr>
          <w:sz w:val="18"/>
          <w:szCs w:val="18"/>
          <w:lang w:val="fr-FR"/>
        </w:rPr>
        <w:t xml:space="preserve">tat financier et le Rapport finaux certifiés). </w:t>
      </w:r>
    </w:p>
  </w:footnote>
  <w:footnote w:id="9">
    <w:p w:rsidR="001648AB" w:rsidRDefault="001648AB">
      <w:pPr>
        <w:pStyle w:val="FootnoteText"/>
        <w:rPr>
          <w:sz w:val="18"/>
          <w:szCs w:val="18"/>
          <w:lang w:val="fr-FR"/>
        </w:rPr>
      </w:pPr>
      <w:r w:rsidRPr="006506BD">
        <w:rPr>
          <w:rStyle w:val="FootnoteReference"/>
          <w:sz w:val="18"/>
          <w:szCs w:val="18"/>
        </w:rPr>
        <w:footnoteRef/>
      </w:r>
      <w:r w:rsidRPr="006506BD">
        <w:rPr>
          <w:sz w:val="18"/>
          <w:szCs w:val="18"/>
          <w:lang w:val="fr-FR"/>
        </w:rPr>
        <w:t xml:space="preserve"> Note: Les résultats, produits, indicateurs et objectifs indiqués ici doivent être </w:t>
      </w:r>
      <w:r w:rsidRPr="006506BD">
        <w:rPr>
          <w:b/>
          <w:sz w:val="18"/>
          <w:szCs w:val="18"/>
          <w:lang w:val="fr-FR"/>
        </w:rPr>
        <w:t xml:space="preserve">sur la même ligne que ceux définis dans le Descriptif de projet/le Plan des priorités ou tout Plan précis de gestion du projet, </w:t>
      </w:r>
      <w:r w:rsidRPr="006506BD">
        <w:rPr>
          <w:sz w:val="18"/>
          <w:szCs w:val="18"/>
          <w:lang w:val="fr-FR"/>
        </w:rPr>
        <w:t xml:space="preserve">de sorte que ce tableau indique bien </w:t>
      </w:r>
      <w:r w:rsidRPr="006506BD">
        <w:rPr>
          <w:b/>
          <w:sz w:val="18"/>
          <w:szCs w:val="18"/>
          <w:lang w:val="fr-FR"/>
        </w:rPr>
        <w:t xml:space="preserve">les résultats réels et globaux par rapport aux </w:t>
      </w:r>
      <w:r>
        <w:rPr>
          <w:b/>
          <w:sz w:val="18"/>
          <w:szCs w:val="18"/>
          <w:lang w:val="fr-FR"/>
        </w:rPr>
        <w:t>cibles pr</w:t>
      </w:r>
      <w:r w:rsidRPr="006506BD">
        <w:rPr>
          <w:b/>
          <w:sz w:val="18"/>
          <w:szCs w:val="18"/>
          <w:lang w:val="fr-FR"/>
        </w:rPr>
        <w:t>é</w:t>
      </w:r>
      <w:r>
        <w:rPr>
          <w:b/>
          <w:sz w:val="18"/>
          <w:szCs w:val="18"/>
          <w:lang w:val="fr-FR"/>
        </w:rPr>
        <w:t>vues</w:t>
      </w:r>
      <w:r w:rsidRPr="006506BD">
        <w:rPr>
          <w:b/>
          <w:sz w:val="18"/>
          <w:szCs w:val="18"/>
          <w:lang w:val="fr-FR"/>
        </w:rPr>
        <w:t xml:space="preserve"> à l’origine. </w:t>
      </w:r>
      <w:r w:rsidRPr="006506BD">
        <w:rPr>
          <w:sz w:val="18"/>
          <w:szCs w:val="18"/>
          <w:lang w:val="fr-FR"/>
        </w:rPr>
        <w:t>Si nécessaire, vous pouvez ajouter de nouvelles lignes au tableau, afin d’indiquer éventuellement les Résultats 2, 3, etc.</w:t>
      </w:r>
    </w:p>
    <w:p w:rsidR="000D1136" w:rsidRDefault="000D1136">
      <w:pPr>
        <w:pStyle w:val="FootnoteText"/>
        <w:rPr>
          <w:sz w:val="18"/>
          <w:szCs w:val="18"/>
          <w:lang w:val="fr-FR"/>
        </w:rPr>
      </w:pPr>
    </w:p>
    <w:p w:rsidR="000D1136" w:rsidRDefault="000D1136">
      <w:pPr>
        <w:pStyle w:val="FootnoteText"/>
        <w:rPr>
          <w:sz w:val="18"/>
          <w:szCs w:val="18"/>
          <w:lang w:val="fr-FR"/>
        </w:rPr>
      </w:pPr>
    </w:p>
    <w:p w:rsidR="000D1136" w:rsidRPr="00AD197B" w:rsidRDefault="000D1136">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AB" w:rsidRDefault="001648AB" w:rsidP="00BC28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48AB" w:rsidRDefault="001648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AB" w:rsidRDefault="00164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27F27"/>
    <w:multiLevelType w:val="hybridMultilevel"/>
    <w:tmpl w:val="A16AF9EE"/>
    <w:lvl w:ilvl="0" w:tplc="F918A17E">
      <w:start w:val="1"/>
      <w:numFmt w:val="bullet"/>
      <w:lvlText w:val="-"/>
      <w:lvlJc w:val="left"/>
      <w:pPr>
        <w:ind w:left="360" w:hanging="360"/>
      </w:pPr>
      <w:rPr>
        <w:rFonts w:ascii="Arial" w:eastAsia="SimSun" w:hAnsi="Arial" w:cs="MS Mincho"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ECE3293"/>
    <w:multiLevelType w:val="multilevel"/>
    <w:tmpl w:val="CDD84D84"/>
    <w:lvl w:ilvl="0">
      <w:start w:val="1"/>
      <w:numFmt w:val="decimal"/>
      <w:lvlText w:val="%1."/>
      <w:lvlJc w:val="left"/>
      <w:pPr>
        <w:ind w:left="360" w:hanging="360"/>
      </w:pPr>
      <w:rPr>
        <w:b w:val="0"/>
        <w:i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3">
    <w:nsid w:val="0FEB5570"/>
    <w:multiLevelType w:val="hybridMultilevel"/>
    <w:tmpl w:val="012092BC"/>
    <w:lvl w:ilvl="0" w:tplc="A0624842">
      <w:start w:val="1"/>
      <w:numFmt w:val="upperRoman"/>
      <w:lvlText w:val="%1."/>
      <w:lvlJc w:val="left"/>
      <w:pPr>
        <w:tabs>
          <w:tab w:val="num" w:pos="1080"/>
        </w:tabs>
        <w:ind w:left="1080" w:hanging="720"/>
      </w:pPr>
      <w:rPr>
        <w:rFonts w:cs="Times New Roman" w:hint="default"/>
      </w:rPr>
    </w:lvl>
    <w:lvl w:ilvl="1" w:tplc="862A952A">
      <w:numFmt w:val="none"/>
      <w:lvlText w:val=""/>
      <w:lvlJc w:val="left"/>
      <w:pPr>
        <w:tabs>
          <w:tab w:val="num" w:pos="360"/>
        </w:tabs>
      </w:pPr>
      <w:rPr>
        <w:rFonts w:cs="Times New Roman"/>
      </w:rPr>
    </w:lvl>
    <w:lvl w:ilvl="2" w:tplc="E7485428">
      <w:numFmt w:val="none"/>
      <w:lvlText w:val=""/>
      <w:lvlJc w:val="left"/>
      <w:pPr>
        <w:tabs>
          <w:tab w:val="num" w:pos="360"/>
        </w:tabs>
      </w:pPr>
      <w:rPr>
        <w:rFonts w:cs="Times New Roman"/>
      </w:rPr>
    </w:lvl>
    <w:lvl w:ilvl="3" w:tplc="FD789764">
      <w:numFmt w:val="none"/>
      <w:lvlText w:val=""/>
      <w:lvlJc w:val="left"/>
      <w:pPr>
        <w:tabs>
          <w:tab w:val="num" w:pos="360"/>
        </w:tabs>
      </w:pPr>
      <w:rPr>
        <w:rFonts w:cs="Times New Roman"/>
      </w:rPr>
    </w:lvl>
    <w:lvl w:ilvl="4" w:tplc="5EFA0FBC">
      <w:numFmt w:val="none"/>
      <w:lvlText w:val=""/>
      <w:lvlJc w:val="left"/>
      <w:pPr>
        <w:tabs>
          <w:tab w:val="num" w:pos="360"/>
        </w:tabs>
      </w:pPr>
      <w:rPr>
        <w:rFonts w:cs="Times New Roman"/>
      </w:rPr>
    </w:lvl>
    <w:lvl w:ilvl="5" w:tplc="1336440C">
      <w:numFmt w:val="none"/>
      <w:lvlText w:val=""/>
      <w:lvlJc w:val="left"/>
      <w:pPr>
        <w:tabs>
          <w:tab w:val="num" w:pos="360"/>
        </w:tabs>
      </w:pPr>
      <w:rPr>
        <w:rFonts w:cs="Times New Roman"/>
      </w:rPr>
    </w:lvl>
    <w:lvl w:ilvl="6" w:tplc="D87228D2">
      <w:numFmt w:val="none"/>
      <w:lvlText w:val=""/>
      <w:lvlJc w:val="left"/>
      <w:pPr>
        <w:tabs>
          <w:tab w:val="num" w:pos="360"/>
        </w:tabs>
      </w:pPr>
      <w:rPr>
        <w:rFonts w:cs="Times New Roman"/>
      </w:rPr>
    </w:lvl>
    <w:lvl w:ilvl="7" w:tplc="49E6716E">
      <w:numFmt w:val="none"/>
      <w:lvlText w:val=""/>
      <w:lvlJc w:val="left"/>
      <w:pPr>
        <w:tabs>
          <w:tab w:val="num" w:pos="360"/>
        </w:tabs>
      </w:pPr>
      <w:rPr>
        <w:rFonts w:cs="Times New Roman"/>
      </w:rPr>
    </w:lvl>
    <w:lvl w:ilvl="8" w:tplc="035EA2D6">
      <w:numFmt w:val="none"/>
      <w:lvlText w:val=""/>
      <w:lvlJc w:val="left"/>
      <w:pPr>
        <w:tabs>
          <w:tab w:val="num" w:pos="360"/>
        </w:tabs>
      </w:pPr>
      <w:rPr>
        <w:rFonts w:cs="Times New Roman"/>
      </w:rPr>
    </w:lvl>
  </w:abstractNum>
  <w:abstractNum w:abstractNumId="4">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8068D"/>
    <w:multiLevelType w:val="hybridMultilevel"/>
    <w:tmpl w:val="A4946DF6"/>
    <w:lvl w:ilvl="0" w:tplc="7E76DFA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D7E3F"/>
    <w:multiLevelType w:val="hybridMultilevel"/>
    <w:tmpl w:val="3B16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C96C5D"/>
    <w:multiLevelType w:val="hybridMultilevel"/>
    <w:tmpl w:val="13BEA530"/>
    <w:lvl w:ilvl="0" w:tplc="3A9E07C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8B19BC"/>
    <w:multiLevelType w:val="hybridMultilevel"/>
    <w:tmpl w:val="A66282D0"/>
    <w:lvl w:ilvl="0" w:tplc="46C0875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7E026F"/>
    <w:multiLevelType w:val="hybridMultilevel"/>
    <w:tmpl w:val="F1E8E93E"/>
    <w:lvl w:ilvl="0" w:tplc="040C0011">
      <w:start w:val="1"/>
      <w:numFmt w:val="decimal"/>
      <w:lvlText w:val="%1)"/>
      <w:lvlJc w:val="left"/>
      <w:pPr>
        <w:ind w:left="360" w:hanging="360"/>
      </w:pPr>
      <w:rPr>
        <w:rFonts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CE07855"/>
    <w:multiLevelType w:val="hybridMultilevel"/>
    <w:tmpl w:val="D78CD5EA"/>
    <w:lvl w:ilvl="0" w:tplc="06EA905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4D4C1B0B"/>
    <w:multiLevelType w:val="hybridMultilevel"/>
    <w:tmpl w:val="3BC6719A"/>
    <w:lvl w:ilvl="0" w:tplc="040C000D">
      <w:start w:val="1"/>
      <w:numFmt w:val="bullet"/>
      <w:lvlText w:val=""/>
      <w:lvlJc w:val="left"/>
      <w:pPr>
        <w:ind w:left="2340" w:hanging="360"/>
      </w:pPr>
      <w:rPr>
        <w:rFonts w:ascii="Wingdings" w:hAnsi="Wingdings" w:hint="default"/>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18">
    <w:nsid w:val="560706F3"/>
    <w:multiLevelType w:val="hybridMultilevel"/>
    <w:tmpl w:val="ACE0ADAA"/>
    <w:lvl w:ilvl="0" w:tplc="7E76DF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B51D7F"/>
    <w:multiLevelType w:val="singleLevel"/>
    <w:tmpl w:val="B4EAF39A"/>
    <w:lvl w:ilvl="0">
      <w:start w:val="2"/>
      <w:numFmt w:val="bullet"/>
      <w:lvlText w:val="-"/>
      <w:lvlJc w:val="left"/>
      <w:pPr>
        <w:ind w:left="720" w:hanging="360"/>
      </w:pPr>
      <w:rPr>
        <w:rFonts w:ascii="Times New Roman" w:eastAsia="Calibri" w:hAnsi="Times New Roman" w:cs="Times New Roman" w:hint="default"/>
      </w:rPr>
    </w:lvl>
  </w:abstractNum>
  <w:abstractNum w:abstractNumId="21">
    <w:nsid w:val="623E1E63"/>
    <w:multiLevelType w:val="hybridMultilevel"/>
    <w:tmpl w:val="F0E0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2D3746E"/>
    <w:multiLevelType w:val="hybridMultilevel"/>
    <w:tmpl w:val="ED1A97EA"/>
    <w:lvl w:ilvl="0" w:tplc="63A65576">
      <w:numFmt w:val="bullet"/>
      <w:lvlText w:val="-"/>
      <w:lvlJc w:val="left"/>
      <w:pPr>
        <w:ind w:left="702" w:hanging="360"/>
      </w:pPr>
      <w:rPr>
        <w:rFonts w:ascii="Times New Roman" w:eastAsia="Calibri" w:hAnsi="Times New Roman" w:cs="Times New Roman" w:hint="default"/>
        <w:b/>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nsid w:val="64E97923"/>
    <w:multiLevelType w:val="hybridMultilevel"/>
    <w:tmpl w:val="E66A1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782F61"/>
    <w:multiLevelType w:val="hybridMultilevel"/>
    <w:tmpl w:val="C1383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0E53AB"/>
    <w:multiLevelType w:val="hybridMultilevel"/>
    <w:tmpl w:val="D78CD5EA"/>
    <w:lvl w:ilvl="0" w:tplc="06EA905A">
      <w:start w:val="1"/>
      <w:numFmt w:val="decimal"/>
      <w:lvlText w:val="%1."/>
      <w:lvlJc w:val="left"/>
      <w:pPr>
        <w:ind w:left="1440" w:hanging="360"/>
      </w:pPr>
      <w:rPr>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C044A9"/>
    <w:multiLevelType w:val="hybridMultilevel"/>
    <w:tmpl w:val="B630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AD0516"/>
    <w:multiLevelType w:val="hybridMultilevel"/>
    <w:tmpl w:val="7D5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D23F82"/>
    <w:multiLevelType w:val="hybridMultilevel"/>
    <w:tmpl w:val="B49EA1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166CA"/>
    <w:multiLevelType w:val="hybridMultilevel"/>
    <w:tmpl w:val="1C5C41B2"/>
    <w:lvl w:ilvl="0" w:tplc="63A6557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0"/>
  </w:num>
  <w:num w:numId="4">
    <w:abstractNumId w:val="12"/>
  </w:num>
  <w:num w:numId="5">
    <w:abstractNumId w:val="19"/>
  </w:num>
  <w:num w:numId="6">
    <w:abstractNumId w:val="13"/>
  </w:num>
  <w:num w:numId="7">
    <w:abstractNumId w:val="26"/>
  </w:num>
  <w:num w:numId="8">
    <w:abstractNumId w:val="5"/>
  </w:num>
  <w:num w:numId="9">
    <w:abstractNumId w:val="8"/>
  </w:num>
  <w:num w:numId="10">
    <w:abstractNumId w:val="29"/>
  </w:num>
  <w:num w:numId="11">
    <w:abstractNumId w:val="7"/>
  </w:num>
  <w:num w:numId="12">
    <w:abstractNumId w:val="14"/>
  </w:num>
  <w:num w:numId="13">
    <w:abstractNumId w:val="4"/>
  </w:num>
  <w:num w:numId="14">
    <w:abstractNumId w:val="27"/>
  </w:num>
  <w:num w:numId="15">
    <w:abstractNumId w:val="28"/>
  </w:num>
  <w:num w:numId="16">
    <w:abstractNumId w:val="10"/>
  </w:num>
  <w:num w:numId="17">
    <w:abstractNumId w:val="25"/>
  </w:num>
  <w:num w:numId="18">
    <w:abstractNumId w:val="15"/>
  </w:num>
  <w:num w:numId="19">
    <w:abstractNumId w:val="2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 w:numId="23">
    <w:abstractNumId w:val="24"/>
  </w:num>
  <w:num w:numId="24">
    <w:abstractNumId w:val="17"/>
  </w:num>
  <w:num w:numId="25">
    <w:abstractNumId w:val="22"/>
  </w:num>
  <w:num w:numId="26">
    <w:abstractNumId w:val="28"/>
  </w:num>
  <w:num w:numId="27">
    <w:abstractNumId w:val="16"/>
  </w:num>
  <w:num w:numId="28">
    <w:abstractNumId w:val="30"/>
  </w:num>
  <w:num w:numId="29">
    <w:abstractNumId w:val="6"/>
  </w:num>
  <w:num w:numId="30">
    <w:abstractNumId w:val="18"/>
  </w:num>
  <w:num w:numId="31">
    <w:abstractNumId w:val="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4"/>
    <w:rsid w:val="00000B40"/>
    <w:rsid w:val="00001E49"/>
    <w:rsid w:val="00003415"/>
    <w:rsid w:val="00004401"/>
    <w:rsid w:val="0000600A"/>
    <w:rsid w:val="00006D54"/>
    <w:rsid w:val="00007B30"/>
    <w:rsid w:val="00007BC1"/>
    <w:rsid w:val="000116C1"/>
    <w:rsid w:val="0001585B"/>
    <w:rsid w:val="00015C58"/>
    <w:rsid w:val="000164AE"/>
    <w:rsid w:val="00022ACB"/>
    <w:rsid w:val="000234F4"/>
    <w:rsid w:val="000248C9"/>
    <w:rsid w:val="000256FA"/>
    <w:rsid w:val="00026454"/>
    <w:rsid w:val="0003210A"/>
    <w:rsid w:val="00032FFD"/>
    <w:rsid w:val="00033959"/>
    <w:rsid w:val="00036E35"/>
    <w:rsid w:val="000440E9"/>
    <w:rsid w:val="00044194"/>
    <w:rsid w:val="000445F1"/>
    <w:rsid w:val="00044EF4"/>
    <w:rsid w:val="00046E24"/>
    <w:rsid w:val="0004701E"/>
    <w:rsid w:val="00047A98"/>
    <w:rsid w:val="00050376"/>
    <w:rsid w:val="00051516"/>
    <w:rsid w:val="00052642"/>
    <w:rsid w:val="00054DCB"/>
    <w:rsid w:val="00055CA5"/>
    <w:rsid w:val="00060B1F"/>
    <w:rsid w:val="00064103"/>
    <w:rsid w:val="000646FF"/>
    <w:rsid w:val="00065738"/>
    <w:rsid w:val="000665EF"/>
    <w:rsid w:val="000674E5"/>
    <w:rsid w:val="0006769A"/>
    <w:rsid w:val="00067E99"/>
    <w:rsid w:val="00070673"/>
    <w:rsid w:val="00071863"/>
    <w:rsid w:val="0007217D"/>
    <w:rsid w:val="00075754"/>
    <w:rsid w:val="00075E09"/>
    <w:rsid w:val="00076233"/>
    <w:rsid w:val="00076F81"/>
    <w:rsid w:val="000815B9"/>
    <w:rsid w:val="00083FC2"/>
    <w:rsid w:val="000909BE"/>
    <w:rsid w:val="00091152"/>
    <w:rsid w:val="00091616"/>
    <w:rsid w:val="000949C9"/>
    <w:rsid w:val="000961B9"/>
    <w:rsid w:val="000A14A2"/>
    <w:rsid w:val="000A21E7"/>
    <w:rsid w:val="000A483D"/>
    <w:rsid w:val="000B08F7"/>
    <w:rsid w:val="000B1923"/>
    <w:rsid w:val="000B3020"/>
    <w:rsid w:val="000B4388"/>
    <w:rsid w:val="000B7AFA"/>
    <w:rsid w:val="000C1E2D"/>
    <w:rsid w:val="000C5E6C"/>
    <w:rsid w:val="000C663B"/>
    <w:rsid w:val="000D1136"/>
    <w:rsid w:val="000D3582"/>
    <w:rsid w:val="000D5162"/>
    <w:rsid w:val="000D584D"/>
    <w:rsid w:val="000D637F"/>
    <w:rsid w:val="000D6F3F"/>
    <w:rsid w:val="000D7806"/>
    <w:rsid w:val="000E20A9"/>
    <w:rsid w:val="000E20E0"/>
    <w:rsid w:val="000E222E"/>
    <w:rsid w:val="000E2244"/>
    <w:rsid w:val="000E4422"/>
    <w:rsid w:val="000E5282"/>
    <w:rsid w:val="000E56D7"/>
    <w:rsid w:val="000E7FB6"/>
    <w:rsid w:val="000F04C6"/>
    <w:rsid w:val="000F17B2"/>
    <w:rsid w:val="00105995"/>
    <w:rsid w:val="00106809"/>
    <w:rsid w:val="001079CC"/>
    <w:rsid w:val="00110DDD"/>
    <w:rsid w:val="00111C9C"/>
    <w:rsid w:val="00112D95"/>
    <w:rsid w:val="0011440F"/>
    <w:rsid w:val="0011559A"/>
    <w:rsid w:val="00116120"/>
    <w:rsid w:val="001169F1"/>
    <w:rsid w:val="00122DC1"/>
    <w:rsid w:val="0012466B"/>
    <w:rsid w:val="00131EE4"/>
    <w:rsid w:val="00132CB9"/>
    <w:rsid w:val="00133BD3"/>
    <w:rsid w:val="00133BED"/>
    <w:rsid w:val="001377E8"/>
    <w:rsid w:val="0014011C"/>
    <w:rsid w:val="00140706"/>
    <w:rsid w:val="00143662"/>
    <w:rsid w:val="001473C0"/>
    <w:rsid w:val="001519D1"/>
    <w:rsid w:val="00151F6F"/>
    <w:rsid w:val="00152115"/>
    <w:rsid w:val="00152378"/>
    <w:rsid w:val="001527E8"/>
    <w:rsid w:val="00152E92"/>
    <w:rsid w:val="00154290"/>
    <w:rsid w:val="001576EA"/>
    <w:rsid w:val="00160148"/>
    <w:rsid w:val="001607BA"/>
    <w:rsid w:val="00163695"/>
    <w:rsid w:val="001648AB"/>
    <w:rsid w:val="001662E1"/>
    <w:rsid w:val="001700D9"/>
    <w:rsid w:val="00170556"/>
    <w:rsid w:val="00171F6E"/>
    <w:rsid w:val="00172EA3"/>
    <w:rsid w:val="00173E5B"/>
    <w:rsid w:val="0017581B"/>
    <w:rsid w:val="001822CA"/>
    <w:rsid w:val="001836FF"/>
    <w:rsid w:val="00184AD1"/>
    <w:rsid w:val="00184B1C"/>
    <w:rsid w:val="00192498"/>
    <w:rsid w:val="00192C0F"/>
    <w:rsid w:val="00194984"/>
    <w:rsid w:val="001A222A"/>
    <w:rsid w:val="001A37C9"/>
    <w:rsid w:val="001A43F0"/>
    <w:rsid w:val="001A5E0B"/>
    <w:rsid w:val="001A6CBC"/>
    <w:rsid w:val="001B16F8"/>
    <w:rsid w:val="001B67A1"/>
    <w:rsid w:val="001B7612"/>
    <w:rsid w:val="001C171D"/>
    <w:rsid w:val="001C6983"/>
    <w:rsid w:val="001D1819"/>
    <w:rsid w:val="001D280D"/>
    <w:rsid w:val="001D2AAC"/>
    <w:rsid w:val="001E4DCF"/>
    <w:rsid w:val="001E5296"/>
    <w:rsid w:val="001E5490"/>
    <w:rsid w:val="001E79E5"/>
    <w:rsid w:val="001F0026"/>
    <w:rsid w:val="001F269E"/>
    <w:rsid w:val="001F33F1"/>
    <w:rsid w:val="001F40E3"/>
    <w:rsid w:val="001F47E7"/>
    <w:rsid w:val="001F69EA"/>
    <w:rsid w:val="001F6F2F"/>
    <w:rsid w:val="001F7C1C"/>
    <w:rsid w:val="00202126"/>
    <w:rsid w:val="002036CC"/>
    <w:rsid w:val="00203C63"/>
    <w:rsid w:val="0021092C"/>
    <w:rsid w:val="002139A1"/>
    <w:rsid w:val="00216361"/>
    <w:rsid w:val="002167F3"/>
    <w:rsid w:val="0021731C"/>
    <w:rsid w:val="0022562F"/>
    <w:rsid w:val="0022642C"/>
    <w:rsid w:val="00231319"/>
    <w:rsid w:val="00231E0F"/>
    <w:rsid w:val="00231E45"/>
    <w:rsid w:val="00240103"/>
    <w:rsid w:val="00240E17"/>
    <w:rsid w:val="00241E68"/>
    <w:rsid w:val="0024221A"/>
    <w:rsid w:val="00243BD4"/>
    <w:rsid w:val="0024567C"/>
    <w:rsid w:val="00246D67"/>
    <w:rsid w:val="0024716E"/>
    <w:rsid w:val="00247557"/>
    <w:rsid w:val="0025103B"/>
    <w:rsid w:val="002518FB"/>
    <w:rsid w:val="00252288"/>
    <w:rsid w:val="00252830"/>
    <w:rsid w:val="002534D1"/>
    <w:rsid w:val="00253822"/>
    <w:rsid w:val="00253B25"/>
    <w:rsid w:val="00257F89"/>
    <w:rsid w:val="002646DC"/>
    <w:rsid w:val="0027031A"/>
    <w:rsid w:val="002715AD"/>
    <w:rsid w:val="00272907"/>
    <w:rsid w:val="00272BDB"/>
    <w:rsid w:val="0027398B"/>
    <w:rsid w:val="00274698"/>
    <w:rsid w:val="00275D16"/>
    <w:rsid w:val="0028032D"/>
    <w:rsid w:val="00282180"/>
    <w:rsid w:val="002828C1"/>
    <w:rsid w:val="00283362"/>
    <w:rsid w:val="00287829"/>
    <w:rsid w:val="00287D0A"/>
    <w:rsid w:val="00293A80"/>
    <w:rsid w:val="00293B3A"/>
    <w:rsid w:val="00294791"/>
    <w:rsid w:val="0029694B"/>
    <w:rsid w:val="00297385"/>
    <w:rsid w:val="00297516"/>
    <w:rsid w:val="002A4481"/>
    <w:rsid w:val="002A4982"/>
    <w:rsid w:val="002B056D"/>
    <w:rsid w:val="002B0660"/>
    <w:rsid w:val="002B222B"/>
    <w:rsid w:val="002B31EF"/>
    <w:rsid w:val="002B32E5"/>
    <w:rsid w:val="002C20F1"/>
    <w:rsid w:val="002C5958"/>
    <w:rsid w:val="002C6D27"/>
    <w:rsid w:val="002C73D4"/>
    <w:rsid w:val="002D105C"/>
    <w:rsid w:val="002D1712"/>
    <w:rsid w:val="002D359A"/>
    <w:rsid w:val="002D3F09"/>
    <w:rsid w:val="002D4116"/>
    <w:rsid w:val="002D4736"/>
    <w:rsid w:val="002D5DF4"/>
    <w:rsid w:val="002D7970"/>
    <w:rsid w:val="002D7D73"/>
    <w:rsid w:val="002E0C2B"/>
    <w:rsid w:val="002E5AE5"/>
    <w:rsid w:val="002F17D3"/>
    <w:rsid w:val="002F29D9"/>
    <w:rsid w:val="002F672E"/>
    <w:rsid w:val="002F69C6"/>
    <w:rsid w:val="002F6F9A"/>
    <w:rsid w:val="0030076E"/>
    <w:rsid w:val="003029D7"/>
    <w:rsid w:val="00302A7B"/>
    <w:rsid w:val="00304929"/>
    <w:rsid w:val="00304C5E"/>
    <w:rsid w:val="003056C7"/>
    <w:rsid w:val="00310519"/>
    <w:rsid w:val="00310E18"/>
    <w:rsid w:val="003153D6"/>
    <w:rsid w:val="00316BDB"/>
    <w:rsid w:val="00317C09"/>
    <w:rsid w:val="00317EDC"/>
    <w:rsid w:val="003236F5"/>
    <w:rsid w:val="00332795"/>
    <w:rsid w:val="00332F6C"/>
    <w:rsid w:val="003344F4"/>
    <w:rsid w:val="003411B4"/>
    <w:rsid w:val="003423D0"/>
    <w:rsid w:val="00342CAC"/>
    <w:rsid w:val="00343FB0"/>
    <w:rsid w:val="00345956"/>
    <w:rsid w:val="00347FBC"/>
    <w:rsid w:val="00351BF9"/>
    <w:rsid w:val="00351DC5"/>
    <w:rsid w:val="00352446"/>
    <w:rsid w:val="0035284A"/>
    <w:rsid w:val="00354BF1"/>
    <w:rsid w:val="0035519D"/>
    <w:rsid w:val="00362F26"/>
    <w:rsid w:val="00364B26"/>
    <w:rsid w:val="0036554C"/>
    <w:rsid w:val="00370882"/>
    <w:rsid w:val="003717E7"/>
    <w:rsid w:val="0037226B"/>
    <w:rsid w:val="0037263B"/>
    <w:rsid w:val="00373CAF"/>
    <w:rsid w:val="00374251"/>
    <w:rsid w:val="00382990"/>
    <w:rsid w:val="00383C87"/>
    <w:rsid w:val="00384C8C"/>
    <w:rsid w:val="0038672F"/>
    <w:rsid w:val="003917BB"/>
    <w:rsid w:val="00391CBF"/>
    <w:rsid w:val="003976B5"/>
    <w:rsid w:val="003A069A"/>
    <w:rsid w:val="003A4E7F"/>
    <w:rsid w:val="003B0A11"/>
    <w:rsid w:val="003B3457"/>
    <w:rsid w:val="003B5289"/>
    <w:rsid w:val="003C3526"/>
    <w:rsid w:val="003C377A"/>
    <w:rsid w:val="003C40C4"/>
    <w:rsid w:val="003C4DF5"/>
    <w:rsid w:val="003C5543"/>
    <w:rsid w:val="003D1A08"/>
    <w:rsid w:val="003D1AA7"/>
    <w:rsid w:val="003D50C7"/>
    <w:rsid w:val="003E4838"/>
    <w:rsid w:val="003E6235"/>
    <w:rsid w:val="003E791B"/>
    <w:rsid w:val="003E7E5E"/>
    <w:rsid w:val="003F01A8"/>
    <w:rsid w:val="003F17F5"/>
    <w:rsid w:val="003F36F9"/>
    <w:rsid w:val="003F3DA5"/>
    <w:rsid w:val="004001D8"/>
    <w:rsid w:val="004021CB"/>
    <w:rsid w:val="0040574D"/>
    <w:rsid w:val="00406858"/>
    <w:rsid w:val="004154D6"/>
    <w:rsid w:val="00415EFE"/>
    <w:rsid w:val="00420AB2"/>
    <w:rsid w:val="0042137C"/>
    <w:rsid w:val="00425304"/>
    <w:rsid w:val="00425664"/>
    <w:rsid w:val="004259C7"/>
    <w:rsid w:val="00433561"/>
    <w:rsid w:val="00435D0C"/>
    <w:rsid w:val="00437CA3"/>
    <w:rsid w:val="00440713"/>
    <w:rsid w:val="00441FEE"/>
    <w:rsid w:val="00443DB4"/>
    <w:rsid w:val="0044507A"/>
    <w:rsid w:val="00445B9D"/>
    <w:rsid w:val="00450B6E"/>
    <w:rsid w:val="00450BB2"/>
    <w:rsid w:val="00450F6C"/>
    <w:rsid w:val="00451B93"/>
    <w:rsid w:val="00455B57"/>
    <w:rsid w:val="00461426"/>
    <w:rsid w:val="00461D96"/>
    <w:rsid w:val="00462138"/>
    <w:rsid w:val="004638D6"/>
    <w:rsid w:val="00463A57"/>
    <w:rsid w:val="00465A60"/>
    <w:rsid w:val="00465F7A"/>
    <w:rsid w:val="004677BE"/>
    <w:rsid w:val="0047050A"/>
    <w:rsid w:val="00471A2D"/>
    <w:rsid w:val="0047349D"/>
    <w:rsid w:val="00473B43"/>
    <w:rsid w:val="004748F0"/>
    <w:rsid w:val="00474A01"/>
    <w:rsid w:val="00474E09"/>
    <w:rsid w:val="00475EC5"/>
    <w:rsid w:val="004801A7"/>
    <w:rsid w:val="004855DB"/>
    <w:rsid w:val="0048739A"/>
    <w:rsid w:val="0049081F"/>
    <w:rsid w:val="004925FD"/>
    <w:rsid w:val="004958E3"/>
    <w:rsid w:val="004A44E3"/>
    <w:rsid w:val="004A5EDB"/>
    <w:rsid w:val="004A760C"/>
    <w:rsid w:val="004B68F6"/>
    <w:rsid w:val="004B708D"/>
    <w:rsid w:val="004B7EBF"/>
    <w:rsid w:val="004C210D"/>
    <w:rsid w:val="004D18B1"/>
    <w:rsid w:val="004D445C"/>
    <w:rsid w:val="004D4C2B"/>
    <w:rsid w:val="004D5E5E"/>
    <w:rsid w:val="004E3C1D"/>
    <w:rsid w:val="004E4157"/>
    <w:rsid w:val="004E6DDD"/>
    <w:rsid w:val="004F41DA"/>
    <w:rsid w:val="004F42A0"/>
    <w:rsid w:val="004F4458"/>
    <w:rsid w:val="004F5437"/>
    <w:rsid w:val="004F5C76"/>
    <w:rsid w:val="004F6F83"/>
    <w:rsid w:val="004F7992"/>
    <w:rsid w:val="00500C18"/>
    <w:rsid w:val="00500C8A"/>
    <w:rsid w:val="005039F1"/>
    <w:rsid w:val="00506BB3"/>
    <w:rsid w:val="005070D8"/>
    <w:rsid w:val="0051171E"/>
    <w:rsid w:val="00511EF1"/>
    <w:rsid w:val="005161F9"/>
    <w:rsid w:val="00517BFC"/>
    <w:rsid w:val="005206D6"/>
    <w:rsid w:val="0052365C"/>
    <w:rsid w:val="00526AC9"/>
    <w:rsid w:val="00527264"/>
    <w:rsid w:val="00527731"/>
    <w:rsid w:val="0053054F"/>
    <w:rsid w:val="00530B10"/>
    <w:rsid w:val="005327CC"/>
    <w:rsid w:val="00532CBB"/>
    <w:rsid w:val="00537241"/>
    <w:rsid w:val="00537D9F"/>
    <w:rsid w:val="00543DA5"/>
    <w:rsid w:val="005440CA"/>
    <w:rsid w:val="005501B5"/>
    <w:rsid w:val="005511BA"/>
    <w:rsid w:val="00553721"/>
    <w:rsid w:val="005562ED"/>
    <w:rsid w:val="00557073"/>
    <w:rsid w:val="0056097D"/>
    <w:rsid w:val="005642EE"/>
    <w:rsid w:val="0056460A"/>
    <w:rsid w:val="005675A0"/>
    <w:rsid w:val="00567F17"/>
    <w:rsid w:val="00573D5E"/>
    <w:rsid w:val="00577061"/>
    <w:rsid w:val="00580626"/>
    <w:rsid w:val="0058079E"/>
    <w:rsid w:val="005809F9"/>
    <w:rsid w:val="00580D38"/>
    <w:rsid w:val="005824BA"/>
    <w:rsid w:val="00582B7A"/>
    <w:rsid w:val="00585B55"/>
    <w:rsid w:val="00587925"/>
    <w:rsid w:val="005901F5"/>
    <w:rsid w:val="005A085D"/>
    <w:rsid w:val="005A110A"/>
    <w:rsid w:val="005A1FD5"/>
    <w:rsid w:val="005A2963"/>
    <w:rsid w:val="005A4AE8"/>
    <w:rsid w:val="005A4E98"/>
    <w:rsid w:val="005A55C8"/>
    <w:rsid w:val="005A7566"/>
    <w:rsid w:val="005B053A"/>
    <w:rsid w:val="005B2CC8"/>
    <w:rsid w:val="005B7EEA"/>
    <w:rsid w:val="005C00DE"/>
    <w:rsid w:val="005C01FC"/>
    <w:rsid w:val="005C1FFD"/>
    <w:rsid w:val="005C37E3"/>
    <w:rsid w:val="005C661D"/>
    <w:rsid w:val="005C7355"/>
    <w:rsid w:val="005C73A2"/>
    <w:rsid w:val="005C7AFA"/>
    <w:rsid w:val="005D2620"/>
    <w:rsid w:val="005D42D6"/>
    <w:rsid w:val="005D592B"/>
    <w:rsid w:val="005D6AF3"/>
    <w:rsid w:val="005D6E70"/>
    <w:rsid w:val="005E1A95"/>
    <w:rsid w:val="005E2839"/>
    <w:rsid w:val="005E7678"/>
    <w:rsid w:val="005F26F8"/>
    <w:rsid w:val="005F5182"/>
    <w:rsid w:val="005F52EC"/>
    <w:rsid w:val="00601040"/>
    <w:rsid w:val="00601804"/>
    <w:rsid w:val="0060279C"/>
    <w:rsid w:val="00603A46"/>
    <w:rsid w:val="00607912"/>
    <w:rsid w:val="00611BD1"/>
    <w:rsid w:val="00611DE4"/>
    <w:rsid w:val="006132F7"/>
    <w:rsid w:val="00613450"/>
    <w:rsid w:val="006149E7"/>
    <w:rsid w:val="00616DE0"/>
    <w:rsid w:val="00622157"/>
    <w:rsid w:val="00622814"/>
    <w:rsid w:val="00623F06"/>
    <w:rsid w:val="00625E7A"/>
    <w:rsid w:val="00627724"/>
    <w:rsid w:val="00627A59"/>
    <w:rsid w:val="006329C7"/>
    <w:rsid w:val="00634B56"/>
    <w:rsid w:val="00637CE9"/>
    <w:rsid w:val="00643882"/>
    <w:rsid w:val="00643DBE"/>
    <w:rsid w:val="00645321"/>
    <w:rsid w:val="00645D14"/>
    <w:rsid w:val="00647E82"/>
    <w:rsid w:val="00650678"/>
    <w:rsid w:val="006506BD"/>
    <w:rsid w:val="00654357"/>
    <w:rsid w:val="0065640A"/>
    <w:rsid w:val="00656AC7"/>
    <w:rsid w:val="006577BE"/>
    <w:rsid w:val="0066211F"/>
    <w:rsid w:val="00663FC1"/>
    <w:rsid w:val="00667123"/>
    <w:rsid w:val="00667365"/>
    <w:rsid w:val="00667773"/>
    <w:rsid w:val="00673BC8"/>
    <w:rsid w:val="00676026"/>
    <w:rsid w:val="00677142"/>
    <w:rsid w:val="00680CD8"/>
    <w:rsid w:val="0068295C"/>
    <w:rsid w:val="00682A5E"/>
    <w:rsid w:val="006904A9"/>
    <w:rsid w:val="006908A9"/>
    <w:rsid w:val="00690D2A"/>
    <w:rsid w:val="00690DE0"/>
    <w:rsid w:val="00691A52"/>
    <w:rsid w:val="006942CF"/>
    <w:rsid w:val="006944F3"/>
    <w:rsid w:val="00694A8D"/>
    <w:rsid w:val="006A019C"/>
    <w:rsid w:val="006A1C9C"/>
    <w:rsid w:val="006A259B"/>
    <w:rsid w:val="006A599A"/>
    <w:rsid w:val="006A721B"/>
    <w:rsid w:val="006B2089"/>
    <w:rsid w:val="006B2124"/>
    <w:rsid w:val="006B301D"/>
    <w:rsid w:val="006B3AC1"/>
    <w:rsid w:val="006B4A98"/>
    <w:rsid w:val="006B5076"/>
    <w:rsid w:val="006B5D15"/>
    <w:rsid w:val="006C1F0A"/>
    <w:rsid w:val="006C3F9B"/>
    <w:rsid w:val="006C4ECF"/>
    <w:rsid w:val="006C59A7"/>
    <w:rsid w:val="006C7E2F"/>
    <w:rsid w:val="006D13E5"/>
    <w:rsid w:val="006D73C0"/>
    <w:rsid w:val="006E014B"/>
    <w:rsid w:val="006E1149"/>
    <w:rsid w:val="006E12A1"/>
    <w:rsid w:val="006E1D9C"/>
    <w:rsid w:val="006E3923"/>
    <w:rsid w:val="006E4B4B"/>
    <w:rsid w:val="006E553E"/>
    <w:rsid w:val="006E7EC7"/>
    <w:rsid w:val="006F2564"/>
    <w:rsid w:val="006F262D"/>
    <w:rsid w:val="006F351D"/>
    <w:rsid w:val="006F626D"/>
    <w:rsid w:val="006F7F13"/>
    <w:rsid w:val="00700EBF"/>
    <w:rsid w:val="007024F9"/>
    <w:rsid w:val="00702CEF"/>
    <w:rsid w:val="0070326C"/>
    <w:rsid w:val="0071087B"/>
    <w:rsid w:val="0071258C"/>
    <w:rsid w:val="007140CB"/>
    <w:rsid w:val="00716A5B"/>
    <w:rsid w:val="00716F13"/>
    <w:rsid w:val="007244B1"/>
    <w:rsid w:val="0072545E"/>
    <w:rsid w:val="00725E2A"/>
    <w:rsid w:val="00730F04"/>
    <w:rsid w:val="0073108D"/>
    <w:rsid w:val="00731564"/>
    <w:rsid w:val="0073224A"/>
    <w:rsid w:val="007335B1"/>
    <w:rsid w:val="00737024"/>
    <w:rsid w:val="007416DD"/>
    <w:rsid w:val="00741F65"/>
    <w:rsid w:val="00742904"/>
    <w:rsid w:val="00744768"/>
    <w:rsid w:val="00744C3A"/>
    <w:rsid w:val="00745FC8"/>
    <w:rsid w:val="007461D0"/>
    <w:rsid w:val="00750CAC"/>
    <w:rsid w:val="00752660"/>
    <w:rsid w:val="00753917"/>
    <w:rsid w:val="00753C6A"/>
    <w:rsid w:val="0075558F"/>
    <w:rsid w:val="00755737"/>
    <w:rsid w:val="00756D2F"/>
    <w:rsid w:val="00756D7C"/>
    <w:rsid w:val="00756F85"/>
    <w:rsid w:val="00760368"/>
    <w:rsid w:val="00761EDA"/>
    <w:rsid w:val="00764328"/>
    <w:rsid w:val="00764709"/>
    <w:rsid w:val="00766CF9"/>
    <w:rsid w:val="00770115"/>
    <w:rsid w:val="00770526"/>
    <w:rsid w:val="00771E3E"/>
    <w:rsid w:val="00777DAD"/>
    <w:rsid w:val="007807AE"/>
    <w:rsid w:val="007817A1"/>
    <w:rsid w:val="0078215C"/>
    <w:rsid w:val="00784BB6"/>
    <w:rsid w:val="00784F14"/>
    <w:rsid w:val="00785B5F"/>
    <w:rsid w:val="00785C6C"/>
    <w:rsid w:val="00785CD3"/>
    <w:rsid w:val="00787D3C"/>
    <w:rsid w:val="00787D76"/>
    <w:rsid w:val="0079095F"/>
    <w:rsid w:val="00791B47"/>
    <w:rsid w:val="00793404"/>
    <w:rsid w:val="00793A5E"/>
    <w:rsid w:val="007A43DF"/>
    <w:rsid w:val="007A4F00"/>
    <w:rsid w:val="007B051D"/>
    <w:rsid w:val="007B1131"/>
    <w:rsid w:val="007B3CA7"/>
    <w:rsid w:val="007B635C"/>
    <w:rsid w:val="007C3D5B"/>
    <w:rsid w:val="007D3C16"/>
    <w:rsid w:val="007D43C7"/>
    <w:rsid w:val="007D4575"/>
    <w:rsid w:val="007E04CD"/>
    <w:rsid w:val="007E247B"/>
    <w:rsid w:val="007E2D5C"/>
    <w:rsid w:val="007E62A4"/>
    <w:rsid w:val="007E6CA7"/>
    <w:rsid w:val="007F0357"/>
    <w:rsid w:val="007F15B7"/>
    <w:rsid w:val="007F1ED2"/>
    <w:rsid w:val="007F2932"/>
    <w:rsid w:val="007F4334"/>
    <w:rsid w:val="007F4F3B"/>
    <w:rsid w:val="007F4FE9"/>
    <w:rsid w:val="007F517F"/>
    <w:rsid w:val="007F5BFE"/>
    <w:rsid w:val="007F5EFF"/>
    <w:rsid w:val="007F63E3"/>
    <w:rsid w:val="00802856"/>
    <w:rsid w:val="00802E6F"/>
    <w:rsid w:val="00803746"/>
    <w:rsid w:val="008041E4"/>
    <w:rsid w:val="00806D23"/>
    <w:rsid w:val="008101DD"/>
    <w:rsid w:val="0081222C"/>
    <w:rsid w:val="0081739C"/>
    <w:rsid w:val="00820564"/>
    <w:rsid w:val="00823C02"/>
    <w:rsid w:val="00823CA4"/>
    <w:rsid w:val="0082752D"/>
    <w:rsid w:val="00827568"/>
    <w:rsid w:val="00827FA1"/>
    <w:rsid w:val="008301FA"/>
    <w:rsid w:val="00830E72"/>
    <w:rsid w:val="00833289"/>
    <w:rsid w:val="00833C9B"/>
    <w:rsid w:val="008541D9"/>
    <w:rsid w:val="0086516A"/>
    <w:rsid w:val="008671CB"/>
    <w:rsid w:val="008671F8"/>
    <w:rsid w:val="0087190C"/>
    <w:rsid w:val="008728B9"/>
    <w:rsid w:val="008735CC"/>
    <w:rsid w:val="00873FA0"/>
    <w:rsid w:val="008740B7"/>
    <w:rsid w:val="00874FEA"/>
    <w:rsid w:val="00880C23"/>
    <w:rsid w:val="00881E8E"/>
    <w:rsid w:val="008836A5"/>
    <w:rsid w:val="008836CD"/>
    <w:rsid w:val="00890EED"/>
    <w:rsid w:val="00895424"/>
    <w:rsid w:val="00895ECF"/>
    <w:rsid w:val="00896457"/>
    <w:rsid w:val="00896D16"/>
    <w:rsid w:val="00897798"/>
    <w:rsid w:val="008A66FC"/>
    <w:rsid w:val="008A6E9C"/>
    <w:rsid w:val="008B4A4C"/>
    <w:rsid w:val="008B5E07"/>
    <w:rsid w:val="008C0690"/>
    <w:rsid w:val="008C2B2E"/>
    <w:rsid w:val="008C320C"/>
    <w:rsid w:val="008C4D11"/>
    <w:rsid w:val="008C5C72"/>
    <w:rsid w:val="008D082E"/>
    <w:rsid w:val="008D0F26"/>
    <w:rsid w:val="008D13D5"/>
    <w:rsid w:val="008D155A"/>
    <w:rsid w:val="008D1AA6"/>
    <w:rsid w:val="008D4411"/>
    <w:rsid w:val="008D71B6"/>
    <w:rsid w:val="008E1419"/>
    <w:rsid w:val="008E1F81"/>
    <w:rsid w:val="008E4B05"/>
    <w:rsid w:val="008E4C0F"/>
    <w:rsid w:val="008E5CC1"/>
    <w:rsid w:val="008E6CF2"/>
    <w:rsid w:val="008E7654"/>
    <w:rsid w:val="008E7DB9"/>
    <w:rsid w:val="008F4692"/>
    <w:rsid w:val="008F5157"/>
    <w:rsid w:val="008F67C2"/>
    <w:rsid w:val="008F6FE5"/>
    <w:rsid w:val="008F72DB"/>
    <w:rsid w:val="008F7FBA"/>
    <w:rsid w:val="00900CF7"/>
    <w:rsid w:val="00902AD2"/>
    <w:rsid w:val="00904594"/>
    <w:rsid w:val="0091170F"/>
    <w:rsid w:val="00913321"/>
    <w:rsid w:val="00917FB2"/>
    <w:rsid w:val="00920048"/>
    <w:rsid w:val="00923401"/>
    <w:rsid w:val="009239B2"/>
    <w:rsid w:val="00923C96"/>
    <w:rsid w:val="00924095"/>
    <w:rsid w:val="00927152"/>
    <w:rsid w:val="00930386"/>
    <w:rsid w:val="00930ED4"/>
    <w:rsid w:val="009323FE"/>
    <w:rsid w:val="00934E2F"/>
    <w:rsid w:val="009401FB"/>
    <w:rsid w:val="009407A9"/>
    <w:rsid w:val="0094204B"/>
    <w:rsid w:val="0094590E"/>
    <w:rsid w:val="00945DBC"/>
    <w:rsid w:val="00945E8E"/>
    <w:rsid w:val="00946194"/>
    <w:rsid w:val="009471BC"/>
    <w:rsid w:val="009474A4"/>
    <w:rsid w:val="00950F75"/>
    <w:rsid w:val="00957239"/>
    <w:rsid w:val="00960C89"/>
    <w:rsid w:val="00960ECC"/>
    <w:rsid w:val="00964057"/>
    <w:rsid w:val="009666E0"/>
    <w:rsid w:val="0097055D"/>
    <w:rsid w:val="0097355D"/>
    <w:rsid w:val="00973C48"/>
    <w:rsid w:val="00980921"/>
    <w:rsid w:val="0098138B"/>
    <w:rsid w:val="00982BA9"/>
    <w:rsid w:val="009831F3"/>
    <w:rsid w:val="00983F69"/>
    <w:rsid w:val="009871FA"/>
    <w:rsid w:val="009902EB"/>
    <w:rsid w:val="00991457"/>
    <w:rsid w:val="009970C2"/>
    <w:rsid w:val="009A0711"/>
    <w:rsid w:val="009A1749"/>
    <w:rsid w:val="009A208D"/>
    <w:rsid w:val="009A3134"/>
    <w:rsid w:val="009A4A08"/>
    <w:rsid w:val="009A6009"/>
    <w:rsid w:val="009A7264"/>
    <w:rsid w:val="009A7BCC"/>
    <w:rsid w:val="009B1FA8"/>
    <w:rsid w:val="009B244B"/>
    <w:rsid w:val="009B2F41"/>
    <w:rsid w:val="009B4FC4"/>
    <w:rsid w:val="009B56EE"/>
    <w:rsid w:val="009B5AB0"/>
    <w:rsid w:val="009C1AF6"/>
    <w:rsid w:val="009C3829"/>
    <w:rsid w:val="009C65F7"/>
    <w:rsid w:val="009C66AE"/>
    <w:rsid w:val="009D13ED"/>
    <w:rsid w:val="009D14FE"/>
    <w:rsid w:val="009D64E0"/>
    <w:rsid w:val="009D7AD5"/>
    <w:rsid w:val="009E1227"/>
    <w:rsid w:val="009E38C8"/>
    <w:rsid w:val="009E56DE"/>
    <w:rsid w:val="009E5F65"/>
    <w:rsid w:val="009F32D8"/>
    <w:rsid w:val="009F3E8C"/>
    <w:rsid w:val="009F418C"/>
    <w:rsid w:val="00A012EA"/>
    <w:rsid w:val="00A05311"/>
    <w:rsid w:val="00A06773"/>
    <w:rsid w:val="00A06CA8"/>
    <w:rsid w:val="00A10D82"/>
    <w:rsid w:val="00A13E6B"/>
    <w:rsid w:val="00A17619"/>
    <w:rsid w:val="00A2353B"/>
    <w:rsid w:val="00A23A5A"/>
    <w:rsid w:val="00A24EBB"/>
    <w:rsid w:val="00A2645A"/>
    <w:rsid w:val="00A27755"/>
    <w:rsid w:val="00A27CB9"/>
    <w:rsid w:val="00A3088C"/>
    <w:rsid w:val="00A31D45"/>
    <w:rsid w:val="00A342B9"/>
    <w:rsid w:val="00A34445"/>
    <w:rsid w:val="00A36FBE"/>
    <w:rsid w:val="00A37A88"/>
    <w:rsid w:val="00A42965"/>
    <w:rsid w:val="00A4631F"/>
    <w:rsid w:val="00A51D26"/>
    <w:rsid w:val="00A530F0"/>
    <w:rsid w:val="00A54FBF"/>
    <w:rsid w:val="00A61201"/>
    <w:rsid w:val="00A622AB"/>
    <w:rsid w:val="00A63BA0"/>
    <w:rsid w:val="00A64338"/>
    <w:rsid w:val="00A65A61"/>
    <w:rsid w:val="00A6775C"/>
    <w:rsid w:val="00A67C1A"/>
    <w:rsid w:val="00A7117E"/>
    <w:rsid w:val="00A71221"/>
    <w:rsid w:val="00A7134A"/>
    <w:rsid w:val="00A730B6"/>
    <w:rsid w:val="00A735A5"/>
    <w:rsid w:val="00A81DEF"/>
    <w:rsid w:val="00A81F66"/>
    <w:rsid w:val="00A831D6"/>
    <w:rsid w:val="00A83E99"/>
    <w:rsid w:val="00A8480A"/>
    <w:rsid w:val="00A848CE"/>
    <w:rsid w:val="00A84AA1"/>
    <w:rsid w:val="00A86967"/>
    <w:rsid w:val="00A875A2"/>
    <w:rsid w:val="00A9074E"/>
    <w:rsid w:val="00A91EBE"/>
    <w:rsid w:val="00A93624"/>
    <w:rsid w:val="00A97D61"/>
    <w:rsid w:val="00AA0EA3"/>
    <w:rsid w:val="00AA0EA4"/>
    <w:rsid w:val="00AA137D"/>
    <w:rsid w:val="00AA1F14"/>
    <w:rsid w:val="00AA2B6B"/>
    <w:rsid w:val="00AA5460"/>
    <w:rsid w:val="00AA5E24"/>
    <w:rsid w:val="00AA6398"/>
    <w:rsid w:val="00AA6817"/>
    <w:rsid w:val="00AA7090"/>
    <w:rsid w:val="00AA7B4A"/>
    <w:rsid w:val="00AA7BA6"/>
    <w:rsid w:val="00AB1F97"/>
    <w:rsid w:val="00AB3457"/>
    <w:rsid w:val="00AB6227"/>
    <w:rsid w:val="00AB7CFA"/>
    <w:rsid w:val="00AC0261"/>
    <w:rsid w:val="00AC1523"/>
    <w:rsid w:val="00AC165B"/>
    <w:rsid w:val="00AC2685"/>
    <w:rsid w:val="00AC344F"/>
    <w:rsid w:val="00AC4B9A"/>
    <w:rsid w:val="00AC62AE"/>
    <w:rsid w:val="00AC656D"/>
    <w:rsid w:val="00AD0CEA"/>
    <w:rsid w:val="00AD17CB"/>
    <w:rsid w:val="00AD197B"/>
    <w:rsid w:val="00AE1932"/>
    <w:rsid w:val="00AE6D6C"/>
    <w:rsid w:val="00AF16E1"/>
    <w:rsid w:val="00AF2097"/>
    <w:rsid w:val="00AF26DE"/>
    <w:rsid w:val="00AF26E4"/>
    <w:rsid w:val="00AF4C40"/>
    <w:rsid w:val="00AF711A"/>
    <w:rsid w:val="00B01031"/>
    <w:rsid w:val="00B0515E"/>
    <w:rsid w:val="00B05DCC"/>
    <w:rsid w:val="00B1096B"/>
    <w:rsid w:val="00B13496"/>
    <w:rsid w:val="00B16FBD"/>
    <w:rsid w:val="00B173A1"/>
    <w:rsid w:val="00B175E1"/>
    <w:rsid w:val="00B1793B"/>
    <w:rsid w:val="00B218D9"/>
    <w:rsid w:val="00B22C27"/>
    <w:rsid w:val="00B22E49"/>
    <w:rsid w:val="00B233D6"/>
    <w:rsid w:val="00B235FF"/>
    <w:rsid w:val="00B23DA9"/>
    <w:rsid w:val="00B276DC"/>
    <w:rsid w:val="00B33934"/>
    <w:rsid w:val="00B459BE"/>
    <w:rsid w:val="00B46A7B"/>
    <w:rsid w:val="00B46E43"/>
    <w:rsid w:val="00B5121A"/>
    <w:rsid w:val="00B515EC"/>
    <w:rsid w:val="00B51784"/>
    <w:rsid w:val="00B522BE"/>
    <w:rsid w:val="00B560EA"/>
    <w:rsid w:val="00B56FC4"/>
    <w:rsid w:val="00B57829"/>
    <w:rsid w:val="00B65841"/>
    <w:rsid w:val="00B66979"/>
    <w:rsid w:val="00B66DD3"/>
    <w:rsid w:val="00B67B28"/>
    <w:rsid w:val="00B718B2"/>
    <w:rsid w:val="00B7371C"/>
    <w:rsid w:val="00B756AB"/>
    <w:rsid w:val="00B75B82"/>
    <w:rsid w:val="00B81307"/>
    <w:rsid w:val="00B81CF0"/>
    <w:rsid w:val="00B82901"/>
    <w:rsid w:val="00B8292A"/>
    <w:rsid w:val="00B83B3D"/>
    <w:rsid w:val="00B85B03"/>
    <w:rsid w:val="00B87E11"/>
    <w:rsid w:val="00B9025B"/>
    <w:rsid w:val="00B9187E"/>
    <w:rsid w:val="00B9613A"/>
    <w:rsid w:val="00BA3313"/>
    <w:rsid w:val="00BA382F"/>
    <w:rsid w:val="00BA4FC6"/>
    <w:rsid w:val="00BA6E35"/>
    <w:rsid w:val="00BB20D0"/>
    <w:rsid w:val="00BB251D"/>
    <w:rsid w:val="00BB34FA"/>
    <w:rsid w:val="00BB56A2"/>
    <w:rsid w:val="00BC03BA"/>
    <w:rsid w:val="00BC20CB"/>
    <w:rsid w:val="00BC28B3"/>
    <w:rsid w:val="00BC69E4"/>
    <w:rsid w:val="00BD0E0C"/>
    <w:rsid w:val="00BD2621"/>
    <w:rsid w:val="00BD571C"/>
    <w:rsid w:val="00BD643A"/>
    <w:rsid w:val="00BD77C2"/>
    <w:rsid w:val="00BE0155"/>
    <w:rsid w:val="00BE7463"/>
    <w:rsid w:val="00BF09A6"/>
    <w:rsid w:val="00BF5C4A"/>
    <w:rsid w:val="00BF67E9"/>
    <w:rsid w:val="00C0022F"/>
    <w:rsid w:val="00C002C1"/>
    <w:rsid w:val="00C07552"/>
    <w:rsid w:val="00C11431"/>
    <w:rsid w:val="00C13380"/>
    <w:rsid w:val="00C1386E"/>
    <w:rsid w:val="00C149A1"/>
    <w:rsid w:val="00C17453"/>
    <w:rsid w:val="00C20FD2"/>
    <w:rsid w:val="00C220C7"/>
    <w:rsid w:val="00C23239"/>
    <w:rsid w:val="00C250A8"/>
    <w:rsid w:val="00C252BB"/>
    <w:rsid w:val="00C27397"/>
    <w:rsid w:val="00C27EF3"/>
    <w:rsid w:val="00C304A0"/>
    <w:rsid w:val="00C30680"/>
    <w:rsid w:val="00C30E7F"/>
    <w:rsid w:val="00C32220"/>
    <w:rsid w:val="00C35FEA"/>
    <w:rsid w:val="00C36A08"/>
    <w:rsid w:val="00C37A84"/>
    <w:rsid w:val="00C37F0F"/>
    <w:rsid w:val="00C40DDE"/>
    <w:rsid w:val="00C412C4"/>
    <w:rsid w:val="00C41FE1"/>
    <w:rsid w:val="00C421E4"/>
    <w:rsid w:val="00C44765"/>
    <w:rsid w:val="00C45BDD"/>
    <w:rsid w:val="00C47534"/>
    <w:rsid w:val="00C4759A"/>
    <w:rsid w:val="00C47B25"/>
    <w:rsid w:val="00C50326"/>
    <w:rsid w:val="00C510EC"/>
    <w:rsid w:val="00C51D09"/>
    <w:rsid w:val="00C529E6"/>
    <w:rsid w:val="00C601CB"/>
    <w:rsid w:val="00C60E63"/>
    <w:rsid w:val="00C61E4A"/>
    <w:rsid w:val="00C6579B"/>
    <w:rsid w:val="00C658E9"/>
    <w:rsid w:val="00C74F38"/>
    <w:rsid w:val="00C75C04"/>
    <w:rsid w:val="00C76E94"/>
    <w:rsid w:val="00C777C6"/>
    <w:rsid w:val="00C80F34"/>
    <w:rsid w:val="00C81E96"/>
    <w:rsid w:val="00C82844"/>
    <w:rsid w:val="00C83328"/>
    <w:rsid w:val="00C835B3"/>
    <w:rsid w:val="00C8565B"/>
    <w:rsid w:val="00C91AD3"/>
    <w:rsid w:val="00C92E14"/>
    <w:rsid w:val="00C93964"/>
    <w:rsid w:val="00C94DCE"/>
    <w:rsid w:val="00C95957"/>
    <w:rsid w:val="00CA18F6"/>
    <w:rsid w:val="00CA1AE6"/>
    <w:rsid w:val="00CA4FCE"/>
    <w:rsid w:val="00CA5E13"/>
    <w:rsid w:val="00CA62E4"/>
    <w:rsid w:val="00CB13ED"/>
    <w:rsid w:val="00CB1A69"/>
    <w:rsid w:val="00CB2032"/>
    <w:rsid w:val="00CB491D"/>
    <w:rsid w:val="00CB5DA0"/>
    <w:rsid w:val="00CB5F92"/>
    <w:rsid w:val="00CC0FDE"/>
    <w:rsid w:val="00CC5677"/>
    <w:rsid w:val="00CD0722"/>
    <w:rsid w:val="00CD13D1"/>
    <w:rsid w:val="00CD31C0"/>
    <w:rsid w:val="00CD67A6"/>
    <w:rsid w:val="00CD68EE"/>
    <w:rsid w:val="00CD788A"/>
    <w:rsid w:val="00CE1D08"/>
    <w:rsid w:val="00CE3F19"/>
    <w:rsid w:val="00CE5026"/>
    <w:rsid w:val="00CE53C8"/>
    <w:rsid w:val="00CE5424"/>
    <w:rsid w:val="00CF046E"/>
    <w:rsid w:val="00CF14E6"/>
    <w:rsid w:val="00CF423C"/>
    <w:rsid w:val="00CF4C3A"/>
    <w:rsid w:val="00CF7162"/>
    <w:rsid w:val="00CF7795"/>
    <w:rsid w:val="00D00D8E"/>
    <w:rsid w:val="00D018F3"/>
    <w:rsid w:val="00D05D28"/>
    <w:rsid w:val="00D06D29"/>
    <w:rsid w:val="00D113B2"/>
    <w:rsid w:val="00D201C8"/>
    <w:rsid w:val="00D21953"/>
    <w:rsid w:val="00D2249A"/>
    <w:rsid w:val="00D22A18"/>
    <w:rsid w:val="00D35637"/>
    <w:rsid w:val="00D357E5"/>
    <w:rsid w:val="00D36EED"/>
    <w:rsid w:val="00D50023"/>
    <w:rsid w:val="00D505AF"/>
    <w:rsid w:val="00D56077"/>
    <w:rsid w:val="00D577A0"/>
    <w:rsid w:val="00D60B18"/>
    <w:rsid w:val="00D618DD"/>
    <w:rsid w:val="00D6211D"/>
    <w:rsid w:val="00D6336D"/>
    <w:rsid w:val="00D63FDD"/>
    <w:rsid w:val="00D64E7F"/>
    <w:rsid w:val="00D65CCB"/>
    <w:rsid w:val="00D710D2"/>
    <w:rsid w:val="00D7514F"/>
    <w:rsid w:val="00D772A9"/>
    <w:rsid w:val="00D8277F"/>
    <w:rsid w:val="00D83375"/>
    <w:rsid w:val="00D872F5"/>
    <w:rsid w:val="00D93A5D"/>
    <w:rsid w:val="00D944DE"/>
    <w:rsid w:val="00D94BE4"/>
    <w:rsid w:val="00D95F9A"/>
    <w:rsid w:val="00D9641B"/>
    <w:rsid w:val="00D97C26"/>
    <w:rsid w:val="00D97D8B"/>
    <w:rsid w:val="00DA2B5B"/>
    <w:rsid w:val="00DA3D4A"/>
    <w:rsid w:val="00DA4046"/>
    <w:rsid w:val="00DA4844"/>
    <w:rsid w:val="00DA4FDD"/>
    <w:rsid w:val="00DA775E"/>
    <w:rsid w:val="00DB74B8"/>
    <w:rsid w:val="00DC01DA"/>
    <w:rsid w:val="00DC2949"/>
    <w:rsid w:val="00DC4B6B"/>
    <w:rsid w:val="00DC5C44"/>
    <w:rsid w:val="00DD025C"/>
    <w:rsid w:val="00DD5414"/>
    <w:rsid w:val="00DD73A5"/>
    <w:rsid w:val="00DE0446"/>
    <w:rsid w:val="00DE1133"/>
    <w:rsid w:val="00DE16C5"/>
    <w:rsid w:val="00DE3246"/>
    <w:rsid w:val="00DE34D4"/>
    <w:rsid w:val="00DE5B3E"/>
    <w:rsid w:val="00DE62A4"/>
    <w:rsid w:val="00DE6DA2"/>
    <w:rsid w:val="00DE709A"/>
    <w:rsid w:val="00DF01D0"/>
    <w:rsid w:val="00DF0872"/>
    <w:rsid w:val="00DF306C"/>
    <w:rsid w:val="00DF31D1"/>
    <w:rsid w:val="00DF3A59"/>
    <w:rsid w:val="00DF6AF0"/>
    <w:rsid w:val="00DF6EB6"/>
    <w:rsid w:val="00DF749D"/>
    <w:rsid w:val="00E01F94"/>
    <w:rsid w:val="00E020E6"/>
    <w:rsid w:val="00E02A2F"/>
    <w:rsid w:val="00E05225"/>
    <w:rsid w:val="00E06B10"/>
    <w:rsid w:val="00E10553"/>
    <w:rsid w:val="00E17407"/>
    <w:rsid w:val="00E2120D"/>
    <w:rsid w:val="00E2128C"/>
    <w:rsid w:val="00E250F7"/>
    <w:rsid w:val="00E2586E"/>
    <w:rsid w:val="00E25A69"/>
    <w:rsid w:val="00E25DC9"/>
    <w:rsid w:val="00E260A8"/>
    <w:rsid w:val="00E26B20"/>
    <w:rsid w:val="00E27CFE"/>
    <w:rsid w:val="00E3324E"/>
    <w:rsid w:val="00E3344A"/>
    <w:rsid w:val="00E3423B"/>
    <w:rsid w:val="00E35ED8"/>
    <w:rsid w:val="00E43B35"/>
    <w:rsid w:val="00E43E1F"/>
    <w:rsid w:val="00E44F5D"/>
    <w:rsid w:val="00E452D4"/>
    <w:rsid w:val="00E523FE"/>
    <w:rsid w:val="00E536D6"/>
    <w:rsid w:val="00E539CB"/>
    <w:rsid w:val="00E62BD4"/>
    <w:rsid w:val="00E630B6"/>
    <w:rsid w:val="00E671FF"/>
    <w:rsid w:val="00E67AFE"/>
    <w:rsid w:val="00E71738"/>
    <w:rsid w:val="00E7462A"/>
    <w:rsid w:val="00E752F7"/>
    <w:rsid w:val="00E87F26"/>
    <w:rsid w:val="00E9243C"/>
    <w:rsid w:val="00E92C65"/>
    <w:rsid w:val="00E93327"/>
    <w:rsid w:val="00E975ED"/>
    <w:rsid w:val="00EA1E5D"/>
    <w:rsid w:val="00EA3DB7"/>
    <w:rsid w:val="00EB0E59"/>
    <w:rsid w:val="00EB399B"/>
    <w:rsid w:val="00EB42CD"/>
    <w:rsid w:val="00EC0C8C"/>
    <w:rsid w:val="00ED0039"/>
    <w:rsid w:val="00ED0CEC"/>
    <w:rsid w:val="00ED4898"/>
    <w:rsid w:val="00ED62A1"/>
    <w:rsid w:val="00ED6697"/>
    <w:rsid w:val="00ED765A"/>
    <w:rsid w:val="00EE165E"/>
    <w:rsid w:val="00EE23AC"/>
    <w:rsid w:val="00EE4ABE"/>
    <w:rsid w:val="00EE6554"/>
    <w:rsid w:val="00EE6724"/>
    <w:rsid w:val="00EF01C0"/>
    <w:rsid w:val="00EF0D04"/>
    <w:rsid w:val="00EF2232"/>
    <w:rsid w:val="00EF46C5"/>
    <w:rsid w:val="00EF6332"/>
    <w:rsid w:val="00F10751"/>
    <w:rsid w:val="00F10FB2"/>
    <w:rsid w:val="00F12830"/>
    <w:rsid w:val="00F12AFD"/>
    <w:rsid w:val="00F14BCA"/>
    <w:rsid w:val="00F17308"/>
    <w:rsid w:val="00F17F99"/>
    <w:rsid w:val="00F20FBD"/>
    <w:rsid w:val="00F2216A"/>
    <w:rsid w:val="00F24CEE"/>
    <w:rsid w:val="00F24EC3"/>
    <w:rsid w:val="00F25876"/>
    <w:rsid w:val="00F3284D"/>
    <w:rsid w:val="00F32B63"/>
    <w:rsid w:val="00F33667"/>
    <w:rsid w:val="00F34CDF"/>
    <w:rsid w:val="00F34E56"/>
    <w:rsid w:val="00F37E13"/>
    <w:rsid w:val="00F42EE7"/>
    <w:rsid w:val="00F43423"/>
    <w:rsid w:val="00F4723A"/>
    <w:rsid w:val="00F477B0"/>
    <w:rsid w:val="00F502AD"/>
    <w:rsid w:val="00F512CF"/>
    <w:rsid w:val="00F6198B"/>
    <w:rsid w:val="00F7321F"/>
    <w:rsid w:val="00F74BA5"/>
    <w:rsid w:val="00F76F16"/>
    <w:rsid w:val="00F80466"/>
    <w:rsid w:val="00F80DE8"/>
    <w:rsid w:val="00F832BF"/>
    <w:rsid w:val="00F8396F"/>
    <w:rsid w:val="00F844A6"/>
    <w:rsid w:val="00F86BCF"/>
    <w:rsid w:val="00F90734"/>
    <w:rsid w:val="00F90A92"/>
    <w:rsid w:val="00F9520E"/>
    <w:rsid w:val="00F95643"/>
    <w:rsid w:val="00F95A45"/>
    <w:rsid w:val="00F95F7A"/>
    <w:rsid w:val="00F960A2"/>
    <w:rsid w:val="00FA2501"/>
    <w:rsid w:val="00FA299A"/>
    <w:rsid w:val="00FA3EAC"/>
    <w:rsid w:val="00FA44BB"/>
    <w:rsid w:val="00FA45F3"/>
    <w:rsid w:val="00FA78C0"/>
    <w:rsid w:val="00FA7B6B"/>
    <w:rsid w:val="00FB0065"/>
    <w:rsid w:val="00FB07A7"/>
    <w:rsid w:val="00FB4A3A"/>
    <w:rsid w:val="00FB5633"/>
    <w:rsid w:val="00FB5FE3"/>
    <w:rsid w:val="00FB7D2F"/>
    <w:rsid w:val="00FC0747"/>
    <w:rsid w:val="00FC0976"/>
    <w:rsid w:val="00FC3721"/>
    <w:rsid w:val="00FC3905"/>
    <w:rsid w:val="00FD06AF"/>
    <w:rsid w:val="00FD351A"/>
    <w:rsid w:val="00FD4016"/>
    <w:rsid w:val="00FE114B"/>
    <w:rsid w:val="00FE15B0"/>
    <w:rsid w:val="00FE27DE"/>
    <w:rsid w:val="00FE6E13"/>
    <w:rsid w:val="00FF0E0A"/>
    <w:rsid w:val="00FF1974"/>
    <w:rsid w:val="00FF19B5"/>
    <w:rsid w:val="00FF3C28"/>
    <w:rsid w:val="00FF434A"/>
    <w:rsid w:val="00FF4565"/>
    <w:rsid w:val="00FF4945"/>
    <w:rsid w:val="00FF52FA"/>
    <w:rsid w:val="00FF5D2F"/>
    <w:rsid w:val="00FF66AE"/>
    <w:rsid w:val="00FF6D08"/>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CF"/>
    <w:rPr>
      <w:sz w:val="24"/>
      <w:szCs w:val="24"/>
      <w:lang w:val="fr-FR" w:eastAsia="fr-FR"/>
    </w:rPr>
  </w:style>
  <w:style w:type="paragraph" w:styleId="Heading1">
    <w:name w:val="heading 1"/>
    <w:basedOn w:val="Normal"/>
    <w:next w:val="Normal"/>
    <w:link w:val="Heading1Char"/>
    <w:uiPriority w:val="99"/>
    <w:qFormat/>
    <w:rsid w:val="00DD025C"/>
    <w:pPr>
      <w:keepNext/>
      <w:ind w:left="4320"/>
      <w:jc w:val="both"/>
      <w:outlineLvl w:val="0"/>
    </w:pPr>
    <w:rPr>
      <w:rFonts w:ascii="Arial" w:hAnsi="Arial" w:cs="Arial"/>
      <w:b/>
      <w:bCs/>
    </w:rPr>
  </w:style>
  <w:style w:type="paragraph" w:styleId="Heading2">
    <w:name w:val="heading 2"/>
    <w:basedOn w:val="Normal"/>
    <w:next w:val="Normal"/>
    <w:link w:val="Heading2Char"/>
    <w:unhideWhenUsed/>
    <w:qFormat/>
    <w:locked/>
    <w:rsid w:val="00B737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025C"/>
    <w:rPr>
      <w:rFonts w:ascii="Arial" w:hAnsi="Arial"/>
      <w:b/>
      <w:sz w:val="24"/>
      <w:lang w:val="fr-FR" w:eastAsia="fr-FR"/>
    </w:rPr>
  </w:style>
  <w:style w:type="paragraph" w:styleId="Header">
    <w:name w:val="header"/>
    <w:basedOn w:val="Normal"/>
    <w:link w:val="HeaderChar"/>
    <w:uiPriority w:val="99"/>
    <w:rsid w:val="00BC28B3"/>
    <w:pPr>
      <w:tabs>
        <w:tab w:val="center" w:pos="4536"/>
        <w:tab w:val="right" w:pos="9072"/>
      </w:tabs>
    </w:pPr>
  </w:style>
  <w:style w:type="character" w:customStyle="1" w:styleId="HeaderChar">
    <w:name w:val="Header Char"/>
    <w:basedOn w:val="DefaultParagraphFont"/>
    <w:link w:val="Header"/>
    <w:uiPriority w:val="99"/>
    <w:semiHidden/>
    <w:rsid w:val="005A48FA"/>
    <w:rPr>
      <w:sz w:val="24"/>
      <w:szCs w:val="24"/>
      <w:lang w:val="fr-FR" w:eastAsia="fr-FR"/>
    </w:rPr>
  </w:style>
  <w:style w:type="character" w:styleId="PageNumber">
    <w:name w:val="page number"/>
    <w:basedOn w:val="DefaultParagraphFont"/>
    <w:uiPriority w:val="99"/>
    <w:rsid w:val="00BC28B3"/>
    <w:rPr>
      <w:rFonts w:cs="Times New Roman"/>
    </w:rPr>
  </w:style>
  <w:style w:type="character" w:styleId="Hyperlink">
    <w:name w:val="Hyperlink"/>
    <w:basedOn w:val="DefaultParagraphFont"/>
    <w:uiPriority w:val="99"/>
    <w:rsid w:val="00DD025C"/>
    <w:rPr>
      <w:rFonts w:cs="Times New Roman"/>
      <w:color w:val="0000FF"/>
      <w:u w:val="single"/>
    </w:rPr>
  </w:style>
  <w:style w:type="paragraph" w:styleId="BodyText">
    <w:name w:val="Body Text"/>
    <w:basedOn w:val="Normal"/>
    <w:link w:val="BodyTextChar"/>
    <w:uiPriority w:val="99"/>
    <w:rsid w:val="00DD025C"/>
    <w:rPr>
      <w:rFonts w:ascii="Arial" w:hAnsi="Arial" w:cs="Arial"/>
      <w:sz w:val="20"/>
      <w:szCs w:val="20"/>
      <w:lang w:val="en-US" w:eastAsia="en-US"/>
    </w:rPr>
  </w:style>
  <w:style w:type="character" w:customStyle="1" w:styleId="BodyTextChar">
    <w:name w:val="Body Text Char"/>
    <w:basedOn w:val="DefaultParagraphFont"/>
    <w:link w:val="BodyText"/>
    <w:uiPriority w:val="99"/>
    <w:semiHidden/>
    <w:rsid w:val="005A48FA"/>
    <w:rPr>
      <w:sz w:val="24"/>
      <w:szCs w:val="24"/>
      <w:lang w:val="fr-FR" w:eastAsia="fr-FR"/>
    </w:rPr>
  </w:style>
  <w:style w:type="paragraph" w:styleId="Footer">
    <w:name w:val="footer"/>
    <w:basedOn w:val="Normal"/>
    <w:link w:val="FooterChar"/>
    <w:uiPriority w:val="99"/>
    <w:rsid w:val="00DD025C"/>
    <w:pPr>
      <w:tabs>
        <w:tab w:val="center" w:pos="4320"/>
        <w:tab w:val="right" w:pos="8640"/>
      </w:tabs>
    </w:pPr>
  </w:style>
  <w:style w:type="character" w:customStyle="1" w:styleId="FooterChar">
    <w:name w:val="Footer Char"/>
    <w:basedOn w:val="DefaultParagraphFont"/>
    <w:link w:val="Footer"/>
    <w:uiPriority w:val="99"/>
    <w:locked/>
    <w:rsid w:val="00DD025C"/>
    <w:rPr>
      <w:sz w:val="24"/>
      <w:lang w:val="fr-FR" w:eastAsia="fr-FR"/>
    </w:rPr>
  </w:style>
  <w:style w:type="paragraph" w:customStyle="1" w:styleId="ListParagraph1">
    <w:name w:val="List Paragraph1"/>
    <w:basedOn w:val="Normal"/>
    <w:uiPriority w:val="99"/>
    <w:rsid w:val="00DD025C"/>
    <w:pPr>
      <w:ind w:left="720"/>
      <w:contextualSpacing/>
    </w:pPr>
    <w:rPr>
      <w:lang w:val="en-US" w:eastAsia="en-US"/>
    </w:rPr>
  </w:style>
  <w:style w:type="paragraph" w:styleId="FootnoteText">
    <w:name w:val="footnote text"/>
    <w:basedOn w:val="Normal"/>
    <w:link w:val="FootnoteTextChar"/>
    <w:rsid w:val="00DD025C"/>
    <w:rPr>
      <w:lang w:val="en-US" w:eastAsia="en-US"/>
    </w:rPr>
  </w:style>
  <w:style w:type="character" w:customStyle="1" w:styleId="FootnoteTextChar">
    <w:name w:val="Footnote Text Char"/>
    <w:basedOn w:val="DefaultParagraphFont"/>
    <w:link w:val="FootnoteText"/>
    <w:locked/>
    <w:rsid w:val="00DD025C"/>
    <w:rPr>
      <w:rFonts w:cs="Times New Roman"/>
      <w:sz w:val="24"/>
      <w:szCs w:val="24"/>
      <w:lang w:val="en-US" w:eastAsia="en-US" w:bidi="ar-SA"/>
    </w:rPr>
  </w:style>
  <w:style w:type="character" w:styleId="FootnoteReference">
    <w:name w:val="footnote reference"/>
    <w:basedOn w:val="DefaultParagraphFont"/>
    <w:rsid w:val="00DD025C"/>
    <w:rPr>
      <w:rFonts w:cs="Times New Roman"/>
      <w:vertAlign w:val="superscript"/>
    </w:rPr>
  </w:style>
  <w:style w:type="paragraph" w:customStyle="1" w:styleId="H1">
    <w:name w:val="H1"/>
    <w:uiPriority w:val="99"/>
    <w:rsid w:val="00DD025C"/>
    <w:pPr>
      <w:spacing w:before="60" w:after="60"/>
    </w:pPr>
    <w:rPr>
      <w:rFonts w:cs="Arial"/>
      <w:b/>
      <w:bCs/>
      <w:kern w:val="32"/>
      <w:sz w:val="24"/>
      <w:szCs w:val="32"/>
      <w:lang w:val="en-GB"/>
    </w:rPr>
  </w:style>
  <w:style w:type="paragraph" w:customStyle="1" w:styleId="H2">
    <w:name w:val="H2"/>
    <w:uiPriority w:val="99"/>
    <w:rsid w:val="00DD025C"/>
    <w:rPr>
      <w:rFonts w:cs="Arial"/>
      <w:b/>
      <w:bCs/>
      <w:iCs/>
      <w:szCs w:val="28"/>
      <w:lang w:val="en-GB"/>
    </w:rPr>
  </w:style>
  <w:style w:type="paragraph" w:styleId="BalloonText">
    <w:name w:val="Balloon Text"/>
    <w:basedOn w:val="Normal"/>
    <w:link w:val="BalloonTextChar"/>
    <w:uiPriority w:val="99"/>
    <w:semiHidden/>
    <w:unhideWhenUsed/>
    <w:rsid w:val="00AD197B"/>
    <w:rPr>
      <w:rFonts w:ascii="Tahoma" w:hAnsi="Tahoma" w:cs="Tahoma"/>
      <w:sz w:val="16"/>
      <w:szCs w:val="16"/>
    </w:rPr>
  </w:style>
  <w:style w:type="character" w:customStyle="1" w:styleId="BalloonTextChar">
    <w:name w:val="Balloon Text Char"/>
    <w:basedOn w:val="DefaultParagraphFont"/>
    <w:link w:val="BalloonText"/>
    <w:uiPriority w:val="99"/>
    <w:semiHidden/>
    <w:rsid w:val="00AD197B"/>
    <w:rPr>
      <w:rFonts w:ascii="Tahoma" w:hAnsi="Tahoma" w:cs="Tahoma"/>
      <w:sz w:val="16"/>
      <w:szCs w:val="16"/>
      <w:lang w:val="fr-FR" w:eastAsia="fr-FR"/>
    </w:rPr>
  </w:style>
  <w:style w:type="table" w:styleId="TableGrid">
    <w:name w:val="Table Grid"/>
    <w:basedOn w:val="TableNormal"/>
    <w:uiPriority w:val="59"/>
    <w:locked/>
    <w:rsid w:val="00AD197B"/>
    <w:rPr>
      <w:rFonts w:asciiTheme="minorHAnsi" w:eastAsiaTheme="minorHAnsi" w:hAnsiTheme="minorHAnsi" w:cstheme="minorBid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6235"/>
    <w:pPr>
      <w:autoSpaceDE w:val="0"/>
      <w:autoSpaceDN w:val="0"/>
      <w:adjustRightInd w:val="0"/>
    </w:pPr>
    <w:rPr>
      <w:color w:val="000000"/>
      <w:sz w:val="24"/>
      <w:szCs w:val="24"/>
    </w:rPr>
  </w:style>
  <w:style w:type="paragraph" w:styleId="BodyText2">
    <w:name w:val="Body Text 2"/>
    <w:basedOn w:val="Normal"/>
    <w:link w:val="BodyText2Char"/>
    <w:rsid w:val="00753917"/>
    <w:pPr>
      <w:spacing w:after="120" w:line="480" w:lineRule="auto"/>
    </w:pPr>
  </w:style>
  <w:style w:type="character" w:customStyle="1" w:styleId="BodyText2Char">
    <w:name w:val="Body Text 2 Char"/>
    <w:basedOn w:val="DefaultParagraphFont"/>
    <w:link w:val="BodyText2"/>
    <w:rsid w:val="00753917"/>
    <w:rPr>
      <w:sz w:val="24"/>
      <w:szCs w:val="24"/>
      <w:lang w:val="fr-FR" w:eastAsia="fr-FR"/>
    </w:rPr>
  </w:style>
  <w:style w:type="paragraph" w:styleId="ListParagraph">
    <w:name w:val="List Paragraph"/>
    <w:basedOn w:val="Normal"/>
    <w:uiPriority w:val="34"/>
    <w:qFormat/>
    <w:rsid w:val="00753917"/>
    <w:pPr>
      <w:ind w:left="720"/>
    </w:pPr>
  </w:style>
  <w:style w:type="character" w:customStyle="1" w:styleId="hps">
    <w:name w:val="hps"/>
    <w:basedOn w:val="DefaultParagraphFont"/>
    <w:rsid w:val="00753917"/>
  </w:style>
  <w:style w:type="character" w:customStyle="1" w:styleId="Heading2Char">
    <w:name w:val="Heading 2 Char"/>
    <w:basedOn w:val="DefaultParagraphFont"/>
    <w:link w:val="Heading2"/>
    <w:rsid w:val="00B7371C"/>
    <w:rPr>
      <w:rFonts w:asciiTheme="majorHAnsi" w:eastAsiaTheme="majorEastAsia" w:hAnsiTheme="majorHAnsi" w:cstheme="majorBidi"/>
      <w:b/>
      <w:bCs/>
      <w:color w:val="4F81BD" w:themeColor="accent1"/>
      <w:sz w:val="26"/>
      <w:szCs w:val="2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CF"/>
    <w:rPr>
      <w:sz w:val="24"/>
      <w:szCs w:val="24"/>
      <w:lang w:val="fr-FR" w:eastAsia="fr-FR"/>
    </w:rPr>
  </w:style>
  <w:style w:type="paragraph" w:styleId="Heading1">
    <w:name w:val="heading 1"/>
    <w:basedOn w:val="Normal"/>
    <w:next w:val="Normal"/>
    <w:link w:val="Heading1Char"/>
    <w:uiPriority w:val="99"/>
    <w:qFormat/>
    <w:rsid w:val="00DD025C"/>
    <w:pPr>
      <w:keepNext/>
      <w:ind w:left="4320"/>
      <w:jc w:val="both"/>
      <w:outlineLvl w:val="0"/>
    </w:pPr>
    <w:rPr>
      <w:rFonts w:ascii="Arial" w:hAnsi="Arial" w:cs="Arial"/>
      <w:b/>
      <w:bCs/>
    </w:rPr>
  </w:style>
  <w:style w:type="paragraph" w:styleId="Heading2">
    <w:name w:val="heading 2"/>
    <w:basedOn w:val="Normal"/>
    <w:next w:val="Normal"/>
    <w:link w:val="Heading2Char"/>
    <w:unhideWhenUsed/>
    <w:qFormat/>
    <w:locked/>
    <w:rsid w:val="00B737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025C"/>
    <w:rPr>
      <w:rFonts w:ascii="Arial" w:hAnsi="Arial"/>
      <w:b/>
      <w:sz w:val="24"/>
      <w:lang w:val="fr-FR" w:eastAsia="fr-FR"/>
    </w:rPr>
  </w:style>
  <w:style w:type="paragraph" w:styleId="Header">
    <w:name w:val="header"/>
    <w:basedOn w:val="Normal"/>
    <w:link w:val="HeaderChar"/>
    <w:uiPriority w:val="99"/>
    <w:rsid w:val="00BC28B3"/>
    <w:pPr>
      <w:tabs>
        <w:tab w:val="center" w:pos="4536"/>
        <w:tab w:val="right" w:pos="9072"/>
      </w:tabs>
    </w:pPr>
  </w:style>
  <w:style w:type="character" w:customStyle="1" w:styleId="HeaderChar">
    <w:name w:val="Header Char"/>
    <w:basedOn w:val="DefaultParagraphFont"/>
    <w:link w:val="Header"/>
    <w:uiPriority w:val="99"/>
    <w:semiHidden/>
    <w:rsid w:val="005A48FA"/>
    <w:rPr>
      <w:sz w:val="24"/>
      <w:szCs w:val="24"/>
      <w:lang w:val="fr-FR" w:eastAsia="fr-FR"/>
    </w:rPr>
  </w:style>
  <w:style w:type="character" w:styleId="PageNumber">
    <w:name w:val="page number"/>
    <w:basedOn w:val="DefaultParagraphFont"/>
    <w:uiPriority w:val="99"/>
    <w:rsid w:val="00BC28B3"/>
    <w:rPr>
      <w:rFonts w:cs="Times New Roman"/>
    </w:rPr>
  </w:style>
  <w:style w:type="character" w:styleId="Hyperlink">
    <w:name w:val="Hyperlink"/>
    <w:basedOn w:val="DefaultParagraphFont"/>
    <w:uiPriority w:val="99"/>
    <w:rsid w:val="00DD025C"/>
    <w:rPr>
      <w:rFonts w:cs="Times New Roman"/>
      <w:color w:val="0000FF"/>
      <w:u w:val="single"/>
    </w:rPr>
  </w:style>
  <w:style w:type="paragraph" w:styleId="BodyText">
    <w:name w:val="Body Text"/>
    <w:basedOn w:val="Normal"/>
    <w:link w:val="BodyTextChar"/>
    <w:uiPriority w:val="99"/>
    <w:rsid w:val="00DD025C"/>
    <w:rPr>
      <w:rFonts w:ascii="Arial" w:hAnsi="Arial" w:cs="Arial"/>
      <w:sz w:val="20"/>
      <w:szCs w:val="20"/>
      <w:lang w:val="en-US" w:eastAsia="en-US"/>
    </w:rPr>
  </w:style>
  <w:style w:type="character" w:customStyle="1" w:styleId="BodyTextChar">
    <w:name w:val="Body Text Char"/>
    <w:basedOn w:val="DefaultParagraphFont"/>
    <w:link w:val="BodyText"/>
    <w:uiPriority w:val="99"/>
    <w:semiHidden/>
    <w:rsid w:val="005A48FA"/>
    <w:rPr>
      <w:sz w:val="24"/>
      <w:szCs w:val="24"/>
      <w:lang w:val="fr-FR" w:eastAsia="fr-FR"/>
    </w:rPr>
  </w:style>
  <w:style w:type="paragraph" w:styleId="Footer">
    <w:name w:val="footer"/>
    <w:basedOn w:val="Normal"/>
    <w:link w:val="FooterChar"/>
    <w:uiPriority w:val="99"/>
    <w:rsid w:val="00DD025C"/>
    <w:pPr>
      <w:tabs>
        <w:tab w:val="center" w:pos="4320"/>
        <w:tab w:val="right" w:pos="8640"/>
      </w:tabs>
    </w:pPr>
  </w:style>
  <w:style w:type="character" w:customStyle="1" w:styleId="FooterChar">
    <w:name w:val="Footer Char"/>
    <w:basedOn w:val="DefaultParagraphFont"/>
    <w:link w:val="Footer"/>
    <w:uiPriority w:val="99"/>
    <w:locked/>
    <w:rsid w:val="00DD025C"/>
    <w:rPr>
      <w:sz w:val="24"/>
      <w:lang w:val="fr-FR" w:eastAsia="fr-FR"/>
    </w:rPr>
  </w:style>
  <w:style w:type="paragraph" w:customStyle="1" w:styleId="ListParagraph1">
    <w:name w:val="List Paragraph1"/>
    <w:basedOn w:val="Normal"/>
    <w:uiPriority w:val="99"/>
    <w:rsid w:val="00DD025C"/>
    <w:pPr>
      <w:ind w:left="720"/>
      <w:contextualSpacing/>
    </w:pPr>
    <w:rPr>
      <w:lang w:val="en-US" w:eastAsia="en-US"/>
    </w:rPr>
  </w:style>
  <w:style w:type="paragraph" w:styleId="FootnoteText">
    <w:name w:val="footnote text"/>
    <w:basedOn w:val="Normal"/>
    <w:link w:val="FootnoteTextChar"/>
    <w:rsid w:val="00DD025C"/>
    <w:rPr>
      <w:lang w:val="en-US" w:eastAsia="en-US"/>
    </w:rPr>
  </w:style>
  <w:style w:type="character" w:customStyle="1" w:styleId="FootnoteTextChar">
    <w:name w:val="Footnote Text Char"/>
    <w:basedOn w:val="DefaultParagraphFont"/>
    <w:link w:val="FootnoteText"/>
    <w:locked/>
    <w:rsid w:val="00DD025C"/>
    <w:rPr>
      <w:rFonts w:cs="Times New Roman"/>
      <w:sz w:val="24"/>
      <w:szCs w:val="24"/>
      <w:lang w:val="en-US" w:eastAsia="en-US" w:bidi="ar-SA"/>
    </w:rPr>
  </w:style>
  <w:style w:type="character" w:styleId="FootnoteReference">
    <w:name w:val="footnote reference"/>
    <w:basedOn w:val="DefaultParagraphFont"/>
    <w:rsid w:val="00DD025C"/>
    <w:rPr>
      <w:rFonts w:cs="Times New Roman"/>
      <w:vertAlign w:val="superscript"/>
    </w:rPr>
  </w:style>
  <w:style w:type="paragraph" w:customStyle="1" w:styleId="H1">
    <w:name w:val="H1"/>
    <w:uiPriority w:val="99"/>
    <w:rsid w:val="00DD025C"/>
    <w:pPr>
      <w:spacing w:before="60" w:after="60"/>
    </w:pPr>
    <w:rPr>
      <w:rFonts w:cs="Arial"/>
      <w:b/>
      <w:bCs/>
      <w:kern w:val="32"/>
      <w:sz w:val="24"/>
      <w:szCs w:val="32"/>
      <w:lang w:val="en-GB"/>
    </w:rPr>
  </w:style>
  <w:style w:type="paragraph" w:customStyle="1" w:styleId="H2">
    <w:name w:val="H2"/>
    <w:uiPriority w:val="99"/>
    <w:rsid w:val="00DD025C"/>
    <w:rPr>
      <w:rFonts w:cs="Arial"/>
      <w:b/>
      <w:bCs/>
      <w:iCs/>
      <w:szCs w:val="28"/>
      <w:lang w:val="en-GB"/>
    </w:rPr>
  </w:style>
  <w:style w:type="paragraph" w:styleId="BalloonText">
    <w:name w:val="Balloon Text"/>
    <w:basedOn w:val="Normal"/>
    <w:link w:val="BalloonTextChar"/>
    <w:uiPriority w:val="99"/>
    <w:semiHidden/>
    <w:unhideWhenUsed/>
    <w:rsid w:val="00AD197B"/>
    <w:rPr>
      <w:rFonts w:ascii="Tahoma" w:hAnsi="Tahoma" w:cs="Tahoma"/>
      <w:sz w:val="16"/>
      <w:szCs w:val="16"/>
    </w:rPr>
  </w:style>
  <w:style w:type="character" w:customStyle="1" w:styleId="BalloonTextChar">
    <w:name w:val="Balloon Text Char"/>
    <w:basedOn w:val="DefaultParagraphFont"/>
    <w:link w:val="BalloonText"/>
    <w:uiPriority w:val="99"/>
    <w:semiHidden/>
    <w:rsid w:val="00AD197B"/>
    <w:rPr>
      <w:rFonts w:ascii="Tahoma" w:hAnsi="Tahoma" w:cs="Tahoma"/>
      <w:sz w:val="16"/>
      <w:szCs w:val="16"/>
      <w:lang w:val="fr-FR" w:eastAsia="fr-FR"/>
    </w:rPr>
  </w:style>
  <w:style w:type="table" w:styleId="TableGrid">
    <w:name w:val="Table Grid"/>
    <w:basedOn w:val="TableNormal"/>
    <w:uiPriority w:val="59"/>
    <w:locked/>
    <w:rsid w:val="00AD197B"/>
    <w:rPr>
      <w:rFonts w:asciiTheme="minorHAnsi" w:eastAsiaTheme="minorHAnsi" w:hAnsiTheme="minorHAnsi" w:cstheme="minorBid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6235"/>
    <w:pPr>
      <w:autoSpaceDE w:val="0"/>
      <w:autoSpaceDN w:val="0"/>
      <w:adjustRightInd w:val="0"/>
    </w:pPr>
    <w:rPr>
      <w:color w:val="000000"/>
      <w:sz w:val="24"/>
      <w:szCs w:val="24"/>
    </w:rPr>
  </w:style>
  <w:style w:type="paragraph" w:styleId="BodyText2">
    <w:name w:val="Body Text 2"/>
    <w:basedOn w:val="Normal"/>
    <w:link w:val="BodyText2Char"/>
    <w:rsid w:val="00753917"/>
    <w:pPr>
      <w:spacing w:after="120" w:line="480" w:lineRule="auto"/>
    </w:pPr>
  </w:style>
  <w:style w:type="character" w:customStyle="1" w:styleId="BodyText2Char">
    <w:name w:val="Body Text 2 Char"/>
    <w:basedOn w:val="DefaultParagraphFont"/>
    <w:link w:val="BodyText2"/>
    <w:rsid w:val="00753917"/>
    <w:rPr>
      <w:sz w:val="24"/>
      <w:szCs w:val="24"/>
      <w:lang w:val="fr-FR" w:eastAsia="fr-FR"/>
    </w:rPr>
  </w:style>
  <w:style w:type="paragraph" w:styleId="ListParagraph">
    <w:name w:val="List Paragraph"/>
    <w:basedOn w:val="Normal"/>
    <w:uiPriority w:val="34"/>
    <w:qFormat/>
    <w:rsid w:val="00753917"/>
    <w:pPr>
      <w:ind w:left="720"/>
    </w:pPr>
  </w:style>
  <w:style w:type="character" w:customStyle="1" w:styleId="hps">
    <w:name w:val="hps"/>
    <w:basedOn w:val="DefaultParagraphFont"/>
    <w:rsid w:val="00753917"/>
  </w:style>
  <w:style w:type="character" w:customStyle="1" w:styleId="Heading2Char">
    <w:name w:val="Heading 2 Char"/>
    <w:basedOn w:val="DefaultParagraphFont"/>
    <w:link w:val="Heading2"/>
    <w:rsid w:val="00B7371C"/>
    <w:rPr>
      <w:rFonts w:asciiTheme="majorHAnsi" w:eastAsiaTheme="majorEastAsia" w:hAnsiTheme="majorHAnsi" w:cstheme="majorBidi"/>
      <w:b/>
      <w:bCs/>
      <w:color w:val="4F81BD" w:themeColor="accent1"/>
      <w:sz w:val="26"/>
      <w:szCs w:val="2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767">
      <w:bodyDiv w:val="1"/>
      <w:marLeft w:val="0"/>
      <w:marRight w:val="0"/>
      <w:marTop w:val="0"/>
      <w:marBottom w:val="0"/>
      <w:divBdr>
        <w:top w:val="none" w:sz="0" w:space="0" w:color="auto"/>
        <w:left w:val="none" w:sz="0" w:space="0" w:color="auto"/>
        <w:bottom w:val="none" w:sz="0" w:space="0" w:color="auto"/>
        <w:right w:val="none" w:sz="0" w:space="0" w:color="auto"/>
      </w:divBdr>
    </w:div>
    <w:div w:id="912855207">
      <w:bodyDiv w:val="1"/>
      <w:marLeft w:val="0"/>
      <w:marRight w:val="0"/>
      <w:marTop w:val="0"/>
      <w:marBottom w:val="0"/>
      <w:divBdr>
        <w:top w:val="none" w:sz="0" w:space="0" w:color="auto"/>
        <w:left w:val="none" w:sz="0" w:space="0" w:color="auto"/>
        <w:bottom w:val="none" w:sz="0" w:space="0" w:color="auto"/>
        <w:right w:val="none" w:sz="0" w:space="0" w:color="auto"/>
      </w:divBdr>
    </w:div>
    <w:div w:id="1253472923">
      <w:bodyDiv w:val="1"/>
      <w:marLeft w:val="0"/>
      <w:marRight w:val="0"/>
      <w:marTop w:val="0"/>
      <w:marBottom w:val="0"/>
      <w:divBdr>
        <w:top w:val="none" w:sz="0" w:space="0" w:color="auto"/>
        <w:left w:val="none" w:sz="0" w:space="0" w:color="auto"/>
        <w:bottom w:val="none" w:sz="0" w:space="0" w:color="auto"/>
        <w:right w:val="none" w:sz="0" w:space="0" w:color="auto"/>
      </w:divBdr>
    </w:div>
    <w:div w:id="1884752796">
      <w:bodyDiv w:val="1"/>
      <w:marLeft w:val="0"/>
      <w:marRight w:val="0"/>
      <w:marTop w:val="0"/>
      <w:marBottom w:val="0"/>
      <w:divBdr>
        <w:top w:val="none" w:sz="0" w:space="0" w:color="auto"/>
        <w:left w:val="none" w:sz="0" w:space="0" w:color="auto"/>
        <w:bottom w:val="none" w:sz="0" w:space="0" w:color="auto"/>
        <w:right w:val="none" w:sz="0" w:space="0" w:color="auto"/>
      </w:divBdr>
    </w:div>
    <w:div w:id="2107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document/download/5449"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3080</Words>
  <Characters>17648</Characters>
  <Application>Microsoft Office Word</Application>
  <DocSecurity>4</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Partie E-TEMPLATE 4.5</vt:lpstr>
      <vt:lpstr>Partie E-TEMPLATE 4.5</vt:lpstr>
    </vt:vector>
  </TitlesOfParts>
  <Company>Microsoft</Company>
  <LinksUpToDate>false</LinksUpToDate>
  <CharactersWithSpaces>20687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E-TEMPLATE 4.5</dc:title>
  <dc:creator>gnadmin</dc:creator>
  <cp:lastModifiedBy>Mitsy Jean-Louis</cp:lastModifiedBy>
  <cp:revision>2</cp:revision>
  <dcterms:created xsi:type="dcterms:W3CDTF">2014-06-25T19:20:00Z</dcterms:created>
  <dcterms:modified xsi:type="dcterms:W3CDTF">2014-06-25T19:20:00Z</dcterms:modified>
</cp:coreProperties>
</file>