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707494">
        <w:rPr>
          <w:rFonts w:ascii="Arial" w:hAnsi="Arial"/>
          <w:noProof/>
          <w:spacing w:val="-3"/>
          <w:sz w:val="20"/>
        </w:rPr>
        <w:drawing>
          <wp:inline distT="0" distB="0" distL="0" distR="0">
            <wp:extent cx="1456055" cy="617855"/>
            <wp:effectExtent l="0" t="0" r="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055" cy="617855"/>
                    </a:xfrm>
                    <a:prstGeom prst="rect">
                      <a:avLst/>
                    </a:prstGeom>
                    <a:noFill/>
                    <a:ln>
                      <a:noFill/>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707494">
        <w:rPr>
          <w:rFonts w:ascii="Arial" w:hAnsi="Arial"/>
          <w:noProof/>
          <w:spacing w:val="-3"/>
          <w:sz w:val="20"/>
        </w:rPr>
        <w:drawing>
          <wp:inline distT="0" distB="0" distL="0" distR="0">
            <wp:extent cx="1439545" cy="1092200"/>
            <wp:effectExtent l="0" t="0" r="8255"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1092200"/>
                    </a:xfrm>
                    <a:prstGeom prst="rect">
                      <a:avLst/>
                    </a:prstGeom>
                    <a:noFill/>
                    <a:ln>
                      <a:noFill/>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sidR="00C54643">
        <w:rPr>
          <w:rFonts w:cs="Times New Roman"/>
          <w:b/>
          <w:sz w:val="22"/>
          <w:szCs w:val="22"/>
          <w:u w:val="single"/>
        </w:rPr>
        <w:t xml:space="preserve">: </w:t>
      </w:r>
      <w:r w:rsidR="00C54643">
        <w:rPr>
          <w:rFonts w:cs="Times New Roman"/>
          <w:sz w:val="22"/>
          <w:szCs w:val="22"/>
          <w:lang w:val="fr-FR" w:eastAsia="ja-JP"/>
        </w:rPr>
        <w:fldChar w:fldCharType="begin">
          <w:ffData>
            <w:name w:val=""/>
            <w:enabled/>
            <w:calcOnExit w:val="0"/>
            <w:textInput/>
          </w:ffData>
        </w:fldChar>
      </w:r>
      <w:r w:rsidR="00C54643" w:rsidRPr="00EA3D29">
        <w:rPr>
          <w:rFonts w:cs="Times New Roman"/>
          <w:sz w:val="22"/>
          <w:szCs w:val="22"/>
          <w:lang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9E16A8">
        <w:t>Kyrgyzstan</w:t>
      </w:r>
      <w:r w:rsidR="00C54643">
        <w:rPr>
          <w:rFonts w:cs="Times New Roman"/>
          <w:sz w:val="22"/>
          <w:szCs w:val="22"/>
          <w:lang w:val="fr-FR" w:eastAsia="ja-JP"/>
        </w:rPr>
        <w:fldChar w:fldCharType="end"/>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C54643">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9E16A8">
        <w:t>14</w:t>
      </w:r>
      <w:r w:rsidR="00C54643">
        <w:rPr>
          <w:rFonts w:cs="Times New Roman"/>
          <w:sz w:val="22"/>
          <w:szCs w:val="22"/>
          <w:lang w:val="fr-FR" w:eastAsia="ja-JP"/>
        </w:rPr>
        <w:fldChar w:fldCharType="end"/>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522227">
            <w:pPr>
              <w:rPr>
                <w:rFonts w:cs="Times New Roman"/>
                <w:sz w:val="22"/>
                <w:szCs w:val="22"/>
              </w:rPr>
            </w:pPr>
            <w:r w:rsidRPr="00870590">
              <w:rPr>
                <w:rFonts w:cs="Times New Roman"/>
                <w:sz w:val="22"/>
                <w:szCs w:val="22"/>
              </w:rPr>
              <w:t>PBF/</w:t>
            </w:r>
            <w:r w:rsidR="00C54643">
              <w:rPr>
                <w:rFonts w:cs="Times New Roman"/>
                <w:sz w:val="22"/>
                <w:szCs w:val="22"/>
                <w:lang w:val="fr-FR" w:eastAsia="ja-JP"/>
              </w:rPr>
              <w:fldChar w:fldCharType="begin">
                <w:ffData>
                  <w:name w:val=""/>
                  <w:enabled/>
                  <w:calcOnExit w:val="0"/>
                  <w:textInput/>
                </w:ffData>
              </w:fldChar>
            </w:r>
            <w:r w:rsidR="00C54643" w:rsidRPr="00FE714E">
              <w:rPr>
                <w:rFonts w:cs="Times New Roman"/>
                <w:sz w:val="22"/>
                <w:szCs w:val="22"/>
                <w:lang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522227" w:rsidRPr="00522227">
              <w:rPr>
                <w:lang w:eastAsia="ja-JP"/>
              </w:rPr>
              <w:t>KGZ/A-5: Outcome 2 - Youth for Peaceful Change</w:t>
            </w:r>
            <w:r w:rsidR="004411FC">
              <w:t xml:space="preserve">; </w:t>
            </w:r>
            <w:r w:rsidR="004411FC" w:rsidRPr="004411FC">
              <w:t>Project ID</w:t>
            </w:r>
            <w:r w:rsidR="004411FC">
              <w:t xml:space="preserve">: </w:t>
            </w:r>
            <w:r w:rsidR="00522227" w:rsidRPr="00522227">
              <w:t>00089448</w:t>
            </w:r>
            <w:r w:rsidR="00C54643">
              <w:rPr>
                <w:rFonts w:cs="Times New Roman"/>
                <w:sz w:val="22"/>
                <w:szCs w:val="22"/>
                <w:lang w:val="fr-FR" w:eastAsia="ja-JP"/>
              </w:rPr>
              <w:fldChar w:fldCharType="end"/>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C54643" w:rsidP="00522227">
            <w:pPr>
              <w:rPr>
                <w:rFonts w:cs="Times New Roman"/>
                <w:sz w:val="22"/>
                <w:szCs w:val="22"/>
              </w:rPr>
            </w:pPr>
            <w:r>
              <w:rPr>
                <w:rFonts w:cs="Times New Roman"/>
                <w:sz w:val="22"/>
                <w:szCs w:val="22"/>
              </w:rPr>
              <w:fldChar w:fldCharType="begin">
                <w:ffData>
                  <w:name w:val="Text1"/>
                  <w:enabled/>
                  <w:calcOnExit w:val="0"/>
                  <w:textInput/>
                </w:ffData>
              </w:fldChar>
            </w:r>
            <w:bookmarkStart w:id="1" w:name="Text1"/>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FE714E" w:rsidRPr="00FE714E">
              <w:t>UNDP, UNICEF</w:t>
            </w:r>
            <w:r>
              <w:rPr>
                <w:rFonts w:cs="Times New Roman"/>
                <w:sz w:val="22"/>
                <w:szCs w:val="22"/>
              </w:rPr>
              <w:fldChar w:fldCharType="end"/>
            </w:r>
            <w:bookmarkEnd w:id="1"/>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9473A2" w:rsidRPr="009473A2" w:rsidRDefault="00C54643" w:rsidP="009473A2">
            <w:r>
              <w:rPr>
                <w:rFonts w:cs="Times New Roman"/>
                <w:bCs/>
                <w:sz w:val="22"/>
                <w:szCs w:val="22"/>
              </w:rPr>
              <w:fldChar w:fldCharType="begin">
                <w:ffData>
                  <w:name w:val="Text2"/>
                  <w:enabled/>
                  <w:calcOnExit w:val="0"/>
                  <w:textInput/>
                </w:ffData>
              </w:fldChar>
            </w:r>
            <w:bookmarkStart w:id="2" w:name="Text2"/>
            <w:r>
              <w:rPr>
                <w:rFonts w:cs="Times New Roman"/>
                <w:bCs/>
                <w:sz w:val="22"/>
                <w:szCs w:val="22"/>
              </w:rPr>
              <w:instrText xml:space="preserve"> FORMTEXT </w:instrText>
            </w:r>
            <w:r>
              <w:rPr>
                <w:rFonts w:cs="Times New Roman"/>
                <w:bCs/>
                <w:sz w:val="22"/>
                <w:szCs w:val="22"/>
              </w:rPr>
            </w:r>
            <w:r>
              <w:rPr>
                <w:rFonts w:cs="Times New Roman"/>
                <w:bCs/>
                <w:sz w:val="22"/>
                <w:szCs w:val="22"/>
              </w:rPr>
              <w:fldChar w:fldCharType="separate"/>
            </w:r>
            <w:r w:rsidR="009473A2" w:rsidRPr="009473A2">
              <w:t>Key counterparts:</w:t>
            </w:r>
          </w:p>
          <w:p w:rsidR="004D5527" w:rsidRPr="00FF0380" w:rsidRDefault="009473A2" w:rsidP="009473A2">
            <w:pPr>
              <w:rPr>
                <w:rFonts w:cs="Times New Roman"/>
                <w:bCs/>
                <w:sz w:val="22"/>
                <w:szCs w:val="22"/>
              </w:rPr>
            </w:pPr>
            <w:r w:rsidRPr="009473A2">
              <w:t xml:space="preserve">Ministry of Labour Migration and Youth, Ministry of Education and Science, Ministry of Social Development, Agency for Local Self-Governance and Interethnic relations, State Commission on Religious Affairs of the Kyrgyz Republic, LSG bodies, Defense Council. </w:t>
            </w:r>
            <w:r>
              <w:rPr>
                <w:rFonts w:cs="Times New Roman"/>
                <w:bCs/>
                <w:sz w:val="22"/>
                <w:szCs w:val="22"/>
              </w:rPr>
              <w:t> </w:t>
            </w:r>
            <w:r>
              <w:rPr>
                <w:rFonts w:cs="Times New Roman"/>
                <w:bCs/>
                <w:sz w:val="22"/>
                <w:szCs w:val="22"/>
              </w:rPr>
              <w:t> </w:t>
            </w:r>
            <w:r>
              <w:rPr>
                <w:rFonts w:cs="Times New Roman"/>
                <w:bCs/>
                <w:sz w:val="22"/>
                <w:szCs w:val="22"/>
              </w:rPr>
              <w:t> </w:t>
            </w:r>
            <w:r>
              <w:rPr>
                <w:rFonts w:cs="Times New Roman"/>
                <w:bCs/>
                <w:sz w:val="22"/>
                <w:szCs w:val="22"/>
              </w:rPr>
              <w:t> </w:t>
            </w:r>
            <w:r>
              <w:rPr>
                <w:rFonts w:cs="Times New Roman"/>
                <w:bCs/>
                <w:sz w:val="22"/>
                <w:szCs w:val="22"/>
              </w:rPr>
              <w:t> </w:t>
            </w:r>
            <w:r w:rsidR="00C54643">
              <w:rPr>
                <w:rFonts w:cs="Times New Roman"/>
                <w:bCs/>
                <w:sz w:val="22"/>
                <w:szCs w:val="22"/>
              </w:rPr>
              <w:fldChar w:fldCharType="end"/>
            </w:r>
            <w:bookmarkEnd w:id="2"/>
          </w:p>
        </w:tc>
      </w:tr>
      <w:tr w:rsidR="004D5527" w:rsidRPr="00FF0380" w:rsidTr="00BB2676">
        <w:trPr>
          <w:trHeight w:val="375"/>
        </w:trPr>
        <w:tc>
          <w:tcPr>
            <w:tcW w:w="2880"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rsidR="004D5527" w:rsidRPr="00FF0380" w:rsidRDefault="00C54643" w:rsidP="009473A2">
            <w:pPr>
              <w:rPr>
                <w:rFonts w:cs="Times New Roman"/>
                <w:sz w:val="22"/>
                <w:szCs w:val="22"/>
              </w:rPr>
            </w:pPr>
            <w:r>
              <w:rPr>
                <w:rFonts w:cs="Times New Roman"/>
                <w:sz w:val="22"/>
                <w:szCs w:val="22"/>
              </w:rPr>
              <w:fldChar w:fldCharType="begin">
                <w:ffData>
                  <w:name w:val="Text3"/>
                  <w:enabled/>
                  <w:calcOnExit w:val="0"/>
                  <w:textInput/>
                </w:ffData>
              </w:fldChar>
            </w:r>
            <w:bookmarkStart w:id="3" w:name="Text3"/>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9473A2" w:rsidRPr="009473A2">
              <w:t xml:space="preserve">Chui, Naryn, Osh, Jalalabad, Batken Provinces </w:t>
            </w:r>
            <w:r w:rsidR="00FC502C" w:rsidRPr="00FC502C">
              <w:t xml:space="preserve"> </w:t>
            </w:r>
            <w:r w:rsidR="009019B2">
              <w:t xml:space="preserve"> </w:t>
            </w:r>
            <w:r>
              <w:rPr>
                <w:rFonts w:cs="Times New Roman"/>
                <w:sz w:val="22"/>
                <w:szCs w:val="22"/>
              </w:rPr>
              <w:fldChar w:fldCharType="end"/>
            </w:r>
            <w:bookmarkEnd w:id="3"/>
          </w:p>
        </w:tc>
      </w:tr>
      <w:tr w:rsidR="00132065" w:rsidRPr="00E71AFA" w:rsidTr="00BB2676">
        <w:trPr>
          <w:trHeight w:val="375"/>
        </w:trPr>
        <w:tc>
          <w:tcPr>
            <w:tcW w:w="2880" w:type="dxa"/>
            <w:shd w:val="clear" w:color="auto" w:fill="E6E6E6"/>
          </w:tcPr>
          <w:p w:rsidR="00132065" w:rsidRPr="00335D95" w:rsidRDefault="00132065" w:rsidP="006C1B11">
            <w:pPr>
              <w:rPr>
                <w:rFonts w:cs="Times New Roman"/>
                <w:b/>
                <w:sz w:val="22"/>
                <w:szCs w:val="22"/>
                <w:lang w:val="fr-FR"/>
              </w:rPr>
            </w:pPr>
            <w:r w:rsidRPr="00335D95">
              <w:rPr>
                <w:rFonts w:cs="Times New Roman"/>
                <w:b/>
                <w:sz w:val="22"/>
                <w:szCs w:val="22"/>
                <w:lang w:val="fr-FR"/>
              </w:rPr>
              <w:t>Total Approved Budget</w:t>
            </w:r>
            <w:r w:rsidR="000A26AD">
              <w:rPr>
                <w:rFonts w:cs="Times New Roman"/>
                <w:b/>
                <w:sz w:val="22"/>
                <w:szCs w:val="22"/>
                <w:lang w:val="fr-FR"/>
              </w:rPr>
              <w:t> :</w:t>
            </w:r>
            <w:r w:rsidR="00BB2676">
              <w:rPr>
                <w:rStyle w:val="FootnoteReference"/>
                <w:rFonts w:cs="Times New Roman"/>
                <w:b/>
                <w:sz w:val="22"/>
                <w:szCs w:val="22"/>
                <w:lang w:val="fr-FR"/>
              </w:rPr>
              <w:footnoteReference w:id="2"/>
            </w:r>
          </w:p>
        </w:tc>
        <w:tc>
          <w:tcPr>
            <w:tcW w:w="7740" w:type="dxa"/>
            <w:gridSpan w:val="3"/>
            <w:shd w:val="clear" w:color="auto" w:fill="auto"/>
            <w:vAlign w:val="center"/>
          </w:tcPr>
          <w:p w:rsidR="00132065" w:rsidRPr="00E71AFA" w:rsidRDefault="00C54643" w:rsidP="00522227">
            <w:pPr>
              <w:rPr>
                <w:rFonts w:cs="Times New Roman"/>
                <w:sz w:val="22"/>
                <w:szCs w:val="22"/>
                <w:lang w:val="fr-FR"/>
              </w:rPr>
            </w:pPr>
            <w:r>
              <w:rPr>
                <w:rFonts w:cs="Times New Roman"/>
                <w:sz w:val="22"/>
                <w:szCs w:val="22"/>
                <w:lang w:val="fr-FR"/>
              </w:rPr>
              <w:fldChar w:fldCharType="begin">
                <w:ffData>
                  <w:name w:val="Text4"/>
                  <w:enabled/>
                  <w:calcOnExit w:val="0"/>
                  <w:textInput>
                    <w:type w:val="number"/>
                  </w:textInput>
                </w:ffData>
              </w:fldChar>
            </w:r>
            <w:bookmarkStart w:id="4" w:name="Text4"/>
            <w:r w:rsidRPr="00095532">
              <w:rPr>
                <w:rFonts w:cs="Times New Roman"/>
                <w:sz w:val="22"/>
                <w:szCs w:val="22"/>
                <w:lang w:val="fr-FR"/>
              </w:rPr>
              <w:instrText xml:space="preserve"> FORMTEXT </w:instrText>
            </w:r>
            <w:r>
              <w:rPr>
                <w:rFonts w:cs="Times New Roman"/>
                <w:sz w:val="22"/>
                <w:szCs w:val="22"/>
                <w:lang w:val="fr-FR"/>
              </w:rPr>
            </w:r>
            <w:r>
              <w:rPr>
                <w:rFonts w:cs="Times New Roman"/>
                <w:sz w:val="22"/>
                <w:szCs w:val="22"/>
                <w:lang w:val="fr-FR"/>
              </w:rPr>
              <w:fldChar w:fldCharType="separate"/>
            </w:r>
            <w:r w:rsidR="00522227">
              <w:rPr>
                <w:rFonts w:cs="Times New Roman"/>
                <w:sz w:val="22"/>
                <w:szCs w:val="22"/>
                <w:lang w:val="fr-FR"/>
              </w:rPr>
              <w:t>605825</w:t>
            </w:r>
            <w:r>
              <w:rPr>
                <w:rFonts w:cs="Times New Roman"/>
                <w:sz w:val="22"/>
                <w:szCs w:val="22"/>
                <w:lang w:val="fr-FR"/>
              </w:rPr>
              <w:fldChar w:fldCharType="end"/>
            </w:r>
            <w:bookmarkEnd w:id="4"/>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C54643" w:rsidP="00C94E52">
            <w:pPr>
              <w:rPr>
                <w:rFonts w:cs="Times New Roman"/>
                <w:sz w:val="22"/>
                <w:szCs w:val="22"/>
                <w:lang w:val="en-GB"/>
              </w:rPr>
            </w:pPr>
            <w:r>
              <w:rPr>
                <w:rFonts w:cs="Times New Roman"/>
                <w:sz w:val="22"/>
                <w:szCs w:val="22"/>
                <w:lang w:val="en-GB" w:eastAsia="ja-JP"/>
              </w:rPr>
              <w:fldChar w:fldCharType="begin">
                <w:ffData>
                  <w:name w:val="Text5"/>
                  <w:enabled/>
                  <w:calcOnExit w:val="0"/>
                  <w:textInput/>
                </w:ffData>
              </w:fldChar>
            </w:r>
            <w:bookmarkStart w:id="5" w:name="Text5"/>
            <w:r>
              <w:rPr>
                <w:rFonts w:cs="Times New Roman"/>
                <w:sz w:val="22"/>
                <w:szCs w:val="22"/>
                <w:lang w:val="en-GB" w:eastAsia="ja-JP"/>
              </w:rPr>
              <w:instrText xml:space="preserve"> FORMTEXT </w:instrText>
            </w:r>
            <w:r>
              <w:rPr>
                <w:rFonts w:cs="Times New Roman"/>
                <w:sz w:val="22"/>
                <w:szCs w:val="22"/>
                <w:lang w:val="en-GB" w:eastAsia="ja-JP"/>
              </w:rPr>
            </w:r>
            <w:r>
              <w:rPr>
                <w:rFonts w:cs="Times New Roman"/>
                <w:sz w:val="22"/>
                <w:szCs w:val="22"/>
                <w:lang w:val="en-GB" w:eastAsia="ja-JP"/>
              </w:rPr>
              <w:fldChar w:fldCharType="separate"/>
            </w:r>
            <w:r w:rsidR="00C94E52">
              <w:rPr>
                <w:rFonts w:cs="Times New Roman"/>
                <w:sz w:val="22"/>
                <w:szCs w:val="22"/>
                <w:lang w:val="en-GB" w:eastAsia="ja-JP"/>
              </w:rPr>
              <w:t>66160</w:t>
            </w:r>
            <w:r>
              <w:rPr>
                <w:rFonts w:cs="Times New Roman"/>
                <w:sz w:val="22"/>
                <w:szCs w:val="22"/>
                <w:lang w:val="en-GB" w:eastAsia="ja-JP"/>
              </w:rPr>
              <w:fldChar w:fldCharType="end"/>
            </w:r>
            <w:bookmarkEnd w:id="5"/>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C54643" w:rsidP="00C94E52">
            <w:pPr>
              <w:rPr>
                <w:rFonts w:cs="Times New Roman"/>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C94E52">
              <w:rPr>
                <w:rFonts w:cs="Times New Roman"/>
                <w:sz w:val="22"/>
                <w:szCs w:val="22"/>
                <w:lang w:val="fr-FR" w:eastAsia="ja-JP"/>
              </w:rPr>
              <w:t xml:space="preserve">10.92 </w:t>
            </w:r>
            <w:r w:rsidR="003E7A65">
              <w:rPr>
                <w:rFonts w:cs="Times New Roman"/>
                <w:sz w:val="22"/>
                <w:szCs w:val="22"/>
                <w:lang w:val="fr-FR" w:eastAsia="ja-JP"/>
              </w:rPr>
              <w:t>%</w:t>
            </w:r>
            <w:r>
              <w:rPr>
                <w:rFonts w:cs="Times New Roman"/>
                <w:sz w:val="22"/>
                <w:szCs w:val="22"/>
                <w:lang w:val="fr-FR" w:eastAsia="ja-JP"/>
              </w:rPr>
              <w:fldChar w:fldCharType="end"/>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C54643" w:rsidP="00C94E52">
            <w:pPr>
              <w:rPr>
                <w:rFonts w:cs="Times New Roman"/>
                <w:sz w:val="22"/>
                <w:szCs w:val="22"/>
                <w:lang w:val="fr-FR" w:eastAsia="ja-JP"/>
              </w:rPr>
            </w:pPr>
            <w:r>
              <w:rPr>
                <w:rFonts w:cs="Times New Roman"/>
                <w:sz w:val="22"/>
                <w:szCs w:val="22"/>
                <w:lang w:val="fr-FR" w:eastAsia="ja-JP"/>
              </w:rPr>
              <w:fldChar w:fldCharType="begin">
                <w:ffData>
                  <w:name w:val="Text6"/>
                  <w:enabled/>
                  <w:calcOnExit w:val="0"/>
                  <w:textInput/>
                </w:ffData>
              </w:fldChar>
            </w:r>
            <w:bookmarkStart w:id="6" w:name="Text6"/>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C94E52" w:rsidRPr="00C94E52">
              <w:rPr>
                <w:rFonts w:cs="Times New Roman"/>
                <w:sz w:val="22"/>
                <w:szCs w:val="22"/>
                <w:lang w:val="fr-FR" w:eastAsia="ja-JP"/>
              </w:rPr>
              <w:t>6042</w:t>
            </w:r>
            <w:r w:rsidR="00C94E52">
              <w:rPr>
                <w:rFonts w:cs="Times New Roman"/>
                <w:sz w:val="22"/>
                <w:szCs w:val="22"/>
                <w:lang w:val="fr-FR" w:eastAsia="ja-JP"/>
              </w:rPr>
              <w:t>3</w:t>
            </w:r>
            <w:r>
              <w:rPr>
                <w:rFonts w:cs="Times New Roman"/>
                <w:sz w:val="22"/>
                <w:szCs w:val="22"/>
                <w:lang w:val="fr-FR" w:eastAsia="ja-JP"/>
              </w:rPr>
              <w:fldChar w:fldCharType="end"/>
            </w:r>
            <w:bookmarkEnd w:id="6"/>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C54643" w:rsidP="00C94E52">
            <w:pPr>
              <w:rPr>
                <w:rFonts w:cs="Times New Roman"/>
                <w:sz w:val="22"/>
                <w:szCs w:val="22"/>
                <w:lang w:eastAsia="ja-JP"/>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C94E52">
              <w:rPr>
                <w:rFonts w:cs="Times New Roman"/>
                <w:sz w:val="22"/>
                <w:szCs w:val="22"/>
                <w:lang w:val="fr-FR" w:eastAsia="ja-JP"/>
              </w:rPr>
              <w:t xml:space="preserve"> 9.97</w:t>
            </w:r>
            <w:r w:rsidR="003E7A65">
              <w:rPr>
                <w:rFonts w:cs="Times New Roman"/>
                <w:sz w:val="22"/>
                <w:szCs w:val="22"/>
                <w:lang w:val="fr-FR" w:eastAsia="ja-JP"/>
              </w:rPr>
              <w:t xml:space="preserve"> %</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C54643" w:rsidP="00D86549">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D86549" w:rsidRPr="00D86549">
              <w:t>December 12th, 2013</w:t>
            </w:r>
            <w:r>
              <w:rPr>
                <w:rFonts w:cs="Times New Roman"/>
                <w:sz w:val="22"/>
                <w:szCs w:val="22"/>
                <w:lang w:val="fr-FR" w:eastAsia="ja-JP"/>
              </w:rPr>
              <w:fldChar w:fldCharType="end"/>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C54643" w:rsidP="00095532">
            <w:pPr>
              <w:rPr>
                <w:rFonts w:cs="Times New Roman"/>
                <w:bCs/>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019B2">
              <w:t>n</w:t>
            </w:r>
            <w:r w:rsidR="00095532">
              <w:t>/</w:t>
            </w:r>
            <w:r w:rsidR="009019B2">
              <w:t>a</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C54643" w:rsidP="003E7A65">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3E7A65" w:rsidRPr="003E7A65">
              <w:t>07-Mar-14</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C54643" w:rsidP="003E7A65">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F72664">
              <w:t>3</w:t>
            </w:r>
            <w:r w:rsidR="003E7A65">
              <w:t>0</w:t>
            </w:r>
            <w:r w:rsidR="00F72664">
              <w:t>-</w:t>
            </w:r>
            <w:r w:rsidR="003E7A65">
              <w:t>Jun</w:t>
            </w:r>
            <w:r w:rsidR="00F72664">
              <w:t>-1</w:t>
            </w:r>
            <w:r w:rsidR="009019B2">
              <w:t>6</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F72664" w:rsidRDefault="00C54643" w:rsidP="00F72664">
            <w:r>
              <w:rPr>
                <w:rFonts w:cs="Times New Roman"/>
                <w:sz w:val="22"/>
                <w:szCs w:val="22"/>
                <w:lang w:val="fr-FR" w:eastAsia="ja-JP"/>
              </w:rPr>
              <w:fldChar w:fldCharType="begin">
                <w:ffData>
                  <w:name w:val=""/>
                  <w:enabled/>
                  <w:calcOnExit w:val="0"/>
                  <w:textInput/>
                </w:ffData>
              </w:fldChar>
            </w:r>
            <w:r w:rsidRPr="002E5993">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019B2">
              <w:t xml:space="preserve">Outcome 1: </w:t>
            </w:r>
            <w:r w:rsidR="009019B2" w:rsidRPr="002E5993">
              <w:rPr>
                <w:lang w:eastAsia="ja-JP"/>
              </w:rPr>
              <w:t>Vulnerable young women and young men at-risk have better opportunities to acquire civic participation skills to positively engage in society and develop respect for diversity.</w:t>
            </w:r>
            <w:r w:rsidR="00F72664">
              <w:t xml:space="preserve"> </w:t>
            </w:r>
          </w:p>
          <w:p w:rsidR="009019B2" w:rsidRDefault="00F72664" w:rsidP="009019B2">
            <w:r w:rsidRPr="002E5993">
              <w:rPr>
                <w:lang w:eastAsia="ja-JP"/>
              </w:rPr>
              <w:lastRenderedPageBreak/>
              <w:t xml:space="preserve">Expected Outcome 2: </w:t>
            </w:r>
            <w:r w:rsidR="009019B2" w:rsidRPr="002E5993">
              <w:rPr>
                <w:lang w:eastAsia="ja-JP"/>
              </w:rPr>
              <w:t xml:space="preserve">Vulnerable young women and young men at-risk express their concerns, participate in decision-making at various levels and have better access to economic opportunities to reduce the likelihood of youth involvement in violent conflict; </w:t>
            </w:r>
          </w:p>
          <w:p w:rsidR="00F05D7B" w:rsidRDefault="00C54643" w:rsidP="009019B2">
            <w:pPr>
              <w:rPr>
                <w:rFonts w:cs="Times New Roman"/>
                <w:bCs/>
                <w:sz w:val="22"/>
                <w:szCs w:val="22"/>
              </w:rPr>
            </w:pPr>
            <w:r>
              <w:rPr>
                <w:rFonts w:cs="Times New Roman"/>
                <w:sz w:val="22"/>
                <w:szCs w:val="22"/>
                <w:lang w:val="fr-FR" w:eastAsia="ja-JP"/>
              </w:rPr>
              <w:fldChar w:fldCharType="end"/>
            </w:r>
          </w:p>
        </w:tc>
      </w:tr>
      <w:tr w:rsidR="00E71AFA" w:rsidRPr="00FF0380" w:rsidTr="00BB2676">
        <w:trPr>
          <w:trHeight w:val="778"/>
        </w:trPr>
        <w:tc>
          <w:tcPr>
            <w:tcW w:w="2880" w:type="dxa"/>
            <w:shd w:val="clear" w:color="auto" w:fill="E6E6E6"/>
            <w:vAlign w:val="center"/>
          </w:tcPr>
          <w:p w:rsidR="00E71AFA"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p w:rsidR="00C54643" w:rsidRPr="00C54643" w:rsidRDefault="00C54643" w:rsidP="00CC0EED">
            <w:pPr>
              <w:rPr>
                <w:rFonts w:cs="Times New Roman"/>
                <w:sz w:val="22"/>
                <w:szCs w:val="22"/>
              </w:rPr>
            </w:pPr>
            <w:r w:rsidRPr="00C54643">
              <w:rPr>
                <w:rFonts w:cs="Times New Roman"/>
                <w:sz w:val="22"/>
                <w:szCs w:val="22"/>
              </w:rPr>
              <w:t>(select one of the Focus Areas listed below)</w:t>
            </w:r>
          </w:p>
        </w:tc>
        <w:tc>
          <w:tcPr>
            <w:tcW w:w="7740" w:type="dxa"/>
            <w:gridSpan w:val="3"/>
            <w:shd w:val="clear" w:color="auto" w:fill="auto"/>
            <w:vAlign w:val="center"/>
          </w:tcPr>
          <w:p w:rsidR="00E71AFA" w:rsidRPr="00FF0380" w:rsidRDefault="00C54643" w:rsidP="00536D3B">
            <w:pPr>
              <w:rPr>
                <w:rFonts w:cs="Times New Roman"/>
                <w:sz w:val="22"/>
                <w:szCs w:val="22"/>
              </w:rPr>
            </w:pPr>
            <w:r>
              <w:rPr>
                <w:rFonts w:cs="Times New Roman"/>
                <w:sz w:val="22"/>
                <w:szCs w:val="22"/>
                <w:lang w:val="fr-FR" w:eastAsia="ja-JP"/>
              </w:rPr>
              <w:fldChar w:fldCharType="begin">
                <w:ffData>
                  <w:name w:val=""/>
                  <w:enabled/>
                  <w:calcOnExit w:val="0"/>
                  <w:textInput/>
                </w:ffData>
              </w:fldChar>
            </w:r>
            <w:r w:rsidRPr="002E5993">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E40E6">
              <w:t>Priority Area 2:</w:t>
            </w:r>
            <w:r w:rsidR="009E40E6" w:rsidRPr="002E5993">
              <w:rPr>
                <w:lang w:eastAsia="ja-JP"/>
              </w:rPr>
              <w:t xml:space="preserve"> National reconciliation; Democratic governance</w:t>
            </w:r>
            <w:r>
              <w:rPr>
                <w:rFonts w:cs="Times New Roman"/>
                <w:sz w:val="22"/>
                <w:szCs w:val="22"/>
                <w:lang w:val="fr-FR" w:eastAsia="ja-JP"/>
              </w:rPr>
              <w:fldChar w:fldCharType="end"/>
            </w:r>
          </w:p>
        </w:tc>
      </w:tr>
    </w:tbl>
    <w:p w:rsidR="00B127F2" w:rsidRDefault="00B127F2" w:rsidP="001D7143">
      <w:pPr>
        <w:outlineLvl w:val="0"/>
        <w:rPr>
          <w:rFonts w:cs="Times New Roman"/>
          <w:sz w:val="22"/>
          <w:szCs w:val="22"/>
        </w:rPr>
        <w:sectPr w:rsidR="00B127F2" w:rsidSect="00CC0EED">
          <w:footerReference w:type="even" r:id="rId11"/>
          <w:footerReference w:type="default" r:id="rId12"/>
          <w:pgSz w:w="12240" w:h="15840"/>
          <w:pgMar w:top="562" w:right="1530" w:bottom="562" w:left="1800" w:header="720" w:footer="720" w:gutter="0"/>
          <w:pgNumType w:start="1"/>
          <w:cols w:space="72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C54643" w:rsidRPr="000D4837" w:rsidTr="00DF782D">
        <w:tc>
          <w:tcPr>
            <w:tcW w:w="2988" w:type="dxa"/>
            <w:shd w:val="clear" w:color="auto" w:fill="auto"/>
          </w:tcPr>
          <w:p w:rsidR="00C54643" w:rsidRDefault="00C54643" w:rsidP="00DF782D">
            <w:pPr>
              <w:outlineLvl w:val="0"/>
              <w:rPr>
                <w:rFonts w:cs="Times New Roman"/>
                <w:i/>
                <w:color w:val="000000"/>
                <w:sz w:val="22"/>
                <w:szCs w:val="22"/>
              </w:rPr>
            </w:pPr>
            <w:r>
              <w:rPr>
                <w:rFonts w:cs="Times New Roman"/>
                <w:i/>
                <w:color w:val="000000"/>
                <w:sz w:val="22"/>
                <w:szCs w:val="22"/>
              </w:rPr>
              <w:t>For each intended</w:t>
            </w:r>
            <w:r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rsidR="00C54643" w:rsidRDefault="00C54643" w:rsidP="00DF782D">
            <w:pPr>
              <w:outlineLvl w:val="0"/>
              <w:rPr>
                <w:rFonts w:cs="Times New Roman"/>
                <w:i/>
                <w:color w:val="000000"/>
                <w:sz w:val="22"/>
                <w:szCs w:val="22"/>
              </w:rPr>
            </w:pPr>
          </w:p>
          <w:p w:rsidR="00C54643" w:rsidRDefault="00C54643"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Pr="000D4837">
              <w:rPr>
                <w:rFonts w:cs="Times New Roman"/>
                <w:i/>
                <w:color w:val="000000"/>
                <w:sz w:val="22"/>
                <w:szCs w:val="22"/>
              </w:rPr>
              <w:t xml:space="preserve">the </w:t>
            </w:r>
            <w:r>
              <w:rPr>
                <w:rFonts w:cs="Times New Roman"/>
                <w:i/>
                <w:color w:val="000000"/>
                <w:sz w:val="22"/>
                <w:szCs w:val="22"/>
              </w:rPr>
              <w:t>outputs achieved.</w:t>
            </w:r>
          </w:p>
          <w:p w:rsidR="00C54643" w:rsidRPr="000D4837" w:rsidRDefault="00C54643" w:rsidP="00C54643">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2C77D1" w:rsidRDefault="00C54643" w:rsidP="002C77D1">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2E5993" w:rsidRPr="002E5993">
              <w:t xml:space="preserve">Outcome 1: </w:t>
            </w:r>
            <w:r w:rsidR="002C77D1">
              <w:t>UNICEF signed a letter of agreement on cooperation in the area of professionalization of youth work with the “Perspectives for youth” project of GIZ. According to the agreement the project can use the youth work curricula of GIZ to train youth specialists from public and municipal institutions and youth leaders on professional youth work.</w:t>
            </w:r>
          </w:p>
          <w:p w:rsidR="002C77D1" w:rsidRDefault="002C77D1" w:rsidP="002C77D1"/>
          <w:p w:rsidR="002C77D1" w:rsidRDefault="002C77D1" w:rsidP="002C77D1">
            <w:r>
              <w:t xml:space="preserve">The local NGO “Institute for Youth Development” (IYD) was identified as a UNICEF partner to train youth leaders from civil society to implement integrated youth services in pilot communities based on local youth strategies. IYD will later hand over this programme on professionalization of youth work to regional youth organizations.   </w:t>
            </w:r>
          </w:p>
          <w:p w:rsidR="002C77D1" w:rsidRDefault="002C77D1" w:rsidP="002C77D1"/>
          <w:p w:rsidR="002C77D1" w:rsidRDefault="002C77D1" w:rsidP="002C77D1">
            <w:r>
              <w:t xml:space="preserve">UNICEF also agreed to partner with the Academy of Management under the President to train 20 youth specialists from public and municipal institutions in the 14 target communities. They will be trained on child and youth rights; new media and public speaking, youth policy, advocacy and lobbying. etc.    </w:t>
            </w:r>
          </w:p>
          <w:p w:rsidR="00C54643" w:rsidRDefault="00C54643" w:rsidP="002C77D1">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B127F2">
            <w:pPr>
              <w:outlineLvl w:val="0"/>
              <w:rPr>
                <w:rFonts w:cs="Times New Roman"/>
                <w:i/>
                <w:color w:val="000000"/>
                <w:sz w:val="22"/>
                <w:szCs w:val="22"/>
              </w:rPr>
            </w:pPr>
            <w:r>
              <w:rPr>
                <w:rFonts w:cs="Times New Roman"/>
                <w:i/>
                <w:color w:val="000000"/>
                <w:sz w:val="22"/>
                <w:szCs w:val="22"/>
              </w:rPr>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C54643" w:rsidRPr="000D4837" w:rsidRDefault="00C54643" w:rsidP="00B127F2">
            <w:pPr>
              <w:outlineLvl w:val="0"/>
              <w:rPr>
                <w:bCs/>
                <w:i/>
                <w:sz w:val="22"/>
                <w:szCs w:val="22"/>
              </w:rPr>
            </w:pPr>
            <w:r>
              <w:rPr>
                <w:rFonts w:cs="Times New Roman"/>
                <w:i/>
                <w:color w:val="000000"/>
                <w:sz w:val="22"/>
                <w:szCs w:val="22"/>
              </w:rPr>
              <w:t>(1000 characters max.)</w:t>
            </w:r>
          </w:p>
        </w:tc>
        <w:tc>
          <w:tcPr>
            <w:tcW w:w="10080" w:type="dxa"/>
            <w:shd w:val="clear" w:color="auto" w:fill="auto"/>
          </w:tcPr>
          <w:p w:rsidR="00643B87" w:rsidRDefault="00C54643" w:rsidP="00643B87">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643B87">
              <w:t>As the project is in its inception phase, it is too early to observe any positive impact on peacebuilding.</w:t>
            </w:r>
          </w:p>
          <w:p w:rsidR="00643B87" w:rsidRDefault="00643B87" w:rsidP="00643B87"/>
          <w:p w:rsidR="00643B87" w:rsidRDefault="00643B87" w:rsidP="00643B87">
            <w:r>
              <w:t>At the same time it is important to note that consultations with communities on the project facilitated discussions about the need for a systemic and professional approach to address youth issues. Most project stakeholders in communities and authorities accepted the project approach of strengthening professional youth work and encouraging direct participation of youth in local development planning with enthusiasm. They believe that such youth participation may contribute to better governance and service delivery. Improving youth work and youth participation through this project may therefore be catalytic to enhance the positive role youth can play in society. However, some stakeholders remain skeptical about youth participation (see more under ‘lessons learnt’ section below).</w:t>
            </w:r>
          </w:p>
          <w:p w:rsidR="00C54643" w:rsidRDefault="00C54643" w:rsidP="00643B87">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D76427">
            <w:pPr>
              <w:outlineLvl w:val="0"/>
              <w:rPr>
                <w:rFonts w:cs="Times New Roman"/>
                <w:i/>
                <w:color w:val="000000"/>
                <w:sz w:val="22"/>
                <w:szCs w:val="22"/>
              </w:rPr>
            </w:pPr>
            <w:r w:rsidRPr="000D4837">
              <w:rPr>
                <w:rFonts w:cs="Times New Roman"/>
                <w:i/>
                <w:color w:val="000000"/>
                <w:sz w:val="22"/>
                <w:szCs w:val="22"/>
              </w:rPr>
              <w:t xml:space="preserve">Were there catalytic effects from the project in the period </w:t>
            </w:r>
            <w:r w:rsidRPr="000D4837">
              <w:rPr>
                <w:rFonts w:cs="Times New Roman"/>
                <w:i/>
                <w:color w:val="000000"/>
                <w:sz w:val="22"/>
                <w:szCs w:val="22"/>
              </w:rPr>
              <w:lastRenderedPageBreak/>
              <w:t>reported, including additional funding commitments or unleashing/ unblocking of any peace relevant processes?</w:t>
            </w:r>
          </w:p>
          <w:p w:rsidR="00C54643" w:rsidRPr="000D4837" w:rsidRDefault="00C54643" w:rsidP="00D7642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6C27EA">
            <w:r w:rsidRPr="00F64D82">
              <w:rPr>
                <w:rFonts w:cs="Times New Roman"/>
                <w:b/>
                <w:sz w:val="22"/>
                <w:szCs w:val="22"/>
              </w:rPr>
              <w:lastRenderedPageBreak/>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6C27EA" w:rsidRPr="006C27EA">
              <w:t xml:space="preserve">It is </w:t>
            </w:r>
            <w:r w:rsidR="006C27EA">
              <w:t xml:space="preserve">too </w:t>
            </w:r>
            <w:r w:rsidR="006C27EA" w:rsidRPr="006C27EA">
              <w:t xml:space="preserve">early to report on catalytic </w:t>
            </w:r>
            <w:r w:rsidR="006C27EA">
              <w:t>effects</w:t>
            </w:r>
            <w:r w:rsidR="006C27EA" w:rsidRPr="006C27EA">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lastRenderedPageBreak/>
              <w:t>If progress has been slow or inadequate, provide main reasons and what is being done to address them</w:t>
            </w:r>
            <w:r>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C230C6">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C230C6" w:rsidRPr="00C230C6">
              <w:t xml:space="preserve">The project has been in its inception phase from March 2014 (when funds actually were received). The project has generally been on track considering that start-up arrangements and trust building with target communities require time.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What are the main activities/expected results for the rest of the year?</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6C27EA" w:rsidRDefault="00C54643" w:rsidP="006C27EA">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6C27EA">
              <w:t xml:space="preserve">NGO leaders already trained by UNDP will closely work with LSGs to conduct participatory conflict assessments that will further inform activities. Youth role models will be identified to reach out to at-risk youth and activities suiting different age groups and gender will be identified based on the assessment. As far as possible such activities will be integrated into local development plans. A TV company will be contracted by UNFPA and subsequently start producing and broadcasting 3 online TV Forum Theatre performances together with the NGO "Y-PEER". </w:t>
            </w:r>
          </w:p>
          <w:p w:rsidR="006C27EA" w:rsidRDefault="006C27EA" w:rsidP="006C27EA"/>
          <w:p w:rsidR="006C27EA" w:rsidRDefault="006C27EA" w:rsidP="006C27EA">
            <w:r>
              <w:t>30 youth leaders from civil society will be trained on professional youth work curricula by UNICEF's NGO partner "Youth Development Institute" while youth affairs specialists from local government institutions will receive a similar training from the Academy of Management under the President. Participants of the professional youth work courses will start implementing practicums and develop local youth services in target communities.</w:t>
            </w:r>
          </w:p>
          <w:p w:rsidR="00C54643" w:rsidRDefault="00C54643" w:rsidP="006C27EA">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Pr>
                <w:rFonts w:cs="Times New Roman"/>
                <w:i/>
                <w:color w:val="000000"/>
                <w:sz w:val="22"/>
                <w:szCs w:val="22"/>
              </w:rPr>
              <w:t>.</w:t>
            </w:r>
            <w:r w:rsidRPr="000D4837">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2D7601">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2D7601" w:rsidRPr="002D7601">
              <w:t>Some project partners are considering to replace Mayevka LSG with Tokmok LSG as one of the target communities. GIZ and other donors seem to already engage in similar activities in Mayevka.</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Are there any lessons learned from the project in the period reported?</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4C1190" w:rsidRDefault="00C54643" w:rsidP="004C1190">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4C1190">
              <w:t xml:space="preserve">One lesson learnt is that overcoming prevailing attitudes of many adults and youth with regards to promoting professional youth work and youth participation in decision making is absolutely critical but so far proved to be challenging.  </w:t>
            </w:r>
          </w:p>
          <w:p w:rsidR="004C1190" w:rsidRDefault="004C1190" w:rsidP="004C1190"/>
          <w:p w:rsidR="004C1190" w:rsidRDefault="004C1190" w:rsidP="004C1190">
            <w:r>
              <w:t xml:space="preserve">The current attitude with regards to youth in Kyrgyzstan can be summarized with a statement commonly used in Kyrgyzstan: "Youth are to be seen but not to be heard!” The concept of </w:t>
            </w:r>
            <w:r>
              <w:lastRenderedPageBreak/>
              <w:t>professional youth work is therefore often questioned and seen as irrelevant to the local context. This demonstrates that social norms and traditions are not conducive to youth participation and representation. As a result young people do not appear to possess a clear hierarchy of values or particular political self-understanding. This leads to a situation where grievances are often expressed violently.</w:t>
            </w:r>
          </w:p>
          <w:p w:rsidR="004C1190" w:rsidRDefault="004C1190" w:rsidP="004C1190"/>
          <w:p w:rsidR="004C1190" w:rsidRDefault="004C1190" w:rsidP="004C1190">
            <w:r>
              <w:t>Despite the challenges faced (and maybe because of them), piloting professional youth work will be critical to involve ‘youth for peaceful change’.</w:t>
            </w:r>
          </w:p>
          <w:p w:rsidR="00C54643" w:rsidRDefault="005921EF" w:rsidP="005921EF">
            <w:r w:rsidRPr="005921EF">
              <w:t xml:space="preserve">       </w:t>
            </w:r>
            <w:r w:rsidR="00C54643"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A26AD">
            <w:pPr>
              <w:outlineLvl w:val="0"/>
              <w:rPr>
                <w:rFonts w:cs="Times New Roman"/>
                <w:i/>
                <w:color w:val="000000"/>
                <w:sz w:val="22"/>
                <w:szCs w:val="22"/>
              </w:rPr>
            </w:pPr>
            <w:r w:rsidRPr="000D4837">
              <w:rPr>
                <w:rFonts w:cs="Times New Roman"/>
                <w:i/>
                <w:color w:val="000000"/>
                <w:sz w:val="22"/>
                <w:szCs w:val="22"/>
              </w:rPr>
              <w:lastRenderedPageBreak/>
              <w:t xml:space="preserve">What is the </w:t>
            </w:r>
            <w:r>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Pr>
                <w:rFonts w:cs="Times New Roman"/>
                <w:i/>
                <w:color w:val="000000"/>
                <w:sz w:val="22"/>
                <w:szCs w:val="22"/>
              </w:rPr>
              <w:t xml:space="preserve"> – preliminary figures only</w:t>
            </w:r>
            <w:r w:rsidRPr="000D4837">
              <w:rPr>
                <w:rFonts w:cs="Times New Roman"/>
                <w:i/>
                <w:color w:val="000000"/>
                <w:sz w:val="22"/>
                <w:szCs w:val="22"/>
              </w:rPr>
              <w:t>?</w:t>
            </w:r>
          </w:p>
          <w:p w:rsidR="00C54643" w:rsidRPr="000D4837" w:rsidRDefault="00C54643" w:rsidP="000A26AD">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6B1EA5" w:rsidRDefault="00C54643" w:rsidP="006B1EA5">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6B1EA5">
              <w:t>Total p</w:t>
            </w:r>
            <w:r w:rsidR="002E223F">
              <w:t>roject budget</w:t>
            </w:r>
            <w:r w:rsidR="006B1EA5">
              <w:t xml:space="preserve"> expenditure to date: USD </w:t>
            </w:r>
            <w:r w:rsidR="00C94E52" w:rsidRPr="00C94E52">
              <w:t>60</w:t>
            </w:r>
            <w:r w:rsidR="00C94E52">
              <w:t>,</w:t>
            </w:r>
            <w:r w:rsidR="00C94E52" w:rsidRPr="00C94E52">
              <w:t>423</w:t>
            </w:r>
          </w:p>
          <w:p w:rsidR="00C54643" w:rsidRDefault="006B1EA5" w:rsidP="00C94E52">
            <w:r>
              <w:t xml:space="preserve">Percentage of allocated project budget expensed by the date of the report: </w:t>
            </w:r>
            <w:r w:rsidR="00C94E52">
              <w:t>9.97</w:t>
            </w:r>
            <w:r>
              <w:t xml:space="preserve"> %</w:t>
            </w:r>
            <w:r w:rsidR="00C54643" w:rsidRPr="00F64D82">
              <w:rPr>
                <w:rFonts w:cs="Times New Roman"/>
                <w:b/>
                <w:sz w:val="22"/>
                <w:szCs w:val="22"/>
              </w:rPr>
              <w:fldChar w:fldCharType="end"/>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Any other information that the project needs to convey  to PBSO (and JSC) at this stage?</w:t>
            </w:r>
          </w:p>
          <w:p w:rsidR="00096385"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C0EED" w:rsidRPr="000D4837" w:rsidRDefault="00C54643" w:rsidP="00536D3B">
            <w:pPr>
              <w:outlineLvl w:val="0"/>
              <w:rPr>
                <w:rFonts w:cs="Times New Roman"/>
                <w:b/>
                <w:sz w:val="22"/>
                <w:szCs w:val="22"/>
              </w:rPr>
            </w:pPr>
            <w:r>
              <w:rPr>
                <w:rFonts w:cs="Times New Roman"/>
                <w:b/>
                <w:sz w:val="22"/>
                <w:szCs w:val="22"/>
              </w:rPr>
              <w:fldChar w:fldCharType="begin">
                <w:ffData>
                  <w:name w:val=""/>
                  <w:enabled/>
                  <w:calcOnExit w:val="0"/>
                  <w:textInput>
                    <w:maxLength w:val="10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E223F">
              <w:t>n</w:t>
            </w:r>
            <w:r w:rsidR="00536D3B">
              <w:t>/</w:t>
            </w:r>
            <w:r w:rsidR="002E223F">
              <w:t>a</w:t>
            </w:r>
            <w:r>
              <w:rPr>
                <w:rFonts w:cs="Times New Roman"/>
                <w:b/>
                <w:sz w:val="22"/>
                <w:szCs w:val="22"/>
              </w:rPr>
              <w:fldChar w:fldCharType="end"/>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r w:rsidR="00C54643">
        <w:rPr>
          <w:bCs/>
        </w:rPr>
        <w:t>(250 characters max per entry)</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132065" w:rsidRPr="007D00E3" w:rsidTr="00123B4F">
        <w:tc>
          <w:tcPr>
            <w:tcW w:w="1530" w:type="dxa"/>
          </w:tcPr>
          <w:p w:rsidR="00132065" w:rsidRPr="00DF4C99" w:rsidRDefault="00132065" w:rsidP="006C1B11">
            <w:pPr>
              <w:jc w:val="center"/>
              <w:rPr>
                <w:b/>
              </w:rPr>
            </w:pPr>
          </w:p>
        </w:tc>
        <w:tc>
          <w:tcPr>
            <w:tcW w:w="1980" w:type="dxa"/>
            <w:shd w:val="clear" w:color="auto" w:fill="EEECE1"/>
          </w:tcPr>
          <w:p w:rsidR="00132065" w:rsidRPr="00F3492E" w:rsidRDefault="00132065" w:rsidP="006C1B11">
            <w:pPr>
              <w:jc w:val="center"/>
              <w:rPr>
                <w:b/>
              </w:rPr>
            </w:pPr>
            <w:r w:rsidRPr="00F3492E">
              <w:rPr>
                <w:b/>
              </w:rPr>
              <w:t>Performance Indicators</w:t>
            </w:r>
          </w:p>
        </w:tc>
        <w:tc>
          <w:tcPr>
            <w:tcW w:w="2062" w:type="dxa"/>
            <w:shd w:val="clear" w:color="auto" w:fill="EEECE1"/>
          </w:tcPr>
          <w:p w:rsidR="00132065" w:rsidRPr="00F3492E" w:rsidRDefault="00132065" w:rsidP="006C1B11">
            <w:pPr>
              <w:jc w:val="center"/>
              <w:rPr>
                <w:b/>
              </w:rPr>
            </w:pPr>
            <w:r w:rsidRPr="00F3492E">
              <w:rPr>
                <w:b/>
              </w:rPr>
              <w:t>Indicator Baseline</w:t>
            </w:r>
          </w:p>
        </w:tc>
        <w:tc>
          <w:tcPr>
            <w:tcW w:w="216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430" w:type="dxa"/>
          </w:tcPr>
          <w:p w:rsidR="00132065" w:rsidRPr="00F3492E" w:rsidRDefault="006A57FB" w:rsidP="006A57FB">
            <w:pPr>
              <w:jc w:val="center"/>
              <w:rPr>
                <w:b/>
              </w:rPr>
            </w:pPr>
            <w:r>
              <w:rPr>
                <w:b/>
              </w:rPr>
              <w:t>Current i</w:t>
            </w:r>
            <w:r w:rsidR="00837D7F">
              <w:rPr>
                <w:b/>
              </w:rPr>
              <w:t>ndicator progress</w:t>
            </w:r>
          </w:p>
        </w:tc>
        <w:tc>
          <w:tcPr>
            <w:tcW w:w="2888"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C54643" w:rsidRPr="007D00E3" w:rsidTr="00123B4F">
        <w:trPr>
          <w:trHeight w:val="548"/>
        </w:trPr>
        <w:tc>
          <w:tcPr>
            <w:tcW w:w="1530" w:type="dxa"/>
            <w:vMerge w:val="restart"/>
          </w:tcPr>
          <w:p w:rsidR="00C54643" w:rsidRDefault="00C54643" w:rsidP="00837D7F">
            <w:pPr>
              <w:rPr>
                <w:b/>
              </w:rPr>
            </w:pPr>
            <w:r w:rsidRPr="00DF4C99">
              <w:rPr>
                <w:b/>
              </w:rPr>
              <w:t>Outcome 1</w:t>
            </w:r>
          </w:p>
          <w:p w:rsidR="006B1EA5" w:rsidRDefault="00C54643" w:rsidP="008060F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60F9" w:rsidRPr="008060F9">
              <w:t>Vulnerable young women and young men at-risk have better opportunities to acquire civic participation skills to positively engage in society and develop respect for diversity</w:t>
            </w:r>
          </w:p>
          <w:p w:rsidR="006B1EA5" w:rsidRDefault="006B1EA5" w:rsidP="008060F9"/>
          <w:p w:rsidR="006B1EA5" w:rsidRDefault="006B1EA5" w:rsidP="008060F9"/>
          <w:p w:rsidR="006B1EA5" w:rsidRDefault="006B1EA5" w:rsidP="008060F9"/>
          <w:p w:rsidR="00C54643" w:rsidRPr="00DF4C99" w:rsidRDefault="00C54643" w:rsidP="008060F9">
            <w:pPr>
              <w:rPr>
                <w:b/>
              </w:rPr>
            </w:pPr>
            <w:r>
              <w:rPr>
                <w:rFonts w:cs="Times New Roman"/>
                <w:b/>
                <w:sz w:val="22"/>
                <w:szCs w:val="22"/>
              </w:rPr>
              <w:fldChar w:fldCharType="end"/>
            </w:r>
          </w:p>
        </w:tc>
        <w:tc>
          <w:tcPr>
            <w:tcW w:w="1980" w:type="dxa"/>
            <w:shd w:val="clear" w:color="auto" w:fill="EEECE1"/>
          </w:tcPr>
          <w:p w:rsidR="00C54643" w:rsidRDefault="00C54643" w:rsidP="006C1B11">
            <w:pPr>
              <w:jc w:val="both"/>
            </w:pPr>
            <w:r>
              <w:t>Indicator 1.1</w:t>
            </w:r>
          </w:p>
          <w:p w:rsidR="00C54643" w:rsidRPr="00F3492E" w:rsidRDefault="00C54643" w:rsidP="008060F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60F9" w:rsidRPr="008060F9">
              <w:t>% of youth who believe that diversity in society is an asset  for the development of the country</w:t>
            </w:r>
            <w:r>
              <w:rPr>
                <w:rFonts w:cs="Times New Roman"/>
                <w:b/>
                <w:sz w:val="22"/>
                <w:szCs w:val="22"/>
              </w:rPr>
              <w:fldChar w:fldCharType="end"/>
            </w:r>
          </w:p>
        </w:tc>
        <w:tc>
          <w:tcPr>
            <w:tcW w:w="2062" w:type="dxa"/>
            <w:shd w:val="clear" w:color="auto" w:fill="EEECE1"/>
          </w:tcPr>
          <w:p w:rsidR="006B1EA5" w:rsidRDefault="00C54643" w:rsidP="008060F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p>
          <w:p w:rsidR="00C54643" w:rsidRPr="007D00E3" w:rsidRDefault="008060F9" w:rsidP="008060F9">
            <w:r w:rsidRPr="008060F9">
              <w:t>To be identified in the inception phase</w:t>
            </w:r>
            <w:r>
              <w:t xml:space="preserve"> (2014)</w:t>
            </w:r>
            <w:r w:rsidRPr="008060F9">
              <w:t xml:space="preserve"> </w:t>
            </w:r>
            <w:r w:rsidR="00C54643">
              <w:rPr>
                <w:rFonts w:cs="Times New Roman"/>
                <w:b/>
                <w:sz w:val="22"/>
                <w:szCs w:val="22"/>
              </w:rPr>
              <w:fldChar w:fldCharType="end"/>
            </w:r>
          </w:p>
        </w:tc>
        <w:tc>
          <w:tcPr>
            <w:tcW w:w="2160" w:type="dxa"/>
            <w:shd w:val="clear" w:color="auto" w:fill="EEECE1"/>
          </w:tcPr>
          <w:p w:rsidR="006B1EA5" w:rsidRDefault="00C54643" w:rsidP="004B3D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8060F9" w:rsidP="004B3D32">
            <w:r w:rsidRPr="008060F9">
              <w:t>15% increase in number over baseline by end of</w:t>
            </w:r>
            <w:r w:rsidR="004B3D32">
              <w:t xml:space="preserve"> project in</w:t>
            </w:r>
            <w:r w:rsidRPr="008060F9">
              <w:t xml:space="preserve"> 2016</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548"/>
        </w:trPr>
        <w:tc>
          <w:tcPr>
            <w:tcW w:w="1530" w:type="dxa"/>
            <w:vMerge/>
          </w:tcPr>
          <w:p w:rsidR="00C54643" w:rsidRPr="00D33A6D" w:rsidRDefault="00C54643" w:rsidP="006C1B11"/>
        </w:tc>
        <w:tc>
          <w:tcPr>
            <w:tcW w:w="1980" w:type="dxa"/>
            <w:shd w:val="clear" w:color="auto" w:fill="EEECE1"/>
          </w:tcPr>
          <w:p w:rsidR="00C54643" w:rsidRDefault="00C54643" w:rsidP="006C1B11">
            <w:pPr>
              <w:jc w:val="both"/>
            </w:pPr>
            <w:r>
              <w:t>Indicator 1.2</w:t>
            </w:r>
          </w:p>
          <w:p w:rsidR="008060F9" w:rsidRPr="008060F9" w:rsidRDefault="00C54643" w:rsidP="008060F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60F9" w:rsidRPr="008060F9">
              <w:t>% of youth that have participated in community development activities</w:t>
            </w:r>
          </w:p>
          <w:p w:rsidR="00C54643" w:rsidRPr="00F3492E" w:rsidRDefault="00C54643" w:rsidP="008060F9">
            <w:pPr>
              <w:jc w:val="both"/>
            </w:pPr>
            <w:r>
              <w:rPr>
                <w:rFonts w:cs="Times New Roman"/>
                <w:b/>
                <w:sz w:val="22"/>
                <w:szCs w:val="22"/>
              </w:rPr>
              <w:fldChar w:fldCharType="end"/>
            </w:r>
          </w:p>
        </w:tc>
        <w:tc>
          <w:tcPr>
            <w:tcW w:w="2062" w:type="dxa"/>
            <w:shd w:val="clear" w:color="auto" w:fill="EEECE1"/>
          </w:tcPr>
          <w:p w:rsidR="006B1EA5" w:rsidRDefault="00C54643" w:rsidP="008060F9">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8060F9" w:rsidRPr="008060F9" w:rsidRDefault="008060F9" w:rsidP="008060F9">
            <w:r w:rsidRPr="008060F9">
              <w:t>To be identified in the inception phase</w:t>
            </w:r>
            <w:r>
              <w:t xml:space="preserve"> (2014)</w:t>
            </w:r>
          </w:p>
          <w:p w:rsidR="00C54643" w:rsidRDefault="00C54643" w:rsidP="008060F9">
            <w:r w:rsidRPr="008B41E0">
              <w:rPr>
                <w:rFonts w:cs="Times New Roman"/>
                <w:b/>
                <w:sz w:val="22"/>
                <w:szCs w:val="22"/>
              </w:rPr>
              <w:fldChar w:fldCharType="end"/>
            </w:r>
          </w:p>
        </w:tc>
        <w:tc>
          <w:tcPr>
            <w:tcW w:w="2160" w:type="dxa"/>
            <w:shd w:val="clear" w:color="auto" w:fill="EEECE1"/>
          </w:tcPr>
          <w:p w:rsidR="006B1EA5" w:rsidRDefault="00C54643" w:rsidP="004B3D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4B3D32" w:rsidP="004B3D32">
            <w:r w:rsidRPr="004B3D32">
              <w:t xml:space="preserve">15% increase over baseline by end of </w:t>
            </w:r>
            <w:r>
              <w:t xml:space="preserve">project in </w:t>
            </w:r>
            <w:r w:rsidRPr="004B3D32">
              <w:t>2016</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548"/>
        </w:trPr>
        <w:tc>
          <w:tcPr>
            <w:tcW w:w="1530" w:type="dxa"/>
            <w:vMerge w:val="restart"/>
          </w:tcPr>
          <w:p w:rsidR="00C54643" w:rsidRDefault="00C54643" w:rsidP="006C1B11">
            <w:r w:rsidRPr="00D33A6D">
              <w:lastRenderedPageBreak/>
              <w:t>Output 1.1</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97527" w:rsidRPr="00797527">
              <w:t>Young women and men have improved networking and mechanisms to overcome impediments to increase engagement in peace building and decision making in selected communities</w:t>
            </w:r>
            <w:r>
              <w:rPr>
                <w:rFonts w:cs="Times New Roman"/>
                <w:b/>
                <w:sz w:val="22"/>
                <w:szCs w:val="22"/>
              </w:rPr>
              <w:fldChar w:fldCharType="end"/>
            </w:r>
          </w:p>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1.1.1</w:t>
            </w:r>
          </w:p>
          <w:p w:rsidR="006B1EA5" w:rsidRDefault="00C54643" w:rsidP="00797527">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97527" w:rsidRPr="00797527">
              <w:t># of vulnerability analysis completed</w:t>
            </w:r>
          </w:p>
          <w:p w:rsidR="00C54643" w:rsidRPr="00F3492E" w:rsidRDefault="00C54643" w:rsidP="00797527">
            <w:pPr>
              <w:jc w:val="both"/>
            </w:pPr>
            <w:r>
              <w:rPr>
                <w:rFonts w:cs="Times New Roman"/>
                <w:b/>
                <w:sz w:val="22"/>
                <w:szCs w:val="22"/>
              </w:rPr>
              <w:fldChar w:fldCharType="end"/>
            </w:r>
          </w:p>
        </w:tc>
        <w:tc>
          <w:tcPr>
            <w:tcW w:w="2062" w:type="dxa"/>
            <w:shd w:val="clear" w:color="auto" w:fill="EEECE1"/>
          </w:tcPr>
          <w:p w:rsidR="006B1EA5" w:rsidRDefault="00C54643" w:rsidP="007B430A">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C54643" w:rsidRDefault="007B430A" w:rsidP="007B430A">
            <w:r>
              <w:t>None</w:t>
            </w:r>
            <w:r w:rsidR="00C54643" w:rsidRPr="008B41E0">
              <w:rPr>
                <w:rFonts w:cs="Times New Roman"/>
                <w:b/>
                <w:sz w:val="22"/>
                <w:szCs w:val="22"/>
              </w:rPr>
              <w:fldChar w:fldCharType="end"/>
            </w:r>
          </w:p>
        </w:tc>
        <w:tc>
          <w:tcPr>
            <w:tcW w:w="2160" w:type="dxa"/>
            <w:shd w:val="clear" w:color="auto" w:fill="EEECE1"/>
          </w:tcPr>
          <w:p w:rsidR="006B1EA5" w:rsidRDefault="00C54643" w:rsidP="007B430A">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7B430A" w:rsidP="007B430A">
            <w:r>
              <w:t>1</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512"/>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1.1.2</w:t>
            </w:r>
          </w:p>
          <w:p w:rsidR="00C54643" w:rsidRPr="00F3492E" w:rsidRDefault="00C54643" w:rsidP="006D27B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D27B1">
              <w:rPr>
                <w:rFonts w:cs="Times New Roman"/>
                <w:b/>
                <w:sz w:val="22"/>
                <w:szCs w:val="22"/>
              </w:rPr>
              <w:t> </w:t>
            </w:r>
            <w:r w:rsidR="006D27B1">
              <w:rPr>
                <w:rFonts w:cs="Times New Roman"/>
                <w:b/>
                <w:sz w:val="22"/>
                <w:szCs w:val="22"/>
              </w:rPr>
              <w:t> </w:t>
            </w:r>
            <w:r w:rsidR="006D27B1">
              <w:rPr>
                <w:rFonts w:cs="Times New Roman"/>
                <w:b/>
                <w:sz w:val="22"/>
                <w:szCs w:val="22"/>
              </w:rPr>
              <w:t> </w:t>
            </w:r>
            <w:r w:rsidR="006D27B1">
              <w:rPr>
                <w:rFonts w:cs="Times New Roman"/>
                <w:b/>
                <w:sz w:val="22"/>
                <w:szCs w:val="22"/>
              </w:rPr>
              <w:t> </w:t>
            </w:r>
            <w:r w:rsidR="006D27B1">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F2289B">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963A3D">
              <w:t xml:space="preserve">                      </w:t>
            </w:r>
            <w:r w:rsidRPr="008B41E0">
              <w:rPr>
                <w:rFonts w:cs="Times New Roman"/>
                <w:b/>
                <w:sz w:val="22"/>
                <w:szCs w:val="22"/>
              </w:rPr>
              <w:fldChar w:fldCharType="end"/>
            </w:r>
          </w:p>
        </w:tc>
        <w:tc>
          <w:tcPr>
            <w:tcW w:w="2160" w:type="dxa"/>
            <w:shd w:val="clear" w:color="auto" w:fill="EEECE1"/>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430"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440"/>
        </w:trPr>
        <w:tc>
          <w:tcPr>
            <w:tcW w:w="1530" w:type="dxa"/>
            <w:vMerge w:val="restart"/>
          </w:tcPr>
          <w:p w:rsidR="00C54643" w:rsidRDefault="00C54643" w:rsidP="006C1B11">
            <w:r w:rsidRPr="00D33A6D">
              <w:t>Output 1.2</w:t>
            </w:r>
          </w:p>
          <w:p w:rsidR="00C54643" w:rsidRPr="00D33A6D" w:rsidRDefault="00C54643" w:rsidP="002C51EB">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rsidRPr="00F3492E">
              <w:t>Indicator  1.2.1</w:t>
            </w:r>
          </w:p>
          <w:p w:rsidR="00C54643" w:rsidRPr="00F3492E" w:rsidRDefault="00C54643" w:rsidP="002C51EB">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2C51EB">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Pr="008B41E0">
              <w:rPr>
                <w:rFonts w:cs="Times New Roman"/>
                <w:b/>
                <w:sz w:val="22"/>
                <w:szCs w:val="22"/>
              </w:rPr>
              <w:fldChar w:fldCharType="end"/>
            </w:r>
          </w:p>
        </w:tc>
        <w:tc>
          <w:tcPr>
            <w:tcW w:w="2160" w:type="dxa"/>
            <w:shd w:val="clear" w:color="auto" w:fill="EEECE1"/>
          </w:tcPr>
          <w:p w:rsidR="00C54643" w:rsidRDefault="00C54643" w:rsidP="002C51E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Pr="00A9625C">
              <w:rPr>
                <w:rFonts w:cs="Times New Roman"/>
                <w:b/>
                <w:sz w:val="22"/>
                <w:szCs w:val="22"/>
              </w:rPr>
              <w:fldChar w:fldCharType="end"/>
            </w:r>
          </w:p>
        </w:tc>
        <w:tc>
          <w:tcPr>
            <w:tcW w:w="2430" w:type="dxa"/>
          </w:tcPr>
          <w:p w:rsidR="00C54643" w:rsidRDefault="00C54643" w:rsidP="002C51E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67"/>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1.2.2</w:t>
            </w:r>
          </w:p>
          <w:p w:rsidR="00C54643" w:rsidRPr="00F3492E" w:rsidRDefault="00C54643" w:rsidP="002C51EB">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2C51EB">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Pr="008B41E0">
              <w:rPr>
                <w:rFonts w:cs="Times New Roman"/>
                <w:b/>
                <w:sz w:val="22"/>
                <w:szCs w:val="22"/>
              </w:rPr>
              <w:fldChar w:fldCharType="end"/>
            </w:r>
          </w:p>
        </w:tc>
        <w:tc>
          <w:tcPr>
            <w:tcW w:w="2160" w:type="dxa"/>
            <w:shd w:val="clear" w:color="auto" w:fill="EEECE1"/>
          </w:tcPr>
          <w:p w:rsidR="00C54643" w:rsidRDefault="00C54643" w:rsidP="002C51E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Pr="00A9625C">
              <w:rPr>
                <w:rFonts w:cs="Times New Roman"/>
                <w:b/>
                <w:sz w:val="22"/>
                <w:szCs w:val="22"/>
              </w:rPr>
              <w:fldChar w:fldCharType="end"/>
            </w:r>
          </w:p>
        </w:tc>
        <w:tc>
          <w:tcPr>
            <w:tcW w:w="2430" w:type="dxa"/>
          </w:tcPr>
          <w:p w:rsidR="00C54643" w:rsidRDefault="00C54643" w:rsidP="002C51E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val="restart"/>
          </w:tcPr>
          <w:p w:rsidR="00C54643" w:rsidRDefault="00C54643" w:rsidP="006C1B11">
            <w:r w:rsidRPr="00CC0EED">
              <w:t>Output 1.3</w:t>
            </w:r>
          </w:p>
          <w:p w:rsidR="00C54643" w:rsidRPr="00CC0EED" w:rsidRDefault="00C54643" w:rsidP="006B1EA5">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t>Indicator 1.3.1</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t>Indicator 1.3.2</w:t>
            </w:r>
          </w:p>
          <w:p w:rsidR="00C54643" w:rsidRDefault="00C54643" w:rsidP="006B1EA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val="restart"/>
          </w:tcPr>
          <w:p w:rsidR="00C54643" w:rsidRDefault="00C54643" w:rsidP="006C1B11">
            <w:pPr>
              <w:rPr>
                <w:b/>
              </w:rPr>
            </w:pPr>
            <w:r w:rsidRPr="00DF4C99">
              <w:rPr>
                <w:b/>
              </w:rPr>
              <w:t>Outcome 2</w:t>
            </w:r>
          </w:p>
          <w:p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rsidRPr="00F2289B">
              <w:t xml:space="preserve">Vulnerable young women </w:t>
            </w:r>
            <w:r w:rsidR="006B1EA5">
              <w:t>&amp;</w:t>
            </w:r>
            <w:r w:rsidR="00F2289B" w:rsidRPr="00F2289B">
              <w:t xml:space="preserve"> </w:t>
            </w:r>
            <w:r w:rsidR="00F2289B" w:rsidRPr="00F2289B">
              <w:lastRenderedPageBreak/>
              <w:t xml:space="preserve">men at-risk express their concerns, participate in decision-making at various levels </w:t>
            </w:r>
            <w:r w:rsidR="006B1EA5">
              <w:t>&amp;</w:t>
            </w:r>
            <w:r w:rsidR="00F2289B" w:rsidRPr="00F2289B">
              <w:t xml:space="preserve"> have better access to economic opportunities to reduce the likelihood of youth involvement in violent conflict  </w:t>
            </w:r>
            <w:r>
              <w:rPr>
                <w:rFonts w:cs="Times New Roman"/>
                <w:b/>
                <w:sz w:val="22"/>
                <w:szCs w:val="22"/>
              </w:rPr>
              <w:fldChar w:fldCharType="end"/>
            </w:r>
          </w:p>
          <w:p w:rsidR="00C54643" w:rsidRPr="00DF4C99" w:rsidRDefault="00C54643" w:rsidP="006C1B11">
            <w:pPr>
              <w:rPr>
                <w:b/>
              </w:rPr>
            </w:pPr>
          </w:p>
        </w:tc>
        <w:tc>
          <w:tcPr>
            <w:tcW w:w="1980" w:type="dxa"/>
            <w:shd w:val="clear" w:color="auto" w:fill="EEECE1"/>
          </w:tcPr>
          <w:p w:rsidR="00C54643" w:rsidRDefault="00C54643" w:rsidP="006C1B11">
            <w:pPr>
              <w:jc w:val="both"/>
            </w:pPr>
            <w:r>
              <w:lastRenderedPageBreak/>
              <w:t>Indicator 2.1</w:t>
            </w:r>
          </w:p>
          <w:p w:rsidR="00C54643" w:rsidRPr="00F3492E" w:rsidRDefault="00C54643" w:rsidP="00DE28A0">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DE28A0" w:rsidRPr="00DE28A0">
              <w:t xml:space="preserve">% increase in constructive participation of </w:t>
            </w:r>
            <w:r w:rsidR="00DE28A0" w:rsidRPr="00DE28A0">
              <w:lastRenderedPageBreak/>
              <w:t>youth in decision-making processes at all levels</w:t>
            </w:r>
            <w:r>
              <w:rPr>
                <w:rFonts w:cs="Times New Roman"/>
                <w:b/>
                <w:sz w:val="22"/>
                <w:szCs w:val="22"/>
              </w:rPr>
              <w:fldChar w:fldCharType="end"/>
            </w:r>
          </w:p>
        </w:tc>
        <w:tc>
          <w:tcPr>
            <w:tcW w:w="2062" w:type="dxa"/>
            <w:shd w:val="clear" w:color="auto" w:fill="EEECE1"/>
          </w:tcPr>
          <w:p w:rsidR="006B1EA5" w:rsidRDefault="00C54643" w:rsidP="00DE28A0">
            <w:r w:rsidRPr="008B41E0">
              <w:rPr>
                <w:rFonts w:cs="Times New Roman"/>
                <w:b/>
                <w:sz w:val="22"/>
                <w:szCs w:val="22"/>
              </w:rPr>
              <w:lastRenderedPageBreak/>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C54643" w:rsidRDefault="00DE28A0" w:rsidP="00DE28A0">
            <w:r w:rsidRPr="00DE28A0">
              <w:t>To be identified in the inception phase (2014)</w:t>
            </w:r>
            <w:r w:rsidR="00C54643" w:rsidRPr="008B41E0">
              <w:rPr>
                <w:rFonts w:cs="Times New Roman"/>
                <w:b/>
                <w:sz w:val="22"/>
                <w:szCs w:val="22"/>
              </w:rPr>
              <w:fldChar w:fldCharType="end"/>
            </w:r>
          </w:p>
        </w:tc>
        <w:tc>
          <w:tcPr>
            <w:tcW w:w="2160" w:type="dxa"/>
            <w:shd w:val="clear" w:color="auto" w:fill="EEECE1"/>
          </w:tcPr>
          <w:p w:rsidR="006B1EA5" w:rsidRDefault="00C54643" w:rsidP="00DE28A0">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DE28A0" w:rsidP="00DE28A0">
            <w:r w:rsidRPr="00DE28A0">
              <w:t>15% increase in number over baseline by end of</w:t>
            </w:r>
            <w:r>
              <w:t xml:space="preserve"> </w:t>
            </w:r>
            <w:r>
              <w:lastRenderedPageBreak/>
              <w:t>project in</w:t>
            </w:r>
            <w:r w:rsidRPr="00DE28A0">
              <w:t xml:space="preserve"> 2016</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sidR="00C54643" w:rsidRPr="00A9625C">
              <w:rPr>
                <w:rFonts w:cs="Times New Roman"/>
                <w:b/>
                <w:sz w:val="22"/>
                <w:szCs w:val="22"/>
              </w:rPr>
              <w:fldChar w:fldCharType="end"/>
            </w:r>
          </w:p>
        </w:tc>
        <w:tc>
          <w:tcPr>
            <w:tcW w:w="2888"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C54643" w:rsidP="006B1EA5">
            <w:r w:rsidRPr="00A9625C">
              <w:rPr>
                <w:rFonts w:cs="Times New Roman"/>
                <w:b/>
                <w:sz w:val="22"/>
                <w:szCs w:val="22"/>
              </w:rPr>
              <w:fldChar w:fldCharType="end"/>
            </w:r>
          </w:p>
        </w:tc>
        <w:tc>
          <w:tcPr>
            <w:tcW w:w="2078"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C54643" w:rsidP="006B1EA5">
            <w:r w:rsidRPr="00A9625C">
              <w:rPr>
                <w:rFonts w:cs="Times New Roman"/>
                <w:b/>
                <w:sz w:val="22"/>
                <w:szCs w:val="22"/>
              </w:rPr>
              <w:fldChar w:fldCharType="end"/>
            </w:r>
          </w:p>
        </w:tc>
      </w:tr>
      <w:tr w:rsidR="00C54643" w:rsidRPr="007D00E3" w:rsidTr="00123B4F">
        <w:trPr>
          <w:trHeight w:val="422"/>
        </w:trPr>
        <w:tc>
          <w:tcPr>
            <w:tcW w:w="1530" w:type="dxa"/>
            <w:vMerge/>
          </w:tcPr>
          <w:p w:rsidR="00C54643" w:rsidRPr="00D33A6D" w:rsidRDefault="00C54643" w:rsidP="006C1B11"/>
        </w:tc>
        <w:tc>
          <w:tcPr>
            <w:tcW w:w="1980" w:type="dxa"/>
            <w:shd w:val="clear" w:color="auto" w:fill="EEECE1"/>
          </w:tcPr>
          <w:p w:rsidR="00C54643" w:rsidRDefault="00C54643" w:rsidP="006C1B11">
            <w:pPr>
              <w:jc w:val="both"/>
            </w:pPr>
            <w:r>
              <w:t>Indicator 2.2</w:t>
            </w:r>
          </w:p>
          <w:p w:rsidR="00C54643" w:rsidRPr="00F3492E" w:rsidRDefault="00C54643" w:rsidP="00DE28A0">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440132" w:rsidRPr="00440132">
              <w:t xml:space="preserve"> </w:t>
            </w:r>
            <w:r>
              <w:rPr>
                <w:rFonts w:cs="Times New Roman"/>
                <w:b/>
                <w:sz w:val="22"/>
                <w:szCs w:val="22"/>
              </w:rPr>
              <w:fldChar w:fldCharType="end"/>
            </w:r>
          </w:p>
        </w:tc>
        <w:tc>
          <w:tcPr>
            <w:tcW w:w="2062" w:type="dxa"/>
            <w:shd w:val="clear" w:color="auto" w:fill="EEECE1"/>
          </w:tcPr>
          <w:p w:rsidR="00C54643" w:rsidRDefault="00C54643" w:rsidP="00440132">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Pr="008B41E0">
              <w:rPr>
                <w:rFonts w:cs="Times New Roman"/>
                <w:b/>
                <w:sz w:val="22"/>
                <w:szCs w:val="22"/>
              </w:rPr>
              <w:fldChar w:fldCharType="end"/>
            </w:r>
          </w:p>
        </w:tc>
        <w:tc>
          <w:tcPr>
            <w:tcW w:w="2160" w:type="dxa"/>
            <w:shd w:val="clear" w:color="auto" w:fill="EEECE1"/>
          </w:tcPr>
          <w:p w:rsidR="00C54643" w:rsidRDefault="00C54643" w:rsidP="004401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40132" w:rsidRPr="00440132">
              <w:t xml:space="preserve">                                         </w:t>
            </w:r>
            <w:r w:rsidRPr="00A9625C">
              <w:rPr>
                <w:rFonts w:cs="Times New Roman"/>
                <w:b/>
                <w:sz w:val="22"/>
                <w:szCs w:val="22"/>
              </w:rPr>
              <w:fldChar w:fldCharType="end"/>
            </w:r>
          </w:p>
        </w:tc>
        <w:tc>
          <w:tcPr>
            <w:tcW w:w="2430" w:type="dxa"/>
          </w:tcPr>
          <w:p w:rsidR="00C54643" w:rsidRDefault="00C54643" w:rsidP="004401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Pr="00A9625C">
              <w:rPr>
                <w:rFonts w:cs="Times New Roman"/>
                <w:b/>
                <w:sz w:val="22"/>
                <w:szCs w:val="22"/>
              </w:rPr>
              <w:fldChar w:fldCharType="end"/>
            </w:r>
          </w:p>
        </w:tc>
        <w:tc>
          <w:tcPr>
            <w:tcW w:w="2888" w:type="dxa"/>
          </w:tcPr>
          <w:p w:rsidR="00C54643" w:rsidRDefault="00C54643" w:rsidP="004401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Pr="00A9625C">
              <w:rPr>
                <w:rFonts w:cs="Times New Roman"/>
                <w:b/>
                <w:sz w:val="22"/>
                <w:szCs w:val="22"/>
              </w:rPr>
              <w:fldChar w:fldCharType="end"/>
            </w:r>
          </w:p>
        </w:tc>
        <w:tc>
          <w:tcPr>
            <w:tcW w:w="2078" w:type="dxa"/>
          </w:tcPr>
          <w:p w:rsidR="00C54643" w:rsidRDefault="00C54643" w:rsidP="004401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val="restart"/>
          </w:tcPr>
          <w:p w:rsidR="00C54643" w:rsidRDefault="00C54643" w:rsidP="006C1B11">
            <w:r w:rsidRPr="00D33A6D">
              <w:t>Output 2.1</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DE28A0" w:rsidRPr="00DE28A0">
              <w:t>Youth in selected districts constructive</w:t>
            </w:r>
            <w:r w:rsidR="00DE28A0">
              <w:t>-</w:t>
            </w:r>
            <w:r w:rsidR="00DE28A0" w:rsidRPr="00DE28A0">
              <w:t>ly participates in community peace building, decision-</w:t>
            </w:r>
            <w:r w:rsidR="00DE28A0" w:rsidRPr="00DE28A0">
              <w:lastRenderedPageBreak/>
              <w:t>making and advocacy to ensure that their concerns are addressed</w:t>
            </w:r>
            <w:r>
              <w:rPr>
                <w:rFonts w:cs="Times New Roman"/>
                <w:b/>
                <w:sz w:val="22"/>
                <w:szCs w:val="22"/>
              </w:rPr>
              <w:fldChar w:fldCharType="end"/>
            </w:r>
          </w:p>
          <w:p w:rsidR="00C54643" w:rsidRPr="00DF4C99" w:rsidRDefault="00C54643" w:rsidP="006C1B11">
            <w:pPr>
              <w:rPr>
                <w:b/>
              </w:rPr>
            </w:pPr>
          </w:p>
        </w:tc>
        <w:tc>
          <w:tcPr>
            <w:tcW w:w="1980" w:type="dxa"/>
            <w:shd w:val="clear" w:color="auto" w:fill="EEECE1"/>
          </w:tcPr>
          <w:p w:rsidR="00C54643" w:rsidRDefault="00C54643" w:rsidP="006C1B11">
            <w:pPr>
              <w:jc w:val="both"/>
            </w:pPr>
            <w:r w:rsidRPr="00F3492E">
              <w:lastRenderedPageBreak/>
              <w:t>Indicator  2.1.1</w:t>
            </w:r>
          </w:p>
          <w:p w:rsidR="00C54643" w:rsidRPr="00F3492E" w:rsidRDefault="00C54643" w:rsidP="008652FF">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652FF" w:rsidRPr="008652FF">
              <w:t># of role models</w:t>
            </w:r>
            <w:r>
              <w:rPr>
                <w:rFonts w:cs="Times New Roman"/>
                <w:b/>
                <w:sz w:val="22"/>
                <w:szCs w:val="22"/>
              </w:rPr>
              <w:fldChar w:fldCharType="end"/>
            </w:r>
          </w:p>
        </w:tc>
        <w:tc>
          <w:tcPr>
            <w:tcW w:w="2062" w:type="dxa"/>
            <w:shd w:val="clear" w:color="auto" w:fill="EEECE1"/>
          </w:tcPr>
          <w:p w:rsidR="008652FF" w:rsidRDefault="00C54643" w:rsidP="008652FF">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C54643" w:rsidRDefault="008652FF" w:rsidP="008652FF">
            <w:r w:rsidRPr="008652FF">
              <w:t>To be identified in the inception phase (2014)</w:t>
            </w:r>
            <w:r w:rsidR="00C54643" w:rsidRPr="008B41E0">
              <w:rPr>
                <w:rFonts w:cs="Times New Roman"/>
                <w:b/>
                <w:sz w:val="22"/>
                <w:szCs w:val="22"/>
              </w:rPr>
              <w:fldChar w:fldCharType="end"/>
            </w:r>
          </w:p>
        </w:tc>
        <w:tc>
          <w:tcPr>
            <w:tcW w:w="2160" w:type="dxa"/>
            <w:shd w:val="clear" w:color="auto" w:fill="EEECE1"/>
          </w:tcPr>
          <w:p w:rsidR="008652FF" w:rsidRDefault="00C54643" w:rsidP="008652FF">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8652FF" w:rsidP="008652FF">
            <w:r w:rsidRPr="008652FF">
              <w:t>at least 20</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458"/>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2.1.2</w:t>
            </w:r>
          </w:p>
          <w:p w:rsidR="008652FF" w:rsidRPr="008652FF" w:rsidRDefault="00C54643" w:rsidP="008652FF">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652FF" w:rsidRPr="008652FF">
              <w:t># of youth action plans drafted</w:t>
            </w:r>
          </w:p>
          <w:p w:rsidR="008652FF" w:rsidRPr="008652FF" w:rsidRDefault="008652FF" w:rsidP="008652FF"/>
          <w:p w:rsidR="008652FF" w:rsidRDefault="008652FF" w:rsidP="008652FF">
            <w:r>
              <w:t xml:space="preserve">Indicator </w:t>
            </w:r>
            <w:r w:rsidRPr="008652FF">
              <w:t>2.1.3</w:t>
            </w:r>
          </w:p>
          <w:p w:rsidR="008652FF" w:rsidRPr="008652FF" w:rsidRDefault="008652FF" w:rsidP="008652FF">
            <w:r w:rsidRPr="008652FF">
              <w:t># of constructive discussions organized</w:t>
            </w:r>
          </w:p>
          <w:p w:rsidR="008652FF" w:rsidRPr="008652FF" w:rsidRDefault="008652FF" w:rsidP="008652FF"/>
          <w:p w:rsidR="008652FF" w:rsidRDefault="008652FF" w:rsidP="008652FF">
            <w:r>
              <w:t xml:space="preserve">Indicator </w:t>
            </w:r>
            <w:r w:rsidRPr="008652FF">
              <w:t>2.1.4</w:t>
            </w:r>
          </w:p>
          <w:p w:rsidR="008652FF" w:rsidRPr="008652FF" w:rsidRDefault="008652FF" w:rsidP="008652FF">
            <w:r w:rsidRPr="008652FF">
              <w:t># of youth involved in youth exchanges</w:t>
            </w:r>
          </w:p>
          <w:p w:rsidR="008652FF" w:rsidRPr="008652FF" w:rsidRDefault="008652FF" w:rsidP="008652FF"/>
          <w:p w:rsidR="008652FF" w:rsidRDefault="008652FF" w:rsidP="008652FF">
            <w:r>
              <w:t xml:space="preserve">Ind. </w:t>
            </w:r>
            <w:r w:rsidRPr="008652FF">
              <w:t>2.1.5</w:t>
            </w:r>
          </w:p>
          <w:p w:rsidR="008652FF" w:rsidRPr="008652FF" w:rsidRDefault="008652FF" w:rsidP="008652FF">
            <w:r w:rsidRPr="008652FF">
              <w:t># of youth engaged sport events</w:t>
            </w:r>
          </w:p>
          <w:p w:rsidR="008652FF" w:rsidRPr="008652FF" w:rsidRDefault="008652FF" w:rsidP="008652FF"/>
          <w:p w:rsidR="008652FF" w:rsidRDefault="008652FF" w:rsidP="008652FF">
            <w:pPr>
              <w:jc w:val="both"/>
            </w:pPr>
            <w:r>
              <w:t xml:space="preserve">Ind. </w:t>
            </w:r>
            <w:r w:rsidRPr="008652FF">
              <w:t>2.1.6</w:t>
            </w:r>
          </w:p>
          <w:p w:rsidR="006B1EA5" w:rsidRDefault="008652FF" w:rsidP="008652FF">
            <w:pPr>
              <w:jc w:val="both"/>
            </w:pPr>
            <w:r w:rsidRPr="008652FF">
              <w:t># of LSGs where youth plans institutionalized</w:t>
            </w:r>
          </w:p>
          <w:p w:rsidR="00C54643" w:rsidRPr="00F3492E" w:rsidRDefault="00C54643" w:rsidP="008652FF">
            <w:pPr>
              <w:jc w:val="both"/>
            </w:pPr>
            <w:r>
              <w:rPr>
                <w:rFonts w:cs="Times New Roman"/>
                <w:b/>
                <w:sz w:val="22"/>
                <w:szCs w:val="22"/>
              </w:rPr>
              <w:fldChar w:fldCharType="end"/>
            </w:r>
          </w:p>
        </w:tc>
        <w:tc>
          <w:tcPr>
            <w:tcW w:w="2062" w:type="dxa"/>
            <w:shd w:val="clear" w:color="auto" w:fill="EEECE1"/>
          </w:tcPr>
          <w:p w:rsidR="008652FF" w:rsidRDefault="00C54643" w:rsidP="008652FF">
            <w:r w:rsidRPr="008B41E0">
              <w:rPr>
                <w:rFonts w:cs="Times New Roman"/>
                <w:b/>
                <w:sz w:val="22"/>
                <w:szCs w:val="22"/>
              </w:rPr>
              <w:lastRenderedPageBreak/>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8652FF" w:rsidRDefault="008652FF" w:rsidP="008652FF">
            <w:r w:rsidRPr="008652FF">
              <w:t>To be identified in the inception phase (2014)</w:t>
            </w:r>
          </w:p>
          <w:p w:rsidR="008652FF" w:rsidRDefault="008652FF" w:rsidP="008652FF"/>
          <w:p w:rsidR="008652FF" w:rsidRDefault="008652FF" w:rsidP="008652FF">
            <w:r w:rsidRPr="008652FF">
              <w:t>To be identified in the inception phase (2014)</w:t>
            </w:r>
          </w:p>
          <w:p w:rsidR="008652FF" w:rsidRDefault="008652FF" w:rsidP="008652FF"/>
          <w:p w:rsidR="008652FF" w:rsidRDefault="008652FF" w:rsidP="008652FF"/>
          <w:p w:rsidR="008652FF" w:rsidRDefault="008652FF" w:rsidP="008652FF">
            <w:r w:rsidRPr="008652FF">
              <w:t>To be identified in the inception phase (2014)</w:t>
            </w:r>
          </w:p>
          <w:p w:rsidR="008652FF" w:rsidRDefault="008652FF" w:rsidP="008652FF"/>
          <w:p w:rsidR="008652FF" w:rsidRDefault="008652FF" w:rsidP="008652FF"/>
          <w:p w:rsidR="008652FF" w:rsidRDefault="008652FF" w:rsidP="008652FF">
            <w:r w:rsidRPr="008652FF">
              <w:t>To be identified in the inception phase (2014)</w:t>
            </w:r>
          </w:p>
          <w:p w:rsidR="008652FF" w:rsidRDefault="008652FF" w:rsidP="008652FF"/>
          <w:p w:rsidR="008652FF" w:rsidRDefault="008652FF" w:rsidP="008652FF"/>
          <w:p w:rsidR="00C54643" w:rsidRDefault="008652FF" w:rsidP="008652FF">
            <w:r w:rsidRPr="008652FF">
              <w:t>To be identified in the inception phase (2014)</w:t>
            </w:r>
            <w:r w:rsidR="00C54643" w:rsidRPr="008B41E0">
              <w:rPr>
                <w:rFonts w:cs="Times New Roman"/>
                <w:b/>
                <w:sz w:val="22"/>
                <w:szCs w:val="22"/>
              </w:rPr>
              <w:fldChar w:fldCharType="end"/>
            </w:r>
          </w:p>
        </w:tc>
        <w:tc>
          <w:tcPr>
            <w:tcW w:w="2160" w:type="dxa"/>
            <w:shd w:val="clear" w:color="auto" w:fill="EEECE1"/>
          </w:tcPr>
          <w:p w:rsidR="008652FF" w:rsidRDefault="00C54643" w:rsidP="008652FF">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8652FF" w:rsidRPr="008652FF" w:rsidRDefault="008652FF" w:rsidP="008652FF">
            <w:r w:rsidRPr="008652FF">
              <w:t>10 youth plans</w:t>
            </w:r>
          </w:p>
          <w:p w:rsidR="008652FF" w:rsidRPr="008652FF" w:rsidRDefault="008652FF" w:rsidP="008652FF"/>
          <w:p w:rsidR="008652FF" w:rsidRPr="008652FF" w:rsidRDefault="008652FF" w:rsidP="008652FF"/>
          <w:p w:rsidR="008652FF" w:rsidRDefault="008652FF" w:rsidP="008652FF"/>
          <w:p w:rsidR="008652FF" w:rsidRPr="008652FF" w:rsidRDefault="008652FF" w:rsidP="008652FF">
            <w:r w:rsidRPr="008652FF">
              <w:t>at least 20</w:t>
            </w:r>
          </w:p>
          <w:p w:rsidR="008652FF" w:rsidRPr="008652FF" w:rsidRDefault="008652FF" w:rsidP="008652FF"/>
          <w:p w:rsidR="008652FF" w:rsidRPr="008652FF" w:rsidRDefault="008652FF" w:rsidP="008652FF"/>
          <w:p w:rsidR="008652FF" w:rsidRPr="008652FF" w:rsidRDefault="008652FF" w:rsidP="008652FF"/>
          <w:p w:rsidR="008652FF" w:rsidRPr="008652FF" w:rsidRDefault="008652FF" w:rsidP="008652FF"/>
          <w:p w:rsidR="008652FF" w:rsidRPr="008652FF" w:rsidRDefault="008652FF" w:rsidP="008652FF">
            <w:r w:rsidRPr="008652FF">
              <w:t>at least 400</w:t>
            </w:r>
          </w:p>
          <w:p w:rsidR="008652FF" w:rsidRPr="008652FF" w:rsidRDefault="008652FF" w:rsidP="008652FF"/>
          <w:p w:rsidR="008652FF" w:rsidRPr="008652FF" w:rsidRDefault="008652FF" w:rsidP="008652FF"/>
          <w:p w:rsidR="008652FF" w:rsidRPr="008652FF" w:rsidRDefault="008652FF" w:rsidP="008652FF"/>
          <w:p w:rsidR="008652FF" w:rsidRDefault="008652FF" w:rsidP="008652FF"/>
          <w:p w:rsidR="008652FF" w:rsidRPr="008652FF" w:rsidRDefault="008652FF" w:rsidP="008652FF">
            <w:r w:rsidRPr="008652FF">
              <w:t>at least 1,000</w:t>
            </w:r>
          </w:p>
          <w:p w:rsidR="008652FF" w:rsidRPr="008652FF" w:rsidRDefault="008652FF" w:rsidP="008652FF"/>
          <w:p w:rsidR="008652FF" w:rsidRPr="008652FF" w:rsidRDefault="008652FF" w:rsidP="008652FF"/>
          <w:p w:rsidR="008652FF" w:rsidRPr="008652FF" w:rsidRDefault="008652FF" w:rsidP="008652FF"/>
          <w:p w:rsidR="008652FF" w:rsidRDefault="008652FF" w:rsidP="008652FF"/>
          <w:p w:rsidR="00C54643" w:rsidRDefault="008652FF" w:rsidP="008652FF">
            <w:r w:rsidRPr="008652FF">
              <w:t>10 LSGs</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512"/>
        </w:trPr>
        <w:tc>
          <w:tcPr>
            <w:tcW w:w="1530" w:type="dxa"/>
            <w:vMerge w:val="restart"/>
          </w:tcPr>
          <w:p w:rsidR="00C54643" w:rsidRPr="00DF4C99" w:rsidRDefault="00C54643" w:rsidP="006C1B11">
            <w:pPr>
              <w:rPr>
                <w:b/>
              </w:rPr>
            </w:pPr>
          </w:p>
          <w:p w:rsidR="00C54643" w:rsidRDefault="00C54643" w:rsidP="006C1B11">
            <w:r w:rsidRPr="00D33A6D">
              <w:t>Output 2.2</w:t>
            </w:r>
          </w:p>
          <w:p w:rsidR="00C54643" w:rsidRPr="00D33A6D" w:rsidRDefault="00C54643" w:rsidP="002C51EB">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rsidRPr="00F3492E">
              <w:t>Indicator  2.2.1</w:t>
            </w:r>
          </w:p>
          <w:p w:rsidR="00C54643" w:rsidRPr="00F3492E" w:rsidRDefault="00C54643" w:rsidP="002C51EB">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Pr>
                <w:rFonts w:cs="Times New Roman"/>
                <w:b/>
                <w:sz w:val="22"/>
                <w:szCs w:val="22"/>
              </w:rPr>
              <w:fldChar w:fldCharType="end"/>
            </w:r>
          </w:p>
        </w:tc>
        <w:tc>
          <w:tcPr>
            <w:tcW w:w="2062" w:type="dxa"/>
            <w:shd w:val="clear" w:color="auto" w:fill="EEECE1"/>
          </w:tcPr>
          <w:p w:rsidR="006B1EA5" w:rsidRDefault="00C54643" w:rsidP="002D4364">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C54643" w:rsidRDefault="00C54643" w:rsidP="002D4364">
            <w:r w:rsidRPr="008B41E0">
              <w:rPr>
                <w:rFonts w:cs="Times New Roman"/>
                <w:b/>
                <w:sz w:val="22"/>
                <w:szCs w:val="22"/>
              </w:rPr>
              <w:fldChar w:fldCharType="end"/>
            </w:r>
          </w:p>
        </w:tc>
        <w:tc>
          <w:tcPr>
            <w:tcW w:w="2160" w:type="dxa"/>
            <w:shd w:val="clear" w:color="auto" w:fill="EEECE1"/>
          </w:tcPr>
          <w:p w:rsidR="006B1EA5" w:rsidRDefault="00C54643" w:rsidP="002D4364">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C54643" w:rsidP="002C51EB">
            <w:r w:rsidRPr="00A9625C">
              <w:rPr>
                <w:rFonts w:cs="Times New Roman"/>
                <w:b/>
                <w:sz w:val="22"/>
                <w:szCs w:val="22"/>
              </w:rPr>
              <w:fldChar w:fldCharType="end"/>
            </w:r>
          </w:p>
        </w:tc>
        <w:tc>
          <w:tcPr>
            <w:tcW w:w="2430" w:type="dxa"/>
          </w:tcPr>
          <w:p w:rsidR="00C54643" w:rsidRDefault="00C54643" w:rsidP="002C51E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6B1EA5" w:rsidRPr="006B1EA5">
              <w:t>s</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58"/>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2.2.2</w:t>
            </w:r>
          </w:p>
          <w:p w:rsidR="00C54643" w:rsidRPr="00F3492E" w:rsidRDefault="00C54643" w:rsidP="002C51EB">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D4364">
              <w:t xml:space="preserve">                     </w:t>
            </w:r>
            <w:r>
              <w:rPr>
                <w:rFonts w:cs="Times New Roman"/>
                <w:b/>
                <w:sz w:val="22"/>
                <w:szCs w:val="22"/>
              </w:rPr>
              <w:fldChar w:fldCharType="end"/>
            </w:r>
          </w:p>
        </w:tc>
        <w:tc>
          <w:tcPr>
            <w:tcW w:w="2062" w:type="dxa"/>
            <w:shd w:val="clear" w:color="auto" w:fill="EEECE1"/>
          </w:tcPr>
          <w:p w:rsidR="00C54643" w:rsidRDefault="00C54643" w:rsidP="002C51E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Pr="00A850BD">
              <w:rPr>
                <w:rFonts w:cs="Times New Roman"/>
                <w:b/>
                <w:sz w:val="22"/>
                <w:szCs w:val="22"/>
              </w:rPr>
              <w:fldChar w:fldCharType="end"/>
            </w:r>
          </w:p>
        </w:tc>
        <w:tc>
          <w:tcPr>
            <w:tcW w:w="2160" w:type="dxa"/>
            <w:shd w:val="clear" w:color="auto" w:fill="EEECE1"/>
          </w:tcPr>
          <w:p w:rsidR="002D4364"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rsidR="002D4364" w:rsidRDefault="002D4364" w:rsidP="002D4364"/>
          <w:p w:rsidR="00C54643" w:rsidRDefault="00C54643" w:rsidP="002D4364">
            <w:r w:rsidRPr="00A850BD">
              <w:rPr>
                <w:rFonts w:cs="Times New Roman"/>
                <w:b/>
                <w:sz w:val="22"/>
                <w:szCs w:val="22"/>
              </w:rPr>
              <w:fldChar w:fldCharType="end"/>
            </w:r>
          </w:p>
        </w:tc>
        <w:tc>
          <w:tcPr>
            <w:tcW w:w="2430" w:type="dxa"/>
          </w:tcPr>
          <w:p w:rsidR="00C54643" w:rsidRDefault="00C54643" w:rsidP="002C51E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002C51EB">
              <w:rPr>
                <w:rFonts w:cs="Times New Roman"/>
                <w:b/>
                <w:sz w:val="22"/>
                <w:szCs w:val="22"/>
              </w:rPr>
              <w:t> </w:t>
            </w:r>
            <w:r w:rsidRPr="00A850BD">
              <w:rPr>
                <w:rFonts w:cs="Times New Roman"/>
                <w:b/>
                <w:sz w:val="22"/>
                <w:szCs w:val="22"/>
              </w:rPr>
              <w:fldChar w:fldCharType="end"/>
            </w:r>
          </w:p>
        </w:tc>
        <w:tc>
          <w:tcPr>
            <w:tcW w:w="2888" w:type="dxa"/>
          </w:tcPr>
          <w:p w:rsidR="006B1EA5" w:rsidRDefault="00C54643" w:rsidP="006B1EA5">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rsidR="00C54643" w:rsidRDefault="00C54643" w:rsidP="006B1EA5">
            <w:r w:rsidRPr="00A850BD">
              <w:rPr>
                <w:rFonts w:cs="Times New Roman"/>
                <w:b/>
                <w:sz w:val="22"/>
                <w:szCs w:val="22"/>
              </w:rPr>
              <w:fldChar w:fldCharType="end"/>
            </w:r>
          </w:p>
        </w:tc>
        <w:tc>
          <w:tcPr>
            <w:tcW w:w="2078" w:type="dxa"/>
          </w:tcPr>
          <w:p w:rsidR="006B1EA5" w:rsidRDefault="00C54643" w:rsidP="006B1EA5">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rsidR="00C54643" w:rsidRDefault="00C54643" w:rsidP="006B1EA5">
            <w:r w:rsidRPr="00A850BD">
              <w:rPr>
                <w:rFonts w:cs="Times New Roman"/>
                <w:b/>
                <w:sz w:val="22"/>
                <w:szCs w:val="22"/>
              </w:rPr>
              <w:fldChar w:fldCharType="end"/>
            </w:r>
          </w:p>
        </w:tc>
      </w:tr>
      <w:tr w:rsidR="00385C3F" w:rsidRPr="007D00E3" w:rsidTr="00511429">
        <w:trPr>
          <w:trHeight w:val="458"/>
        </w:trPr>
        <w:tc>
          <w:tcPr>
            <w:tcW w:w="1530" w:type="dxa"/>
            <w:vMerge w:val="restart"/>
          </w:tcPr>
          <w:p w:rsidR="00385C3F" w:rsidRPr="00DF4C99" w:rsidRDefault="00385C3F" w:rsidP="00511429">
            <w:pPr>
              <w:rPr>
                <w:b/>
              </w:rPr>
            </w:pPr>
          </w:p>
          <w:p w:rsidR="00385C3F" w:rsidRDefault="00385C3F" w:rsidP="00511429">
            <w:r>
              <w:t>Output 2.3</w:t>
            </w:r>
          </w:p>
          <w:p w:rsidR="00385C3F" w:rsidRPr="00D33A6D" w:rsidRDefault="00385C3F" w:rsidP="009C7F8A">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C7F8A" w:rsidRPr="009C7F8A">
              <w:rPr>
                <w:rFonts w:cs="Times New Roman"/>
                <w:b/>
                <w:sz w:val="22"/>
                <w:szCs w:val="22"/>
              </w:rPr>
              <w:t>Youth have improved and more equal access to economic opportunitie</w:t>
            </w:r>
            <w:r w:rsidR="009C7F8A">
              <w:rPr>
                <w:rFonts w:cs="Times New Roman"/>
                <w:b/>
                <w:sz w:val="22"/>
                <w:szCs w:val="22"/>
              </w:rPr>
              <w:t>s</w:t>
            </w:r>
            <w:r>
              <w:rPr>
                <w:rFonts w:cs="Times New Roman"/>
                <w:b/>
                <w:sz w:val="22"/>
                <w:szCs w:val="22"/>
              </w:rPr>
              <w:fldChar w:fldCharType="end"/>
            </w:r>
          </w:p>
        </w:tc>
        <w:tc>
          <w:tcPr>
            <w:tcW w:w="1980" w:type="dxa"/>
            <w:shd w:val="clear" w:color="auto" w:fill="EEECE1"/>
          </w:tcPr>
          <w:p w:rsidR="00385C3F" w:rsidRDefault="00385C3F" w:rsidP="00511429">
            <w:pPr>
              <w:jc w:val="both"/>
            </w:pPr>
            <w:r>
              <w:t>Indicator  2.3</w:t>
            </w:r>
            <w:r w:rsidRPr="00F3492E">
              <w:t>.1</w:t>
            </w:r>
          </w:p>
          <w:p w:rsidR="00385C3F" w:rsidRPr="00F3492E" w:rsidRDefault="00385C3F" w:rsidP="009C7F8A">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C7F8A" w:rsidRPr="009C7F8A">
              <w:rPr>
                <w:rFonts w:cs="Times New Roman"/>
                <w:b/>
                <w:noProof/>
                <w:sz w:val="22"/>
                <w:szCs w:val="22"/>
              </w:rPr>
              <w:t># of young women &amp; men trained/</w:t>
            </w:r>
            <w:r w:rsidR="009C7F8A">
              <w:rPr>
                <w:rFonts w:cs="Times New Roman"/>
                <w:b/>
                <w:noProof/>
                <w:sz w:val="22"/>
                <w:szCs w:val="22"/>
              </w:rPr>
              <w:t xml:space="preserve"> </w:t>
            </w:r>
            <w:r w:rsidR="009C7F8A" w:rsidRPr="009C7F8A">
              <w:rPr>
                <w:rFonts w:cs="Times New Roman"/>
                <w:b/>
                <w:noProof/>
                <w:sz w:val="22"/>
                <w:szCs w:val="22"/>
              </w:rPr>
              <w:t>mentored</w:t>
            </w:r>
            <w:r>
              <w:rPr>
                <w:rFonts w:cs="Times New Roman"/>
                <w:b/>
                <w:sz w:val="22"/>
                <w:szCs w:val="22"/>
              </w:rPr>
              <w:fldChar w:fldCharType="end"/>
            </w:r>
          </w:p>
        </w:tc>
        <w:tc>
          <w:tcPr>
            <w:tcW w:w="2062" w:type="dxa"/>
            <w:shd w:val="clear" w:color="auto" w:fill="EEECE1"/>
          </w:tcPr>
          <w:p w:rsidR="009C7F8A" w:rsidRDefault="00385C3F" w:rsidP="009C7F8A">
            <w:pPr>
              <w:rPr>
                <w:rFonts w:cs="Times New Roman"/>
                <w:b/>
                <w:noProof/>
                <w:sz w:val="22"/>
                <w:szCs w:val="22"/>
              </w:rPr>
            </w:pPr>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385C3F" w:rsidRDefault="009C7F8A" w:rsidP="009C7F8A">
            <w:r w:rsidRPr="009C7F8A">
              <w:rPr>
                <w:rFonts w:cs="Times New Roman"/>
                <w:b/>
                <w:noProof/>
                <w:sz w:val="22"/>
                <w:szCs w:val="22"/>
              </w:rPr>
              <w:t>To be identified in the inception phase (2014)</w:t>
            </w:r>
            <w:r w:rsidR="00385C3F" w:rsidRPr="008B41E0">
              <w:rPr>
                <w:rFonts w:cs="Times New Roman"/>
                <w:b/>
                <w:sz w:val="22"/>
                <w:szCs w:val="22"/>
              </w:rPr>
              <w:fldChar w:fldCharType="end"/>
            </w:r>
          </w:p>
        </w:tc>
        <w:tc>
          <w:tcPr>
            <w:tcW w:w="2160" w:type="dxa"/>
            <w:shd w:val="clear" w:color="auto" w:fill="EEECE1"/>
          </w:tcPr>
          <w:p w:rsidR="009C7F8A" w:rsidRDefault="00385C3F" w:rsidP="009C7F8A">
            <w:pPr>
              <w:rPr>
                <w:rFonts w:cs="Times New Roman"/>
                <w:b/>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385C3F" w:rsidRDefault="009C7F8A" w:rsidP="009C7F8A">
            <w:r w:rsidRPr="009C7F8A">
              <w:rPr>
                <w:rFonts w:cs="Times New Roman"/>
                <w:b/>
                <w:noProof/>
                <w:sz w:val="22"/>
                <w:szCs w:val="22"/>
              </w:rPr>
              <w:t>at least 3,000</w:t>
            </w:r>
            <w:r w:rsidR="00385C3F" w:rsidRPr="00A9625C">
              <w:rPr>
                <w:rFonts w:cs="Times New Roman"/>
                <w:b/>
                <w:sz w:val="22"/>
                <w:szCs w:val="22"/>
              </w:rPr>
              <w:fldChar w:fldCharType="end"/>
            </w:r>
          </w:p>
        </w:tc>
        <w:tc>
          <w:tcPr>
            <w:tcW w:w="2430" w:type="dxa"/>
          </w:tcPr>
          <w:p w:rsidR="006B1EA5" w:rsidRDefault="00385C3F"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385C3F" w:rsidRDefault="006B1EA5" w:rsidP="006B1EA5">
            <w:r w:rsidRPr="006B1EA5">
              <w:t>Too early to measure indicator progress</w:t>
            </w:r>
            <w:r w:rsidR="00385C3F" w:rsidRPr="00A9625C">
              <w:rPr>
                <w:rFonts w:cs="Times New Roman"/>
                <w:b/>
                <w:sz w:val="22"/>
                <w:szCs w:val="22"/>
              </w:rPr>
              <w:fldChar w:fldCharType="end"/>
            </w:r>
          </w:p>
        </w:tc>
        <w:tc>
          <w:tcPr>
            <w:tcW w:w="2888"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385C3F" w:rsidRPr="007D00E3" w:rsidTr="00123B4F">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2.3</w:t>
            </w:r>
            <w:r w:rsidRPr="00F3492E">
              <w:t>.2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val="restart"/>
          </w:tcPr>
          <w:p w:rsidR="00C54643" w:rsidRDefault="00C54643" w:rsidP="006C1B11">
            <w:pPr>
              <w:rPr>
                <w:b/>
              </w:rPr>
            </w:pPr>
            <w:r>
              <w:rPr>
                <w:b/>
              </w:rPr>
              <w:t>Outcome 3</w:t>
            </w:r>
          </w:p>
          <w:p w:rsidR="00C54643" w:rsidRPr="00DF4C99" w:rsidRDefault="00C54643" w:rsidP="009C7F8A">
            <w:pPr>
              <w:rPr>
                <w:b/>
              </w:rPr>
            </w:pPr>
            <w:r>
              <w:rPr>
                <w:rFonts w:cs="Times New Roman"/>
                <w:b/>
                <w:sz w:val="22"/>
                <w:szCs w:val="22"/>
              </w:rPr>
              <w:lastRenderedPageBreak/>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t>n</w:t>
            </w:r>
            <w:r w:rsidR="009C7F8A">
              <w:t>/</w:t>
            </w:r>
            <w:r w:rsidR="00F2289B">
              <w:t>a</w:t>
            </w:r>
            <w:r>
              <w:rPr>
                <w:rFonts w:cs="Times New Roman"/>
                <w:b/>
                <w:sz w:val="22"/>
                <w:szCs w:val="22"/>
              </w:rPr>
              <w:fldChar w:fldCharType="end"/>
            </w:r>
          </w:p>
        </w:tc>
        <w:tc>
          <w:tcPr>
            <w:tcW w:w="1980" w:type="dxa"/>
            <w:shd w:val="clear" w:color="auto" w:fill="EEECE1"/>
          </w:tcPr>
          <w:p w:rsidR="00C54643" w:rsidRDefault="00C54643" w:rsidP="006C1B11">
            <w:pPr>
              <w:jc w:val="both"/>
            </w:pPr>
            <w:r>
              <w:lastRenderedPageBreak/>
              <w:t>Indicator 3.1</w:t>
            </w:r>
          </w:p>
          <w:p w:rsidR="00C54643" w:rsidRPr="00F3492E" w:rsidRDefault="00C54643" w:rsidP="00F2289B">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160" w:type="dxa"/>
            <w:shd w:val="clear" w:color="auto" w:fill="EEECE1"/>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430" w:type="dxa"/>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888" w:type="dxa"/>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078" w:type="dxa"/>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tcPr>
          <w:p w:rsidR="00C54643" w:rsidRPr="00CC0EED" w:rsidRDefault="00C54643" w:rsidP="006C1B11"/>
        </w:tc>
        <w:tc>
          <w:tcPr>
            <w:tcW w:w="1980" w:type="dxa"/>
            <w:shd w:val="clear" w:color="auto" w:fill="EEECE1"/>
          </w:tcPr>
          <w:p w:rsidR="00C54643" w:rsidRDefault="00C54643" w:rsidP="006C1B11">
            <w:pPr>
              <w:jc w:val="both"/>
            </w:pPr>
            <w:r>
              <w:t>Indicator 3.2</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val="restart"/>
          </w:tcPr>
          <w:p w:rsidR="00C54643" w:rsidRDefault="00C54643" w:rsidP="006C1B11">
            <w:r w:rsidRPr="00CC0EED">
              <w:lastRenderedPageBreak/>
              <w:t>Output 3.1</w:t>
            </w:r>
          </w:p>
          <w:p w:rsidR="00C54643" w:rsidRPr="00CC0EED" w:rsidRDefault="00C54643" w:rsidP="00F2289B">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t>Indicator 3.1.1</w:t>
            </w:r>
          </w:p>
          <w:p w:rsidR="00C54643" w:rsidRPr="00F3492E" w:rsidRDefault="00C54643" w:rsidP="00F2289B">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160" w:type="dxa"/>
            <w:shd w:val="clear" w:color="auto" w:fill="EEECE1"/>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430" w:type="dxa"/>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888"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078"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tcPr>
          <w:p w:rsidR="00C54643" w:rsidRPr="00CC0EED" w:rsidRDefault="00C54643" w:rsidP="006C1B11"/>
        </w:tc>
        <w:tc>
          <w:tcPr>
            <w:tcW w:w="1980" w:type="dxa"/>
            <w:shd w:val="clear" w:color="auto" w:fill="EEECE1"/>
          </w:tcPr>
          <w:p w:rsidR="00C54643" w:rsidRDefault="00C54643" w:rsidP="006C1B11">
            <w:pPr>
              <w:jc w:val="both"/>
            </w:pPr>
            <w:r>
              <w:t>Indicator 3.1.2</w:t>
            </w:r>
          </w:p>
          <w:p w:rsidR="00C54643" w:rsidRPr="00F3492E" w:rsidRDefault="00C54643" w:rsidP="00F2289B">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bookmarkStart w:id="7" w:name="_GoBack"/>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bookmarkEnd w:id="7"/>
            <w:r>
              <w:rPr>
                <w:rFonts w:cs="Times New Roman"/>
                <w:b/>
                <w:sz w:val="22"/>
                <w:szCs w:val="22"/>
              </w:rPr>
              <w:fldChar w:fldCharType="end"/>
            </w:r>
          </w:p>
        </w:tc>
        <w:tc>
          <w:tcPr>
            <w:tcW w:w="2062" w:type="dxa"/>
            <w:shd w:val="clear" w:color="auto" w:fill="EEECE1"/>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160" w:type="dxa"/>
            <w:shd w:val="clear" w:color="auto" w:fill="EEECE1"/>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430"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888"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078"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val="restart"/>
          </w:tcPr>
          <w:p w:rsidR="00C54643" w:rsidRDefault="00C54643" w:rsidP="006C1B11">
            <w:r w:rsidRPr="00CC0EED">
              <w:t>Output 3.2</w:t>
            </w:r>
          </w:p>
          <w:p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t>Indicator 3.2.1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t>Indicator 3.2.2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r w:rsidRPr="00CC0EED">
              <w:t>Output 3.</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3.3.1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3.3.2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pPr>
              <w:rPr>
                <w:b/>
              </w:rPr>
            </w:pPr>
            <w:r>
              <w:rPr>
                <w:b/>
              </w:rPr>
              <w:t>Outcome 4</w:t>
            </w:r>
          </w:p>
          <w:p w:rsidR="00385C3F" w:rsidRPr="00DF4C99" w:rsidRDefault="00385C3F" w:rsidP="002D4364">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CC0EED" w:rsidRDefault="00385C3F" w:rsidP="00511429"/>
        </w:tc>
        <w:tc>
          <w:tcPr>
            <w:tcW w:w="1980" w:type="dxa"/>
            <w:shd w:val="clear" w:color="auto" w:fill="EEECE1"/>
          </w:tcPr>
          <w:p w:rsidR="00385C3F" w:rsidRDefault="00385C3F" w:rsidP="00511429">
            <w:pPr>
              <w:jc w:val="both"/>
            </w:pPr>
            <w:r>
              <w:t>Indicator 4.2</w:t>
            </w:r>
          </w:p>
          <w:p w:rsidR="00385C3F"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r w:rsidRPr="00CC0EED">
              <w:t xml:space="preserve">Output </w:t>
            </w:r>
            <w:r>
              <w:t>4</w:t>
            </w:r>
            <w:r w:rsidRPr="00CC0EED">
              <w:t>.1</w:t>
            </w:r>
          </w:p>
          <w:p w:rsidR="00385C3F" w:rsidRPr="00CC0EED" w:rsidRDefault="00385C3F" w:rsidP="00444CCE">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444CCE">
              <w:rPr>
                <w:rFonts w:cs="Times New Roman"/>
                <w:b/>
                <w:sz w:val="22"/>
                <w:szCs w:val="22"/>
              </w:rPr>
              <w:t> </w:t>
            </w:r>
            <w:r w:rsidR="00444CCE">
              <w:rPr>
                <w:rFonts w:cs="Times New Roman"/>
                <w:b/>
                <w:sz w:val="22"/>
                <w:szCs w:val="22"/>
              </w:rPr>
              <w:t> </w:t>
            </w:r>
            <w:r w:rsidR="00444CCE">
              <w:rPr>
                <w:rFonts w:cs="Times New Roman"/>
                <w:b/>
                <w:sz w:val="22"/>
                <w:szCs w:val="22"/>
              </w:rPr>
              <w:t> </w:t>
            </w:r>
            <w:r w:rsidR="00444CCE">
              <w:rPr>
                <w:rFonts w:cs="Times New Roman"/>
                <w:b/>
                <w:sz w:val="22"/>
                <w:szCs w:val="22"/>
              </w:rPr>
              <w:t> </w:t>
            </w:r>
            <w:r w:rsidR="00444CCE">
              <w:rPr>
                <w:rFonts w:cs="Times New Roman"/>
                <w:b/>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4.1.1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CC0EED" w:rsidRDefault="00385C3F" w:rsidP="00511429"/>
        </w:tc>
        <w:tc>
          <w:tcPr>
            <w:tcW w:w="1980" w:type="dxa"/>
            <w:shd w:val="clear" w:color="auto" w:fill="EEECE1"/>
          </w:tcPr>
          <w:p w:rsidR="00385C3F" w:rsidRDefault="00385C3F" w:rsidP="00511429">
            <w:pPr>
              <w:jc w:val="both"/>
            </w:pPr>
            <w:r>
              <w:t>Indicator 4.1.2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r w:rsidRPr="00CC0EED">
              <w:t xml:space="preserve">Output </w:t>
            </w:r>
            <w:r>
              <w:t>4</w:t>
            </w:r>
            <w:r w:rsidRPr="00CC0EED">
              <w:t>.2</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4.2.1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4.2.2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123B4F">
        <w:trPr>
          <w:trHeight w:val="458"/>
        </w:trPr>
        <w:tc>
          <w:tcPr>
            <w:tcW w:w="1530" w:type="dxa"/>
            <w:vMerge w:val="restart"/>
          </w:tcPr>
          <w:p w:rsidR="00385C3F" w:rsidRDefault="00385C3F" w:rsidP="00511429">
            <w:r>
              <w:t>Output 4</w:t>
            </w:r>
            <w:r w:rsidRPr="00CC0EED">
              <w:t>.</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123B4F">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4.3.2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52" w:rsidRDefault="00C94E52">
      <w:r>
        <w:separator/>
      </w:r>
    </w:p>
  </w:endnote>
  <w:endnote w:type="continuationSeparator" w:id="0">
    <w:p w:rsidR="00C94E52" w:rsidRDefault="00C9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52" w:rsidRDefault="00C94E52"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E52" w:rsidRDefault="00C94E52" w:rsidP="00A540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52" w:rsidRDefault="00C94E52"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1EB">
      <w:rPr>
        <w:rStyle w:val="PageNumber"/>
        <w:noProof/>
      </w:rPr>
      <w:t>1</w:t>
    </w:r>
    <w:r>
      <w:rPr>
        <w:rStyle w:val="PageNumber"/>
      </w:rPr>
      <w:fldChar w:fldCharType="end"/>
    </w:r>
  </w:p>
  <w:p w:rsidR="00C94E52" w:rsidRDefault="00C94E52" w:rsidP="00A540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52" w:rsidRDefault="00C94E52">
      <w:r>
        <w:separator/>
      </w:r>
    </w:p>
  </w:footnote>
  <w:footnote w:type="continuationSeparator" w:id="0">
    <w:p w:rsidR="00C94E52" w:rsidRDefault="00C94E52">
      <w:r>
        <w:continuationSeparator/>
      </w:r>
    </w:p>
  </w:footnote>
  <w:footnote w:id="1">
    <w:p w:rsidR="00C94E52" w:rsidRPr="00CC0EED" w:rsidRDefault="00C94E52">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C94E52" w:rsidRPr="00CC0EED" w:rsidRDefault="00C94E52">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rsidR="00C94E52" w:rsidRPr="00CC0EED" w:rsidRDefault="00C94E52"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C94E52" w:rsidRPr="00CC0EED" w:rsidRDefault="00C94E52" w:rsidP="006C1B11">
      <w:pPr>
        <w:jc w:val="both"/>
        <w:outlineLvl w:val="0"/>
        <w:rPr>
          <w:sz w:val="16"/>
          <w:szCs w:val="16"/>
        </w:rPr>
      </w:pPr>
      <w:r>
        <w:rPr>
          <w:rStyle w:val="FootnoteReference"/>
          <w:sz w:val="16"/>
          <w:szCs w:val="16"/>
        </w:rPr>
        <w:t>4</w:t>
      </w:r>
      <w:r w:rsidRPr="00CC0EED">
        <w:rPr>
          <w:sz w:val="16"/>
          <w:szCs w:val="16"/>
        </w:rPr>
        <w:t xml:space="preserve"> Actual payments (contracts, services, works) made on commitments.  </w:t>
      </w:r>
    </w:p>
    <w:p w:rsidR="00C94E52" w:rsidRPr="00CC0EED" w:rsidRDefault="00C94E52" w:rsidP="00F05D7B">
      <w:pPr>
        <w:pStyle w:val="FootnoteText"/>
        <w:rPr>
          <w:sz w:val="16"/>
          <w:szCs w:val="16"/>
        </w:rPr>
      </w:pPr>
      <w:r w:rsidRPr="00CC0EED">
        <w:rPr>
          <w:sz w:val="16"/>
          <w:szCs w:val="16"/>
          <w:lang w:val="en-US"/>
        </w:rPr>
        <w:t xml:space="preserve">5 </w:t>
      </w:r>
      <w:r w:rsidRPr="00CC0EED">
        <w:rPr>
          <w:sz w:val="16"/>
          <w:szCs w:val="16"/>
        </w:rPr>
        <w:t>PBF focus areas are:</w:t>
      </w:r>
    </w:p>
    <w:p w:rsidR="00C94E52" w:rsidRPr="00CC0EED" w:rsidRDefault="00C94E52" w:rsidP="00F05D7B">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rsidR="00C94E52" w:rsidRPr="002E5993" w:rsidRDefault="00C94E52" w:rsidP="00F05D7B">
      <w:pPr>
        <w:pStyle w:val="FootnoteText"/>
        <w:rPr>
          <w:sz w:val="16"/>
          <w:szCs w:val="16"/>
          <w:lang w:val="fr-FR"/>
        </w:rPr>
      </w:pPr>
      <w:r w:rsidRPr="002E5993">
        <w:rPr>
          <w:sz w:val="16"/>
          <w:szCs w:val="16"/>
          <w:lang w:val="fr-FR"/>
        </w:rPr>
        <w:t xml:space="preserve">(1.1) </w:t>
      </w:r>
      <w:r w:rsidRPr="002E5993">
        <w:rPr>
          <w:bCs/>
          <w:sz w:val="16"/>
          <w:szCs w:val="16"/>
          <w:lang w:val="fr-FR"/>
        </w:rPr>
        <w:t xml:space="preserve">SSR, </w:t>
      </w:r>
      <w:r w:rsidRPr="002E5993">
        <w:rPr>
          <w:sz w:val="16"/>
          <w:szCs w:val="16"/>
          <w:lang w:val="fr-FR"/>
        </w:rPr>
        <w:t xml:space="preserve"> (1.2)</w:t>
      </w:r>
      <w:r w:rsidRPr="002E5993">
        <w:rPr>
          <w:bCs/>
          <w:sz w:val="16"/>
          <w:szCs w:val="16"/>
          <w:lang w:val="fr-FR"/>
        </w:rPr>
        <w:t xml:space="preserve"> RoL</w:t>
      </w:r>
      <w:r w:rsidRPr="002E5993">
        <w:rPr>
          <w:sz w:val="16"/>
          <w:szCs w:val="16"/>
          <w:lang w:val="fr-FR"/>
        </w:rPr>
        <w:t xml:space="preserve">; (1.3) DDR; (1.4) Political Dialogue; </w:t>
      </w:r>
    </w:p>
    <w:p w:rsidR="00C94E52" w:rsidRPr="00CC0EED" w:rsidRDefault="00C94E52" w:rsidP="00F05D7B">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rsidR="00C94E52" w:rsidRPr="00CC0EED" w:rsidRDefault="00C94E52" w:rsidP="00F05D7B">
      <w:pPr>
        <w:pStyle w:val="FootnoteText"/>
        <w:rPr>
          <w:sz w:val="16"/>
          <w:szCs w:val="16"/>
        </w:rPr>
      </w:pPr>
      <w:r w:rsidRPr="00CC0EED">
        <w:rPr>
          <w:sz w:val="16"/>
          <w:szCs w:val="16"/>
        </w:rPr>
        <w:t xml:space="preserve">(2.1) National reconciliation; (2.1) Democratic Governance; (2.3) Management of natural resources; </w:t>
      </w:r>
    </w:p>
    <w:p w:rsidR="00C94E52" w:rsidRPr="00CC0EED" w:rsidRDefault="00C94E52" w:rsidP="00F05D7B">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rsidR="00C94E52" w:rsidRPr="00CC0EED" w:rsidRDefault="00C94E52" w:rsidP="00F05D7B">
      <w:pPr>
        <w:pStyle w:val="FootnoteText"/>
        <w:rPr>
          <w:sz w:val="16"/>
          <w:szCs w:val="16"/>
        </w:rPr>
      </w:pPr>
      <w:r w:rsidRPr="00CC0EED">
        <w:rPr>
          <w:sz w:val="16"/>
          <w:szCs w:val="16"/>
        </w:rPr>
        <w:t>(3.1) Short-term employment generation; (3.2) Sustainable livelihoods</w:t>
      </w:r>
    </w:p>
    <w:p w:rsidR="00C94E52" w:rsidRPr="00CC0EED" w:rsidRDefault="00C94E52" w:rsidP="00F05D7B">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rsidR="00C94E52" w:rsidRPr="00CC0EED" w:rsidRDefault="00C94E52" w:rsidP="00F05D7B">
      <w:pPr>
        <w:pStyle w:val="FootnoteText"/>
        <w:rPr>
          <w:sz w:val="16"/>
          <w:szCs w:val="16"/>
        </w:rPr>
      </w:pPr>
      <w:r w:rsidRPr="00CC0EED">
        <w:rPr>
          <w:bCs/>
          <w:sz w:val="16"/>
          <w:szCs w:val="16"/>
        </w:rPr>
        <w:t>(4.1) Public administration; (4.2) Public service delivery (including infrastructure)</w:t>
      </w:r>
      <w:r w:rsidRPr="00CC0EED">
        <w:rPr>
          <w:sz w:val="16"/>
          <w:szCs w:val="16"/>
        </w:rPr>
        <w:t>.</w:t>
      </w:r>
    </w:p>
    <w:p w:rsidR="00C94E52" w:rsidRPr="00132065" w:rsidRDefault="00C94E52" w:rsidP="00CC0EED">
      <w:pPr>
        <w:pStyle w:val="FootnoteText"/>
      </w:pPr>
    </w:p>
  </w:footnote>
  <w:footnote w:id="4">
    <w:p w:rsidR="00C94E52" w:rsidRPr="00132065" w:rsidRDefault="00C94E52" w:rsidP="006C1B11">
      <w:pPr>
        <w:pStyle w:val="FootnoteText"/>
        <w:rPr>
          <w:lang w:val="en-US"/>
        </w:rPr>
      </w:pPr>
    </w:p>
  </w:footnote>
  <w:footnote w:id="5">
    <w:p w:rsidR="00C94E52" w:rsidRPr="00190A73" w:rsidRDefault="00C94E52">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262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D5E8FD2"/>
    <w:lvl w:ilvl="0">
      <w:numFmt w:val="decimal"/>
      <w:lvlText w:val="*"/>
      <w:lvlJc w:val="left"/>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2"/>
  </w:num>
  <w:num w:numId="6">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9"/>
  </w:num>
  <w:num w:numId="8">
    <w:abstractNumId w:val="6"/>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KkbEGochqA+TbnK8o/9wcVTZ9A=" w:salt="WNLmCTwLjsB2MAhYN3wDf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0020D"/>
    <w:rsid w:val="00012AC4"/>
    <w:rsid w:val="00013ABE"/>
    <w:rsid w:val="00014AC7"/>
    <w:rsid w:val="00021D13"/>
    <w:rsid w:val="00030833"/>
    <w:rsid w:val="000427F4"/>
    <w:rsid w:val="000435E1"/>
    <w:rsid w:val="00044965"/>
    <w:rsid w:val="00056D4E"/>
    <w:rsid w:val="00075E34"/>
    <w:rsid w:val="000865F1"/>
    <w:rsid w:val="00092840"/>
    <w:rsid w:val="00095532"/>
    <w:rsid w:val="00096385"/>
    <w:rsid w:val="000A26AD"/>
    <w:rsid w:val="000B45E6"/>
    <w:rsid w:val="000D4837"/>
    <w:rsid w:val="000D7682"/>
    <w:rsid w:val="000D7883"/>
    <w:rsid w:val="000E0EC7"/>
    <w:rsid w:val="000E6C55"/>
    <w:rsid w:val="00110C5D"/>
    <w:rsid w:val="00116A91"/>
    <w:rsid w:val="00123B4F"/>
    <w:rsid w:val="00132065"/>
    <w:rsid w:val="00137EB9"/>
    <w:rsid w:val="00143D1B"/>
    <w:rsid w:val="00144A01"/>
    <w:rsid w:val="001512C4"/>
    <w:rsid w:val="00173ECA"/>
    <w:rsid w:val="00174E6B"/>
    <w:rsid w:val="00184CD2"/>
    <w:rsid w:val="00190A73"/>
    <w:rsid w:val="00191398"/>
    <w:rsid w:val="00191AD3"/>
    <w:rsid w:val="001977CE"/>
    <w:rsid w:val="001A2A5D"/>
    <w:rsid w:val="001C61B0"/>
    <w:rsid w:val="001C7060"/>
    <w:rsid w:val="001D57C2"/>
    <w:rsid w:val="001D7143"/>
    <w:rsid w:val="001E2EB3"/>
    <w:rsid w:val="001E3396"/>
    <w:rsid w:val="001E75AB"/>
    <w:rsid w:val="001F1904"/>
    <w:rsid w:val="001F453B"/>
    <w:rsid w:val="001F762C"/>
    <w:rsid w:val="00203EC6"/>
    <w:rsid w:val="002063DE"/>
    <w:rsid w:val="00210D22"/>
    <w:rsid w:val="002376E6"/>
    <w:rsid w:val="00241631"/>
    <w:rsid w:val="0025112D"/>
    <w:rsid w:val="002519F5"/>
    <w:rsid w:val="00293F4B"/>
    <w:rsid w:val="002977D0"/>
    <w:rsid w:val="002A2DF4"/>
    <w:rsid w:val="002A7578"/>
    <w:rsid w:val="002B38FA"/>
    <w:rsid w:val="002C31F6"/>
    <w:rsid w:val="002C37C8"/>
    <w:rsid w:val="002C51EB"/>
    <w:rsid w:val="002C5F9B"/>
    <w:rsid w:val="002C77D1"/>
    <w:rsid w:val="002D29E1"/>
    <w:rsid w:val="002D4364"/>
    <w:rsid w:val="002D53B1"/>
    <w:rsid w:val="002D6A0E"/>
    <w:rsid w:val="002D727B"/>
    <w:rsid w:val="002D7601"/>
    <w:rsid w:val="002D7C74"/>
    <w:rsid w:val="002E1CE2"/>
    <w:rsid w:val="002E208C"/>
    <w:rsid w:val="002E223F"/>
    <w:rsid w:val="002E5993"/>
    <w:rsid w:val="002E686E"/>
    <w:rsid w:val="003005BA"/>
    <w:rsid w:val="00335D95"/>
    <w:rsid w:val="00340D86"/>
    <w:rsid w:val="00352BD5"/>
    <w:rsid w:val="00363DA8"/>
    <w:rsid w:val="00374586"/>
    <w:rsid w:val="003757A8"/>
    <w:rsid w:val="00375913"/>
    <w:rsid w:val="00382635"/>
    <w:rsid w:val="00385C3F"/>
    <w:rsid w:val="00392194"/>
    <w:rsid w:val="003961FA"/>
    <w:rsid w:val="003B54DA"/>
    <w:rsid w:val="003C1095"/>
    <w:rsid w:val="003C2AB0"/>
    <w:rsid w:val="003E7A65"/>
    <w:rsid w:val="00400599"/>
    <w:rsid w:val="00404B54"/>
    <w:rsid w:val="004136E2"/>
    <w:rsid w:val="004141A0"/>
    <w:rsid w:val="004165C4"/>
    <w:rsid w:val="0042476D"/>
    <w:rsid w:val="0043302C"/>
    <w:rsid w:val="004359CD"/>
    <w:rsid w:val="00436939"/>
    <w:rsid w:val="004400F5"/>
    <w:rsid w:val="00440132"/>
    <w:rsid w:val="004411FC"/>
    <w:rsid w:val="00442896"/>
    <w:rsid w:val="00444CCE"/>
    <w:rsid w:val="004617D3"/>
    <w:rsid w:val="004678C1"/>
    <w:rsid w:val="00495391"/>
    <w:rsid w:val="004A5B30"/>
    <w:rsid w:val="004B3D32"/>
    <w:rsid w:val="004B4B20"/>
    <w:rsid w:val="004C0D69"/>
    <w:rsid w:val="004C1190"/>
    <w:rsid w:val="004C653B"/>
    <w:rsid w:val="004D5527"/>
    <w:rsid w:val="004D7CAA"/>
    <w:rsid w:val="004D7D52"/>
    <w:rsid w:val="004E38CF"/>
    <w:rsid w:val="004E6410"/>
    <w:rsid w:val="004F5AF6"/>
    <w:rsid w:val="00510044"/>
    <w:rsid w:val="00511429"/>
    <w:rsid w:val="005146A6"/>
    <w:rsid w:val="00521DFA"/>
    <w:rsid w:val="00522227"/>
    <w:rsid w:val="00525DC0"/>
    <w:rsid w:val="00535E20"/>
    <w:rsid w:val="00536D3B"/>
    <w:rsid w:val="00536D57"/>
    <w:rsid w:val="00544B11"/>
    <w:rsid w:val="00564D90"/>
    <w:rsid w:val="00567059"/>
    <w:rsid w:val="00575A6B"/>
    <w:rsid w:val="005825A1"/>
    <w:rsid w:val="005921EF"/>
    <w:rsid w:val="00592C2F"/>
    <w:rsid w:val="005A52B3"/>
    <w:rsid w:val="005A6802"/>
    <w:rsid w:val="005C114F"/>
    <w:rsid w:val="005D3179"/>
    <w:rsid w:val="005D4986"/>
    <w:rsid w:val="005E0931"/>
    <w:rsid w:val="005E2170"/>
    <w:rsid w:val="005E4E4A"/>
    <w:rsid w:val="005E7E27"/>
    <w:rsid w:val="005F1EF8"/>
    <w:rsid w:val="00600450"/>
    <w:rsid w:val="006137DD"/>
    <w:rsid w:val="006154D2"/>
    <w:rsid w:val="00616452"/>
    <w:rsid w:val="00625DE5"/>
    <w:rsid w:val="00627C33"/>
    <w:rsid w:val="00643B87"/>
    <w:rsid w:val="00646D24"/>
    <w:rsid w:val="00662BA1"/>
    <w:rsid w:val="00665D7A"/>
    <w:rsid w:val="00686354"/>
    <w:rsid w:val="006A57FB"/>
    <w:rsid w:val="006A7CC1"/>
    <w:rsid w:val="006B1EA5"/>
    <w:rsid w:val="006B72D0"/>
    <w:rsid w:val="006C1B11"/>
    <w:rsid w:val="006C27EA"/>
    <w:rsid w:val="006D0E72"/>
    <w:rsid w:val="006D27B1"/>
    <w:rsid w:val="006D2889"/>
    <w:rsid w:val="006D6FF6"/>
    <w:rsid w:val="006E3151"/>
    <w:rsid w:val="006E3F86"/>
    <w:rsid w:val="006F087D"/>
    <w:rsid w:val="006F4CC1"/>
    <w:rsid w:val="006F6DA0"/>
    <w:rsid w:val="006F7BDC"/>
    <w:rsid w:val="00702D37"/>
    <w:rsid w:val="00707494"/>
    <w:rsid w:val="00707F58"/>
    <w:rsid w:val="00714481"/>
    <w:rsid w:val="00714FE5"/>
    <w:rsid w:val="00721DE4"/>
    <w:rsid w:val="007246DC"/>
    <w:rsid w:val="00744727"/>
    <w:rsid w:val="0075400A"/>
    <w:rsid w:val="00772821"/>
    <w:rsid w:val="0078370F"/>
    <w:rsid w:val="007952C4"/>
    <w:rsid w:val="00797527"/>
    <w:rsid w:val="007A1C35"/>
    <w:rsid w:val="007B430A"/>
    <w:rsid w:val="007D167D"/>
    <w:rsid w:val="007D6A13"/>
    <w:rsid w:val="007E0630"/>
    <w:rsid w:val="007E0D7E"/>
    <w:rsid w:val="007E2A06"/>
    <w:rsid w:val="007E55C0"/>
    <w:rsid w:val="007E5DF3"/>
    <w:rsid w:val="007E7099"/>
    <w:rsid w:val="007F431F"/>
    <w:rsid w:val="008060F9"/>
    <w:rsid w:val="00806A8B"/>
    <w:rsid w:val="008119A2"/>
    <w:rsid w:val="00837D7F"/>
    <w:rsid w:val="00851B17"/>
    <w:rsid w:val="0085516E"/>
    <w:rsid w:val="0086448F"/>
    <w:rsid w:val="008652FF"/>
    <w:rsid w:val="008701E2"/>
    <w:rsid w:val="00870590"/>
    <w:rsid w:val="00872FF5"/>
    <w:rsid w:val="00884694"/>
    <w:rsid w:val="00897466"/>
    <w:rsid w:val="008A4275"/>
    <w:rsid w:val="008C1BE0"/>
    <w:rsid w:val="008C456F"/>
    <w:rsid w:val="008D2C49"/>
    <w:rsid w:val="008D4EF4"/>
    <w:rsid w:val="008D5521"/>
    <w:rsid w:val="008D6E2F"/>
    <w:rsid w:val="008E5BAB"/>
    <w:rsid w:val="008E7AB9"/>
    <w:rsid w:val="008F3667"/>
    <w:rsid w:val="00900057"/>
    <w:rsid w:val="009019B2"/>
    <w:rsid w:val="00912B0D"/>
    <w:rsid w:val="009220FD"/>
    <w:rsid w:val="00930D93"/>
    <w:rsid w:val="00934B57"/>
    <w:rsid w:val="00937667"/>
    <w:rsid w:val="0094344C"/>
    <w:rsid w:val="009473A2"/>
    <w:rsid w:val="00963A3D"/>
    <w:rsid w:val="00973165"/>
    <w:rsid w:val="009807C5"/>
    <w:rsid w:val="00984005"/>
    <w:rsid w:val="00994899"/>
    <w:rsid w:val="009961D3"/>
    <w:rsid w:val="009A26AA"/>
    <w:rsid w:val="009B6029"/>
    <w:rsid w:val="009C7F8A"/>
    <w:rsid w:val="009D62F0"/>
    <w:rsid w:val="009E16A8"/>
    <w:rsid w:val="009E40E6"/>
    <w:rsid w:val="009E5E7F"/>
    <w:rsid w:val="00A02B08"/>
    <w:rsid w:val="00A10B86"/>
    <w:rsid w:val="00A177B4"/>
    <w:rsid w:val="00A23AA2"/>
    <w:rsid w:val="00A24F45"/>
    <w:rsid w:val="00A54051"/>
    <w:rsid w:val="00A55520"/>
    <w:rsid w:val="00A5589E"/>
    <w:rsid w:val="00A6289C"/>
    <w:rsid w:val="00A70C6C"/>
    <w:rsid w:val="00A71369"/>
    <w:rsid w:val="00A72972"/>
    <w:rsid w:val="00A739FF"/>
    <w:rsid w:val="00A76F5F"/>
    <w:rsid w:val="00A8085B"/>
    <w:rsid w:val="00AA5C9E"/>
    <w:rsid w:val="00AB28B1"/>
    <w:rsid w:val="00AD2D0D"/>
    <w:rsid w:val="00AD637E"/>
    <w:rsid w:val="00AF1BE0"/>
    <w:rsid w:val="00B01AC3"/>
    <w:rsid w:val="00B0317B"/>
    <w:rsid w:val="00B127F2"/>
    <w:rsid w:val="00B139A3"/>
    <w:rsid w:val="00B20899"/>
    <w:rsid w:val="00B21324"/>
    <w:rsid w:val="00B272FD"/>
    <w:rsid w:val="00B46145"/>
    <w:rsid w:val="00B5560A"/>
    <w:rsid w:val="00B67574"/>
    <w:rsid w:val="00B92499"/>
    <w:rsid w:val="00B928C8"/>
    <w:rsid w:val="00B95203"/>
    <w:rsid w:val="00BA40EC"/>
    <w:rsid w:val="00BA4DB4"/>
    <w:rsid w:val="00BA50CC"/>
    <w:rsid w:val="00BB2676"/>
    <w:rsid w:val="00BB5393"/>
    <w:rsid w:val="00BC0233"/>
    <w:rsid w:val="00BD0981"/>
    <w:rsid w:val="00BD1934"/>
    <w:rsid w:val="00BD1B96"/>
    <w:rsid w:val="00BE1D65"/>
    <w:rsid w:val="00BE7B5E"/>
    <w:rsid w:val="00BF3FD2"/>
    <w:rsid w:val="00C00EF9"/>
    <w:rsid w:val="00C10D0C"/>
    <w:rsid w:val="00C123BB"/>
    <w:rsid w:val="00C230C6"/>
    <w:rsid w:val="00C3296E"/>
    <w:rsid w:val="00C3536F"/>
    <w:rsid w:val="00C3631B"/>
    <w:rsid w:val="00C42544"/>
    <w:rsid w:val="00C42A9D"/>
    <w:rsid w:val="00C5228F"/>
    <w:rsid w:val="00C531CB"/>
    <w:rsid w:val="00C54643"/>
    <w:rsid w:val="00C61A63"/>
    <w:rsid w:val="00C623E0"/>
    <w:rsid w:val="00C64837"/>
    <w:rsid w:val="00C865E9"/>
    <w:rsid w:val="00C94E52"/>
    <w:rsid w:val="00CA49EB"/>
    <w:rsid w:val="00CC0EED"/>
    <w:rsid w:val="00CD6669"/>
    <w:rsid w:val="00CF4802"/>
    <w:rsid w:val="00D01718"/>
    <w:rsid w:val="00D035FC"/>
    <w:rsid w:val="00D171EA"/>
    <w:rsid w:val="00D33A6D"/>
    <w:rsid w:val="00D43493"/>
    <w:rsid w:val="00D45676"/>
    <w:rsid w:val="00D501C6"/>
    <w:rsid w:val="00D76427"/>
    <w:rsid w:val="00D81843"/>
    <w:rsid w:val="00D86549"/>
    <w:rsid w:val="00D95E36"/>
    <w:rsid w:val="00DB2E7B"/>
    <w:rsid w:val="00DB3A52"/>
    <w:rsid w:val="00DC060C"/>
    <w:rsid w:val="00DC2D66"/>
    <w:rsid w:val="00DD3F57"/>
    <w:rsid w:val="00DE28A0"/>
    <w:rsid w:val="00DE4728"/>
    <w:rsid w:val="00DF2DD5"/>
    <w:rsid w:val="00DF782D"/>
    <w:rsid w:val="00DF7898"/>
    <w:rsid w:val="00E12B33"/>
    <w:rsid w:val="00E3059E"/>
    <w:rsid w:val="00E35FEE"/>
    <w:rsid w:val="00E41377"/>
    <w:rsid w:val="00E4425C"/>
    <w:rsid w:val="00E51726"/>
    <w:rsid w:val="00E71AFA"/>
    <w:rsid w:val="00E7332A"/>
    <w:rsid w:val="00E773C5"/>
    <w:rsid w:val="00E86307"/>
    <w:rsid w:val="00E92010"/>
    <w:rsid w:val="00E927A2"/>
    <w:rsid w:val="00E9630E"/>
    <w:rsid w:val="00EA3D29"/>
    <w:rsid w:val="00EB11A7"/>
    <w:rsid w:val="00EB1C3E"/>
    <w:rsid w:val="00EB4AF6"/>
    <w:rsid w:val="00EC161B"/>
    <w:rsid w:val="00EC6055"/>
    <w:rsid w:val="00EF0836"/>
    <w:rsid w:val="00EF585F"/>
    <w:rsid w:val="00F05D7B"/>
    <w:rsid w:val="00F0608D"/>
    <w:rsid w:val="00F209F5"/>
    <w:rsid w:val="00F2289B"/>
    <w:rsid w:val="00F229FD"/>
    <w:rsid w:val="00F3046E"/>
    <w:rsid w:val="00F50D5F"/>
    <w:rsid w:val="00F568C5"/>
    <w:rsid w:val="00F5703A"/>
    <w:rsid w:val="00F60E89"/>
    <w:rsid w:val="00F72664"/>
    <w:rsid w:val="00F95435"/>
    <w:rsid w:val="00FB1DCB"/>
    <w:rsid w:val="00FB6D19"/>
    <w:rsid w:val="00FB7D55"/>
    <w:rsid w:val="00FC2E04"/>
    <w:rsid w:val="00FC502C"/>
    <w:rsid w:val="00FD1A06"/>
    <w:rsid w:val="00FD7C05"/>
    <w:rsid w:val="00FE714E"/>
    <w:rsid w:val="00FF02DA"/>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B25E-BBE5-7B4C-BF34-5DE0553D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2317</Words>
  <Characters>13211</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Jasmin Chadha</cp:lastModifiedBy>
  <cp:revision>2</cp:revision>
  <cp:lastPrinted>2012-08-02T03:26:00Z</cp:lastPrinted>
  <dcterms:created xsi:type="dcterms:W3CDTF">2014-07-31T04:47:00Z</dcterms:created>
  <dcterms:modified xsi:type="dcterms:W3CDTF">2014-07-31T04:47:00Z</dcterms:modified>
</cp:coreProperties>
</file>