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F0" w:rsidRPr="00CC0EED" w:rsidRDefault="009D62F0" w:rsidP="009D62F0">
      <w:pPr>
        <w:pStyle w:val="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3A5D48">
        <w:rPr>
          <w:rFonts w:ascii="Arial" w:hAnsi="Arial"/>
          <w:noProof/>
          <w:spacing w:val="-3"/>
          <w:sz w:val="20"/>
          <w:lang w:val="ru-RU" w:eastAsia="ru-RU"/>
        </w:rPr>
        <w:drawing>
          <wp:inline distT="0" distB="0" distL="0" distR="0">
            <wp:extent cx="1457325" cy="619125"/>
            <wp:effectExtent l="19050" t="0" r="9525" b="0"/>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3A5D48">
        <w:rPr>
          <w:rFonts w:ascii="Arial" w:hAnsi="Arial"/>
          <w:noProof/>
          <w:spacing w:val="-3"/>
          <w:sz w:val="20"/>
          <w:lang w:val="ru-RU" w:eastAsia="ru-RU"/>
        </w:rPr>
        <w:drawing>
          <wp:inline distT="0" distB="0" distL="0" distR="0">
            <wp:extent cx="1438275" cy="1095375"/>
            <wp:effectExtent l="19050" t="0" r="9525" b="0"/>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79057F">
        <w:t>KYRGYZ REPUBLIC</w:t>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79057F">
        <w:t xml:space="preserve"> </w:t>
      </w:r>
      <w:r w:rsidR="00D45676">
        <w:rPr>
          <w:rFonts w:cs="Times New Roman"/>
          <w:b/>
          <w:sz w:val="22"/>
          <w:szCs w:val="22"/>
          <w:u w:val="single"/>
        </w:rPr>
        <w:t>JANUARY – JUNE 20</w:t>
      </w:r>
      <w:r w:rsidR="0079057F">
        <w:t>1</w:t>
      </w:r>
      <w:r w:rsidR="00E4127F">
        <w:t>5</w:t>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5203FC">
            <w:pPr>
              <w:rPr>
                <w:rFonts w:cs="Times New Roman"/>
                <w:sz w:val="22"/>
                <w:szCs w:val="22"/>
              </w:rPr>
            </w:pPr>
            <w:r w:rsidRPr="00870590">
              <w:rPr>
                <w:rFonts w:cs="Times New Roman"/>
                <w:sz w:val="22"/>
                <w:szCs w:val="22"/>
              </w:rPr>
              <w:t>PBF/</w:t>
            </w:r>
            <w:r w:rsidR="005203FC">
              <w:t>KGZ</w:t>
            </w:r>
            <w:r w:rsidRPr="00870590">
              <w:rPr>
                <w:rFonts w:cs="Times New Roman"/>
                <w:sz w:val="22"/>
                <w:szCs w:val="22"/>
              </w:rPr>
              <w:t>/</w:t>
            </w:r>
            <w:r w:rsidR="005203FC">
              <w:t xml:space="preserve">B3 - </w:t>
            </w:r>
            <w:r w:rsidR="0079057F">
              <w:t xml:space="preserve">Peace and Trust: </w:t>
            </w:r>
            <w:r w:rsidR="00C85971">
              <w:t>Equal Access to Law Enforcement and Justice</w:t>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a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5203FC" w:rsidP="004D5527">
            <w:pPr>
              <w:rPr>
                <w:rFonts w:cs="Times New Roman"/>
                <w:sz w:val="22"/>
                <w:szCs w:val="22"/>
              </w:rPr>
            </w:pPr>
            <w:r>
              <w:t>United Nations Office on Drugs and Crime</w:t>
            </w:r>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C85971" w:rsidP="004D5527">
            <w:pPr>
              <w:rPr>
                <w:rFonts w:cs="Times New Roman"/>
                <w:bCs/>
                <w:sz w:val="22"/>
                <w:szCs w:val="22"/>
              </w:rPr>
            </w:pPr>
            <w:r>
              <w:t>Ministry of Internal Affairs of the Kyrgyz Republic</w:t>
            </w:r>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C85971" w:rsidP="004D5527">
            <w:pPr>
              <w:rPr>
                <w:rFonts w:cs="Times New Roman"/>
                <w:sz w:val="22"/>
                <w:szCs w:val="22"/>
              </w:rPr>
            </w:pPr>
            <w:r>
              <w:t>Kyrgyz Republic</w:t>
            </w:r>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ae"/>
                <w:rFonts w:cs="Times New Roman"/>
                <w:b/>
                <w:sz w:val="22"/>
                <w:szCs w:val="22"/>
                <w:lang w:val="fr-FR"/>
              </w:rPr>
              <w:footnoteReference w:id="2"/>
            </w:r>
          </w:p>
        </w:tc>
        <w:tc>
          <w:tcPr>
            <w:tcW w:w="7740" w:type="dxa"/>
            <w:gridSpan w:val="3"/>
            <w:shd w:val="clear" w:color="auto" w:fill="auto"/>
            <w:vAlign w:val="center"/>
          </w:tcPr>
          <w:p w:rsidR="00132065" w:rsidRPr="00E71AFA" w:rsidRDefault="00971523" w:rsidP="004D5527">
            <w:pPr>
              <w:rPr>
                <w:rFonts w:cs="Times New Roman"/>
                <w:sz w:val="22"/>
                <w:szCs w:val="22"/>
                <w:lang w:val="fr-FR"/>
              </w:rPr>
            </w:pPr>
            <w:r>
              <w:t>1,460,700 USD</w:t>
            </w:r>
          </w:p>
        </w:tc>
      </w:tr>
      <w:tr w:rsidR="00E71AFA" w:rsidRPr="00132065" w:rsidTr="00BB2676">
        <w:trPr>
          <w:trHeight w:val="375"/>
        </w:trPr>
        <w:tc>
          <w:tcPr>
            <w:tcW w:w="2880" w:type="dxa"/>
            <w:shd w:val="clear" w:color="auto" w:fill="E6E6E6"/>
          </w:tcPr>
          <w:p w:rsidR="00E71AFA" w:rsidRPr="000A26AD" w:rsidRDefault="00D92198" w:rsidP="000A26AD">
            <w:pPr>
              <w:rPr>
                <w:rFonts w:cs="Times New Roman"/>
                <w:b/>
                <w:sz w:val="22"/>
                <w:szCs w:val="22"/>
                <w:lang w:val="en-GB"/>
              </w:rPr>
            </w:pPr>
            <w:r w:rsidRPr="00F903AD">
              <w:t xml:space="preserve">Preliminary data on funds committed : </w:t>
            </w:r>
            <w:r w:rsidRPr="00F903AD">
              <w:rPr>
                <w:rStyle w:val="ae"/>
              </w:rPr>
              <w:footnoteReference w:id="3"/>
            </w:r>
          </w:p>
        </w:tc>
        <w:tc>
          <w:tcPr>
            <w:tcW w:w="2520" w:type="dxa"/>
            <w:shd w:val="clear" w:color="auto" w:fill="auto"/>
            <w:vAlign w:val="center"/>
          </w:tcPr>
          <w:p w:rsidR="00E71AFA" w:rsidRPr="000A26AD" w:rsidRDefault="00D92198" w:rsidP="003F0ED1">
            <w:pPr>
              <w:rPr>
                <w:rFonts w:cs="Times New Roman"/>
                <w:sz w:val="22"/>
                <w:szCs w:val="22"/>
                <w:lang w:val="en-GB"/>
              </w:rPr>
            </w:pPr>
            <w:r w:rsidRPr="00D92198">
              <w:t xml:space="preserve"> </w:t>
            </w:r>
            <w:r>
              <w:t xml:space="preserve">      981,200 USD</w:t>
            </w:r>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D92198" w:rsidP="004D5527">
            <w:pPr>
              <w:rPr>
                <w:rFonts w:cs="Times New Roman"/>
                <w:sz w:val="22"/>
                <w:szCs w:val="22"/>
              </w:rPr>
            </w:pPr>
            <w:r>
              <w:t>67.17%</w:t>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a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1D6150" w:rsidP="004D5527">
            <w:pPr>
              <w:rPr>
                <w:rFonts w:cs="Times New Roman"/>
                <w:sz w:val="22"/>
                <w:szCs w:val="22"/>
                <w:lang w:val="fr-FR" w:eastAsia="ja-JP"/>
              </w:rPr>
            </w:pPr>
            <w:r>
              <w:t xml:space="preserve">          </w:t>
            </w:r>
            <w:r w:rsidR="00D92198">
              <w:t>551,156 USD</w:t>
            </w:r>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0F5229" w:rsidP="004D5527">
            <w:pPr>
              <w:rPr>
                <w:rFonts w:cs="Times New Roman"/>
                <w:sz w:val="22"/>
                <w:szCs w:val="22"/>
                <w:lang w:eastAsia="ja-JP"/>
              </w:rPr>
            </w:pPr>
            <w:r>
              <w:t>37.73%</w:t>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E83E14" w:rsidP="008E7AB9">
            <w:pPr>
              <w:jc w:val="center"/>
              <w:rPr>
                <w:rFonts w:cs="Times New Roman"/>
                <w:b/>
                <w:sz w:val="22"/>
                <w:szCs w:val="22"/>
              </w:rPr>
            </w:pPr>
            <w:r>
              <w:t>13.02.2014</w:t>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295766" w:rsidP="008E7AB9">
            <w:pPr>
              <w:jc w:val="center"/>
              <w:rPr>
                <w:rFonts w:cs="Times New Roman"/>
                <w:bCs/>
                <w:sz w:val="22"/>
                <w:szCs w:val="22"/>
              </w:rPr>
            </w:pPr>
            <w:r>
              <w:t>N/A</w:t>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971523" w:rsidP="008E7AB9">
            <w:pPr>
              <w:jc w:val="center"/>
              <w:rPr>
                <w:rFonts w:cs="Times New Roman"/>
                <w:b/>
                <w:sz w:val="22"/>
                <w:szCs w:val="22"/>
              </w:rPr>
            </w:pPr>
            <w:r>
              <w:t>13.02.2014</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B7DDB" w:rsidP="008E7AB9">
            <w:pPr>
              <w:jc w:val="center"/>
              <w:rPr>
                <w:rFonts w:cs="Times New Roman"/>
                <w:b/>
                <w:sz w:val="22"/>
                <w:szCs w:val="22"/>
              </w:rPr>
            </w:pPr>
            <w:r>
              <w:t>30.06.2016</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A10FB7" w:rsidP="00870590">
            <w:r>
              <w:t xml:space="preserve">1. </w:t>
            </w:r>
            <w:r w:rsidRPr="00A10FB7">
              <w:t>The Government of the Kyrgyz Republic adopts and implements policies to increase participation and representation of minorities in the police and to ensure regular dialogue between police and minority communities</w:t>
            </w:r>
          </w:p>
          <w:p w:rsidR="00A10FB7" w:rsidRDefault="00A10FB7" w:rsidP="00870590">
            <w:r>
              <w:t xml:space="preserve">2. </w:t>
            </w:r>
            <w:r w:rsidRPr="00A10FB7">
              <w:t xml:space="preserve">The Government of the Kyrgyz Republic adopts and implements policies to </w:t>
            </w:r>
            <w:r w:rsidRPr="00A10FB7">
              <w:lastRenderedPageBreak/>
              <w:t>increase participation and representation of women in the police force and to ensure regular dialogue between police and women in local communities</w:t>
            </w:r>
          </w:p>
          <w:p w:rsidR="00A10FB7" w:rsidRDefault="00A10FB7" w:rsidP="00870590">
            <w:pPr>
              <w:rPr>
                <w:rFonts w:cs="Times New Roman"/>
                <w:bCs/>
                <w:sz w:val="22"/>
                <w:szCs w:val="22"/>
              </w:rPr>
            </w:pPr>
            <w:r>
              <w:t xml:space="preserve">3. </w:t>
            </w:r>
            <w:r w:rsidRPr="00A10FB7">
              <w:t>Police  becomes more accountable and responsive to the grievances/needs of people  through established complaints handling procedures and more effective independent monitoring of police performance</w:t>
            </w:r>
          </w:p>
        </w:tc>
      </w:tr>
      <w:tr w:rsidR="00E71AFA" w:rsidRPr="00FF0380" w:rsidTr="00BB2676">
        <w:trPr>
          <w:trHeight w:val="778"/>
        </w:trPr>
        <w:tc>
          <w:tcPr>
            <w:tcW w:w="2880" w:type="dxa"/>
            <w:shd w:val="clear" w:color="auto" w:fill="E6E6E6"/>
            <w:vAlign w:val="center"/>
          </w:tcPr>
          <w:p w:rsidR="00E71AFA" w:rsidRPr="00FF0380"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ae"/>
                <w:rFonts w:cs="Times New Roman"/>
                <w:b/>
                <w:sz w:val="22"/>
                <w:szCs w:val="22"/>
              </w:rPr>
              <w:footnoteReference w:id="5"/>
            </w:r>
          </w:p>
        </w:tc>
        <w:tc>
          <w:tcPr>
            <w:tcW w:w="7740" w:type="dxa"/>
            <w:gridSpan w:val="3"/>
            <w:shd w:val="clear" w:color="auto" w:fill="auto"/>
            <w:vAlign w:val="center"/>
          </w:tcPr>
          <w:p w:rsidR="00E71AFA" w:rsidRPr="00FF0380" w:rsidRDefault="00BB5CE8" w:rsidP="00837D7F">
            <w:pPr>
              <w:rPr>
                <w:rFonts w:cs="Times New Roman"/>
                <w:sz w:val="22"/>
                <w:szCs w:val="22"/>
              </w:rPr>
            </w:pPr>
            <w:proofErr w:type="spellStart"/>
            <w:r>
              <w:t>RoL</w:t>
            </w:r>
            <w:proofErr w:type="spellEnd"/>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formProt w:val="0"/>
          <w:docGrid w:linePitch="360"/>
        </w:sectPr>
      </w:pPr>
    </w:p>
    <w:p w:rsidR="00CC0EED" w:rsidRDefault="00CC0EED" w:rsidP="001D7143">
      <w:pPr>
        <w:outlineLvl w:val="0"/>
        <w:rPr>
          <w:rFonts w:cs="Times New Roman"/>
          <w:b/>
          <w:sz w:val="22"/>
          <w:szCs w:val="22"/>
        </w:rPr>
      </w:pPr>
      <w:r>
        <w:rPr>
          <w:rFonts w:cs="Times New Roman"/>
          <w:b/>
          <w:sz w:val="22"/>
          <w:szCs w:val="22"/>
        </w:rPr>
        <w:lastRenderedPageBreak/>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309"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10206"/>
      </w:tblGrid>
      <w:tr w:rsidR="00B127F2" w:rsidRPr="000D4837" w:rsidTr="00B60FA5">
        <w:tc>
          <w:tcPr>
            <w:tcW w:w="3103" w:type="dxa"/>
            <w:shd w:val="clear" w:color="auto" w:fill="auto"/>
          </w:tcPr>
          <w:p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DF782D" w:rsidRDefault="00DF782D" w:rsidP="00DF782D">
            <w:pPr>
              <w:outlineLvl w:val="0"/>
              <w:rPr>
                <w:rFonts w:cs="Times New Roman"/>
                <w:i/>
                <w:color w:val="000000"/>
                <w:sz w:val="22"/>
                <w:szCs w:val="22"/>
              </w:rPr>
            </w:pPr>
          </w:p>
          <w:p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rsidR="00030833" w:rsidRDefault="00030833" w:rsidP="00DF782D">
            <w:pPr>
              <w:outlineLvl w:val="0"/>
            </w:pPr>
            <w:r>
              <w:rPr>
                <w:rFonts w:cs="Times New Roman"/>
                <w:i/>
                <w:color w:val="000000"/>
                <w:sz w:val="22"/>
                <w:szCs w:val="22"/>
              </w:rPr>
              <w:t>(500 words max.)</w:t>
            </w: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7A29CE" w:rsidRDefault="007A29CE" w:rsidP="002C4C40">
            <w:pPr>
              <w:outlineLvl w:val="0"/>
              <w:rPr>
                <w:rStyle w:val="af4"/>
              </w:rPr>
            </w:pPr>
          </w:p>
          <w:p w:rsidR="007A29CE" w:rsidRDefault="007A29CE" w:rsidP="002C4C40">
            <w:pPr>
              <w:outlineLvl w:val="0"/>
              <w:rPr>
                <w:rStyle w:val="af4"/>
              </w:rPr>
            </w:pPr>
          </w:p>
          <w:p w:rsidR="007A29CE" w:rsidRDefault="007A29CE" w:rsidP="002C4C40">
            <w:pPr>
              <w:outlineLvl w:val="0"/>
              <w:rPr>
                <w:rStyle w:val="af4"/>
              </w:rPr>
            </w:pPr>
          </w:p>
          <w:p w:rsidR="007A29CE" w:rsidRDefault="007A29CE"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F63B09" w:rsidRDefault="00F63B09" w:rsidP="002C4C40">
            <w:pPr>
              <w:outlineLvl w:val="0"/>
              <w:rPr>
                <w:rStyle w:val="af4"/>
              </w:rPr>
            </w:pPr>
          </w:p>
          <w:p w:rsidR="00391EB2" w:rsidRDefault="00391EB2" w:rsidP="002C4C40">
            <w:pPr>
              <w:outlineLvl w:val="0"/>
              <w:rPr>
                <w:rStyle w:val="af4"/>
              </w:rPr>
            </w:pPr>
          </w:p>
          <w:p w:rsidR="002C4C40" w:rsidRPr="000D4837" w:rsidRDefault="002C4C40" w:rsidP="002C4C40">
            <w:pPr>
              <w:outlineLvl w:val="0"/>
              <w:rPr>
                <w:rFonts w:cs="Times New Roman"/>
                <w:b/>
                <w:sz w:val="22"/>
                <w:szCs w:val="22"/>
              </w:rPr>
            </w:pPr>
          </w:p>
        </w:tc>
        <w:tc>
          <w:tcPr>
            <w:tcW w:w="10206" w:type="dxa"/>
            <w:shd w:val="clear" w:color="auto" w:fill="auto"/>
          </w:tcPr>
          <w:p w:rsidR="00075CE9" w:rsidRPr="00075CE9" w:rsidRDefault="006B6A2D" w:rsidP="00075CE9">
            <w:r w:rsidRPr="00DC74A3">
              <w:rPr>
                <w:rStyle w:val="af4"/>
              </w:rPr>
              <w:lastRenderedPageBreak/>
              <w:t xml:space="preserve">Outcome 1: </w:t>
            </w:r>
            <w:r w:rsidR="00075CE9" w:rsidRPr="00B12BA9">
              <w:t>The Government of the Kyrgyz Republic adopts and implements policies to increase participation and representation of minorities in the police and to ensure regular dialogue between police and minority communities</w:t>
            </w:r>
          </w:p>
          <w:p w:rsidR="00532930" w:rsidRDefault="00532930" w:rsidP="00532930"/>
          <w:p w:rsidR="005D446C" w:rsidRDefault="005D446C" w:rsidP="00532930">
            <w:r>
              <w:t>Evidence of progress:</w:t>
            </w:r>
          </w:p>
          <w:p w:rsidR="001D7EE4" w:rsidRDefault="003F6704" w:rsidP="003F6704">
            <w:r w:rsidRPr="00B654E5">
              <w:t xml:space="preserve">- </w:t>
            </w:r>
            <w:r w:rsidR="0059438C">
              <w:t xml:space="preserve">New policy on competitive recruitment of police officers adopted </w:t>
            </w:r>
            <w:r w:rsidR="00B24E7E">
              <w:t xml:space="preserve">by the Government of the Kyrgyz Republic </w:t>
            </w:r>
            <w:r w:rsidR="008D6AA6">
              <w:t xml:space="preserve">(24 November 2014); </w:t>
            </w:r>
          </w:p>
          <w:p w:rsidR="00226748" w:rsidRPr="00AA73E7" w:rsidRDefault="001D7EE4" w:rsidP="00226748">
            <w:r>
              <w:t>- This</w:t>
            </w:r>
            <w:r w:rsidR="008D6AA6">
              <w:t xml:space="preserve"> policy </w:t>
            </w:r>
            <w:r w:rsidR="002218BE" w:rsidRPr="002218BE">
              <w:t>increas</w:t>
            </w:r>
            <w:r w:rsidR="008D6AA6">
              <w:t>es</w:t>
            </w:r>
            <w:r w:rsidR="002218BE" w:rsidRPr="002218BE">
              <w:t xml:space="preserve"> transparency of </w:t>
            </w:r>
            <w:r w:rsidR="008D6AA6">
              <w:t xml:space="preserve">police </w:t>
            </w:r>
            <w:r w:rsidR="002218BE" w:rsidRPr="002218BE">
              <w:t>recruitment</w:t>
            </w:r>
            <w:r w:rsidR="008D6AA6">
              <w:t xml:space="preserve">, </w:t>
            </w:r>
            <w:r w:rsidR="002218BE" w:rsidRPr="002218BE">
              <w:t>reduc</w:t>
            </w:r>
            <w:r w:rsidR="008D6AA6">
              <w:t>es</w:t>
            </w:r>
            <w:r w:rsidR="002218BE" w:rsidRPr="002218BE">
              <w:t xml:space="preserve"> </w:t>
            </w:r>
            <w:r w:rsidR="00226748">
              <w:t xml:space="preserve">opportunities for </w:t>
            </w:r>
            <w:r w:rsidR="002218BE" w:rsidRPr="002218BE">
              <w:t>patrimonial selection</w:t>
            </w:r>
            <w:r w:rsidR="00F7359F">
              <w:t xml:space="preserve">, </w:t>
            </w:r>
            <w:r>
              <w:t xml:space="preserve">potentially </w:t>
            </w:r>
            <w:r w:rsidR="00F7359F">
              <w:t>opens up police positions to a more diverse pool of candidates,</w:t>
            </w:r>
            <w:r>
              <w:t xml:space="preserve"> and includes on</w:t>
            </w:r>
            <w:r w:rsidR="00226748" w:rsidRPr="00AA73E7">
              <w:t xml:space="preserve">e specific measure </w:t>
            </w:r>
            <w:r>
              <w:t>to promote increased participation and representation of women and minorities</w:t>
            </w:r>
            <w:r w:rsidR="00226748" w:rsidRPr="00AA73E7">
              <w:t xml:space="preserve"> officers</w:t>
            </w:r>
            <w:r>
              <w:t xml:space="preserve"> (NB. I</w:t>
            </w:r>
            <w:r w:rsidR="00226748" w:rsidRPr="00AA73E7">
              <w:t>f two candidates obtain equal results, preference shall be given to the candidate belonging to the underrepresented ethnicity or gender</w:t>
            </w:r>
            <w:r>
              <w:t>);</w:t>
            </w:r>
          </w:p>
          <w:p w:rsidR="003F6704" w:rsidRDefault="003F6704" w:rsidP="003F6704">
            <w:r>
              <w:t xml:space="preserve">- </w:t>
            </w:r>
            <w:r w:rsidR="0059438C">
              <w:t>New policy on police p</w:t>
            </w:r>
            <w:r>
              <w:t>erformance evaluation</w:t>
            </w:r>
            <w:r w:rsidR="0059438C">
              <w:t xml:space="preserve"> adopted</w:t>
            </w:r>
            <w:r w:rsidR="00761A83">
              <w:t xml:space="preserve"> by the Government of the Kyrgyz Republic (</w:t>
            </w:r>
            <w:r w:rsidR="00320154">
              <w:t>24 February 2015);</w:t>
            </w:r>
          </w:p>
          <w:p w:rsidR="00DE2701" w:rsidRPr="00320154" w:rsidRDefault="0085215B" w:rsidP="00320154">
            <w:r>
              <w:t>- This policy</w:t>
            </w:r>
            <w:r w:rsidR="00320154" w:rsidRPr="00D47594">
              <w:t xml:space="preserve"> </w:t>
            </w:r>
            <w:r w:rsidR="00D90020">
              <w:t xml:space="preserve">has the potential of </w:t>
            </w:r>
            <w:r w:rsidR="00320154" w:rsidRPr="00D47594">
              <w:t>completely chang</w:t>
            </w:r>
            <w:r w:rsidR="00D90020">
              <w:t>ing</w:t>
            </w:r>
            <w:r w:rsidR="00320154" w:rsidRPr="00D47594">
              <w:t xml:space="preserve"> the focus of police work</w:t>
            </w:r>
            <w:r>
              <w:t>,</w:t>
            </w:r>
            <w:r w:rsidR="00320154" w:rsidRPr="00D47594">
              <w:t xml:space="preserve"> away from </w:t>
            </w:r>
            <w:r>
              <w:t xml:space="preserve">a narrow focus on </w:t>
            </w:r>
            <w:r w:rsidR="00320154" w:rsidRPr="00D47594">
              <w:t xml:space="preserve">crime detection </w:t>
            </w:r>
            <w:r>
              <w:t xml:space="preserve">rates, </w:t>
            </w:r>
            <w:r w:rsidR="00320154" w:rsidRPr="00D47594">
              <w:t>to</w:t>
            </w:r>
            <w:r w:rsidR="00635FA0">
              <w:t>wards a more</w:t>
            </w:r>
            <w:r w:rsidR="00DE2701">
              <w:t xml:space="preserve"> </w:t>
            </w:r>
            <w:r w:rsidR="00635FA0">
              <w:t>qualitative assessment of police work.</w:t>
            </w:r>
            <w:r w:rsidR="00250C97">
              <w:t xml:space="preserve"> This will eliminate some of the incentives for torture and corruption and </w:t>
            </w:r>
            <w:r w:rsidR="00D90020">
              <w:t xml:space="preserve">commit the police to </w:t>
            </w:r>
            <w:r w:rsidR="00250C97">
              <w:t xml:space="preserve">strengthen </w:t>
            </w:r>
            <w:r w:rsidR="002E0DCE">
              <w:t xml:space="preserve">dialogue and </w:t>
            </w:r>
            <w:r w:rsidR="00D90020">
              <w:t xml:space="preserve">work with local communities </w:t>
            </w:r>
            <w:r w:rsidR="00B825E0">
              <w:t>in order to enhance</w:t>
            </w:r>
            <w:r w:rsidR="002E0DCE">
              <w:t xml:space="preserve"> public trust;</w:t>
            </w:r>
          </w:p>
          <w:p w:rsidR="002079D2" w:rsidRDefault="002079D2" w:rsidP="003F6704">
            <w:r>
              <w:t xml:space="preserve">- Police recruitment opened up to a larger extent than before to graduates of public universities throughout Kyrgyzstan; </w:t>
            </w:r>
            <w:r w:rsidR="00B01F36">
              <w:t xml:space="preserve">reportedly </w:t>
            </w:r>
            <w:r w:rsidR="00CA1CA2">
              <w:t xml:space="preserve">up to </w:t>
            </w:r>
            <w:r w:rsidR="00B01F36">
              <w:t xml:space="preserve">70% </w:t>
            </w:r>
            <w:r w:rsidR="00CA1CA2">
              <w:t xml:space="preserve">of new staff are recruited </w:t>
            </w:r>
            <w:r w:rsidR="00B01F36">
              <w:t>from regular universities</w:t>
            </w:r>
            <w:r w:rsidR="00CA1CA2">
              <w:t xml:space="preserve"> rather than from the Police Academy only</w:t>
            </w:r>
            <w:r w:rsidR="00B01F36">
              <w:t>; this opens up the</w:t>
            </w:r>
            <w:r w:rsidR="00495B12">
              <w:t xml:space="preserve"> police service</w:t>
            </w:r>
            <w:r w:rsidR="00B01F36">
              <w:t xml:space="preserve"> to a more diverse pool of candidates;</w:t>
            </w:r>
            <w:r>
              <w:t xml:space="preserve"> </w:t>
            </w:r>
          </w:p>
          <w:p w:rsidR="00A311F7" w:rsidRDefault="00C856CB" w:rsidP="003F6704">
            <w:r>
              <w:t xml:space="preserve">- </w:t>
            </w:r>
            <w:r w:rsidR="00A52F0B">
              <w:t>D</w:t>
            </w:r>
            <w:r w:rsidRPr="00C856CB">
              <w:t xml:space="preserve">ialogue platforms on </w:t>
            </w:r>
            <w:r w:rsidR="00A311F7">
              <w:t>social partnerships and crime prevention</w:t>
            </w:r>
            <w:r w:rsidRPr="00C856CB">
              <w:t xml:space="preserve"> </w:t>
            </w:r>
            <w:r w:rsidR="00A52F0B">
              <w:t xml:space="preserve">initiated by the </w:t>
            </w:r>
            <w:proofErr w:type="spellStart"/>
            <w:r w:rsidR="00A52F0B">
              <w:t>MoI</w:t>
            </w:r>
            <w:proofErr w:type="spellEnd"/>
            <w:r w:rsidR="00A52F0B">
              <w:t xml:space="preserve"> </w:t>
            </w:r>
            <w:r w:rsidRPr="00C856CB">
              <w:t>at the provincial level</w:t>
            </w:r>
            <w:r w:rsidR="00A52F0B">
              <w:t>, with</w:t>
            </w:r>
            <w:r w:rsidR="00A311F7">
              <w:t xml:space="preserve"> public</w:t>
            </w:r>
            <w:r w:rsidRPr="00C856CB">
              <w:t xml:space="preserve"> events held in </w:t>
            </w:r>
            <w:r w:rsidR="00A311F7">
              <w:t>each province</w:t>
            </w:r>
            <w:r w:rsidR="00280523">
              <w:t xml:space="preserve"> and a</w:t>
            </w:r>
            <w:r w:rsidR="00A311F7">
              <w:t xml:space="preserve"> final </w:t>
            </w:r>
            <w:r w:rsidRPr="00C856CB">
              <w:t xml:space="preserve">national level event </w:t>
            </w:r>
            <w:r w:rsidR="00280523">
              <w:t>(</w:t>
            </w:r>
            <w:r w:rsidR="00A311F7">
              <w:t>April</w:t>
            </w:r>
            <w:r w:rsidR="00280523">
              <w:t xml:space="preserve"> 2015)</w:t>
            </w:r>
            <w:r w:rsidR="006A0A93">
              <w:t>;</w:t>
            </w:r>
            <w:r w:rsidR="00A311F7">
              <w:t xml:space="preserve"> resolution adopted calling for</w:t>
            </w:r>
            <w:r w:rsidR="00566B80">
              <w:t xml:space="preserve"> the development of j</w:t>
            </w:r>
            <w:r w:rsidR="00CC76CC">
              <w:t>oint crime prevention plans at the local level;</w:t>
            </w:r>
          </w:p>
          <w:p w:rsidR="00834056" w:rsidRDefault="0028145B" w:rsidP="003F6704">
            <w:r w:rsidRPr="0028145B">
              <w:t xml:space="preserve">- </w:t>
            </w:r>
            <w:r w:rsidR="00834056">
              <w:t>Government d</w:t>
            </w:r>
            <w:r>
              <w:t>ecree</w:t>
            </w:r>
            <w:r w:rsidR="00834056">
              <w:t>s</w:t>
            </w:r>
            <w:r w:rsidRPr="0028145B">
              <w:t xml:space="preserve"> on </w:t>
            </w:r>
            <w:r>
              <w:t xml:space="preserve">police </w:t>
            </w:r>
            <w:r w:rsidRPr="0028145B">
              <w:t>cooperation with civil society</w:t>
            </w:r>
            <w:r>
              <w:t xml:space="preserve"> </w:t>
            </w:r>
            <w:r w:rsidR="00800790">
              <w:t xml:space="preserve">and the functioning of Local crime prevention </w:t>
            </w:r>
            <w:proofErr w:type="spellStart"/>
            <w:r w:rsidR="00800790">
              <w:t>centres</w:t>
            </w:r>
            <w:proofErr w:type="spellEnd"/>
            <w:r w:rsidR="00800790">
              <w:t xml:space="preserve"> developed </w:t>
            </w:r>
            <w:r>
              <w:t xml:space="preserve">in order to foster social partnerships on </w:t>
            </w:r>
            <w:r w:rsidRPr="0028145B">
              <w:t xml:space="preserve">issues related to </w:t>
            </w:r>
            <w:r w:rsidR="00800790">
              <w:t xml:space="preserve">public safety and </w:t>
            </w:r>
            <w:r w:rsidRPr="0028145B">
              <w:t>crime prevention;</w:t>
            </w:r>
          </w:p>
          <w:p w:rsidR="00D72304" w:rsidRDefault="00306F68" w:rsidP="00306F68">
            <w:r w:rsidRPr="00306F68">
              <w:t xml:space="preserve">- </w:t>
            </w:r>
            <w:r w:rsidR="001F7C93">
              <w:t xml:space="preserve">Joint work plan signed between the </w:t>
            </w:r>
            <w:proofErr w:type="spellStart"/>
            <w:r w:rsidR="001F7C93">
              <w:t>MoI</w:t>
            </w:r>
            <w:proofErr w:type="spellEnd"/>
            <w:r w:rsidR="001F7C93">
              <w:t xml:space="preserve"> and State Agency for Local Self-Government</w:t>
            </w:r>
            <w:r w:rsidR="0043456C">
              <w:t xml:space="preserve"> in order to strengthen inter-agency </w:t>
            </w:r>
            <w:r w:rsidR="00001A8B">
              <w:t>coordination on public safety and crime prevention at the local level;</w:t>
            </w:r>
          </w:p>
          <w:p w:rsidR="006848C6" w:rsidRDefault="00282FDB" w:rsidP="00306F68">
            <w:r>
              <w:lastRenderedPageBreak/>
              <w:t xml:space="preserve">- </w:t>
            </w:r>
            <w:r w:rsidR="006A0A93">
              <w:t xml:space="preserve">Steps taken by the </w:t>
            </w:r>
            <w:proofErr w:type="spellStart"/>
            <w:r w:rsidR="006A0A93">
              <w:t>MoI</w:t>
            </w:r>
            <w:proofErr w:type="spellEnd"/>
            <w:r w:rsidR="00C856CB" w:rsidRPr="00C856CB">
              <w:t xml:space="preserve"> to work more closely with the population at the local level</w:t>
            </w:r>
            <w:r w:rsidR="00875A11">
              <w:t xml:space="preserve">: </w:t>
            </w:r>
            <w:r w:rsidR="006A0A93">
              <w:t>1</w:t>
            </w:r>
            <w:r w:rsidR="006A0A93" w:rsidRPr="006A0A93">
              <w:t>60 new police points and substations (in neighborhoods) created throughout the country since 2014</w:t>
            </w:r>
            <w:r w:rsidR="006A0A93">
              <w:t xml:space="preserve">; </w:t>
            </w:r>
            <w:r w:rsidR="00C856CB" w:rsidRPr="00C856CB">
              <w:t xml:space="preserve">95 additional </w:t>
            </w:r>
            <w:r w:rsidR="00AA175B" w:rsidRPr="00C856CB">
              <w:t>neighborhood</w:t>
            </w:r>
            <w:r w:rsidR="00C856CB" w:rsidRPr="00C856CB">
              <w:t xml:space="preserve"> inspectors and 121 youth inspectors appointed (NB. These are not new positions. Existing staff have been moved from duties in central police departments in the provinces to work in local police stations)</w:t>
            </w:r>
            <w:r w:rsidR="006848C6">
              <w:t>;</w:t>
            </w:r>
          </w:p>
          <w:p w:rsidR="006848C6" w:rsidRDefault="006848C6" w:rsidP="003F6704">
            <w:r>
              <w:t xml:space="preserve">- Coordination Council on Crime Prevention established under the Mayor of </w:t>
            </w:r>
            <w:proofErr w:type="spellStart"/>
            <w:r>
              <w:t>Jalalabad</w:t>
            </w:r>
            <w:proofErr w:type="spellEnd"/>
            <w:r>
              <w:t>;</w:t>
            </w:r>
          </w:p>
          <w:p w:rsidR="00DE0F11" w:rsidRDefault="006848C6" w:rsidP="003F6704">
            <w:r>
              <w:t xml:space="preserve">- </w:t>
            </w:r>
            <w:r w:rsidR="00F96529">
              <w:t>11</w:t>
            </w:r>
            <w:r w:rsidR="00C0591D">
              <w:t>,000 USD allocated from the local State budget for the implementation of local crime prevention plan</w:t>
            </w:r>
            <w:r w:rsidR="00F96529">
              <w:t>s in PBF priority locations</w:t>
            </w:r>
            <w:r w:rsidR="007768A4">
              <w:t>.</w:t>
            </w:r>
          </w:p>
          <w:p w:rsidR="005D446C" w:rsidRDefault="005D446C" w:rsidP="00532930"/>
          <w:p w:rsidR="005D446C" w:rsidRPr="00B654E5" w:rsidRDefault="005D446C" w:rsidP="00532930">
            <w:r>
              <w:t>Outputs:</w:t>
            </w:r>
          </w:p>
          <w:p w:rsidR="003F6704" w:rsidRDefault="00130357" w:rsidP="00532930">
            <w:r>
              <w:t xml:space="preserve">- </w:t>
            </w:r>
            <w:r w:rsidR="00576C8B">
              <w:t>Population survey</w:t>
            </w:r>
            <w:r w:rsidR="00532930" w:rsidRPr="00B654E5">
              <w:t xml:space="preserve"> on minority representation in the police and access to police services</w:t>
            </w:r>
            <w:r w:rsidR="00576C8B">
              <w:t xml:space="preserve"> completed;</w:t>
            </w:r>
            <w:r w:rsidR="00532930" w:rsidRPr="00B654E5">
              <w:t xml:space="preserve"> </w:t>
            </w:r>
          </w:p>
          <w:p w:rsidR="00B24E7E" w:rsidRDefault="00B24E7E" w:rsidP="00532930">
            <w:r>
              <w:t>- Dialogue platforms</w:t>
            </w:r>
            <w:r w:rsidR="001F0AFB">
              <w:t xml:space="preserve"> on public safety and crime prevention established in each province; 25 public events held within this framework bringing together local government, police and communities</w:t>
            </w:r>
            <w:r w:rsidR="00244189">
              <w:t>;</w:t>
            </w:r>
            <w:r w:rsidR="001F0AFB">
              <w:t xml:space="preserve"> </w:t>
            </w:r>
          </w:p>
          <w:p w:rsidR="007B1608" w:rsidRDefault="00532930" w:rsidP="00532930">
            <w:r>
              <w:t>-</w:t>
            </w:r>
            <w:r w:rsidR="00AE3346">
              <w:t xml:space="preserve"> </w:t>
            </w:r>
            <w:r w:rsidR="004C6B09">
              <w:t xml:space="preserve">Joint crime prevention plans adopted in 3 provinces with a focus on strengthening the work of </w:t>
            </w:r>
            <w:r w:rsidR="006457D5">
              <w:t>L</w:t>
            </w:r>
            <w:r w:rsidR="004C6B09">
              <w:t xml:space="preserve">ocal crime prevention </w:t>
            </w:r>
            <w:proofErr w:type="spellStart"/>
            <w:r w:rsidR="004C6B09">
              <w:t>centres</w:t>
            </w:r>
            <w:proofErr w:type="spellEnd"/>
            <w:r w:rsidR="004C6B09">
              <w:t xml:space="preserve">; in 2 provinces </w:t>
            </w:r>
            <w:r w:rsidR="007B1608">
              <w:t>basic funding allocated from the local State budget with a total value of 5,000USD;</w:t>
            </w:r>
            <w:r w:rsidR="00F80EC8">
              <w:t xml:space="preserve"> Local crime prevention plan for the city of </w:t>
            </w:r>
            <w:proofErr w:type="spellStart"/>
            <w:r w:rsidR="00F80EC8">
              <w:t>Jalalabad</w:t>
            </w:r>
            <w:proofErr w:type="spellEnd"/>
            <w:r w:rsidR="00F80EC8">
              <w:t xml:space="preserve"> discussed in the newly established Coordination Council on Crime Prevention under the Mayor of </w:t>
            </w:r>
            <w:proofErr w:type="spellStart"/>
            <w:r w:rsidR="00F80EC8">
              <w:t>Jalalabad</w:t>
            </w:r>
            <w:proofErr w:type="spellEnd"/>
            <w:r w:rsidR="00F80EC8">
              <w:t>;</w:t>
            </w:r>
          </w:p>
          <w:p w:rsidR="009A4E1E" w:rsidRDefault="00895759" w:rsidP="00895759">
            <w:r w:rsidRPr="006502A3">
              <w:t>-</w:t>
            </w:r>
            <w:r w:rsidRPr="00895759">
              <w:t xml:space="preserve"> </w:t>
            </w:r>
            <w:r w:rsidR="00AA175B">
              <w:t xml:space="preserve">Crime prevention campaign held in </w:t>
            </w:r>
            <w:proofErr w:type="spellStart"/>
            <w:r w:rsidR="00AA175B">
              <w:t>Ak</w:t>
            </w:r>
            <w:proofErr w:type="spellEnd"/>
            <w:r w:rsidR="00AA175B">
              <w:t xml:space="preserve"> Say municipality</w:t>
            </w:r>
            <w:r w:rsidR="00B870BA">
              <w:t xml:space="preserve"> involving</w:t>
            </w:r>
            <w:r w:rsidR="005B47C8">
              <w:t xml:space="preserve"> 140 citizens, including 100 school children from 10 schools</w:t>
            </w:r>
            <w:r w:rsidR="009A4E1E">
              <w:t xml:space="preserve">, in order to promote healthy life styles, sports and cultural activities as an effective </w:t>
            </w:r>
            <w:r w:rsidR="00DE555E">
              <w:t>tool for the prevention of crime and conflict at the local level;</w:t>
            </w:r>
          </w:p>
          <w:p w:rsidR="00740ACA" w:rsidRDefault="00DE555E" w:rsidP="00740ACA">
            <w:r>
              <w:t xml:space="preserve">- 5 small grants </w:t>
            </w:r>
            <w:r w:rsidR="00992F1B">
              <w:t xml:space="preserve">allocated for the implementation of the </w:t>
            </w:r>
            <w:r w:rsidR="00740ACA">
              <w:t xml:space="preserve">local crime prevention plan in </w:t>
            </w:r>
            <w:proofErr w:type="spellStart"/>
            <w:r w:rsidR="00992F1B">
              <w:t>Ak</w:t>
            </w:r>
            <w:proofErr w:type="spellEnd"/>
            <w:r w:rsidR="00992F1B">
              <w:t xml:space="preserve"> Say municipality</w:t>
            </w:r>
            <w:r w:rsidR="00740ACA">
              <w:t xml:space="preserve">, </w:t>
            </w:r>
            <w:proofErr w:type="spellStart"/>
            <w:r w:rsidR="00740ACA">
              <w:t>Batken</w:t>
            </w:r>
            <w:proofErr w:type="spellEnd"/>
            <w:r w:rsidR="00740ACA">
              <w:t xml:space="preserve"> province,</w:t>
            </w:r>
            <w:r w:rsidR="009142C6">
              <w:t xml:space="preserve"> including </w:t>
            </w:r>
            <w:r w:rsidR="008754B6">
              <w:t xml:space="preserve">installation of </w:t>
            </w:r>
            <w:r w:rsidR="009142C6">
              <w:t xml:space="preserve">street lights, </w:t>
            </w:r>
            <w:r w:rsidR="008754B6">
              <w:t xml:space="preserve">improvement of sports facilities, </w:t>
            </w:r>
            <w:r w:rsidR="00A219BE">
              <w:t xml:space="preserve">establishment of a medical post and fencing of a kindergarten to improve public safety for children and </w:t>
            </w:r>
            <w:r w:rsidR="004B6FE3">
              <w:t>adults</w:t>
            </w:r>
            <w:r w:rsidR="00A219BE">
              <w:t xml:space="preserve"> in</w:t>
            </w:r>
            <w:r w:rsidR="008754B6">
              <w:t xml:space="preserve"> </w:t>
            </w:r>
            <w:r w:rsidR="00323394">
              <w:t xml:space="preserve">5 </w:t>
            </w:r>
            <w:r w:rsidR="004B6FE3">
              <w:t xml:space="preserve">multi ethnic </w:t>
            </w:r>
            <w:r w:rsidR="00323394">
              <w:t>villages</w:t>
            </w:r>
            <w:r w:rsidR="00740ACA">
              <w:t xml:space="preserve"> (</w:t>
            </w:r>
            <w:proofErr w:type="spellStart"/>
            <w:r w:rsidR="00740ACA">
              <w:t>Ak</w:t>
            </w:r>
            <w:proofErr w:type="spellEnd"/>
            <w:r w:rsidR="00740ACA">
              <w:t xml:space="preserve"> Say municipality financial contribution: 6,000 USD; </w:t>
            </w:r>
            <w:r w:rsidR="004B6FE3">
              <w:t xml:space="preserve"> </w:t>
            </w:r>
            <w:r w:rsidR="00740ACA">
              <w:t>UNODC contribution:</w:t>
            </w:r>
            <w:r w:rsidR="004E260B">
              <w:t xml:space="preserve"> 22,000 U</w:t>
            </w:r>
            <w:r w:rsidR="00740ACA">
              <w:t>SD</w:t>
            </w:r>
            <w:r w:rsidR="004B6FE3">
              <w:t xml:space="preserve">; NB. UNODC supported these outputs with additional </w:t>
            </w:r>
            <w:r w:rsidR="00740ACA">
              <w:t xml:space="preserve">funding </w:t>
            </w:r>
            <w:r w:rsidR="00591B97">
              <w:t xml:space="preserve">from </w:t>
            </w:r>
            <w:r w:rsidR="00740ACA">
              <w:t>sources</w:t>
            </w:r>
            <w:r w:rsidR="004B6FE3">
              <w:t xml:space="preserve"> outside the PBF</w:t>
            </w:r>
            <w:r w:rsidR="00740ACA">
              <w:t>)</w:t>
            </w:r>
            <w:r w:rsidR="004B6FE3">
              <w:t>;</w:t>
            </w:r>
          </w:p>
          <w:p w:rsidR="00F900A3" w:rsidRDefault="009A4E1E" w:rsidP="00895759">
            <w:r>
              <w:t>-</w:t>
            </w:r>
            <w:r w:rsidR="00AA175B">
              <w:t xml:space="preserve"> </w:t>
            </w:r>
            <w:r w:rsidR="00895759">
              <w:t>M</w:t>
            </w:r>
            <w:r w:rsidR="00895759" w:rsidRPr="00895759">
              <w:t xml:space="preserve">ethodological tool on crime prevention </w:t>
            </w:r>
            <w:r w:rsidR="00F900A3">
              <w:t>prepared</w:t>
            </w:r>
            <w:r w:rsidR="00895759">
              <w:t xml:space="preserve"> </w:t>
            </w:r>
            <w:r w:rsidR="00DD4589">
              <w:t xml:space="preserve">and discussed during a national level round table </w:t>
            </w:r>
            <w:r w:rsidR="00895759" w:rsidRPr="00895759">
              <w:t xml:space="preserve">to </w:t>
            </w:r>
            <w:r w:rsidR="00F900A3">
              <w:t xml:space="preserve">guide efforts to establish regular dialogue between local government, police and communities and </w:t>
            </w:r>
            <w:r w:rsidR="00895759" w:rsidRPr="00895759">
              <w:t xml:space="preserve">develop local crime prevention plans in 12 </w:t>
            </w:r>
            <w:r w:rsidR="009A0EBC">
              <w:t xml:space="preserve">PBF </w:t>
            </w:r>
            <w:r w:rsidR="00323394">
              <w:t>priority areas;</w:t>
            </w:r>
          </w:p>
          <w:p w:rsidR="00532930" w:rsidRDefault="00B24E7E" w:rsidP="00532930">
            <w:r>
              <w:t xml:space="preserve">- </w:t>
            </w:r>
            <w:r w:rsidR="00DB48B2">
              <w:t>S</w:t>
            </w:r>
            <w:r w:rsidR="00532930" w:rsidRPr="00B654E5">
              <w:t>tatistical leaflet/</w:t>
            </w:r>
            <w:proofErr w:type="spellStart"/>
            <w:r w:rsidR="00532930" w:rsidRPr="00B654E5">
              <w:t>infographic</w:t>
            </w:r>
            <w:proofErr w:type="spellEnd"/>
            <w:r w:rsidR="00532930" w:rsidRPr="00B654E5">
              <w:t xml:space="preserve"> on minority representation in the police in Kyrgyz and Russian languages</w:t>
            </w:r>
            <w:r w:rsidR="00DB48B2">
              <w:t xml:space="preserve"> elaborated and </w:t>
            </w:r>
            <w:r w:rsidR="00DB48B2" w:rsidRPr="00B654E5">
              <w:t>disseminat</w:t>
            </w:r>
            <w:r w:rsidR="00DB48B2">
              <w:t>ed</w:t>
            </w:r>
            <w:r w:rsidR="00B60FA5">
              <w:t>.</w:t>
            </w:r>
          </w:p>
          <w:p w:rsidR="0027172D" w:rsidRDefault="0027172D" w:rsidP="0027172D"/>
          <w:p w:rsidR="0083790D" w:rsidRDefault="007C0FF2" w:rsidP="0083790D">
            <w:pPr>
              <w:rPr>
                <w:rStyle w:val="af4"/>
              </w:rPr>
            </w:pPr>
            <w:r w:rsidRPr="00DC74A3">
              <w:rPr>
                <w:rStyle w:val="af4"/>
              </w:rPr>
              <w:lastRenderedPageBreak/>
              <w:t xml:space="preserve">Outcome </w:t>
            </w:r>
            <w:r>
              <w:rPr>
                <w:rStyle w:val="af4"/>
              </w:rPr>
              <w:t>2</w:t>
            </w:r>
            <w:r w:rsidRPr="00DC74A3">
              <w:rPr>
                <w:rStyle w:val="af4"/>
              </w:rPr>
              <w:t xml:space="preserve">: </w:t>
            </w:r>
            <w:r w:rsidR="008062AC" w:rsidRPr="00C15C0A">
              <w:t>The Government of the Kyrgyz Republic adopts and implements policies to increase participation and representation of women in the police force and to ensure regular dialogue between police and women in local communities</w:t>
            </w:r>
            <w:r w:rsidR="008062AC">
              <w:t xml:space="preserve"> </w:t>
            </w:r>
          </w:p>
          <w:p w:rsidR="007C0FF2" w:rsidRDefault="007C0FF2" w:rsidP="0027172D"/>
          <w:p w:rsidR="006473FC" w:rsidRDefault="006473FC" w:rsidP="006473FC">
            <w:r>
              <w:t>Evidence of progress:</w:t>
            </w:r>
          </w:p>
          <w:p w:rsidR="00A901B8" w:rsidRDefault="00AA7F5F" w:rsidP="00AA7F5F">
            <w:r w:rsidRPr="00B654E5">
              <w:t>-</w:t>
            </w:r>
            <w:r>
              <w:t xml:space="preserve"> </w:t>
            </w:r>
            <w:r w:rsidR="00A901B8">
              <w:t>See overview of innovations to human resources policies governing the police under outcome 1;</w:t>
            </w:r>
          </w:p>
          <w:p w:rsidR="00A901B8" w:rsidRDefault="00A901B8" w:rsidP="00AA7F5F">
            <w:r>
              <w:t>- P</w:t>
            </w:r>
            <w:r w:rsidRPr="00A901B8">
              <w:t xml:space="preserve">lan for pro-active recruitment, training &amp; career advancement </w:t>
            </w:r>
            <w:r w:rsidR="006C75C4">
              <w:t xml:space="preserve">of women in the police </w:t>
            </w:r>
            <w:r>
              <w:t>developed</w:t>
            </w:r>
            <w:r w:rsidR="006C75C4">
              <w:t>;</w:t>
            </w:r>
            <w:r>
              <w:t xml:space="preserve"> </w:t>
            </w:r>
          </w:p>
          <w:p w:rsidR="00AA7F5F" w:rsidRPr="00B654E5" w:rsidRDefault="00B42AA1" w:rsidP="00AA7F5F">
            <w:r>
              <w:t>- D</w:t>
            </w:r>
            <w:r w:rsidR="00AA7F5F" w:rsidRPr="00B654E5">
              <w:t xml:space="preserve">ecision </w:t>
            </w:r>
            <w:r>
              <w:t xml:space="preserve">taken by the Minister of Interior to </w:t>
            </w:r>
            <w:r w:rsidR="00AA7F5F" w:rsidRPr="00B654E5">
              <w:t>establish a roster of police women who could be considered for appointment in management position</w:t>
            </w:r>
            <w:r w:rsidR="00AA7F5F">
              <w:t>s</w:t>
            </w:r>
            <w:r w:rsidR="00456A59">
              <w:t>;</w:t>
            </w:r>
          </w:p>
          <w:p w:rsidR="006473FC" w:rsidRDefault="00A915E7" w:rsidP="006473FC">
            <w:r>
              <w:t xml:space="preserve">- </w:t>
            </w:r>
            <w:r w:rsidR="00775698">
              <w:t>G</w:t>
            </w:r>
            <w:r w:rsidRPr="00A915E7">
              <w:t xml:space="preserve">ender sensitivity training </w:t>
            </w:r>
            <w:r w:rsidR="00456A59">
              <w:t>r</w:t>
            </w:r>
            <w:r w:rsidR="00456A59" w:rsidRPr="00456A59">
              <w:t xml:space="preserve">olled out </w:t>
            </w:r>
            <w:r w:rsidRPr="00A915E7">
              <w:t xml:space="preserve">in 14 </w:t>
            </w:r>
            <w:r>
              <w:t xml:space="preserve">PBF </w:t>
            </w:r>
            <w:r w:rsidRPr="00A915E7">
              <w:t xml:space="preserve">priority areas </w:t>
            </w:r>
            <w:r w:rsidR="005507EF">
              <w:t>targeting</w:t>
            </w:r>
            <w:r w:rsidRPr="00A915E7">
              <w:t xml:space="preserve"> 215 police officers</w:t>
            </w:r>
            <w:r w:rsidR="005507EF">
              <w:t>;</w:t>
            </w:r>
            <w:r w:rsidRPr="00A915E7">
              <w:t xml:space="preserve"> </w:t>
            </w:r>
            <w:r w:rsidR="005507EF">
              <w:t>training sessions led by</w:t>
            </w:r>
            <w:r w:rsidRPr="00A915E7">
              <w:t xml:space="preserve"> police managers and national trainers</w:t>
            </w:r>
            <w:r w:rsidR="005507EF">
              <w:t xml:space="preserve"> who went through Training of Trainers</w:t>
            </w:r>
            <w:r w:rsidR="00456A59">
              <w:t>.</w:t>
            </w:r>
          </w:p>
          <w:p w:rsidR="005507EF" w:rsidRDefault="005507EF" w:rsidP="006473FC"/>
          <w:p w:rsidR="006473FC" w:rsidRPr="00B654E5" w:rsidRDefault="006473FC" w:rsidP="006473FC">
            <w:r>
              <w:t>Outputs:</w:t>
            </w:r>
          </w:p>
          <w:p w:rsidR="009743A1" w:rsidRPr="009743A1" w:rsidRDefault="009743A1" w:rsidP="009743A1">
            <w:r w:rsidRPr="009743A1">
              <w:t xml:space="preserve">- </w:t>
            </w:r>
            <w:r w:rsidR="009130CE">
              <w:t>Survey</w:t>
            </w:r>
            <w:r>
              <w:t xml:space="preserve"> amongst women police officers on </w:t>
            </w:r>
            <w:r w:rsidR="002F7DC9">
              <w:t xml:space="preserve">policies and practices related to women in the police </w:t>
            </w:r>
            <w:r w:rsidRPr="009743A1">
              <w:t xml:space="preserve">completed; </w:t>
            </w:r>
          </w:p>
          <w:p w:rsidR="004441F4" w:rsidRPr="004441F4" w:rsidRDefault="004441F4" w:rsidP="004441F4">
            <w:r w:rsidRPr="004441F4">
              <w:t xml:space="preserve">- National </w:t>
            </w:r>
            <w:r>
              <w:t xml:space="preserve">Women's </w:t>
            </w:r>
            <w:r w:rsidRPr="004441F4">
              <w:t>Forum</w:t>
            </w:r>
            <w:r w:rsidR="005253A4">
              <w:t xml:space="preserve"> facilitated, including </w:t>
            </w:r>
            <w:r w:rsidRPr="004441F4">
              <w:t>organization of conferences on “Participation of women in political and publi</w:t>
            </w:r>
            <w:r w:rsidR="005253A4">
              <w:t xml:space="preserve">c life” and “Access to Justice”, which involved high level </w:t>
            </w:r>
            <w:proofErr w:type="spellStart"/>
            <w:r w:rsidR="005253A4">
              <w:t>MoI</w:t>
            </w:r>
            <w:proofErr w:type="spellEnd"/>
            <w:r w:rsidR="005253A4">
              <w:t xml:space="preserve"> representatives and addressed issues related to gender sensitivity of the police</w:t>
            </w:r>
            <w:r w:rsidRPr="004441F4">
              <w:t>;</w:t>
            </w:r>
          </w:p>
          <w:p w:rsidR="00C838B4" w:rsidRDefault="004441F4" w:rsidP="004441F4">
            <w:r w:rsidRPr="004441F4">
              <w:t xml:space="preserve">- </w:t>
            </w:r>
            <w:r w:rsidR="00E57559">
              <w:t>H</w:t>
            </w:r>
            <w:r w:rsidRPr="004441F4">
              <w:t xml:space="preserve">igh level visit of the Minister of Justice (former head of police) of Estonia </w:t>
            </w:r>
            <w:r w:rsidR="00775698">
              <w:t>organized</w:t>
            </w:r>
            <w:r w:rsidR="00E57559">
              <w:t xml:space="preserve">, including consultations with the </w:t>
            </w:r>
            <w:r w:rsidRPr="004441F4">
              <w:t xml:space="preserve">KR Minister of Interior </w:t>
            </w:r>
            <w:r w:rsidR="00E57559">
              <w:t>and a</w:t>
            </w:r>
            <w:r w:rsidR="00E57559" w:rsidRPr="00E57559">
              <w:t xml:space="preserve"> public round table discussion on strategic steps </w:t>
            </w:r>
            <w:r w:rsidR="006D340B">
              <w:t xml:space="preserve">needed </w:t>
            </w:r>
            <w:r w:rsidR="00E57559" w:rsidRPr="00E57559">
              <w:t xml:space="preserve">to </w:t>
            </w:r>
            <w:r w:rsidR="00C838B4">
              <w:t xml:space="preserve">strengthen police gender sensitivity and promote </w:t>
            </w:r>
            <w:r w:rsidR="00E57559" w:rsidRPr="00E57559">
              <w:t xml:space="preserve">gender balance in the police; </w:t>
            </w:r>
          </w:p>
          <w:p w:rsidR="00AE3346" w:rsidRDefault="00AE3346" w:rsidP="00AE3346">
            <w:r>
              <w:t xml:space="preserve">- </w:t>
            </w:r>
            <w:r w:rsidR="00775698">
              <w:t>G</w:t>
            </w:r>
            <w:r w:rsidRPr="0027172D">
              <w:t xml:space="preserve">ender webpage </w:t>
            </w:r>
            <w:r w:rsidR="00775698">
              <w:t xml:space="preserve">launched </w:t>
            </w:r>
            <w:r w:rsidRPr="0027172D">
              <w:t>on the official website of the KR Ministry of Interior</w:t>
            </w:r>
            <w:r w:rsidR="00775698">
              <w:t xml:space="preserve"> as an online </w:t>
            </w:r>
            <w:r w:rsidR="00817492">
              <w:t xml:space="preserve">information tool </w:t>
            </w:r>
            <w:r w:rsidR="00775698">
              <w:t xml:space="preserve">on </w:t>
            </w:r>
            <w:r w:rsidR="00817492">
              <w:t>gender and policing:</w:t>
            </w:r>
            <w:r w:rsidR="00B60FA5">
              <w:t xml:space="preserve"> </w:t>
            </w:r>
            <w:hyperlink r:id="rId12" w:history="1">
              <w:r w:rsidR="00B60FA5" w:rsidRPr="00B60FA5">
                <w:rPr>
                  <w:rStyle w:val="af6"/>
                </w:rPr>
                <w:t>http://gender.mvd.kg/</w:t>
              </w:r>
            </w:hyperlink>
            <w:r w:rsidRPr="0027172D">
              <w:t>;</w:t>
            </w:r>
          </w:p>
          <w:p w:rsidR="00207DD4" w:rsidRDefault="00AE3346" w:rsidP="00AE3346">
            <w:r>
              <w:t xml:space="preserve">- </w:t>
            </w:r>
            <w:r w:rsidR="00817492">
              <w:t xml:space="preserve">Training of trainers on police gender sensitivity </w:t>
            </w:r>
            <w:r w:rsidR="005854BE">
              <w:t>or</w:t>
            </w:r>
            <w:r>
              <w:t xml:space="preserve">ganized </w:t>
            </w:r>
            <w:r w:rsidR="005854BE">
              <w:t xml:space="preserve">(Number of participants: </w:t>
            </w:r>
            <w:r w:rsidR="00B60FA5">
              <w:t>18</w:t>
            </w:r>
            <w:r w:rsidR="00207DD4">
              <w:t xml:space="preserve"> </w:t>
            </w:r>
            <w:r w:rsidR="005F1397">
              <w:t xml:space="preserve">senior </w:t>
            </w:r>
            <w:r w:rsidRPr="0027172D">
              <w:t xml:space="preserve">police </w:t>
            </w:r>
            <w:r w:rsidR="005F1397">
              <w:t>managers</w:t>
            </w:r>
            <w:r w:rsidRPr="0027172D">
              <w:t xml:space="preserve"> from regional police units</w:t>
            </w:r>
            <w:r w:rsidR="000B04AD">
              <w:t xml:space="preserve"> in 14 PBF priority locations</w:t>
            </w:r>
            <w:r w:rsidR="00084210">
              <w:t>, of whom 10 female,</w:t>
            </w:r>
            <w:r>
              <w:t xml:space="preserve"> and </w:t>
            </w:r>
            <w:r w:rsidR="00B60FA5">
              <w:t xml:space="preserve">9 </w:t>
            </w:r>
            <w:r>
              <w:t xml:space="preserve">teachers from the </w:t>
            </w:r>
            <w:proofErr w:type="spellStart"/>
            <w:r>
              <w:t>MoI</w:t>
            </w:r>
            <w:proofErr w:type="spellEnd"/>
            <w:r>
              <w:t xml:space="preserve"> Academy and Training Center</w:t>
            </w:r>
            <w:r w:rsidR="00084210">
              <w:t>, of whom 5 female</w:t>
            </w:r>
            <w:r w:rsidR="005854BE">
              <w:t>)</w:t>
            </w:r>
            <w:r>
              <w:t>;</w:t>
            </w:r>
          </w:p>
          <w:p w:rsidR="00207DD4" w:rsidRPr="00B654E5" w:rsidRDefault="00207DD4" w:rsidP="00207DD4">
            <w:r>
              <w:t xml:space="preserve">- </w:t>
            </w:r>
            <w:r w:rsidR="00272CE1">
              <w:t>S</w:t>
            </w:r>
            <w:r w:rsidR="005F1397">
              <w:t xml:space="preserve">eries of </w:t>
            </w:r>
            <w:r>
              <w:t>basic gender sensitivity training</w:t>
            </w:r>
            <w:r w:rsidR="005F1397">
              <w:t>s</w:t>
            </w:r>
            <w:r>
              <w:t xml:space="preserve"> </w:t>
            </w:r>
            <w:r w:rsidRPr="00B654E5">
              <w:t xml:space="preserve">in 14 </w:t>
            </w:r>
            <w:r w:rsidR="005F1397">
              <w:t>PBF</w:t>
            </w:r>
            <w:r>
              <w:t xml:space="preserve"> </w:t>
            </w:r>
            <w:r w:rsidRPr="00B654E5">
              <w:t xml:space="preserve">priority </w:t>
            </w:r>
            <w:r w:rsidR="000B04AD">
              <w:t>locations</w:t>
            </w:r>
            <w:r w:rsidRPr="00B654E5">
              <w:t xml:space="preserve"> </w:t>
            </w:r>
            <w:r w:rsidR="000B04AD">
              <w:t xml:space="preserve">conducted </w:t>
            </w:r>
            <w:r w:rsidR="00AB60C1">
              <w:t xml:space="preserve">(Estimated number of participants: </w:t>
            </w:r>
            <w:r w:rsidRPr="00B654E5">
              <w:t>215 police officers</w:t>
            </w:r>
            <w:r w:rsidR="00AB60C1">
              <w:t>; NB. Training programme still ongoing, final data to be presented in the annual report)</w:t>
            </w:r>
            <w:r w:rsidRPr="00B654E5">
              <w:t>;</w:t>
            </w:r>
          </w:p>
          <w:p w:rsidR="003741FE" w:rsidRDefault="00AE3346" w:rsidP="00AE3346">
            <w:r>
              <w:t xml:space="preserve">- </w:t>
            </w:r>
            <w:r w:rsidR="00591B97">
              <w:t xml:space="preserve">Media competition launched to encourage journalists to </w:t>
            </w:r>
            <w:r w:rsidR="003741FE">
              <w:t xml:space="preserve">write and publish about women in policing so as to raise public awareness of the need to improve gender representation in the police; </w:t>
            </w:r>
          </w:p>
          <w:p w:rsidR="00AE3346" w:rsidRDefault="003741FE" w:rsidP="00AE3346">
            <w:r>
              <w:t xml:space="preserve">- </w:t>
            </w:r>
            <w:r w:rsidR="00291461">
              <w:t xml:space="preserve">Dialogue of the KR Government with the UN Committee on the Elimination of All Forms of </w:t>
            </w:r>
            <w:r w:rsidR="00291461">
              <w:lastRenderedPageBreak/>
              <w:t>Discrimination against Women (CEDAW) facilitated, including by supporting the p</w:t>
            </w:r>
            <w:r w:rsidR="00AE3346" w:rsidRPr="0027172D">
              <w:t xml:space="preserve">articipation of the </w:t>
            </w:r>
            <w:proofErr w:type="spellStart"/>
            <w:r w:rsidR="00AE3346" w:rsidRPr="0027172D">
              <w:t>MoI’s</w:t>
            </w:r>
            <w:proofErr w:type="spellEnd"/>
            <w:r w:rsidR="00AE3346" w:rsidRPr="0027172D">
              <w:t xml:space="preserve"> Gender Adviser in the </w:t>
            </w:r>
            <w:r w:rsidR="00272CE1">
              <w:t xml:space="preserve">KR Government </w:t>
            </w:r>
            <w:r w:rsidR="00AE3346" w:rsidRPr="0027172D">
              <w:t>delegation</w:t>
            </w:r>
            <w:r w:rsidR="00291461">
              <w:t xml:space="preserve">, </w:t>
            </w:r>
            <w:r w:rsidR="005B706F">
              <w:t xml:space="preserve">by </w:t>
            </w:r>
            <w:r w:rsidR="0001752D">
              <w:t xml:space="preserve">contributing to a </w:t>
            </w:r>
            <w:r w:rsidR="00272CE1" w:rsidRPr="00272CE1">
              <w:t>joint submission of the UN Country Team on the implementation of the CEDAW</w:t>
            </w:r>
            <w:r w:rsidR="0001752D">
              <w:t xml:space="preserve"> Convention, and by presenting and discussing C</w:t>
            </w:r>
            <w:r w:rsidR="0058733F">
              <w:t>EDAW recommendations at all gender-related UNODC events.</w:t>
            </w:r>
          </w:p>
          <w:p w:rsidR="007C0FF2" w:rsidRDefault="007C0FF2" w:rsidP="0027172D"/>
          <w:p w:rsidR="00654A5F" w:rsidRDefault="00654A5F" w:rsidP="00654A5F">
            <w:r w:rsidRPr="00DC74A3">
              <w:rPr>
                <w:rStyle w:val="af4"/>
              </w:rPr>
              <w:t xml:space="preserve">Outcome </w:t>
            </w:r>
            <w:r>
              <w:rPr>
                <w:rStyle w:val="af4"/>
              </w:rPr>
              <w:t>3</w:t>
            </w:r>
            <w:r w:rsidRPr="00DC74A3">
              <w:rPr>
                <w:rStyle w:val="af4"/>
              </w:rPr>
              <w:t xml:space="preserve">: </w:t>
            </w:r>
            <w:r w:rsidR="00343778" w:rsidRPr="002C4C40">
              <w:t>Police becomes more accountable and responsive to the grievances/needs of people through established complaints handling procedures and more effective independent monitoring of police performance.</w:t>
            </w:r>
          </w:p>
          <w:p w:rsidR="0086121A" w:rsidRDefault="0086121A" w:rsidP="00654A5F">
            <w:pPr>
              <w:rPr>
                <w:rStyle w:val="af4"/>
              </w:rPr>
            </w:pPr>
          </w:p>
          <w:p w:rsidR="00EB544E" w:rsidRDefault="00EB544E" w:rsidP="00EB544E">
            <w:r>
              <w:t>Evidence of progress:</w:t>
            </w:r>
          </w:p>
          <w:p w:rsidR="002B55F2" w:rsidRDefault="002B55F2" w:rsidP="00EB544E">
            <w:r>
              <w:t xml:space="preserve">- Information leaflet on the </w:t>
            </w:r>
            <w:proofErr w:type="spellStart"/>
            <w:r>
              <w:t>MoI's</w:t>
            </w:r>
            <w:proofErr w:type="spellEnd"/>
            <w:r>
              <w:t xml:space="preserve"> complaints handling procedure developed by the </w:t>
            </w:r>
            <w:proofErr w:type="spellStart"/>
            <w:r>
              <w:t>MoI's</w:t>
            </w:r>
            <w:proofErr w:type="spellEnd"/>
            <w:r>
              <w:t xml:space="preserve"> Internal Oversight Department;</w:t>
            </w:r>
          </w:p>
          <w:p w:rsidR="004B784E" w:rsidRDefault="004B784E" w:rsidP="004B784E">
            <w:r>
              <w:t xml:space="preserve">- Public awareness raising </w:t>
            </w:r>
            <w:r w:rsidRPr="00CA6834">
              <w:t xml:space="preserve">campaign </w:t>
            </w:r>
            <w:r>
              <w:t xml:space="preserve">on complaints handling procedures launched </w:t>
            </w:r>
            <w:r w:rsidRPr="00CA6834">
              <w:t xml:space="preserve">to increase police accountability </w:t>
            </w:r>
            <w:r>
              <w:t xml:space="preserve">with </w:t>
            </w:r>
            <w:r w:rsidRPr="00BE3EA0">
              <w:t>involvement of lawyers and civil society;</w:t>
            </w:r>
          </w:p>
          <w:p w:rsidR="00B34A34" w:rsidRPr="00EB544E" w:rsidRDefault="00244189" w:rsidP="00EB544E">
            <w:r>
              <w:t xml:space="preserve">- </w:t>
            </w:r>
            <w:r w:rsidR="00D015F6">
              <w:t xml:space="preserve">1 report on police gender sensitivity published and </w:t>
            </w:r>
            <w:r>
              <w:t xml:space="preserve">2 reports on </w:t>
            </w:r>
            <w:r w:rsidR="005938B4">
              <w:t>police performance under preparation.</w:t>
            </w:r>
          </w:p>
          <w:p w:rsidR="00EB544E" w:rsidRDefault="00EB544E" w:rsidP="00654A5F">
            <w:pPr>
              <w:rPr>
                <w:rStyle w:val="af4"/>
              </w:rPr>
            </w:pPr>
          </w:p>
          <w:p w:rsidR="00EB544E" w:rsidRPr="00EB544E" w:rsidRDefault="00EB544E" w:rsidP="00EB544E">
            <w:r>
              <w:t>Outputs:</w:t>
            </w:r>
          </w:p>
          <w:p w:rsidR="00280ABC" w:rsidRDefault="00280ABC" w:rsidP="00280ABC">
            <w:r>
              <w:t>-</w:t>
            </w:r>
            <w:r w:rsidRPr="00CA6834">
              <w:t xml:space="preserve"> </w:t>
            </w:r>
            <w:r>
              <w:t>U</w:t>
            </w:r>
            <w:r w:rsidRPr="002C4C40">
              <w:t>nified e-accounting system on disciplinary and other measures against police officers who violate the law and internal rules of conduct</w:t>
            </w:r>
            <w:r>
              <w:t xml:space="preserve"> developed and launched;</w:t>
            </w:r>
            <w:r w:rsidRPr="00BE3EA0">
              <w:t xml:space="preserve">  </w:t>
            </w:r>
          </w:p>
          <w:p w:rsidR="007A54FB" w:rsidRDefault="007A54FB" w:rsidP="007A54FB">
            <w:r>
              <w:t>- Preparatory work (tender procedures) for refurbishment and construction of 3 police stations in PBF locations completed in order to improve reception facilities</w:t>
            </w:r>
            <w:r w:rsidR="00F62CBC">
              <w:t xml:space="preserve"> and overall police services</w:t>
            </w:r>
            <w:r>
              <w:t>;</w:t>
            </w:r>
          </w:p>
          <w:p w:rsidR="002660FC" w:rsidRDefault="00B34A34" w:rsidP="00B34A34">
            <w:r>
              <w:t xml:space="preserve">- </w:t>
            </w:r>
            <w:r w:rsidR="002660FC">
              <w:t>Manual and information brochure for citizens on procedures to complain about police misconduct developed and published</w:t>
            </w:r>
            <w:r w:rsidR="0051314F">
              <w:t xml:space="preserve"> in Kyrgyz and Russian languages</w:t>
            </w:r>
            <w:r w:rsidR="002660FC">
              <w:t>;</w:t>
            </w:r>
          </w:p>
          <w:p w:rsidR="00B34A34" w:rsidRDefault="00C464F9" w:rsidP="00B34A34">
            <w:r>
              <w:t>- Manual for citizens on their rights in case of administrative detention</w:t>
            </w:r>
            <w:r w:rsidR="0051314F">
              <w:t xml:space="preserve"> developed and published in Kyrgyz and Russian languages</w:t>
            </w:r>
            <w:r w:rsidR="00B34A34">
              <w:t>;</w:t>
            </w:r>
          </w:p>
          <w:p w:rsidR="004670A2" w:rsidRDefault="004670A2" w:rsidP="00654A5F">
            <w:r>
              <w:t xml:space="preserve">- Poster with contact details of the </w:t>
            </w:r>
            <w:proofErr w:type="spellStart"/>
            <w:r>
              <w:t>MoI</w:t>
            </w:r>
            <w:proofErr w:type="spellEnd"/>
            <w:r>
              <w:t xml:space="preserve"> Internal Oversight Department developed;</w:t>
            </w:r>
          </w:p>
          <w:p w:rsidR="002E1853" w:rsidRDefault="00654A5F" w:rsidP="00654A5F">
            <w:r>
              <w:t xml:space="preserve">- </w:t>
            </w:r>
            <w:r w:rsidR="001F13DB">
              <w:t xml:space="preserve">6 public events held </w:t>
            </w:r>
            <w:r w:rsidR="0043302A">
              <w:t xml:space="preserve">in Bishkek and provinces </w:t>
            </w:r>
            <w:r w:rsidR="001F13DB">
              <w:t xml:space="preserve">targeting local government, police, civil society, </w:t>
            </w:r>
            <w:r w:rsidR="002E1853">
              <w:t>Ombudsman, NPM and media on police complaints handling procedures (127 participants, of whom 69 women);</w:t>
            </w:r>
            <w:r w:rsidR="0043302A">
              <w:t xml:space="preserve"> </w:t>
            </w:r>
          </w:p>
          <w:p w:rsidR="00DF16F8" w:rsidRDefault="002E1853" w:rsidP="00654A5F">
            <w:r>
              <w:t xml:space="preserve">- </w:t>
            </w:r>
            <w:r w:rsidR="00DF16F8">
              <w:t xml:space="preserve">Hotline established for people to receive legal advice on cases of police misconduct; this hotline is </w:t>
            </w:r>
            <w:r w:rsidR="00F62CBC">
              <w:t>operated</w:t>
            </w:r>
            <w:r w:rsidR="00DF16F8">
              <w:t xml:space="preserve"> by a local NGO with a network of lawyers throughout the country;</w:t>
            </w:r>
          </w:p>
          <w:p w:rsidR="00654A5F" w:rsidRDefault="00DF16F8" w:rsidP="00654A5F">
            <w:r>
              <w:t xml:space="preserve">- </w:t>
            </w:r>
            <w:r w:rsidR="00C2737C">
              <w:t>As</w:t>
            </w:r>
            <w:r w:rsidR="00654A5F" w:rsidRPr="00BE3EA0">
              <w:t>sessment o</w:t>
            </w:r>
            <w:r w:rsidR="00654A5F">
              <w:t>n</w:t>
            </w:r>
            <w:r w:rsidR="00654A5F" w:rsidRPr="00BE3EA0">
              <w:t xml:space="preserve"> the effectiveness of the current </w:t>
            </w:r>
            <w:proofErr w:type="spellStart"/>
            <w:r w:rsidR="00654A5F" w:rsidRPr="00BE3EA0">
              <w:t>MoI</w:t>
            </w:r>
            <w:proofErr w:type="spellEnd"/>
            <w:r w:rsidR="00654A5F" w:rsidRPr="00BE3EA0">
              <w:t xml:space="preserve"> internal oversight and complaints handling system</w:t>
            </w:r>
            <w:r w:rsidR="00C2737C">
              <w:t xml:space="preserve"> </w:t>
            </w:r>
            <w:r w:rsidR="00C2737C">
              <w:lastRenderedPageBreak/>
              <w:t>conducted</w:t>
            </w:r>
            <w:r w:rsidR="00654A5F">
              <w:t>;</w:t>
            </w:r>
          </w:p>
          <w:p w:rsidR="00C2737C" w:rsidRPr="006502A3" w:rsidRDefault="00C2737C" w:rsidP="00C2737C">
            <w:r>
              <w:t>-</w:t>
            </w:r>
            <w:r w:rsidRPr="006502A3">
              <w:t xml:space="preserve"> </w:t>
            </w:r>
            <w:r>
              <w:t xml:space="preserve"> </w:t>
            </w:r>
            <w:r w:rsidR="00011F26">
              <w:t xml:space="preserve">Study </w:t>
            </w:r>
            <w:r w:rsidR="00011F26" w:rsidRPr="006502A3">
              <w:t xml:space="preserve">on police labor rights </w:t>
            </w:r>
            <w:r w:rsidR="00011F26">
              <w:t>by the</w:t>
            </w:r>
            <w:r w:rsidRPr="006502A3">
              <w:t xml:space="preserve"> KR Ombudsman Institute</w:t>
            </w:r>
            <w:r>
              <w:t xml:space="preserve"> </w:t>
            </w:r>
            <w:r w:rsidR="00011F26">
              <w:t xml:space="preserve">facilitated, including a </w:t>
            </w:r>
            <w:r w:rsidRPr="006502A3">
              <w:t xml:space="preserve">survey </w:t>
            </w:r>
            <w:r w:rsidR="00011F26">
              <w:t xml:space="preserve">amongst </w:t>
            </w:r>
            <w:r w:rsidRPr="006502A3">
              <w:t xml:space="preserve">1500 police officers from all </w:t>
            </w:r>
            <w:r>
              <w:t>provinces</w:t>
            </w:r>
            <w:r w:rsidR="00011F26">
              <w:t xml:space="preserve"> (NB. </w:t>
            </w:r>
            <w:r w:rsidR="00C012FB">
              <w:t>Results to be presented</w:t>
            </w:r>
            <w:r w:rsidRPr="006502A3">
              <w:t xml:space="preserve"> </w:t>
            </w:r>
            <w:r w:rsidR="00C012FB">
              <w:t xml:space="preserve">during </w:t>
            </w:r>
            <w:r w:rsidRPr="006502A3">
              <w:t>the next reporting period</w:t>
            </w:r>
            <w:r w:rsidR="00C012FB">
              <w:t>)</w:t>
            </w:r>
            <w:r w:rsidRPr="006502A3">
              <w:t>;</w:t>
            </w:r>
          </w:p>
          <w:p w:rsidR="00D015F6" w:rsidRDefault="00D015F6" w:rsidP="00D015F6">
            <w:r>
              <w:t>- A</w:t>
            </w:r>
            <w:r w:rsidRPr="009130CE">
              <w:t xml:space="preserve">nalysis on the implementation of recommendations from a 2010 study on women in the </w:t>
            </w:r>
            <w:proofErr w:type="spellStart"/>
            <w:r w:rsidRPr="009130CE">
              <w:t>MoI’s</w:t>
            </w:r>
            <w:proofErr w:type="spellEnd"/>
            <w:r w:rsidRPr="009130CE">
              <w:t xml:space="preserve"> headquarters</w:t>
            </w:r>
            <w:r>
              <w:t xml:space="preserve"> conducted</w:t>
            </w:r>
            <w:r w:rsidR="00651088">
              <w:t xml:space="preserve"> and results presented at public events organized under outcome 2</w:t>
            </w:r>
            <w:r w:rsidRPr="009130CE">
              <w:t>;</w:t>
            </w:r>
          </w:p>
          <w:p w:rsidR="00D26C1B" w:rsidRDefault="00D5100E" w:rsidP="000C302E">
            <w:r>
              <w:t>- Anti-corruption expertise on the draft new Criminal Procedure Code</w:t>
            </w:r>
            <w:r w:rsidR="00D26C1B">
              <w:t xml:space="preserve"> commissioned</w:t>
            </w:r>
            <w:r w:rsidR="006D04AF">
              <w:t xml:space="preserve"> (currently ongoing)</w:t>
            </w:r>
            <w:r w:rsidR="00D26C1B">
              <w:t>; this draft law has been tabled</w:t>
            </w:r>
            <w:r>
              <w:t xml:space="preserve"> in the KR Parliament</w:t>
            </w:r>
            <w:r w:rsidR="00D26C1B">
              <w:t xml:space="preserve"> and includes provisions regulating</w:t>
            </w:r>
            <w:r>
              <w:t xml:space="preserve"> police powers in relation to </w:t>
            </w:r>
            <w:proofErr w:type="spellStart"/>
            <w:r w:rsidR="008F6614">
              <w:t>i.a</w:t>
            </w:r>
            <w:proofErr w:type="spellEnd"/>
            <w:r w:rsidR="008F6614">
              <w:t xml:space="preserve">. </w:t>
            </w:r>
            <w:r>
              <w:t>arrest, detention and investigations;</w:t>
            </w:r>
          </w:p>
          <w:p w:rsidR="006502A3" w:rsidRDefault="00CF65D3" w:rsidP="000C302E">
            <w:r>
              <w:t>- P</w:t>
            </w:r>
            <w:r w:rsidRPr="00D569C6">
              <w:t>ublic hearings on the annual report of the KR Ombudsman, includ</w:t>
            </w:r>
            <w:r w:rsidR="000C302E">
              <w:t>ing</w:t>
            </w:r>
            <w:r w:rsidRPr="00D569C6">
              <w:t xml:space="preserve"> monitoring results on police performance</w:t>
            </w:r>
            <w:r w:rsidR="000C302E">
              <w:t>, supported</w:t>
            </w:r>
            <w:r w:rsidR="004D2EC3">
              <w:t>;</w:t>
            </w:r>
          </w:p>
          <w:p w:rsidR="004D2EC3" w:rsidRPr="000D4837" w:rsidRDefault="004D2EC3" w:rsidP="000C302E">
            <w:pPr>
              <w:rPr>
                <w:rFonts w:cs="Times New Roman"/>
                <w:b/>
                <w:sz w:val="22"/>
                <w:szCs w:val="22"/>
              </w:rPr>
            </w:pPr>
            <w:r>
              <w:t>- Information on the mandate of the KR Ombudsman and NPM included in the abovementioned manual for citizens on police complaints handling procedures.</w:t>
            </w:r>
          </w:p>
        </w:tc>
      </w:tr>
      <w:tr w:rsidR="00B127F2" w:rsidRPr="000D4837" w:rsidTr="00B60FA5">
        <w:tc>
          <w:tcPr>
            <w:tcW w:w="3103" w:type="dxa"/>
            <w:shd w:val="clear" w:color="auto" w:fill="auto"/>
          </w:tcPr>
          <w:p w:rsidR="00B127F2" w:rsidRDefault="00B127F2"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proofErr w:type="spellStart"/>
            <w:r w:rsidRPr="000D4837">
              <w:rPr>
                <w:rFonts w:cs="Times New Roman"/>
                <w:i/>
                <w:color w:val="000000"/>
                <w:sz w:val="22"/>
                <w:szCs w:val="22"/>
              </w:rPr>
              <w:t>peacebuilding</w:t>
            </w:r>
            <w:proofErr w:type="spellEnd"/>
            <w:r>
              <w:rPr>
                <w:rFonts w:cs="Times New Roman"/>
                <w:i/>
                <w:color w:val="000000"/>
                <w:sz w:val="22"/>
                <w:szCs w:val="22"/>
              </w:rPr>
              <w:t>?</w:t>
            </w:r>
          </w:p>
          <w:p w:rsidR="00030833" w:rsidRPr="000D4837" w:rsidRDefault="00096385" w:rsidP="00B127F2">
            <w:pPr>
              <w:outlineLvl w:val="0"/>
              <w:rPr>
                <w:bCs/>
                <w:i/>
                <w:sz w:val="22"/>
                <w:szCs w:val="22"/>
              </w:rPr>
            </w:pPr>
            <w:r>
              <w:rPr>
                <w:rFonts w:cs="Times New Roman"/>
                <w:i/>
                <w:color w:val="000000"/>
                <w:sz w:val="22"/>
                <w:szCs w:val="22"/>
              </w:rPr>
              <w:t>(250 words max.)</w:t>
            </w:r>
          </w:p>
        </w:tc>
        <w:tc>
          <w:tcPr>
            <w:tcW w:w="10206" w:type="dxa"/>
            <w:shd w:val="clear" w:color="auto" w:fill="auto"/>
          </w:tcPr>
          <w:p w:rsidR="00645C76" w:rsidRPr="00645C76" w:rsidRDefault="00645C76" w:rsidP="00645C76">
            <w:r>
              <w:t>At the project level, the following trends are considered positive:</w:t>
            </w:r>
          </w:p>
          <w:p w:rsidR="00645C76" w:rsidRDefault="00645C76" w:rsidP="00645C76">
            <w:r>
              <w:t xml:space="preserve"> - A reduction in the number of inter-ethnic conflicts has been reported by the police in the multi-ethnic (Kyrgyz, Tajik) border village </w:t>
            </w:r>
            <w:proofErr w:type="spellStart"/>
            <w:r>
              <w:t>Tash</w:t>
            </w:r>
            <w:proofErr w:type="spellEnd"/>
            <w:r>
              <w:t xml:space="preserve"> </w:t>
            </w:r>
            <w:proofErr w:type="spellStart"/>
            <w:r>
              <w:t>Tumshuk</w:t>
            </w:r>
            <w:proofErr w:type="spellEnd"/>
            <w:r>
              <w:t xml:space="preserve">, </w:t>
            </w:r>
            <w:proofErr w:type="spellStart"/>
            <w:r>
              <w:t>Ak</w:t>
            </w:r>
            <w:proofErr w:type="spellEnd"/>
            <w:r>
              <w:t xml:space="preserve"> Say municipality in </w:t>
            </w:r>
            <w:proofErr w:type="spellStart"/>
            <w:r>
              <w:t>Batken</w:t>
            </w:r>
            <w:proofErr w:type="spellEnd"/>
            <w:r>
              <w:t xml:space="preserve"> province (0 cases reported during the first quarter of 2015 as opposed to 12 during the same period in 2014); UNODC renovated a police station in this village in 2014 and facilitated the development of a local crime prevention action plan, which was adopted by the local authorities (NB. using funding sources outside the PBF);  </w:t>
            </w:r>
          </w:p>
          <w:p w:rsidR="00645C76" w:rsidRDefault="00645C76" w:rsidP="00645C76">
            <w:r>
              <w:t xml:space="preserve">- The </w:t>
            </w:r>
            <w:proofErr w:type="spellStart"/>
            <w:r>
              <w:t>MoI</w:t>
            </w:r>
            <w:proofErr w:type="spellEnd"/>
            <w:r>
              <w:t xml:space="preserve"> has taken independent steps to enhance its human resources capacity at the local level in order to work in closer contact with local communities;</w:t>
            </w:r>
          </w:p>
          <w:p w:rsidR="00645C76" w:rsidRDefault="00645C76" w:rsidP="00645C76">
            <w:r>
              <w:t xml:space="preserve">- The decision of the Minister of Interior to establish a roster </w:t>
            </w:r>
            <w:r w:rsidRPr="00B654E5">
              <w:t>of police women who could be considered for appointment in management position</w:t>
            </w:r>
            <w:r>
              <w:t>s is unprecedented and , if successfully implemented, can serve as an example for other State bodies;</w:t>
            </w:r>
          </w:p>
          <w:p w:rsidR="00645C76" w:rsidRDefault="00645C76" w:rsidP="00645C76">
            <w:r>
              <w:t xml:space="preserve">- The </w:t>
            </w:r>
            <w:proofErr w:type="spellStart"/>
            <w:r>
              <w:t>MoI's</w:t>
            </w:r>
            <w:proofErr w:type="spellEnd"/>
            <w:r>
              <w:t xml:space="preserve"> Internal Oversight Department has shown willingness and openness to engage more actively with civil society, including by developing its own information materials on complaints handling procedures in cases of police misconduct. </w:t>
            </w:r>
          </w:p>
          <w:p w:rsidR="00645C76" w:rsidRDefault="00645C76" w:rsidP="00645C76"/>
          <w:p w:rsidR="00A30A91" w:rsidRPr="000D4837" w:rsidRDefault="00645C76" w:rsidP="00245590">
            <w:pPr>
              <w:rPr>
                <w:rFonts w:cs="Times New Roman"/>
                <w:b/>
                <w:sz w:val="22"/>
                <w:szCs w:val="22"/>
              </w:rPr>
            </w:pPr>
            <w:r>
              <w:t>Overall, b</w:t>
            </w:r>
            <w:r w:rsidR="00F30069">
              <w:t>uilding</w:t>
            </w:r>
            <w:r w:rsidR="00D47594" w:rsidRPr="00D47594">
              <w:t xml:space="preserve"> a democratically accountable </w:t>
            </w:r>
            <w:r w:rsidR="00A73611">
              <w:t>police service</w:t>
            </w:r>
            <w:r w:rsidR="00D47594" w:rsidRPr="00D47594">
              <w:t xml:space="preserve"> that protects human rights </w:t>
            </w:r>
            <w:r w:rsidR="00F30069">
              <w:t>remains</w:t>
            </w:r>
            <w:r w:rsidR="00D47594" w:rsidRPr="00D47594">
              <w:t xml:space="preserve"> a challenge in the Kyrgyz Republic. </w:t>
            </w:r>
            <w:r w:rsidR="006378BA">
              <w:t>Recent population surveys (as conducted by the Civic Union "For reform and results"</w:t>
            </w:r>
            <w:r w:rsidR="00D13F5E">
              <w:t xml:space="preserve"> amongst a sample of 1300 people</w:t>
            </w:r>
            <w:r w:rsidR="006378BA">
              <w:t>)</w:t>
            </w:r>
            <w:r w:rsidR="00D13F5E">
              <w:t xml:space="preserve"> show that most people don't see any particular changes in the work of the police (63.2% of respondents). </w:t>
            </w:r>
            <w:r w:rsidR="0042508B">
              <w:t xml:space="preserve">Slight improvements in the level of public </w:t>
            </w:r>
            <w:r w:rsidR="0042508B">
              <w:lastRenderedPageBreak/>
              <w:t xml:space="preserve">trust in the police were registered (57.7% trusted the police, 3.7% more than a previous survey conducted in August 2014). </w:t>
            </w:r>
            <w:r w:rsidR="00333AC1">
              <w:t xml:space="preserve">The Baseline Survey for the Peace Building Priority Plan concluded that perceptions of competency in justice provision and, in particular, police services, appear to be higher in PBF target areas than in control areas. </w:t>
            </w:r>
            <w:r w:rsidR="00AD587F">
              <w:t>The survey noted a trend in improved perceptions towards institutions situated closer to the respondent when comparing central and local administrations. This reinforces the necessity of extending the reach of central institutions</w:t>
            </w:r>
            <w:r w:rsidR="007C74EE">
              <w:t>, including the police,</w:t>
            </w:r>
            <w:r w:rsidR="00AD587F">
              <w:t xml:space="preserve"> to local communities.</w:t>
            </w:r>
            <w:r w:rsidR="007C74EE">
              <w:t xml:space="preserve"> The survey also indicated </w:t>
            </w:r>
            <w:r w:rsidR="00AD587F" w:rsidRPr="00AD587F">
              <w:t xml:space="preserve">that a substantial portion of the population does not believe state institutions are making efforts to communicate with local populations. </w:t>
            </w:r>
            <w:r w:rsidR="00245590">
              <w:t>Only</w:t>
            </w:r>
            <w:r w:rsidR="00AD587F" w:rsidRPr="00AD587F">
              <w:t xml:space="preserve"> one fifth of respondents rated institutions as ‘always’ communicating. </w:t>
            </w:r>
            <w:r w:rsidR="007C74EE">
              <w:t>Hence, UNODC project interventions will need to continue to focus on building dialogue between police and communities at the local level</w:t>
            </w:r>
            <w:r>
              <w:t xml:space="preserve"> and strengthening police accountability.</w:t>
            </w:r>
          </w:p>
        </w:tc>
      </w:tr>
      <w:tr w:rsidR="00B127F2" w:rsidRPr="000D4837" w:rsidTr="00B60FA5">
        <w:tc>
          <w:tcPr>
            <w:tcW w:w="3103" w:type="dxa"/>
            <w:shd w:val="clear" w:color="auto" w:fill="auto"/>
          </w:tcPr>
          <w:p w:rsidR="00B127F2" w:rsidRDefault="00B127F2" w:rsidP="00D76427">
            <w:pPr>
              <w:outlineLvl w:val="0"/>
              <w:rPr>
                <w:rFonts w:cs="Times New Roman"/>
                <w:i/>
                <w:color w:val="000000"/>
                <w:sz w:val="22"/>
                <w:szCs w:val="22"/>
              </w:rPr>
            </w:pPr>
            <w:r w:rsidRPr="000D4837">
              <w:rPr>
                <w:rFonts w:cs="Times New Roman"/>
                <w:i/>
                <w:color w:val="000000"/>
                <w:sz w:val="22"/>
                <w:szCs w:val="22"/>
              </w:rPr>
              <w:lastRenderedPageBreak/>
              <w:t>Were there catalytic effects from the project in the period reported, including additional funding commitments or unleashing/ unblocking of any peace relevant processes?</w:t>
            </w:r>
          </w:p>
          <w:p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10206" w:type="dxa"/>
            <w:shd w:val="clear" w:color="auto" w:fill="auto"/>
          </w:tcPr>
          <w:p w:rsidR="00A03322" w:rsidRDefault="00A03322" w:rsidP="00A03322">
            <w:r>
              <w:t>The project's efforts to establish dialogue platforms on public safety and crime prevention and</w:t>
            </w:r>
            <w:r w:rsidR="009C40BA">
              <w:t xml:space="preserve"> to</w:t>
            </w:r>
            <w:r>
              <w:t xml:space="preserve"> promote the development of local crime prevention plans has been accompanied by modest, but useful funding commitments (to date approximately 11,000 USD) by local authorities</w:t>
            </w:r>
            <w:r w:rsidR="009C40BA">
              <w:t xml:space="preserve">. These funds help to build social partnerships at the local level, </w:t>
            </w:r>
            <w:r>
              <w:t>support</w:t>
            </w:r>
            <w:r w:rsidR="009C40BA">
              <w:t>ing</w:t>
            </w:r>
            <w:r>
              <w:t xml:space="preserve"> </w:t>
            </w:r>
            <w:r w:rsidR="004B51FE">
              <w:t xml:space="preserve">efforts to </w:t>
            </w:r>
            <w:r>
              <w:t>strengthen local crime</w:t>
            </w:r>
            <w:r w:rsidR="008A4F85">
              <w:t xml:space="preserve"> prevention </w:t>
            </w:r>
            <w:proofErr w:type="spellStart"/>
            <w:r w:rsidR="008A4F85">
              <w:t>centres</w:t>
            </w:r>
            <w:proofErr w:type="spellEnd"/>
            <w:r w:rsidR="008A4F85">
              <w:t>, improv</w:t>
            </w:r>
            <w:r w:rsidR="004B51FE">
              <w:t>e</w:t>
            </w:r>
            <w:r w:rsidR="008A4F85">
              <w:t xml:space="preserve"> reception areas in police stations and implement </w:t>
            </w:r>
            <w:r w:rsidR="00C566C3">
              <w:t xml:space="preserve">sports and cultural </w:t>
            </w:r>
            <w:r w:rsidR="008A4F85">
              <w:t>activities for local communities and youth</w:t>
            </w:r>
            <w:r w:rsidR="00C566C3">
              <w:t xml:space="preserve"> so as to keep </w:t>
            </w:r>
            <w:r w:rsidR="004B51FE">
              <w:t xml:space="preserve">people </w:t>
            </w:r>
            <w:r w:rsidR="00C566C3">
              <w:t>away from crime and</w:t>
            </w:r>
            <w:r w:rsidR="008A4F85">
              <w:t xml:space="preserve"> </w:t>
            </w:r>
            <w:r w:rsidR="00C566C3">
              <w:t xml:space="preserve">promote </w:t>
            </w:r>
            <w:r w:rsidR="008A4F85">
              <w:t>healthy life styles</w:t>
            </w:r>
            <w:r>
              <w:t>.</w:t>
            </w:r>
          </w:p>
          <w:p w:rsidR="00194D00" w:rsidRDefault="00194D00" w:rsidP="00467BC8"/>
          <w:p w:rsidR="00B127F2" w:rsidRPr="000D4837" w:rsidRDefault="008F1E26" w:rsidP="002E0014">
            <w:pPr>
              <w:rPr>
                <w:rFonts w:cs="Times New Roman"/>
                <w:b/>
                <w:sz w:val="22"/>
                <w:szCs w:val="22"/>
              </w:rPr>
            </w:pPr>
            <w:r>
              <w:t>The project has steadily advocated for increased representation of women in the police service and the promotion of gender sensitivit</w:t>
            </w:r>
            <w:r w:rsidR="00D27E18">
              <w:t xml:space="preserve">y in the police. Despite the sensitive nature of this issue, the project has developed and discussed with the </w:t>
            </w:r>
            <w:proofErr w:type="spellStart"/>
            <w:r w:rsidR="00D27E18">
              <w:t>MoI</w:t>
            </w:r>
            <w:proofErr w:type="spellEnd"/>
            <w:r w:rsidR="00D27E18">
              <w:t xml:space="preserve"> a 7 step action plan, of which some activities are now being implemented. As mentioned above, one of the initiatives that ha</w:t>
            </w:r>
            <w:r w:rsidR="00BF7A57">
              <w:t>s</w:t>
            </w:r>
            <w:r w:rsidR="00D27E18">
              <w:t xml:space="preserve"> come out of this is </w:t>
            </w:r>
            <w:r w:rsidR="00BF7A57">
              <w:t xml:space="preserve">the establishment of a roster </w:t>
            </w:r>
            <w:r w:rsidR="00BF7A57" w:rsidRPr="00B654E5">
              <w:t>of police women who could be considered for appointment in management position</w:t>
            </w:r>
            <w:r w:rsidR="00BF7A57">
              <w:t xml:space="preserve">s. A mentoring programme </w:t>
            </w:r>
            <w:r w:rsidR="002E0014">
              <w:t xml:space="preserve">for police women, including capacity development </w:t>
            </w:r>
            <w:r w:rsidR="002D0170">
              <w:t xml:space="preserve">of police women </w:t>
            </w:r>
            <w:r w:rsidR="002E0014">
              <w:t xml:space="preserve">and the </w:t>
            </w:r>
            <w:r w:rsidR="002D0170">
              <w:t>organization</w:t>
            </w:r>
            <w:r w:rsidR="002E0014">
              <w:t xml:space="preserve"> of promotional work amongst youth to encourage more young women and girls to consider a career in the police, is also foreseen. </w:t>
            </w:r>
            <w:r w:rsidR="00BF7A57">
              <w:t xml:space="preserve"> </w:t>
            </w:r>
          </w:p>
        </w:tc>
      </w:tr>
      <w:tr w:rsidR="00CC0EED" w:rsidRPr="000D4837" w:rsidTr="00B60FA5">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sidR="005E2170">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206" w:type="dxa"/>
            <w:shd w:val="clear" w:color="auto" w:fill="auto"/>
          </w:tcPr>
          <w:p w:rsidR="00D569A0" w:rsidRDefault="0040552C" w:rsidP="007010CE">
            <w:r>
              <w:t>M</w:t>
            </w:r>
            <w:r w:rsidRPr="00462D7E">
              <w:t xml:space="preserve">inority representation in the police </w:t>
            </w:r>
            <w:r>
              <w:t>remains</w:t>
            </w:r>
            <w:r w:rsidRPr="00462D7E">
              <w:t xml:space="preserve"> a politically sensitive issue. Political will to take concrete measures to improve the situation is low. The project</w:t>
            </w:r>
            <w:r w:rsidR="00125979">
              <w:t xml:space="preserve"> </w:t>
            </w:r>
            <w:r w:rsidR="00B96E99">
              <w:t>continues to</w:t>
            </w:r>
            <w:r w:rsidRPr="00462D7E">
              <w:t xml:space="preserve"> employ diverse strategies to address this. These include: a)</w:t>
            </w:r>
            <w:r w:rsidRPr="0040552C">
              <w:t xml:space="preserve"> </w:t>
            </w:r>
            <w:r w:rsidR="002D0170" w:rsidRPr="0040552C">
              <w:t>mobilizing</w:t>
            </w:r>
            <w:r w:rsidRPr="0040552C">
              <w:t xml:space="preserve"> support and building public demand for change by facilitating coordination on police reform between all relevant stakeholders, including civil society</w:t>
            </w:r>
            <w:r w:rsidR="007010CE">
              <w:t xml:space="preserve"> (The project works to strengthen existing civil society networks in the area of police reform and police accountability, e.g. Civic Union "For reform and Results" and </w:t>
            </w:r>
            <w:proofErr w:type="spellStart"/>
            <w:r w:rsidR="007010CE">
              <w:t>Golos</w:t>
            </w:r>
            <w:proofErr w:type="spellEnd"/>
            <w:r w:rsidR="007010CE">
              <w:t xml:space="preserve"> </w:t>
            </w:r>
            <w:proofErr w:type="spellStart"/>
            <w:r w:rsidR="007010CE">
              <w:t>Svobody</w:t>
            </w:r>
            <w:proofErr w:type="spellEnd"/>
            <w:r w:rsidR="007010CE">
              <w:t xml:space="preserve"> network of lawyers)</w:t>
            </w:r>
            <w:r w:rsidRPr="0040552C">
              <w:t xml:space="preserve">; b) </w:t>
            </w:r>
            <w:r w:rsidRPr="0040552C">
              <w:lastRenderedPageBreak/>
              <w:t>placing a focus on key reforms that are expected to open up the police service to a more diverse pool of candidates and change the internal working culture, namely the introduction of competitive recruitment procedures for police officers and new police performance evaluation policies; c) refocusing the work at the local level on issues related to crime prevention and public safety as a less sensitive entry point for dialogue between police, local self-government and communities.</w:t>
            </w:r>
            <w:r w:rsidR="008C238E">
              <w:t xml:space="preserve"> </w:t>
            </w:r>
          </w:p>
          <w:p w:rsidR="00D569A0" w:rsidRDefault="00D569A0" w:rsidP="00675948">
            <w:pPr>
              <w:outlineLvl w:val="0"/>
            </w:pPr>
          </w:p>
          <w:p w:rsidR="00B07F29" w:rsidRDefault="00125979" w:rsidP="00675948">
            <w:pPr>
              <w:outlineLvl w:val="0"/>
            </w:pPr>
            <w:r>
              <w:t>Following the establishment of the abovementioned dialogue platforms at the provincial level, the project is currently engaged in a large scale effort to build such dia</w:t>
            </w:r>
            <w:r w:rsidR="008E6EDC">
              <w:t>logue platforms in 12 of the PBF priority districts. This includes engagement with minority groups.</w:t>
            </w:r>
            <w:r w:rsidR="0024709C">
              <w:t xml:space="preserve"> The development of a national level plan on minorities in the police and policing in multiethnic communities is foreseen as part of a joint conference with other UN agencies during the second half of the year. </w:t>
            </w:r>
          </w:p>
          <w:p w:rsidR="007010CE" w:rsidRDefault="007010CE" w:rsidP="00675948">
            <w:pPr>
              <w:outlineLvl w:val="0"/>
            </w:pPr>
          </w:p>
          <w:p w:rsidR="008B3D61" w:rsidRDefault="00997F76" w:rsidP="008B3D61">
            <w:r>
              <w:t xml:space="preserve">Work on strengthening police accountability is well under way with a public awareness raising </w:t>
            </w:r>
            <w:r w:rsidRPr="00CA6834">
              <w:t xml:space="preserve">campaign </w:t>
            </w:r>
            <w:r>
              <w:t>on complaints handling procedures launched</w:t>
            </w:r>
            <w:r w:rsidR="00405D9E">
              <w:t xml:space="preserve"> during the first half of 2015. </w:t>
            </w:r>
            <w:r w:rsidR="00A25DC0">
              <w:t>Following the adoption, i</w:t>
            </w:r>
            <w:r w:rsidR="00D569C6">
              <w:t>n 2014</w:t>
            </w:r>
            <w:r w:rsidR="00A25DC0">
              <w:t>,</w:t>
            </w:r>
            <w:r w:rsidR="00D569C6">
              <w:t xml:space="preserve"> </w:t>
            </w:r>
            <w:r w:rsidR="00A25DC0">
              <w:t xml:space="preserve">of </w:t>
            </w:r>
            <w:r w:rsidR="00D569C6">
              <w:t>a</w:t>
            </w:r>
            <w:r w:rsidR="00AA3C77">
              <w:t xml:space="preserve"> new law on public councils</w:t>
            </w:r>
            <w:r w:rsidR="00A25DC0">
              <w:t xml:space="preserve">, a new Public Council for the </w:t>
            </w:r>
            <w:proofErr w:type="spellStart"/>
            <w:r w:rsidR="00A25DC0">
              <w:t>MoI</w:t>
            </w:r>
            <w:proofErr w:type="spellEnd"/>
            <w:r w:rsidR="00A25DC0">
              <w:t xml:space="preserve"> was established in early 2015. The project has conducted a series of consultations with members of the Public Council</w:t>
            </w:r>
            <w:r w:rsidR="008B3D61">
              <w:t>,</w:t>
            </w:r>
            <w:r w:rsidR="00AA3C77">
              <w:t xml:space="preserve"> </w:t>
            </w:r>
            <w:r w:rsidR="008B3D61">
              <w:t xml:space="preserve">suggesting to </w:t>
            </w:r>
            <w:r w:rsidR="00AA3C77">
              <w:t xml:space="preserve">support independent monitoring of police performance through this oversight mechanism. </w:t>
            </w:r>
          </w:p>
          <w:p w:rsidR="00D569C6" w:rsidRPr="000D4837" w:rsidRDefault="008B3D61" w:rsidP="00D41D15">
            <w:pPr>
              <w:rPr>
                <w:rFonts w:cs="Times New Roman"/>
                <w:b/>
                <w:sz w:val="22"/>
                <w:szCs w:val="22"/>
              </w:rPr>
            </w:pPr>
            <w:r>
              <w:t xml:space="preserve">Unfortunately, the </w:t>
            </w:r>
            <w:proofErr w:type="spellStart"/>
            <w:r>
              <w:t>MoI</w:t>
            </w:r>
            <w:proofErr w:type="spellEnd"/>
            <w:r>
              <w:t xml:space="preserve"> Public Council has still not confirmed its work plan and overall motivation </w:t>
            </w:r>
            <w:r w:rsidR="00D41D15">
              <w:t>to conduct active monitoring appears low. As</w:t>
            </w:r>
            <w:r w:rsidR="00AA3C77">
              <w:t xml:space="preserve"> a mitigation strategy, the project </w:t>
            </w:r>
            <w:r w:rsidR="00D41D15">
              <w:t xml:space="preserve">has supported </w:t>
            </w:r>
            <w:r w:rsidR="00D569C6" w:rsidRPr="00D569C6">
              <w:t xml:space="preserve">the organization of public hearings on the annual report of the KR Ombudsman, which includes monitoring results on police performance. </w:t>
            </w:r>
            <w:r w:rsidR="00D569C6">
              <w:t>J</w:t>
            </w:r>
            <w:r w:rsidR="00D569C6" w:rsidRPr="00D569C6">
              <w:t xml:space="preserve">ointly with the KR Ombudsman Institute </w:t>
            </w:r>
            <w:r w:rsidR="00D569C6">
              <w:t>the project</w:t>
            </w:r>
            <w:r w:rsidR="008452EE">
              <w:t xml:space="preserve"> has also</w:t>
            </w:r>
            <w:r w:rsidR="00D569C6">
              <w:t xml:space="preserve"> </w:t>
            </w:r>
            <w:r w:rsidR="00D569C6" w:rsidRPr="00D569C6">
              <w:t>launched a survey on police labor rights</w:t>
            </w:r>
            <w:r w:rsidR="00D569C6">
              <w:t xml:space="preserve"> with involvement of</w:t>
            </w:r>
            <w:r w:rsidR="00D569C6" w:rsidRPr="00D569C6">
              <w:t xml:space="preserve"> 1500 police officers from all oblasts of the country</w:t>
            </w:r>
            <w:r w:rsidR="00D569C6">
              <w:t>.</w:t>
            </w:r>
            <w:r w:rsidR="008452EE">
              <w:t xml:space="preserve"> Other efforts to promote independent monitoring of police performance will be channeled through civil society if the </w:t>
            </w:r>
            <w:proofErr w:type="spellStart"/>
            <w:r w:rsidR="008452EE">
              <w:t>MoI</w:t>
            </w:r>
            <w:proofErr w:type="spellEnd"/>
            <w:r w:rsidR="008452EE">
              <w:t xml:space="preserve"> Public Council does not </w:t>
            </w:r>
            <w:r w:rsidR="002127D0">
              <w:t>prove effective.</w:t>
            </w:r>
          </w:p>
        </w:tc>
      </w:tr>
      <w:tr w:rsidR="00CC0EED" w:rsidRPr="00142D76" w:rsidTr="00B60FA5">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206" w:type="dxa"/>
            <w:shd w:val="clear" w:color="auto" w:fill="auto"/>
          </w:tcPr>
          <w:p w:rsidR="00692A7D" w:rsidRDefault="00692A7D" w:rsidP="00A7299B">
            <w:r>
              <w:t>- Co-</w:t>
            </w:r>
            <w:r w:rsidR="00E92767">
              <w:t>organize</w:t>
            </w:r>
            <w:r>
              <w:t xml:space="preserve"> a conference on minorities in public affairs, including representation of minorities in the police; present the results of a population survey on access to police services and discuss steps to promote better policing in multiethnic communities</w:t>
            </w:r>
            <w:r w:rsidR="00E92767">
              <w:t>;</w:t>
            </w:r>
            <w:r>
              <w:t xml:space="preserve"> </w:t>
            </w:r>
          </w:p>
          <w:p w:rsidR="002F727F" w:rsidRDefault="00E92767" w:rsidP="00A7299B">
            <w:r>
              <w:t xml:space="preserve">- Support local crime prevention assessments and </w:t>
            </w:r>
            <w:r w:rsidR="002F727F">
              <w:t>the development of local public safety and crime prevention plans in PBF priority districts, including regular consultations between police, local government and communities</w:t>
            </w:r>
            <w:r w:rsidR="00AF49C3">
              <w:t>;</w:t>
            </w:r>
          </w:p>
          <w:p w:rsidR="007C36F2" w:rsidRDefault="00DE70FA" w:rsidP="00A7299B">
            <w:r>
              <w:t xml:space="preserve">- </w:t>
            </w:r>
            <w:r w:rsidR="007C36F2">
              <w:t>Implement a mentoring programme aimed at encouraging more young women and men, including from a minority background, to consider a career in the police;</w:t>
            </w:r>
          </w:p>
          <w:p w:rsidR="00796DF4" w:rsidRDefault="000D20B3" w:rsidP="00A7299B">
            <w:r>
              <w:lastRenderedPageBreak/>
              <w:t xml:space="preserve">- </w:t>
            </w:r>
            <w:r w:rsidR="00796DF4">
              <w:t xml:space="preserve">Provide advisory support to the </w:t>
            </w:r>
            <w:proofErr w:type="spellStart"/>
            <w:r w:rsidR="00796DF4">
              <w:t>MoI</w:t>
            </w:r>
            <w:proofErr w:type="spellEnd"/>
            <w:r w:rsidR="00796DF4">
              <w:t xml:space="preserve"> in implementation of the main strategic steps on enhancement of </w:t>
            </w:r>
            <w:r>
              <w:t xml:space="preserve">gender sensitivity </w:t>
            </w:r>
            <w:r w:rsidR="00796DF4">
              <w:t xml:space="preserve">in the police, including the formation of a special roster </w:t>
            </w:r>
            <w:r>
              <w:t>of women police officers</w:t>
            </w:r>
            <w:r w:rsidR="00796DF4">
              <w:t>;</w:t>
            </w:r>
          </w:p>
          <w:p w:rsidR="00B24A5F" w:rsidRDefault="00796DF4" w:rsidP="00A7299B">
            <w:r>
              <w:t xml:space="preserve">- Complete </w:t>
            </w:r>
            <w:r w:rsidR="000D20B3">
              <w:t>a</w:t>
            </w:r>
            <w:r>
              <w:t xml:space="preserve"> series of gender sensitivity trainings and ensure that </w:t>
            </w:r>
            <w:r w:rsidR="000D20B3">
              <w:t>such</w:t>
            </w:r>
            <w:r w:rsidR="00DE60F1">
              <w:t xml:space="preserve"> training cascaded to all </w:t>
            </w:r>
            <w:r w:rsidR="00913E8D">
              <w:t xml:space="preserve">PBF </w:t>
            </w:r>
            <w:r w:rsidR="00DE60F1">
              <w:t>priority district</w:t>
            </w:r>
            <w:r w:rsidR="000D20B3">
              <w:t>s</w:t>
            </w:r>
            <w:r w:rsidR="00DE60F1">
              <w:t xml:space="preserve">, covering around 215 police officers </w:t>
            </w:r>
            <w:r w:rsidR="00913E8D">
              <w:t>from</w:t>
            </w:r>
            <w:r w:rsidR="00DE60F1">
              <w:t xml:space="preserve"> local police units</w:t>
            </w:r>
            <w:r w:rsidR="003A34FD">
              <w:t>;</w:t>
            </w:r>
          </w:p>
          <w:p w:rsidR="00AF49C3" w:rsidRDefault="00DE70FA" w:rsidP="008A56BD">
            <w:r>
              <w:t xml:space="preserve">- </w:t>
            </w:r>
            <w:r w:rsidR="00AF49C3">
              <w:t>Complete refurbishment of 3 police stations in PBF priority districts in order  to establish more accessible and community friendly police stations with improved reception areas;</w:t>
            </w:r>
          </w:p>
          <w:p w:rsidR="00142D76" w:rsidRPr="00754DD7" w:rsidRDefault="00AF49C3" w:rsidP="00754DD7">
            <w:pPr>
              <w:rPr>
                <w:rFonts w:cs="Times New Roman"/>
                <w:b/>
                <w:sz w:val="22"/>
                <w:szCs w:val="22"/>
              </w:rPr>
            </w:pPr>
            <w:r>
              <w:t xml:space="preserve">- </w:t>
            </w:r>
            <w:r w:rsidR="008A56BD">
              <w:t>Complete</w:t>
            </w:r>
            <w:r w:rsidR="008A56BD" w:rsidRPr="008A56BD">
              <w:t xml:space="preserve"> a series of activities to increase police accountability and independent oversight, including development of informational materials, and training for 140 police officers, public awareness raising and independent monitoring with the involvement of lawyers and civil society</w:t>
            </w:r>
            <w:r w:rsidR="00754DD7">
              <w:t>.</w:t>
            </w:r>
            <w:r w:rsidR="00C21BE6">
              <w:t xml:space="preserve"> </w:t>
            </w:r>
          </w:p>
        </w:tc>
      </w:tr>
      <w:tr w:rsidR="00CC0EED" w:rsidRPr="000D4837" w:rsidTr="00B60FA5">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206" w:type="dxa"/>
            <w:shd w:val="clear" w:color="auto" w:fill="auto"/>
          </w:tcPr>
          <w:p w:rsidR="00524EA5" w:rsidRDefault="00BF1BDC" w:rsidP="009D3E13">
            <w:r>
              <w:t xml:space="preserve">As previously reported, the project's </w:t>
            </w:r>
            <w:r w:rsidRPr="0000481E">
              <w:t xml:space="preserve">assessment mission </w:t>
            </w:r>
            <w:r>
              <w:t xml:space="preserve">in 2014 </w:t>
            </w:r>
            <w:r w:rsidRPr="0000481E">
              <w:t xml:space="preserve">concluded </w:t>
            </w:r>
            <w:r>
              <w:t xml:space="preserve">that </w:t>
            </w:r>
            <w:r w:rsidRPr="0000481E">
              <w:t>there is little basis to support police stations and patrols with the involvement of women, as planned by the project. The number of women working in the police in the PBF</w:t>
            </w:r>
            <w:r w:rsidR="00E74A85">
              <w:t xml:space="preserve"> priority districts is too low. 3 pilot police stations have </w:t>
            </w:r>
            <w:r w:rsidR="003F1C5E">
              <w:t xml:space="preserve">instead </w:t>
            </w:r>
            <w:r w:rsidR="00E74A85">
              <w:t xml:space="preserve">been identified for </w:t>
            </w:r>
            <w:r w:rsidR="003F1C5E">
              <w:t xml:space="preserve">the provision of </w:t>
            </w:r>
            <w:r w:rsidR="00E74A85">
              <w:t>technical assistance</w:t>
            </w:r>
            <w:r w:rsidR="003F1C5E">
              <w:t xml:space="preserve"> to improve reception areas and overall working condition of the police in </w:t>
            </w:r>
            <w:r w:rsidR="009729DE">
              <w:t>multi-ethnic communities in PBF priority districts (</w:t>
            </w:r>
            <w:proofErr w:type="spellStart"/>
            <w:r w:rsidR="009729DE">
              <w:t>Lejlek</w:t>
            </w:r>
            <w:proofErr w:type="spellEnd"/>
            <w:r w:rsidR="009729DE">
              <w:t xml:space="preserve">, </w:t>
            </w:r>
            <w:proofErr w:type="spellStart"/>
            <w:r w:rsidR="009729DE">
              <w:t>Kadamjai</w:t>
            </w:r>
            <w:proofErr w:type="spellEnd"/>
            <w:r w:rsidR="009729DE">
              <w:t xml:space="preserve">, </w:t>
            </w:r>
            <w:proofErr w:type="spellStart"/>
            <w:r w:rsidR="009729DE">
              <w:t>Alamydin</w:t>
            </w:r>
            <w:proofErr w:type="spellEnd"/>
            <w:r w:rsidR="009729DE">
              <w:t>)</w:t>
            </w:r>
            <w:r w:rsidR="00E74A85">
              <w:t xml:space="preserve">. </w:t>
            </w:r>
          </w:p>
          <w:p w:rsidR="00524EA5" w:rsidRDefault="00524EA5" w:rsidP="009D3E13"/>
          <w:p w:rsidR="00F707AE" w:rsidRPr="000D4837" w:rsidRDefault="003F1C5E" w:rsidP="009D3E13">
            <w:pPr>
              <w:rPr>
                <w:rFonts w:cs="Times New Roman"/>
                <w:b/>
                <w:sz w:val="22"/>
                <w:szCs w:val="22"/>
              </w:rPr>
            </w:pPr>
            <w:r>
              <w:t>Based on the currently ongoing gender sensitivity trainings in PBF priority districts, the project will review this strategy</w:t>
            </w:r>
            <w:r w:rsidR="00F62BCD">
              <w:t xml:space="preserve"> during the second half of 2015. The project will promote the development of gender action plans for the police in PBF priority districts and consider supporting </w:t>
            </w:r>
            <w:r w:rsidR="009D3E13">
              <w:t>additional</w:t>
            </w:r>
            <w:r w:rsidR="00BF1BDC" w:rsidRPr="0000481E">
              <w:t xml:space="preserve"> police stations that show initiative on gender equality</w:t>
            </w:r>
            <w:r w:rsidR="009729DE">
              <w:t xml:space="preserve"> (e.g. by hiring more women, by employing women in more diverse functions, by establishing joint patrols, by actively working on gender-based violence etc)</w:t>
            </w:r>
            <w:r w:rsidR="00BF1BDC" w:rsidRPr="0000481E">
              <w:t>.</w:t>
            </w:r>
          </w:p>
        </w:tc>
      </w:tr>
      <w:tr w:rsidR="00CC0EED" w:rsidRPr="000D4837" w:rsidTr="00B60FA5">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206" w:type="dxa"/>
            <w:shd w:val="clear" w:color="auto" w:fill="auto"/>
          </w:tcPr>
          <w:p w:rsidR="00D42641" w:rsidRDefault="005572D9" w:rsidP="00A30A91">
            <w:pPr>
              <w:outlineLvl w:val="0"/>
            </w:pPr>
            <w:r>
              <w:t xml:space="preserve">1) </w:t>
            </w:r>
            <w:r w:rsidR="00063557">
              <w:t xml:space="preserve">Work on police reform needs to target both Government, </w:t>
            </w:r>
            <w:proofErr w:type="spellStart"/>
            <w:r w:rsidR="00063557">
              <w:t>MoI</w:t>
            </w:r>
            <w:proofErr w:type="spellEnd"/>
            <w:r w:rsidR="00063557">
              <w:t>/police and civil society</w:t>
            </w:r>
            <w:r w:rsidR="00D42641">
              <w:t xml:space="preserve"> at national and local levels</w:t>
            </w:r>
            <w:r w:rsidR="00063557">
              <w:t xml:space="preserve">. </w:t>
            </w:r>
            <w:r w:rsidR="00CA061C">
              <w:t>B</w:t>
            </w:r>
            <w:r>
              <w:t>uild</w:t>
            </w:r>
            <w:r w:rsidR="00CA061C">
              <w:t>ing</w:t>
            </w:r>
            <w:r>
              <w:t xml:space="preserve"> public demand for police reform</w:t>
            </w:r>
            <w:r w:rsidR="00CA061C">
              <w:t xml:space="preserve"> remains </w:t>
            </w:r>
            <w:r w:rsidR="00063557">
              <w:t>necessary in the current context</w:t>
            </w:r>
            <w:r>
              <w:t xml:space="preserve">. The project </w:t>
            </w:r>
            <w:r w:rsidR="00063557">
              <w:t xml:space="preserve">therefore continues to work actively with </w:t>
            </w:r>
            <w:r>
              <w:t>civil society platforms</w:t>
            </w:r>
            <w:r w:rsidR="00FD5AFA">
              <w:t xml:space="preserve"> </w:t>
            </w:r>
            <w:r>
              <w:t>that monitor police performance and advocat</w:t>
            </w:r>
            <w:r w:rsidR="00063557">
              <w:t>e</w:t>
            </w:r>
            <w:r>
              <w:t xml:space="preserve"> for police reform</w:t>
            </w:r>
            <w:r w:rsidR="00A675AF">
              <w:t xml:space="preserve"> and issues related to gender equality;</w:t>
            </w:r>
          </w:p>
          <w:p w:rsidR="003C54F4" w:rsidRDefault="003C54F4" w:rsidP="00A30A91">
            <w:pPr>
              <w:outlineLvl w:val="0"/>
            </w:pPr>
          </w:p>
          <w:p w:rsidR="005572D9" w:rsidRDefault="00D42641" w:rsidP="00A30A91">
            <w:pPr>
              <w:outlineLvl w:val="0"/>
            </w:pPr>
            <w:r>
              <w:t xml:space="preserve">2) </w:t>
            </w:r>
            <w:r w:rsidR="001919FB">
              <w:t xml:space="preserve">Representation of women and minorities in the police remain sensitive issues. </w:t>
            </w:r>
            <w:r w:rsidR="00593DE3">
              <w:t xml:space="preserve">Progress depends on several factors beyond the project's control (e.g. </w:t>
            </w:r>
            <w:r w:rsidR="00593DE3" w:rsidRPr="00593DE3">
              <w:t>police salaries; overall level of education</w:t>
            </w:r>
            <w:r w:rsidR="00593DE3">
              <w:t>, language education for minorities</w:t>
            </w:r>
            <w:r w:rsidR="00593DE3" w:rsidRPr="00593DE3">
              <w:t>, encouraging minorities to go through military service and making the army more accessible and receptive to minorities).</w:t>
            </w:r>
            <w:r w:rsidR="00593DE3">
              <w:t xml:space="preserve"> </w:t>
            </w:r>
            <w:r w:rsidR="001919FB">
              <w:t xml:space="preserve">Progress in these areas </w:t>
            </w:r>
            <w:r w:rsidR="00593DE3">
              <w:t xml:space="preserve">also </w:t>
            </w:r>
            <w:r w:rsidR="001919FB">
              <w:t>require societal chang</w:t>
            </w:r>
            <w:r w:rsidR="00A36BBF">
              <w:t xml:space="preserve">e in relation to gender </w:t>
            </w:r>
            <w:r w:rsidR="00097DB4">
              <w:t>equality</w:t>
            </w:r>
            <w:r w:rsidR="00A36BBF">
              <w:t xml:space="preserve"> </w:t>
            </w:r>
            <w:r w:rsidR="00593DE3">
              <w:t>(</w:t>
            </w:r>
            <w:r w:rsidR="00EE2ECF">
              <w:t xml:space="preserve">increasing overall participation of women in different sectors of the </w:t>
            </w:r>
            <w:r w:rsidR="00EE2ECF">
              <w:lastRenderedPageBreak/>
              <w:t xml:space="preserve">economy and political life; </w:t>
            </w:r>
            <w:r w:rsidR="00593DE3">
              <w:t>breaking through stereotypes that the police is only for men</w:t>
            </w:r>
            <w:r w:rsidR="00EE2ECF">
              <w:t>)</w:t>
            </w:r>
            <w:r w:rsidR="00593DE3">
              <w:t xml:space="preserve"> </w:t>
            </w:r>
            <w:r w:rsidR="00A36BBF">
              <w:t>and inter-ethnic dialogue.</w:t>
            </w:r>
            <w:r w:rsidR="00EA25B8">
              <w:t xml:space="preserve"> </w:t>
            </w:r>
            <w:r w:rsidR="00A36BBF">
              <w:t>Hence, the project will continue to link its work with the police to broader interventions on gender equality and inter-ethnic unity (e.g. National women's forum,</w:t>
            </w:r>
            <w:r w:rsidR="00097DB4">
              <w:t xml:space="preserve"> conference on minorities in public affairs);</w:t>
            </w:r>
            <w:r w:rsidR="00A36BBF">
              <w:t xml:space="preserve"> </w:t>
            </w:r>
            <w:r w:rsidR="001919FB">
              <w:t xml:space="preserve"> </w:t>
            </w:r>
          </w:p>
          <w:p w:rsidR="003C54F4" w:rsidRDefault="003C54F4" w:rsidP="00A30A91">
            <w:pPr>
              <w:outlineLvl w:val="0"/>
            </w:pPr>
          </w:p>
          <w:p w:rsidR="00885FC2" w:rsidRDefault="00097DB4" w:rsidP="00A30A91">
            <w:pPr>
              <w:outlineLvl w:val="0"/>
            </w:pPr>
            <w:r>
              <w:t xml:space="preserve">3) </w:t>
            </w:r>
            <w:r w:rsidR="002A4A9A">
              <w:t>In order to achieve sustainability of dialogue platforms and related local crime prevention plans, a national level institutional mechanism and local level capacity building</w:t>
            </w:r>
            <w:r w:rsidR="00174371">
              <w:t xml:space="preserve"> are needed</w:t>
            </w:r>
            <w:r w:rsidR="002A4A9A">
              <w:t>. For this purpose,</w:t>
            </w:r>
            <w:r w:rsidR="00174371">
              <w:t xml:space="preserve"> the project has advocated for the establishment of an interdepartmental working group to further elaborate the methodological tool developed by the project</w:t>
            </w:r>
            <w:r w:rsidR="00D159E4">
              <w:t>.</w:t>
            </w:r>
            <w:r w:rsidR="00174371">
              <w:t xml:space="preserve"> If the tool and related division of stakeholder responsibilities is approved by the Government of the KR, the </w:t>
            </w:r>
            <w:r w:rsidR="002A14D6">
              <w:t xml:space="preserve">process for the </w:t>
            </w:r>
            <w:r w:rsidR="00174371">
              <w:t xml:space="preserve">development of local crime prevention plans </w:t>
            </w:r>
            <w:r w:rsidR="000271C4">
              <w:t xml:space="preserve">will </w:t>
            </w:r>
            <w:r w:rsidR="00174371">
              <w:t>be</w:t>
            </w:r>
            <w:r w:rsidR="002A14D6">
              <w:t xml:space="preserve"> institutionalized. At the local level, through its civil society partners, the project will not only facilitate consultations but </w:t>
            </w:r>
            <w:proofErr w:type="spellStart"/>
            <w:r w:rsidR="002A14D6">
              <w:t>endeavour</w:t>
            </w:r>
            <w:proofErr w:type="spellEnd"/>
            <w:r w:rsidR="002A14D6">
              <w:t xml:space="preserve"> to provide training </w:t>
            </w:r>
            <w:r w:rsidR="00885FC2">
              <w:t xml:space="preserve">for local government, police and civil society </w:t>
            </w:r>
            <w:r w:rsidR="002A14D6">
              <w:t xml:space="preserve">on the Law on crime prevention and the use of the methodological tool </w:t>
            </w:r>
            <w:r w:rsidR="00885FC2">
              <w:t>to identify and prioritize crime problems;</w:t>
            </w:r>
          </w:p>
          <w:p w:rsidR="003C54F4" w:rsidRDefault="003C54F4" w:rsidP="00A30A91">
            <w:pPr>
              <w:outlineLvl w:val="0"/>
            </w:pPr>
          </w:p>
          <w:p w:rsidR="000271C4" w:rsidRDefault="004A47C1" w:rsidP="009F29EE">
            <w:pPr>
              <w:outlineLvl w:val="0"/>
            </w:pPr>
            <w:r>
              <w:t xml:space="preserve">4) </w:t>
            </w:r>
            <w:r w:rsidR="000271C4">
              <w:t>In order to raise funds for the implementation of local crime prevention plans, these need to be linked to and embedded in local socio-economic development plans</w:t>
            </w:r>
            <w:r w:rsidR="00760F58">
              <w:t>, which provide the basis for funding allocations at the local level</w:t>
            </w:r>
            <w:r w:rsidR="000271C4">
              <w:t>;</w:t>
            </w:r>
            <w:r w:rsidR="00BF7AFB" w:rsidRPr="00BF7AFB">
              <w:rPr>
                <w:rFonts w:ascii="Helv" w:hAnsi="Helv" w:cs="Helv"/>
                <w:color w:val="000000"/>
                <w:sz w:val="20"/>
                <w:lang w:eastAsia="ru-RU"/>
              </w:rPr>
              <w:t xml:space="preserve"> </w:t>
            </w:r>
            <w:r w:rsidR="00BF7AFB">
              <w:t>the abovementioned</w:t>
            </w:r>
            <w:r w:rsidR="00BF7AFB" w:rsidRPr="00BF7AFB">
              <w:t xml:space="preserve"> Resolution </w:t>
            </w:r>
            <w:r w:rsidR="00BF7AFB">
              <w:t xml:space="preserve">adopted as a result </w:t>
            </w:r>
            <w:r w:rsidR="00BF7AFB" w:rsidRPr="00BF7AFB">
              <w:t>of the</w:t>
            </w:r>
            <w:r w:rsidR="00BF7AFB">
              <w:t xml:space="preserve"> </w:t>
            </w:r>
            <w:proofErr w:type="spellStart"/>
            <w:r w:rsidR="00BF7AFB">
              <w:t>MoI</w:t>
            </w:r>
            <w:r w:rsidR="00687F9F">
              <w:t>'s</w:t>
            </w:r>
            <w:proofErr w:type="spellEnd"/>
            <w:r w:rsidR="00687F9F">
              <w:t xml:space="preserve"> dialogue platforms and national f</w:t>
            </w:r>
            <w:r w:rsidR="004E589F">
              <w:t xml:space="preserve">orum emphasized </w:t>
            </w:r>
            <w:r w:rsidR="00687F9F">
              <w:t>this point;</w:t>
            </w:r>
          </w:p>
          <w:p w:rsidR="000271C4" w:rsidRDefault="000271C4" w:rsidP="009F29EE">
            <w:pPr>
              <w:outlineLvl w:val="0"/>
            </w:pPr>
          </w:p>
          <w:p w:rsidR="00CC0EED" w:rsidRPr="000D4837" w:rsidRDefault="000271C4" w:rsidP="00FC5025">
            <w:pPr>
              <w:outlineLvl w:val="0"/>
              <w:rPr>
                <w:rFonts w:cs="Times New Roman"/>
                <w:b/>
                <w:sz w:val="22"/>
                <w:szCs w:val="22"/>
              </w:rPr>
            </w:pPr>
            <w:r>
              <w:t xml:space="preserve">5) </w:t>
            </w:r>
            <w:r w:rsidR="004A47C1">
              <w:t>Experience in operative and investigative work remains the main path for career advancement in the police service in the KR</w:t>
            </w:r>
            <w:r w:rsidR="00563AD6">
              <w:t xml:space="preserve">. In addition to the mentioned initiative to establish </w:t>
            </w:r>
            <w:r w:rsidR="00D47594" w:rsidRPr="00D47594">
              <w:t>a r</w:t>
            </w:r>
            <w:r w:rsidR="00563AD6">
              <w:t>oster</w:t>
            </w:r>
            <w:r w:rsidR="00D47594" w:rsidRPr="00D47594">
              <w:t xml:space="preserve"> of female police officers who are eligible for management positions</w:t>
            </w:r>
            <w:r w:rsidR="00563AD6">
              <w:t xml:space="preserve">, the project's advocacy </w:t>
            </w:r>
            <w:r w:rsidR="00536019">
              <w:t xml:space="preserve">will need to focus on convincing the </w:t>
            </w:r>
            <w:proofErr w:type="spellStart"/>
            <w:r w:rsidR="00536019">
              <w:t>MoI</w:t>
            </w:r>
            <w:proofErr w:type="spellEnd"/>
            <w:r w:rsidR="00536019">
              <w:t xml:space="preserve"> to give more yo</w:t>
            </w:r>
            <w:r w:rsidR="00D47594" w:rsidRPr="00D47594">
              <w:t xml:space="preserve">ung female cadets </w:t>
            </w:r>
            <w:r w:rsidR="00536019">
              <w:t xml:space="preserve">an </w:t>
            </w:r>
            <w:r w:rsidR="00D47594" w:rsidRPr="00D47594">
              <w:t xml:space="preserve">opportunity to get work experience in operative </w:t>
            </w:r>
            <w:r w:rsidR="00536019">
              <w:t>work and criminal investigations</w:t>
            </w:r>
            <w:r w:rsidR="009F29EE">
              <w:t>. The Minister of Interior has expressed interest to facilitate this process, but this needs to be backed up by capacity development so that female officers are better prepared for these tasks.</w:t>
            </w:r>
            <w:r w:rsidR="00DB1773">
              <w:t xml:space="preserve"> This can partly be done through the proposed mentoring programme, but will also require additional resources and more long-term support.</w:t>
            </w:r>
          </w:p>
        </w:tc>
      </w:tr>
      <w:tr w:rsidR="00CC0EED" w:rsidRPr="000D4837" w:rsidTr="00B60FA5">
        <w:tc>
          <w:tcPr>
            <w:tcW w:w="3103" w:type="dxa"/>
            <w:shd w:val="clear" w:color="auto" w:fill="auto"/>
          </w:tcPr>
          <w:p w:rsidR="00CC0EED" w:rsidRDefault="00CC0EED"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w:t>
            </w:r>
            <w:r w:rsidRPr="000D4837">
              <w:rPr>
                <w:rFonts w:cs="Times New Roman"/>
                <w:i/>
                <w:color w:val="000000"/>
                <w:sz w:val="22"/>
                <w:szCs w:val="22"/>
              </w:rPr>
              <w:lastRenderedPageBreak/>
              <w:t>report)</w:t>
            </w:r>
            <w:r w:rsidR="000A26AD">
              <w:rPr>
                <w:rFonts w:cs="Times New Roman"/>
                <w:i/>
                <w:color w:val="000000"/>
                <w:sz w:val="22"/>
                <w:szCs w:val="22"/>
              </w:rPr>
              <w:t xml:space="preserve"> – preliminary figures only</w:t>
            </w:r>
            <w:r w:rsidRPr="000D4837">
              <w:rPr>
                <w:rFonts w:cs="Times New Roman"/>
                <w:i/>
                <w:color w:val="000000"/>
                <w:sz w:val="22"/>
                <w:szCs w:val="22"/>
              </w:rPr>
              <w:t>?</w:t>
            </w:r>
          </w:p>
          <w:p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10206" w:type="dxa"/>
            <w:shd w:val="clear" w:color="auto" w:fill="auto"/>
          </w:tcPr>
          <w:p w:rsidR="00CC0EED" w:rsidRDefault="006230AE" w:rsidP="003A1535">
            <w:pPr>
              <w:outlineLvl w:val="0"/>
            </w:pPr>
            <w:r>
              <w:lastRenderedPageBreak/>
              <w:t>P</w:t>
            </w:r>
            <w:r w:rsidRPr="006230AE">
              <w:t xml:space="preserve">roject budget expenditure to date </w:t>
            </w:r>
            <w:r>
              <w:t xml:space="preserve">equals </w:t>
            </w:r>
            <w:r w:rsidR="00F707AE">
              <w:t>551,156 USD</w:t>
            </w:r>
            <w:r w:rsidR="003A1535">
              <w:t>. The delivery rate is 37.73%</w:t>
            </w:r>
            <w:r w:rsidR="004E0F8F">
              <w:t>.</w:t>
            </w:r>
          </w:p>
          <w:p w:rsidR="004E0F8F" w:rsidRDefault="004E0F8F" w:rsidP="003A1535">
            <w:pPr>
              <w:outlineLvl w:val="0"/>
            </w:pPr>
          </w:p>
          <w:p w:rsidR="004E0F8F" w:rsidRPr="000D4837" w:rsidRDefault="004E0F8F" w:rsidP="003A1535">
            <w:pPr>
              <w:outlineLvl w:val="0"/>
              <w:rPr>
                <w:rFonts w:cs="Times New Roman"/>
                <w:b/>
                <w:sz w:val="22"/>
                <w:szCs w:val="22"/>
              </w:rPr>
            </w:pPr>
            <w:r w:rsidRPr="004E0F8F">
              <w:t>981,200 USD</w:t>
            </w:r>
            <w:r>
              <w:t xml:space="preserve"> or 67.17% of available funds have been committed.</w:t>
            </w:r>
          </w:p>
        </w:tc>
      </w:tr>
      <w:tr w:rsidR="00CC0EED" w:rsidRPr="000D4837" w:rsidTr="00B60FA5">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Any other information that the project needs to convey  to PBSO (and JSC) at this stage?</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206" w:type="dxa"/>
            <w:shd w:val="clear" w:color="auto" w:fill="auto"/>
          </w:tcPr>
          <w:p w:rsidR="00D47594" w:rsidRPr="003A34FD" w:rsidRDefault="004B402B" w:rsidP="00D47594">
            <w:r>
              <w:t>N/A</w:t>
            </w:r>
          </w:p>
        </w:tc>
      </w:tr>
    </w:tbl>
    <w:p w:rsidR="00CC0EED" w:rsidRDefault="00CC0EED" w:rsidP="001D7143">
      <w:pPr>
        <w:outlineLvl w:val="0"/>
        <w:rPr>
          <w:rFonts w:cs="Times New Roman"/>
          <w:b/>
          <w:sz w:val="22"/>
          <w:szCs w:val="22"/>
        </w:rPr>
      </w:pPr>
    </w:p>
    <w:p w:rsidR="00142D76" w:rsidRDefault="00142D76" w:rsidP="00142D76"/>
    <w:p w:rsidR="00142D76" w:rsidRDefault="00142D76" w:rsidP="00142D76"/>
    <w:p w:rsidR="00142D76" w:rsidRDefault="00142D76" w:rsidP="00142D76"/>
    <w:p w:rsidR="00CC0EED" w:rsidRPr="003A1535" w:rsidRDefault="00CC0EED" w:rsidP="001D7143">
      <w:pPr>
        <w:outlineLvl w:val="0"/>
        <w:rPr>
          <w:rFonts w:cs="Times New Roman"/>
          <w:sz w:val="22"/>
          <w:szCs w:val="22"/>
        </w:rPr>
        <w:sectPr w:rsidR="00CC0EED" w:rsidRPr="003A1535" w:rsidSect="00B127F2">
          <w:pgSz w:w="15840" w:h="12240" w:orient="landscape"/>
          <w:pgMar w:top="1800" w:right="562" w:bottom="1530" w:left="562" w:header="720" w:footer="720" w:gutter="0"/>
          <w:pgNumType w:start="1"/>
          <w:cols w:space="720"/>
          <w:formProt w:val="0"/>
          <w:docGrid w:linePitch="360"/>
        </w:sectPr>
      </w:pPr>
    </w:p>
    <w:p w:rsidR="00A10B86" w:rsidRDefault="00BB2676" w:rsidP="00A10B86">
      <w:pPr>
        <w:pStyle w:val="a4"/>
        <w:jc w:val="both"/>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p w:rsidR="002C4C40" w:rsidRDefault="002C4C40" w:rsidP="00A10B86">
      <w:pPr>
        <w:pStyle w:val="a4"/>
        <w:jc w:val="both"/>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1"/>
        <w:gridCol w:w="2410"/>
        <w:gridCol w:w="1559"/>
        <w:gridCol w:w="1985"/>
        <w:gridCol w:w="2126"/>
        <w:gridCol w:w="3119"/>
        <w:gridCol w:w="1958"/>
      </w:tblGrid>
      <w:tr w:rsidR="002C4C40" w:rsidRPr="007D00E3" w:rsidTr="007575F2">
        <w:tc>
          <w:tcPr>
            <w:tcW w:w="1971" w:type="dxa"/>
          </w:tcPr>
          <w:p w:rsidR="002C4C40" w:rsidRPr="002C4C40" w:rsidRDefault="002C4C40" w:rsidP="002C4C40"/>
        </w:tc>
        <w:tc>
          <w:tcPr>
            <w:tcW w:w="2410" w:type="dxa"/>
            <w:shd w:val="clear" w:color="auto" w:fill="EEECE1"/>
          </w:tcPr>
          <w:p w:rsidR="002C4C40" w:rsidRPr="002C4C40" w:rsidRDefault="002C4C40" w:rsidP="002C4C40">
            <w:r w:rsidRPr="002C4C40">
              <w:t>Performance Indicators</w:t>
            </w:r>
          </w:p>
        </w:tc>
        <w:tc>
          <w:tcPr>
            <w:tcW w:w="1559" w:type="dxa"/>
            <w:shd w:val="clear" w:color="auto" w:fill="EEECE1"/>
          </w:tcPr>
          <w:p w:rsidR="002C4C40" w:rsidRPr="002C4C40" w:rsidRDefault="002C4C40" w:rsidP="002C4C40">
            <w:r w:rsidRPr="002C4C40">
              <w:t>Indicator Baseline</w:t>
            </w:r>
            <w:r w:rsidR="00C07745">
              <w:t xml:space="preserve"> (2014)</w:t>
            </w:r>
          </w:p>
        </w:tc>
        <w:tc>
          <w:tcPr>
            <w:tcW w:w="1985" w:type="dxa"/>
            <w:shd w:val="clear" w:color="auto" w:fill="EEECE1"/>
          </w:tcPr>
          <w:p w:rsidR="002C4C40" w:rsidRPr="002C4C40" w:rsidRDefault="002C4C40" w:rsidP="002C4C40">
            <w:r w:rsidRPr="002C4C40">
              <w:t>End of project Indicator Target</w:t>
            </w:r>
          </w:p>
        </w:tc>
        <w:tc>
          <w:tcPr>
            <w:tcW w:w="2126" w:type="dxa"/>
          </w:tcPr>
          <w:p w:rsidR="00C07745" w:rsidRDefault="002C4C40" w:rsidP="002C4C40">
            <w:r w:rsidRPr="002C4C40">
              <w:t>Current indicator progress</w:t>
            </w:r>
            <w:r w:rsidR="00C07745">
              <w:t xml:space="preserve"> </w:t>
            </w:r>
          </w:p>
          <w:p w:rsidR="002C4C40" w:rsidRPr="002C4C40" w:rsidRDefault="00C07745" w:rsidP="002C4C40">
            <w:r>
              <w:t>(2015)</w:t>
            </w:r>
          </w:p>
        </w:tc>
        <w:tc>
          <w:tcPr>
            <w:tcW w:w="3119" w:type="dxa"/>
          </w:tcPr>
          <w:p w:rsidR="002C4C40" w:rsidRPr="002C4C40" w:rsidRDefault="002C4C40" w:rsidP="002C4C40">
            <w:r w:rsidRPr="002C4C40">
              <w:t>Reasons for Variance/ Delay</w:t>
            </w:r>
          </w:p>
          <w:p w:rsidR="002C4C40" w:rsidRPr="002C4C40" w:rsidRDefault="002C4C40" w:rsidP="002C4C40">
            <w:r w:rsidRPr="002C4C40">
              <w:t>(if any)</w:t>
            </w:r>
          </w:p>
        </w:tc>
        <w:tc>
          <w:tcPr>
            <w:tcW w:w="1958" w:type="dxa"/>
          </w:tcPr>
          <w:p w:rsidR="002C4C40" w:rsidRPr="002C4C40" w:rsidRDefault="002C4C40" w:rsidP="002C4C40">
            <w:r w:rsidRPr="002C4C40">
              <w:t>Adjustment of target (if any)</w:t>
            </w:r>
          </w:p>
        </w:tc>
      </w:tr>
      <w:tr w:rsidR="002C4C40" w:rsidRPr="007D00E3" w:rsidTr="007575F2">
        <w:trPr>
          <w:trHeight w:val="548"/>
        </w:trPr>
        <w:tc>
          <w:tcPr>
            <w:tcW w:w="1971" w:type="dxa"/>
            <w:vMerge w:val="restart"/>
          </w:tcPr>
          <w:p w:rsidR="002C4C40" w:rsidRDefault="002C4C40" w:rsidP="00130357">
            <w:r w:rsidRPr="00504BB3">
              <w:t>Outcome 1</w:t>
            </w:r>
          </w:p>
          <w:p w:rsidR="002C4C40" w:rsidRPr="00504BB3" w:rsidRDefault="002C4C40" w:rsidP="00130357">
            <w:r w:rsidRPr="000B51EE">
              <w:t>The Government of the Kyrgyz Republic adopts and implements policies to increase participation and representation of minorities in the police and to ensure regular dialogue between police and minority communities</w:t>
            </w:r>
          </w:p>
        </w:tc>
        <w:tc>
          <w:tcPr>
            <w:tcW w:w="2410" w:type="dxa"/>
            <w:shd w:val="clear" w:color="auto" w:fill="EEECE1"/>
          </w:tcPr>
          <w:p w:rsidR="002C4C40" w:rsidRDefault="002C4C40" w:rsidP="00130357">
            <w:r>
              <w:t>Indicator 1.1</w:t>
            </w:r>
          </w:p>
          <w:p w:rsidR="002C4C40" w:rsidRPr="00504BB3" w:rsidRDefault="002C4C40" w:rsidP="00130357">
            <w:r w:rsidRPr="000B51EE">
              <w:t>Number of minor</w:t>
            </w:r>
            <w:r w:rsidR="000E6E24">
              <w:t xml:space="preserve">ities </w:t>
            </w:r>
            <w:r w:rsidR="001312AA" w:rsidRPr="000B51EE">
              <w:t>employed</w:t>
            </w:r>
            <w:r w:rsidR="001312AA" w:rsidRPr="001312AA">
              <w:t xml:space="preserve"> </w:t>
            </w:r>
            <w:r w:rsidR="000E6E24">
              <w:t xml:space="preserve">in police </w:t>
            </w:r>
          </w:p>
          <w:p w:rsidR="002C4C40" w:rsidRDefault="002C4C40" w:rsidP="00130357"/>
          <w:p w:rsidR="002C4C40" w:rsidRDefault="002F3DB0" w:rsidP="00130357">
            <w:r>
              <w:t xml:space="preserve">NB. Data on </w:t>
            </w:r>
            <w:proofErr w:type="spellStart"/>
            <w:r>
              <w:t>MoI</w:t>
            </w:r>
            <w:proofErr w:type="spellEnd"/>
            <w:r>
              <w:t xml:space="preserve"> personnel is classified. Hence, only percentages are given rather than numbers.</w:t>
            </w:r>
          </w:p>
          <w:p w:rsidR="002C4C40" w:rsidRPr="00F3492E" w:rsidRDefault="002C4C40" w:rsidP="00130357"/>
        </w:tc>
        <w:tc>
          <w:tcPr>
            <w:tcW w:w="1559" w:type="dxa"/>
            <w:shd w:val="clear" w:color="auto" w:fill="EEECE1"/>
          </w:tcPr>
          <w:p w:rsidR="002C4C40" w:rsidRPr="007D00E3" w:rsidRDefault="00B00261" w:rsidP="00B00261">
            <w:r>
              <w:t xml:space="preserve">6.3% (initially the </w:t>
            </w:r>
            <w:proofErr w:type="spellStart"/>
            <w:r>
              <w:t>MoI</w:t>
            </w:r>
            <w:proofErr w:type="spellEnd"/>
            <w:r>
              <w:t xml:space="preserve"> reported </w:t>
            </w:r>
            <w:r w:rsidR="00C93222">
              <w:t>5.1%</w:t>
            </w:r>
            <w:r>
              <w:t>, this was later corrected)</w:t>
            </w:r>
            <w:r w:rsidR="00416AED">
              <w:t xml:space="preserve"> </w:t>
            </w:r>
          </w:p>
        </w:tc>
        <w:tc>
          <w:tcPr>
            <w:tcW w:w="1985" w:type="dxa"/>
            <w:shd w:val="clear" w:color="auto" w:fill="EEECE1"/>
          </w:tcPr>
          <w:p w:rsidR="002C4C40" w:rsidRPr="00504BB3" w:rsidRDefault="002C4C40" w:rsidP="00130357">
            <w:r w:rsidRPr="00504BB3">
              <w:t>15-20% increase by 2016</w:t>
            </w:r>
          </w:p>
        </w:tc>
        <w:tc>
          <w:tcPr>
            <w:tcW w:w="2126" w:type="dxa"/>
          </w:tcPr>
          <w:p w:rsidR="00EF3D45" w:rsidRDefault="00EF3D45" w:rsidP="00EF3D45">
            <w:r>
              <w:t>4</w:t>
            </w:r>
            <w:r w:rsidRPr="00CE21D5">
              <w:t>.9%</w:t>
            </w:r>
            <w:r>
              <w:t xml:space="preserve"> </w:t>
            </w:r>
          </w:p>
          <w:p w:rsidR="00EF3D45" w:rsidRDefault="00EF3D45" w:rsidP="00EF3D45"/>
          <w:p w:rsidR="002C4C40" w:rsidRPr="007D00E3" w:rsidRDefault="002C4C40" w:rsidP="00EF3D45"/>
        </w:tc>
        <w:tc>
          <w:tcPr>
            <w:tcW w:w="3119" w:type="dxa"/>
          </w:tcPr>
          <w:p w:rsidR="002C4C40" w:rsidRDefault="00152D75" w:rsidP="00EF3D45">
            <w:r>
              <w:t>Reasons for the gradual reduction are manifold:</w:t>
            </w:r>
          </w:p>
          <w:p w:rsidR="00152D75" w:rsidRDefault="00152D75" w:rsidP="00EF3D45">
            <w:r>
              <w:t>- Continued lack of public trust in the police; low salaries</w:t>
            </w:r>
            <w:r w:rsidR="00551E52">
              <w:t xml:space="preserve"> and poor working conditions render the police profession unattractive</w:t>
            </w:r>
            <w:r w:rsidR="00D95005">
              <w:t>;</w:t>
            </w:r>
          </w:p>
          <w:p w:rsidR="007575F2" w:rsidRPr="007D00E3" w:rsidRDefault="00551E52" w:rsidP="00537D96">
            <w:r>
              <w:t xml:space="preserve">- Ethnic minorities avoid military service, which is generally a requirement for entry </w:t>
            </w:r>
            <w:r w:rsidR="00D91F0B">
              <w:t>into the police service</w:t>
            </w:r>
            <w:r w:rsidR="00537D96">
              <w:t>.</w:t>
            </w:r>
          </w:p>
        </w:tc>
        <w:tc>
          <w:tcPr>
            <w:tcW w:w="1958" w:type="dxa"/>
          </w:tcPr>
          <w:p w:rsidR="002C4C40" w:rsidRDefault="00BA703B" w:rsidP="00130357">
            <w:r w:rsidRPr="00504BB3">
              <w:fldChar w:fldCharType="begin">
                <w:ffData>
                  <w:name w:val=""/>
                  <w:enabled/>
                  <w:calcOnExit w:val="0"/>
                  <w:textInput>
                    <w:maxLength w:val="100"/>
                  </w:textInput>
                </w:ffData>
              </w:fldChar>
            </w:r>
            <w:r w:rsidR="002C4C40" w:rsidRPr="00504BB3">
              <w:instrText xml:space="preserve"> FORMTEXT </w:instrText>
            </w:r>
            <w:r w:rsidRPr="00504BB3">
              <w:fldChar w:fldCharType="separate"/>
            </w:r>
            <w:r w:rsidR="002C4C40" w:rsidRPr="00504BB3">
              <w:t> </w:t>
            </w:r>
            <w:r w:rsidR="002C4C40" w:rsidRPr="00504BB3">
              <w:t> </w:t>
            </w:r>
            <w:r w:rsidR="002C4C40" w:rsidRPr="00504BB3">
              <w:t> </w:t>
            </w:r>
            <w:r w:rsidR="002C4C40" w:rsidRPr="00504BB3">
              <w:t> </w:t>
            </w:r>
            <w:r w:rsidR="002C4C40" w:rsidRPr="00504BB3">
              <w:t> </w:t>
            </w:r>
            <w:r w:rsidRPr="00504BB3">
              <w:fldChar w:fldCharType="end"/>
            </w:r>
          </w:p>
        </w:tc>
      </w:tr>
      <w:tr w:rsidR="002C4C40" w:rsidRPr="007D00E3" w:rsidTr="007575F2">
        <w:trPr>
          <w:trHeight w:val="548"/>
        </w:trPr>
        <w:tc>
          <w:tcPr>
            <w:tcW w:w="1971" w:type="dxa"/>
            <w:vMerge/>
          </w:tcPr>
          <w:p w:rsidR="002C4C40" w:rsidRPr="00D33A6D" w:rsidRDefault="002C4C40" w:rsidP="00130357"/>
        </w:tc>
        <w:tc>
          <w:tcPr>
            <w:tcW w:w="2410" w:type="dxa"/>
            <w:shd w:val="clear" w:color="auto" w:fill="EEECE1"/>
          </w:tcPr>
          <w:p w:rsidR="002C4C40" w:rsidRDefault="002C4C40" w:rsidP="00130357">
            <w:r>
              <w:t>Indicator 1.2</w:t>
            </w:r>
          </w:p>
          <w:p w:rsidR="002C4C40" w:rsidRPr="00504BB3" w:rsidRDefault="002C4C40" w:rsidP="001312AA">
            <w:r w:rsidRPr="000B51EE">
              <w:t xml:space="preserve">Number of minorities </w:t>
            </w:r>
            <w:r w:rsidR="001312AA">
              <w:t>enroll</w:t>
            </w:r>
            <w:r w:rsidR="001312AA" w:rsidRPr="001312AA">
              <w:t xml:space="preserve">ed </w:t>
            </w:r>
            <w:r w:rsidRPr="000B51EE">
              <w:t>in the police</w:t>
            </w:r>
            <w:r w:rsidR="000E6E24">
              <w:t xml:space="preserve"> schools</w:t>
            </w:r>
          </w:p>
        </w:tc>
        <w:tc>
          <w:tcPr>
            <w:tcW w:w="1559" w:type="dxa"/>
            <w:shd w:val="clear" w:color="auto" w:fill="EEECE1"/>
          </w:tcPr>
          <w:p w:rsidR="002C4C40" w:rsidRDefault="00D95005" w:rsidP="00D95005">
            <w:r>
              <w:t>3</w:t>
            </w:r>
            <w:r w:rsidR="002C4C40">
              <w:t>%</w:t>
            </w:r>
          </w:p>
        </w:tc>
        <w:tc>
          <w:tcPr>
            <w:tcW w:w="1985" w:type="dxa"/>
            <w:shd w:val="clear" w:color="auto" w:fill="EEECE1"/>
          </w:tcPr>
          <w:p w:rsidR="002C4C40" w:rsidRPr="00504BB3" w:rsidRDefault="002C4C40" w:rsidP="00130357">
            <w:r w:rsidRPr="00504BB3">
              <w:t>10% increase by 2016</w:t>
            </w:r>
          </w:p>
        </w:tc>
        <w:tc>
          <w:tcPr>
            <w:tcW w:w="2126" w:type="dxa"/>
          </w:tcPr>
          <w:p w:rsidR="002C4C40" w:rsidRDefault="00D95005" w:rsidP="00130357">
            <w:r>
              <w:t>1</w:t>
            </w:r>
            <w:r w:rsidRPr="00CE21D5">
              <w:t>.1%</w:t>
            </w:r>
          </w:p>
        </w:tc>
        <w:tc>
          <w:tcPr>
            <w:tcW w:w="3119" w:type="dxa"/>
          </w:tcPr>
          <w:p w:rsidR="00CE5EA6" w:rsidRDefault="00CE5EA6" w:rsidP="00CE5EA6">
            <w:r>
              <w:t>See above, in addition:</w:t>
            </w:r>
          </w:p>
          <w:p w:rsidR="00CE5EA6" w:rsidRDefault="00CE5EA6" w:rsidP="00CE5EA6">
            <w:r>
              <w:t xml:space="preserve">- The </w:t>
            </w:r>
            <w:proofErr w:type="spellStart"/>
            <w:r>
              <w:t>MoI</w:t>
            </w:r>
            <w:proofErr w:type="spellEnd"/>
            <w:r>
              <w:t xml:space="preserve"> does not conduct effective and attractive recruitment campaigns for the Police Academy;</w:t>
            </w:r>
          </w:p>
          <w:p w:rsidR="002C4C40" w:rsidRDefault="00CE5EA6" w:rsidP="00247732">
            <w:r>
              <w:t xml:space="preserve">- </w:t>
            </w:r>
            <w:r w:rsidR="00183C3C">
              <w:t>Ethnic minorities</w:t>
            </w:r>
            <w:r w:rsidR="00247732">
              <w:t xml:space="preserve"> may</w:t>
            </w:r>
            <w:r w:rsidR="00183C3C">
              <w:t xml:space="preserve"> have difficulties passing the required republican exams due to poor knowledge of  Kyrgyz language</w:t>
            </w:r>
            <w:r w:rsidR="00247732">
              <w:t xml:space="preserve"> and/or low levels of general education.</w:t>
            </w:r>
            <w:r w:rsidR="00183C3C">
              <w:t xml:space="preserve"> </w:t>
            </w:r>
          </w:p>
        </w:tc>
        <w:tc>
          <w:tcPr>
            <w:tcW w:w="1958" w:type="dxa"/>
          </w:tcPr>
          <w:p w:rsidR="002C4C40" w:rsidRDefault="00BA703B" w:rsidP="00130357">
            <w:r w:rsidRPr="00504BB3">
              <w:fldChar w:fldCharType="begin">
                <w:ffData>
                  <w:name w:val=""/>
                  <w:enabled/>
                  <w:calcOnExit w:val="0"/>
                  <w:textInput>
                    <w:maxLength w:val="100"/>
                  </w:textInput>
                </w:ffData>
              </w:fldChar>
            </w:r>
            <w:r w:rsidR="002C4C40" w:rsidRPr="00504BB3">
              <w:instrText xml:space="preserve"> FORMTEXT </w:instrText>
            </w:r>
            <w:r w:rsidRPr="00504BB3">
              <w:fldChar w:fldCharType="separate"/>
            </w:r>
            <w:r w:rsidR="002C4C40" w:rsidRPr="00504BB3">
              <w:t> </w:t>
            </w:r>
            <w:r w:rsidR="002C4C40" w:rsidRPr="00504BB3">
              <w:t> </w:t>
            </w:r>
            <w:r w:rsidR="002C4C40" w:rsidRPr="00504BB3">
              <w:t> </w:t>
            </w:r>
            <w:r w:rsidR="002C4C40" w:rsidRPr="00504BB3">
              <w:t> </w:t>
            </w:r>
            <w:r w:rsidR="002C4C40" w:rsidRPr="00504BB3">
              <w:t> </w:t>
            </w:r>
            <w:r w:rsidRPr="00504BB3">
              <w:fldChar w:fldCharType="end"/>
            </w:r>
          </w:p>
        </w:tc>
      </w:tr>
      <w:tr w:rsidR="002C4C40" w:rsidRPr="007D00E3" w:rsidTr="007575F2">
        <w:trPr>
          <w:trHeight w:val="548"/>
        </w:trPr>
        <w:tc>
          <w:tcPr>
            <w:tcW w:w="1971" w:type="dxa"/>
            <w:vMerge/>
          </w:tcPr>
          <w:p w:rsidR="002C4C40" w:rsidRPr="00D33A6D" w:rsidRDefault="002C4C40" w:rsidP="00130357"/>
        </w:tc>
        <w:tc>
          <w:tcPr>
            <w:tcW w:w="2410" w:type="dxa"/>
            <w:shd w:val="clear" w:color="auto" w:fill="EEECE1"/>
          </w:tcPr>
          <w:p w:rsidR="002C4C40" w:rsidRPr="000B51EE" w:rsidRDefault="002C4C40" w:rsidP="00130357">
            <w:r>
              <w:t>Indicator 1.3</w:t>
            </w:r>
          </w:p>
          <w:p w:rsidR="002C4C40" w:rsidRPr="00504BB3" w:rsidRDefault="002C4C40" w:rsidP="00130357">
            <w:r w:rsidRPr="000B51EE">
              <w:t>Number of minorities in senior level positions</w:t>
            </w:r>
          </w:p>
        </w:tc>
        <w:tc>
          <w:tcPr>
            <w:tcW w:w="1559" w:type="dxa"/>
            <w:shd w:val="clear" w:color="auto" w:fill="EEECE1"/>
          </w:tcPr>
          <w:p w:rsidR="002C4C40" w:rsidRPr="00504BB3" w:rsidRDefault="00416AED" w:rsidP="00130357">
            <w:r>
              <w:t>5.2%</w:t>
            </w:r>
          </w:p>
        </w:tc>
        <w:tc>
          <w:tcPr>
            <w:tcW w:w="1985" w:type="dxa"/>
            <w:shd w:val="clear" w:color="auto" w:fill="EEECE1"/>
          </w:tcPr>
          <w:p w:rsidR="002C4C40" w:rsidRPr="00504BB3" w:rsidRDefault="002C4C40" w:rsidP="00130357">
            <w:r w:rsidRPr="00504BB3">
              <w:t>3-5% increase by 2016</w:t>
            </w:r>
          </w:p>
        </w:tc>
        <w:tc>
          <w:tcPr>
            <w:tcW w:w="2126" w:type="dxa"/>
          </w:tcPr>
          <w:p w:rsidR="002C4C40" w:rsidRPr="00504BB3" w:rsidRDefault="00247732" w:rsidP="00130357">
            <w:r>
              <w:t>5.2%</w:t>
            </w:r>
          </w:p>
        </w:tc>
        <w:tc>
          <w:tcPr>
            <w:tcW w:w="3119" w:type="dxa"/>
          </w:tcPr>
          <w:p w:rsidR="002C4C40" w:rsidRPr="00504BB3" w:rsidRDefault="002C4C40" w:rsidP="00CE2595"/>
        </w:tc>
        <w:tc>
          <w:tcPr>
            <w:tcW w:w="1958" w:type="dxa"/>
          </w:tcPr>
          <w:p w:rsidR="002C4C40" w:rsidRPr="00504BB3" w:rsidRDefault="002C4C40" w:rsidP="00130357"/>
        </w:tc>
      </w:tr>
      <w:tr w:rsidR="002C4C40" w:rsidRPr="007D00E3" w:rsidTr="007575F2">
        <w:trPr>
          <w:trHeight w:val="548"/>
        </w:trPr>
        <w:tc>
          <w:tcPr>
            <w:tcW w:w="1971" w:type="dxa"/>
          </w:tcPr>
          <w:p w:rsidR="002C4C40" w:rsidRPr="00D33A6D" w:rsidRDefault="002C4C40" w:rsidP="00130357">
            <w:r w:rsidRPr="00D33A6D">
              <w:t>Output 1.1</w:t>
            </w:r>
          </w:p>
          <w:p w:rsidR="002C4C40" w:rsidRPr="00504BB3" w:rsidRDefault="002C4C40" w:rsidP="00130357">
            <w:r w:rsidRPr="00504BB3">
              <w:t>Regulations on participation and representation of minorities, including plan for pro-active recruitment, training &amp; career advancement adopted</w:t>
            </w:r>
          </w:p>
        </w:tc>
        <w:tc>
          <w:tcPr>
            <w:tcW w:w="2410" w:type="dxa"/>
            <w:shd w:val="clear" w:color="auto" w:fill="EEECE1"/>
          </w:tcPr>
          <w:p w:rsidR="002C4C40" w:rsidRPr="00504BB3" w:rsidRDefault="002C4C40" w:rsidP="00130357">
            <w:r w:rsidRPr="00F3492E">
              <w:t>Indica</w:t>
            </w:r>
            <w:r>
              <w:t>tor  1.1</w:t>
            </w:r>
          </w:p>
          <w:p w:rsidR="002C4C40" w:rsidRPr="00504BB3" w:rsidRDefault="002C4C40" w:rsidP="00130357">
            <w:proofErr w:type="spellStart"/>
            <w:r w:rsidRPr="000B51EE">
              <w:t>MoI</w:t>
            </w:r>
            <w:proofErr w:type="spellEnd"/>
            <w:r w:rsidRPr="000B51EE">
              <w:t xml:space="preserve"> Resolution adopted and Action Plan developed</w:t>
            </w:r>
          </w:p>
        </w:tc>
        <w:tc>
          <w:tcPr>
            <w:tcW w:w="1559" w:type="dxa"/>
            <w:shd w:val="clear" w:color="auto" w:fill="EEECE1"/>
          </w:tcPr>
          <w:p w:rsidR="002C4C40" w:rsidRPr="00504BB3" w:rsidRDefault="002C4C40" w:rsidP="00130357">
            <w:r w:rsidRPr="00504BB3">
              <w:t>No policy paper available</w:t>
            </w:r>
          </w:p>
        </w:tc>
        <w:tc>
          <w:tcPr>
            <w:tcW w:w="1985" w:type="dxa"/>
            <w:shd w:val="clear" w:color="auto" w:fill="EEECE1"/>
          </w:tcPr>
          <w:p w:rsidR="002C4C40" w:rsidRPr="00504BB3" w:rsidRDefault="002C4C40" w:rsidP="00130357">
            <w:r w:rsidRPr="00504BB3">
              <w:t>Policy paper endorsed and effectively implemented</w:t>
            </w:r>
          </w:p>
        </w:tc>
        <w:tc>
          <w:tcPr>
            <w:tcW w:w="2126" w:type="dxa"/>
          </w:tcPr>
          <w:p w:rsidR="000F1986" w:rsidRDefault="000F1986" w:rsidP="00350636">
            <w:r>
              <w:t>1 policy paper endorsed</w:t>
            </w:r>
          </w:p>
          <w:p w:rsidR="00350636" w:rsidRPr="007D00E3" w:rsidRDefault="00350636" w:rsidP="00FF3F64"/>
        </w:tc>
        <w:tc>
          <w:tcPr>
            <w:tcW w:w="3119" w:type="dxa"/>
          </w:tcPr>
          <w:p w:rsidR="002C4C40" w:rsidRPr="007D00E3" w:rsidRDefault="00537D96" w:rsidP="00803C75">
            <w:r>
              <w:t>The n</w:t>
            </w:r>
            <w:r w:rsidR="00FF3F64" w:rsidRPr="00350636">
              <w:t xml:space="preserve">ew policy on competitive </w:t>
            </w:r>
            <w:r w:rsidR="00FF3F64">
              <w:t>recruitment of police officers</w:t>
            </w:r>
            <w:r w:rsidR="00803C75">
              <w:t>,</w:t>
            </w:r>
            <w:r w:rsidR="00FF3F64">
              <w:t xml:space="preserve"> </w:t>
            </w:r>
            <w:r w:rsidR="00FF3F64" w:rsidRPr="00350636">
              <w:t>endorsed by the KR Government on 24 November 2014</w:t>
            </w:r>
            <w:r w:rsidR="00803C75">
              <w:t>,</w:t>
            </w:r>
            <w:r>
              <w:t xml:space="preserve"> includes one special measure</w:t>
            </w:r>
            <w:r w:rsidR="00803C75">
              <w:t>: i</w:t>
            </w:r>
            <w:r w:rsidR="00803C75" w:rsidRPr="00AA73E7">
              <w:t>f two candidates obtain equal results, preference shall be given to the candidate belonging to the underrepresented ethnicity or gender</w:t>
            </w:r>
            <w:r w:rsidR="00803C75" w:rsidRPr="007D00E3">
              <w:t xml:space="preserve"> </w:t>
            </w:r>
          </w:p>
        </w:tc>
        <w:tc>
          <w:tcPr>
            <w:tcW w:w="1958" w:type="dxa"/>
          </w:tcPr>
          <w:p w:rsidR="002C4C40" w:rsidRDefault="00BA703B" w:rsidP="00130357">
            <w:r w:rsidRPr="00504BB3">
              <w:fldChar w:fldCharType="begin">
                <w:ffData>
                  <w:name w:val=""/>
                  <w:enabled/>
                  <w:calcOnExit w:val="0"/>
                  <w:textInput>
                    <w:maxLength w:val="100"/>
                  </w:textInput>
                </w:ffData>
              </w:fldChar>
            </w:r>
            <w:r w:rsidR="002C4C40" w:rsidRPr="00504BB3">
              <w:instrText xml:space="preserve"> FORMTEXT </w:instrText>
            </w:r>
            <w:r w:rsidRPr="00504BB3">
              <w:fldChar w:fldCharType="separate"/>
            </w:r>
            <w:r w:rsidR="002C4C40" w:rsidRPr="00504BB3">
              <w:t> </w:t>
            </w:r>
            <w:r w:rsidR="002C4C40" w:rsidRPr="00504BB3">
              <w:t> </w:t>
            </w:r>
            <w:r w:rsidR="002C4C40" w:rsidRPr="00504BB3">
              <w:t> </w:t>
            </w:r>
            <w:r w:rsidR="002C4C40" w:rsidRPr="00504BB3">
              <w:t> </w:t>
            </w:r>
            <w:r w:rsidR="002C4C40" w:rsidRPr="00504BB3">
              <w:t> </w:t>
            </w:r>
            <w:r w:rsidRPr="00504BB3">
              <w:fldChar w:fldCharType="end"/>
            </w:r>
          </w:p>
        </w:tc>
      </w:tr>
      <w:tr w:rsidR="002C4C40" w:rsidRPr="007D00E3" w:rsidTr="007575F2">
        <w:trPr>
          <w:trHeight w:val="440"/>
        </w:trPr>
        <w:tc>
          <w:tcPr>
            <w:tcW w:w="1971" w:type="dxa"/>
          </w:tcPr>
          <w:p w:rsidR="002C4C40" w:rsidRDefault="002C4C40" w:rsidP="00130357">
            <w:r w:rsidRPr="00D33A6D">
              <w:t>Output 1.2</w:t>
            </w:r>
          </w:p>
          <w:p w:rsidR="002C4C40" w:rsidRPr="00D33A6D" w:rsidRDefault="002C4C40" w:rsidP="00130357">
            <w:r w:rsidRPr="007F4619">
              <w:t xml:space="preserve">Regular dialogue between the police and minority communities established  </w:t>
            </w:r>
          </w:p>
        </w:tc>
        <w:tc>
          <w:tcPr>
            <w:tcW w:w="2410" w:type="dxa"/>
            <w:shd w:val="clear" w:color="auto" w:fill="EEECE1"/>
          </w:tcPr>
          <w:p w:rsidR="002C4C40" w:rsidRPr="00F41BC2" w:rsidRDefault="002C4C40" w:rsidP="00130357">
            <w:r>
              <w:t>Indicator  1.</w:t>
            </w:r>
            <w:r w:rsidRPr="00F41BC2">
              <w:t>1</w:t>
            </w:r>
          </w:p>
          <w:p w:rsidR="002C4C40" w:rsidRPr="00F41BC2" w:rsidRDefault="002C4C40" w:rsidP="00130357">
            <w:r w:rsidRPr="00504BB3">
              <w:t>No. of public events conducted</w:t>
            </w:r>
          </w:p>
        </w:tc>
        <w:tc>
          <w:tcPr>
            <w:tcW w:w="1559" w:type="dxa"/>
            <w:shd w:val="clear" w:color="auto" w:fill="EEECE1"/>
          </w:tcPr>
          <w:p w:rsidR="002C4C40" w:rsidRPr="007D00E3" w:rsidRDefault="002C4C40" w:rsidP="00130357">
            <w:r>
              <w:t>0</w:t>
            </w:r>
          </w:p>
        </w:tc>
        <w:tc>
          <w:tcPr>
            <w:tcW w:w="1985" w:type="dxa"/>
            <w:shd w:val="clear" w:color="auto" w:fill="EEECE1"/>
          </w:tcPr>
          <w:p w:rsidR="002C4C40" w:rsidRDefault="002C4C40" w:rsidP="00130357">
            <w:r>
              <w:t>84</w:t>
            </w:r>
          </w:p>
        </w:tc>
        <w:tc>
          <w:tcPr>
            <w:tcW w:w="2126" w:type="dxa"/>
          </w:tcPr>
          <w:p w:rsidR="002C4C40" w:rsidRDefault="004E314D" w:rsidP="001D0B54">
            <w:r w:rsidRPr="004E314D">
              <w:t xml:space="preserve">25 </w:t>
            </w:r>
          </w:p>
        </w:tc>
        <w:tc>
          <w:tcPr>
            <w:tcW w:w="3119" w:type="dxa"/>
          </w:tcPr>
          <w:p w:rsidR="002C4C40" w:rsidRPr="007D00E3" w:rsidRDefault="0063583B" w:rsidP="00130357">
            <w:r>
              <w:t>On track.</w:t>
            </w:r>
          </w:p>
        </w:tc>
        <w:tc>
          <w:tcPr>
            <w:tcW w:w="1958" w:type="dxa"/>
          </w:tcPr>
          <w:p w:rsidR="002C4C40" w:rsidRDefault="00BA703B" w:rsidP="00130357">
            <w:r w:rsidRPr="00F41BC2">
              <w:fldChar w:fldCharType="begin">
                <w:ffData>
                  <w:name w:val=""/>
                  <w:enabled/>
                  <w:calcOnExit w:val="0"/>
                  <w:textInput>
                    <w:maxLength w:val="100"/>
                  </w:textInput>
                </w:ffData>
              </w:fldChar>
            </w:r>
            <w:r w:rsidR="002C4C40" w:rsidRPr="00F41BC2">
              <w:instrText xml:space="preserve"> FORMTEXT </w:instrText>
            </w:r>
            <w:r w:rsidRPr="00F41BC2">
              <w:fldChar w:fldCharType="separate"/>
            </w:r>
            <w:r w:rsidR="002C4C40" w:rsidRPr="00F41BC2">
              <w:t> </w:t>
            </w:r>
            <w:r w:rsidR="002C4C40" w:rsidRPr="00F41BC2">
              <w:t> </w:t>
            </w:r>
            <w:r w:rsidR="002C4C40" w:rsidRPr="00F41BC2">
              <w:t> </w:t>
            </w:r>
            <w:r w:rsidR="002C4C40" w:rsidRPr="00F41BC2">
              <w:t> </w:t>
            </w:r>
            <w:r w:rsidR="002C4C40" w:rsidRPr="00F41BC2">
              <w:t> </w:t>
            </w:r>
            <w:r w:rsidRPr="00F41BC2">
              <w:fldChar w:fldCharType="end"/>
            </w:r>
          </w:p>
        </w:tc>
      </w:tr>
      <w:tr w:rsidR="000F1986" w:rsidRPr="007D00E3" w:rsidTr="007575F2">
        <w:trPr>
          <w:trHeight w:val="422"/>
        </w:trPr>
        <w:tc>
          <w:tcPr>
            <w:tcW w:w="1971" w:type="dxa"/>
            <w:vMerge w:val="restart"/>
          </w:tcPr>
          <w:p w:rsidR="000F1986" w:rsidRPr="000F1986" w:rsidRDefault="000F1986" w:rsidP="00130357">
            <w:r w:rsidRPr="000F1986">
              <w:t>Outcome 2</w:t>
            </w:r>
          </w:p>
          <w:p w:rsidR="000F1986" w:rsidRPr="000F1986" w:rsidRDefault="000F1986" w:rsidP="00130357">
            <w:r w:rsidRPr="000F1986">
              <w:t xml:space="preserve">The Government of the Kyrgyz Republic adopts and implements policies to increase </w:t>
            </w:r>
            <w:r w:rsidRPr="000F1986">
              <w:lastRenderedPageBreak/>
              <w:t>participation and representation of women in the police force and to ensure regular dialogue between police and women in local communities</w:t>
            </w:r>
          </w:p>
        </w:tc>
        <w:tc>
          <w:tcPr>
            <w:tcW w:w="2410" w:type="dxa"/>
            <w:shd w:val="clear" w:color="auto" w:fill="EEECE1"/>
          </w:tcPr>
          <w:p w:rsidR="000F1986" w:rsidRPr="000F1986" w:rsidRDefault="000F1986" w:rsidP="00130357">
            <w:r w:rsidRPr="000F1986">
              <w:lastRenderedPageBreak/>
              <w:t>Indicator 2.1</w:t>
            </w:r>
          </w:p>
          <w:p w:rsidR="000F1986" w:rsidRPr="000F1986" w:rsidRDefault="000F1986" w:rsidP="00130357">
            <w:r w:rsidRPr="000F1986">
              <w:t>Number of women employed in the police</w:t>
            </w:r>
          </w:p>
        </w:tc>
        <w:tc>
          <w:tcPr>
            <w:tcW w:w="1559" w:type="dxa"/>
            <w:shd w:val="clear" w:color="auto" w:fill="EEECE1"/>
          </w:tcPr>
          <w:p w:rsidR="000F1986" w:rsidRPr="000F1986" w:rsidRDefault="000F1986" w:rsidP="00130357">
            <w:r w:rsidRPr="000F1986">
              <w:t>13%</w:t>
            </w:r>
          </w:p>
        </w:tc>
        <w:tc>
          <w:tcPr>
            <w:tcW w:w="1985" w:type="dxa"/>
            <w:shd w:val="clear" w:color="auto" w:fill="EEECE1"/>
          </w:tcPr>
          <w:p w:rsidR="000F1986" w:rsidRPr="000F1986" w:rsidRDefault="000F1986" w:rsidP="00130357">
            <w:r w:rsidRPr="000F1986">
              <w:t>10% increase by 2016</w:t>
            </w:r>
          </w:p>
        </w:tc>
        <w:tc>
          <w:tcPr>
            <w:tcW w:w="2126" w:type="dxa"/>
          </w:tcPr>
          <w:p w:rsidR="000F1986" w:rsidRPr="000F1986" w:rsidRDefault="001D0B54" w:rsidP="00130357">
            <w:r>
              <w:t>12.3%</w:t>
            </w:r>
          </w:p>
        </w:tc>
        <w:tc>
          <w:tcPr>
            <w:tcW w:w="3119" w:type="dxa"/>
          </w:tcPr>
          <w:p w:rsidR="000F1986" w:rsidRPr="000F1986" w:rsidRDefault="0063583B" w:rsidP="00220638">
            <w:r>
              <w:t>The number of women in the police remains stable.</w:t>
            </w:r>
            <w:r w:rsidR="000E6E24">
              <w:t xml:space="preserve"> </w:t>
            </w:r>
            <w:r>
              <w:t xml:space="preserve">The </w:t>
            </w:r>
            <w:r w:rsidR="002F7D56">
              <w:t>proportion</w:t>
            </w:r>
            <w:r>
              <w:t xml:space="preserve"> presents a </w:t>
            </w:r>
            <w:r w:rsidR="000E6E24">
              <w:t xml:space="preserve">decrease as a result of </w:t>
            </w:r>
            <w:r w:rsidR="002F7D56">
              <w:t>the transfer of</w:t>
            </w:r>
            <w:r w:rsidR="000E6E24">
              <w:t xml:space="preserve"> 1,000 male </w:t>
            </w:r>
            <w:r w:rsidR="002F7D56">
              <w:t xml:space="preserve">officers from the Ministry of Defense to the </w:t>
            </w:r>
            <w:proofErr w:type="spellStart"/>
            <w:r w:rsidR="002F7D56">
              <w:t>MoI</w:t>
            </w:r>
            <w:proofErr w:type="spellEnd"/>
            <w:r w:rsidR="002F7D56">
              <w:t xml:space="preserve">. </w:t>
            </w:r>
          </w:p>
        </w:tc>
        <w:tc>
          <w:tcPr>
            <w:tcW w:w="1958" w:type="dxa"/>
          </w:tcPr>
          <w:p w:rsidR="000F1986" w:rsidRPr="000F1986" w:rsidRDefault="00BA703B" w:rsidP="00130357">
            <w:r w:rsidRPr="000F1986">
              <w:fldChar w:fldCharType="begin">
                <w:ffData>
                  <w:name w:val=""/>
                  <w:enabled/>
                  <w:calcOnExit w:val="0"/>
                  <w:textInput>
                    <w:maxLength w:val="100"/>
                  </w:textInput>
                </w:ffData>
              </w:fldChar>
            </w:r>
            <w:r w:rsidR="000F1986" w:rsidRPr="000F1986">
              <w:instrText xml:space="preserve"> FORMTEXT </w:instrText>
            </w:r>
            <w:r w:rsidRPr="000F1986">
              <w:fldChar w:fldCharType="separate"/>
            </w:r>
            <w:r w:rsidR="000F1986" w:rsidRPr="000F1986">
              <w:t> </w:t>
            </w:r>
            <w:r w:rsidR="000F1986" w:rsidRPr="000F1986">
              <w:t> </w:t>
            </w:r>
            <w:r w:rsidR="000F1986" w:rsidRPr="000F1986">
              <w:t> </w:t>
            </w:r>
            <w:r w:rsidR="000F1986" w:rsidRPr="000F1986">
              <w:t> </w:t>
            </w:r>
            <w:r w:rsidR="000F1986" w:rsidRPr="000F1986">
              <w:t> </w:t>
            </w:r>
            <w:r w:rsidRPr="000F1986">
              <w:fldChar w:fldCharType="end"/>
            </w:r>
          </w:p>
        </w:tc>
      </w:tr>
      <w:tr w:rsidR="000F1986" w:rsidRPr="007D00E3" w:rsidTr="007575F2">
        <w:trPr>
          <w:trHeight w:val="422"/>
        </w:trPr>
        <w:tc>
          <w:tcPr>
            <w:tcW w:w="1971" w:type="dxa"/>
            <w:vMerge/>
          </w:tcPr>
          <w:p w:rsidR="000F1986" w:rsidRPr="000F1986" w:rsidRDefault="000F1986" w:rsidP="00130357"/>
        </w:tc>
        <w:tc>
          <w:tcPr>
            <w:tcW w:w="2410" w:type="dxa"/>
            <w:shd w:val="clear" w:color="auto" w:fill="EEECE1"/>
          </w:tcPr>
          <w:p w:rsidR="000F1986" w:rsidRPr="000F1986" w:rsidRDefault="000F1986" w:rsidP="00130357">
            <w:r w:rsidRPr="000F1986">
              <w:t>Indicator 2.2 Number of women enrolled in police schools</w:t>
            </w:r>
          </w:p>
        </w:tc>
        <w:tc>
          <w:tcPr>
            <w:tcW w:w="1559" w:type="dxa"/>
            <w:shd w:val="clear" w:color="auto" w:fill="EEECE1"/>
          </w:tcPr>
          <w:p w:rsidR="000F1986" w:rsidRPr="000F1986" w:rsidRDefault="000F1986" w:rsidP="00C926F4">
            <w:r w:rsidRPr="000F1986">
              <w:t>1</w:t>
            </w:r>
            <w:r w:rsidR="00C926F4">
              <w:t>7</w:t>
            </w:r>
            <w:r w:rsidRPr="000F1986">
              <w:t>.</w:t>
            </w:r>
            <w:r w:rsidR="00C926F4">
              <w:t>4</w:t>
            </w:r>
            <w:r w:rsidRPr="000F1986">
              <w:t>%</w:t>
            </w:r>
          </w:p>
        </w:tc>
        <w:tc>
          <w:tcPr>
            <w:tcW w:w="1985" w:type="dxa"/>
            <w:shd w:val="clear" w:color="auto" w:fill="EEECE1"/>
          </w:tcPr>
          <w:p w:rsidR="000F1986" w:rsidRPr="000F1986" w:rsidRDefault="000F1986" w:rsidP="00130357">
            <w:r w:rsidRPr="000F1986">
              <w:t>15-20% increase by 2016</w:t>
            </w:r>
          </w:p>
        </w:tc>
        <w:tc>
          <w:tcPr>
            <w:tcW w:w="2126" w:type="dxa"/>
          </w:tcPr>
          <w:p w:rsidR="000F1986" w:rsidRPr="000F1986" w:rsidRDefault="00C926F4" w:rsidP="00C926F4">
            <w:r>
              <w:t>14</w:t>
            </w:r>
            <w:r w:rsidRPr="00326198">
              <w:t>.</w:t>
            </w:r>
            <w:r>
              <w:t>5</w:t>
            </w:r>
            <w:r w:rsidRPr="00326198">
              <w:t xml:space="preserve">% </w:t>
            </w:r>
          </w:p>
        </w:tc>
        <w:tc>
          <w:tcPr>
            <w:tcW w:w="3119" w:type="dxa"/>
          </w:tcPr>
          <w:p w:rsidR="000F1986" w:rsidRDefault="007B5AC2" w:rsidP="00C926F4">
            <w:r>
              <w:t xml:space="preserve">The proportion of women enrolled in the Police Academy has fluctuated between 13.2% and 19.2% during the last 5 years. </w:t>
            </w:r>
          </w:p>
          <w:p w:rsidR="00233648" w:rsidRDefault="00233648" w:rsidP="00C926F4"/>
          <w:p w:rsidR="00233648" w:rsidRPr="000F1986" w:rsidRDefault="00233648" w:rsidP="00C926F4">
            <w:r>
              <w:t>An additional obstacle for women to enter the Police Academy is the lack of a dormitory for women cadets.</w:t>
            </w:r>
          </w:p>
        </w:tc>
        <w:tc>
          <w:tcPr>
            <w:tcW w:w="1958" w:type="dxa"/>
          </w:tcPr>
          <w:p w:rsidR="000F1986" w:rsidRPr="000F1986" w:rsidRDefault="00BA703B" w:rsidP="00130357">
            <w:r w:rsidRPr="000F1986">
              <w:fldChar w:fldCharType="begin">
                <w:ffData>
                  <w:name w:val=""/>
                  <w:enabled/>
                  <w:calcOnExit w:val="0"/>
                  <w:textInput>
                    <w:maxLength w:val="100"/>
                  </w:textInput>
                </w:ffData>
              </w:fldChar>
            </w:r>
            <w:r w:rsidR="000F1986" w:rsidRPr="000F1986">
              <w:instrText xml:space="preserve"> FORMTEXT </w:instrText>
            </w:r>
            <w:r w:rsidRPr="000F1986">
              <w:fldChar w:fldCharType="separate"/>
            </w:r>
            <w:r w:rsidR="000F1986" w:rsidRPr="000F1986">
              <w:t> </w:t>
            </w:r>
            <w:r w:rsidR="000F1986" w:rsidRPr="000F1986">
              <w:t> </w:t>
            </w:r>
            <w:r w:rsidR="000F1986" w:rsidRPr="000F1986">
              <w:t> </w:t>
            </w:r>
            <w:r w:rsidR="000F1986" w:rsidRPr="000F1986">
              <w:t> </w:t>
            </w:r>
            <w:r w:rsidR="000F1986" w:rsidRPr="000F1986">
              <w:t> </w:t>
            </w:r>
            <w:r w:rsidRPr="000F1986">
              <w:fldChar w:fldCharType="end"/>
            </w:r>
          </w:p>
        </w:tc>
      </w:tr>
      <w:tr w:rsidR="000F1986" w:rsidRPr="007D00E3" w:rsidTr="007575F2">
        <w:trPr>
          <w:trHeight w:val="422"/>
        </w:trPr>
        <w:tc>
          <w:tcPr>
            <w:tcW w:w="1971" w:type="dxa"/>
            <w:vMerge/>
          </w:tcPr>
          <w:p w:rsidR="000F1986" w:rsidRPr="000F1986" w:rsidRDefault="000F1986" w:rsidP="00130357"/>
        </w:tc>
        <w:tc>
          <w:tcPr>
            <w:tcW w:w="2410" w:type="dxa"/>
            <w:shd w:val="clear" w:color="auto" w:fill="EEECE1"/>
          </w:tcPr>
          <w:p w:rsidR="000F1986" w:rsidRPr="000F1986" w:rsidRDefault="000F1986" w:rsidP="00130357">
            <w:r w:rsidRPr="000F1986">
              <w:t>Indicator 2.3</w:t>
            </w:r>
          </w:p>
          <w:p w:rsidR="000F1986" w:rsidRPr="000F1986" w:rsidRDefault="000F1986" w:rsidP="00130357">
            <w:r w:rsidRPr="000F1986">
              <w:t>Number of women in senior level positions</w:t>
            </w:r>
          </w:p>
        </w:tc>
        <w:tc>
          <w:tcPr>
            <w:tcW w:w="1559" w:type="dxa"/>
            <w:shd w:val="clear" w:color="auto" w:fill="EEECE1"/>
          </w:tcPr>
          <w:p w:rsidR="000F1986" w:rsidRPr="000F1986" w:rsidRDefault="00CE2595" w:rsidP="000D0BE2">
            <w:r>
              <w:t>7.</w:t>
            </w:r>
            <w:r w:rsidR="000D0BE2">
              <w:t>6</w:t>
            </w:r>
            <w:r>
              <w:t>%</w:t>
            </w:r>
            <w:r w:rsidR="00707806">
              <w:t xml:space="preserve"> </w:t>
            </w:r>
          </w:p>
        </w:tc>
        <w:tc>
          <w:tcPr>
            <w:tcW w:w="1985" w:type="dxa"/>
            <w:shd w:val="clear" w:color="auto" w:fill="EEECE1"/>
          </w:tcPr>
          <w:p w:rsidR="000F1986" w:rsidRPr="000F1986" w:rsidRDefault="000F1986" w:rsidP="00130357">
            <w:r w:rsidRPr="000F1986">
              <w:t>3-5% increase by 2016</w:t>
            </w:r>
          </w:p>
        </w:tc>
        <w:tc>
          <w:tcPr>
            <w:tcW w:w="2126" w:type="dxa"/>
          </w:tcPr>
          <w:p w:rsidR="000F1986" w:rsidRPr="000F1986" w:rsidRDefault="000D0BE2" w:rsidP="00130357">
            <w:r>
              <w:t>7.4%</w:t>
            </w:r>
          </w:p>
        </w:tc>
        <w:tc>
          <w:tcPr>
            <w:tcW w:w="3119" w:type="dxa"/>
          </w:tcPr>
          <w:p w:rsidR="000F1986" w:rsidRPr="000F1986" w:rsidRDefault="00980760" w:rsidP="00FD29FD">
            <w:r>
              <w:t xml:space="preserve">The </w:t>
            </w:r>
            <w:proofErr w:type="spellStart"/>
            <w:r w:rsidR="009425AA" w:rsidRPr="009425AA">
              <w:t>MoI's</w:t>
            </w:r>
            <w:proofErr w:type="spellEnd"/>
            <w:r w:rsidR="009425AA" w:rsidRPr="009425AA">
              <w:t xml:space="preserve"> decision </w:t>
            </w:r>
            <w:r w:rsidR="00FD29FD">
              <w:t>to</w:t>
            </w:r>
            <w:r w:rsidR="009425AA" w:rsidRPr="009425AA">
              <w:t xml:space="preserve"> establish a roster of police women </w:t>
            </w:r>
            <w:r>
              <w:t xml:space="preserve">qualified for </w:t>
            </w:r>
            <w:r w:rsidR="009425AA" w:rsidRPr="009425AA">
              <w:t>management positions may lead to a</w:t>
            </w:r>
            <w:r>
              <w:t>n increase</w:t>
            </w:r>
            <w:r w:rsidR="009425AA" w:rsidRPr="009425AA">
              <w:t xml:space="preserve"> in the number of high-ran</w:t>
            </w:r>
            <w:r w:rsidR="009425AA">
              <w:t>k</w:t>
            </w:r>
            <w:r>
              <w:t>ing women</w:t>
            </w:r>
            <w:r w:rsidR="009425AA" w:rsidRPr="009425AA">
              <w:t xml:space="preserve"> in the police</w:t>
            </w:r>
            <w:r w:rsidR="00707806">
              <w:t xml:space="preserve"> </w:t>
            </w:r>
            <w:r>
              <w:t xml:space="preserve">during the next </w:t>
            </w:r>
            <w:r w:rsidR="00707806">
              <w:t>years.</w:t>
            </w:r>
          </w:p>
        </w:tc>
        <w:tc>
          <w:tcPr>
            <w:tcW w:w="1958" w:type="dxa"/>
          </w:tcPr>
          <w:p w:rsidR="000F1986" w:rsidRPr="000F1986" w:rsidRDefault="000F1986" w:rsidP="009425AA"/>
        </w:tc>
      </w:tr>
      <w:tr w:rsidR="002C4C40" w:rsidRPr="007D00E3" w:rsidTr="007575F2">
        <w:trPr>
          <w:trHeight w:val="422"/>
        </w:trPr>
        <w:tc>
          <w:tcPr>
            <w:tcW w:w="1971" w:type="dxa"/>
          </w:tcPr>
          <w:p w:rsidR="002C4C40" w:rsidRDefault="002C4C40" w:rsidP="00130357">
            <w:r w:rsidRPr="00D33A6D">
              <w:t>Output 2.1</w:t>
            </w:r>
          </w:p>
          <w:p w:rsidR="002C4C40" w:rsidRPr="007F4619" w:rsidRDefault="002C4C40" w:rsidP="00130357">
            <w:r w:rsidRPr="007F4619">
              <w:t>Regulations on participation of women, including plan for pro-active recruitment, training &amp; career advancement adopted and effectively implemented</w:t>
            </w:r>
          </w:p>
        </w:tc>
        <w:tc>
          <w:tcPr>
            <w:tcW w:w="2410" w:type="dxa"/>
            <w:shd w:val="clear" w:color="auto" w:fill="EEECE1"/>
          </w:tcPr>
          <w:p w:rsidR="002C4C40" w:rsidRPr="007F4619" w:rsidRDefault="002C4C40" w:rsidP="00130357">
            <w:r>
              <w:t>Indicator  2.1</w:t>
            </w:r>
          </w:p>
          <w:p w:rsidR="002C4C40" w:rsidRPr="007F4619" w:rsidRDefault="002C4C40" w:rsidP="00130357">
            <w:proofErr w:type="spellStart"/>
            <w:r w:rsidRPr="007F4619">
              <w:t>MoI</w:t>
            </w:r>
            <w:proofErr w:type="spellEnd"/>
            <w:r w:rsidRPr="007F4619">
              <w:t xml:space="preserve"> Resolution adopted and Action Plan developed</w:t>
            </w:r>
          </w:p>
          <w:p w:rsidR="002C4C40" w:rsidRPr="00F3492E" w:rsidRDefault="002C4C40" w:rsidP="00130357"/>
        </w:tc>
        <w:tc>
          <w:tcPr>
            <w:tcW w:w="1559" w:type="dxa"/>
            <w:shd w:val="clear" w:color="auto" w:fill="EEECE1"/>
          </w:tcPr>
          <w:p w:rsidR="002C4C40" w:rsidRPr="007F4619" w:rsidRDefault="002C4C40" w:rsidP="00130357">
            <w:r w:rsidRPr="007F4619">
              <w:t>No policy paper available</w:t>
            </w:r>
          </w:p>
        </w:tc>
        <w:tc>
          <w:tcPr>
            <w:tcW w:w="1985" w:type="dxa"/>
            <w:shd w:val="clear" w:color="auto" w:fill="EEECE1"/>
          </w:tcPr>
          <w:p w:rsidR="002C4C40" w:rsidRPr="007F4619" w:rsidRDefault="002C4C40" w:rsidP="00130357">
            <w:r w:rsidRPr="007F4619">
              <w:t>Policy paper endorsed and effectively implemented</w:t>
            </w:r>
          </w:p>
        </w:tc>
        <w:tc>
          <w:tcPr>
            <w:tcW w:w="2126" w:type="dxa"/>
          </w:tcPr>
          <w:p w:rsidR="000F1986" w:rsidRPr="000F1986" w:rsidRDefault="000F1986" w:rsidP="000F1986">
            <w:r w:rsidRPr="000F1986">
              <w:t>1 policy paper endorsed</w:t>
            </w:r>
          </w:p>
          <w:p w:rsidR="002C4C40" w:rsidRDefault="002C4C40" w:rsidP="00FD29FD"/>
          <w:p w:rsidR="00FD29FD" w:rsidRPr="007D00E3" w:rsidRDefault="00FD29FD" w:rsidP="00FD29FD">
            <w:r>
              <w:t>Action plan developed</w:t>
            </w:r>
          </w:p>
        </w:tc>
        <w:tc>
          <w:tcPr>
            <w:tcW w:w="3119" w:type="dxa"/>
          </w:tcPr>
          <w:p w:rsidR="002C4C40" w:rsidRPr="007D00E3" w:rsidRDefault="00BA703B" w:rsidP="00130357">
            <w:r w:rsidRPr="007F4619">
              <w:fldChar w:fldCharType="begin">
                <w:ffData>
                  <w:name w:val=""/>
                  <w:enabled/>
                  <w:calcOnExit w:val="0"/>
                  <w:textInput>
                    <w:maxLength w:val="100"/>
                  </w:textInput>
                </w:ffData>
              </w:fldChar>
            </w:r>
            <w:r w:rsidR="002C4C40" w:rsidRPr="007F4619">
              <w:instrText xml:space="preserve"> FORMTEXT </w:instrText>
            </w:r>
            <w:r w:rsidRPr="007F4619">
              <w:fldChar w:fldCharType="separate"/>
            </w:r>
            <w:r w:rsidR="002C4C40" w:rsidRPr="007F4619">
              <w:t> </w:t>
            </w:r>
            <w:r w:rsidR="002C4C40" w:rsidRPr="007F4619">
              <w:t> </w:t>
            </w:r>
            <w:r w:rsidR="002C4C40" w:rsidRPr="007F4619">
              <w:t> </w:t>
            </w:r>
            <w:r w:rsidR="002C4C40" w:rsidRPr="007F4619">
              <w:t> </w:t>
            </w:r>
            <w:r w:rsidR="002C4C40" w:rsidRPr="007F4619">
              <w:t> </w:t>
            </w:r>
            <w:r w:rsidRPr="007F4619">
              <w:fldChar w:fldCharType="end"/>
            </w:r>
          </w:p>
        </w:tc>
        <w:tc>
          <w:tcPr>
            <w:tcW w:w="1958" w:type="dxa"/>
          </w:tcPr>
          <w:p w:rsidR="002C4C40" w:rsidRDefault="00BA703B" w:rsidP="00130357">
            <w:r w:rsidRPr="007F4619">
              <w:fldChar w:fldCharType="begin">
                <w:ffData>
                  <w:name w:val=""/>
                  <w:enabled/>
                  <w:calcOnExit w:val="0"/>
                  <w:textInput>
                    <w:maxLength w:val="100"/>
                  </w:textInput>
                </w:ffData>
              </w:fldChar>
            </w:r>
            <w:r w:rsidR="002C4C40" w:rsidRPr="007F4619">
              <w:instrText xml:space="preserve"> FORMTEXT </w:instrText>
            </w:r>
            <w:r w:rsidRPr="007F4619">
              <w:fldChar w:fldCharType="separate"/>
            </w:r>
            <w:r w:rsidR="002C4C40" w:rsidRPr="007F4619">
              <w:t> </w:t>
            </w:r>
            <w:r w:rsidR="002C4C40" w:rsidRPr="007F4619">
              <w:t> </w:t>
            </w:r>
            <w:r w:rsidR="002C4C40" w:rsidRPr="007F4619">
              <w:t> </w:t>
            </w:r>
            <w:r w:rsidR="002C4C40" w:rsidRPr="007F4619">
              <w:t> </w:t>
            </w:r>
            <w:r w:rsidR="002C4C40" w:rsidRPr="007F4619">
              <w:t> </w:t>
            </w:r>
            <w:r w:rsidRPr="007F4619">
              <w:fldChar w:fldCharType="end"/>
            </w:r>
          </w:p>
        </w:tc>
      </w:tr>
      <w:tr w:rsidR="002C4C40" w:rsidRPr="007D00E3" w:rsidTr="007575F2">
        <w:trPr>
          <w:trHeight w:val="512"/>
        </w:trPr>
        <w:tc>
          <w:tcPr>
            <w:tcW w:w="1971" w:type="dxa"/>
          </w:tcPr>
          <w:p w:rsidR="002C4C40" w:rsidRDefault="002C4C40" w:rsidP="00130357">
            <w:r w:rsidRPr="00D33A6D">
              <w:lastRenderedPageBreak/>
              <w:t>Output 2.2</w:t>
            </w:r>
          </w:p>
          <w:p w:rsidR="002C4C40" w:rsidRPr="00D33A6D" w:rsidRDefault="002C4C40" w:rsidP="00130357">
            <w:r w:rsidRPr="007F4619">
              <w:t>Gender sensitive approaches in the work of the police service introduced</w:t>
            </w:r>
          </w:p>
        </w:tc>
        <w:tc>
          <w:tcPr>
            <w:tcW w:w="2410" w:type="dxa"/>
            <w:shd w:val="clear" w:color="auto" w:fill="EEECE1"/>
          </w:tcPr>
          <w:p w:rsidR="002C4C40" w:rsidRPr="007F4619" w:rsidRDefault="002C4C40" w:rsidP="00130357">
            <w:r w:rsidRPr="00F3492E">
              <w:t>Indic</w:t>
            </w:r>
            <w:r w:rsidRPr="007F4619">
              <w:t>ator  2.2</w:t>
            </w:r>
          </w:p>
          <w:p w:rsidR="002C4C40" w:rsidRPr="007F4619" w:rsidRDefault="002C4C40" w:rsidP="00130357">
            <w:r w:rsidRPr="007F4619">
              <w:t>No of police officers trained</w:t>
            </w:r>
          </w:p>
        </w:tc>
        <w:tc>
          <w:tcPr>
            <w:tcW w:w="1559" w:type="dxa"/>
            <w:shd w:val="clear" w:color="auto" w:fill="EEECE1"/>
          </w:tcPr>
          <w:p w:rsidR="002C4C40" w:rsidRPr="007F4619" w:rsidRDefault="002C4C40" w:rsidP="00130357">
            <w:r>
              <w:t>0</w:t>
            </w:r>
          </w:p>
        </w:tc>
        <w:tc>
          <w:tcPr>
            <w:tcW w:w="1985" w:type="dxa"/>
            <w:shd w:val="clear" w:color="auto" w:fill="EEECE1"/>
          </w:tcPr>
          <w:p w:rsidR="002C4C40" w:rsidRPr="007F4619" w:rsidRDefault="002C4C40" w:rsidP="00130357">
            <w:r>
              <w:t>140</w:t>
            </w:r>
          </w:p>
        </w:tc>
        <w:tc>
          <w:tcPr>
            <w:tcW w:w="2126" w:type="dxa"/>
          </w:tcPr>
          <w:p w:rsidR="00B05F8D" w:rsidRPr="007D00E3" w:rsidRDefault="00943120" w:rsidP="00B05F8D">
            <w:r>
              <w:t xml:space="preserve"> 2</w:t>
            </w:r>
            <w:r w:rsidR="00B05F8D">
              <w:t>5</w:t>
            </w:r>
            <w:r>
              <w:t>0</w:t>
            </w:r>
            <w:r w:rsidR="00B05F8D">
              <w:t xml:space="preserve"> </w:t>
            </w:r>
            <w:r>
              <w:t xml:space="preserve"> </w:t>
            </w:r>
          </w:p>
          <w:p w:rsidR="00943120" w:rsidRPr="007D00E3" w:rsidRDefault="00943120" w:rsidP="00D12749"/>
        </w:tc>
        <w:tc>
          <w:tcPr>
            <w:tcW w:w="3119" w:type="dxa"/>
          </w:tcPr>
          <w:p w:rsidR="002C4C40" w:rsidRPr="007D00E3" w:rsidRDefault="00B05F8D" w:rsidP="00B05F8D">
            <w:r>
              <w:t>Training ongoing; exact number will be adjusted in the annual report.</w:t>
            </w:r>
          </w:p>
        </w:tc>
        <w:tc>
          <w:tcPr>
            <w:tcW w:w="1958" w:type="dxa"/>
          </w:tcPr>
          <w:p w:rsidR="002C4C40" w:rsidRDefault="00BA703B" w:rsidP="00130357">
            <w:r w:rsidRPr="007F4619">
              <w:fldChar w:fldCharType="begin">
                <w:ffData>
                  <w:name w:val=""/>
                  <w:enabled/>
                  <w:calcOnExit w:val="0"/>
                  <w:textInput>
                    <w:maxLength w:val="100"/>
                  </w:textInput>
                </w:ffData>
              </w:fldChar>
            </w:r>
            <w:r w:rsidR="002C4C40" w:rsidRPr="007F4619">
              <w:instrText xml:space="preserve"> FORMTEXT </w:instrText>
            </w:r>
            <w:r w:rsidRPr="007F4619">
              <w:fldChar w:fldCharType="separate"/>
            </w:r>
            <w:r w:rsidR="002C4C40" w:rsidRPr="007F4619">
              <w:t> </w:t>
            </w:r>
            <w:r w:rsidR="002C4C40" w:rsidRPr="007F4619">
              <w:t> </w:t>
            </w:r>
            <w:r w:rsidR="002C4C40" w:rsidRPr="007F4619">
              <w:t> </w:t>
            </w:r>
            <w:r w:rsidR="002C4C40" w:rsidRPr="007F4619">
              <w:t> </w:t>
            </w:r>
            <w:r w:rsidR="002C4C40" w:rsidRPr="007F4619">
              <w:t> </w:t>
            </w:r>
            <w:r w:rsidRPr="007F4619">
              <w:fldChar w:fldCharType="end"/>
            </w:r>
          </w:p>
        </w:tc>
      </w:tr>
      <w:tr w:rsidR="002C4C40" w:rsidRPr="007D00E3" w:rsidTr="007575F2">
        <w:trPr>
          <w:trHeight w:val="458"/>
        </w:trPr>
        <w:tc>
          <w:tcPr>
            <w:tcW w:w="1971" w:type="dxa"/>
            <w:vMerge w:val="restart"/>
          </w:tcPr>
          <w:p w:rsidR="002C4C40" w:rsidRDefault="002C4C40" w:rsidP="00130357">
            <w:r w:rsidRPr="00373A8D">
              <w:t>Outcome 3</w:t>
            </w:r>
          </w:p>
          <w:p w:rsidR="002C4C40" w:rsidRPr="00373A8D" w:rsidRDefault="002C4C40" w:rsidP="00130357">
            <w:r w:rsidRPr="007F4619">
              <w:t>Police  becomes more accountable and responsive to the grievances/</w:t>
            </w:r>
            <w:r w:rsidR="00F2444E">
              <w:t xml:space="preserve"> </w:t>
            </w:r>
            <w:r w:rsidRPr="007F4619">
              <w:t>needs of people  through established complaints handling procedures and more effective independent monitoring of police performance</w:t>
            </w:r>
          </w:p>
        </w:tc>
        <w:tc>
          <w:tcPr>
            <w:tcW w:w="2410" w:type="dxa"/>
            <w:shd w:val="clear" w:color="auto" w:fill="EEECE1"/>
          </w:tcPr>
          <w:p w:rsidR="002C4C40" w:rsidRPr="00373A8D" w:rsidRDefault="002C4C40" w:rsidP="00130357">
            <w:r>
              <w:t>Indicator 3.1</w:t>
            </w:r>
          </w:p>
          <w:p w:rsidR="002C4C40" w:rsidRPr="00373A8D" w:rsidRDefault="002C4C40" w:rsidP="00130357">
            <w:r w:rsidRPr="00373A8D">
              <w:t>Number of police officers sanctioned in disciplinary and criminal proceedings in relation to misconduct</w:t>
            </w:r>
          </w:p>
        </w:tc>
        <w:tc>
          <w:tcPr>
            <w:tcW w:w="1559" w:type="dxa"/>
            <w:shd w:val="clear" w:color="auto" w:fill="EEECE1"/>
          </w:tcPr>
          <w:p w:rsidR="00CE632E" w:rsidRDefault="00CE632E" w:rsidP="00CE632E">
            <w:r>
              <w:t xml:space="preserve">171 </w:t>
            </w:r>
            <w:r w:rsidR="00C07745">
              <w:t xml:space="preserve">- </w:t>
            </w:r>
            <w:r>
              <w:t xml:space="preserve">criminal proceedings </w:t>
            </w:r>
          </w:p>
          <w:p w:rsidR="002C4C40" w:rsidRDefault="002C4C40" w:rsidP="00130357"/>
          <w:p w:rsidR="006F643F" w:rsidRDefault="006F643F" w:rsidP="00C07745">
            <w:r>
              <w:t xml:space="preserve">375 </w:t>
            </w:r>
            <w:r w:rsidR="00C07745">
              <w:t>- disciplinary</w:t>
            </w:r>
            <w:r>
              <w:t xml:space="preserve"> proceedings</w:t>
            </w:r>
          </w:p>
          <w:p w:rsidR="0082618C" w:rsidRDefault="0082618C" w:rsidP="00C07745"/>
          <w:p w:rsidR="0082618C" w:rsidRPr="00373A8D" w:rsidRDefault="0082618C" w:rsidP="00C07745">
            <w:r>
              <w:t>NB. 2013 figures</w:t>
            </w:r>
          </w:p>
        </w:tc>
        <w:tc>
          <w:tcPr>
            <w:tcW w:w="1985" w:type="dxa"/>
            <w:shd w:val="clear" w:color="auto" w:fill="EEECE1"/>
          </w:tcPr>
          <w:p w:rsidR="002C4C40" w:rsidRPr="00373A8D" w:rsidRDefault="002C4C40" w:rsidP="00130357">
            <w:r w:rsidRPr="00373A8D">
              <w:t>% 10-15 increase by 2016</w:t>
            </w:r>
          </w:p>
        </w:tc>
        <w:tc>
          <w:tcPr>
            <w:tcW w:w="2126" w:type="dxa"/>
          </w:tcPr>
          <w:p w:rsidR="008A65D4" w:rsidRDefault="008A65D4" w:rsidP="00130357">
            <w:r>
              <w:t xml:space="preserve">135 </w:t>
            </w:r>
            <w:r w:rsidR="0082618C">
              <w:t>-</w:t>
            </w:r>
            <w:r>
              <w:t xml:space="preserve"> criminal proceedings </w:t>
            </w:r>
          </w:p>
          <w:p w:rsidR="008A65D4" w:rsidRDefault="008A65D4" w:rsidP="00130357"/>
          <w:p w:rsidR="003D59FB" w:rsidRPr="007D00E3" w:rsidRDefault="008A65D4" w:rsidP="0082618C">
            <w:r>
              <w:t xml:space="preserve">518 </w:t>
            </w:r>
            <w:r w:rsidR="0082618C">
              <w:t>-</w:t>
            </w:r>
            <w:r>
              <w:t xml:space="preserve"> disciplinary proceedings </w:t>
            </w:r>
          </w:p>
        </w:tc>
        <w:tc>
          <w:tcPr>
            <w:tcW w:w="3119" w:type="dxa"/>
          </w:tcPr>
          <w:p w:rsidR="002C4C40" w:rsidRPr="007D00E3" w:rsidRDefault="00BA703B" w:rsidP="00130357">
            <w:r w:rsidRPr="00373A8D">
              <w:fldChar w:fldCharType="begin">
                <w:ffData>
                  <w:name w:val=""/>
                  <w:enabled/>
                  <w:calcOnExit w:val="0"/>
                  <w:textInput>
                    <w:maxLength w:val="100"/>
                  </w:textInput>
                </w:ffData>
              </w:fldChar>
            </w:r>
            <w:r w:rsidR="002C4C40" w:rsidRPr="00373A8D">
              <w:instrText xml:space="preserve"> FORMTEXT </w:instrText>
            </w:r>
            <w:r w:rsidRPr="00373A8D">
              <w:fldChar w:fldCharType="separate"/>
            </w:r>
            <w:r w:rsidR="002C4C40" w:rsidRPr="00373A8D">
              <w:t> </w:t>
            </w:r>
            <w:r w:rsidR="002C4C40" w:rsidRPr="00373A8D">
              <w:t> </w:t>
            </w:r>
            <w:r w:rsidR="002C4C40" w:rsidRPr="00373A8D">
              <w:t> </w:t>
            </w:r>
            <w:r w:rsidR="002C4C40" w:rsidRPr="00373A8D">
              <w:t> </w:t>
            </w:r>
            <w:r w:rsidR="002C4C40" w:rsidRPr="00373A8D">
              <w:t> </w:t>
            </w:r>
            <w:r w:rsidRPr="00373A8D">
              <w:fldChar w:fldCharType="end"/>
            </w:r>
          </w:p>
        </w:tc>
        <w:tc>
          <w:tcPr>
            <w:tcW w:w="1958" w:type="dxa"/>
          </w:tcPr>
          <w:p w:rsidR="002C4C40" w:rsidRDefault="00BA703B" w:rsidP="00130357">
            <w:r w:rsidRPr="00373A8D">
              <w:fldChar w:fldCharType="begin">
                <w:ffData>
                  <w:name w:val=""/>
                  <w:enabled/>
                  <w:calcOnExit w:val="0"/>
                  <w:textInput>
                    <w:maxLength w:val="100"/>
                  </w:textInput>
                </w:ffData>
              </w:fldChar>
            </w:r>
            <w:r w:rsidR="002C4C40" w:rsidRPr="00373A8D">
              <w:instrText xml:space="preserve"> FORMTEXT </w:instrText>
            </w:r>
            <w:r w:rsidRPr="00373A8D">
              <w:fldChar w:fldCharType="separate"/>
            </w:r>
            <w:r w:rsidR="002C4C40" w:rsidRPr="00373A8D">
              <w:t> </w:t>
            </w:r>
            <w:r w:rsidR="002C4C40" w:rsidRPr="00373A8D">
              <w:t> </w:t>
            </w:r>
            <w:r w:rsidR="002C4C40" w:rsidRPr="00373A8D">
              <w:t> </w:t>
            </w:r>
            <w:r w:rsidR="002C4C40" w:rsidRPr="00373A8D">
              <w:t> </w:t>
            </w:r>
            <w:r w:rsidR="002C4C40" w:rsidRPr="00373A8D">
              <w:t> </w:t>
            </w:r>
            <w:r w:rsidRPr="00373A8D">
              <w:fldChar w:fldCharType="end"/>
            </w:r>
          </w:p>
        </w:tc>
      </w:tr>
      <w:tr w:rsidR="002C4C40" w:rsidRPr="007D00E3" w:rsidTr="007575F2">
        <w:trPr>
          <w:trHeight w:val="458"/>
        </w:trPr>
        <w:tc>
          <w:tcPr>
            <w:tcW w:w="1971" w:type="dxa"/>
            <w:vMerge/>
          </w:tcPr>
          <w:p w:rsidR="002C4C40" w:rsidRPr="00CC0EED" w:rsidRDefault="002C4C40" w:rsidP="00130357"/>
        </w:tc>
        <w:tc>
          <w:tcPr>
            <w:tcW w:w="2410" w:type="dxa"/>
            <w:shd w:val="clear" w:color="auto" w:fill="EEECE1"/>
          </w:tcPr>
          <w:p w:rsidR="002C4C40" w:rsidRPr="00373A8D" w:rsidRDefault="002C4C40" w:rsidP="00130357">
            <w:r>
              <w:t>Indicator 3.2</w:t>
            </w:r>
          </w:p>
          <w:p w:rsidR="002C4C40" w:rsidRPr="00373A8D" w:rsidRDefault="002C4C40" w:rsidP="00130357">
            <w:r w:rsidRPr="00373A8D">
              <w:t>% of recommendations from oversight organizations implemented</w:t>
            </w:r>
          </w:p>
        </w:tc>
        <w:tc>
          <w:tcPr>
            <w:tcW w:w="1559" w:type="dxa"/>
            <w:shd w:val="clear" w:color="auto" w:fill="EEECE1"/>
          </w:tcPr>
          <w:p w:rsidR="002C4C40" w:rsidRPr="00373A8D" w:rsidRDefault="002C4C40" w:rsidP="00130357">
            <w:r w:rsidRPr="00373A8D">
              <w:t>Very low level of implementation</w:t>
            </w:r>
          </w:p>
        </w:tc>
        <w:tc>
          <w:tcPr>
            <w:tcW w:w="1985" w:type="dxa"/>
            <w:shd w:val="clear" w:color="auto" w:fill="EEECE1"/>
          </w:tcPr>
          <w:p w:rsidR="002C4C40" w:rsidRPr="00373A8D" w:rsidRDefault="002C4C40" w:rsidP="00130357">
            <w:r w:rsidRPr="00373A8D">
              <w:t xml:space="preserve">50% implementation rate </w:t>
            </w:r>
          </w:p>
        </w:tc>
        <w:tc>
          <w:tcPr>
            <w:tcW w:w="2126" w:type="dxa"/>
          </w:tcPr>
          <w:p w:rsidR="002C4C40" w:rsidRDefault="00964D83" w:rsidP="00130357">
            <w:r>
              <w:t>N/A</w:t>
            </w:r>
          </w:p>
          <w:p w:rsidR="00C93222" w:rsidRDefault="00C93222" w:rsidP="00C93222"/>
          <w:p w:rsidR="00C93222" w:rsidRPr="007D00E3" w:rsidRDefault="00C93222" w:rsidP="00381816"/>
        </w:tc>
        <w:tc>
          <w:tcPr>
            <w:tcW w:w="3119" w:type="dxa"/>
          </w:tcPr>
          <w:p w:rsidR="002C4C40" w:rsidRPr="007D00E3" w:rsidRDefault="00381816" w:rsidP="00130357">
            <w:r>
              <w:t>Relevant reports under preparation</w:t>
            </w:r>
          </w:p>
        </w:tc>
        <w:tc>
          <w:tcPr>
            <w:tcW w:w="1958" w:type="dxa"/>
          </w:tcPr>
          <w:p w:rsidR="002C4C40" w:rsidRDefault="00BA703B" w:rsidP="00130357">
            <w:r w:rsidRPr="00373A8D">
              <w:fldChar w:fldCharType="begin">
                <w:ffData>
                  <w:name w:val=""/>
                  <w:enabled/>
                  <w:calcOnExit w:val="0"/>
                  <w:textInput>
                    <w:maxLength w:val="100"/>
                  </w:textInput>
                </w:ffData>
              </w:fldChar>
            </w:r>
            <w:r w:rsidR="002C4C40" w:rsidRPr="00373A8D">
              <w:instrText xml:space="preserve"> FORMTEXT </w:instrText>
            </w:r>
            <w:r w:rsidRPr="00373A8D">
              <w:fldChar w:fldCharType="separate"/>
            </w:r>
            <w:r w:rsidR="002C4C40" w:rsidRPr="00373A8D">
              <w:t> </w:t>
            </w:r>
            <w:r w:rsidR="002C4C40" w:rsidRPr="00373A8D">
              <w:t> </w:t>
            </w:r>
            <w:r w:rsidR="002C4C40" w:rsidRPr="00373A8D">
              <w:t> </w:t>
            </w:r>
            <w:r w:rsidR="002C4C40" w:rsidRPr="00373A8D">
              <w:t> </w:t>
            </w:r>
            <w:r w:rsidR="002C4C40" w:rsidRPr="00373A8D">
              <w:t> </w:t>
            </w:r>
            <w:r w:rsidRPr="00373A8D">
              <w:fldChar w:fldCharType="end"/>
            </w:r>
          </w:p>
        </w:tc>
      </w:tr>
      <w:tr w:rsidR="002C4C40" w:rsidRPr="007D00E3" w:rsidTr="007575F2">
        <w:trPr>
          <w:trHeight w:val="458"/>
        </w:trPr>
        <w:tc>
          <w:tcPr>
            <w:tcW w:w="1971" w:type="dxa"/>
          </w:tcPr>
          <w:p w:rsidR="002C4C40" w:rsidRDefault="002C4C40" w:rsidP="00130357">
            <w:r w:rsidRPr="00CC0EED">
              <w:t>Output 3.1</w:t>
            </w:r>
          </w:p>
          <w:p w:rsidR="002C4C40" w:rsidRPr="00CC0EED" w:rsidRDefault="002C4C40" w:rsidP="00130357">
            <w:r w:rsidRPr="00966407">
              <w:t>Complaint mechanism established to increase police accountability</w:t>
            </w:r>
          </w:p>
        </w:tc>
        <w:tc>
          <w:tcPr>
            <w:tcW w:w="2410" w:type="dxa"/>
            <w:shd w:val="clear" w:color="auto" w:fill="EEECE1"/>
          </w:tcPr>
          <w:p w:rsidR="002C4C40" w:rsidRPr="00F41BC2" w:rsidRDefault="002C4C40" w:rsidP="00130357">
            <w:r>
              <w:t>Indicator 3.1</w:t>
            </w:r>
          </w:p>
          <w:p w:rsidR="002C4C40" w:rsidRPr="00F41BC2" w:rsidRDefault="002C4C40" w:rsidP="00130357">
            <w:r w:rsidRPr="00966407">
              <w:t xml:space="preserve">Standard Operating Procedures approved by the </w:t>
            </w:r>
            <w:proofErr w:type="spellStart"/>
            <w:r w:rsidRPr="00966407">
              <w:t>MoI</w:t>
            </w:r>
            <w:proofErr w:type="spellEnd"/>
            <w:r w:rsidRPr="00966407">
              <w:t xml:space="preserve"> and piloted in priority districts; No. of designated reception areas created</w:t>
            </w:r>
          </w:p>
        </w:tc>
        <w:tc>
          <w:tcPr>
            <w:tcW w:w="1559" w:type="dxa"/>
            <w:shd w:val="clear" w:color="auto" w:fill="EEECE1"/>
          </w:tcPr>
          <w:p w:rsidR="002C4C40" w:rsidRDefault="002C4C40" w:rsidP="00130357">
            <w:r>
              <w:t>0</w:t>
            </w:r>
          </w:p>
        </w:tc>
        <w:tc>
          <w:tcPr>
            <w:tcW w:w="1985" w:type="dxa"/>
            <w:shd w:val="clear" w:color="auto" w:fill="EEECE1"/>
          </w:tcPr>
          <w:p w:rsidR="002C4C40" w:rsidRDefault="002C4C40" w:rsidP="00130357">
            <w:r>
              <w:t>14</w:t>
            </w:r>
          </w:p>
        </w:tc>
        <w:tc>
          <w:tcPr>
            <w:tcW w:w="2126" w:type="dxa"/>
          </w:tcPr>
          <w:p w:rsidR="002C4C40" w:rsidRDefault="00360FB8" w:rsidP="00F2444E">
            <w:proofErr w:type="spellStart"/>
            <w:r>
              <w:t>MoI</w:t>
            </w:r>
            <w:proofErr w:type="spellEnd"/>
            <w:r>
              <w:t xml:space="preserve"> leaflet on complaints procedures developed</w:t>
            </w:r>
          </w:p>
          <w:p w:rsidR="00360FB8" w:rsidRDefault="00360FB8" w:rsidP="00F2444E"/>
          <w:p w:rsidR="00360FB8" w:rsidRPr="007D00E3" w:rsidRDefault="00360FB8" w:rsidP="00F2444E">
            <w:r>
              <w:t xml:space="preserve">3 reception areas planned for improvement as part of </w:t>
            </w:r>
            <w:r w:rsidR="00964D83">
              <w:t xml:space="preserve">planned </w:t>
            </w:r>
            <w:r w:rsidR="00964D83">
              <w:lastRenderedPageBreak/>
              <w:t>technical assistance.</w:t>
            </w:r>
          </w:p>
        </w:tc>
        <w:tc>
          <w:tcPr>
            <w:tcW w:w="3119" w:type="dxa"/>
          </w:tcPr>
          <w:p w:rsidR="002C4C40" w:rsidRPr="007D00E3" w:rsidRDefault="00BA703B" w:rsidP="00130357">
            <w:r w:rsidRPr="00F41BC2">
              <w:lastRenderedPageBreak/>
              <w:fldChar w:fldCharType="begin">
                <w:ffData>
                  <w:name w:val=""/>
                  <w:enabled/>
                  <w:calcOnExit w:val="0"/>
                  <w:textInput>
                    <w:maxLength w:val="100"/>
                  </w:textInput>
                </w:ffData>
              </w:fldChar>
            </w:r>
            <w:r w:rsidR="002C4C40" w:rsidRPr="00F41BC2">
              <w:instrText xml:space="preserve"> FORMTEXT </w:instrText>
            </w:r>
            <w:r w:rsidRPr="00F41BC2">
              <w:fldChar w:fldCharType="separate"/>
            </w:r>
            <w:r w:rsidR="002C4C40" w:rsidRPr="00F41BC2">
              <w:t> </w:t>
            </w:r>
            <w:r w:rsidR="002C4C40" w:rsidRPr="00F41BC2">
              <w:t> </w:t>
            </w:r>
            <w:r w:rsidR="002C4C40" w:rsidRPr="00F41BC2">
              <w:t> </w:t>
            </w:r>
            <w:r w:rsidR="002C4C40" w:rsidRPr="00F41BC2">
              <w:t> </w:t>
            </w:r>
            <w:r w:rsidR="002C4C40" w:rsidRPr="00F41BC2">
              <w:t> </w:t>
            </w:r>
            <w:r w:rsidRPr="00F41BC2">
              <w:fldChar w:fldCharType="end"/>
            </w:r>
          </w:p>
        </w:tc>
        <w:tc>
          <w:tcPr>
            <w:tcW w:w="1958" w:type="dxa"/>
          </w:tcPr>
          <w:p w:rsidR="002C4C40" w:rsidRDefault="00BA703B" w:rsidP="00130357">
            <w:r w:rsidRPr="00F41BC2">
              <w:fldChar w:fldCharType="begin">
                <w:ffData>
                  <w:name w:val=""/>
                  <w:enabled/>
                  <w:calcOnExit w:val="0"/>
                  <w:textInput>
                    <w:maxLength w:val="100"/>
                  </w:textInput>
                </w:ffData>
              </w:fldChar>
            </w:r>
            <w:r w:rsidR="002C4C40" w:rsidRPr="00F41BC2">
              <w:instrText xml:space="preserve"> FORMTEXT </w:instrText>
            </w:r>
            <w:r w:rsidRPr="00F41BC2">
              <w:fldChar w:fldCharType="separate"/>
            </w:r>
            <w:r w:rsidR="002C4C40" w:rsidRPr="00F41BC2">
              <w:t> </w:t>
            </w:r>
            <w:r w:rsidR="002C4C40" w:rsidRPr="00F41BC2">
              <w:t> </w:t>
            </w:r>
            <w:r w:rsidR="002C4C40" w:rsidRPr="00F41BC2">
              <w:t> </w:t>
            </w:r>
            <w:r w:rsidR="002C4C40" w:rsidRPr="00F41BC2">
              <w:t> </w:t>
            </w:r>
            <w:r w:rsidR="002C4C40" w:rsidRPr="00F41BC2">
              <w:t> </w:t>
            </w:r>
            <w:r w:rsidRPr="00F41BC2">
              <w:fldChar w:fldCharType="end"/>
            </w:r>
          </w:p>
        </w:tc>
      </w:tr>
      <w:tr w:rsidR="002C4C40" w:rsidRPr="007D00E3" w:rsidTr="007575F2">
        <w:trPr>
          <w:trHeight w:val="458"/>
        </w:trPr>
        <w:tc>
          <w:tcPr>
            <w:tcW w:w="1971" w:type="dxa"/>
          </w:tcPr>
          <w:p w:rsidR="002C4C40" w:rsidRDefault="002C4C40" w:rsidP="00130357">
            <w:r w:rsidRPr="00CC0EED">
              <w:lastRenderedPageBreak/>
              <w:t>Output 3.2</w:t>
            </w:r>
          </w:p>
          <w:p w:rsidR="002C4C40" w:rsidRPr="00CC0EED" w:rsidRDefault="002C4C40" w:rsidP="00130357">
            <w:r w:rsidRPr="00966407">
              <w:t>Independent monitoring of police performance strengthened</w:t>
            </w:r>
          </w:p>
        </w:tc>
        <w:tc>
          <w:tcPr>
            <w:tcW w:w="2410" w:type="dxa"/>
            <w:shd w:val="clear" w:color="auto" w:fill="EEECE1"/>
          </w:tcPr>
          <w:p w:rsidR="002C4C40" w:rsidRPr="00966407" w:rsidRDefault="002C4C40" w:rsidP="00130357">
            <w:r>
              <w:t>Indicator 3.2</w:t>
            </w:r>
          </w:p>
          <w:p w:rsidR="002C4C40" w:rsidRPr="00966407" w:rsidRDefault="002C4C40" w:rsidP="00130357">
            <w:r w:rsidRPr="00966407">
              <w:t>No of reports on police performance published</w:t>
            </w:r>
          </w:p>
        </w:tc>
        <w:tc>
          <w:tcPr>
            <w:tcW w:w="1559" w:type="dxa"/>
            <w:shd w:val="clear" w:color="auto" w:fill="EEECE1"/>
          </w:tcPr>
          <w:p w:rsidR="002C4C40" w:rsidRPr="00966407" w:rsidRDefault="002C4C40" w:rsidP="00130357">
            <w:r w:rsidRPr="00966407">
              <w:t xml:space="preserve">At least 1 report per year on police detention </w:t>
            </w:r>
          </w:p>
        </w:tc>
        <w:tc>
          <w:tcPr>
            <w:tcW w:w="1985" w:type="dxa"/>
            <w:shd w:val="clear" w:color="auto" w:fill="EEECE1"/>
          </w:tcPr>
          <w:p w:rsidR="002C4C40" w:rsidRPr="00966407" w:rsidRDefault="00570420" w:rsidP="00570420">
            <w:r>
              <w:t>A</w:t>
            </w:r>
            <w:r w:rsidR="002C4C40" w:rsidRPr="00966407">
              <w:t>t least 2 thematic reports on police performance (system of complaints, gender sensitivity, interaction with the public, access to lawyers, etc.)</w:t>
            </w:r>
          </w:p>
        </w:tc>
        <w:tc>
          <w:tcPr>
            <w:tcW w:w="2126" w:type="dxa"/>
          </w:tcPr>
          <w:p w:rsidR="002C4C40" w:rsidRPr="007D00E3" w:rsidRDefault="002C4C40" w:rsidP="00130357">
            <w:r>
              <w:t>On track</w:t>
            </w:r>
          </w:p>
        </w:tc>
        <w:tc>
          <w:tcPr>
            <w:tcW w:w="3119" w:type="dxa"/>
          </w:tcPr>
          <w:p w:rsidR="002C4C40" w:rsidRPr="007D00E3" w:rsidRDefault="00964D83" w:rsidP="00130357">
            <w:r>
              <w:t>Relevant reports under preparation</w:t>
            </w:r>
          </w:p>
        </w:tc>
        <w:tc>
          <w:tcPr>
            <w:tcW w:w="1958" w:type="dxa"/>
          </w:tcPr>
          <w:p w:rsidR="002C4C40" w:rsidRDefault="00BA703B" w:rsidP="00130357">
            <w:r w:rsidRPr="00966407">
              <w:fldChar w:fldCharType="begin">
                <w:ffData>
                  <w:name w:val=""/>
                  <w:enabled/>
                  <w:calcOnExit w:val="0"/>
                  <w:textInput>
                    <w:maxLength w:val="100"/>
                  </w:textInput>
                </w:ffData>
              </w:fldChar>
            </w:r>
            <w:r w:rsidR="002C4C40" w:rsidRPr="00966407">
              <w:instrText xml:space="preserve"> FORMTEXT </w:instrText>
            </w:r>
            <w:r w:rsidRPr="00966407">
              <w:fldChar w:fldCharType="separate"/>
            </w:r>
            <w:r w:rsidR="002C4C40" w:rsidRPr="00966407">
              <w:t> </w:t>
            </w:r>
            <w:r w:rsidR="002C4C40" w:rsidRPr="00966407">
              <w:t> </w:t>
            </w:r>
            <w:r w:rsidR="002C4C40" w:rsidRPr="00966407">
              <w:t> </w:t>
            </w:r>
            <w:r w:rsidR="002C4C40" w:rsidRPr="00966407">
              <w:t> </w:t>
            </w:r>
            <w:r w:rsidR="002C4C40" w:rsidRPr="00966407">
              <w:t> </w:t>
            </w:r>
            <w:r w:rsidRPr="00966407">
              <w:fldChar w:fldCharType="end"/>
            </w:r>
          </w:p>
        </w:tc>
      </w:tr>
    </w:tbl>
    <w:p w:rsidR="002C4C40" w:rsidRPr="002C4C40" w:rsidRDefault="002C4C40" w:rsidP="002C4C40"/>
    <w:p w:rsidR="002C4C40" w:rsidRPr="002C4C40" w:rsidRDefault="002C4C40" w:rsidP="002C4C40"/>
    <w:p w:rsidR="00943120" w:rsidRDefault="00943120" w:rsidP="001D7143">
      <w:pPr>
        <w:outlineLvl w:val="0"/>
        <w:rPr>
          <w:rFonts w:cs="Times New Roman"/>
          <w:sz w:val="22"/>
          <w:szCs w:val="22"/>
        </w:rPr>
      </w:pPr>
    </w:p>
    <w:sectPr w:rsidR="00943120"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9F" w:rsidRDefault="004E589F">
      <w:r>
        <w:separator/>
      </w:r>
    </w:p>
  </w:endnote>
  <w:endnote w:type="continuationSeparator" w:id="0">
    <w:p w:rsidR="004E589F" w:rsidRDefault="004E5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entury">
    <w:panose1 w:val="02040604050505020304"/>
    <w:charset w:val="CC"/>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9F" w:rsidRDefault="004E589F" w:rsidP="00A5405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E589F" w:rsidRDefault="004E589F" w:rsidP="00A5405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9F" w:rsidRDefault="004E589F" w:rsidP="00A5405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F62E3">
      <w:rPr>
        <w:rStyle w:val="aa"/>
        <w:noProof/>
      </w:rPr>
      <w:t>5</w:t>
    </w:r>
    <w:r>
      <w:rPr>
        <w:rStyle w:val="aa"/>
      </w:rPr>
      <w:fldChar w:fldCharType="end"/>
    </w:r>
  </w:p>
  <w:p w:rsidR="004E589F" w:rsidRDefault="004E589F" w:rsidP="00A5405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9F" w:rsidRDefault="004E589F">
      <w:r>
        <w:separator/>
      </w:r>
    </w:p>
  </w:footnote>
  <w:footnote w:type="continuationSeparator" w:id="0">
    <w:p w:rsidR="004E589F" w:rsidRDefault="004E589F">
      <w:r>
        <w:continuationSeparator/>
      </w:r>
    </w:p>
  </w:footnote>
  <w:footnote w:id="1">
    <w:p w:rsidR="004E589F" w:rsidRPr="00CC0EED" w:rsidRDefault="004E589F">
      <w:pPr>
        <w:pStyle w:val="ac"/>
        <w:rPr>
          <w:sz w:val="16"/>
          <w:szCs w:val="16"/>
        </w:rPr>
      </w:pPr>
      <w:r w:rsidRPr="00CC0EED">
        <w:rPr>
          <w:rStyle w:val="ae"/>
          <w:sz w:val="16"/>
          <w:szCs w:val="16"/>
        </w:rPr>
        <w:footnoteRef/>
      </w:r>
      <w:r w:rsidRPr="00CC0EED">
        <w:rPr>
          <w:sz w:val="16"/>
          <w:szCs w:val="16"/>
        </w:rPr>
        <w:t xml:space="preserve"> Please note that where there are multiple agencies, only one consolidated project report should be submitted. </w:t>
      </w:r>
    </w:p>
  </w:footnote>
  <w:footnote w:id="2">
    <w:p w:rsidR="004E589F" w:rsidRPr="00CC0EED" w:rsidRDefault="004E589F">
      <w:pPr>
        <w:pStyle w:val="ac"/>
        <w:rPr>
          <w:sz w:val="16"/>
          <w:szCs w:val="16"/>
        </w:rPr>
      </w:pPr>
      <w:r w:rsidRPr="00CC0EED">
        <w:rPr>
          <w:rStyle w:val="ae"/>
          <w:sz w:val="16"/>
          <w:szCs w:val="16"/>
        </w:rPr>
        <w:footnoteRef/>
      </w:r>
      <w:r w:rsidRPr="00CC0EED">
        <w:rPr>
          <w:sz w:val="16"/>
          <w:szCs w:val="16"/>
        </w:rPr>
        <w:t xml:space="preserve"> Approved budget is the amount transferred to Recipient Organisations. </w:t>
      </w:r>
    </w:p>
  </w:footnote>
  <w:footnote w:id="3">
    <w:p w:rsidR="004E589F" w:rsidRPr="00CC0EED" w:rsidRDefault="004E589F" w:rsidP="00D92198">
      <w:pPr>
        <w:jc w:val="both"/>
        <w:outlineLvl w:val="0"/>
        <w:rPr>
          <w:rFonts w:ascii="Arial" w:hAnsi="Arial" w:cs="Arial"/>
          <w:sz w:val="16"/>
          <w:szCs w:val="16"/>
        </w:rPr>
      </w:pPr>
      <w:r w:rsidRPr="00CC0EED">
        <w:rPr>
          <w:rStyle w:val="a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4E589F" w:rsidRPr="00CC0EED" w:rsidRDefault="004E589F" w:rsidP="00D92198">
      <w:pPr>
        <w:jc w:val="both"/>
        <w:outlineLvl w:val="0"/>
        <w:rPr>
          <w:sz w:val="16"/>
          <w:szCs w:val="16"/>
        </w:rPr>
      </w:pPr>
      <w:r>
        <w:rPr>
          <w:rStyle w:val="ae"/>
          <w:sz w:val="16"/>
          <w:szCs w:val="16"/>
        </w:rPr>
        <w:t>4</w:t>
      </w:r>
      <w:r w:rsidRPr="00CC0EED">
        <w:rPr>
          <w:sz w:val="16"/>
          <w:szCs w:val="16"/>
        </w:rPr>
        <w:t xml:space="preserve"> Actual payments (contracts, services, works) made on commitments.  </w:t>
      </w:r>
    </w:p>
    <w:p w:rsidR="004E589F" w:rsidRPr="00CC0EED" w:rsidRDefault="004E589F" w:rsidP="00D92198">
      <w:pPr>
        <w:pStyle w:val="ac"/>
        <w:rPr>
          <w:sz w:val="16"/>
          <w:szCs w:val="16"/>
        </w:rPr>
      </w:pPr>
      <w:r w:rsidRPr="00CC0EED">
        <w:rPr>
          <w:sz w:val="16"/>
          <w:szCs w:val="16"/>
          <w:lang w:val="en-US"/>
        </w:rPr>
        <w:t xml:space="preserve">5 </w:t>
      </w:r>
      <w:r w:rsidRPr="00CC0EED">
        <w:rPr>
          <w:sz w:val="16"/>
          <w:szCs w:val="16"/>
        </w:rPr>
        <w:t>PBF focus areas are:</w:t>
      </w:r>
    </w:p>
    <w:p w:rsidR="004E589F" w:rsidRPr="00CC0EED" w:rsidRDefault="004E589F" w:rsidP="00D92198">
      <w:pPr>
        <w:pStyle w:val="ac"/>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4E589F" w:rsidRPr="00D92198" w:rsidRDefault="004E589F" w:rsidP="00D92198">
      <w:pPr>
        <w:pStyle w:val="ac"/>
        <w:rPr>
          <w:sz w:val="16"/>
          <w:szCs w:val="16"/>
          <w:lang w:val="nl-NL"/>
        </w:rPr>
      </w:pPr>
      <w:r w:rsidRPr="00D92198">
        <w:rPr>
          <w:sz w:val="16"/>
          <w:szCs w:val="16"/>
          <w:lang w:val="nl-NL"/>
        </w:rPr>
        <w:t xml:space="preserve">(1.1) </w:t>
      </w:r>
      <w:r w:rsidRPr="00D92198">
        <w:rPr>
          <w:bCs/>
          <w:sz w:val="16"/>
          <w:szCs w:val="16"/>
          <w:lang w:val="nl-NL"/>
        </w:rPr>
        <w:t xml:space="preserve">SSR, </w:t>
      </w:r>
      <w:r w:rsidRPr="00D92198">
        <w:rPr>
          <w:sz w:val="16"/>
          <w:szCs w:val="16"/>
          <w:lang w:val="nl-NL"/>
        </w:rPr>
        <w:t xml:space="preserve"> (1.2)</w:t>
      </w:r>
      <w:r w:rsidRPr="00D92198">
        <w:rPr>
          <w:bCs/>
          <w:sz w:val="16"/>
          <w:szCs w:val="16"/>
          <w:lang w:val="nl-NL"/>
        </w:rPr>
        <w:t xml:space="preserve"> RoL</w:t>
      </w:r>
      <w:r w:rsidRPr="00D92198">
        <w:rPr>
          <w:sz w:val="16"/>
          <w:szCs w:val="16"/>
          <w:lang w:val="nl-NL"/>
        </w:rPr>
        <w:t xml:space="preserve">; (1.3) DDR; (1.4) Political Dialogue; </w:t>
      </w:r>
    </w:p>
    <w:p w:rsidR="004E589F" w:rsidRPr="00CC0EED" w:rsidRDefault="004E589F" w:rsidP="00D92198">
      <w:pPr>
        <w:pStyle w:val="ac"/>
        <w:rPr>
          <w:sz w:val="16"/>
          <w:szCs w:val="16"/>
        </w:rPr>
      </w:pPr>
      <w:r w:rsidRPr="00CC0EED">
        <w:rPr>
          <w:i/>
          <w:sz w:val="16"/>
          <w:szCs w:val="16"/>
        </w:rPr>
        <w:t>2: Promote coexistence and peaceful resolution of conflicts (Priority Area 2)</w:t>
      </w:r>
      <w:r w:rsidRPr="00CC0EED">
        <w:rPr>
          <w:sz w:val="16"/>
          <w:szCs w:val="16"/>
        </w:rPr>
        <w:t xml:space="preserve">: </w:t>
      </w:r>
    </w:p>
    <w:p w:rsidR="004E589F" w:rsidRPr="00CC0EED" w:rsidRDefault="004E589F" w:rsidP="00D92198">
      <w:pPr>
        <w:pStyle w:val="ac"/>
        <w:rPr>
          <w:sz w:val="16"/>
          <w:szCs w:val="16"/>
        </w:rPr>
      </w:pPr>
      <w:r w:rsidRPr="00CC0EED">
        <w:rPr>
          <w:sz w:val="16"/>
          <w:szCs w:val="16"/>
        </w:rPr>
        <w:t xml:space="preserve">(2.1) National reconciliation; (2.1) Democratic Governance; (2.3) Management of natural resources; </w:t>
      </w:r>
    </w:p>
    <w:p w:rsidR="004E589F" w:rsidRPr="00CC0EED" w:rsidRDefault="004E589F" w:rsidP="00D92198">
      <w:pPr>
        <w:pStyle w:val="ac"/>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4E589F" w:rsidRPr="00CC0EED" w:rsidRDefault="004E589F" w:rsidP="00D92198">
      <w:pPr>
        <w:pStyle w:val="ac"/>
        <w:rPr>
          <w:sz w:val="16"/>
          <w:szCs w:val="16"/>
        </w:rPr>
      </w:pPr>
      <w:r w:rsidRPr="00CC0EED">
        <w:rPr>
          <w:sz w:val="16"/>
          <w:szCs w:val="16"/>
        </w:rPr>
        <w:t>(3.1) Short-term employment generation; (3.2) Sustainable livelihoods</w:t>
      </w:r>
    </w:p>
    <w:p w:rsidR="004E589F" w:rsidRPr="00CC0EED" w:rsidRDefault="004E589F" w:rsidP="00D92198">
      <w:pPr>
        <w:pStyle w:val="ac"/>
        <w:rPr>
          <w:bCs/>
          <w:i/>
          <w:sz w:val="16"/>
          <w:szCs w:val="16"/>
        </w:rPr>
      </w:pPr>
      <w:r w:rsidRPr="00CC0EED">
        <w:rPr>
          <w:i/>
          <w:sz w:val="16"/>
          <w:szCs w:val="16"/>
        </w:rPr>
        <w:t>4)</w:t>
      </w:r>
      <w:r w:rsidRPr="00CC0EED">
        <w:rPr>
          <w:bCs/>
          <w:i/>
          <w:sz w:val="16"/>
          <w:szCs w:val="16"/>
        </w:rPr>
        <w:t xml:space="preserve"> (Re)-establish essential administrative services (Priority Area 4)</w:t>
      </w:r>
    </w:p>
    <w:p w:rsidR="004E589F" w:rsidRPr="00CC0EED" w:rsidRDefault="004E589F" w:rsidP="00D92198">
      <w:pPr>
        <w:pStyle w:val="ac"/>
        <w:rPr>
          <w:sz w:val="16"/>
          <w:szCs w:val="16"/>
        </w:rPr>
      </w:pPr>
      <w:r w:rsidRPr="00CC0EED">
        <w:rPr>
          <w:bCs/>
          <w:sz w:val="16"/>
          <w:szCs w:val="16"/>
        </w:rPr>
        <w:t>(4.1) Public administration; (4.2) Public service delivery (including infrastructure)</w:t>
      </w:r>
      <w:r w:rsidRPr="00CC0EED">
        <w:rPr>
          <w:sz w:val="16"/>
          <w:szCs w:val="16"/>
        </w:rPr>
        <w:t>.</w:t>
      </w:r>
    </w:p>
    <w:p w:rsidR="004E589F" w:rsidRPr="00132065" w:rsidRDefault="004E589F" w:rsidP="00D92198">
      <w:pPr>
        <w:pStyle w:val="ac"/>
      </w:pPr>
    </w:p>
  </w:footnote>
  <w:footnote w:id="4">
    <w:p w:rsidR="004E589F" w:rsidRDefault="004E589F"/>
    <w:p w:rsidR="004E589F" w:rsidRPr="00132065" w:rsidRDefault="004E589F" w:rsidP="006C1B11">
      <w:pPr>
        <w:pStyle w:val="ac"/>
        <w:rPr>
          <w:lang w:val="en-US"/>
        </w:rPr>
      </w:pPr>
    </w:p>
  </w:footnote>
  <w:footnote w:id="5">
    <w:p w:rsidR="004E589F" w:rsidRDefault="004E589F"/>
    <w:p w:rsidR="004E589F" w:rsidRPr="00190A73" w:rsidRDefault="004E589F">
      <w:pPr>
        <w:pStyle w:val="ac"/>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0000034"/>
    <w:multiLevelType w:val="multilevel"/>
    <w:tmpl w:val="000000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B0201"/>
    <w:multiLevelType w:val="hybridMultilevel"/>
    <w:tmpl w:val="4054231C"/>
    <w:lvl w:ilvl="0" w:tplc="67C20D0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753DA"/>
    <w:multiLevelType w:val="hybridMultilevel"/>
    <w:tmpl w:val="E18E823C"/>
    <w:lvl w:ilvl="0" w:tplc="F69A12AE">
      <w:start w:val="3"/>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B0B59"/>
    <w:multiLevelType w:val="hybridMultilevel"/>
    <w:tmpl w:val="E8DCDD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A2385"/>
    <w:multiLevelType w:val="hybridMultilevel"/>
    <w:tmpl w:val="4044E55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BD2AA9F6">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E46CF"/>
    <w:multiLevelType w:val="hybridMultilevel"/>
    <w:tmpl w:val="5B0C5B6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F5D32"/>
    <w:multiLevelType w:val="hybridMultilevel"/>
    <w:tmpl w:val="A2DA1524"/>
    <w:lvl w:ilvl="0" w:tplc="A9606BB6">
      <w:numFmt w:val="bullet"/>
      <w:lvlText w:val=""/>
      <w:lvlJc w:val="left"/>
      <w:pPr>
        <w:ind w:left="720" w:hanging="360"/>
      </w:pPr>
      <w:rPr>
        <w:rFonts w:ascii="Symbol" w:eastAsiaTheme="minorHAnsi" w:hAnsi="Symbol" w:cs="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457CE"/>
    <w:multiLevelType w:val="hybridMultilevel"/>
    <w:tmpl w:val="6EA6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DC3B71"/>
    <w:multiLevelType w:val="hybridMultilevel"/>
    <w:tmpl w:val="392CC32E"/>
    <w:lvl w:ilvl="0" w:tplc="DFAED6D4">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557E0C87"/>
    <w:multiLevelType w:val="hybridMultilevel"/>
    <w:tmpl w:val="B2BC43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36EFB"/>
    <w:multiLevelType w:val="hybridMultilevel"/>
    <w:tmpl w:val="C4D2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43B8B"/>
    <w:multiLevelType w:val="hybridMultilevel"/>
    <w:tmpl w:val="7478878C"/>
    <w:lvl w:ilvl="0" w:tplc="8A7066D4">
      <w:start w:val="12"/>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775B13"/>
    <w:multiLevelType w:val="hybridMultilevel"/>
    <w:tmpl w:val="08448212"/>
    <w:lvl w:ilvl="0" w:tplc="0419000F">
      <w:start w:val="1"/>
      <w:numFmt w:val="decimal"/>
      <w:lvlText w:val="%1."/>
      <w:lvlJc w:val="left"/>
      <w:pPr>
        <w:ind w:left="71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AA3770"/>
    <w:multiLevelType w:val="hybridMultilevel"/>
    <w:tmpl w:val="C1C068B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1"/>
  </w:num>
  <w:num w:numId="5">
    <w:abstractNumId w:val="2"/>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21"/>
  </w:num>
  <w:num w:numId="8">
    <w:abstractNumId w:val="12"/>
  </w:num>
  <w:num w:numId="9">
    <w:abstractNumId w:val="3"/>
  </w:num>
  <w:num w:numId="10">
    <w:abstractNumId w:val="18"/>
  </w:num>
  <w:num w:numId="11">
    <w:abstractNumId w:val="22"/>
  </w:num>
  <w:num w:numId="12">
    <w:abstractNumId w:val="13"/>
  </w:num>
  <w:num w:numId="13">
    <w:abstractNumId w:val="14"/>
  </w:num>
  <w:num w:numId="14">
    <w:abstractNumId w:val="10"/>
  </w:num>
  <w:num w:numId="15">
    <w:abstractNumId w:val="17"/>
  </w:num>
  <w:num w:numId="16">
    <w:abstractNumId w:val="16"/>
  </w:num>
  <w:num w:numId="17">
    <w:abstractNumId w:val="6"/>
  </w:num>
  <w:num w:numId="18">
    <w:abstractNumId w:val="8"/>
  </w:num>
  <w:num w:numId="19">
    <w:abstractNumId w:val="9"/>
  </w:num>
  <w:num w:numId="20">
    <w:abstractNumId w:val="7"/>
  </w:num>
  <w:num w:numId="21">
    <w:abstractNumId w:val="20"/>
  </w:num>
  <w:num w:numId="22">
    <w:abstractNumId w:val="5"/>
  </w:num>
  <w:num w:numId="2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cumentProtection w:edit="forms" w:formatting="1" w:enforcement="1"/>
  <w:defaultTabStop w:val="720"/>
  <w:characterSpacingControl w:val="doNotCompress"/>
  <w:footnotePr>
    <w:footnote w:id="-1"/>
    <w:footnote w:id="0"/>
  </w:footnotePr>
  <w:endnotePr>
    <w:endnote w:id="-1"/>
    <w:endnote w:id="0"/>
  </w:endnotePr>
  <w:compat/>
  <w:rsids>
    <w:rsidRoot w:val="00E4425C"/>
    <w:rsid w:val="0000020D"/>
    <w:rsid w:val="00001A8B"/>
    <w:rsid w:val="0000541A"/>
    <w:rsid w:val="00011F26"/>
    <w:rsid w:val="00012AC4"/>
    <w:rsid w:val="00013482"/>
    <w:rsid w:val="00013ABE"/>
    <w:rsid w:val="0001752D"/>
    <w:rsid w:val="00021D13"/>
    <w:rsid w:val="000271C4"/>
    <w:rsid w:val="00030833"/>
    <w:rsid w:val="000329B3"/>
    <w:rsid w:val="00035B7B"/>
    <w:rsid w:val="00042300"/>
    <w:rsid w:val="000427F4"/>
    <w:rsid w:val="000435E1"/>
    <w:rsid w:val="00044965"/>
    <w:rsid w:val="00056D4E"/>
    <w:rsid w:val="00063557"/>
    <w:rsid w:val="00075CE9"/>
    <w:rsid w:val="00084210"/>
    <w:rsid w:val="00086238"/>
    <w:rsid w:val="00086F0E"/>
    <w:rsid w:val="00087E2B"/>
    <w:rsid w:val="00091C14"/>
    <w:rsid w:val="00092840"/>
    <w:rsid w:val="00096385"/>
    <w:rsid w:val="00097DB4"/>
    <w:rsid w:val="000A0E98"/>
    <w:rsid w:val="000A26AD"/>
    <w:rsid w:val="000A4316"/>
    <w:rsid w:val="000B04AD"/>
    <w:rsid w:val="000B45E6"/>
    <w:rsid w:val="000B67A3"/>
    <w:rsid w:val="000C302E"/>
    <w:rsid w:val="000D0BE2"/>
    <w:rsid w:val="000D20B3"/>
    <w:rsid w:val="000D4837"/>
    <w:rsid w:val="000D7682"/>
    <w:rsid w:val="000E0EC7"/>
    <w:rsid w:val="000E27B7"/>
    <w:rsid w:val="000E6C55"/>
    <w:rsid w:val="000E6E24"/>
    <w:rsid w:val="000F1986"/>
    <w:rsid w:val="000F1A92"/>
    <w:rsid w:val="000F5229"/>
    <w:rsid w:val="001029BC"/>
    <w:rsid w:val="00103AEF"/>
    <w:rsid w:val="0010561F"/>
    <w:rsid w:val="00110C5D"/>
    <w:rsid w:val="00116A91"/>
    <w:rsid w:val="001223B5"/>
    <w:rsid w:val="00123B4F"/>
    <w:rsid w:val="00125979"/>
    <w:rsid w:val="00130144"/>
    <w:rsid w:val="00130357"/>
    <w:rsid w:val="001312AA"/>
    <w:rsid w:val="00132065"/>
    <w:rsid w:val="001322A3"/>
    <w:rsid w:val="00137EB9"/>
    <w:rsid w:val="00142D76"/>
    <w:rsid w:val="00143D1B"/>
    <w:rsid w:val="00144A01"/>
    <w:rsid w:val="001512C4"/>
    <w:rsid w:val="00152D75"/>
    <w:rsid w:val="0015771C"/>
    <w:rsid w:val="00167F2B"/>
    <w:rsid w:val="00173CC5"/>
    <w:rsid w:val="00173ECA"/>
    <w:rsid w:val="00174371"/>
    <w:rsid w:val="00174E6B"/>
    <w:rsid w:val="001771A9"/>
    <w:rsid w:val="001776EE"/>
    <w:rsid w:val="00183C3C"/>
    <w:rsid w:val="00190A73"/>
    <w:rsid w:val="001919FB"/>
    <w:rsid w:val="00191AD3"/>
    <w:rsid w:val="00194D00"/>
    <w:rsid w:val="0019708A"/>
    <w:rsid w:val="001972FE"/>
    <w:rsid w:val="001A0610"/>
    <w:rsid w:val="001A11EE"/>
    <w:rsid w:val="001A2A5D"/>
    <w:rsid w:val="001A5176"/>
    <w:rsid w:val="001B04AD"/>
    <w:rsid w:val="001B5A17"/>
    <w:rsid w:val="001C61B0"/>
    <w:rsid w:val="001C7060"/>
    <w:rsid w:val="001D0B54"/>
    <w:rsid w:val="001D6150"/>
    <w:rsid w:val="001D61DA"/>
    <w:rsid w:val="001D7143"/>
    <w:rsid w:val="001D7EE4"/>
    <w:rsid w:val="001E2EB3"/>
    <w:rsid w:val="001E3396"/>
    <w:rsid w:val="001E553E"/>
    <w:rsid w:val="001E75AB"/>
    <w:rsid w:val="001F0AFB"/>
    <w:rsid w:val="001F13DB"/>
    <w:rsid w:val="001F1904"/>
    <w:rsid w:val="001F261C"/>
    <w:rsid w:val="001F453B"/>
    <w:rsid w:val="001F762C"/>
    <w:rsid w:val="001F7B88"/>
    <w:rsid w:val="001F7C93"/>
    <w:rsid w:val="00203EC6"/>
    <w:rsid w:val="002079D2"/>
    <w:rsid w:val="00207DD4"/>
    <w:rsid w:val="00210D22"/>
    <w:rsid w:val="002127D0"/>
    <w:rsid w:val="00220638"/>
    <w:rsid w:val="002218BE"/>
    <w:rsid w:val="0022661F"/>
    <w:rsid w:val="00226748"/>
    <w:rsid w:val="00233648"/>
    <w:rsid w:val="002376E6"/>
    <w:rsid w:val="002400A7"/>
    <w:rsid w:val="00241631"/>
    <w:rsid w:val="00244189"/>
    <w:rsid w:val="00244540"/>
    <w:rsid w:val="00245590"/>
    <w:rsid w:val="0024709C"/>
    <w:rsid w:val="00247732"/>
    <w:rsid w:val="0025020F"/>
    <w:rsid w:val="00250C97"/>
    <w:rsid w:val="0025112D"/>
    <w:rsid w:val="002519F5"/>
    <w:rsid w:val="00251B79"/>
    <w:rsid w:val="00262C24"/>
    <w:rsid w:val="00263A6E"/>
    <w:rsid w:val="00264E6C"/>
    <w:rsid w:val="002660FC"/>
    <w:rsid w:val="00271196"/>
    <w:rsid w:val="0027172D"/>
    <w:rsid w:val="00272CE1"/>
    <w:rsid w:val="00280523"/>
    <w:rsid w:val="00280ABC"/>
    <w:rsid w:val="0028145B"/>
    <w:rsid w:val="00282FDB"/>
    <w:rsid w:val="00291461"/>
    <w:rsid w:val="00293F4B"/>
    <w:rsid w:val="00295766"/>
    <w:rsid w:val="00297B76"/>
    <w:rsid w:val="002A02D3"/>
    <w:rsid w:val="002A14D6"/>
    <w:rsid w:val="002A2DF4"/>
    <w:rsid w:val="002A4A9A"/>
    <w:rsid w:val="002A7578"/>
    <w:rsid w:val="002B55F2"/>
    <w:rsid w:val="002C09FC"/>
    <w:rsid w:val="002C31F6"/>
    <w:rsid w:val="002C37C8"/>
    <w:rsid w:val="002C4C40"/>
    <w:rsid w:val="002C5F9B"/>
    <w:rsid w:val="002C78EE"/>
    <w:rsid w:val="002D0170"/>
    <w:rsid w:val="002D1E84"/>
    <w:rsid w:val="002D203A"/>
    <w:rsid w:val="002D29E1"/>
    <w:rsid w:val="002D53B1"/>
    <w:rsid w:val="002D6A0E"/>
    <w:rsid w:val="002D727B"/>
    <w:rsid w:val="002D7C74"/>
    <w:rsid w:val="002E0014"/>
    <w:rsid w:val="002E0DCE"/>
    <w:rsid w:val="002E1853"/>
    <w:rsid w:val="002E1C80"/>
    <w:rsid w:val="002E208C"/>
    <w:rsid w:val="002E686E"/>
    <w:rsid w:val="002F0973"/>
    <w:rsid w:val="002F3DB0"/>
    <w:rsid w:val="002F727F"/>
    <w:rsid w:val="002F7D56"/>
    <w:rsid w:val="002F7DC9"/>
    <w:rsid w:val="003005BA"/>
    <w:rsid w:val="00306F68"/>
    <w:rsid w:val="00320154"/>
    <w:rsid w:val="00323394"/>
    <w:rsid w:val="00326198"/>
    <w:rsid w:val="00330E09"/>
    <w:rsid w:val="00333AC1"/>
    <w:rsid w:val="00334F21"/>
    <w:rsid w:val="00335D95"/>
    <w:rsid w:val="00340D86"/>
    <w:rsid w:val="00343778"/>
    <w:rsid w:val="00343D98"/>
    <w:rsid w:val="003471AD"/>
    <w:rsid w:val="00350636"/>
    <w:rsid w:val="00352BD5"/>
    <w:rsid w:val="00360FB8"/>
    <w:rsid w:val="00363DA8"/>
    <w:rsid w:val="00365103"/>
    <w:rsid w:val="00370B84"/>
    <w:rsid w:val="003741FE"/>
    <w:rsid w:val="00374586"/>
    <w:rsid w:val="003757A8"/>
    <w:rsid w:val="00375A5B"/>
    <w:rsid w:val="00381816"/>
    <w:rsid w:val="003822C0"/>
    <w:rsid w:val="00382635"/>
    <w:rsid w:val="00385014"/>
    <w:rsid w:val="00391EB2"/>
    <w:rsid w:val="00392194"/>
    <w:rsid w:val="00392E59"/>
    <w:rsid w:val="003961FA"/>
    <w:rsid w:val="003A1535"/>
    <w:rsid w:val="003A25E2"/>
    <w:rsid w:val="003A34FD"/>
    <w:rsid w:val="003A5D48"/>
    <w:rsid w:val="003B4F18"/>
    <w:rsid w:val="003B5F94"/>
    <w:rsid w:val="003C1095"/>
    <w:rsid w:val="003C2AB0"/>
    <w:rsid w:val="003C54F4"/>
    <w:rsid w:val="003D59FB"/>
    <w:rsid w:val="003F0ED1"/>
    <w:rsid w:val="003F1C5E"/>
    <w:rsid w:val="003F3B8A"/>
    <w:rsid w:val="003F6704"/>
    <w:rsid w:val="0040243B"/>
    <w:rsid w:val="00404B54"/>
    <w:rsid w:val="0040552C"/>
    <w:rsid w:val="00405D9E"/>
    <w:rsid w:val="004075A7"/>
    <w:rsid w:val="004117FA"/>
    <w:rsid w:val="004136E2"/>
    <w:rsid w:val="00416AED"/>
    <w:rsid w:val="0042476D"/>
    <w:rsid w:val="0042508B"/>
    <w:rsid w:val="0043302A"/>
    <w:rsid w:val="0043302C"/>
    <w:rsid w:val="0043456C"/>
    <w:rsid w:val="00434EDD"/>
    <w:rsid w:val="004359CD"/>
    <w:rsid w:val="00436939"/>
    <w:rsid w:val="004400F5"/>
    <w:rsid w:val="004405F5"/>
    <w:rsid w:val="004410DC"/>
    <w:rsid w:val="00441821"/>
    <w:rsid w:val="00442896"/>
    <w:rsid w:val="00442EC7"/>
    <w:rsid w:val="004441F4"/>
    <w:rsid w:val="00456A59"/>
    <w:rsid w:val="00460E76"/>
    <w:rsid w:val="004617D3"/>
    <w:rsid w:val="004670A2"/>
    <w:rsid w:val="004678C1"/>
    <w:rsid w:val="00467BC8"/>
    <w:rsid w:val="00482E50"/>
    <w:rsid w:val="00495391"/>
    <w:rsid w:val="00495B12"/>
    <w:rsid w:val="004A375A"/>
    <w:rsid w:val="004A47C1"/>
    <w:rsid w:val="004B402B"/>
    <w:rsid w:val="004B4B20"/>
    <w:rsid w:val="004B51FE"/>
    <w:rsid w:val="004B6FE3"/>
    <w:rsid w:val="004B781D"/>
    <w:rsid w:val="004B784E"/>
    <w:rsid w:val="004C0D69"/>
    <w:rsid w:val="004C0FBC"/>
    <w:rsid w:val="004C653B"/>
    <w:rsid w:val="004C6B09"/>
    <w:rsid w:val="004D2EC3"/>
    <w:rsid w:val="004D5527"/>
    <w:rsid w:val="004D7D52"/>
    <w:rsid w:val="004E0F8F"/>
    <w:rsid w:val="004E260B"/>
    <w:rsid w:val="004E314D"/>
    <w:rsid w:val="004E38CF"/>
    <w:rsid w:val="004E589F"/>
    <w:rsid w:val="004E6410"/>
    <w:rsid w:val="004F1173"/>
    <w:rsid w:val="004F3CFC"/>
    <w:rsid w:val="004F5AF6"/>
    <w:rsid w:val="004F7216"/>
    <w:rsid w:val="00506770"/>
    <w:rsid w:val="00510044"/>
    <w:rsid w:val="0051314F"/>
    <w:rsid w:val="005146A6"/>
    <w:rsid w:val="005203FC"/>
    <w:rsid w:val="00521DFA"/>
    <w:rsid w:val="00524EA5"/>
    <w:rsid w:val="005253A4"/>
    <w:rsid w:val="00532930"/>
    <w:rsid w:val="00536019"/>
    <w:rsid w:val="005364C7"/>
    <w:rsid w:val="00536D57"/>
    <w:rsid w:val="00537D96"/>
    <w:rsid w:val="00544B11"/>
    <w:rsid w:val="00544E54"/>
    <w:rsid w:val="005507EF"/>
    <w:rsid w:val="00551E52"/>
    <w:rsid w:val="005572D9"/>
    <w:rsid w:val="00563AD6"/>
    <w:rsid w:val="00566B80"/>
    <w:rsid w:val="005677CD"/>
    <w:rsid w:val="00570021"/>
    <w:rsid w:val="00570420"/>
    <w:rsid w:val="00575A6B"/>
    <w:rsid w:val="00576C8B"/>
    <w:rsid w:val="005825A1"/>
    <w:rsid w:val="005854BE"/>
    <w:rsid w:val="0058733F"/>
    <w:rsid w:val="00591B97"/>
    <w:rsid w:val="00592C2F"/>
    <w:rsid w:val="005938B4"/>
    <w:rsid w:val="00593DE3"/>
    <w:rsid w:val="0059438C"/>
    <w:rsid w:val="00595964"/>
    <w:rsid w:val="005A1427"/>
    <w:rsid w:val="005A52B3"/>
    <w:rsid w:val="005A6802"/>
    <w:rsid w:val="005B47C8"/>
    <w:rsid w:val="005B706F"/>
    <w:rsid w:val="005C114F"/>
    <w:rsid w:val="005D3179"/>
    <w:rsid w:val="005D446C"/>
    <w:rsid w:val="005D4986"/>
    <w:rsid w:val="005E0931"/>
    <w:rsid w:val="005E2170"/>
    <w:rsid w:val="005E7E27"/>
    <w:rsid w:val="005F044B"/>
    <w:rsid w:val="005F1397"/>
    <w:rsid w:val="00600450"/>
    <w:rsid w:val="006050E5"/>
    <w:rsid w:val="006154D2"/>
    <w:rsid w:val="00616452"/>
    <w:rsid w:val="006230AE"/>
    <w:rsid w:val="006246F3"/>
    <w:rsid w:val="00625DE5"/>
    <w:rsid w:val="00627C33"/>
    <w:rsid w:val="0063583B"/>
    <w:rsid w:val="00635FA0"/>
    <w:rsid w:val="006378BA"/>
    <w:rsid w:val="006457D5"/>
    <w:rsid w:val="00645C76"/>
    <w:rsid w:val="00646D24"/>
    <w:rsid w:val="006473FC"/>
    <w:rsid w:val="006502A3"/>
    <w:rsid w:val="00651088"/>
    <w:rsid w:val="00654A5F"/>
    <w:rsid w:val="00662BA1"/>
    <w:rsid w:val="00665D7A"/>
    <w:rsid w:val="00671FD7"/>
    <w:rsid w:val="00675948"/>
    <w:rsid w:val="00677BC1"/>
    <w:rsid w:val="0068188D"/>
    <w:rsid w:val="006848C6"/>
    <w:rsid w:val="00687F9F"/>
    <w:rsid w:val="00692A7D"/>
    <w:rsid w:val="006A0A93"/>
    <w:rsid w:val="006A1ABA"/>
    <w:rsid w:val="006A57FB"/>
    <w:rsid w:val="006A725D"/>
    <w:rsid w:val="006A7CC1"/>
    <w:rsid w:val="006B6A2D"/>
    <w:rsid w:val="006B72D0"/>
    <w:rsid w:val="006C1B11"/>
    <w:rsid w:val="006C48B5"/>
    <w:rsid w:val="006C75C4"/>
    <w:rsid w:val="006D04AF"/>
    <w:rsid w:val="006D2889"/>
    <w:rsid w:val="006D340B"/>
    <w:rsid w:val="006D6FF6"/>
    <w:rsid w:val="006E3151"/>
    <w:rsid w:val="006F087D"/>
    <w:rsid w:val="006F4CC1"/>
    <w:rsid w:val="006F643F"/>
    <w:rsid w:val="006F6DA0"/>
    <w:rsid w:val="007010CE"/>
    <w:rsid w:val="007018B1"/>
    <w:rsid w:val="0070485B"/>
    <w:rsid w:val="00707806"/>
    <w:rsid w:val="00707F58"/>
    <w:rsid w:val="0071127C"/>
    <w:rsid w:val="00714481"/>
    <w:rsid w:val="00715A62"/>
    <w:rsid w:val="00721DE4"/>
    <w:rsid w:val="007246DC"/>
    <w:rsid w:val="00724794"/>
    <w:rsid w:val="00731B50"/>
    <w:rsid w:val="00740ACA"/>
    <w:rsid w:val="00740E34"/>
    <w:rsid w:val="007422F7"/>
    <w:rsid w:val="007454B5"/>
    <w:rsid w:val="007521FF"/>
    <w:rsid w:val="0075400A"/>
    <w:rsid w:val="00754DD7"/>
    <w:rsid w:val="007575F2"/>
    <w:rsid w:val="00760F58"/>
    <w:rsid w:val="00761A83"/>
    <w:rsid w:val="00775698"/>
    <w:rsid w:val="007768A4"/>
    <w:rsid w:val="0078370F"/>
    <w:rsid w:val="00785A14"/>
    <w:rsid w:val="0079057F"/>
    <w:rsid w:val="00794805"/>
    <w:rsid w:val="007952C4"/>
    <w:rsid w:val="00796DF4"/>
    <w:rsid w:val="007979D7"/>
    <w:rsid w:val="007A1A70"/>
    <w:rsid w:val="007A1C35"/>
    <w:rsid w:val="007A29CE"/>
    <w:rsid w:val="007A54FB"/>
    <w:rsid w:val="007B1608"/>
    <w:rsid w:val="007B5AC2"/>
    <w:rsid w:val="007C0FF2"/>
    <w:rsid w:val="007C1EFF"/>
    <w:rsid w:val="007C36F2"/>
    <w:rsid w:val="007C4EEB"/>
    <w:rsid w:val="007C74EE"/>
    <w:rsid w:val="007D167D"/>
    <w:rsid w:val="007D347E"/>
    <w:rsid w:val="007E0630"/>
    <w:rsid w:val="007E0D7E"/>
    <w:rsid w:val="007E2A06"/>
    <w:rsid w:val="007E55C0"/>
    <w:rsid w:val="007E5DF3"/>
    <w:rsid w:val="007F431F"/>
    <w:rsid w:val="007F7CA7"/>
    <w:rsid w:val="00800790"/>
    <w:rsid w:val="00803C75"/>
    <w:rsid w:val="008062AC"/>
    <w:rsid w:val="00806A8B"/>
    <w:rsid w:val="008074E5"/>
    <w:rsid w:val="00807F7B"/>
    <w:rsid w:val="00810CA3"/>
    <w:rsid w:val="00815A0D"/>
    <w:rsid w:val="00815EBA"/>
    <w:rsid w:val="00817492"/>
    <w:rsid w:val="00825796"/>
    <w:rsid w:val="0082618C"/>
    <w:rsid w:val="00834056"/>
    <w:rsid w:val="008355DA"/>
    <w:rsid w:val="0083790D"/>
    <w:rsid w:val="00837D7F"/>
    <w:rsid w:val="00840CAE"/>
    <w:rsid w:val="008452EE"/>
    <w:rsid w:val="00851B17"/>
    <w:rsid w:val="0085215B"/>
    <w:rsid w:val="0085516E"/>
    <w:rsid w:val="0086121A"/>
    <w:rsid w:val="0086448F"/>
    <w:rsid w:val="0086524D"/>
    <w:rsid w:val="008701E2"/>
    <w:rsid w:val="00870590"/>
    <w:rsid w:val="008727D1"/>
    <w:rsid w:val="008754B6"/>
    <w:rsid w:val="00875A11"/>
    <w:rsid w:val="00884694"/>
    <w:rsid w:val="00885FC2"/>
    <w:rsid w:val="008937BC"/>
    <w:rsid w:val="0089430F"/>
    <w:rsid w:val="00895759"/>
    <w:rsid w:val="00897466"/>
    <w:rsid w:val="008A4275"/>
    <w:rsid w:val="008A4F85"/>
    <w:rsid w:val="008A56BD"/>
    <w:rsid w:val="008A65D4"/>
    <w:rsid w:val="008B3D61"/>
    <w:rsid w:val="008B5C82"/>
    <w:rsid w:val="008C1067"/>
    <w:rsid w:val="008C1BE0"/>
    <w:rsid w:val="008C238E"/>
    <w:rsid w:val="008C4143"/>
    <w:rsid w:val="008C456F"/>
    <w:rsid w:val="008D2C49"/>
    <w:rsid w:val="008D4EF4"/>
    <w:rsid w:val="008D5521"/>
    <w:rsid w:val="008D6AA6"/>
    <w:rsid w:val="008D6E2F"/>
    <w:rsid w:val="008E6EDC"/>
    <w:rsid w:val="008E7AB9"/>
    <w:rsid w:val="008F0628"/>
    <w:rsid w:val="008F1E26"/>
    <w:rsid w:val="008F3667"/>
    <w:rsid w:val="008F6614"/>
    <w:rsid w:val="00900057"/>
    <w:rsid w:val="00910BAE"/>
    <w:rsid w:val="009130CE"/>
    <w:rsid w:val="00913E8D"/>
    <w:rsid w:val="009142C6"/>
    <w:rsid w:val="009220FD"/>
    <w:rsid w:val="009237CA"/>
    <w:rsid w:val="00925F40"/>
    <w:rsid w:val="00930D93"/>
    <w:rsid w:val="00934B57"/>
    <w:rsid w:val="00936D64"/>
    <w:rsid w:val="00937526"/>
    <w:rsid w:val="00937667"/>
    <w:rsid w:val="009425AA"/>
    <w:rsid w:val="00943120"/>
    <w:rsid w:val="0094344C"/>
    <w:rsid w:val="0094712C"/>
    <w:rsid w:val="00950E56"/>
    <w:rsid w:val="00956D20"/>
    <w:rsid w:val="00964D83"/>
    <w:rsid w:val="00966168"/>
    <w:rsid w:val="00971523"/>
    <w:rsid w:val="00971AF6"/>
    <w:rsid w:val="009729DE"/>
    <w:rsid w:val="00973165"/>
    <w:rsid w:val="009743A1"/>
    <w:rsid w:val="00974B53"/>
    <w:rsid w:val="00980760"/>
    <w:rsid w:val="009807C5"/>
    <w:rsid w:val="00984005"/>
    <w:rsid w:val="00992F1B"/>
    <w:rsid w:val="00992FC3"/>
    <w:rsid w:val="00994899"/>
    <w:rsid w:val="009961D3"/>
    <w:rsid w:val="00997F76"/>
    <w:rsid w:val="009A0EBC"/>
    <w:rsid w:val="009A26AA"/>
    <w:rsid w:val="009A2BAD"/>
    <w:rsid w:val="009A4E1E"/>
    <w:rsid w:val="009B6029"/>
    <w:rsid w:val="009C40BA"/>
    <w:rsid w:val="009C5B46"/>
    <w:rsid w:val="009D3E13"/>
    <w:rsid w:val="009D62F0"/>
    <w:rsid w:val="009E5E7F"/>
    <w:rsid w:val="009E6861"/>
    <w:rsid w:val="009F08D5"/>
    <w:rsid w:val="009F29EE"/>
    <w:rsid w:val="00A02B08"/>
    <w:rsid w:val="00A03322"/>
    <w:rsid w:val="00A03E9E"/>
    <w:rsid w:val="00A1019A"/>
    <w:rsid w:val="00A10B86"/>
    <w:rsid w:val="00A10FB7"/>
    <w:rsid w:val="00A219BE"/>
    <w:rsid w:val="00A24F45"/>
    <w:rsid w:val="00A25DC0"/>
    <w:rsid w:val="00A30741"/>
    <w:rsid w:val="00A30A91"/>
    <w:rsid w:val="00A311F7"/>
    <w:rsid w:val="00A36BBF"/>
    <w:rsid w:val="00A46F02"/>
    <w:rsid w:val="00A52F0B"/>
    <w:rsid w:val="00A54051"/>
    <w:rsid w:val="00A55149"/>
    <w:rsid w:val="00A55520"/>
    <w:rsid w:val="00A5589E"/>
    <w:rsid w:val="00A56208"/>
    <w:rsid w:val="00A63EA7"/>
    <w:rsid w:val="00A6726A"/>
    <w:rsid w:val="00A675AF"/>
    <w:rsid w:val="00A704B1"/>
    <w:rsid w:val="00A70C6C"/>
    <w:rsid w:val="00A71369"/>
    <w:rsid w:val="00A72972"/>
    <w:rsid w:val="00A7299B"/>
    <w:rsid w:val="00A73611"/>
    <w:rsid w:val="00A75473"/>
    <w:rsid w:val="00A76F5F"/>
    <w:rsid w:val="00A8085B"/>
    <w:rsid w:val="00A83947"/>
    <w:rsid w:val="00A901B8"/>
    <w:rsid w:val="00A915E7"/>
    <w:rsid w:val="00A95323"/>
    <w:rsid w:val="00A96BB0"/>
    <w:rsid w:val="00AA175B"/>
    <w:rsid w:val="00AA3C77"/>
    <w:rsid w:val="00AA520A"/>
    <w:rsid w:val="00AA5C9E"/>
    <w:rsid w:val="00AA7F5F"/>
    <w:rsid w:val="00AB2F28"/>
    <w:rsid w:val="00AB60C1"/>
    <w:rsid w:val="00AB683C"/>
    <w:rsid w:val="00AD2D0D"/>
    <w:rsid w:val="00AD587F"/>
    <w:rsid w:val="00AD637E"/>
    <w:rsid w:val="00AE3346"/>
    <w:rsid w:val="00AF04B5"/>
    <w:rsid w:val="00AF1BE0"/>
    <w:rsid w:val="00AF49C3"/>
    <w:rsid w:val="00B00261"/>
    <w:rsid w:val="00B01F36"/>
    <w:rsid w:val="00B0317B"/>
    <w:rsid w:val="00B05F8D"/>
    <w:rsid w:val="00B071D9"/>
    <w:rsid w:val="00B07F29"/>
    <w:rsid w:val="00B127F2"/>
    <w:rsid w:val="00B139A3"/>
    <w:rsid w:val="00B20899"/>
    <w:rsid w:val="00B21324"/>
    <w:rsid w:val="00B22648"/>
    <w:rsid w:val="00B24A5F"/>
    <w:rsid w:val="00B24E7E"/>
    <w:rsid w:val="00B256C0"/>
    <w:rsid w:val="00B259D6"/>
    <w:rsid w:val="00B272FD"/>
    <w:rsid w:val="00B3234C"/>
    <w:rsid w:val="00B34353"/>
    <w:rsid w:val="00B34A34"/>
    <w:rsid w:val="00B42AA1"/>
    <w:rsid w:val="00B46145"/>
    <w:rsid w:val="00B5560A"/>
    <w:rsid w:val="00B56F9B"/>
    <w:rsid w:val="00B60A08"/>
    <w:rsid w:val="00B60FA5"/>
    <w:rsid w:val="00B76B69"/>
    <w:rsid w:val="00B825E0"/>
    <w:rsid w:val="00B8493F"/>
    <w:rsid w:val="00B86B2F"/>
    <w:rsid w:val="00B870BA"/>
    <w:rsid w:val="00B928C8"/>
    <w:rsid w:val="00B95203"/>
    <w:rsid w:val="00B9627A"/>
    <w:rsid w:val="00B96E99"/>
    <w:rsid w:val="00BA1564"/>
    <w:rsid w:val="00BA40EC"/>
    <w:rsid w:val="00BA4DB4"/>
    <w:rsid w:val="00BA50CC"/>
    <w:rsid w:val="00BA703B"/>
    <w:rsid w:val="00BB024E"/>
    <w:rsid w:val="00BB2676"/>
    <w:rsid w:val="00BB4A83"/>
    <w:rsid w:val="00BB5393"/>
    <w:rsid w:val="00BB5CE8"/>
    <w:rsid w:val="00BC0233"/>
    <w:rsid w:val="00BC4465"/>
    <w:rsid w:val="00BC74DB"/>
    <w:rsid w:val="00BD0981"/>
    <w:rsid w:val="00BD1264"/>
    <w:rsid w:val="00BD1934"/>
    <w:rsid w:val="00BD1B96"/>
    <w:rsid w:val="00BD2B91"/>
    <w:rsid w:val="00BE1D65"/>
    <w:rsid w:val="00BE2E36"/>
    <w:rsid w:val="00BE7B5E"/>
    <w:rsid w:val="00BF1BDC"/>
    <w:rsid w:val="00BF3FD2"/>
    <w:rsid w:val="00BF7A57"/>
    <w:rsid w:val="00BF7AFB"/>
    <w:rsid w:val="00C00EF9"/>
    <w:rsid w:val="00C012FB"/>
    <w:rsid w:val="00C02406"/>
    <w:rsid w:val="00C0591D"/>
    <w:rsid w:val="00C07745"/>
    <w:rsid w:val="00C10D0C"/>
    <w:rsid w:val="00C123BB"/>
    <w:rsid w:val="00C21BE6"/>
    <w:rsid w:val="00C2737C"/>
    <w:rsid w:val="00C3296E"/>
    <w:rsid w:val="00C3536F"/>
    <w:rsid w:val="00C3631B"/>
    <w:rsid w:val="00C36D71"/>
    <w:rsid w:val="00C42544"/>
    <w:rsid w:val="00C42A9D"/>
    <w:rsid w:val="00C464F9"/>
    <w:rsid w:val="00C47399"/>
    <w:rsid w:val="00C5228F"/>
    <w:rsid w:val="00C531CB"/>
    <w:rsid w:val="00C566C3"/>
    <w:rsid w:val="00C61A63"/>
    <w:rsid w:val="00C623E0"/>
    <w:rsid w:val="00C838B4"/>
    <w:rsid w:val="00C856CB"/>
    <w:rsid w:val="00C85971"/>
    <w:rsid w:val="00C865E9"/>
    <w:rsid w:val="00C926F4"/>
    <w:rsid w:val="00C93222"/>
    <w:rsid w:val="00CA061C"/>
    <w:rsid w:val="00CA1CA2"/>
    <w:rsid w:val="00CA49EB"/>
    <w:rsid w:val="00CA7A14"/>
    <w:rsid w:val="00CB1230"/>
    <w:rsid w:val="00CB7DDB"/>
    <w:rsid w:val="00CC0EED"/>
    <w:rsid w:val="00CC1430"/>
    <w:rsid w:val="00CC76CC"/>
    <w:rsid w:val="00CD6669"/>
    <w:rsid w:val="00CE21D5"/>
    <w:rsid w:val="00CE2595"/>
    <w:rsid w:val="00CE5EA6"/>
    <w:rsid w:val="00CE632E"/>
    <w:rsid w:val="00CE7AEF"/>
    <w:rsid w:val="00CF4802"/>
    <w:rsid w:val="00CF65D3"/>
    <w:rsid w:val="00D00E69"/>
    <w:rsid w:val="00D015F6"/>
    <w:rsid w:val="00D01718"/>
    <w:rsid w:val="00D035FC"/>
    <w:rsid w:val="00D12749"/>
    <w:rsid w:val="00D13F5E"/>
    <w:rsid w:val="00D159E4"/>
    <w:rsid w:val="00D171EA"/>
    <w:rsid w:val="00D26C1B"/>
    <w:rsid w:val="00D27E18"/>
    <w:rsid w:val="00D33A6D"/>
    <w:rsid w:val="00D41D15"/>
    <w:rsid w:val="00D42641"/>
    <w:rsid w:val="00D43493"/>
    <w:rsid w:val="00D4424E"/>
    <w:rsid w:val="00D45676"/>
    <w:rsid w:val="00D47594"/>
    <w:rsid w:val="00D501C6"/>
    <w:rsid w:val="00D5100E"/>
    <w:rsid w:val="00D54092"/>
    <w:rsid w:val="00D562E1"/>
    <w:rsid w:val="00D569A0"/>
    <w:rsid w:val="00D569C6"/>
    <w:rsid w:val="00D63B8F"/>
    <w:rsid w:val="00D72304"/>
    <w:rsid w:val="00D750CE"/>
    <w:rsid w:val="00D76427"/>
    <w:rsid w:val="00D810A4"/>
    <w:rsid w:val="00D81843"/>
    <w:rsid w:val="00D90020"/>
    <w:rsid w:val="00D91529"/>
    <w:rsid w:val="00D91F0B"/>
    <w:rsid w:val="00D92198"/>
    <w:rsid w:val="00D9439D"/>
    <w:rsid w:val="00D95005"/>
    <w:rsid w:val="00D95E36"/>
    <w:rsid w:val="00D96451"/>
    <w:rsid w:val="00D979AB"/>
    <w:rsid w:val="00DB1773"/>
    <w:rsid w:val="00DB2E7B"/>
    <w:rsid w:val="00DB3A52"/>
    <w:rsid w:val="00DB48B2"/>
    <w:rsid w:val="00DC060C"/>
    <w:rsid w:val="00DC65E4"/>
    <w:rsid w:val="00DC74A3"/>
    <w:rsid w:val="00DD039D"/>
    <w:rsid w:val="00DD3F57"/>
    <w:rsid w:val="00DD4386"/>
    <w:rsid w:val="00DD4589"/>
    <w:rsid w:val="00DE0F11"/>
    <w:rsid w:val="00DE2701"/>
    <w:rsid w:val="00DE49C1"/>
    <w:rsid w:val="00DE555E"/>
    <w:rsid w:val="00DE60F1"/>
    <w:rsid w:val="00DE70FA"/>
    <w:rsid w:val="00DF16F8"/>
    <w:rsid w:val="00DF2DD5"/>
    <w:rsid w:val="00DF782D"/>
    <w:rsid w:val="00DF7898"/>
    <w:rsid w:val="00E0245E"/>
    <w:rsid w:val="00E11D22"/>
    <w:rsid w:val="00E12404"/>
    <w:rsid w:val="00E12B33"/>
    <w:rsid w:val="00E23ED4"/>
    <w:rsid w:val="00E3059E"/>
    <w:rsid w:val="00E35FEE"/>
    <w:rsid w:val="00E36F2F"/>
    <w:rsid w:val="00E40574"/>
    <w:rsid w:val="00E4127F"/>
    <w:rsid w:val="00E41377"/>
    <w:rsid w:val="00E43C6E"/>
    <w:rsid w:val="00E4425C"/>
    <w:rsid w:val="00E51726"/>
    <w:rsid w:val="00E57559"/>
    <w:rsid w:val="00E71AFA"/>
    <w:rsid w:val="00E7332A"/>
    <w:rsid w:val="00E747FD"/>
    <w:rsid w:val="00E74A85"/>
    <w:rsid w:val="00E7599B"/>
    <w:rsid w:val="00E8322F"/>
    <w:rsid w:val="00E83E14"/>
    <w:rsid w:val="00E86307"/>
    <w:rsid w:val="00E92010"/>
    <w:rsid w:val="00E92767"/>
    <w:rsid w:val="00E927A2"/>
    <w:rsid w:val="00EA16A5"/>
    <w:rsid w:val="00EA25B8"/>
    <w:rsid w:val="00EA32E9"/>
    <w:rsid w:val="00EB11A7"/>
    <w:rsid w:val="00EB1C3E"/>
    <w:rsid w:val="00EB544E"/>
    <w:rsid w:val="00EC161B"/>
    <w:rsid w:val="00EC6055"/>
    <w:rsid w:val="00ED5928"/>
    <w:rsid w:val="00EE2ECF"/>
    <w:rsid w:val="00EF0836"/>
    <w:rsid w:val="00EF1102"/>
    <w:rsid w:val="00EF3D45"/>
    <w:rsid w:val="00EF585F"/>
    <w:rsid w:val="00EF62E3"/>
    <w:rsid w:val="00F05D7B"/>
    <w:rsid w:val="00F17870"/>
    <w:rsid w:val="00F209F5"/>
    <w:rsid w:val="00F21702"/>
    <w:rsid w:val="00F229FD"/>
    <w:rsid w:val="00F2444E"/>
    <w:rsid w:val="00F27B3D"/>
    <w:rsid w:val="00F30069"/>
    <w:rsid w:val="00F3046E"/>
    <w:rsid w:val="00F32C4E"/>
    <w:rsid w:val="00F457D4"/>
    <w:rsid w:val="00F50D5F"/>
    <w:rsid w:val="00F53DDB"/>
    <w:rsid w:val="00F568C5"/>
    <w:rsid w:val="00F5703A"/>
    <w:rsid w:val="00F60E89"/>
    <w:rsid w:val="00F62BCD"/>
    <w:rsid w:val="00F62CBC"/>
    <w:rsid w:val="00F63B09"/>
    <w:rsid w:val="00F707AE"/>
    <w:rsid w:val="00F72A5A"/>
    <w:rsid w:val="00F73530"/>
    <w:rsid w:val="00F7359F"/>
    <w:rsid w:val="00F74E68"/>
    <w:rsid w:val="00F80EC8"/>
    <w:rsid w:val="00F87E44"/>
    <w:rsid w:val="00F900A3"/>
    <w:rsid w:val="00F95435"/>
    <w:rsid w:val="00F96529"/>
    <w:rsid w:val="00FA4DFF"/>
    <w:rsid w:val="00FB4E9A"/>
    <w:rsid w:val="00FB6D19"/>
    <w:rsid w:val="00FB7D55"/>
    <w:rsid w:val="00FC2E04"/>
    <w:rsid w:val="00FC5025"/>
    <w:rsid w:val="00FD1A06"/>
    <w:rsid w:val="00FD29FD"/>
    <w:rsid w:val="00FD5AFA"/>
    <w:rsid w:val="00FD6137"/>
    <w:rsid w:val="00FD7C05"/>
    <w:rsid w:val="00FF0380"/>
    <w:rsid w:val="00FF3594"/>
    <w:rsid w:val="00FF3F64"/>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25C"/>
    <w:rPr>
      <w:rFonts w:cs="Tahoma"/>
      <w:sz w:val="24"/>
      <w:lang w:val="en-US" w:eastAsia="en-US"/>
    </w:rPr>
  </w:style>
  <w:style w:type="paragraph" w:styleId="1">
    <w:name w:val="heading 1"/>
    <w:basedOn w:val="a"/>
    <w:next w:val="a"/>
    <w:link w:val="10"/>
    <w:qFormat/>
    <w:rsid w:val="001C61B0"/>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A8085B"/>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4425C"/>
    <w:pPr>
      <w:spacing w:after="120"/>
    </w:pPr>
  </w:style>
  <w:style w:type="paragraph" w:styleId="a5">
    <w:name w:val="header"/>
    <w:basedOn w:val="a"/>
    <w:link w:val="a6"/>
    <w:rsid w:val="00E4425C"/>
    <w:pPr>
      <w:widowControl w:val="0"/>
      <w:tabs>
        <w:tab w:val="center" w:pos="4320"/>
        <w:tab w:val="right" w:pos="8640"/>
      </w:tabs>
    </w:pPr>
    <w:rPr>
      <w:rFonts w:cs="Times New Roman"/>
      <w:snapToGrid w:val="0"/>
    </w:rPr>
  </w:style>
  <w:style w:type="character" w:customStyle="1" w:styleId="a6">
    <w:name w:val="Верхний колонтитул Знак"/>
    <w:link w:val="a5"/>
    <w:rsid w:val="00E4425C"/>
    <w:rPr>
      <w:snapToGrid w:val="0"/>
      <w:sz w:val="24"/>
      <w:lang w:val="en-US" w:eastAsia="en-US" w:bidi="ar-SA"/>
    </w:rPr>
  </w:style>
  <w:style w:type="paragraph" w:styleId="a7">
    <w:name w:val="List Paragraph"/>
    <w:basedOn w:val="a"/>
    <w:uiPriority w:val="99"/>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a0"/>
    <w:rsid w:val="00A72972"/>
  </w:style>
  <w:style w:type="paragraph" w:customStyle="1" w:styleId="Char">
    <w:name w:val="Char"/>
    <w:basedOn w:val="a"/>
    <w:rsid w:val="007E0630"/>
    <w:pPr>
      <w:spacing w:after="160" w:line="240" w:lineRule="exact"/>
    </w:pPr>
    <w:rPr>
      <w:rFonts w:ascii="Arial" w:hAnsi="Arial" w:cs="Arial"/>
      <w:sz w:val="20"/>
      <w:lang w:val="en-GB"/>
    </w:rPr>
  </w:style>
  <w:style w:type="paragraph" w:styleId="a8">
    <w:name w:val="Balloon Text"/>
    <w:basedOn w:val="a"/>
    <w:semiHidden/>
    <w:rsid w:val="00DF7898"/>
    <w:rPr>
      <w:rFonts w:ascii="Tahoma" w:hAnsi="Tahoma"/>
      <w:sz w:val="16"/>
      <w:szCs w:val="16"/>
    </w:rPr>
  </w:style>
  <w:style w:type="paragraph" w:styleId="a9">
    <w:name w:val="footer"/>
    <w:basedOn w:val="a"/>
    <w:rsid w:val="00A54051"/>
    <w:pPr>
      <w:tabs>
        <w:tab w:val="center" w:pos="4320"/>
        <w:tab w:val="right" w:pos="8640"/>
      </w:tabs>
    </w:pPr>
  </w:style>
  <w:style w:type="character" w:styleId="aa">
    <w:name w:val="page number"/>
    <w:basedOn w:val="a0"/>
    <w:rsid w:val="00A54051"/>
  </w:style>
  <w:style w:type="character" w:customStyle="1" w:styleId="20">
    <w:name w:val="Заголовок 2 Знак"/>
    <w:link w:val="2"/>
    <w:rsid w:val="00A8085B"/>
    <w:rPr>
      <w:rFonts w:ascii="Cambria" w:hAnsi="Cambria"/>
      <w:b/>
      <w:bCs/>
      <w:i/>
      <w:iCs/>
      <w:sz w:val="28"/>
      <w:szCs w:val="28"/>
      <w:lang w:val="en-US" w:eastAsia="en-US" w:bidi="ar-SA"/>
    </w:rPr>
  </w:style>
  <w:style w:type="character" w:customStyle="1" w:styleId="10">
    <w:name w:val="Заголовок 1 Знак"/>
    <w:link w:val="1"/>
    <w:rsid w:val="001C61B0"/>
    <w:rPr>
      <w:rFonts w:ascii="Cambria" w:hAnsi="Cambria"/>
      <w:b/>
      <w:bCs/>
      <w:kern w:val="32"/>
      <w:sz w:val="32"/>
      <w:szCs w:val="32"/>
      <w:lang w:val="en-US" w:eastAsia="en-US" w:bidi="ar-SA"/>
    </w:rPr>
  </w:style>
  <w:style w:type="paragraph" w:styleId="ab">
    <w:name w:val="No Spacing"/>
    <w:qFormat/>
    <w:rsid w:val="00021D13"/>
    <w:pPr>
      <w:ind w:left="1440" w:right="720"/>
    </w:pPr>
    <w:rPr>
      <w:rFonts w:ascii="Calibri" w:eastAsia="Calibri" w:hAnsi="Calibri"/>
      <w:sz w:val="22"/>
      <w:szCs w:val="22"/>
      <w:lang w:val="en-GB" w:eastAsia="en-US"/>
    </w:rPr>
  </w:style>
  <w:style w:type="paragraph" w:styleId="ac">
    <w:name w:val="footnote text"/>
    <w:aliases w:val="ft,ADB,single space"/>
    <w:basedOn w:val="a"/>
    <w:link w:val="ad"/>
    <w:uiPriority w:val="99"/>
    <w:rsid w:val="00E71AFA"/>
    <w:pPr>
      <w:widowControl w:val="0"/>
    </w:pPr>
    <w:rPr>
      <w:rFonts w:cs="Times New Roman"/>
      <w:snapToGrid w:val="0"/>
      <w:sz w:val="20"/>
      <w:lang w:val="en-GB"/>
    </w:rPr>
  </w:style>
  <w:style w:type="character" w:customStyle="1" w:styleId="ad">
    <w:name w:val="Текст сноски Знак"/>
    <w:aliases w:val="ft Знак,ADB Знак,single space Знак"/>
    <w:link w:val="ac"/>
    <w:uiPriority w:val="99"/>
    <w:rsid w:val="00E71AFA"/>
    <w:rPr>
      <w:snapToGrid/>
      <w:lang w:val="en-GB"/>
    </w:rPr>
  </w:style>
  <w:style w:type="character" w:styleId="ae">
    <w:name w:val="footnote reference"/>
    <w:aliases w:val="BVI fnr,BVI fnr Car Car,BVI fnr Car,BVI fnr Car Car Car Car,Footnote text,ftref,16 Point,Superscript 6 Point,4_G,Footnote number, BVI fnr, BVI fnr Car Car, BVI fnr Car Car Car Car, BVI fnr Car Car Car Car Char,PIC Footnote Reference"/>
    <w:rsid w:val="00E71AFA"/>
    <w:rPr>
      <w:vertAlign w:val="superscript"/>
    </w:rPr>
  </w:style>
  <w:style w:type="character" w:styleId="af">
    <w:name w:val="annotation reference"/>
    <w:semiHidden/>
    <w:rsid w:val="00884694"/>
    <w:rPr>
      <w:sz w:val="16"/>
      <w:szCs w:val="16"/>
    </w:rPr>
  </w:style>
  <w:style w:type="paragraph" w:styleId="af0">
    <w:name w:val="annotation text"/>
    <w:basedOn w:val="a"/>
    <w:semiHidden/>
    <w:rsid w:val="00884694"/>
    <w:rPr>
      <w:sz w:val="20"/>
    </w:rPr>
  </w:style>
  <w:style w:type="paragraph" w:styleId="af1">
    <w:name w:val="annotation subject"/>
    <w:basedOn w:val="af0"/>
    <w:next w:val="af0"/>
    <w:semiHidden/>
    <w:rsid w:val="00884694"/>
    <w:rPr>
      <w:b/>
      <w:bCs/>
    </w:rPr>
  </w:style>
  <w:style w:type="paragraph" w:styleId="af2">
    <w:name w:val="Revision"/>
    <w:hidden/>
    <w:uiPriority w:val="99"/>
    <w:semiHidden/>
    <w:rsid w:val="00837D7F"/>
    <w:rPr>
      <w:rFonts w:cs="Tahoma"/>
      <w:sz w:val="24"/>
      <w:lang w:val="en-US" w:eastAsia="en-US"/>
    </w:rPr>
  </w:style>
  <w:style w:type="character" w:styleId="af3">
    <w:name w:val="Strong"/>
    <w:basedOn w:val="a0"/>
    <w:qFormat/>
    <w:rsid w:val="00DC74A3"/>
    <w:rPr>
      <w:b/>
      <w:bCs/>
    </w:rPr>
  </w:style>
  <w:style w:type="character" w:styleId="af4">
    <w:name w:val="Emphasis"/>
    <w:basedOn w:val="a0"/>
    <w:qFormat/>
    <w:rsid w:val="00DC74A3"/>
    <w:rPr>
      <w:i/>
      <w:iCs/>
    </w:rPr>
  </w:style>
  <w:style w:type="paragraph" w:styleId="af5">
    <w:name w:val="Normal (Web)"/>
    <w:basedOn w:val="a"/>
    <w:rsid w:val="00B60A08"/>
    <w:pPr>
      <w:spacing w:before="100" w:beforeAutospacing="1" w:after="100" w:afterAutospacing="1"/>
    </w:pPr>
    <w:rPr>
      <w:rFonts w:cs="Times New Roman"/>
      <w:szCs w:val="24"/>
      <w:lang w:val="ru-RU" w:eastAsia="ru-RU"/>
    </w:rPr>
  </w:style>
  <w:style w:type="character" w:styleId="af6">
    <w:name w:val="Hyperlink"/>
    <w:basedOn w:val="a0"/>
    <w:uiPriority w:val="99"/>
    <w:unhideWhenUsed/>
    <w:rsid w:val="00B60FA5"/>
    <w:rPr>
      <w:color w:val="0000FF" w:themeColor="hyperlink"/>
      <w:u w:val="single"/>
    </w:rPr>
  </w:style>
  <w:style w:type="character" w:styleId="af7">
    <w:name w:val="FollowedHyperlink"/>
    <w:basedOn w:val="a0"/>
    <w:rsid w:val="00B60F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nder.mvd.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6B30-B9AB-42FF-9EAA-104E9E81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4722</Words>
  <Characters>26997</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subject/>
  <dc:creator>Aloysious</dc:creator>
  <cp:keywords/>
  <dc:description/>
  <cp:lastModifiedBy>International</cp:lastModifiedBy>
  <cp:revision>2</cp:revision>
  <cp:lastPrinted>2012-08-02T04:56:00Z</cp:lastPrinted>
  <dcterms:created xsi:type="dcterms:W3CDTF">2015-06-12T15:30:00Z</dcterms:created>
  <dcterms:modified xsi:type="dcterms:W3CDTF">2015-06-12T15:30:00Z</dcterms:modified>
</cp:coreProperties>
</file>