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E625C" w14:textId="77777777" w:rsidR="005B294D" w:rsidRPr="00BA37DD" w:rsidRDefault="005B294D" w:rsidP="005B294D">
      <w:pPr>
        <w:rPr>
          <w:lang w:val="en-US"/>
        </w:rPr>
      </w:pPr>
    </w:p>
    <w:p w14:paraId="658042F4" w14:textId="77777777" w:rsidR="005B294D" w:rsidRDefault="005B294D" w:rsidP="005B294D">
      <w:pPr>
        <w:jc w:val="right"/>
        <w:rPr>
          <w:sz w:val="56"/>
          <w:szCs w:val="56"/>
        </w:rPr>
      </w:pPr>
      <w:r>
        <w:rPr>
          <w:noProof/>
          <w:szCs w:val="24"/>
          <w:lang w:val="it-IT" w:eastAsia="it-IT"/>
        </w:rPr>
        <w:drawing>
          <wp:inline distT="0" distB="0" distL="0" distR="0" wp14:anchorId="15E21E94" wp14:editId="1EBBE058">
            <wp:extent cx="965200" cy="838200"/>
            <wp:effectExtent l="0" t="0" r="0" b="0"/>
            <wp:docPr id="2" name="Picture 2"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5200" cy="838200"/>
                    </a:xfrm>
                    <a:prstGeom prst="rect">
                      <a:avLst/>
                    </a:prstGeom>
                    <a:noFill/>
                    <a:ln>
                      <a:noFill/>
                    </a:ln>
                  </pic:spPr>
                </pic:pic>
              </a:graphicData>
            </a:graphic>
          </wp:inline>
        </w:drawing>
      </w:r>
    </w:p>
    <w:p w14:paraId="04957B30" w14:textId="77777777" w:rsidR="005B294D" w:rsidRPr="005B294D" w:rsidRDefault="005B294D" w:rsidP="005B294D">
      <w:pPr>
        <w:rPr>
          <w:sz w:val="56"/>
          <w:szCs w:val="56"/>
        </w:rPr>
      </w:pPr>
      <w:r>
        <w:rPr>
          <w:sz w:val="56"/>
          <w:szCs w:val="56"/>
        </w:rPr>
        <w:t>SUN</w:t>
      </w:r>
      <w:r w:rsidRPr="005B294D">
        <w:rPr>
          <w:sz w:val="56"/>
          <w:szCs w:val="56"/>
        </w:rPr>
        <w:t xml:space="preserve"> Movement</w:t>
      </w:r>
    </w:p>
    <w:p w14:paraId="75A38D2B" w14:textId="77777777" w:rsidR="005B294D" w:rsidRPr="005B294D" w:rsidRDefault="005B294D" w:rsidP="005B294D">
      <w:pPr>
        <w:rPr>
          <w:sz w:val="56"/>
          <w:szCs w:val="56"/>
        </w:rPr>
      </w:pPr>
      <w:r w:rsidRPr="005B294D">
        <w:rPr>
          <w:sz w:val="56"/>
          <w:szCs w:val="56"/>
        </w:rPr>
        <w:t>Multi-Partner Trust Fund (MPTF)</w:t>
      </w:r>
    </w:p>
    <w:p w14:paraId="1E6B9552" w14:textId="77777777" w:rsidR="005B294D" w:rsidRDefault="005B294D" w:rsidP="005B294D">
      <w:pPr>
        <w:autoSpaceDE w:val="0"/>
        <w:autoSpaceDN w:val="0"/>
        <w:adjustRightInd w:val="0"/>
        <w:spacing w:after="240"/>
        <w:rPr>
          <w:rFonts w:ascii="Times" w:eastAsiaTheme="minorEastAsia" w:hAnsi="Times" w:cs="Times"/>
          <w:b/>
          <w:bCs/>
          <w:snapToGrid/>
          <w:sz w:val="38"/>
          <w:szCs w:val="38"/>
          <w:lang w:val="it-IT" w:eastAsia="it-IT"/>
        </w:rPr>
      </w:pPr>
    </w:p>
    <w:p w14:paraId="204C3771" w14:textId="77777777" w:rsidR="005B294D" w:rsidRPr="005B294D" w:rsidRDefault="005B294D" w:rsidP="005B294D">
      <w:pPr>
        <w:autoSpaceDE w:val="0"/>
        <w:autoSpaceDN w:val="0"/>
        <w:adjustRightInd w:val="0"/>
        <w:spacing w:after="240"/>
        <w:jc w:val="center"/>
        <w:rPr>
          <w:rFonts w:ascii="Times" w:eastAsiaTheme="minorEastAsia" w:hAnsi="Times" w:cs="Times"/>
          <w:b/>
          <w:bCs/>
          <w:snapToGrid/>
          <w:sz w:val="36"/>
          <w:szCs w:val="36"/>
          <w:lang w:val="it-IT" w:eastAsia="it-IT"/>
        </w:rPr>
      </w:pPr>
      <w:r w:rsidRPr="005B294D">
        <w:rPr>
          <w:rFonts w:ascii="Times" w:eastAsiaTheme="minorEastAsia" w:hAnsi="Times" w:cs="Times"/>
          <w:b/>
          <w:bCs/>
          <w:snapToGrid/>
          <w:sz w:val="36"/>
          <w:szCs w:val="36"/>
          <w:lang w:val="it-IT" w:eastAsia="it-IT"/>
        </w:rPr>
        <w:t>PROGRAMME</w:t>
      </w:r>
      <w:r w:rsidRPr="005B294D">
        <w:rPr>
          <w:rFonts w:ascii="Times" w:eastAsiaTheme="minorEastAsia" w:hAnsi="Times" w:cs="Times"/>
          <w:b/>
          <w:bCs/>
          <w:snapToGrid/>
          <w:position w:val="10"/>
          <w:sz w:val="36"/>
          <w:szCs w:val="36"/>
          <w:lang w:val="it-IT" w:eastAsia="it-IT"/>
        </w:rPr>
        <w:t xml:space="preserve"> </w:t>
      </w:r>
      <w:r w:rsidRPr="005B294D">
        <w:rPr>
          <w:rFonts w:ascii="Times" w:eastAsiaTheme="minorEastAsia" w:hAnsi="Times" w:cs="Times"/>
          <w:b/>
          <w:bCs/>
          <w:snapToGrid/>
          <w:sz w:val="36"/>
          <w:szCs w:val="36"/>
          <w:lang w:val="it-IT" w:eastAsia="it-IT"/>
        </w:rPr>
        <w:t>QUARTERLY PROGRESS UPDATE</w:t>
      </w:r>
    </w:p>
    <w:p w14:paraId="26F7BCEC" w14:textId="3791854E" w:rsidR="005B294D" w:rsidRPr="005B294D" w:rsidRDefault="00BA37DD" w:rsidP="005B294D">
      <w:pPr>
        <w:autoSpaceDE w:val="0"/>
        <w:autoSpaceDN w:val="0"/>
        <w:adjustRightInd w:val="0"/>
        <w:spacing w:after="240"/>
        <w:jc w:val="center"/>
        <w:rPr>
          <w:rFonts w:ascii="Times" w:eastAsiaTheme="minorEastAsia" w:hAnsi="Times" w:cs="Times"/>
          <w:b/>
          <w:bCs/>
          <w:snapToGrid/>
          <w:sz w:val="36"/>
          <w:szCs w:val="36"/>
          <w:lang w:eastAsia="it-IT"/>
        </w:rPr>
      </w:pPr>
      <w:proofErr w:type="gramStart"/>
      <w:r>
        <w:rPr>
          <w:rFonts w:ascii="Times" w:eastAsiaTheme="minorEastAsia" w:hAnsi="Times" w:cs="Times"/>
          <w:b/>
          <w:bCs/>
          <w:snapToGrid/>
          <w:sz w:val="36"/>
          <w:szCs w:val="36"/>
          <w:lang w:eastAsia="it-IT"/>
        </w:rPr>
        <w:t>as</w:t>
      </w:r>
      <w:proofErr w:type="gramEnd"/>
      <w:r>
        <w:rPr>
          <w:rFonts w:ascii="Times" w:eastAsiaTheme="minorEastAsia" w:hAnsi="Times" w:cs="Times"/>
          <w:b/>
          <w:bCs/>
          <w:snapToGrid/>
          <w:sz w:val="36"/>
          <w:szCs w:val="36"/>
          <w:lang w:eastAsia="it-IT"/>
        </w:rPr>
        <w:t xml:space="preserve"> of 28</w:t>
      </w:r>
      <w:r w:rsidR="00C41EFE">
        <w:rPr>
          <w:rFonts w:ascii="Times" w:eastAsiaTheme="minorEastAsia" w:hAnsi="Times" w:cs="Times"/>
          <w:b/>
          <w:bCs/>
          <w:snapToGrid/>
          <w:sz w:val="36"/>
          <w:szCs w:val="36"/>
          <w:lang w:eastAsia="it-IT"/>
        </w:rPr>
        <w:t xml:space="preserve"> </w:t>
      </w:r>
      <w:r>
        <w:rPr>
          <w:rFonts w:ascii="Times" w:eastAsiaTheme="minorEastAsia" w:hAnsi="Times" w:cs="Times"/>
          <w:b/>
          <w:bCs/>
          <w:snapToGrid/>
          <w:sz w:val="36"/>
          <w:szCs w:val="36"/>
          <w:lang w:eastAsia="it-IT"/>
        </w:rPr>
        <w:t>February 2015</w:t>
      </w:r>
    </w:p>
    <w:p w14:paraId="09177F88" w14:textId="77777777" w:rsidR="005B294D" w:rsidRDefault="005B294D" w:rsidP="005B294D">
      <w:pPr>
        <w:autoSpaceDE w:val="0"/>
        <w:autoSpaceDN w:val="0"/>
        <w:adjustRightInd w:val="0"/>
        <w:spacing w:after="240"/>
        <w:jc w:val="center"/>
        <w:rPr>
          <w:rFonts w:ascii="Times" w:eastAsiaTheme="minorEastAsia" w:hAnsi="Times" w:cs="Times"/>
          <w:b/>
          <w:bCs/>
          <w:snapToGrid/>
          <w:sz w:val="36"/>
          <w:szCs w:val="36"/>
          <w:lang w:val="it-IT" w:eastAsia="it-IT"/>
        </w:rPr>
      </w:pPr>
    </w:p>
    <w:tbl>
      <w:tblPr>
        <w:tblStyle w:val="Grigliatabella"/>
        <w:tblW w:w="4909" w:type="pct"/>
        <w:tblInd w:w="108" w:type="dxa"/>
        <w:tblLook w:val="04A0" w:firstRow="1" w:lastRow="0" w:firstColumn="1" w:lastColumn="0" w:noHBand="0" w:noVBand="1"/>
      </w:tblPr>
      <w:tblGrid>
        <w:gridCol w:w="2814"/>
        <w:gridCol w:w="1408"/>
        <w:gridCol w:w="1025"/>
        <w:gridCol w:w="1274"/>
        <w:gridCol w:w="1280"/>
        <w:gridCol w:w="1868"/>
      </w:tblGrid>
      <w:tr w:rsidR="008304FD" w:rsidRPr="002D5D91" w14:paraId="067DBA87" w14:textId="77777777" w:rsidTr="008304FD">
        <w:trPr>
          <w:trHeight w:val="642"/>
        </w:trPr>
        <w:tc>
          <w:tcPr>
            <w:tcW w:w="1455" w:type="pct"/>
            <w:shd w:val="clear" w:color="auto" w:fill="D9D9D9" w:themeFill="background1" w:themeFillShade="D9"/>
            <w:vAlign w:val="center"/>
          </w:tcPr>
          <w:p w14:paraId="6584370E" w14:textId="77777777" w:rsidR="005B294D" w:rsidRPr="002D5D91" w:rsidRDefault="005B294D" w:rsidP="005B294D">
            <w:pPr>
              <w:rPr>
                <w:b/>
                <w:sz w:val="22"/>
                <w:szCs w:val="22"/>
              </w:rPr>
            </w:pPr>
            <w:r w:rsidRPr="002D5D91">
              <w:rPr>
                <w:b/>
                <w:sz w:val="22"/>
                <w:szCs w:val="22"/>
              </w:rPr>
              <w:t xml:space="preserve">Participating Organization: </w:t>
            </w:r>
          </w:p>
        </w:tc>
        <w:tc>
          <w:tcPr>
            <w:tcW w:w="3545" w:type="pct"/>
            <w:gridSpan w:val="5"/>
            <w:vAlign w:val="center"/>
          </w:tcPr>
          <w:p w14:paraId="1C410C33" w14:textId="77777777" w:rsidR="005B294D" w:rsidRPr="002D5D91" w:rsidRDefault="005B294D" w:rsidP="005B294D">
            <w:pPr>
              <w:rPr>
                <w:b/>
                <w:sz w:val="22"/>
                <w:szCs w:val="22"/>
              </w:rPr>
            </w:pPr>
            <w:r w:rsidRPr="002D5D91">
              <w:rPr>
                <w:b/>
                <w:sz w:val="22"/>
                <w:szCs w:val="22"/>
              </w:rPr>
              <w:t>UNOPS</w:t>
            </w:r>
          </w:p>
        </w:tc>
      </w:tr>
      <w:tr w:rsidR="008304FD" w:rsidRPr="002D5D91" w14:paraId="3304C943" w14:textId="77777777" w:rsidTr="008304FD">
        <w:trPr>
          <w:trHeight w:val="622"/>
        </w:trPr>
        <w:tc>
          <w:tcPr>
            <w:tcW w:w="1455" w:type="pct"/>
            <w:shd w:val="clear" w:color="auto" w:fill="D9D9D9" w:themeFill="background1" w:themeFillShade="D9"/>
            <w:vAlign w:val="center"/>
          </w:tcPr>
          <w:p w14:paraId="206970C9" w14:textId="77777777" w:rsidR="005B294D" w:rsidRPr="002D5D91" w:rsidRDefault="005B294D" w:rsidP="005B294D">
            <w:pPr>
              <w:rPr>
                <w:b/>
                <w:bCs/>
                <w:sz w:val="22"/>
                <w:szCs w:val="22"/>
              </w:rPr>
            </w:pPr>
            <w:r w:rsidRPr="002D5D91">
              <w:rPr>
                <w:b/>
                <w:sz w:val="22"/>
                <w:szCs w:val="22"/>
              </w:rPr>
              <w:t xml:space="preserve">Implementing Partner(s): </w:t>
            </w:r>
          </w:p>
        </w:tc>
        <w:tc>
          <w:tcPr>
            <w:tcW w:w="3545" w:type="pct"/>
            <w:gridSpan w:val="5"/>
            <w:vAlign w:val="center"/>
          </w:tcPr>
          <w:p w14:paraId="08189B27" w14:textId="77777777" w:rsidR="005B294D" w:rsidRPr="002D5D91" w:rsidRDefault="005B294D" w:rsidP="005B294D">
            <w:pPr>
              <w:rPr>
                <w:b/>
                <w:bCs/>
                <w:sz w:val="22"/>
                <w:szCs w:val="22"/>
              </w:rPr>
            </w:pPr>
            <w:r w:rsidRPr="002D5D91">
              <w:rPr>
                <w:b/>
                <w:bCs/>
                <w:sz w:val="22"/>
                <w:szCs w:val="22"/>
              </w:rPr>
              <w:t>PROCASUR Corporation</w:t>
            </w:r>
          </w:p>
        </w:tc>
      </w:tr>
      <w:tr w:rsidR="008304FD" w:rsidRPr="002D5D91" w14:paraId="14ECB9C9" w14:textId="77777777" w:rsidTr="008304FD">
        <w:trPr>
          <w:trHeight w:val="622"/>
        </w:trPr>
        <w:tc>
          <w:tcPr>
            <w:tcW w:w="1455" w:type="pct"/>
            <w:shd w:val="clear" w:color="auto" w:fill="D9D9D9" w:themeFill="background1" w:themeFillShade="D9"/>
            <w:vAlign w:val="center"/>
          </w:tcPr>
          <w:p w14:paraId="59A9DB9E" w14:textId="77777777" w:rsidR="005B294D" w:rsidRPr="002D5D91" w:rsidRDefault="005B294D" w:rsidP="005B294D">
            <w:pPr>
              <w:rPr>
                <w:b/>
                <w:sz w:val="22"/>
                <w:szCs w:val="22"/>
              </w:rPr>
            </w:pPr>
            <w:r w:rsidRPr="002D5D91">
              <w:rPr>
                <w:b/>
                <w:sz w:val="22"/>
                <w:szCs w:val="22"/>
              </w:rPr>
              <w:t xml:space="preserve">Programme Number: </w:t>
            </w:r>
          </w:p>
        </w:tc>
        <w:tc>
          <w:tcPr>
            <w:tcW w:w="3545" w:type="pct"/>
            <w:gridSpan w:val="5"/>
            <w:vAlign w:val="center"/>
          </w:tcPr>
          <w:p w14:paraId="645B12CA" w14:textId="064AA17B" w:rsidR="005B294D" w:rsidRPr="002D5D91" w:rsidRDefault="002D5D91" w:rsidP="005B294D">
            <w:pPr>
              <w:rPr>
                <w:b/>
                <w:sz w:val="22"/>
                <w:szCs w:val="22"/>
              </w:rPr>
            </w:pPr>
            <w:r w:rsidRPr="002D5D91">
              <w:rPr>
                <w:b/>
                <w:sz w:val="22"/>
                <w:szCs w:val="22"/>
              </w:rPr>
              <w:t>Grant number: 88389</w:t>
            </w:r>
          </w:p>
        </w:tc>
      </w:tr>
      <w:tr w:rsidR="008304FD" w:rsidRPr="002D5D91" w14:paraId="21DD4E87" w14:textId="77777777" w:rsidTr="008304FD">
        <w:trPr>
          <w:trHeight w:val="622"/>
        </w:trPr>
        <w:tc>
          <w:tcPr>
            <w:tcW w:w="1455" w:type="pct"/>
            <w:shd w:val="clear" w:color="auto" w:fill="D9D9D9" w:themeFill="background1" w:themeFillShade="D9"/>
            <w:vAlign w:val="center"/>
          </w:tcPr>
          <w:p w14:paraId="58A004CC" w14:textId="77777777" w:rsidR="005B294D" w:rsidRPr="002D5D91" w:rsidRDefault="005B294D" w:rsidP="005B294D">
            <w:pPr>
              <w:rPr>
                <w:b/>
                <w:sz w:val="22"/>
                <w:szCs w:val="22"/>
              </w:rPr>
            </w:pPr>
            <w:r w:rsidRPr="002D5D91">
              <w:rPr>
                <w:b/>
                <w:sz w:val="22"/>
                <w:szCs w:val="22"/>
              </w:rPr>
              <w:t>Programme Title:</w:t>
            </w:r>
          </w:p>
        </w:tc>
        <w:tc>
          <w:tcPr>
            <w:tcW w:w="3545" w:type="pct"/>
            <w:gridSpan w:val="5"/>
            <w:vAlign w:val="center"/>
          </w:tcPr>
          <w:p w14:paraId="0DE4E978" w14:textId="77777777" w:rsidR="005B294D" w:rsidRPr="002D5D91" w:rsidRDefault="005B294D" w:rsidP="005B294D">
            <w:pPr>
              <w:rPr>
                <w:b/>
                <w:sz w:val="22"/>
                <w:szCs w:val="22"/>
              </w:rPr>
            </w:pPr>
            <w:r w:rsidRPr="002D5D91">
              <w:rPr>
                <w:b/>
                <w:iCs/>
                <w:snapToGrid/>
                <w:color w:val="1A1A1A"/>
                <w:sz w:val="22"/>
                <w:szCs w:val="22"/>
                <w:lang w:val="en-US"/>
              </w:rPr>
              <w:t>“Strengthening the Capacity of SUN Countries to Scale Up Nutrition through Learning Routes”</w:t>
            </w:r>
          </w:p>
        </w:tc>
      </w:tr>
      <w:tr w:rsidR="008304FD" w:rsidRPr="002D5D91" w14:paraId="17F4C0F3" w14:textId="77777777" w:rsidTr="008304FD">
        <w:trPr>
          <w:trHeight w:val="642"/>
        </w:trPr>
        <w:tc>
          <w:tcPr>
            <w:tcW w:w="1455" w:type="pct"/>
            <w:shd w:val="clear" w:color="auto" w:fill="D9D9D9" w:themeFill="background1" w:themeFillShade="D9"/>
            <w:vAlign w:val="center"/>
          </w:tcPr>
          <w:p w14:paraId="421A51C8" w14:textId="77777777" w:rsidR="005B294D" w:rsidRPr="002D5D91" w:rsidRDefault="005B294D" w:rsidP="005B294D">
            <w:pPr>
              <w:rPr>
                <w:b/>
                <w:sz w:val="22"/>
                <w:szCs w:val="22"/>
              </w:rPr>
            </w:pPr>
            <w:r w:rsidRPr="002D5D91">
              <w:rPr>
                <w:b/>
                <w:sz w:val="22"/>
                <w:szCs w:val="22"/>
              </w:rPr>
              <w:t>Approved Programme Budget:</w:t>
            </w:r>
          </w:p>
        </w:tc>
        <w:tc>
          <w:tcPr>
            <w:tcW w:w="3545" w:type="pct"/>
            <w:gridSpan w:val="5"/>
            <w:vAlign w:val="center"/>
          </w:tcPr>
          <w:p w14:paraId="06C03D1A" w14:textId="2ABAA441" w:rsidR="005B294D" w:rsidRPr="002D5D91" w:rsidRDefault="002D5D91" w:rsidP="002D5D91">
            <w:pPr>
              <w:rPr>
                <w:b/>
                <w:sz w:val="22"/>
                <w:szCs w:val="22"/>
              </w:rPr>
            </w:pPr>
            <w:r w:rsidRPr="002D5D91">
              <w:rPr>
                <w:b/>
                <w:sz w:val="22"/>
                <w:szCs w:val="22"/>
              </w:rPr>
              <w:t>US$ 600</w:t>
            </w:r>
            <w:r w:rsidR="005B294D" w:rsidRPr="002D5D91">
              <w:rPr>
                <w:b/>
                <w:sz w:val="22"/>
                <w:szCs w:val="22"/>
              </w:rPr>
              <w:t>,000 (six hundred thousand US dollars)</w:t>
            </w:r>
          </w:p>
        </w:tc>
      </w:tr>
      <w:tr w:rsidR="008304FD" w:rsidRPr="002D5D91" w14:paraId="40195293" w14:textId="77777777" w:rsidTr="008304FD">
        <w:trPr>
          <w:trHeight w:val="622"/>
        </w:trPr>
        <w:tc>
          <w:tcPr>
            <w:tcW w:w="1455" w:type="pct"/>
            <w:shd w:val="clear" w:color="auto" w:fill="D9D9D9" w:themeFill="background1" w:themeFillShade="D9"/>
            <w:vAlign w:val="center"/>
          </w:tcPr>
          <w:p w14:paraId="239AEE17" w14:textId="77777777" w:rsidR="005B294D" w:rsidRPr="002D5D91" w:rsidRDefault="005B294D" w:rsidP="005B294D">
            <w:pPr>
              <w:rPr>
                <w:b/>
                <w:sz w:val="22"/>
                <w:szCs w:val="22"/>
              </w:rPr>
            </w:pPr>
            <w:r w:rsidRPr="002D5D91">
              <w:rPr>
                <w:b/>
                <w:sz w:val="22"/>
                <w:szCs w:val="22"/>
              </w:rPr>
              <w:t>Location:</w:t>
            </w:r>
          </w:p>
        </w:tc>
        <w:tc>
          <w:tcPr>
            <w:tcW w:w="3545" w:type="pct"/>
            <w:gridSpan w:val="5"/>
            <w:vAlign w:val="center"/>
          </w:tcPr>
          <w:p w14:paraId="09ACAA99" w14:textId="77777777" w:rsidR="005B294D" w:rsidRPr="002D5D91" w:rsidRDefault="005B294D" w:rsidP="005B294D">
            <w:pPr>
              <w:jc w:val="both"/>
              <w:rPr>
                <w:b/>
                <w:sz w:val="22"/>
                <w:szCs w:val="22"/>
              </w:rPr>
            </w:pPr>
            <w:r w:rsidRPr="002D5D91">
              <w:rPr>
                <w:b/>
                <w:sz w:val="22"/>
                <w:szCs w:val="22"/>
              </w:rPr>
              <w:t>Peru, Senegal, worldwide</w:t>
            </w:r>
          </w:p>
        </w:tc>
      </w:tr>
      <w:tr w:rsidR="008304FD" w:rsidRPr="002D5D91" w14:paraId="6FD7F648" w14:textId="77777777" w:rsidTr="008304FD">
        <w:trPr>
          <w:trHeight w:val="622"/>
        </w:trPr>
        <w:tc>
          <w:tcPr>
            <w:tcW w:w="1455" w:type="pct"/>
            <w:shd w:val="clear" w:color="auto" w:fill="D9D9D9" w:themeFill="background1" w:themeFillShade="D9"/>
            <w:vAlign w:val="center"/>
          </w:tcPr>
          <w:p w14:paraId="2681A493" w14:textId="77777777" w:rsidR="005B294D" w:rsidRPr="002D5D91" w:rsidRDefault="005B294D" w:rsidP="005B294D">
            <w:pPr>
              <w:rPr>
                <w:b/>
                <w:sz w:val="22"/>
                <w:szCs w:val="22"/>
              </w:rPr>
            </w:pPr>
            <w:r w:rsidRPr="002D5D91">
              <w:rPr>
                <w:b/>
                <w:sz w:val="22"/>
                <w:szCs w:val="22"/>
              </w:rPr>
              <w:t>MC Approval Date:</w:t>
            </w:r>
          </w:p>
        </w:tc>
        <w:tc>
          <w:tcPr>
            <w:tcW w:w="3545" w:type="pct"/>
            <w:gridSpan w:val="5"/>
            <w:vAlign w:val="center"/>
          </w:tcPr>
          <w:p w14:paraId="569366B4" w14:textId="53695A35" w:rsidR="005B294D" w:rsidRPr="002D5D91" w:rsidRDefault="002D5D91" w:rsidP="005B294D">
            <w:pPr>
              <w:jc w:val="both"/>
              <w:rPr>
                <w:b/>
                <w:sz w:val="22"/>
                <w:szCs w:val="22"/>
              </w:rPr>
            </w:pPr>
            <w:r w:rsidRPr="002D5D91">
              <w:rPr>
                <w:b/>
                <w:sz w:val="22"/>
                <w:szCs w:val="22"/>
              </w:rPr>
              <w:t>07 February 2014</w:t>
            </w:r>
          </w:p>
        </w:tc>
      </w:tr>
      <w:tr w:rsidR="008304FD" w:rsidRPr="002D5D91" w14:paraId="33C2A29A" w14:textId="77777777" w:rsidTr="008304FD">
        <w:trPr>
          <w:trHeight w:val="642"/>
        </w:trPr>
        <w:tc>
          <w:tcPr>
            <w:tcW w:w="1455" w:type="pct"/>
            <w:shd w:val="clear" w:color="auto" w:fill="D9D9D9" w:themeFill="background1" w:themeFillShade="D9"/>
            <w:vAlign w:val="center"/>
          </w:tcPr>
          <w:p w14:paraId="4B1021C4" w14:textId="77777777" w:rsidR="005B294D" w:rsidRPr="002D5D91" w:rsidRDefault="005B294D" w:rsidP="005B294D">
            <w:pPr>
              <w:rPr>
                <w:b/>
                <w:sz w:val="22"/>
                <w:szCs w:val="22"/>
              </w:rPr>
            </w:pPr>
            <w:r w:rsidRPr="002D5D91">
              <w:rPr>
                <w:b/>
                <w:sz w:val="22"/>
                <w:szCs w:val="22"/>
              </w:rPr>
              <w:t>Programme Duration:</w:t>
            </w:r>
          </w:p>
        </w:tc>
        <w:tc>
          <w:tcPr>
            <w:tcW w:w="3545" w:type="pct"/>
            <w:gridSpan w:val="5"/>
            <w:vAlign w:val="center"/>
          </w:tcPr>
          <w:p w14:paraId="44EC2E8D" w14:textId="77777777" w:rsidR="005B294D" w:rsidRPr="002D5D91" w:rsidRDefault="005B294D" w:rsidP="005B294D">
            <w:pPr>
              <w:rPr>
                <w:b/>
                <w:sz w:val="22"/>
                <w:szCs w:val="22"/>
              </w:rPr>
            </w:pPr>
            <w:r w:rsidRPr="002D5D91">
              <w:rPr>
                <w:b/>
                <w:sz w:val="22"/>
                <w:szCs w:val="22"/>
              </w:rPr>
              <w:t>12 months</w:t>
            </w:r>
          </w:p>
        </w:tc>
      </w:tr>
      <w:tr w:rsidR="008304FD" w:rsidRPr="002D5D91" w14:paraId="4AA4DEE3" w14:textId="77777777" w:rsidTr="002D5D91">
        <w:trPr>
          <w:trHeight w:val="642"/>
        </w:trPr>
        <w:tc>
          <w:tcPr>
            <w:tcW w:w="1455" w:type="pct"/>
            <w:shd w:val="clear" w:color="auto" w:fill="D9D9D9" w:themeFill="background1" w:themeFillShade="D9"/>
            <w:vAlign w:val="center"/>
          </w:tcPr>
          <w:p w14:paraId="4CE4BD72" w14:textId="77777777" w:rsidR="008304FD" w:rsidRPr="00951B3E" w:rsidRDefault="008304FD" w:rsidP="008304FD">
            <w:pPr>
              <w:rPr>
                <w:b/>
                <w:sz w:val="22"/>
                <w:szCs w:val="22"/>
              </w:rPr>
            </w:pPr>
            <w:r w:rsidRPr="00951B3E">
              <w:rPr>
                <w:b/>
                <w:sz w:val="22"/>
                <w:szCs w:val="22"/>
              </w:rPr>
              <w:t>Fund Committed:</w:t>
            </w:r>
          </w:p>
        </w:tc>
        <w:tc>
          <w:tcPr>
            <w:tcW w:w="1917" w:type="pct"/>
            <w:gridSpan w:val="3"/>
            <w:vAlign w:val="center"/>
          </w:tcPr>
          <w:p w14:paraId="7E448D89" w14:textId="17343994" w:rsidR="008304FD" w:rsidRPr="00951B3E" w:rsidRDefault="008304FD" w:rsidP="002D5D91">
            <w:pPr>
              <w:rPr>
                <w:b/>
                <w:sz w:val="22"/>
                <w:szCs w:val="22"/>
              </w:rPr>
            </w:pPr>
            <w:r w:rsidRPr="00951B3E">
              <w:rPr>
                <w:b/>
                <w:sz w:val="22"/>
                <w:szCs w:val="22"/>
              </w:rPr>
              <w:t>US</w:t>
            </w:r>
            <w:r w:rsidRPr="00951B3E">
              <w:rPr>
                <w:b/>
                <w:color w:val="000000"/>
                <w:sz w:val="22"/>
                <w:szCs w:val="22"/>
              </w:rPr>
              <w:t>$</w:t>
            </w:r>
            <w:r w:rsidR="002D6D3E" w:rsidRPr="00951B3E">
              <w:rPr>
                <w:b/>
                <w:color w:val="000000"/>
                <w:sz w:val="22"/>
                <w:szCs w:val="22"/>
              </w:rPr>
              <w:t xml:space="preserve"> </w:t>
            </w:r>
            <w:r w:rsidR="00FB25F4">
              <w:rPr>
                <w:b/>
                <w:color w:val="000000"/>
                <w:sz w:val="22"/>
                <w:szCs w:val="22"/>
              </w:rPr>
              <w:t>30</w:t>
            </w:r>
            <w:r w:rsidR="00EB5878">
              <w:rPr>
                <w:b/>
                <w:color w:val="000000"/>
                <w:sz w:val="22"/>
                <w:szCs w:val="22"/>
              </w:rPr>
              <w:t>,000</w:t>
            </w:r>
          </w:p>
        </w:tc>
        <w:tc>
          <w:tcPr>
            <w:tcW w:w="662" w:type="pct"/>
            <w:shd w:val="clear" w:color="auto" w:fill="D9D9D9" w:themeFill="background1" w:themeFillShade="D9"/>
            <w:vAlign w:val="center"/>
          </w:tcPr>
          <w:p w14:paraId="26F6B9C8" w14:textId="77777777" w:rsidR="008304FD" w:rsidRPr="00951B3E" w:rsidRDefault="008304FD" w:rsidP="008304FD">
            <w:pPr>
              <w:rPr>
                <w:b/>
                <w:sz w:val="22"/>
                <w:szCs w:val="22"/>
              </w:rPr>
            </w:pPr>
            <w:r w:rsidRPr="00951B3E">
              <w:rPr>
                <w:b/>
                <w:sz w:val="22"/>
                <w:szCs w:val="22"/>
              </w:rPr>
              <w:t>Percentage of</w:t>
            </w:r>
          </w:p>
          <w:p w14:paraId="6241EE9E" w14:textId="77777777" w:rsidR="008304FD" w:rsidRPr="00951B3E" w:rsidRDefault="008304FD" w:rsidP="008304FD">
            <w:pPr>
              <w:rPr>
                <w:b/>
                <w:sz w:val="22"/>
                <w:szCs w:val="22"/>
              </w:rPr>
            </w:pPr>
            <w:r w:rsidRPr="00951B3E">
              <w:rPr>
                <w:b/>
                <w:sz w:val="22"/>
                <w:szCs w:val="22"/>
              </w:rPr>
              <w:t>Approved</w:t>
            </w:r>
          </w:p>
        </w:tc>
        <w:tc>
          <w:tcPr>
            <w:tcW w:w="966" w:type="pct"/>
            <w:vAlign w:val="center"/>
          </w:tcPr>
          <w:p w14:paraId="166C0FBF" w14:textId="523D9BA4" w:rsidR="008304FD" w:rsidRPr="00951B3E" w:rsidRDefault="00FB25F4" w:rsidP="005B294D">
            <w:pPr>
              <w:rPr>
                <w:b/>
                <w:sz w:val="22"/>
                <w:szCs w:val="22"/>
              </w:rPr>
            </w:pPr>
            <w:r>
              <w:rPr>
                <w:b/>
                <w:sz w:val="22"/>
                <w:szCs w:val="22"/>
              </w:rPr>
              <w:t>5%</w:t>
            </w:r>
          </w:p>
        </w:tc>
      </w:tr>
      <w:tr w:rsidR="008304FD" w:rsidRPr="002D5D91" w14:paraId="53919E6A" w14:textId="77777777" w:rsidTr="002D5D91">
        <w:trPr>
          <w:trHeight w:val="642"/>
        </w:trPr>
        <w:tc>
          <w:tcPr>
            <w:tcW w:w="1455" w:type="pct"/>
            <w:shd w:val="clear" w:color="auto" w:fill="D9D9D9" w:themeFill="background1" w:themeFillShade="D9"/>
            <w:vAlign w:val="center"/>
          </w:tcPr>
          <w:p w14:paraId="320795C3" w14:textId="77777777" w:rsidR="008304FD" w:rsidRPr="00951B3E" w:rsidRDefault="008304FD" w:rsidP="005B294D">
            <w:pPr>
              <w:rPr>
                <w:b/>
                <w:sz w:val="22"/>
                <w:szCs w:val="22"/>
              </w:rPr>
            </w:pPr>
            <w:r w:rsidRPr="00951B3E">
              <w:rPr>
                <w:b/>
                <w:sz w:val="22"/>
                <w:szCs w:val="22"/>
              </w:rPr>
              <w:t>Fund Disbursed:</w:t>
            </w:r>
          </w:p>
        </w:tc>
        <w:tc>
          <w:tcPr>
            <w:tcW w:w="1917" w:type="pct"/>
            <w:gridSpan w:val="3"/>
            <w:vAlign w:val="center"/>
          </w:tcPr>
          <w:p w14:paraId="680937DF" w14:textId="75292886" w:rsidR="008304FD" w:rsidRPr="00951B3E" w:rsidRDefault="008304FD" w:rsidP="00AF036E">
            <w:pPr>
              <w:rPr>
                <w:b/>
                <w:sz w:val="22"/>
                <w:szCs w:val="22"/>
              </w:rPr>
            </w:pPr>
            <w:r w:rsidRPr="00951B3E">
              <w:rPr>
                <w:b/>
                <w:sz w:val="22"/>
                <w:szCs w:val="22"/>
              </w:rPr>
              <w:t>US</w:t>
            </w:r>
            <w:r w:rsidR="002D6D3E" w:rsidRPr="00951B3E">
              <w:rPr>
                <w:b/>
                <w:color w:val="000000"/>
                <w:sz w:val="22"/>
                <w:szCs w:val="22"/>
              </w:rPr>
              <w:t xml:space="preserve">$ </w:t>
            </w:r>
            <w:r w:rsidR="00FB25F4">
              <w:rPr>
                <w:b/>
                <w:color w:val="000000"/>
                <w:sz w:val="22"/>
                <w:szCs w:val="22"/>
              </w:rPr>
              <w:t>570</w:t>
            </w:r>
            <w:r w:rsidR="00EB5878">
              <w:rPr>
                <w:b/>
                <w:color w:val="000000"/>
                <w:sz w:val="22"/>
                <w:szCs w:val="22"/>
              </w:rPr>
              <w:t>,000</w:t>
            </w:r>
          </w:p>
        </w:tc>
        <w:tc>
          <w:tcPr>
            <w:tcW w:w="662" w:type="pct"/>
            <w:shd w:val="clear" w:color="auto" w:fill="D9D9D9" w:themeFill="background1" w:themeFillShade="D9"/>
            <w:vAlign w:val="center"/>
          </w:tcPr>
          <w:p w14:paraId="44B164A4" w14:textId="77777777" w:rsidR="008304FD" w:rsidRPr="00951B3E" w:rsidRDefault="008304FD" w:rsidP="008304FD">
            <w:pPr>
              <w:rPr>
                <w:b/>
                <w:sz w:val="22"/>
                <w:szCs w:val="22"/>
              </w:rPr>
            </w:pPr>
            <w:r w:rsidRPr="00951B3E">
              <w:rPr>
                <w:b/>
                <w:sz w:val="22"/>
                <w:szCs w:val="22"/>
              </w:rPr>
              <w:t>Percentage of</w:t>
            </w:r>
          </w:p>
          <w:p w14:paraId="646EC05E" w14:textId="77777777" w:rsidR="008304FD" w:rsidRPr="00951B3E" w:rsidRDefault="008304FD" w:rsidP="008304FD">
            <w:pPr>
              <w:rPr>
                <w:b/>
                <w:sz w:val="22"/>
                <w:szCs w:val="22"/>
              </w:rPr>
            </w:pPr>
            <w:r w:rsidRPr="00951B3E">
              <w:rPr>
                <w:b/>
                <w:sz w:val="22"/>
                <w:szCs w:val="22"/>
              </w:rPr>
              <w:t>Approved</w:t>
            </w:r>
          </w:p>
        </w:tc>
        <w:tc>
          <w:tcPr>
            <w:tcW w:w="966" w:type="pct"/>
            <w:vAlign w:val="center"/>
          </w:tcPr>
          <w:p w14:paraId="07D6B95B" w14:textId="24259E7B" w:rsidR="008304FD" w:rsidRPr="00951B3E" w:rsidRDefault="00FB25F4" w:rsidP="008304FD">
            <w:pPr>
              <w:rPr>
                <w:b/>
                <w:sz w:val="22"/>
                <w:szCs w:val="22"/>
              </w:rPr>
            </w:pPr>
            <w:r>
              <w:rPr>
                <w:b/>
                <w:sz w:val="22"/>
                <w:szCs w:val="22"/>
              </w:rPr>
              <w:t>95%</w:t>
            </w:r>
          </w:p>
        </w:tc>
      </w:tr>
      <w:tr w:rsidR="001824F7" w:rsidRPr="002D5D91" w14:paraId="564C7D29" w14:textId="77777777" w:rsidTr="002D5D91">
        <w:trPr>
          <w:trHeight w:val="642"/>
        </w:trPr>
        <w:tc>
          <w:tcPr>
            <w:tcW w:w="1455" w:type="pct"/>
            <w:shd w:val="clear" w:color="auto" w:fill="D9D9D9" w:themeFill="background1" w:themeFillShade="D9"/>
            <w:vAlign w:val="center"/>
          </w:tcPr>
          <w:p w14:paraId="024060F2" w14:textId="77777777" w:rsidR="001824F7" w:rsidRPr="004478C4" w:rsidRDefault="001824F7" w:rsidP="001824F7">
            <w:pPr>
              <w:rPr>
                <w:b/>
                <w:sz w:val="22"/>
                <w:szCs w:val="22"/>
              </w:rPr>
            </w:pPr>
            <w:r w:rsidRPr="004478C4">
              <w:rPr>
                <w:b/>
                <w:sz w:val="22"/>
                <w:szCs w:val="22"/>
              </w:rPr>
              <w:t>Total Expenses for Period</w:t>
            </w:r>
          </w:p>
          <w:p w14:paraId="35E560F2" w14:textId="5C2B8D5B" w:rsidR="001824F7" w:rsidRPr="004478C4" w:rsidRDefault="00BA37DD" w:rsidP="005B294D">
            <w:pPr>
              <w:rPr>
                <w:b/>
                <w:sz w:val="22"/>
                <w:szCs w:val="22"/>
              </w:rPr>
            </w:pPr>
            <w:r>
              <w:rPr>
                <w:b/>
                <w:sz w:val="22"/>
                <w:szCs w:val="22"/>
              </w:rPr>
              <w:t>07-02-2014 to 28-02</w:t>
            </w:r>
            <w:r w:rsidR="001824F7" w:rsidRPr="004478C4">
              <w:rPr>
                <w:b/>
                <w:sz w:val="22"/>
                <w:szCs w:val="22"/>
              </w:rPr>
              <w:t>-201</w:t>
            </w:r>
            <w:r>
              <w:rPr>
                <w:b/>
                <w:sz w:val="22"/>
                <w:szCs w:val="22"/>
              </w:rPr>
              <w:t>5</w:t>
            </w:r>
          </w:p>
        </w:tc>
        <w:tc>
          <w:tcPr>
            <w:tcW w:w="1917" w:type="pct"/>
            <w:gridSpan w:val="3"/>
            <w:vAlign w:val="center"/>
          </w:tcPr>
          <w:p w14:paraId="3BC4E7E0" w14:textId="2F581920" w:rsidR="001824F7" w:rsidRPr="004478C4" w:rsidRDefault="001824F7" w:rsidP="00FB25F4">
            <w:pPr>
              <w:rPr>
                <w:b/>
                <w:sz w:val="22"/>
                <w:szCs w:val="22"/>
              </w:rPr>
            </w:pPr>
            <w:r w:rsidRPr="004478C4">
              <w:rPr>
                <w:b/>
                <w:sz w:val="22"/>
                <w:szCs w:val="22"/>
              </w:rPr>
              <w:t xml:space="preserve">US$ </w:t>
            </w:r>
            <w:r w:rsidR="00BA37DD">
              <w:rPr>
                <w:b/>
                <w:sz w:val="22"/>
                <w:szCs w:val="22"/>
              </w:rPr>
              <w:t>590.261</w:t>
            </w:r>
            <w:r w:rsidR="00FB25F4" w:rsidRPr="004478C4">
              <w:rPr>
                <w:b/>
                <w:sz w:val="22"/>
                <w:szCs w:val="22"/>
              </w:rPr>
              <w:t>,67</w:t>
            </w:r>
          </w:p>
        </w:tc>
        <w:tc>
          <w:tcPr>
            <w:tcW w:w="662" w:type="pct"/>
            <w:shd w:val="clear" w:color="auto" w:fill="D9D9D9" w:themeFill="background1" w:themeFillShade="D9"/>
            <w:vAlign w:val="center"/>
          </w:tcPr>
          <w:p w14:paraId="0C004C8D" w14:textId="363BCE51" w:rsidR="001824F7" w:rsidRPr="004478C4" w:rsidRDefault="001824F7" w:rsidP="008304FD">
            <w:pPr>
              <w:rPr>
                <w:b/>
                <w:sz w:val="22"/>
                <w:szCs w:val="22"/>
              </w:rPr>
            </w:pPr>
            <w:r w:rsidRPr="004478C4">
              <w:rPr>
                <w:b/>
                <w:sz w:val="22"/>
                <w:szCs w:val="22"/>
              </w:rPr>
              <w:t>Percentage for Found Reception</w:t>
            </w:r>
          </w:p>
        </w:tc>
        <w:tc>
          <w:tcPr>
            <w:tcW w:w="966" w:type="pct"/>
            <w:vAlign w:val="center"/>
          </w:tcPr>
          <w:p w14:paraId="02857E57" w14:textId="15626CB7" w:rsidR="001824F7" w:rsidRPr="004478C4" w:rsidRDefault="00BA37DD" w:rsidP="008304FD">
            <w:pPr>
              <w:rPr>
                <w:b/>
                <w:sz w:val="22"/>
                <w:szCs w:val="22"/>
              </w:rPr>
            </w:pPr>
            <w:r>
              <w:rPr>
                <w:b/>
                <w:sz w:val="22"/>
                <w:szCs w:val="22"/>
              </w:rPr>
              <w:t>103,55%</w:t>
            </w:r>
          </w:p>
        </w:tc>
      </w:tr>
      <w:tr w:rsidR="008304FD" w:rsidRPr="002D5D91" w14:paraId="37E3DF03" w14:textId="77777777" w:rsidTr="002D5D91">
        <w:trPr>
          <w:trHeight w:val="642"/>
        </w:trPr>
        <w:tc>
          <w:tcPr>
            <w:tcW w:w="1455" w:type="pct"/>
            <w:shd w:val="clear" w:color="auto" w:fill="D9D9D9" w:themeFill="background1" w:themeFillShade="D9"/>
            <w:vAlign w:val="center"/>
          </w:tcPr>
          <w:p w14:paraId="147737DB" w14:textId="77777777" w:rsidR="008304FD" w:rsidRPr="002D5D91" w:rsidRDefault="008304FD" w:rsidP="005B294D">
            <w:pPr>
              <w:rPr>
                <w:b/>
                <w:sz w:val="22"/>
                <w:szCs w:val="22"/>
              </w:rPr>
            </w:pPr>
            <w:r w:rsidRPr="002D5D91">
              <w:rPr>
                <w:b/>
                <w:sz w:val="22"/>
                <w:szCs w:val="22"/>
              </w:rPr>
              <w:t>Expected Programme Duration:</w:t>
            </w:r>
          </w:p>
        </w:tc>
        <w:tc>
          <w:tcPr>
            <w:tcW w:w="728" w:type="pct"/>
            <w:vAlign w:val="center"/>
          </w:tcPr>
          <w:p w14:paraId="3CA67CE3" w14:textId="0F2AAEFF" w:rsidR="008304FD" w:rsidRPr="002D5D91" w:rsidRDefault="002D5D91" w:rsidP="005B294D">
            <w:pPr>
              <w:rPr>
                <w:b/>
                <w:sz w:val="22"/>
                <w:szCs w:val="22"/>
              </w:rPr>
            </w:pPr>
            <w:r w:rsidRPr="002D5D91">
              <w:rPr>
                <w:b/>
                <w:sz w:val="22"/>
                <w:szCs w:val="22"/>
              </w:rPr>
              <w:t>09 February 2015</w:t>
            </w:r>
          </w:p>
        </w:tc>
        <w:tc>
          <w:tcPr>
            <w:tcW w:w="530" w:type="pct"/>
            <w:shd w:val="clear" w:color="auto" w:fill="D9D9D9" w:themeFill="background1" w:themeFillShade="D9"/>
            <w:vAlign w:val="center"/>
          </w:tcPr>
          <w:p w14:paraId="5A11F05F" w14:textId="77777777" w:rsidR="008304FD" w:rsidRPr="002D5D91" w:rsidRDefault="008304FD" w:rsidP="008304FD">
            <w:pPr>
              <w:jc w:val="center"/>
              <w:rPr>
                <w:b/>
                <w:sz w:val="22"/>
                <w:szCs w:val="22"/>
              </w:rPr>
            </w:pPr>
            <w:r w:rsidRPr="002D5D91">
              <w:rPr>
                <w:b/>
                <w:sz w:val="22"/>
                <w:szCs w:val="22"/>
              </w:rPr>
              <w:t>Forecast Final Date</w:t>
            </w:r>
          </w:p>
        </w:tc>
        <w:tc>
          <w:tcPr>
            <w:tcW w:w="659" w:type="pct"/>
            <w:vAlign w:val="center"/>
          </w:tcPr>
          <w:p w14:paraId="7D3F5987" w14:textId="7E50DF90" w:rsidR="008304FD" w:rsidRPr="002D5D91" w:rsidRDefault="00BA37DD" w:rsidP="005B3A77">
            <w:pPr>
              <w:rPr>
                <w:b/>
                <w:sz w:val="22"/>
                <w:szCs w:val="22"/>
              </w:rPr>
            </w:pPr>
            <w:r>
              <w:rPr>
                <w:b/>
                <w:sz w:val="22"/>
                <w:szCs w:val="22"/>
              </w:rPr>
              <w:t>30 April 2015</w:t>
            </w:r>
          </w:p>
        </w:tc>
        <w:tc>
          <w:tcPr>
            <w:tcW w:w="662" w:type="pct"/>
            <w:shd w:val="clear" w:color="auto" w:fill="D9D9D9" w:themeFill="background1" w:themeFillShade="D9"/>
            <w:vAlign w:val="center"/>
          </w:tcPr>
          <w:p w14:paraId="025A9B44" w14:textId="77777777" w:rsidR="008304FD" w:rsidRPr="002D5D91" w:rsidRDefault="008304FD" w:rsidP="008304FD">
            <w:pPr>
              <w:rPr>
                <w:b/>
                <w:sz w:val="22"/>
                <w:szCs w:val="22"/>
              </w:rPr>
            </w:pPr>
            <w:r w:rsidRPr="002D5D91">
              <w:rPr>
                <w:b/>
                <w:sz w:val="22"/>
                <w:szCs w:val="22"/>
              </w:rPr>
              <w:t>Delay (Months)</w:t>
            </w:r>
          </w:p>
        </w:tc>
        <w:tc>
          <w:tcPr>
            <w:tcW w:w="966" w:type="pct"/>
            <w:vAlign w:val="center"/>
          </w:tcPr>
          <w:p w14:paraId="69031FB2" w14:textId="0DDAD1ED" w:rsidR="008304FD" w:rsidRPr="002D5D91" w:rsidRDefault="00BA37DD" w:rsidP="008304FD">
            <w:pPr>
              <w:rPr>
                <w:b/>
                <w:sz w:val="22"/>
                <w:szCs w:val="22"/>
              </w:rPr>
            </w:pPr>
            <w:r>
              <w:rPr>
                <w:b/>
                <w:sz w:val="22"/>
                <w:szCs w:val="22"/>
              </w:rPr>
              <w:t>2 months</w:t>
            </w:r>
          </w:p>
        </w:tc>
      </w:tr>
    </w:tbl>
    <w:p w14:paraId="64142F13" w14:textId="77777777" w:rsidR="00EC7C3D" w:rsidRDefault="00EC7C3D" w:rsidP="001824F7">
      <w:pPr>
        <w:autoSpaceDE w:val="0"/>
        <w:autoSpaceDN w:val="0"/>
        <w:adjustRightInd w:val="0"/>
        <w:spacing w:after="240"/>
        <w:rPr>
          <w:rFonts w:ascii="Times" w:eastAsiaTheme="minorEastAsia" w:hAnsi="Times" w:cs="Times"/>
          <w:b/>
          <w:bCs/>
          <w:snapToGrid/>
          <w:sz w:val="36"/>
          <w:szCs w:val="36"/>
          <w:lang w:val="it-IT" w:eastAsia="it-IT"/>
        </w:rPr>
      </w:pPr>
    </w:p>
    <w:tbl>
      <w:tblPr>
        <w:tblStyle w:val="Grigliatabella"/>
        <w:tblW w:w="9923" w:type="dxa"/>
        <w:tblInd w:w="108" w:type="dxa"/>
        <w:tblLook w:val="04A0" w:firstRow="1" w:lastRow="0" w:firstColumn="1" w:lastColumn="0" w:noHBand="0" w:noVBand="1"/>
      </w:tblPr>
      <w:tblGrid>
        <w:gridCol w:w="3544"/>
        <w:gridCol w:w="4253"/>
        <w:gridCol w:w="2126"/>
      </w:tblGrid>
      <w:tr w:rsidR="00EC7C3D" w:rsidRPr="00EC7C3D" w14:paraId="7FB80E51" w14:textId="77777777" w:rsidTr="007C052B">
        <w:tc>
          <w:tcPr>
            <w:tcW w:w="3544" w:type="dxa"/>
            <w:shd w:val="clear" w:color="auto" w:fill="D9D9D9" w:themeFill="background1" w:themeFillShade="D9"/>
          </w:tcPr>
          <w:p w14:paraId="755ED9BF" w14:textId="77777777" w:rsidR="00EC7C3D" w:rsidRPr="00EC7C3D" w:rsidRDefault="00EC7C3D" w:rsidP="00EC7C3D">
            <w:pPr>
              <w:autoSpaceDE w:val="0"/>
              <w:autoSpaceDN w:val="0"/>
              <w:adjustRightInd w:val="0"/>
              <w:spacing w:after="240"/>
              <w:jc w:val="center"/>
              <w:rPr>
                <w:rFonts w:ascii="Times" w:eastAsiaTheme="minorEastAsia" w:hAnsi="Times" w:cs="Times"/>
                <w:b/>
                <w:bCs/>
                <w:snapToGrid/>
                <w:sz w:val="22"/>
                <w:szCs w:val="22"/>
                <w:lang w:eastAsia="it-IT"/>
              </w:rPr>
            </w:pPr>
            <w:r w:rsidRPr="00EC7C3D">
              <w:rPr>
                <w:rFonts w:ascii="Times" w:eastAsiaTheme="minorEastAsia" w:hAnsi="Times" w:cs="Times"/>
                <w:b/>
                <w:bCs/>
                <w:snapToGrid/>
                <w:sz w:val="22"/>
                <w:szCs w:val="22"/>
                <w:lang w:eastAsia="it-IT"/>
              </w:rPr>
              <w:lastRenderedPageBreak/>
              <w:t>Outcomes</w:t>
            </w:r>
          </w:p>
        </w:tc>
        <w:tc>
          <w:tcPr>
            <w:tcW w:w="4253" w:type="dxa"/>
            <w:shd w:val="clear" w:color="auto" w:fill="D9D9D9" w:themeFill="background1" w:themeFillShade="D9"/>
          </w:tcPr>
          <w:p w14:paraId="52D4592A" w14:textId="77777777" w:rsidR="00EC7C3D" w:rsidRPr="00EC7C3D" w:rsidRDefault="00EC7C3D" w:rsidP="00EC7C3D">
            <w:pPr>
              <w:autoSpaceDE w:val="0"/>
              <w:autoSpaceDN w:val="0"/>
              <w:adjustRightInd w:val="0"/>
              <w:spacing w:after="240"/>
              <w:jc w:val="center"/>
              <w:rPr>
                <w:rFonts w:ascii="Times" w:eastAsiaTheme="minorEastAsia" w:hAnsi="Times" w:cs="Times"/>
                <w:b/>
                <w:bCs/>
                <w:snapToGrid/>
                <w:sz w:val="22"/>
                <w:szCs w:val="22"/>
                <w:lang w:eastAsia="it-IT"/>
              </w:rPr>
            </w:pPr>
            <w:r w:rsidRPr="00EC7C3D">
              <w:rPr>
                <w:rFonts w:ascii="Times" w:eastAsiaTheme="minorEastAsia" w:hAnsi="Times" w:cs="Times"/>
                <w:b/>
                <w:bCs/>
                <w:snapToGrid/>
                <w:sz w:val="22"/>
                <w:szCs w:val="22"/>
                <w:lang w:eastAsia="it-IT"/>
              </w:rPr>
              <w:t>Achievements/ Results</w:t>
            </w:r>
          </w:p>
        </w:tc>
        <w:tc>
          <w:tcPr>
            <w:tcW w:w="2126" w:type="dxa"/>
            <w:shd w:val="clear" w:color="auto" w:fill="D9D9D9" w:themeFill="background1" w:themeFillShade="D9"/>
          </w:tcPr>
          <w:p w14:paraId="376D85F0" w14:textId="77777777" w:rsidR="00EC7C3D" w:rsidRPr="00EC7C3D" w:rsidRDefault="00EC7C3D" w:rsidP="00EC7C3D">
            <w:pPr>
              <w:autoSpaceDE w:val="0"/>
              <w:autoSpaceDN w:val="0"/>
              <w:adjustRightInd w:val="0"/>
              <w:spacing w:after="240"/>
              <w:jc w:val="center"/>
              <w:rPr>
                <w:rFonts w:ascii="Times" w:eastAsiaTheme="minorEastAsia" w:hAnsi="Times" w:cs="Times"/>
                <w:b/>
                <w:bCs/>
                <w:snapToGrid/>
                <w:sz w:val="22"/>
                <w:szCs w:val="22"/>
                <w:lang w:eastAsia="it-IT"/>
              </w:rPr>
            </w:pPr>
            <w:r>
              <w:rPr>
                <w:rFonts w:ascii="Times" w:eastAsiaTheme="minorEastAsia" w:hAnsi="Times" w:cs="Times"/>
                <w:b/>
                <w:bCs/>
                <w:snapToGrid/>
                <w:sz w:val="22"/>
                <w:szCs w:val="22"/>
                <w:lang w:eastAsia="it-IT"/>
              </w:rPr>
              <w:t>Percentage of planned</w:t>
            </w:r>
          </w:p>
        </w:tc>
      </w:tr>
      <w:tr w:rsidR="0069620F" w:rsidRPr="00EC7C3D" w14:paraId="2FBE9FA7" w14:textId="77777777" w:rsidTr="00760436">
        <w:tc>
          <w:tcPr>
            <w:tcW w:w="3544" w:type="dxa"/>
            <w:shd w:val="clear" w:color="auto" w:fill="auto"/>
          </w:tcPr>
          <w:p w14:paraId="228D9441" w14:textId="68FA41C6" w:rsidR="0069620F" w:rsidRDefault="00BA37DD" w:rsidP="00BA37DD">
            <w:pPr>
              <w:autoSpaceDE w:val="0"/>
              <w:autoSpaceDN w:val="0"/>
              <w:adjustRightInd w:val="0"/>
              <w:spacing w:after="240"/>
              <w:rPr>
                <w:rFonts w:eastAsiaTheme="minorEastAsia"/>
                <w:bCs/>
                <w:snapToGrid/>
                <w:sz w:val="22"/>
                <w:szCs w:val="22"/>
                <w:lang w:eastAsia="it-IT"/>
              </w:rPr>
            </w:pPr>
            <w:r>
              <w:rPr>
                <w:rFonts w:eastAsiaTheme="minorEastAsia"/>
                <w:bCs/>
                <w:snapToGrid/>
                <w:sz w:val="22"/>
                <w:szCs w:val="22"/>
                <w:lang w:eastAsia="it-IT"/>
              </w:rPr>
              <w:t>1</w:t>
            </w:r>
            <w:r w:rsidR="0069620F">
              <w:rPr>
                <w:rFonts w:eastAsiaTheme="minorEastAsia"/>
                <w:bCs/>
                <w:snapToGrid/>
                <w:sz w:val="22"/>
                <w:szCs w:val="22"/>
                <w:lang w:eastAsia="it-IT"/>
              </w:rPr>
              <w:t>. Based on the final version of the Country Action Plans resulting from the LR in Peru, a set of leaflets (1 per Plan, 7 in all) is produced and disseminated.</w:t>
            </w:r>
          </w:p>
        </w:tc>
        <w:tc>
          <w:tcPr>
            <w:tcW w:w="4253" w:type="dxa"/>
            <w:shd w:val="clear" w:color="auto" w:fill="auto"/>
          </w:tcPr>
          <w:p w14:paraId="2C7D3757" w14:textId="0E6CCD19" w:rsidR="0069620F" w:rsidRPr="006573CD" w:rsidRDefault="0069620F" w:rsidP="00BA37DD">
            <w:pPr>
              <w:autoSpaceDE w:val="0"/>
              <w:autoSpaceDN w:val="0"/>
              <w:adjustRightInd w:val="0"/>
              <w:spacing w:after="240"/>
              <w:rPr>
                <w:rFonts w:eastAsiaTheme="minorEastAsia"/>
                <w:bCs/>
                <w:snapToGrid/>
                <w:sz w:val="22"/>
                <w:szCs w:val="22"/>
                <w:lang w:val="it-IT" w:eastAsia="it-IT"/>
              </w:rPr>
            </w:pPr>
            <w:r>
              <w:rPr>
                <w:rFonts w:eastAsiaTheme="minorEastAsia"/>
                <w:bCs/>
                <w:snapToGrid/>
                <w:sz w:val="22"/>
                <w:szCs w:val="22"/>
                <w:lang w:eastAsia="it-IT"/>
              </w:rPr>
              <w:t>The leaflets have been finalized</w:t>
            </w:r>
            <w:r w:rsidR="00BA37DD">
              <w:rPr>
                <w:rFonts w:eastAsiaTheme="minorEastAsia"/>
                <w:bCs/>
                <w:snapToGrid/>
                <w:sz w:val="22"/>
                <w:szCs w:val="22"/>
                <w:lang w:eastAsia="it-IT"/>
              </w:rPr>
              <w:t xml:space="preserve">; however, 3 on 7 need to be validated by country teams before being published.  </w:t>
            </w:r>
          </w:p>
        </w:tc>
        <w:tc>
          <w:tcPr>
            <w:tcW w:w="2126" w:type="dxa"/>
            <w:shd w:val="clear" w:color="auto" w:fill="auto"/>
          </w:tcPr>
          <w:p w14:paraId="5AC0C125" w14:textId="565612D9" w:rsidR="0069620F" w:rsidRDefault="0069620F" w:rsidP="00EC7C3D">
            <w:pPr>
              <w:autoSpaceDE w:val="0"/>
              <w:autoSpaceDN w:val="0"/>
              <w:adjustRightInd w:val="0"/>
              <w:spacing w:after="240"/>
              <w:jc w:val="center"/>
              <w:rPr>
                <w:rFonts w:eastAsiaTheme="minorEastAsia"/>
                <w:bCs/>
                <w:snapToGrid/>
                <w:sz w:val="22"/>
                <w:szCs w:val="22"/>
                <w:lang w:eastAsia="it-IT"/>
              </w:rPr>
            </w:pPr>
            <w:r>
              <w:rPr>
                <w:rFonts w:eastAsiaTheme="minorEastAsia"/>
                <w:bCs/>
                <w:snapToGrid/>
                <w:sz w:val="22"/>
                <w:szCs w:val="22"/>
                <w:lang w:eastAsia="it-IT"/>
              </w:rPr>
              <w:t>70%</w:t>
            </w:r>
          </w:p>
        </w:tc>
      </w:tr>
      <w:tr w:rsidR="005D720B" w:rsidRPr="00EC7C3D" w14:paraId="598D4AF0" w14:textId="77777777" w:rsidTr="00760436">
        <w:tc>
          <w:tcPr>
            <w:tcW w:w="3544" w:type="dxa"/>
            <w:shd w:val="clear" w:color="auto" w:fill="auto"/>
          </w:tcPr>
          <w:p w14:paraId="6B2DACFB" w14:textId="175AC2E2" w:rsidR="005D720B" w:rsidRDefault="005B79E3" w:rsidP="00BA37DD">
            <w:pPr>
              <w:autoSpaceDE w:val="0"/>
              <w:autoSpaceDN w:val="0"/>
              <w:adjustRightInd w:val="0"/>
              <w:spacing w:after="240"/>
              <w:rPr>
                <w:rFonts w:eastAsiaTheme="minorEastAsia"/>
                <w:bCs/>
                <w:snapToGrid/>
                <w:sz w:val="22"/>
                <w:szCs w:val="22"/>
                <w:lang w:eastAsia="it-IT"/>
              </w:rPr>
            </w:pPr>
            <w:r>
              <w:rPr>
                <w:rFonts w:eastAsiaTheme="minorEastAsia"/>
                <w:bCs/>
                <w:snapToGrid/>
                <w:sz w:val="22"/>
                <w:szCs w:val="22"/>
                <w:lang w:eastAsia="it-IT"/>
              </w:rPr>
              <w:t>9</w:t>
            </w:r>
            <w:r w:rsidR="005D720B">
              <w:rPr>
                <w:rFonts w:eastAsiaTheme="minorEastAsia"/>
                <w:bCs/>
                <w:snapToGrid/>
                <w:sz w:val="22"/>
                <w:szCs w:val="22"/>
                <w:lang w:eastAsia="it-IT"/>
              </w:rPr>
              <w:t xml:space="preserve">. The Final Report of the LR in Peru is </w:t>
            </w:r>
            <w:r w:rsidR="00BA37DD">
              <w:rPr>
                <w:rFonts w:eastAsiaTheme="minorEastAsia"/>
                <w:bCs/>
                <w:snapToGrid/>
                <w:sz w:val="22"/>
                <w:szCs w:val="22"/>
                <w:lang w:eastAsia="it-IT"/>
              </w:rPr>
              <w:t>finalised</w:t>
            </w:r>
            <w:r w:rsidR="005D720B">
              <w:rPr>
                <w:rFonts w:eastAsiaTheme="minorEastAsia"/>
                <w:bCs/>
                <w:snapToGrid/>
                <w:sz w:val="22"/>
                <w:szCs w:val="22"/>
                <w:lang w:eastAsia="it-IT"/>
              </w:rPr>
              <w:t>.</w:t>
            </w:r>
          </w:p>
        </w:tc>
        <w:tc>
          <w:tcPr>
            <w:tcW w:w="4253" w:type="dxa"/>
            <w:shd w:val="clear" w:color="auto" w:fill="auto"/>
          </w:tcPr>
          <w:p w14:paraId="525210D8" w14:textId="458A3103" w:rsidR="005D720B" w:rsidRDefault="005D720B" w:rsidP="00BA37DD">
            <w:pPr>
              <w:autoSpaceDE w:val="0"/>
              <w:autoSpaceDN w:val="0"/>
              <w:adjustRightInd w:val="0"/>
              <w:spacing w:after="240"/>
              <w:rPr>
                <w:rFonts w:eastAsiaTheme="minorEastAsia"/>
                <w:bCs/>
                <w:snapToGrid/>
                <w:sz w:val="22"/>
                <w:szCs w:val="22"/>
                <w:lang w:eastAsia="it-IT"/>
              </w:rPr>
            </w:pPr>
            <w:r>
              <w:rPr>
                <w:rFonts w:eastAsiaTheme="minorEastAsia"/>
                <w:bCs/>
                <w:snapToGrid/>
                <w:sz w:val="22"/>
                <w:szCs w:val="22"/>
                <w:lang w:eastAsia="it-IT"/>
              </w:rPr>
              <w:t xml:space="preserve">The </w:t>
            </w:r>
            <w:r w:rsidR="00BA37DD">
              <w:rPr>
                <w:rFonts w:eastAsiaTheme="minorEastAsia"/>
                <w:bCs/>
                <w:snapToGrid/>
                <w:sz w:val="22"/>
                <w:szCs w:val="22"/>
                <w:lang w:eastAsia="it-IT"/>
              </w:rPr>
              <w:t xml:space="preserve">original version of the </w:t>
            </w:r>
            <w:r>
              <w:rPr>
                <w:rFonts w:eastAsiaTheme="minorEastAsia"/>
                <w:bCs/>
                <w:snapToGrid/>
                <w:sz w:val="22"/>
                <w:szCs w:val="22"/>
                <w:lang w:eastAsia="it-IT"/>
              </w:rPr>
              <w:t>Report</w:t>
            </w:r>
            <w:r w:rsidR="00BA37DD">
              <w:rPr>
                <w:rFonts w:eastAsiaTheme="minorEastAsia"/>
                <w:bCs/>
                <w:snapToGrid/>
                <w:sz w:val="22"/>
                <w:szCs w:val="22"/>
                <w:lang w:eastAsia="it-IT"/>
              </w:rPr>
              <w:t>, in Spanish,</w:t>
            </w:r>
            <w:r>
              <w:rPr>
                <w:rFonts w:eastAsiaTheme="minorEastAsia"/>
                <w:bCs/>
                <w:snapToGrid/>
                <w:sz w:val="22"/>
                <w:szCs w:val="22"/>
                <w:lang w:eastAsia="it-IT"/>
              </w:rPr>
              <w:t xml:space="preserve"> </w:t>
            </w:r>
            <w:r w:rsidR="00BA37DD">
              <w:rPr>
                <w:rFonts w:eastAsiaTheme="minorEastAsia"/>
                <w:bCs/>
                <w:snapToGrid/>
                <w:sz w:val="22"/>
                <w:szCs w:val="22"/>
                <w:lang w:eastAsia="it-IT"/>
              </w:rPr>
              <w:t>has been completed. This has been translated into English and French and revised by SMS. The Spanish version is currently under revision by MIDIS.</w:t>
            </w:r>
          </w:p>
        </w:tc>
        <w:tc>
          <w:tcPr>
            <w:tcW w:w="2126" w:type="dxa"/>
            <w:shd w:val="clear" w:color="auto" w:fill="auto"/>
          </w:tcPr>
          <w:p w14:paraId="315D0B75" w14:textId="06C38F3D" w:rsidR="005D720B" w:rsidRDefault="00BA37DD" w:rsidP="00EC7C3D">
            <w:pPr>
              <w:autoSpaceDE w:val="0"/>
              <w:autoSpaceDN w:val="0"/>
              <w:adjustRightInd w:val="0"/>
              <w:spacing w:after="240"/>
              <w:jc w:val="center"/>
              <w:rPr>
                <w:rFonts w:eastAsiaTheme="minorEastAsia"/>
                <w:bCs/>
                <w:snapToGrid/>
                <w:sz w:val="22"/>
                <w:szCs w:val="22"/>
                <w:lang w:eastAsia="it-IT"/>
              </w:rPr>
            </w:pPr>
            <w:r>
              <w:rPr>
                <w:rFonts w:eastAsiaTheme="minorEastAsia"/>
                <w:bCs/>
                <w:snapToGrid/>
                <w:sz w:val="22"/>
                <w:szCs w:val="22"/>
                <w:lang w:eastAsia="it-IT"/>
              </w:rPr>
              <w:t>9</w:t>
            </w:r>
            <w:r w:rsidR="005D720B">
              <w:rPr>
                <w:rFonts w:eastAsiaTheme="minorEastAsia"/>
                <w:bCs/>
                <w:snapToGrid/>
                <w:sz w:val="22"/>
                <w:szCs w:val="22"/>
                <w:lang w:eastAsia="it-IT"/>
              </w:rPr>
              <w:t>0%</w:t>
            </w:r>
          </w:p>
        </w:tc>
      </w:tr>
      <w:tr w:rsidR="00C207C3" w:rsidRPr="00EC7C3D" w14:paraId="01D6FFDD" w14:textId="77777777" w:rsidTr="007C052B">
        <w:tc>
          <w:tcPr>
            <w:tcW w:w="3544" w:type="dxa"/>
          </w:tcPr>
          <w:p w14:paraId="14673DF5" w14:textId="46797D85" w:rsidR="00C207C3" w:rsidRDefault="005B79E3" w:rsidP="00B312CE">
            <w:pPr>
              <w:autoSpaceDE w:val="0"/>
              <w:autoSpaceDN w:val="0"/>
              <w:adjustRightInd w:val="0"/>
              <w:spacing w:after="240"/>
              <w:rPr>
                <w:rFonts w:eastAsiaTheme="minorEastAsia"/>
                <w:bCs/>
                <w:snapToGrid/>
                <w:sz w:val="22"/>
                <w:szCs w:val="22"/>
                <w:lang w:eastAsia="it-IT"/>
              </w:rPr>
            </w:pPr>
            <w:r>
              <w:rPr>
                <w:rFonts w:eastAsiaTheme="minorEastAsia"/>
                <w:bCs/>
                <w:snapToGrid/>
                <w:sz w:val="22"/>
                <w:szCs w:val="22"/>
                <w:lang w:eastAsia="it-IT"/>
              </w:rPr>
              <w:t xml:space="preserve">11. </w:t>
            </w:r>
            <w:r w:rsidR="00B312CE">
              <w:rPr>
                <w:rFonts w:eastAsiaTheme="minorEastAsia"/>
                <w:bCs/>
                <w:snapToGrid/>
                <w:sz w:val="22"/>
                <w:szCs w:val="22"/>
                <w:lang w:eastAsia="it-IT"/>
              </w:rPr>
              <w:t>The Final Evaluation S</w:t>
            </w:r>
            <w:r w:rsidR="00BA37DD">
              <w:rPr>
                <w:rFonts w:eastAsiaTheme="minorEastAsia"/>
                <w:bCs/>
                <w:snapToGrid/>
                <w:sz w:val="22"/>
                <w:szCs w:val="22"/>
                <w:lang w:eastAsia="it-IT"/>
              </w:rPr>
              <w:t>urvey assessing the overall Learning Route programme</w:t>
            </w:r>
            <w:r w:rsidR="00B312CE">
              <w:rPr>
                <w:rFonts w:eastAsiaTheme="minorEastAsia"/>
                <w:bCs/>
                <w:snapToGrid/>
                <w:sz w:val="22"/>
                <w:szCs w:val="22"/>
                <w:lang w:eastAsia="it-IT"/>
              </w:rPr>
              <w:t>,</w:t>
            </w:r>
            <w:r w:rsidR="00BA37DD">
              <w:rPr>
                <w:rFonts w:eastAsiaTheme="minorEastAsia"/>
                <w:bCs/>
                <w:snapToGrid/>
                <w:sz w:val="22"/>
                <w:szCs w:val="22"/>
                <w:lang w:eastAsia="it-IT"/>
              </w:rPr>
              <w:t xml:space="preserve"> is </w:t>
            </w:r>
            <w:r w:rsidR="00B312CE">
              <w:rPr>
                <w:rFonts w:eastAsiaTheme="minorEastAsia"/>
                <w:bCs/>
                <w:snapToGrid/>
                <w:sz w:val="22"/>
                <w:szCs w:val="22"/>
                <w:lang w:eastAsia="it-IT"/>
              </w:rPr>
              <w:t>prepared</w:t>
            </w:r>
            <w:r w:rsidR="00BA37DD">
              <w:rPr>
                <w:rFonts w:eastAsiaTheme="minorEastAsia"/>
                <w:bCs/>
                <w:snapToGrid/>
                <w:sz w:val="22"/>
                <w:szCs w:val="22"/>
                <w:lang w:eastAsia="it-IT"/>
              </w:rPr>
              <w:t xml:space="preserve"> in 3 languages and submitted to </w:t>
            </w:r>
            <w:r w:rsidR="00B312CE">
              <w:rPr>
                <w:rFonts w:eastAsiaTheme="minorEastAsia"/>
                <w:bCs/>
                <w:snapToGrid/>
                <w:sz w:val="22"/>
                <w:szCs w:val="22"/>
                <w:lang w:eastAsia="it-IT"/>
              </w:rPr>
              <w:t>the 40 participants from the 2 LRs.</w:t>
            </w:r>
          </w:p>
        </w:tc>
        <w:tc>
          <w:tcPr>
            <w:tcW w:w="4253" w:type="dxa"/>
          </w:tcPr>
          <w:p w14:paraId="57C09B6C" w14:textId="5C084248" w:rsidR="00C207C3" w:rsidRPr="005B79E3" w:rsidRDefault="00B312CE" w:rsidP="005B79E3">
            <w:r>
              <w:rPr>
                <w:rFonts w:eastAsiaTheme="minorEastAsia"/>
                <w:bCs/>
                <w:snapToGrid/>
                <w:sz w:val="22"/>
                <w:szCs w:val="22"/>
                <w:lang w:eastAsia="it-IT"/>
              </w:rPr>
              <w:t>The English, French and Spanish versions of the Final Programme Evaluation survey have been prepared and shared with the 40 participants from the 2 LRs. At the moment, Procasur is collecting the results.</w:t>
            </w:r>
          </w:p>
        </w:tc>
        <w:tc>
          <w:tcPr>
            <w:tcW w:w="2126" w:type="dxa"/>
          </w:tcPr>
          <w:p w14:paraId="131759A6" w14:textId="1044D963" w:rsidR="00C207C3" w:rsidRDefault="00B312CE" w:rsidP="00ED351A">
            <w:pPr>
              <w:autoSpaceDE w:val="0"/>
              <w:autoSpaceDN w:val="0"/>
              <w:adjustRightInd w:val="0"/>
              <w:spacing w:after="240"/>
              <w:jc w:val="center"/>
              <w:rPr>
                <w:rFonts w:eastAsiaTheme="minorEastAsia"/>
                <w:bCs/>
                <w:snapToGrid/>
                <w:sz w:val="22"/>
                <w:szCs w:val="22"/>
                <w:lang w:eastAsia="it-IT"/>
              </w:rPr>
            </w:pPr>
            <w:r>
              <w:rPr>
                <w:rFonts w:eastAsiaTheme="minorEastAsia"/>
                <w:bCs/>
                <w:snapToGrid/>
                <w:sz w:val="22"/>
                <w:szCs w:val="22"/>
                <w:lang w:eastAsia="it-IT"/>
              </w:rPr>
              <w:t>8</w:t>
            </w:r>
            <w:r w:rsidR="005B79E3">
              <w:rPr>
                <w:rFonts w:eastAsiaTheme="minorEastAsia"/>
                <w:bCs/>
                <w:snapToGrid/>
                <w:sz w:val="22"/>
                <w:szCs w:val="22"/>
                <w:lang w:eastAsia="it-IT"/>
              </w:rPr>
              <w:t>0%</w:t>
            </w:r>
          </w:p>
        </w:tc>
      </w:tr>
    </w:tbl>
    <w:p w14:paraId="5BBDAE31" w14:textId="77777777" w:rsidR="00440B2B" w:rsidRPr="00051547" w:rsidRDefault="00440B2B" w:rsidP="00051547">
      <w:pPr>
        <w:autoSpaceDE w:val="0"/>
        <w:autoSpaceDN w:val="0"/>
        <w:adjustRightInd w:val="0"/>
        <w:spacing w:after="240"/>
        <w:rPr>
          <w:rFonts w:ascii="Times" w:eastAsiaTheme="minorEastAsia" w:hAnsi="Times" w:cs="Times"/>
          <w:bCs/>
          <w:snapToGrid/>
          <w:sz w:val="22"/>
          <w:szCs w:val="22"/>
          <w:lang w:val="it-IT" w:eastAsia="it-IT"/>
        </w:rPr>
      </w:pPr>
    </w:p>
    <w:tbl>
      <w:tblPr>
        <w:tblStyle w:val="Grigliatabella"/>
        <w:tblW w:w="9923" w:type="dxa"/>
        <w:tblInd w:w="108" w:type="dxa"/>
        <w:tblLook w:val="04A0" w:firstRow="1" w:lastRow="0" w:firstColumn="1" w:lastColumn="0" w:noHBand="0" w:noVBand="1"/>
      </w:tblPr>
      <w:tblGrid>
        <w:gridCol w:w="9923"/>
      </w:tblGrid>
      <w:tr w:rsidR="00EC7C3D" w14:paraId="5B09E8BE" w14:textId="77777777" w:rsidTr="00BA37DD">
        <w:tc>
          <w:tcPr>
            <w:tcW w:w="9923" w:type="dxa"/>
            <w:shd w:val="clear" w:color="auto" w:fill="D9D9D9" w:themeFill="background1" w:themeFillShade="D9"/>
          </w:tcPr>
          <w:p w14:paraId="2A56F244" w14:textId="77777777" w:rsidR="00EC7C3D" w:rsidRDefault="00EC7C3D" w:rsidP="00EC7C3D">
            <w:pPr>
              <w:jc w:val="center"/>
              <w:rPr>
                <w:rFonts w:eastAsiaTheme="minorEastAsia"/>
                <w:b/>
                <w:bCs/>
                <w:snapToGrid/>
                <w:sz w:val="22"/>
                <w:szCs w:val="22"/>
                <w:lang w:val="en-US" w:eastAsia="it-IT"/>
              </w:rPr>
            </w:pPr>
            <w:r w:rsidRPr="00EC7C3D">
              <w:rPr>
                <w:rFonts w:eastAsiaTheme="minorEastAsia"/>
                <w:b/>
                <w:bCs/>
                <w:snapToGrid/>
                <w:sz w:val="22"/>
                <w:szCs w:val="22"/>
                <w:lang w:val="en-US" w:eastAsia="it-IT"/>
              </w:rPr>
              <w:t>Qualitative Achievements against outcomes and results</w:t>
            </w:r>
          </w:p>
          <w:p w14:paraId="6498F55D" w14:textId="77777777" w:rsidR="00EC7C3D" w:rsidRPr="00EC7C3D" w:rsidRDefault="00EC7C3D" w:rsidP="00EC7C3D">
            <w:pPr>
              <w:jc w:val="center"/>
              <w:rPr>
                <w:rFonts w:eastAsiaTheme="minorEastAsia"/>
                <w:b/>
                <w:bCs/>
                <w:snapToGrid/>
                <w:sz w:val="22"/>
                <w:szCs w:val="22"/>
                <w:lang w:val="en-US" w:eastAsia="it-IT"/>
              </w:rPr>
            </w:pPr>
          </w:p>
        </w:tc>
      </w:tr>
      <w:tr w:rsidR="00382FE6" w14:paraId="4E517C34" w14:textId="77777777" w:rsidTr="00BA37DD">
        <w:tc>
          <w:tcPr>
            <w:tcW w:w="9923" w:type="dxa"/>
          </w:tcPr>
          <w:p w14:paraId="64E55DEF" w14:textId="728EF2B5" w:rsidR="00382FE6" w:rsidRPr="00911F32" w:rsidRDefault="00B312CE" w:rsidP="00874DA7">
            <w:pPr>
              <w:pStyle w:val="Paragrafoelenco"/>
              <w:widowControl/>
              <w:numPr>
                <w:ilvl w:val="0"/>
                <w:numId w:val="10"/>
              </w:numPr>
              <w:spacing w:after="120"/>
              <w:ind w:left="714" w:hanging="357"/>
              <w:contextualSpacing w:val="0"/>
              <w:rPr>
                <w:rFonts w:eastAsiaTheme="minorEastAsia"/>
                <w:bCs/>
                <w:snapToGrid/>
                <w:sz w:val="22"/>
                <w:szCs w:val="22"/>
                <w:lang w:val="en-US" w:eastAsia="it-IT"/>
              </w:rPr>
            </w:pPr>
            <w:r>
              <w:rPr>
                <w:rFonts w:eastAsiaTheme="minorEastAsia"/>
                <w:bCs/>
                <w:snapToGrid/>
                <w:sz w:val="22"/>
                <w:szCs w:val="22"/>
                <w:lang w:eastAsia="it-IT"/>
              </w:rPr>
              <w:t>As surveys collected so far show</w:t>
            </w:r>
            <w:r w:rsidR="006E23A7">
              <w:rPr>
                <w:rFonts w:eastAsiaTheme="minorEastAsia"/>
                <w:bCs/>
                <w:snapToGrid/>
                <w:sz w:val="22"/>
                <w:szCs w:val="22"/>
                <w:lang w:eastAsia="it-IT"/>
              </w:rPr>
              <w:t xml:space="preserve">, </w:t>
            </w:r>
            <w:r w:rsidR="00A11145">
              <w:rPr>
                <w:rFonts w:eastAsiaTheme="minorEastAsia"/>
                <w:bCs/>
                <w:snapToGrid/>
                <w:sz w:val="22"/>
                <w:szCs w:val="22"/>
                <w:lang w:eastAsia="it-IT"/>
              </w:rPr>
              <w:t xml:space="preserve">participants evaluated very positively </w:t>
            </w:r>
            <w:r>
              <w:rPr>
                <w:rFonts w:eastAsiaTheme="minorEastAsia"/>
                <w:bCs/>
                <w:snapToGrid/>
                <w:sz w:val="22"/>
                <w:szCs w:val="22"/>
                <w:lang w:eastAsia="it-IT"/>
              </w:rPr>
              <w:t>the Learning Route Programme</w:t>
            </w:r>
            <w:r w:rsidR="00641995">
              <w:rPr>
                <w:rFonts w:eastAsiaTheme="minorEastAsia"/>
                <w:bCs/>
                <w:snapToGrid/>
                <w:sz w:val="22"/>
                <w:szCs w:val="22"/>
                <w:lang w:eastAsia="it-IT"/>
              </w:rPr>
              <w:t xml:space="preserve">. </w:t>
            </w:r>
            <w:r w:rsidR="00874DA7">
              <w:rPr>
                <w:rFonts w:eastAsiaTheme="minorEastAsia"/>
                <w:bCs/>
                <w:snapToGrid/>
                <w:sz w:val="22"/>
                <w:szCs w:val="22"/>
                <w:lang w:eastAsia="it-IT"/>
              </w:rPr>
              <w:t>The i</w:t>
            </w:r>
            <w:r w:rsidR="00641995">
              <w:rPr>
                <w:rFonts w:eastAsiaTheme="minorEastAsia"/>
                <w:bCs/>
                <w:snapToGrid/>
                <w:sz w:val="22"/>
                <w:szCs w:val="22"/>
                <w:lang w:eastAsia="it-IT"/>
              </w:rPr>
              <w:t>mproved knowledge</w:t>
            </w:r>
            <w:r w:rsidR="00874DA7">
              <w:rPr>
                <w:rFonts w:eastAsiaTheme="minorEastAsia"/>
                <w:bCs/>
                <w:snapToGrid/>
                <w:sz w:val="22"/>
                <w:szCs w:val="22"/>
                <w:lang w:eastAsia="it-IT"/>
              </w:rPr>
              <w:t xml:space="preserve"> on relevant thematic areas,</w:t>
            </w:r>
            <w:r w:rsidR="00641995">
              <w:rPr>
                <w:rFonts w:eastAsiaTheme="minorEastAsia"/>
                <w:bCs/>
                <w:snapToGrid/>
                <w:sz w:val="22"/>
                <w:szCs w:val="22"/>
                <w:lang w:eastAsia="it-IT"/>
              </w:rPr>
              <w:t xml:space="preserve"> the sharing of good practices</w:t>
            </w:r>
            <w:r w:rsidR="00874DA7">
              <w:rPr>
                <w:rFonts w:eastAsiaTheme="minorEastAsia"/>
                <w:bCs/>
                <w:snapToGrid/>
                <w:sz w:val="22"/>
                <w:szCs w:val="22"/>
                <w:lang w:eastAsia="it-IT"/>
              </w:rPr>
              <w:t xml:space="preserve"> and innovations with potential</w:t>
            </w:r>
            <w:r w:rsidR="00641995">
              <w:rPr>
                <w:rFonts w:eastAsiaTheme="minorEastAsia"/>
                <w:bCs/>
                <w:snapToGrid/>
                <w:sz w:val="22"/>
                <w:szCs w:val="22"/>
                <w:lang w:eastAsia="it-IT"/>
              </w:rPr>
              <w:t xml:space="preserve"> </w:t>
            </w:r>
            <w:r w:rsidR="00874DA7">
              <w:rPr>
                <w:rFonts w:eastAsiaTheme="minorEastAsia"/>
                <w:bCs/>
                <w:snapToGrid/>
                <w:sz w:val="22"/>
                <w:szCs w:val="22"/>
                <w:lang w:eastAsia="it-IT"/>
              </w:rPr>
              <w:t>for adaptation and scaling-up in participating countries are</w:t>
            </w:r>
            <w:r w:rsidR="00641995">
              <w:rPr>
                <w:rFonts w:eastAsiaTheme="minorEastAsia"/>
                <w:bCs/>
                <w:snapToGrid/>
                <w:sz w:val="22"/>
                <w:szCs w:val="22"/>
                <w:lang w:eastAsia="it-IT"/>
              </w:rPr>
              <w:t xml:space="preserve"> amongst the main benefits highlighted</w:t>
            </w:r>
            <w:r w:rsidR="00874DA7">
              <w:rPr>
                <w:rFonts w:eastAsiaTheme="minorEastAsia"/>
                <w:bCs/>
                <w:snapToGrid/>
                <w:sz w:val="22"/>
                <w:szCs w:val="22"/>
                <w:lang w:eastAsia="it-IT"/>
              </w:rPr>
              <w:t xml:space="preserve"> by SUN representatives; at the same time, the sharing with local communities and host cases have been much appreciated by all participants. So far, the LR methodology has demonstrated to be effective to strengthen networking and promote the adaptation of good practices in nutrition among SUN member countries. </w:t>
            </w:r>
          </w:p>
        </w:tc>
      </w:tr>
    </w:tbl>
    <w:p w14:paraId="2BB81F10" w14:textId="77777777" w:rsidR="00E16585" w:rsidRDefault="00E16585">
      <w:pPr>
        <w:rPr>
          <w:rFonts w:ascii="Calibri" w:eastAsiaTheme="minorEastAsia" w:hAnsi="Calibri"/>
          <w:b/>
          <w:bCs/>
          <w:snapToGrid/>
          <w:sz w:val="28"/>
          <w:szCs w:val="28"/>
          <w:lang w:val="en-US" w:eastAsia="it-IT"/>
        </w:rPr>
      </w:pPr>
    </w:p>
    <w:p w14:paraId="2620161E" w14:textId="77777777" w:rsidR="00E11990" w:rsidRPr="00E11990" w:rsidRDefault="00E11990" w:rsidP="00E11990">
      <w:pPr>
        <w:jc w:val="both"/>
        <w:rPr>
          <w:rFonts w:eastAsiaTheme="minorEastAsia"/>
          <w:bCs/>
          <w:snapToGrid/>
          <w:sz w:val="22"/>
          <w:szCs w:val="22"/>
          <w:lang w:val="en-US" w:eastAsia="it-IT"/>
        </w:rPr>
      </w:pPr>
    </w:p>
    <w:p w14:paraId="4C7B029D" w14:textId="77CDCC01" w:rsidR="00E11990" w:rsidRDefault="00874DA7" w:rsidP="00874DA7">
      <w:pPr>
        <w:jc w:val="both"/>
        <w:rPr>
          <w:rFonts w:eastAsiaTheme="minorEastAsia"/>
          <w:bCs/>
          <w:snapToGrid/>
          <w:sz w:val="22"/>
          <w:szCs w:val="22"/>
          <w:u w:val="single"/>
          <w:lang w:val="it-IT" w:eastAsia="it-IT"/>
        </w:rPr>
      </w:pPr>
      <w:r w:rsidRPr="00874DA7">
        <w:rPr>
          <w:rFonts w:eastAsiaTheme="minorEastAsia"/>
          <w:bCs/>
          <w:snapToGrid/>
          <w:sz w:val="22"/>
          <w:szCs w:val="22"/>
          <w:u w:val="single"/>
          <w:lang w:val="en-US" w:eastAsia="it-IT"/>
        </w:rPr>
        <w:t>NOTE ON THE EXTENSION OF PROGRAMME</w:t>
      </w:r>
      <w:r w:rsidRPr="00874DA7">
        <w:rPr>
          <w:rFonts w:eastAsiaTheme="minorEastAsia"/>
          <w:bCs/>
          <w:snapToGrid/>
          <w:sz w:val="22"/>
          <w:szCs w:val="22"/>
          <w:u w:val="single"/>
          <w:lang w:val="it-IT" w:eastAsia="it-IT"/>
        </w:rPr>
        <w:t>’S DURATION</w:t>
      </w:r>
    </w:p>
    <w:p w14:paraId="2D18402B" w14:textId="77777777" w:rsidR="00874DA7" w:rsidRDefault="00874DA7" w:rsidP="00874DA7">
      <w:pPr>
        <w:jc w:val="both"/>
        <w:rPr>
          <w:rFonts w:eastAsiaTheme="minorEastAsia"/>
          <w:bCs/>
          <w:snapToGrid/>
          <w:sz w:val="22"/>
          <w:szCs w:val="22"/>
          <w:u w:val="single"/>
          <w:lang w:val="it-IT" w:eastAsia="it-IT"/>
        </w:rPr>
      </w:pPr>
    </w:p>
    <w:p w14:paraId="771A8B9A" w14:textId="73ABDD0B" w:rsidR="00874DA7" w:rsidRPr="004A332A" w:rsidRDefault="008647E6" w:rsidP="008647E6">
      <w:pPr>
        <w:jc w:val="both"/>
      </w:pPr>
      <w:r>
        <w:rPr>
          <w:rFonts w:eastAsiaTheme="minorEastAsia"/>
          <w:bCs/>
          <w:snapToGrid/>
          <w:sz w:val="22"/>
          <w:szCs w:val="22"/>
          <w:lang w:eastAsia="it-IT"/>
        </w:rPr>
        <w:t>PROCASUR and SMS agreed on extending the Programme’s duration, at no cost, until April the 30</w:t>
      </w:r>
      <w:r w:rsidRPr="008647E6">
        <w:rPr>
          <w:rFonts w:eastAsiaTheme="minorEastAsia"/>
          <w:bCs/>
          <w:snapToGrid/>
          <w:sz w:val="22"/>
          <w:szCs w:val="22"/>
          <w:vertAlign w:val="superscript"/>
          <w:lang w:eastAsia="it-IT"/>
        </w:rPr>
        <w:t>th</w:t>
      </w:r>
      <w:r>
        <w:rPr>
          <w:rFonts w:eastAsiaTheme="minorEastAsia"/>
          <w:bCs/>
          <w:snapToGrid/>
          <w:sz w:val="22"/>
          <w:szCs w:val="22"/>
          <w:lang w:eastAsia="it-IT"/>
        </w:rPr>
        <w:t xml:space="preserve">; this will allow to </w:t>
      </w:r>
      <w:r w:rsidR="00874DA7" w:rsidRPr="00874DA7">
        <w:rPr>
          <w:rFonts w:eastAsiaTheme="minorEastAsia"/>
          <w:bCs/>
          <w:snapToGrid/>
          <w:sz w:val="22"/>
          <w:szCs w:val="22"/>
          <w:lang w:eastAsia="it-IT"/>
        </w:rPr>
        <w:t xml:space="preserve">allocate more time to evaluate the progresses of the Action Plans resulting from </w:t>
      </w:r>
      <w:r>
        <w:rPr>
          <w:rFonts w:eastAsiaTheme="minorEastAsia"/>
          <w:bCs/>
          <w:snapToGrid/>
          <w:sz w:val="22"/>
          <w:szCs w:val="22"/>
          <w:lang w:eastAsia="it-IT"/>
        </w:rPr>
        <w:t>both Learning Routes</w:t>
      </w:r>
      <w:r w:rsidR="00874DA7" w:rsidRPr="00874DA7">
        <w:rPr>
          <w:rFonts w:eastAsiaTheme="minorEastAsia"/>
          <w:bCs/>
          <w:snapToGrid/>
          <w:sz w:val="22"/>
          <w:szCs w:val="22"/>
          <w:lang w:eastAsia="it-IT"/>
        </w:rPr>
        <w:t xml:space="preserve"> and to overall assess the Program</w:t>
      </w:r>
      <w:r>
        <w:rPr>
          <w:rFonts w:eastAsiaTheme="minorEastAsia"/>
          <w:bCs/>
          <w:snapToGrid/>
          <w:sz w:val="22"/>
          <w:szCs w:val="22"/>
          <w:lang w:eastAsia="it-IT"/>
        </w:rPr>
        <w:t>me</w:t>
      </w:r>
      <w:r w:rsidR="00874DA7" w:rsidRPr="00874DA7">
        <w:rPr>
          <w:rFonts w:eastAsiaTheme="minorEastAsia"/>
          <w:bCs/>
          <w:snapToGrid/>
          <w:sz w:val="22"/>
          <w:szCs w:val="22"/>
          <w:lang w:eastAsia="it-IT"/>
        </w:rPr>
        <w:t>'s outcomes</w:t>
      </w:r>
      <w:r>
        <w:rPr>
          <w:rFonts w:eastAsiaTheme="minorEastAsia"/>
          <w:bCs/>
          <w:snapToGrid/>
          <w:sz w:val="22"/>
          <w:szCs w:val="22"/>
          <w:lang w:eastAsia="it-IT"/>
        </w:rPr>
        <w:t xml:space="preserve">. </w:t>
      </w:r>
      <w:r w:rsidR="00874DA7" w:rsidRPr="00874DA7">
        <w:rPr>
          <w:rFonts w:eastAsiaTheme="minorEastAsia"/>
          <w:bCs/>
          <w:snapToGrid/>
          <w:sz w:val="22"/>
          <w:szCs w:val="22"/>
          <w:lang w:eastAsia="it-IT"/>
        </w:rPr>
        <w:t xml:space="preserve"> It is worth to note that, due to political changes within the host Peruvian institution, MIDIS, the Learning Route in Peru </w:t>
      </w:r>
      <w:r>
        <w:rPr>
          <w:rFonts w:eastAsiaTheme="minorEastAsia"/>
          <w:bCs/>
          <w:snapToGrid/>
          <w:sz w:val="22"/>
          <w:szCs w:val="22"/>
          <w:lang w:eastAsia="it-IT"/>
        </w:rPr>
        <w:t xml:space="preserve">(planned for </w:t>
      </w:r>
      <w:r w:rsidRPr="00874DA7">
        <w:rPr>
          <w:rFonts w:eastAsiaTheme="minorEastAsia"/>
          <w:bCs/>
          <w:snapToGrid/>
          <w:sz w:val="22"/>
          <w:szCs w:val="22"/>
          <w:lang w:eastAsia="it-IT"/>
        </w:rPr>
        <w:t xml:space="preserve">April </w:t>
      </w:r>
      <w:r>
        <w:rPr>
          <w:rFonts w:eastAsiaTheme="minorEastAsia"/>
          <w:bCs/>
          <w:snapToGrid/>
          <w:sz w:val="22"/>
          <w:szCs w:val="22"/>
          <w:lang w:eastAsia="it-IT"/>
        </w:rPr>
        <w:t>2014</w:t>
      </w:r>
      <w:r w:rsidR="00874DA7" w:rsidRPr="00874DA7">
        <w:rPr>
          <w:rFonts w:eastAsiaTheme="minorEastAsia"/>
          <w:bCs/>
          <w:snapToGrid/>
          <w:sz w:val="22"/>
          <w:szCs w:val="22"/>
          <w:lang w:eastAsia="it-IT"/>
        </w:rPr>
        <w:t xml:space="preserve"> at the time of the Program</w:t>
      </w:r>
      <w:r>
        <w:rPr>
          <w:rFonts w:eastAsiaTheme="minorEastAsia"/>
          <w:bCs/>
          <w:snapToGrid/>
          <w:sz w:val="22"/>
          <w:szCs w:val="22"/>
          <w:lang w:eastAsia="it-IT"/>
        </w:rPr>
        <w:t>me design)</w:t>
      </w:r>
      <w:r w:rsidR="00874DA7" w:rsidRPr="00874DA7">
        <w:rPr>
          <w:rFonts w:eastAsiaTheme="minorEastAsia"/>
          <w:bCs/>
          <w:snapToGrid/>
          <w:sz w:val="22"/>
          <w:szCs w:val="22"/>
          <w:lang w:eastAsia="it-IT"/>
        </w:rPr>
        <w:t xml:space="preserve"> was postponed to September 2014; therefore, the Action Plans' assessment, due six month after the LR completion, </w:t>
      </w:r>
      <w:r>
        <w:rPr>
          <w:rFonts w:eastAsiaTheme="minorEastAsia"/>
          <w:bCs/>
          <w:snapToGrid/>
          <w:sz w:val="22"/>
          <w:szCs w:val="22"/>
          <w:lang w:eastAsia="it-IT"/>
        </w:rPr>
        <w:t>is currently being carried out</w:t>
      </w:r>
      <w:r w:rsidR="00874DA7" w:rsidRPr="00874DA7">
        <w:rPr>
          <w:rFonts w:eastAsiaTheme="minorEastAsia"/>
          <w:bCs/>
          <w:snapToGrid/>
          <w:sz w:val="22"/>
          <w:szCs w:val="22"/>
          <w:lang w:eastAsia="it-IT"/>
        </w:rPr>
        <w:t xml:space="preserve">. </w:t>
      </w:r>
      <w:bookmarkStart w:id="0" w:name="_GoBack"/>
      <w:bookmarkEnd w:id="0"/>
    </w:p>
    <w:p w14:paraId="16628A90" w14:textId="77777777" w:rsidR="00874DA7" w:rsidRPr="00874DA7" w:rsidRDefault="00874DA7" w:rsidP="008647E6">
      <w:pPr>
        <w:jc w:val="both"/>
        <w:rPr>
          <w:rFonts w:eastAsiaTheme="minorEastAsia"/>
          <w:bCs/>
          <w:snapToGrid/>
          <w:sz w:val="22"/>
          <w:szCs w:val="22"/>
          <w:lang w:val="it-IT" w:eastAsia="it-IT"/>
        </w:rPr>
      </w:pPr>
    </w:p>
    <w:sectPr w:rsidR="00874DA7" w:rsidRPr="00874DA7" w:rsidSect="00A5277A">
      <w:footerReference w:type="even" r:id="rId10"/>
      <w:footerReference w:type="default" r:id="rId11"/>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3811" w14:textId="77777777" w:rsidR="00874DA7" w:rsidRDefault="00874DA7" w:rsidP="00A5277A">
      <w:r>
        <w:separator/>
      </w:r>
    </w:p>
  </w:endnote>
  <w:endnote w:type="continuationSeparator" w:id="0">
    <w:p w14:paraId="74BB0223" w14:textId="77777777" w:rsidR="00874DA7" w:rsidRDefault="00874DA7" w:rsidP="00A5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D5BA" w14:textId="77777777" w:rsidR="00874DA7" w:rsidRDefault="00874DA7" w:rsidP="00445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9DC8" w14:textId="77777777" w:rsidR="00874DA7" w:rsidRDefault="00874DA7" w:rsidP="00A5277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9D79" w14:textId="77777777" w:rsidR="00874DA7" w:rsidRDefault="00874DA7" w:rsidP="00445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47E6">
      <w:rPr>
        <w:rStyle w:val="Numeropagina"/>
        <w:noProof/>
      </w:rPr>
      <w:t>2</w:t>
    </w:r>
    <w:r>
      <w:rPr>
        <w:rStyle w:val="Numeropagina"/>
      </w:rPr>
      <w:fldChar w:fldCharType="end"/>
    </w:r>
  </w:p>
  <w:p w14:paraId="64C8CD01" w14:textId="77777777" w:rsidR="00874DA7" w:rsidRDefault="00874DA7" w:rsidP="00A5277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8F6AB" w14:textId="77777777" w:rsidR="00874DA7" w:rsidRDefault="00874DA7" w:rsidP="00A5277A">
      <w:r>
        <w:separator/>
      </w:r>
    </w:p>
  </w:footnote>
  <w:footnote w:type="continuationSeparator" w:id="0">
    <w:p w14:paraId="41D24EB4" w14:textId="77777777" w:rsidR="00874DA7" w:rsidRDefault="00874DA7" w:rsidP="00A527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E31"/>
    <w:multiLevelType w:val="hybridMultilevel"/>
    <w:tmpl w:val="1A3E25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D3B052D"/>
    <w:multiLevelType w:val="hybridMultilevel"/>
    <w:tmpl w:val="7A988F74"/>
    <w:lvl w:ilvl="0" w:tplc="98E8643A">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CB4795"/>
    <w:multiLevelType w:val="hybridMultilevel"/>
    <w:tmpl w:val="FC2CD6C0"/>
    <w:lvl w:ilvl="0" w:tplc="0A081318">
      <w:start w:val="5"/>
      <w:numFmt w:val="bullet"/>
      <w:lvlText w:val=""/>
      <w:lvlJc w:val="left"/>
      <w:pPr>
        <w:ind w:left="720" w:hanging="360"/>
      </w:pPr>
      <w:rPr>
        <w:rFonts w:ascii="Symbol" w:eastAsiaTheme="minorEastAsia" w:hAnsi="Symbol" w:cs="Time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A74B0C"/>
    <w:multiLevelType w:val="hybridMultilevel"/>
    <w:tmpl w:val="AB8EF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384E6C"/>
    <w:multiLevelType w:val="hybridMultilevel"/>
    <w:tmpl w:val="64BCD596"/>
    <w:lvl w:ilvl="0" w:tplc="A800AADC">
      <w:start w:val="13"/>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32438BA"/>
    <w:multiLevelType w:val="hybridMultilevel"/>
    <w:tmpl w:val="11C05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106B12"/>
    <w:multiLevelType w:val="hybridMultilevel"/>
    <w:tmpl w:val="A4D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81B87"/>
    <w:multiLevelType w:val="hybridMultilevel"/>
    <w:tmpl w:val="3BD24910"/>
    <w:lvl w:ilvl="0" w:tplc="56406D66">
      <w:start w:val="5"/>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C2E1B2F"/>
    <w:multiLevelType w:val="multilevel"/>
    <w:tmpl w:val="3BD24910"/>
    <w:lvl w:ilvl="0">
      <w:start w:val="5"/>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74896B16"/>
    <w:multiLevelType w:val="hybridMultilevel"/>
    <w:tmpl w:val="503096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3"/>
  </w:num>
  <w:num w:numId="6">
    <w:abstractNumId w:val="7"/>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4D"/>
    <w:rsid w:val="00051547"/>
    <w:rsid w:val="00063F5A"/>
    <w:rsid w:val="00107395"/>
    <w:rsid w:val="001661E8"/>
    <w:rsid w:val="001824F7"/>
    <w:rsid w:val="00182FF4"/>
    <w:rsid w:val="001F1472"/>
    <w:rsid w:val="00244F3C"/>
    <w:rsid w:val="00245FD2"/>
    <w:rsid w:val="0025233B"/>
    <w:rsid w:val="00264617"/>
    <w:rsid w:val="00295C8B"/>
    <w:rsid w:val="002C0E55"/>
    <w:rsid w:val="002D5D91"/>
    <w:rsid w:val="002D6D3E"/>
    <w:rsid w:val="003079BD"/>
    <w:rsid w:val="00324B7E"/>
    <w:rsid w:val="00382FE6"/>
    <w:rsid w:val="0039715B"/>
    <w:rsid w:val="003B2423"/>
    <w:rsid w:val="003B3CA0"/>
    <w:rsid w:val="003E0F2B"/>
    <w:rsid w:val="003F063D"/>
    <w:rsid w:val="003F7441"/>
    <w:rsid w:val="0040308E"/>
    <w:rsid w:val="00414E66"/>
    <w:rsid w:val="00420C53"/>
    <w:rsid w:val="0042103A"/>
    <w:rsid w:val="00430AD7"/>
    <w:rsid w:val="00440B2B"/>
    <w:rsid w:val="00445C13"/>
    <w:rsid w:val="004478C4"/>
    <w:rsid w:val="004551B5"/>
    <w:rsid w:val="00483F43"/>
    <w:rsid w:val="004C475A"/>
    <w:rsid w:val="004F00F0"/>
    <w:rsid w:val="004F4E0B"/>
    <w:rsid w:val="004F61C1"/>
    <w:rsid w:val="00512031"/>
    <w:rsid w:val="00512D70"/>
    <w:rsid w:val="0053283F"/>
    <w:rsid w:val="0056126A"/>
    <w:rsid w:val="00565A5D"/>
    <w:rsid w:val="005677B7"/>
    <w:rsid w:val="0059198C"/>
    <w:rsid w:val="00597241"/>
    <w:rsid w:val="005B294D"/>
    <w:rsid w:val="005B3A77"/>
    <w:rsid w:val="005B79E3"/>
    <w:rsid w:val="005D2D35"/>
    <w:rsid w:val="005D720B"/>
    <w:rsid w:val="00601672"/>
    <w:rsid w:val="00631216"/>
    <w:rsid w:val="00641995"/>
    <w:rsid w:val="00642D7A"/>
    <w:rsid w:val="006573CD"/>
    <w:rsid w:val="0069620F"/>
    <w:rsid w:val="006E23A7"/>
    <w:rsid w:val="00704090"/>
    <w:rsid w:val="007343B5"/>
    <w:rsid w:val="00760436"/>
    <w:rsid w:val="00761162"/>
    <w:rsid w:val="007A187F"/>
    <w:rsid w:val="007C052B"/>
    <w:rsid w:val="007C3D5D"/>
    <w:rsid w:val="007C6448"/>
    <w:rsid w:val="007C71E2"/>
    <w:rsid w:val="007D2144"/>
    <w:rsid w:val="007D2BC7"/>
    <w:rsid w:val="007E757F"/>
    <w:rsid w:val="008304FD"/>
    <w:rsid w:val="008534B2"/>
    <w:rsid w:val="008647E6"/>
    <w:rsid w:val="00874DA7"/>
    <w:rsid w:val="00887851"/>
    <w:rsid w:val="008B1CBB"/>
    <w:rsid w:val="008C3129"/>
    <w:rsid w:val="008E14BF"/>
    <w:rsid w:val="00904BAC"/>
    <w:rsid w:val="00911F32"/>
    <w:rsid w:val="00932EB1"/>
    <w:rsid w:val="00937C49"/>
    <w:rsid w:val="00937DE9"/>
    <w:rsid w:val="009403A7"/>
    <w:rsid w:val="0094591C"/>
    <w:rsid w:val="009475C1"/>
    <w:rsid w:val="00951B3E"/>
    <w:rsid w:val="00952385"/>
    <w:rsid w:val="00985393"/>
    <w:rsid w:val="00986259"/>
    <w:rsid w:val="009E3D01"/>
    <w:rsid w:val="009F40A1"/>
    <w:rsid w:val="00A11145"/>
    <w:rsid w:val="00A21D69"/>
    <w:rsid w:val="00A40C74"/>
    <w:rsid w:val="00A5003A"/>
    <w:rsid w:val="00A5277A"/>
    <w:rsid w:val="00A57892"/>
    <w:rsid w:val="00A63D57"/>
    <w:rsid w:val="00A85479"/>
    <w:rsid w:val="00AC6177"/>
    <w:rsid w:val="00AD17C9"/>
    <w:rsid w:val="00AF036E"/>
    <w:rsid w:val="00AF126F"/>
    <w:rsid w:val="00B312CE"/>
    <w:rsid w:val="00BA37DD"/>
    <w:rsid w:val="00BA67D7"/>
    <w:rsid w:val="00C207C3"/>
    <w:rsid w:val="00C41EFE"/>
    <w:rsid w:val="00C71E98"/>
    <w:rsid w:val="00C959A2"/>
    <w:rsid w:val="00CA268F"/>
    <w:rsid w:val="00D05796"/>
    <w:rsid w:val="00D70F6F"/>
    <w:rsid w:val="00DE0C3D"/>
    <w:rsid w:val="00E11990"/>
    <w:rsid w:val="00E16585"/>
    <w:rsid w:val="00E1768E"/>
    <w:rsid w:val="00E36927"/>
    <w:rsid w:val="00E541A8"/>
    <w:rsid w:val="00E705DA"/>
    <w:rsid w:val="00E76242"/>
    <w:rsid w:val="00E9403F"/>
    <w:rsid w:val="00EB5878"/>
    <w:rsid w:val="00EC7C3D"/>
    <w:rsid w:val="00ED351A"/>
    <w:rsid w:val="00F07C2A"/>
    <w:rsid w:val="00F24A4B"/>
    <w:rsid w:val="00F730E6"/>
    <w:rsid w:val="00FB25F4"/>
    <w:rsid w:val="00FB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35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b/>
        <w:bCs/>
        <w:sz w:val="28"/>
        <w:szCs w:val="28"/>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94D"/>
    <w:pPr>
      <w:widowControl w:val="0"/>
    </w:pPr>
    <w:rPr>
      <w:rFonts w:ascii="Times New Roman" w:eastAsia="Times New Roman" w:hAnsi="Times New Roman"/>
      <w:b w:val="0"/>
      <w:bCs w:val="0"/>
      <w:snapToGrid w:val="0"/>
      <w:sz w:val="24"/>
      <w:szCs w:val="20"/>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N-00Logosoncoveralignedright">
    <w:name w:val="UN-00 Logos on cover aligned right"/>
    <w:rsid w:val="005B294D"/>
    <w:pPr>
      <w:jc w:val="right"/>
    </w:pPr>
    <w:rPr>
      <w:rFonts w:ascii="Times New Roman" w:eastAsia="Times New Roman" w:hAnsi="Times New Roman"/>
      <w:b w:val="0"/>
      <w:bCs w:val="0"/>
      <w:sz w:val="22"/>
      <w:szCs w:val="20"/>
      <w:lang w:eastAsia="en-US"/>
    </w:rPr>
  </w:style>
  <w:style w:type="paragraph" w:customStyle="1" w:styleId="UN-00Logosoncoveralignedleft">
    <w:name w:val="UN-00 Logos on cover aligned left"/>
    <w:basedOn w:val="UN-00Logosoncoveralignedright"/>
    <w:rsid w:val="005B294D"/>
    <w:pPr>
      <w:jc w:val="left"/>
    </w:pPr>
  </w:style>
  <w:style w:type="paragraph" w:styleId="Testofumetto">
    <w:name w:val="Balloon Text"/>
    <w:basedOn w:val="Normale"/>
    <w:link w:val="TestofumettoCarattere"/>
    <w:uiPriority w:val="99"/>
    <w:semiHidden/>
    <w:unhideWhenUsed/>
    <w:rsid w:val="005B294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294D"/>
    <w:rPr>
      <w:rFonts w:ascii="Lucida Grande" w:eastAsia="Times New Roman" w:hAnsi="Lucida Grande" w:cs="Lucida Grande"/>
      <w:b w:val="0"/>
      <w:bCs w:val="0"/>
      <w:snapToGrid w:val="0"/>
      <w:sz w:val="18"/>
      <w:szCs w:val="18"/>
      <w:lang w:val="en-GB" w:eastAsia="en-US"/>
    </w:rPr>
  </w:style>
  <w:style w:type="table" w:styleId="Grigliatabella">
    <w:name w:val="Table Grid"/>
    <w:basedOn w:val="Tabellanormale"/>
    <w:uiPriority w:val="59"/>
    <w:rsid w:val="005B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51547"/>
    <w:pPr>
      <w:ind w:left="720"/>
      <w:contextualSpacing/>
    </w:pPr>
  </w:style>
  <w:style w:type="paragraph" w:styleId="NormaleWeb">
    <w:name w:val="Normal (Web)"/>
    <w:basedOn w:val="Normale"/>
    <w:uiPriority w:val="99"/>
    <w:unhideWhenUsed/>
    <w:rsid w:val="00C71E98"/>
    <w:pPr>
      <w:widowControl/>
      <w:spacing w:before="100" w:beforeAutospacing="1" w:after="100" w:afterAutospacing="1"/>
    </w:pPr>
    <w:rPr>
      <w:rFonts w:eastAsiaTheme="minorHAnsi"/>
      <w:snapToGrid/>
      <w:szCs w:val="24"/>
      <w:lang w:val="en-US"/>
    </w:rPr>
  </w:style>
  <w:style w:type="paragraph" w:styleId="Pidipagina">
    <w:name w:val="footer"/>
    <w:basedOn w:val="Normale"/>
    <w:link w:val="PidipaginaCarattere"/>
    <w:uiPriority w:val="99"/>
    <w:unhideWhenUsed/>
    <w:rsid w:val="00A5277A"/>
    <w:pPr>
      <w:tabs>
        <w:tab w:val="center" w:pos="4819"/>
        <w:tab w:val="right" w:pos="9638"/>
      </w:tabs>
    </w:pPr>
  </w:style>
  <w:style w:type="character" w:customStyle="1" w:styleId="PidipaginaCarattere">
    <w:name w:val="Piè di pagina Carattere"/>
    <w:basedOn w:val="Caratterepredefinitoparagrafo"/>
    <w:link w:val="Pidipagina"/>
    <w:uiPriority w:val="99"/>
    <w:rsid w:val="00A5277A"/>
    <w:rPr>
      <w:rFonts w:ascii="Times New Roman" w:eastAsia="Times New Roman" w:hAnsi="Times New Roman"/>
      <w:b w:val="0"/>
      <w:bCs w:val="0"/>
      <w:snapToGrid w:val="0"/>
      <w:sz w:val="24"/>
      <w:szCs w:val="20"/>
      <w:lang w:val="en-GB" w:eastAsia="en-US"/>
    </w:rPr>
  </w:style>
  <w:style w:type="character" w:styleId="Numeropagina">
    <w:name w:val="page number"/>
    <w:basedOn w:val="Caratterepredefinitoparagrafo"/>
    <w:uiPriority w:val="99"/>
    <w:semiHidden/>
    <w:unhideWhenUsed/>
    <w:rsid w:val="00A5277A"/>
  </w:style>
  <w:style w:type="character" w:styleId="Rimandocommento">
    <w:name w:val="annotation reference"/>
    <w:basedOn w:val="Caratterepredefinitoparagrafo"/>
    <w:uiPriority w:val="99"/>
    <w:semiHidden/>
    <w:unhideWhenUsed/>
    <w:rsid w:val="0040308E"/>
    <w:rPr>
      <w:sz w:val="18"/>
      <w:szCs w:val="18"/>
    </w:rPr>
  </w:style>
  <w:style w:type="paragraph" w:styleId="Testocommento">
    <w:name w:val="annotation text"/>
    <w:basedOn w:val="Normale"/>
    <w:link w:val="TestocommentoCarattere"/>
    <w:uiPriority w:val="99"/>
    <w:semiHidden/>
    <w:unhideWhenUsed/>
    <w:rsid w:val="0040308E"/>
    <w:rPr>
      <w:szCs w:val="24"/>
    </w:rPr>
  </w:style>
  <w:style w:type="character" w:customStyle="1" w:styleId="TestocommentoCarattere">
    <w:name w:val="Testo commento Carattere"/>
    <w:basedOn w:val="Caratterepredefinitoparagrafo"/>
    <w:link w:val="Testocommento"/>
    <w:uiPriority w:val="99"/>
    <w:semiHidden/>
    <w:rsid w:val="0040308E"/>
    <w:rPr>
      <w:rFonts w:ascii="Times New Roman" w:eastAsia="Times New Roman" w:hAnsi="Times New Roman"/>
      <w:b w:val="0"/>
      <w:bCs w:val="0"/>
      <w:snapToGrid w:val="0"/>
      <w:sz w:val="24"/>
      <w:szCs w:val="24"/>
      <w:lang w:val="en-GB" w:eastAsia="en-US"/>
    </w:rPr>
  </w:style>
  <w:style w:type="paragraph" w:styleId="Soggettocommento">
    <w:name w:val="annotation subject"/>
    <w:basedOn w:val="Testocommento"/>
    <w:next w:val="Testocommento"/>
    <w:link w:val="SoggettocommentoCarattere"/>
    <w:uiPriority w:val="99"/>
    <w:semiHidden/>
    <w:unhideWhenUsed/>
    <w:rsid w:val="0040308E"/>
    <w:rPr>
      <w:b/>
      <w:bCs/>
      <w:sz w:val="20"/>
      <w:szCs w:val="20"/>
    </w:rPr>
  </w:style>
  <w:style w:type="character" w:customStyle="1" w:styleId="SoggettocommentoCarattere">
    <w:name w:val="Soggetto commento Carattere"/>
    <w:basedOn w:val="TestocommentoCarattere"/>
    <w:link w:val="Soggettocommento"/>
    <w:uiPriority w:val="99"/>
    <w:semiHidden/>
    <w:rsid w:val="0040308E"/>
    <w:rPr>
      <w:rFonts w:ascii="Times New Roman" w:eastAsia="Times New Roman" w:hAnsi="Times New Roman"/>
      <w:b/>
      <w:bCs/>
      <w:snapToGrid w:val="0"/>
      <w:sz w:val="20"/>
      <w:szCs w:val="20"/>
      <w:lang w:val="en-GB" w:eastAsia="en-US"/>
    </w:rPr>
  </w:style>
  <w:style w:type="character" w:customStyle="1" w:styleId="il">
    <w:name w:val="il"/>
    <w:basedOn w:val="Caratterepredefinitoparagrafo"/>
    <w:rsid w:val="00937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b/>
        <w:bCs/>
        <w:sz w:val="28"/>
        <w:szCs w:val="28"/>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94D"/>
    <w:pPr>
      <w:widowControl w:val="0"/>
    </w:pPr>
    <w:rPr>
      <w:rFonts w:ascii="Times New Roman" w:eastAsia="Times New Roman" w:hAnsi="Times New Roman"/>
      <w:b w:val="0"/>
      <w:bCs w:val="0"/>
      <w:snapToGrid w:val="0"/>
      <w:sz w:val="24"/>
      <w:szCs w:val="20"/>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N-00Logosoncoveralignedright">
    <w:name w:val="UN-00 Logos on cover aligned right"/>
    <w:rsid w:val="005B294D"/>
    <w:pPr>
      <w:jc w:val="right"/>
    </w:pPr>
    <w:rPr>
      <w:rFonts w:ascii="Times New Roman" w:eastAsia="Times New Roman" w:hAnsi="Times New Roman"/>
      <w:b w:val="0"/>
      <w:bCs w:val="0"/>
      <w:sz w:val="22"/>
      <w:szCs w:val="20"/>
      <w:lang w:eastAsia="en-US"/>
    </w:rPr>
  </w:style>
  <w:style w:type="paragraph" w:customStyle="1" w:styleId="UN-00Logosoncoveralignedleft">
    <w:name w:val="UN-00 Logos on cover aligned left"/>
    <w:basedOn w:val="UN-00Logosoncoveralignedright"/>
    <w:rsid w:val="005B294D"/>
    <w:pPr>
      <w:jc w:val="left"/>
    </w:pPr>
  </w:style>
  <w:style w:type="paragraph" w:styleId="Testofumetto">
    <w:name w:val="Balloon Text"/>
    <w:basedOn w:val="Normale"/>
    <w:link w:val="TestofumettoCarattere"/>
    <w:uiPriority w:val="99"/>
    <w:semiHidden/>
    <w:unhideWhenUsed/>
    <w:rsid w:val="005B294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294D"/>
    <w:rPr>
      <w:rFonts w:ascii="Lucida Grande" w:eastAsia="Times New Roman" w:hAnsi="Lucida Grande" w:cs="Lucida Grande"/>
      <w:b w:val="0"/>
      <w:bCs w:val="0"/>
      <w:snapToGrid w:val="0"/>
      <w:sz w:val="18"/>
      <w:szCs w:val="18"/>
      <w:lang w:val="en-GB" w:eastAsia="en-US"/>
    </w:rPr>
  </w:style>
  <w:style w:type="table" w:styleId="Grigliatabella">
    <w:name w:val="Table Grid"/>
    <w:basedOn w:val="Tabellanormale"/>
    <w:uiPriority w:val="59"/>
    <w:rsid w:val="005B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51547"/>
    <w:pPr>
      <w:ind w:left="720"/>
      <w:contextualSpacing/>
    </w:pPr>
  </w:style>
  <w:style w:type="paragraph" w:styleId="NormaleWeb">
    <w:name w:val="Normal (Web)"/>
    <w:basedOn w:val="Normale"/>
    <w:uiPriority w:val="99"/>
    <w:unhideWhenUsed/>
    <w:rsid w:val="00C71E98"/>
    <w:pPr>
      <w:widowControl/>
      <w:spacing w:before="100" w:beforeAutospacing="1" w:after="100" w:afterAutospacing="1"/>
    </w:pPr>
    <w:rPr>
      <w:rFonts w:eastAsiaTheme="minorHAnsi"/>
      <w:snapToGrid/>
      <w:szCs w:val="24"/>
      <w:lang w:val="en-US"/>
    </w:rPr>
  </w:style>
  <w:style w:type="paragraph" w:styleId="Pidipagina">
    <w:name w:val="footer"/>
    <w:basedOn w:val="Normale"/>
    <w:link w:val="PidipaginaCarattere"/>
    <w:uiPriority w:val="99"/>
    <w:unhideWhenUsed/>
    <w:rsid w:val="00A5277A"/>
    <w:pPr>
      <w:tabs>
        <w:tab w:val="center" w:pos="4819"/>
        <w:tab w:val="right" w:pos="9638"/>
      </w:tabs>
    </w:pPr>
  </w:style>
  <w:style w:type="character" w:customStyle="1" w:styleId="PidipaginaCarattere">
    <w:name w:val="Piè di pagina Carattere"/>
    <w:basedOn w:val="Caratterepredefinitoparagrafo"/>
    <w:link w:val="Pidipagina"/>
    <w:uiPriority w:val="99"/>
    <w:rsid w:val="00A5277A"/>
    <w:rPr>
      <w:rFonts w:ascii="Times New Roman" w:eastAsia="Times New Roman" w:hAnsi="Times New Roman"/>
      <w:b w:val="0"/>
      <w:bCs w:val="0"/>
      <w:snapToGrid w:val="0"/>
      <w:sz w:val="24"/>
      <w:szCs w:val="20"/>
      <w:lang w:val="en-GB" w:eastAsia="en-US"/>
    </w:rPr>
  </w:style>
  <w:style w:type="character" w:styleId="Numeropagina">
    <w:name w:val="page number"/>
    <w:basedOn w:val="Caratterepredefinitoparagrafo"/>
    <w:uiPriority w:val="99"/>
    <w:semiHidden/>
    <w:unhideWhenUsed/>
    <w:rsid w:val="00A5277A"/>
  </w:style>
  <w:style w:type="character" w:styleId="Rimandocommento">
    <w:name w:val="annotation reference"/>
    <w:basedOn w:val="Caratterepredefinitoparagrafo"/>
    <w:uiPriority w:val="99"/>
    <w:semiHidden/>
    <w:unhideWhenUsed/>
    <w:rsid w:val="0040308E"/>
    <w:rPr>
      <w:sz w:val="18"/>
      <w:szCs w:val="18"/>
    </w:rPr>
  </w:style>
  <w:style w:type="paragraph" w:styleId="Testocommento">
    <w:name w:val="annotation text"/>
    <w:basedOn w:val="Normale"/>
    <w:link w:val="TestocommentoCarattere"/>
    <w:uiPriority w:val="99"/>
    <w:semiHidden/>
    <w:unhideWhenUsed/>
    <w:rsid w:val="0040308E"/>
    <w:rPr>
      <w:szCs w:val="24"/>
    </w:rPr>
  </w:style>
  <w:style w:type="character" w:customStyle="1" w:styleId="TestocommentoCarattere">
    <w:name w:val="Testo commento Carattere"/>
    <w:basedOn w:val="Caratterepredefinitoparagrafo"/>
    <w:link w:val="Testocommento"/>
    <w:uiPriority w:val="99"/>
    <w:semiHidden/>
    <w:rsid w:val="0040308E"/>
    <w:rPr>
      <w:rFonts w:ascii="Times New Roman" w:eastAsia="Times New Roman" w:hAnsi="Times New Roman"/>
      <w:b w:val="0"/>
      <w:bCs w:val="0"/>
      <w:snapToGrid w:val="0"/>
      <w:sz w:val="24"/>
      <w:szCs w:val="24"/>
      <w:lang w:val="en-GB" w:eastAsia="en-US"/>
    </w:rPr>
  </w:style>
  <w:style w:type="paragraph" w:styleId="Soggettocommento">
    <w:name w:val="annotation subject"/>
    <w:basedOn w:val="Testocommento"/>
    <w:next w:val="Testocommento"/>
    <w:link w:val="SoggettocommentoCarattere"/>
    <w:uiPriority w:val="99"/>
    <w:semiHidden/>
    <w:unhideWhenUsed/>
    <w:rsid w:val="0040308E"/>
    <w:rPr>
      <w:b/>
      <w:bCs/>
      <w:sz w:val="20"/>
      <w:szCs w:val="20"/>
    </w:rPr>
  </w:style>
  <w:style w:type="character" w:customStyle="1" w:styleId="SoggettocommentoCarattere">
    <w:name w:val="Soggetto commento Carattere"/>
    <w:basedOn w:val="TestocommentoCarattere"/>
    <w:link w:val="Soggettocommento"/>
    <w:uiPriority w:val="99"/>
    <w:semiHidden/>
    <w:rsid w:val="0040308E"/>
    <w:rPr>
      <w:rFonts w:ascii="Times New Roman" w:eastAsia="Times New Roman" w:hAnsi="Times New Roman"/>
      <w:b/>
      <w:bCs/>
      <w:snapToGrid w:val="0"/>
      <w:sz w:val="20"/>
      <w:szCs w:val="20"/>
      <w:lang w:val="en-GB" w:eastAsia="en-US"/>
    </w:rPr>
  </w:style>
  <w:style w:type="character" w:customStyle="1" w:styleId="il">
    <w:name w:val="il"/>
    <w:basedOn w:val="Caratterepredefinitoparagrafo"/>
    <w:rsid w:val="0093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gif@01C775DC.3F1823B0"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466</Words>
  <Characters>2661</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Pedone</dc:creator>
  <cp:lastModifiedBy>Giulia Pedone</cp:lastModifiedBy>
  <cp:revision>3</cp:revision>
  <dcterms:created xsi:type="dcterms:W3CDTF">2015-02-09T12:07:00Z</dcterms:created>
  <dcterms:modified xsi:type="dcterms:W3CDTF">2015-03-05T09:43:00Z</dcterms:modified>
</cp:coreProperties>
</file>