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625C" w14:textId="77777777" w:rsidR="005B294D" w:rsidRPr="00EB5878" w:rsidRDefault="005B294D" w:rsidP="005B294D">
      <w:pPr>
        <w:rPr>
          <w:lang w:val="en-US"/>
        </w:rPr>
      </w:pPr>
    </w:p>
    <w:p w14:paraId="658042F4" w14:textId="77777777" w:rsidR="005B294D" w:rsidRDefault="005B294D" w:rsidP="005B294D">
      <w:pPr>
        <w:jc w:val="right"/>
        <w:rPr>
          <w:sz w:val="56"/>
          <w:szCs w:val="56"/>
        </w:rPr>
      </w:pPr>
      <w:r>
        <w:rPr>
          <w:noProof/>
          <w:szCs w:val="24"/>
          <w:lang w:val="es-CL" w:eastAsia="es-CL"/>
        </w:rPr>
        <w:drawing>
          <wp:inline distT="0" distB="0" distL="0" distR="0" wp14:anchorId="15E21E94" wp14:editId="1EBBE058">
            <wp:extent cx="965200" cy="838200"/>
            <wp:effectExtent l="0" t="0" r="0" b="0"/>
            <wp:docPr id="2" name="Picture 2" descr="U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57B30" w14:textId="77777777" w:rsidR="005B294D" w:rsidRPr="005B294D" w:rsidRDefault="005B294D" w:rsidP="005B294D">
      <w:pPr>
        <w:rPr>
          <w:sz w:val="56"/>
          <w:szCs w:val="56"/>
        </w:rPr>
      </w:pPr>
      <w:r>
        <w:rPr>
          <w:sz w:val="56"/>
          <w:szCs w:val="56"/>
        </w:rPr>
        <w:t>SUN</w:t>
      </w:r>
      <w:r w:rsidRPr="005B294D">
        <w:rPr>
          <w:sz w:val="56"/>
          <w:szCs w:val="56"/>
        </w:rPr>
        <w:t xml:space="preserve"> Movement</w:t>
      </w:r>
    </w:p>
    <w:p w14:paraId="75A38D2B" w14:textId="77777777" w:rsidR="005B294D" w:rsidRPr="005B294D" w:rsidRDefault="005B294D" w:rsidP="005B294D">
      <w:pPr>
        <w:rPr>
          <w:sz w:val="56"/>
          <w:szCs w:val="56"/>
        </w:rPr>
      </w:pPr>
      <w:r w:rsidRPr="005B294D">
        <w:rPr>
          <w:sz w:val="56"/>
          <w:szCs w:val="56"/>
        </w:rPr>
        <w:t>Multi-Partner Trust Fund (MPTF)</w:t>
      </w:r>
    </w:p>
    <w:p w14:paraId="1E6B9552" w14:textId="77777777" w:rsidR="005B294D" w:rsidRDefault="005B294D" w:rsidP="005B294D">
      <w:pPr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snapToGrid/>
          <w:sz w:val="38"/>
          <w:szCs w:val="38"/>
          <w:lang w:val="it-IT" w:eastAsia="it-IT"/>
        </w:rPr>
      </w:pPr>
    </w:p>
    <w:p w14:paraId="204C3771" w14:textId="77777777" w:rsidR="005B294D" w:rsidRPr="005B294D" w:rsidRDefault="005B294D" w:rsidP="005B294D">
      <w:pPr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b/>
          <w:bCs/>
          <w:snapToGrid/>
          <w:sz w:val="36"/>
          <w:szCs w:val="36"/>
          <w:lang w:val="it-IT" w:eastAsia="it-IT"/>
        </w:rPr>
      </w:pPr>
      <w:r w:rsidRPr="005B294D">
        <w:rPr>
          <w:rFonts w:ascii="Times" w:eastAsiaTheme="minorEastAsia" w:hAnsi="Times" w:cs="Times"/>
          <w:b/>
          <w:bCs/>
          <w:snapToGrid/>
          <w:sz w:val="36"/>
          <w:szCs w:val="36"/>
          <w:lang w:val="it-IT" w:eastAsia="it-IT"/>
        </w:rPr>
        <w:t>PROGRAMME</w:t>
      </w:r>
      <w:r w:rsidRPr="005B294D">
        <w:rPr>
          <w:rFonts w:ascii="Times" w:eastAsiaTheme="minorEastAsia" w:hAnsi="Times" w:cs="Times"/>
          <w:b/>
          <w:bCs/>
          <w:snapToGrid/>
          <w:position w:val="10"/>
          <w:sz w:val="36"/>
          <w:szCs w:val="36"/>
          <w:lang w:val="it-IT" w:eastAsia="it-IT"/>
        </w:rPr>
        <w:t xml:space="preserve"> </w:t>
      </w:r>
      <w:r w:rsidRPr="005B294D">
        <w:rPr>
          <w:rFonts w:ascii="Times" w:eastAsiaTheme="minorEastAsia" w:hAnsi="Times" w:cs="Times"/>
          <w:b/>
          <w:bCs/>
          <w:snapToGrid/>
          <w:sz w:val="36"/>
          <w:szCs w:val="36"/>
          <w:lang w:val="it-IT" w:eastAsia="it-IT"/>
        </w:rPr>
        <w:t>QUARTERLY PROGRESS UPDATE</w:t>
      </w:r>
    </w:p>
    <w:p w14:paraId="26F7BCEC" w14:textId="6AD2B0BB" w:rsidR="005B294D" w:rsidRPr="005B294D" w:rsidRDefault="00C41EFE" w:rsidP="005B294D">
      <w:pPr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b/>
          <w:bCs/>
          <w:snapToGrid/>
          <w:sz w:val="36"/>
          <w:szCs w:val="36"/>
          <w:lang w:eastAsia="it-IT"/>
        </w:rPr>
      </w:pPr>
      <w:proofErr w:type="gramStart"/>
      <w:r>
        <w:rPr>
          <w:rFonts w:ascii="Times" w:eastAsiaTheme="minorEastAsia" w:hAnsi="Times" w:cs="Times"/>
          <w:b/>
          <w:bCs/>
          <w:snapToGrid/>
          <w:sz w:val="36"/>
          <w:szCs w:val="36"/>
          <w:lang w:eastAsia="it-IT"/>
        </w:rPr>
        <w:t>as</w:t>
      </w:r>
      <w:proofErr w:type="gramEnd"/>
      <w:r>
        <w:rPr>
          <w:rFonts w:ascii="Times" w:eastAsiaTheme="minorEastAsia" w:hAnsi="Times" w:cs="Times"/>
          <w:b/>
          <w:bCs/>
          <w:snapToGrid/>
          <w:sz w:val="36"/>
          <w:szCs w:val="36"/>
          <w:lang w:eastAsia="it-IT"/>
        </w:rPr>
        <w:t xml:space="preserve"> of 30 September</w:t>
      </w:r>
      <w:r w:rsidR="00420C53">
        <w:rPr>
          <w:rFonts w:ascii="Times" w:eastAsiaTheme="minorEastAsia" w:hAnsi="Times" w:cs="Times"/>
          <w:b/>
          <w:bCs/>
          <w:snapToGrid/>
          <w:sz w:val="36"/>
          <w:szCs w:val="36"/>
          <w:lang w:eastAsia="it-IT"/>
        </w:rPr>
        <w:t xml:space="preserve"> 2014</w:t>
      </w:r>
    </w:p>
    <w:p w14:paraId="09177F88" w14:textId="77777777" w:rsidR="005B294D" w:rsidRDefault="005B294D" w:rsidP="005B294D">
      <w:pPr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b/>
          <w:bCs/>
          <w:snapToGrid/>
          <w:sz w:val="36"/>
          <w:szCs w:val="36"/>
          <w:lang w:val="it-IT" w:eastAsia="it-IT"/>
        </w:rPr>
      </w:pPr>
    </w:p>
    <w:tbl>
      <w:tblPr>
        <w:tblStyle w:val="Tablaconcuadrcula"/>
        <w:tblW w:w="4909" w:type="pct"/>
        <w:tblInd w:w="108" w:type="dxa"/>
        <w:tblLook w:val="04A0" w:firstRow="1" w:lastRow="0" w:firstColumn="1" w:lastColumn="0" w:noHBand="0" w:noVBand="1"/>
      </w:tblPr>
      <w:tblGrid>
        <w:gridCol w:w="2814"/>
        <w:gridCol w:w="1408"/>
        <w:gridCol w:w="1025"/>
        <w:gridCol w:w="1274"/>
        <w:gridCol w:w="1280"/>
        <w:gridCol w:w="1868"/>
      </w:tblGrid>
      <w:tr w:rsidR="008304FD" w:rsidRPr="002D5D91" w14:paraId="067DBA87" w14:textId="77777777" w:rsidTr="008304FD">
        <w:trPr>
          <w:trHeight w:val="64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6584370E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 xml:space="preserve">Participating Organization: </w:t>
            </w:r>
          </w:p>
        </w:tc>
        <w:tc>
          <w:tcPr>
            <w:tcW w:w="3545" w:type="pct"/>
            <w:gridSpan w:val="5"/>
            <w:vAlign w:val="center"/>
          </w:tcPr>
          <w:p w14:paraId="1C410C33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UNOPS</w:t>
            </w:r>
          </w:p>
        </w:tc>
      </w:tr>
      <w:tr w:rsidR="008304FD" w:rsidRPr="002D5D91" w14:paraId="3304C943" w14:textId="77777777" w:rsidTr="008304FD">
        <w:trPr>
          <w:trHeight w:val="62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206970C9" w14:textId="77777777" w:rsidR="005B294D" w:rsidRPr="002D5D91" w:rsidRDefault="005B294D" w:rsidP="005B294D">
            <w:pPr>
              <w:rPr>
                <w:b/>
                <w:bCs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 xml:space="preserve">Implementing Partner(s): </w:t>
            </w:r>
          </w:p>
        </w:tc>
        <w:tc>
          <w:tcPr>
            <w:tcW w:w="3545" w:type="pct"/>
            <w:gridSpan w:val="5"/>
            <w:vAlign w:val="center"/>
          </w:tcPr>
          <w:p w14:paraId="08189B27" w14:textId="77777777" w:rsidR="005B294D" w:rsidRPr="002D5D91" w:rsidRDefault="005B294D" w:rsidP="005B294D">
            <w:pPr>
              <w:rPr>
                <w:b/>
                <w:bCs/>
                <w:sz w:val="22"/>
                <w:szCs w:val="22"/>
              </w:rPr>
            </w:pPr>
            <w:r w:rsidRPr="002D5D91">
              <w:rPr>
                <w:b/>
                <w:bCs/>
                <w:sz w:val="22"/>
                <w:szCs w:val="22"/>
              </w:rPr>
              <w:t>PROCASUR Corporation</w:t>
            </w:r>
          </w:p>
        </w:tc>
      </w:tr>
      <w:tr w:rsidR="008304FD" w:rsidRPr="002D5D91" w14:paraId="14ECB9C9" w14:textId="77777777" w:rsidTr="008304FD">
        <w:trPr>
          <w:trHeight w:val="62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59A9DB9E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 xml:space="preserve">Programme Number: </w:t>
            </w:r>
          </w:p>
        </w:tc>
        <w:tc>
          <w:tcPr>
            <w:tcW w:w="3545" w:type="pct"/>
            <w:gridSpan w:val="5"/>
            <w:vAlign w:val="center"/>
          </w:tcPr>
          <w:p w14:paraId="645B12CA" w14:textId="064AA17B" w:rsidR="005B294D" w:rsidRPr="002D5D91" w:rsidRDefault="002D5D91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Grant number: 88389</w:t>
            </w:r>
          </w:p>
        </w:tc>
      </w:tr>
      <w:tr w:rsidR="008304FD" w:rsidRPr="002D5D91" w14:paraId="21DD4E87" w14:textId="77777777" w:rsidTr="008304FD">
        <w:trPr>
          <w:trHeight w:val="62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58A004CC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Programme Title:</w:t>
            </w:r>
          </w:p>
        </w:tc>
        <w:tc>
          <w:tcPr>
            <w:tcW w:w="3545" w:type="pct"/>
            <w:gridSpan w:val="5"/>
            <w:vAlign w:val="center"/>
          </w:tcPr>
          <w:p w14:paraId="0DE4E978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iCs/>
                <w:snapToGrid/>
                <w:color w:val="1A1A1A"/>
                <w:sz w:val="22"/>
                <w:szCs w:val="22"/>
                <w:lang w:val="en-US"/>
              </w:rPr>
              <w:t>“Strengthening the Capacity of SUN Countries to Scale Up Nutrition through Learning Routes”</w:t>
            </w:r>
          </w:p>
        </w:tc>
      </w:tr>
      <w:tr w:rsidR="008304FD" w:rsidRPr="002D5D91" w14:paraId="17F4C0F3" w14:textId="77777777" w:rsidTr="008304FD">
        <w:trPr>
          <w:trHeight w:val="64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421A51C8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Approved Programme Budget:</w:t>
            </w:r>
          </w:p>
        </w:tc>
        <w:tc>
          <w:tcPr>
            <w:tcW w:w="3545" w:type="pct"/>
            <w:gridSpan w:val="5"/>
            <w:vAlign w:val="center"/>
          </w:tcPr>
          <w:p w14:paraId="06C03D1A" w14:textId="2ABAA441" w:rsidR="005B294D" w:rsidRPr="002D5D91" w:rsidRDefault="002D5D91" w:rsidP="002D5D91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US$ 600</w:t>
            </w:r>
            <w:r w:rsidR="005B294D" w:rsidRPr="002D5D91">
              <w:rPr>
                <w:b/>
                <w:sz w:val="22"/>
                <w:szCs w:val="22"/>
              </w:rPr>
              <w:t>,000 (six hundred thousand US dollars)</w:t>
            </w:r>
          </w:p>
        </w:tc>
      </w:tr>
      <w:tr w:rsidR="008304FD" w:rsidRPr="002D5D91" w14:paraId="40195293" w14:textId="77777777" w:rsidTr="008304FD">
        <w:trPr>
          <w:trHeight w:val="62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239AEE17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545" w:type="pct"/>
            <w:gridSpan w:val="5"/>
            <w:vAlign w:val="center"/>
          </w:tcPr>
          <w:p w14:paraId="09ACAA99" w14:textId="77777777" w:rsidR="005B294D" w:rsidRPr="002D5D91" w:rsidRDefault="005B294D" w:rsidP="005B294D">
            <w:pPr>
              <w:jc w:val="both"/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Peru, Senegal, worldwide</w:t>
            </w:r>
          </w:p>
        </w:tc>
      </w:tr>
      <w:tr w:rsidR="008304FD" w:rsidRPr="002D5D91" w14:paraId="6FD7F648" w14:textId="77777777" w:rsidTr="008304FD">
        <w:trPr>
          <w:trHeight w:val="62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2681A493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MC Approval Date:</w:t>
            </w:r>
          </w:p>
        </w:tc>
        <w:tc>
          <w:tcPr>
            <w:tcW w:w="3545" w:type="pct"/>
            <w:gridSpan w:val="5"/>
            <w:vAlign w:val="center"/>
          </w:tcPr>
          <w:p w14:paraId="569366B4" w14:textId="53695A35" w:rsidR="005B294D" w:rsidRPr="002D5D91" w:rsidRDefault="002D5D91" w:rsidP="005B294D">
            <w:pPr>
              <w:jc w:val="both"/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07 February 2014</w:t>
            </w:r>
          </w:p>
        </w:tc>
      </w:tr>
      <w:tr w:rsidR="008304FD" w:rsidRPr="002D5D91" w14:paraId="33C2A29A" w14:textId="77777777" w:rsidTr="008304FD">
        <w:trPr>
          <w:trHeight w:val="64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4B1021C4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Programme Duration:</w:t>
            </w:r>
          </w:p>
        </w:tc>
        <w:tc>
          <w:tcPr>
            <w:tcW w:w="3545" w:type="pct"/>
            <w:gridSpan w:val="5"/>
            <w:vAlign w:val="center"/>
          </w:tcPr>
          <w:p w14:paraId="44EC2E8D" w14:textId="77777777" w:rsidR="005B294D" w:rsidRPr="002D5D91" w:rsidRDefault="005B294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12 months</w:t>
            </w:r>
          </w:p>
        </w:tc>
      </w:tr>
      <w:tr w:rsidR="008304FD" w:rsidRPr="002D5D91" w14:paraId="4AA4DEE3" w14:textId="77777777" w:rsidTr="002D5D91">
        <w:trPr>
          <w:trHeight w:val="64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4CE4BD72" w14:textId="77777777" w:rsidR="008304FD" w:rsidRPr="00951B3E" w:rsidRDefault="008304FD" w:rsidP="008304FD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Fund Committed:</w:t>
            </w:r>
          </w:p>
        </w:tc>
        <w:tc>
          <w:tcPr>
            <w:tcW w:w="1917" w:type="pct"/>
            <w:gridSpan w:val="3"/>
            <w:vAlign w:val="center"/>
          </w:tcPr>
          <w:p w14:paraId="7E448D89" w14:textId="289134C7" w:rsidR="008304FD" w:rsidRPr="00951B3E" w:rsidRDefault="008304FD" w:rsidP="002D5D91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US</w:t>
            </w:r>
            <w:r w:rsidRPr="00951B3E">
              <w:rPr>
                <w:b/>
                <w:color w:val="000000"/>
                <w:sz w:val="22"/>
                <w:szCs w:val="22"/>
              </w:rPr>
              <w:t>$</w:t>
            </w:r>
            <w:r w:rsidR="002D6D3E" w:rsidRPr="00951B3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B5878">
              <w:rPr>
                <w:b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26F6B9C8" w14:textId="77777777" w:rsidR="008304FD" w:rsidRPr="00951B3E" w:rsidRDefault="008304FD" w:rsidP="008304FD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Percentage of</w:t>
            </w:r>
          </w:p>
          <w:p w14:paraId="6241EE9E" w14:textId="77777777" w:rsidR="008304FD" w:rsidRPr="00951B3E" w:rsidRDefault="008304FD" w:rsidP="008304FD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966" w:type="pct"/>
            <w:vAlign w:val="center"/>
          </w:tcPr>
          <w:p w14:paraId="166C0FBF" w14:textId="5AA6BAB3" w:rsidR="008304FD" w:rsidRPr="00951B3E" w:rsidRDefault="00EB5878" w:rsidP="005B2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46,7%</w:t>
            </w:r>
          </w:p>
        </w:tc>
      </w:tr>
      <w:tr w:rsidR="008304FD" w:rsidRPr="002D5D91" w14:paraId="53919E6A" w14:textId="77777777" w:rsidTr="002D5D91">
        <w:trPr>
          <w:trHeight w:val="64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320795C3" w14:textId="77777777" w:rsidR="008304FD" w:rsidRPr="00951B3E" w:rsidRDefault="008304FD" w:rsidP="005B294D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Fund Disbursed:</w:t>
            </w:r>
          </w:p>
        </w:tc>
        <w:tc>
          <w:tcPr>
            <w:tcW w:w="1917" w:type="pct"/>
            <w:gridSpan w:val="3"/>
            <w:vAlign w:val="center"/>
          </w:tcPr>
          <w:p w14:paraId="680937DF" w14:textId="3B3F57B1" w:rsidR="008304FD" w:rsidRPr="00951B3E" w:rsidRDefault="008304FD" w:rsidP="00AF036E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US</w:t>
            </w:r>
            <w:r w:rsidR="002D6D3E" w:rsidRPr="00951B3E">
              <w:rPr>
                <w:b/>
                <w:color w:val="000000"/>
                <w:sz w:val="22"/>
                <w:szCs w:val="22"/>
              </w:rPr>
              <w:t xml:space="preserve">$ </w:t>
            </w:r>
            <w:r w:rsidR="00EB5878">
              <w:rPr>
                <w:b/>
                <w:color w:val="000000"/>
                <w:sz w:val="22"/>
                <w:szCs w:val="22"/>
              </w:rPr>
              <w:t>320,000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44B164A4" w14:textId="77777777" w:rsidR="008304FD" w:rsidRPr="00951B3E" w:rsidRDefault="008304FD" w:rsidP="008304FD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Percentage of</w:t>
            </w:r>
          </w:p>
          <w:p w14:paraId="646EC05E" w14:textId="77777777" w:rsidR="008304FD" w:rsidRPr="00951B3E" w:rsidRDefault="008304FD" w:rsidP="008304FD">
            <w:pPr>
              <w:rPr>
                <w:b/>
                <w:sz w:val="22"/>
                <w:szCs w:val="22"/>
              </w:rPr>
            </w:pPr>
            <w:r w:rsidRPr="00951B3E"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966" w:type="pct"/>
            <w:vAlign w:val="center"/>
          </w:tcPr>
          <w:p w14:paraId="07D6B95B" w14:textId="4955496F" w:rsidR="008304FD" w:rsidRPr="00951B3E" w:rsidRDefault="00EB5878" w:rsidP="00830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53,3%</w:t>
            </w:r>
          </w:p>
        </w:tc>
      </w:tr>
      <w:tr w:rsidR="001824F7" w:rsidRPr="002D5D91" w14:paraId="564C7D29" w14:textId="77777777" w:rsidTr="002D5D91">
        <w:trPr>
          <w:trHeight w:val="64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024060F2" w14:textId="77777777" w:rsidR="001824F7" w:rsidRPr="00EB5878" w:rsidRDefault="001824F7" w:rsidP="001824F7">
            <w:pPr>
              <w:rPr>
                <w:b/>
                <w:sz w:val="22"/>
                <w:szCs w:val="22"/>
              </w:rPr>
            </w:pPr>
            <w:r w:rsidRPr="00EB5878">
              <w:rPr>
                <w:b/>
                <w:sz w:val="22"/>
                <w:szCs w:val="22"/>
              </w:rPr>
              <w:t>Total Expenses for Period</w:t>
            </w:r>
          </w:p>
          <w:p w14:paraId="35E560F2" w14:textId="57099A0F" w:rsidR="001824F7" w:rsidRPr="0040308E" w:rsidRDefault="00EB5878" w:rsidP="005B294D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07-02-2014 to 30</w:t>
            </w:r>
            <w:r w:rsidR="0040308E" w:rsidRPr="00EB5878">
              <w:rPr>
                <w:b/>
                <w:sz w:val="22"/>
                <w:szCs w:val="22"/>
              </w:rPr>
              <w:t>-09</w:t>
            </w:r>
            <w:r w:rsidR="001824F7" w:rsidRPr="00EB5878">
              <w:rPr>
                <w:b/>
                <w:sz w:val="22"/>
                <w:szCs w:val="22"/>
              </w:rPr>
              <w:t>-2014</w:t>
            </w:r>
          </w:p>
        </w:tc>
        <w:tc>
          <w:tcPr>
            <w:tcW w:w="1917" w:type="pct"/>
            <w:gridSpan w:val="3"/>
            <w:vAlign w:val="center"/>
          </w:tcPr>
          <w:p w14:paraId="3BC4E7E0" w14:textId="70B0EBDA" w:rsidR="001824F7" w:rsidRPr="00EB5878" w:rsidRDefault="001824F7" w:rsidP="00986259">
            <w:pPr>
              <w:rPr>
                <w:b/>
                <w:sz w:val="22"/>
                <w:szCs w:val="22"/>
              </w:rPr>
            </w:pPr>
            <w:r w:rsidRPr="00EB5878">
              <w:rPr>
                <w:b/>
                <w:sz w:val="22"/>
                <w:szCs w:val="22"/>
              </w:rPr>
              <w:t xml:space="preserve">US$ </w:t>
            </w:r>
            <w:r w:rsidR="00E11990">
              <w:rPr>
                <w:b/>
                <w:sz w:val="22"/>
                <w:szCs w:val="22"/>
              </w:rPr>
              <w:t>524.355,12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0C004C8D" w14:textId="363BCE51" w:rsidR="001824F7" w:rsidRPr="00EB5878" w:rsidRDefault="001824F7" w:rsidP="008304FD">
            <w:pPr>
              <w:rPr>
                <w:b/>
                <w:sz w:val="22"/>
                <w:szCs w:val="22"/>
              </w:rPr>
            </w:pPr>
            <w:r w:rsidRPr="00EB5878">
              <w:rPr>
                <w:b/>
                <w:sz w:val="22"/>
                <w:szCs w:val="22"/>
              </w:rPr>
              <w:t>Percentage for Found Reception</w:t>
            </w:r>
          </w:p>
        </w:tc>
        <w:tc>
          <w:tcPr>
            <w:tcW w:w="966" w:type="pct"/>
            <w:vAlign w:val="center"/>
          </w:tcPr>
          <w:p w14:paraId="02857E57" w14:textId="44A1BA44" w:rsidR="001824F7" w:rsidRPr="00EB5878" w:rsidRDefault="00E11990" w:rsidP="00830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163,86</w:t>
            </w:r>
            <w:r w:rsidR="00EB5878">
              <w:rPr>
                <w:b/>
                <w:sz w:val="22"/>
                <w:szCs w:val="22"/>
              </w:rPr>
              <w:t>%</w:t>
            </w:r>
          </w:p>
        </w:tc>
      </w:tr>
      <w:tr w:rsidR="008304FD" w:rsidRPr="002D5D91" w14:paraId="37E3DF03" w14:textId="77777777" w:rsidTr="002D5D91">
        <w:trPr>
          <w:trHeight w:val="642"/>
        </w:trPr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147737DB" w14:textId="77777777" w:rsidR="008304FD" w:rsidRPr="002D5D91" w:rsidRDefault="008304FD" w:rsidP="005B294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Expected Programme Duration:</w:t>
            </w:r>
          </w:p>
        </w:tc>
        <w:tc>
          <w:tcPr>
            <w:tcW w:w="728" w:type="pct"/>
            <w:vAlign w:val="center"/>
          </w:tcPr>
          <w:p w14:paraId="3CA67CE3" w14:textId="1301A851" w:rsidR="008304FD" w:rsidRPr="002D5D91" w:rsidRDefault="00591696" w:rsidP="005B2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February 2014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14:paraId="5A11F05F" w14:textId="77777777" w:rsidR="008304FD" w:rsidRPr="002D5D91" w:rsidRDefault="008304FD" w:rsidP="008304FD">
            <w:pPr>
              <w:jc w:val="center"/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Forecast Final Date</w:t>
            </w:r>
          </w:p>
        </w:tc>
        <w:tc>
          <w:tcPr>
            <w:tcW w:w="659" w:type="pct"/>
            <w:vAlign w:val="center"/>
          </w:tcPr>
          <w:p w14:paraId="7D3F5987" w14:textId="141848A3" w:rsidR="008304FD" w:rsidRPr="002D5D91" w:rsidRDefault="00591696" w:rsidP="005B2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bookmarkStart w:id="0" w:name="_GoBack"/>
            <w:bookmarkEnd w:id="0"/>
            <w:r w:rsidR="002D5D91" w:rsidRPr="002D5D91">
              <w:rPr>
                <w:b/>
                <w:sz w:val="22"/>
                <w:szCs w:val="22"/>
              </w:rPr>
              <w:t xml:space="preserve"> February 2015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025A9B44" w14:textId="77777777" w:rsidR="008304FD" w:rsidRPr="002D5D91" w:rsidRDefault="008304FD" w:rsidP="008304FD">
            <w:pPr>
              <w:rPr>
                <w:b/>
                <w:sz w:val="22"/>
                <w:szCs w:val="22"/>
              </w:rPr>
            </w:pPr>
            <w:r w:rsidRPr="002D5D91">
              <w:rPr>
                <w:b/>
                <w:sz w:val="22"/>
                <w:szCs w:val="22"/>
              </w:rPr>
              <w:t>Delay (Months)</w:t>
            </w:r>
          </w:p>
        </w:tc>
        <w:tc>
          <w:tcPr>
            <w:tcW w:w="966" w:type="pct"/>
            <w:vAlign w:val="center"/>
          </w:tcPr>
          <w:p w14:paraId="69031FB2" w14:textId="04787D26" w:rsidR="008304FD" w:rsidRPr="002D5D91" w:rsidRDefault="00F730E6" w:rsidP="008304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None</w:t>
            </w:r>
          </w:p>
        </w:tc>
      </w:tr>
    </w:tbl>
    <w:p w14:paraId="64142F13" w14:textId="77777777" w:rsidR="00EC7C3D" w:rsidRDefault="00EC7C3D" w:rsidP="001824F7">
      <w:pPr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snapToGrid/>
          <w:sz w:val="36"/>
          <w:szCs w:val="36"/>
          <w:lang w:val="it-IT" w:eastAsia="it-IT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4253"/>
        <w:gridCol w:w="2126"/>
      </w:tblGrid>
      <w:tr w:rsidR="00EC7C3D" w:rsidRPr="00EC7C3D" w14:paraId="7FB80E51" w14:textId="77777777" w:rsidTr="007C052B">
        <w:tc>
          <w:tcPr>
            <w:tcW w:w="3544" w:type="dxa"/>
            <w:shd w:val="clear" w:color="auto" w:fill="D9D9D9" w:themeFill="background1" w:themeFillShade="D9"/>
          </w:tcPr>
          <w:p w14:paraId="755ED9BF" w14:textId="77777777" w:rsidR="00EC7C3D" w:rsidRPr="00EC7C3D" w:rsidRDefault="00EC7C3D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</w:pPr>
            <w:r w:rsidRPr="00EC7C3D"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  <w:lastRenderedPageBreak/>
              <w:t>Outcomes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2D4592A" w14:textId="77777777" w:rsidR="00EC7C3D" w:rsidRPr="00EC7C3D" w:rsidRDefault="00EC7C3D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</w:pPr>
            <w:r w:rsidRPr="00EC7C3D"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  <w:t>Achievements/ Results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76D85F0" w14:textId="77777777" w:rsidR="00EC7C3D" w:rsidRPr="00EC7C3D" w:rsidRDefault="00EC7C3D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  <w:t>Percentage of planned</w:t>
            </w:r>
          </w:p>
        </w:tc>
      </w:tr>
      <w:tr w:rsidR="00760436" w:rsidRPr="00EC7C3D" w14:paraId="610A7A75" w14:textId="77777777" w:rsidTr="00760436">
        <w:tc>
          <w:tcPr>
            <w:tcW w:w="3544" w:type="dxa"/>
            <w:shd w:val="clear" w:color="auto" w:fill="auto"/>
          </w:tcPr>
          <w:p w14:paraId="03E39F84" w14:textId="278F5B25" w:rsidR="00760436" w:rsidRPr="00EC7C3D" w:rsidRDefault="00760436" w:rsidP="00382FE6">
            <w:pPr>
              <w:autoSpaceDE w:val="0"/>
              <w:autoSpaceDN w:val="0"/>
              <w:adjustRightInd w:val="0"/>
              <w:spacing w:after="240"/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1. The implementation of the Learning Route </w:t>
            </w:r>
            <w:r w:rsidR="0025233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(LR)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in Senegal is positively ev</w:t>
            </w:r>
            <w:r w:rsidR="00EB587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aluated by participants,</w:t>
            </w:r>
            <w:r w:rsidR="00382FE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by the SUN Movement Secretariat (S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MS</w:t>
            </w:r>
            <w:r w:rsidR="00382FE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)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and CLM</w:t>
            </w:r>
            <w:r w:rsidR="00382FE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(</w:t>
            </w:r>
            <w:r w:rsidR="00382FE6" w:rsidRPr="00382FE6">
              <w:rPr>
                <w:rFonts w:eastAsiaTheme="minorEastAsia"/>
                <w:bCs/>
                <w:i/>
                <w:snapToGrid/>
                <w:sz w:val="22"/>
                <w:szCs w:val="22"/>
                <w:lang w:eastAsia="it-IT"/>
              </w:rPr>
              <w:t xml:space="preserve">Cellule de </w:t>
            </w:r>
            <w:proofErr w:type="spellStart"/>
            <w:r w:rsidR="00382FE6" w:rsidRPr="00382FE6">
              <w:rPr>
                <w:rFonts w:eastAsiaTheme="minorEastAsia"/>
                <w:bCs/>
                <w:i/>
                <w:snapToGrid/>
                <w:sz w:val="22"/>
                <w:szCs w:val="22"/>
                <w:lang w:eastAsia="it-IT"/>
              </w:rPr>
              <w:t>Lutte</w:t>
            </w:r>
            <w:proofErr w:type="spellEnd"/>
            <w:r w:rsidR="00382FE6" w:rsidRPr="00382FE6">
              <w:rPr>
                <w:rFonts w:eastAsiaTheme="minorEastAsia"/>
                <w:bCs/>
                <w:i/>
                <w:snapToGrid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="00382FE6" w:rsidRPr="00382FE6">
              <w:rPr>
                <w:rFonts w:eastAsiaTheme="minorEastAsia"/>
                <w:bCs/>
                <w:i/>
                <w:snapToGrid/>
                <w:sz w:val="22"/>
                <w:szCs w:val="22"/>
                <w:lang w:eastAsia="it-IT"/>
              </w:rPr>
              <w:t>contre</w:t>
            </w:r>
            <w:proofErr w:type="spellEnd"/>
            <w:r w:rsidR="00382FE6" w:rsidRPr="00382FE6">
              <w:rPr>
                <w:rFonts w:eastAsiaTheme="minorEastAsia"/>
                <w:bCs/>
                <w:i/>
                <w:snapToGrid/>
                <w:sz w:val="22"/>
                <w:szCs w:val="22"/>
                <w:lang w:eastAsia="it-IT"/>
              </w:rPr>
              <w:t xml:space="preserve"> la Malnutrition</w:t>
            </w:r>
            <w:r w:rsidR="00382FE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, Senegalese host institution). </w:t>
            </w:r>
          </w:p>
        </w:tc>
        <w:tc>
          <w:tcPr>
            <w:tcW w:w="4253" w:type="dxa"/>
            <w:shd w:val="clear" w:color="auto" w:fill="auto"/>
          </w:tcPr>
          <w:p w14:paraId="4E6B397C" w14:textId="41A85350" w:rsidR="00760436" w:rsidRPr="00D70F6F" w:rsidRDefault="00382FE6" w:rsidP="00760436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After the LR in Senegal, participants were invited to evaluate the contents, methodology and logistic aspects of the LR. Two 15 issues questionnaires, one in English and one in French</w:t>
            </w:r>
            <w:r w:rsidR="00EB587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,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were made available to recipients, including SMS and CLM staff that joined the Route. 55% of participants answered the survey: all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answers assessed the LR experience in a very positive way. Answers and their analysis have been consolidated into a r</w:t>
            </w:r>
            <w:r w:rsidR="004F4E0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eport. Feedbacks have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been used to improve the LR in Peru. </w:t>
            </w:r>
          </w:p>
        </w:tc>
        <w:tc>
          <w:tcPr>
            <w:tcW w:w="2126" w:type="dxa"/>
            <w:shd w:val="clear" w:color="auto" w:fill="auto"/>
          </w:tcPr>
          <w:p w14:paraId="02891C2C" w14:textId="7C4BCB79" w:rsidR="00760436" w:rsidRDefault="00760436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" w:eastAsiaTheme="minorEastAsia" w:hAnsi="Times" w:cs="Times"/>
                <w:b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760436" w:rsidRPr="00EC7C3D" w14:paraId="2721DBB4" w14:textId="77777777" w:rsidTr="00760436">
        <w:tc>
          <w:tcPr>
            <w:tcW w:w="3544" w:type="dxa"/>
            <w:shd w:val="clear" w:color="auto" w:fill="auto"/>
          </w:tcPr>
          <w:p w14:paraId="471F9D78" w14:textId="6639B939" w:rsidR="00760436" w:rsidRDefault="00760436" w:rsidP="00440B2B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2. </w:t>
            </w:r>
            <w:r w:rsidR="00440B2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Country teams participating </w:t>
            </w:r>
            <w:r w:rsidR="004F4E0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in</w:t>
            </w:r>
            <w:r w:rsidR="00440B2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to the LR in Senegal submitted the final version of their Action Plans (1 per country). </w:t>
            </w:r>
          </w:p>
        </w:tc>
        <w:tc>
          <w:tcPr>
            <w:tcW w:w="4253" w:type="dxa"/>
            <w:shd w:val="clear" w:color="auto" w:fill="auto"/>
          </w:tcPr>
          <w:p w14:paraId="22E8E374" w14:textId="09020660" w:rsidR="00760436" w:rsidRDefault="00760436" w:rsidP="004F4E0B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Final version of the Action Plan </w:t>
            </w:r>
            <w:r w:rsidR="004F4E0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delivered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by Country Teams. </w:t>
            </w:r>
          </w:p>
        </w:tc>
        <w:tc>
          <w:tcPr>
            <w:tcW w:w="2126" w:type="dxa"/>
            <w:shd w:val="clear" w:color="auto" w:fill="auto"/>
          </w:tcPr>
          <w:p w14:paraId="5B6AB154" w14:textId="199F937E" w:rsidR="00760436" w:rsidRDefault="00760436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324B7E" w:rsidRPr="00EC7C3D" w14:paraId="238B5664" w14:textId="77777777" w:rsidTr="00760436">
        <w:tc>
          <w:tcPr>
            <w:tcW w:w="3544" w:type="dxa"/>
            <w:shd w:val="clear" w:color="auto" w:fill="auto"/>
          </w:tcPr>
          <w:p w14:paraId="65D41296" w14:textId="7DDC26A8" w:rsidR="00324B7E" w:rsidRDefault="00324B7E" w:rsidP="00440B2B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3. An activity of peer-to-peer crossed</w:t>
            </w:r>
            <w:r w:rsidRPr="00324B7E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-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review of the Action Plans is launched, as part of the Senegal LR follow-up activities.</w:t>
            </w:r>
          </w:p>
        </w:tc>
        <w:tc>
          <w:tcPr>
            <w:tcW w:w="4253" w:type="dxa"/>
            <w:shd w:val="clear" w:color="auto" w:fill="auto"/>
          </w:tcPr>
          <w:p w14:paraId="13D9F5C9" w14:textId="7689A594" w:rsidR="00324B7E" w:rsidRDefault="00324B7E" w:rsidP="00EB5878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 w:rsidRPr="00324B7E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Th</w:t>
            </w:r>
            <w:r w:rsidR="00EB587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e activity was aimed to assist country t</w:t>
            </w:r>
            <w:r w:rsidRPr="00324B7E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eams in the process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of improvement of their Plans; </w:t>
            </w:r>
            <w:r w:rsidRPr="00324B7E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Francophon</w:t>
            </w:r>
            <w:r w:rsidR="00EB587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e countries</w:t>
            </w:r>
            <w:r w:rsidRPr="00324B7E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and Anglophone </w:t>
            </w:r>
            <w:r w:rsidR="00EB587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countries</w:t>
            </w:r>
            <w:r w:rsidRPr="00324B7E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were paired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together and </w:t>
            </w:r>
            <w:r w:rsidR="00EB587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country teams</w:t>
            </w:r>
            <w:r w:rsidRPr="00324B7E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were asked to analyse the Plan of their pair based on a set of criteria provided. </w:t>
            </w:r>
          </w:p>
        </w:tc>
        <w:tc>
          <w:tcPr>
            <w:tcW w:w="2126" w:type="dxa"/>
            <w:shd w:val="clear" w:color="auto" w:fill="auto"/>
          </w:tcPr>
          <w:p w14:paraId="2BB6EC13" w14:textId="5EC657C3" w:rsidR="00324B7E" w:rsidRDefault="00324B7E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295C8B" w:rsidRPr="00EC7C3D" w14:paraId="63B53E19" w14:textId="77777777" w:rsidTr="00760436">
        <w:tc>
          <w:tcPr>
            <w:tcW w:w="3544" w:type="dxa"/>
            <w:shd w:val="clear" w:color="auto" w:fill="auto"/>
          </w:tcPr>
          <w:p w14:paraId="7FC59531" w14:textId="573C3686" w:rsidR="00295C8B" w:rsidRDefault="00324B7E" w:rsidP="007C71E2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4</w:t>
            </w:r>
            <w:r w:rsidR="00295C8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Based on the final version of the Country Action Plans, a set of leaflets (1 per Plan) is produced to disseminate the 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countries’</w:t>
            </w:r>
            <w:r w:rsidR="00295C8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proposals to a broad public. </w:t>
            </w:r>
          </w:p>
        </w:tc>
        <w:tc>
          <w:tcPr>
            <w:tcW w:w="4253" w:type="dxa"/>
            <w:shd w:val="clear" w:color="auto" w:fill="auto"/>
          </w:tcPr>
          <w:p w14:paraId="59F987B0" w14:textId="277E4C27" w:rsidR="00295C8B" w:rsidRDefault="00EB5878" w:rsidP="00631216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 set of different factors contributed to delay the delivery of the final version of the Action Plans by country teams:  the outbreak of the Ebola virus in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the 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West Africa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region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seriously affected countries such as Sierra Leone and Guinea Conakry; in Ghana, 1 of the 2 team members left the te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am; the delegation of Peru was fully involved in the preparation of the Learning Route in the country. Some of the Plans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were 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recently submitted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in September. 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As a consequence,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the productio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n of the communication material (leaflets)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based on the Country Action Plans is still on-going.</w:t>
            </w:r>
          </w:p>
        </w:tc>
        <w:tc>
          <w:tcPr>
            <w:tcW w:w="2126" w:type="dxa"/>
            <w:shd w:val="clear" w:color="auto" w:fill="auto"/>
          </w:tcPr>
          <w:p w14:paraId="54D753C3" w14:textId="4EDD9518" w:rsidR="00295C8B" w:rsidRDefault="00631216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7</w:t>
            </w:r>
            <w:r w:rsidR="007C71E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0%</w:t>
            </w:r>
          </w:p>
        </w:tc>
      </w:tr>
      <w:tr w:rsidR="00E9403F" w:rsidRPr="00EC7C3D" w14:paraId="58809677" w14:textId="77777777" w:rsidTr="00760436">
        <w:tc>
          <w:tcPr>
            <w:tcW w:w="3544" w:type="dxa"/>
            <w:shd w:val="clear" w:color="auto" w:fill="auto"/>
          </w:tcPr>
          <w:p w14:paraId="34270934" w14:textId="187DF13D" w:rsidR="00E9403F" w:rsidRDefault="00324B7E" w:rsidP="00760436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5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. A professional video on the LR in Senegal is produced</w:t>
            </w:r>
            <w:r w:rsidR="00440B2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898D1E7" w14:textId="26DC6393" w:rsidR="00E9403F" w:rsidRDefault="00E9403F" w:rsidP="00761162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The post-production of the video was delayed due to the late delivery of the material by the video team 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hired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in Senegal. The video is being currently finalised and it will be ready for middle October. </w:t>
            </w:r>
          </w:p>
        </w:tc>
        <w:tc>
          <w:tcPr>
            <w:tcW w:w="2126" w:type="dxa"/>
            <w:shd w:val="clear" w:color="auto" w:fill="auto"/>
          </w:tcPr>
          <w:p w14:paraId="79B965BA" w14:textId="022BF256" w:rsidR="00E9403F" w:rsidRDefault="00E9403F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90%</w:t>
            </w:r>
          </w:p>
        </w:tc>
      </w:tr>
      <w:tr w:rsidR="00483F43" w:rsidRPr="00EC7C3D" w14:paraId="18D77E79" w14:textId="77777777" w:rsidTr="00760436">
        <w:tc>
          <w:tcPr>
            <w:tcW w:w="3544" w:type="dxa"/>
            <w:shd w:val="clear" w:color="auto" w:fill="auto"/>
          </w:tcPr>
          <w:p w14:paraId="17993354" w14:textId="38E9A38E" w:rsidR="00483F43" w:rsidRPr="00483F43" w:rsidRDefault="00324B7E" w:rsidP="00483F43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val="it-IT"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6</w:t>
            </w:r>
            <w:r w:rsidR="00483F43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As part of the follow-up activities of the LR in Senegal, the early stage of implementation of </w:t>
            </w:r>
            <w:r w:rsidR="00483F43" w:rsidRPr="00483F43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Action Plans</w:t>
            </w:r>
            <w:r w:rsidR="00483F43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‘activities is monitored. </w:t>
            </w:r>
          </w:p>
        </w:tc>
        <w:tc>
          <w:tcPr>
            <w:tcW w:w="4253" w:type="dxa"/>
            <w:shd w:val="clear" w:color="auto" w:fill="auto"/>
          </w:tcPr>
          <w:p w14:paraId="6B52E2E6" w14:textId="6B2393C2" w:rsidR="00483F43" w:rsidRDefault="00483F43" w:rsidP="00DE0C3D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The implementation of the Action Plans greatly differs depending on the country team: in some cases, actions have ben already taken by countries to put in place the proposed act</w:t>
            </w:r>
            <w:r w:rsidR="00DE0C3D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ivities (as in the case of Peru); in others, the LR experience already generated </w:t>
            </w:r>
            <w:r w:rsidR="00DE0C3D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some relevant impacts (as in the case of Benin); finally, some countries could not advance in implementing their Plans due to external factor</w:t>
            </w:r>
            <w:r w:rsidR="004F4E0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 (Sierra Leone, Guinea Conakry due to the Ebola outbreak</w:t>
            </w:r>
            <w:r w:rsidR="00DE0C3D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). </w:t>
            </w:r>
          </w:p>
        </w:tc>
        <w:tc>
          <w:tcPr>
            <w:tcW w:w="2126" w:type="dxa"/>
            <w:shd w:val="clear" w:color="auto" w:fill="auto"/>
          </w:tcPr>
          <w:p w14:paraId="65D78A0A" w14:textId="22531137" w:rsidR="00483F43" w:rsidRDefault="00DE0C3D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100%</w:t>
            </w:r>
          </w:p>
        </w:tc>
      </w:tr>
      <w:tr w:rsidR="00E9403F" w:rsidRPr="00EC7C3D" w14:paraId="2FB71628" w14:textId="77777777" w:rsidTr="00760436">
        <w:tc>
          <w:tcPr>
            <w:tcW w:w="3544" w:type="dxa"/>
            <w:shd w:val="clear" w:color="auto" w:fill="auto"/>
          </w:tcPr>
          <w:p w14:paraId="3129C82A" w14:textId="4F4E34FF" w:rsidR="00E9403F" w:rsidRDefault="00324B7E" w:rsidP="0025233B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7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. The systematization process</w:t>
            </w:r>
            <w:r w:rsidR="0025233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for the LR in Peru is carried out. </w:t>
            </w:r>
          </w:p>
        </w:tc>
        <w:tc>
          <w:tcPr>
            <w:tcW w:w="4253" w:type="dxa"/>
            <w:shd w:val="clear" w:color="auto" w:fill="auto"/>
          </w:tcPr>
          <w:p w14:paraId="2AF0C7DA" w14:textId="333C31D6" w:rsidR="00E9403F" w:rsidRPr="00440B2B" w:rsidRDefault="0025233B" w:rsidP="00642D7A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The process of systematization of the experiences </w:t>
            </w:r>
            <w:r w:rsidR="004F4E0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to be presented during the LR was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implemented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in 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the city of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Lima and 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in the region of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Ayacucho (07-12 July). A second 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visit </w:t>
            </w:r>
            <w:r w:rsidR="004F4E0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was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carried out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in Ayacucho to reinforce the preparation of the field visit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 in the rural communities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(21-24 August)</w:t>
            </w:r>
            <w:r w:rsidR="004F4E0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.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The systematizations were carried out by PROCASUR with the support of MIDIS.</w:t>
            </w:r>
          </w:p>
        </w:tc>
        <w:tc>
          <w:tcPr>
            <w:tcW w:w="2126" w:type="dxa"/>
            <w:shd w:val="clear" w:color="auto" w:fill="auto"/>
          </w:tcPr>
          <w:p w14:paraId="722FD2CE" w14:textId="20C74AD2" w:rsidR="00E9403F" w:rsidRDefault="0025233B" w:rsidP="00EC7C3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E9403F" w:rsidRPr="00EC7C3D" w14:paraId="3EA1BE27" w14:textId="77777777" w:rsidTr="007C052B">
        <w:trPr>
          <w:trHeight w:val="2318"/>
        </w:trPr>
        <w:tc>
          <w:tcPr>
            <w:tcW w:w="3544" w:type="dxa"/>
          </w:tcPr>
          <w:p w14:paraId="530A3A3A" w14:textId="5E103B67" w:rsidR="00E9403F" w:rsidRPr="007E757F" w:rsidRDefault="00324B7E" w:rsidP="00761162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E9403F" w:rsidRPr="007E757F">
              <w:rPr>
                <w:color w:val="000000"/>
                <w:sz w:val="22"/>
                <w:szCs w:val="22"/>
              </w:rPr>
              <w:t xml:space="preserve">. </w:t>
            </w:r>
            <w:r w:rsidR="00E9403F">
              <w:rPr>
                <w:color w:val="000000"/>
                <w:sz w:val="22"/>
                <w:szCs w:val="22"/>
              </w:rPr>
              <w:t xml:space="preserve">The information resulting from the systematization process in </w:t>
            </w:r>
            <w:r w:rsidR="00642D7A">
              <w:rPr>
                <w:color w:val="000000"/>
                <w:sz w:val="22"/>
                <w:szCs w:val="22"/>
              </w:rPr>
              <w:t>Peru</w:t>
            </w:r>
            <w:r w:rsidR="00E9403F">
              <w:rPr>
                <w:color w:val="000000"/>
                <w:sz w:val="22"/>
                <w:szCs w:val="22"/>
              </w:rPr>
              <w:t xml:space="preserve"> is organized, validated by </w:t>
            </w:r>
            <w:r w:rsidR="00761162">
              <w:rPr>
                <w:color w:val="000000"/>
                <w:sz w:val="22"/>
                <w:szCs w:val="22"/>
              </w:rPr>
              <w:t>the hosting institutions in Peru</w:t>
            </w:r>
            <w:r w:rsidR="00E9403F">
              <w:rPr>
                <w:color w:val="000000"/>
                <w:sz w:val="22"/>
                <w:szCs w:val="22"/>
              </w:rPr>
              <w:t xml:space="preserve"> and </w:t>
            </w:r>
            <w:r w:rsidR="00761162">
              <w:rPr>
                <w:color w:val="000000"/>
                <w:sz w:val="22"/>
                <w:szCs w:val="22"/>
              </w:rPr>
              <w:t xml:space="preserve">by </w:t>
            </w:r>
            <w:r w:rsidR="00E9403F">
              <w:rPr>
                <w:color w:val="000000"/>
                <w:sz w:val="22"/>
                <w:szCs w:val="22"/>
              </w:rPr>
              <w:t>SMS</w:t>
            </w:r>
            <w:r w:rsidR="00761162">
              <w:rPr>
                <w:color w:val="000000"/>
                <w:sz w:val="22"/>
                <w:szCs w:val="22"/>
              </w:rPr>
              <w:t>,</w:t>
            </w:r>
            <w:r w:rsidR="00E9403F">
              <w:rPr>
                <w:color w:val="000000"/>
                <w:sz w:val="22"/>
                <w:szCs w:val="22"/>
              </w:rPr>
              <w:t xml:space="preserve"> and shared among </w:t>
            </w:r>
            <w:r w:rsidR="00642D7A">
              <w:rPr>
                <w:color w:val="000000"/>
                <w:sz w:val="22"/>
                <w:szCs w:val="22"/>
              </w:rPr>
              <w:t>LR</w:t>
            </w:r>
            <w:r w:rsidR="00E9403F">
              <w:rPr>
                <w:color w:val="000000"/>
                <w:sz w:val="22"/>
                <w:szCs w:val="22"/>
              </w:rPr>
              <w:t xml:space="preserve"> participants</w:t>
            </w:r>
            <w:r w:rsidR="0076116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14:paraId="166679AE" w14:textId="1ECB58D6" w:rsidR="00E9403F" w:rsidRPr="007E757F" w:rsidRDefault="00E9403F" w:rsidP="00642D7A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Production and sharing of the following documents 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–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ESP, EN and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FR versions: (a) systematization report; (b) logistical and methodological dossier; (c) LR final agenda and list of participants.</w:t>
            </w:r>
          </w:p>
        </w:tc>
        <w:tc>
          <w:tcPr>
            <w:tcW w:w="2126" w:type="dxa"/>
          </w:tcPr>
          <w:p w14:paraId="7456BD1C" w14:textId="77777777" w:rsidR="00E9403F" w:rsidRPr="007C6448" w:rsidRDefault="00E9403F" w:rsidP="007C6448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 w:rsidRPr="007C644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E9403F" w:rsidRPr="00EC7C3D" w14:paraId="7CE4995D" w14:textId="77777777" w:rsidTr="007C052B">
        <w:tc>
          <w:tcPr>
            <w:tcW w:w="3544" w:type="dxa"/>
          </w:tcPr>
          <w:p w14:paraId="211D1C6D" w14:textId="0754960B" w:rsidR="00E9403F" w:rsidRPr="00952385" w:rsidRDefault="00324B7E" w:rsidP="00642D7A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9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.  The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Vir</w:t>
            </w:r>
            <w:r w:rsidR="00642D7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tual Learning Community (VLC) is joined by participants of the LR in Peru</w:t>
            </w:r>
          </w:p>
        </w:tc>
        <w:tc>
          <w:tcPr>
            <w:tcW w:w="4253" w:type="dxa"/>
          </w:tcPr>
          <w:p w14:paraId="74D85391" w14:textId="4BCF75B1" w:rsidR="00E9403F" w:rsidRPr="00952385" w:rsidRDefault="00E541A8" w:rsidP="00761162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personal profile is created for each participant of the LR in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Peru; 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a tutorial for accessing and navigating the platform is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shared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and individual technical support to use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the platform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is offered to participant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; 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key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documentation regarding the LR in Peru is shared among participants 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using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Moodle platform.</w:t>
            </w:r>
          </w:p>
        </w:tc>
        <w:tc>
          <w:tcPr>
            <w:tcW w:w="2126" w:type="dxa"/>
          </w:tcPr>
          <w:p w14:paraId="2A0AD6F1" w14:textId="77777777" w:rsidR="00E9403F" w:rsidRPr="007C6448" w:rsidRDefault="00E9403F" w:rsidP="00ED351A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E9403F" w:rsidRPr="00EC7C3D" w14:paraId="5AE55350" w14:textId="77777777" w:rsidTr="007C052B">
        <w:tc>
          <w:tcPr>
            <w:tcW w:w="3544" w:type="dxa"/>
          </w:tcPr>
          <w:p w14:paraId="68DC7F5E" w14:textId="2D881C15" w:rsidR="00E9403F" w:rsidRPr="00952385" w:rsidRDefault="00324B7E" w:rsidP="00761162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</w:t>
            </w:r>
            <w:r w:rsidR="00E541A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The training methodology and pedagogical tools are 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adapted</w:t>
            </w:r>
            <w:r w:rsidR="00E541A8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to the specificity of the LR in Peru.</w:t>
            </w:r>
          </w:p>
        </w:tc>
        <w:tc>
          <w:tcPr>
            <w:tcW w:w="4253" w:type="dxa"/>
          </w:tcPr>
          <w:p w14:paraId="5449BAB8" w14:textId="4FB0F3CA" w:rsidR="00E9403F" w:rsidRPr="0039715B" w:rsidRDefault="00761162" w:rsidP="00761162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At the light of the feedback received after the LR in Senegal, the training methodology and its pedagogical tools have been improved and adapted to the Peruvian context.</w:t>
            </w:r>
          </w:p>
        </w:tc>
        <w:tc>
          <w:tcPr>
            <w:tcW w:w="2126" w:type="dxa"/>
          </w:tcPr>
          <w:p w14:paraId="2B8CFD7C" w14:textId="52856BB1" w:rsidR="00E9403F" w:rsidRPr="007C6448" w:rsidRDefault="00761162" w:rsidP="00ED351A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E9403F" w:rsidRPr="00EC7C3D" w14:paraId="2A0E2C4E" w14:textId="77777777" w:rsidTr="007C052B">
        <w:tc>
          <w:tcPr>
            <w:tcW w:w="3544" w:type="dxa"/>
          </w:tcPr>
          <w:p w14:paraId="0DEEBF2D" w14:textId="6B7E63E0" w:rsidR="00E9403F" w:rsidRDefault="00324B7E" w:rsidP="00761162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11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El Salvador is selected </w:t>
            </w:r>
            <w:r w:rsidR="008534B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as additional country 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to join the LR </w:t>
            </w:r>
            <w:r w:rsidR="00E705D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in Peru </w:t>
            </w:r>
            <w:r w:rsidR="00761162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and 3 representatives from the public sect</w:t>
            </w:r>
            <w:r w:rsidR="00E705D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or and CSO are delegated. </w:t>
            </w:r>
          </w:p>
        </w:tc>
        <w:tc>
          <w:tcPr>
            <w:tcW w:w="4253" w:type="dxa"/>
          </w:tcPr>
          <w:p w14:paraId="1B28EB9B" w14:textId="1FCECC41" w:rsidR="00E705DA" w:rsidRPr="00E705DA" w:rsidRDefault="00E705DA" w:rsidP="0042103A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Based on</w:t>
            </w:r>
            <w:r w:rsidR="008534B2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the agreement taken with SMS after the LR in Senegal, the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“Action Plan Fund” (USD 12,000) - originally 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assigned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to </w:t>
            </w:r>
            <w:r w:rsidR="0042103A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support</w:t>
            </w:r>
            <w:r w:rsidR="0063121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the start-up of the best Action P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lans resulting from the two Learning Routes – has been converted into a “scholarship” to sponsor the participation of an extra country to the LR in Peru. As result, a delegation from El Salvador (3 people) was nominated to join the Route. </w:t>
            </w:r>
          </w:p>
        </w:tc>
        <w:tc>
          <w:tcPr>
            <w:tcW w:w="2126" w:type="dxa"/>
          </w:tcPr>
          <w:p w14:paraId="0BE34D03" w14:textId="6A3AF2E5" w:rsidR="00E9403F" w:rsidRDefault="00E705DA" w:rsidP="00ED351A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E9403F" w:rsidRPr="00EC7C3D" w14:paraId="7664717B" w14:textId="77777777" w:rsidTr="007C052B">
        <w:tc>
          <w:tcPr>
            <w:tcW w:w="3544" w:type="dxa"/>
          </w:tcPr>
          <w:p w14:paraId="54014AAC" w14:textId="722F1DD4" w:rsidR="00E9403F" w:rsidRDefault="00324B7E" w:rsidP="00E705DA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12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</w:t>
            </w:r>
            <w:r w:rsidR="00E705D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Preliminary activities for the LR in Peru are organised with the country teams before the journey. </w:t>
            </w:r>
          </w:p>
        </w:tc>
        <w:tc>
          <w:tcPr>
            <w:tcW w:w="4253" w:type="dxa"/>
          </w:tcPr>
          <w:p w14:paraId="509A8B9D" w14:textId="0DAEE1E4" w:rsidR="00E9403F" w:rsidRDefault="00E9403F" w:rsidP="00445C13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The preparation of the Experience Fair is carried out with the 7 Country Teams participating in the LR. Experience Fair forms are circulated among participants; the filled forms are collected and results are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uploaded and shared using Moodle platform.</w:t>
            </w:r>
          </w:p>
        </w:tc>
        <w:tc>
          <w:tcPr>
            <w:tcW w:w="2126" w:type="dxa"/>
          </w:tcPr>
          <w:p w14:paraId="53EAEBC9" w14:textId="3177E057" w:rsidR="00E9403F" w:rsidRDefault="00E9403F" w:rsidP="00ED351A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100%</w:t>
            </w:r>
          </w:p>
        </w:tc>
      </w:tr>
      <w:tr w:rsidR="00E9403F" w:rsidRPr="00EC7C3D" w14:paraId="0F2514DE" w14:textId="77777777" w:rsidTr="007C052B">
        <w:tc>
          <w:tcPr>
            <w:tcW w:w="3544" w:type="dxa"/>
          </w:tcPr>
          <w:p w14:paraId="2ABA1907" w14:textId="2DE73B2B" w:rsidR="00E9403F" w:rsidRPr="00952385" w:rsidRDefault="00324B7E" w:rsidP="00A21D69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13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</w:t>
            </w:r>
            <w:r w:rsidR="00E705D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The 7-days LR is successfully implemented </w:t>
            </w:r>
            <w:r w:rsidR="00A21D6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in Peru </w:t>
            </w:r>
            <w:r w:rsidR="00E705DA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(08-14 September 2014).</w:t>
            </w:r>
          </w:p>
        </w:tc>
        <w:tc>
          <w:tcPr>
            <w:tcW w:w="4253" w:type="dxa"/>
          </w:tcPr>
          <w:p w14:paraId="4332803E" w14:textId="4BEA455E" w:rsidR="00A21D69" w:rsidRDefault="00A21D69" w:rsidP="00597241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From the 08</w:t>
            </w:r>
            <w:r w:rsidRPr="00A21D69">
              <w:rPr>
                <w:rFonts w:eastAsiaTheme="minorEastAsia"/>
                <w:bCs/>
                <w:snapToGrid/>
                <w:sz w:val="22"/>
                <w:szCs w:val="22"/>
                <w:vertAlign w:val="superscript"/>
                <w:lang w:eastAsia="it-IT"/>
              </w:rPr>
              <w:t>th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to the 14</w:t>
            </w:r>
            <w:r w:rsidRPr="00A21D69">
              <w:rPr>
                <w:rFonts w:eastAsiaTheme="minorEastAsia"/>
                <w:bCs/>
                <w:snapToGrid/>
                <w:sz w:val="22"/>
                <w:szCs w:val="22"/>
                <w:vertAlign w:val="superscript"/>
                <w:lang w:eastAsia="it-IT"/>
              </w:rPr>
              <w:t>th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of September 2014 the LR is implemented in Peru (city of Lima and region of Ayacucho), counting with the participation of 20 representatives 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from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the 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SUN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national 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multi- stakeholders platforms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of the following countries: El Salvador, Guatemala, Lao PDR, Madagascar, Senegal, Sri Lanka and Tanzania. </w:t>
            </w:r>
          </w:p>
          <w:p w14:paraId="5255164E" w14:textId="2198C8EB" w:rsidR="00E9403F" w:rsidRDefault="00E9403F" w:rsidP="00597241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2 SMS staff </w:t>
            </w:r>
            <w:r w:rsidR="00A21D6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and the SUN Civil Society Network Coordinator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also joined the LR. </w:t>
            </w:r>
          </w:p>
          <w:p w14:paraId="143B2EAB" w14:textId="7CC06292" w:rsidR="00E9403F" w:rsidRPr="00952385" w:rsidRDefault="00E9403F" w:rsidP="00597241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Methodological, technical and logistical </w:t>
            </w:r>
            <w:r w:rsidR="00A21D6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support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is provided to participants.</w:t>
            </w:r>
          </w:p>
        </w:tc>
        <w:tc>
          <w:tcPr>
            <w:tcW w:w="2126" w:type="dxa"/>
          </w:tcPr>
          <w:p w14:paraId="3D7A1284" w14:textId="6265E461" w:rsidR="00E9403F" w:rsidRPr="007C6448" w:rsidRDefault="00E9403F" w:rsidP="0039715B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E9403F" w:rsidRPr="00EC7C3D" w14:paraId="6AB84B58" w14:textId="77777777" w:rsidTr="007C052B">
        <w:tc>
          <w:tcPr>
            <w:tcW w:w="3544" w:type="dxa"/>
          </w:tcPr>
          <w:p w14:paraId="1C9E43FE" w14:textId="102EE2C8" w:rsidR="00E9403F" w:rsidRPr="00952385" w:rsidRDefault="00324B7E" w:rsidP="00107395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14</w:t>
            </w:r>
            <w:r w:rsidR="00A21D6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. The first outcomes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of the LR in </w:t>
            </w:r>
            <w:r w:rsidR="00107395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Peru 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are shared with a large public</w:t>
            </w:r>
            <w:r w:rsidR="007D2BC7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using social media.</w:t>
            </w:r>
          </w:p>
        </w:tc>
        <w:tc>
          <w:tcPr>
            <w:tcW w:w="4253" w:type="dxa"/>
          </w:tcPr>
          <w:p w14:paraId="578174B7" w14:textId="40BE767C" w:rsidR="00A21D69" w:rsidRDefault="00E9403F" w:rsidP="00952385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Outcomes of the LR are </w:t>
            </w:r>
            <w:r w:rsidR="007D2BC7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documented by bloggers in real time and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shared with a broad </w:t>
            </w:r>
            <w:r w:rsidR="00A21D6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public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using social media (SUN Facebook and Twitter, PR</w:t>
            </w:r>
            <w:r w:rsidR="00A21D6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OCASUR Facebook and webpage), MIDIS webpage and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Moodle platform. </w:t>
            </w:r>
            <w:r w:rsidR="00A21D6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National press and Peruvian television also documented the LR. </w:t>
            </w:r>
          </w:p>
          <w:p w14:paraId="73B25A4E" w14:textId="3B0B435F" w:rsidR="00E9403F" w:rsidRPr="00952385" w:rsidRDefault="003B2423" w:rsidP="00937C49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Outputs include: (a) 5 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field blogs on the LR available in </w:t>
            </w:r>
            <w:r w:rsidR="00937C49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ESP, EN and FR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; (b) press release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; (c) 2 official broadcasts. </w:t>
            </w:r>
          </w:p>
        </w:tc>
        <w:tc>
          <w:tcPr>
            <w:tcW w:w="2126" w:type="dxa"/>
          </w:tcPr>
          <w:p w14:paraId="1C3F63BD" w14:textId="77777777" w:rsidR="00E9403F" w:rsidRDefault="00E9403F" w:rsidP="0039715B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</w:p>
          <w:p w14:paraId="46E217CF" w14:textId="77777777" w:rsidR="00E9403F" w:rsidRPr="007C6448" w:rsidRDefault="00E9403F" w:rsidP="0039715B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E9403F" w:rsidRPr="00EC7C3D" w14:paraId="4F1B0F76" w14:textId="77777777" w:rsidTr="007C052B">
        <w:tc>
          <w:tcPr>
            <w:tcW w:w="3544" w:type="dxa"/>
          </w:tcPr>
          <w:p w14:paraId="3B2F656E" w14:textId="3F173446" w:rsidR="00E9403F" w:rsidRDefault="00324B7E" w:rsidP="00107395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15</w:t>
            </w:r>
            <w:r w:rsidR="00107395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National delegations drafted their Country Action Plan during the LR in Peru (1 per country). </w:t>
            </w:r>
          </w:p>
        </w:tc>
        <w:tc>
          <w:tcPr>
            <w:tcW w:w="4253" w:type="dxa"/>
          </w:tcPr>
          <w:p w14:paraId="459B67A6" w14:textId="5C2E18E3" w:rsidR="00E9403F" w:rsidRDefault="00E9403F" w:rsidP="00107395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7 </w:t>
            </w:r>
            <w:r w:rsidR="00107395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draft versions of the Country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Action Plans </w:t>
            </w:r>
            <w:r w:rsidR="00107395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have been prepared and presented during the LR in Peru. </w:t>
            </w:r>
          </w:p>
        </w:tc>
        <w:tc>
          <w:tcPr>
            <w:tcW w:w="2126" w:type="dxa"/>
          </w:tcPr>
          <w:p w14:paraId="75E436E6" w14:textId="77777777" w:rsidR="00E9403F" w:rsidRDefault="00E9403F" w:rsidP="0039715B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100%</w:t>
            </w:r>
          </w:p>
        </w:tc>
      </w:tr>
      <w:tr w:rsidR="0094591C" w:rsidRPr="00EC7C3D" w14:paraId="48E1A15D" w14:textId="77777777" w:rsidTr="007C052B">
        <w:tc>
          <w:tcPr>
            <w:tcW w:w="3544" w:type="dxa"/>
          </w:tcPr>
          <w:p w14:paraId="59F23A5A" w14:textId="5F5FA003" w:rsidR="0094591C" w:rsidRDefault="00324B7E" w:rsidP="00107395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16</w:t>
            </w:r>
            <w:r w:rsidR="0094591C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All LR-related documentation is shared with participants. </w:t>
            </w:r>
          </w:p>
        </w:tc>
        <w:tc>
          <w:tcPr>
            <w:tcW w:w="4253" w:type="dxa"/>
          </w:tcPr>
          <w:p w14:paraId="1A8B78D4" w14:textId="77777777" w:rsidR="0094591C" w:rsidRDefault="0094591C" w:rsidP="0094591C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Key documents are copied into a USB drive and distributed to participants on the last day of the Route in Peru. In addition, participants requested to have a set of PPT  - presented in Spanish during the Route by the hosting organizations - translated into French and English. These translations are being currently finalised and the PPT will be shared with participants at the beginning of October.</w:t>
            </w:r>
          </w:p>
          <w:p w14:paraId="3CB569F5" w14:textId="73A72159" w:rsidR="0094591C" w:rsidRDefault="0094591C" w:rsidP="00107395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On top of this, country delegations also requested to get additional information on selected topics; a list of products, by country, has been prepared during the Route and Procasur is now linking with MIDIS to attend these requests. </w:t>
            </w:r>
          </w:p>
        </w:tc>
        <w:tc>
          <w:tcPr>
            <w:tcW w:w="2126" w:type="dxa"/>
          </w:tcPr>
          <w:p w14:paraId="16AEBEFD" w14:textId="6DB74658" w:rsidR="0094591C" w:rsidRDefault="0094591C" w:rsidP="0039715B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80%</w:t>
            </w:r>
          </w:p>
        </w:tc>
      </w:tr>
      <w:tr w:rsidR="0094591C" w:rsidRPr="00EC7C3D" w14:paraId="1A161CF1" w14:textId="77777777" w:rsidTr="007C052B">
        <w:tc>
          <w:tcPr>
            <w:tcW w:w="3544" w:type="dxa"/>
          </w:tcPr>
          <w:p w14:paraId="78557753" w14:textId="487DFEB6" w:rsidR="0094591C" w:rsidRDefault="00324B7E" w:rsidP="0094591C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17</w:t>
            </w:r>
            <w:r w:rsidR="0094591C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A professional video on the LR in Peru is shot. </w:t>
            </w:r>
          </w:p>
        </w:tc>
        <w:tc>
          <w:tcPr>
            <w:tcW w:w="4253" w:type="dxa"/>
          </w:tcPr>
          <w:p w14:paraId="190D7AA7" w14:textId="77777777" w:rsidR="0094591C" w:rsidRDefault="0094591C" w:rsidP="00440B2B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val="it-IT"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A professional video on the LR has been shot during the journey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it-IT" w:eastAsia="it-IT"/>
              </w:rPr>
              <w:t xml:space="preserve">. </w:t>
            </w:r>
          </w:p>
          <w:p w14:paraId="01CF9BC6" w14:textId="374E8A80" w:rsidR="0094591C" w:rsidRDefault="0094591C" w:rsidP="00440B2B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val="it-IT" w:eastAsia="it-IT"/>
              </w:rPr>
              <w:t xml:space="preserve">NB: the </w:t>
            </w:r>
            <w:r w:rsidRPr="00887851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video is being currently produced and it is expected to be ready by end of </w:t>
            </w:r>
            <w:r w:rsidRPr="00887851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October.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it-IT" w:eastAsia="it-IT"/>
              </w:rPr>
              <w:t xml:space="preserve"> </w:t>
            </w:r>
          </w:p>
        </w:tc>
        <w:tc>
          <w:tcPr>
            <w:tcW w:w="2126" w:type="dxa"/>
          </w:tcPr>
          <w:p w14:paraId="1497AEB5" w14:textId="149BC73D" w:rsidR="0094591C" w:rsidRDefault="0094591C" w:rsidP="0039715B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100%</w:t>
            </w:r>
          </w:p>
        </w:tc>
      </w:tr>
      <w:tr w:rsidR="00E9403F" w:rsidRPr="00EC7C3D" w14:paraId="7F598D42" w14:textId="77777777" w:rsidTr="007C052B">
        <w:tc>
          <w:tcPr>
            <w:tcW w:w="3544" w:type="dxa"/>
          </w:tcPr>
          <w:p w14:paraId="39560F15" w14:textId="60862604" w:rsidR="00E9403F" w:rsidRDefault="00324B7E" w:rsidP="00107395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lastRenderedPageBreak/>
              <w:t>18</w:t>
            </w:r>
            <w:r w:rsidR="00107395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. A follow-up strategy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for the participatory review of the Country Action Plans is </w:t>
            </w:r>
            <w:r w:rsidR="00107395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designed and information is shared with LR participants. </w:t>
            </w:r>
          </w:p>
        </w:tc>
        <w:tc>
          <w:tcPr>
            <w:tcW w:w="4253" w:type="dxa"/>
          </w:tcPr>
          <w:p w14:paraId="358D6B80" w14:textId="3F6BEA9A" w:rsidR="00E9403F" w:rsidRDefault="00107395" w:rsidP="0094591C">
            <w:pPr>
              <w:autoSpaceDE w:val="0"/>
              <w:autoSpaceDN w:val="0"/>
              <w:adjustRightInd w:val="0"/>
              <w:spacing w:after="240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Similarly to Senegal, a strategy to f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ollow-up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on the Action Plans resulting from the LR in Peru </w:t>
            </w:r>
            <w:r w:rsidR="0094591C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has been designed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; preliminary information has been already shared with participants (Action Plan guidelines and form) and further communication will be </w:t>
            </w:r>
            <w:r w:rsidR="00887851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sent to the country teams after the reception of the final version of their Action Plans, expected by October the 13</w:t>
            </w:r>
            <w:r w:rsidR="00887851" w:rsidRPr="00887851">
              <w:rPr>
                <w:rFonts w:eastAsiaTheme="minorEastAsia"/>
                <w:bCs/>
                <w:snapToGrid/>
                <w:sz w:val="22"/>
                <w:szCs w:val="22"/>
                <w:vertAlign w:val="superscript"/>
                <w:lang w:eastAsia="it-IT"/>
              </w:rPr>
              <w:t>th</w:t>
            </w:r>
            <w:r w:rsidR="00887851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</w:t>
            </w:r>
          </w:p>
        </w:tc>
        <w:tc>
          <w:tcPr>
            <w:tcW w:w="2126" w:type="dxa"/>
          </w:tcPr>
          <w:p w14:paraId="0D61E34C" w14:textId="116B11AC" w:rsidR="00E9403F" w:rsidRDefault="00887851" w:rsidP="0039715B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80</w:t>
            </w:r>
            <w:r w:rsidR="00E9403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%</w:t>
            </w:r>
          </w:p>
        </w:tc>
      </w:tr>
    </w:tbl>
    <w:p w14:paraId="156D5A9F" w14:textId="77777777" w:rsidR="00324B7E" w:rsidRDefault="00324B7E" w:rsidP="00051547">
      <w:pPr>
        <w:autoSpaceDE w:val="0"/>
        <w:autoSpaceDN w:val="0"/>
        <w:adjustRightInd w:val="0"/>
        <w:spacing w:after="240"/>
        <w:rPr>
          <w:rFonts w:ascii="Times" w:eastAsiaTheme="minorEastAsia" w:hAnsi="Times" w:cs="Times"/>
          <w:bCs/>
          <w:snapToGrid/>
          <w:sz w:val="22"/>
          <w:szCs w:val="22"/>
          <w:lang w:val="it-IT" w:eastAsia="it-IT"/>
        </w:rPr>
      </w:pPr>
    </w:p>
    <w:p w14:paraId="5BBDAE31" w14:textId="77777777" w:rsidR="00440B2B" w:rsidRPr="00051547" w:rsidRDefault="00440B2B" w:rsidP="00051547">
      <w:pPr>
        <w:autoSpaceDE w:val="0"/>
        <w:autoSpaceDN w:val="0"/>
        <w:adjustRightInd w:val="0"/>
        <w:spacing w:after="240"/>
        <w:rPr>
          <w:rFonts w:ascii="Times" w:eastAsiaTheme="minorEastAsia" w:hAnsi="Times" w:cs="Times"/>
          <w:bCs/>
          <w:snapToGrid/>
          <w:sz w:val="22"/>
          <w:szCs w:val="22"/>
          <w:lang w:val="it-IT" w:eastAsia="it-I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664"/>
      </w:tblGrid>
      <w:tr w:rsidR="00EC7C3D" w14:paraId="5B09E8BE" w14:textId="77777777" w:rsidTr="00EC7C3D">
        <w:tc>
          <w:tcPr>
            <w:tcW w:w="9664" w:type="dxa"/>
            <w:shd w:val="clear" w:color="auto" w:fill="D9D9D9" w:themeFill="background1" w:themeFillShade="D9"/>
          </w:tcPr>
          <w:p w14:paraId="2A56F244" w14:textId="77777777" w:rsidR="00EC7C3D" w:rsidRDefault="00EC7C3D" w:rsidP="00EC7C3D">
            <w:pPr>
              <w:jc w:val="center"/>
              <w:rPr>
                <w:rFonts w:eastAsiaTheme="minorEastAsia"/>
                <w:b/>
                <w:bCs/>
                <w:snapToGrid/>
                <w:sz w:val="22"/>
                <w:szCs w:val="22"/>
                <w:lang w:val="en-US" w:eastAsia="it-IT"/>
              </w:rPr>
            </w:pPr>
            <w:r w:rsidRPr="00EC7C3D">
              <w:rPr>
                <w:rFonts w:eastAsiaTheme="minorEastAsia"/>
                <w:b/>
                <w:bCs/>
                <w:snapToGrid/>
                <w:sz w:val="22"/>
                <w:szCs w:val="22"/>
                <w:lang w:val="en-US" w:eastAsia="it-IT"/>
              </w:rPr>
              <w:t>Qualitative Achievements against outcomes and results</w:t>
            </w:r>
          </w:p>
          <w:p w14:paraId="6498F55D" w14:textId="77777777" w:rsidR="00EC7C3D" w:rsidRPr="00EC7C3D" w:rsidRDefault="00EC7C3D" w:rsidP="00EC7C3D">
            <w:pPr>
              <w:jc w:val="center"/>
              <w:rPr>
                <w:rFonts w:eastAsiaTheme="minorEastAsia"/>
                <w:b/>
                <w:bCs/>
                <w:snapToGrid/>
                <w:sz w:val="22"/>
                <w:szCs w:val="22"/>
                <w:lang w:val="en-US" w:eastAsia="it-IT"/>
              </w:rPr>
            </w:pPr>
          </w:p>
        </w:tc>
      </w:tr>
      <w:tr w:rsidR="00382FE6" w14:paraId="4E517C34" w14:textId="77777777" w:rsidTr="00EC7C3D">
        <w:tc>
          <w:tcPr>
            <w:tcW w:w="9664" w:type="dxa"/>
          </w:tcPr>
          <w:p w14:paraId="64E55DEF" w14:textId="34E16A86" w:rsidR="00382FE6" w:rsidRPr="00911F32" w:rsidRDefault="00382FE6" w:rsidP="00D70F6F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The LR in Senegal has been evaluated very positively by participants and by SMS and CLM.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What the survey</w:t>
            </w:r>
            <w:r w:rsidR="00A40C74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s show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is that people mostly appreciated those spaces dedicated to knowledge sharing and network strengthening among country teams and betwee</w:t>
            </w:r>
            <w:r w:rsidR="007D2144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n them and their hosts (such as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field visits, case analysis, thematic groups of discussion)</w:t>
            </w:r>
            <w:r w:rsidR="00A40C74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. The LR in Peru was built taking into account this feedback. </w:t>
            </w:r>
          </w:p>
        </w:tc>
      </w:tr>
      <w:tr w:rsidR="00EC7C3D" w14:paraId="030F0C8D" w14:textId="77777777" w:rsidTr="00EC7C3D">
        <w:tc>
          <w:tcPr>
            <w:tcW w:w="9664" w:type="dxa"/>
          </w:tcPr>
          <w:p w14:paraId="071E12D3" w14:textId="39F9E680" w:rsidR="00CA268F" w:rsidRDefault="00440B2B" w:rsidP="00440B2B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</w:pPr>
            <w:r w:rsidRPr="00911F32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Excellent working and c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ollaborative environment established between</w:t>
            </w:r>
            <w:r w:rsidRPr="00911F32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PROCASUR, SMS and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the </w:t>
            </w:r>
            <w:r w:rsidR="00D0579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Peruvian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Ministry of Development and Social Inclusion (MIDIS) that hosted the </w:t>
            </w:r>
            <w:r w:rsidR="00D0579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LR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in </w:t>
            </w:r>
            <w:r w:rsidR="00D0579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the country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. This </w:t>
            </w:r>
            <w:r w:rsidRPr="00911F32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allowed activities to be accomplished and p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roducts to be delivered on time despite the institutional changes occurred within MIDIS in the course of the last months. </w:t>
            </w:r>
          </w:p>
          <w:p w14:paraId="2632B9CF" w14:textId="5902A045" w:rsidR="00440B2B" w:rsidRPr="00A5277A" w:rsidRDefault="00440B2B" w:rsidP="00D05796">
            <w:pPr>
              <w:pStyle w:val="Prrafodelista"/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</w:pPr>
            <w:r w:rsidRPr="00440B2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MIDIS actively engaged in the organization of the </w:t>
            </w:r>
            <w:r w:rsidR="00D0579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LR</w:t>
            </w:r>
            <w:r w:rsidRPr="00440B2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, coordinating with local governmental institutions in Ayacucho and supporting in the preparation of the field visits, demonstrating strong commitment to the </w:t>
            </w:r>
            <w:r w:rsidR="00D0579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good </w:t>
            </w:r>
            <w:r w:rsidRPr="00440B2B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>development of the Route.</w:t>
            </w:r>
            <w:r w:rsidR="00D05796">
              <w:rPr>
                <w:rFonts w:eastAsiaTheme="minorEastAsia"/>
                <w:bCs/>
                <w:snapToGrid/>
                <w:sz w:val="22"/>
                <w:szCs w:val="22"/>
                <w:lang w:eastAsia="it-IT"/>
              </w:rPr>
              <w:t xml:space="preserve"> Two people where appointed to follow up the LR activities during the preparatory and implementing phase.</w:t>
            </w:r>
          </w:p>
        </w:tc>
      </w:tr>
      <w:tr w:rsidR="00EC7C3D" w14:paraId="706B4DA9" w14:textId="77777777" w:rsidTr="00EC7C3D">
        <w:tc>
          <w:tcPr>
            <w:tcW w:w="9664" w:type="dxa"/>
          </w:tcPr>
          <w:p w14:paraId="2C822D44" w14:textId="77777777" w:rsidR="009475C1" w:rsidRDefault="00DE0C3D" w:rsidP="00A5277A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</w:pPr>
            <w:r w:rsidRPr="00D0579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Very high level of participation of the Country Teams’ delegations into LR’s activities in Peru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. The leading role of MIDIS</w:t>
            </w:r>
            <w:r w:rsidRPr="00D0579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in the promotion of nutrition programmes was greatly recognized and valoriz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ed at national level. </w:t>
            </w:r>
          </w:p>
          <w:p w14:paraId="7361223C" w14:textId="46C07683" w:rsidR="00986259" w:rsidRPr="00A5277A" w:rsidRDefault="00DE0C3D" w:rsidP="009475C1">
            <w:pPr>
              <w:pStyle w:val="Prrafodelista"/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The Fist Lady of Peru, Ms. Nadine Heredia, SUN Lead Group Member</w:t>
            </w:r>
            <w:r w:rsidR="009475C1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,</w:t>
            </w:r>
            <w:r w:rsidRPr="00D05796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joined one-day field visit in Ayacucho</w:t>
            </w:r>
            <w:r w:rsidR="009475C1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; indeed, this contributed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to give great visibility to the LR </w:t>
            </w:r>
            <w:r w:rsidR="009475C1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at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</w:t>
            </w:r>
            <w:r w:rsidR="009475C1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country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</w:t>
            </w:r>
            <w:r w:rsidR="009475C1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level th</w:t>
            </w:r>
            <w:r w:rsidR="007D2144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r</w:t>
            </w:r>
            <w:r w:rsidR="009475C1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ough national 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media (TV and press). MIDIS’ head, Ms. Paula Bustamante and MIDIS Vice-Ministry Ms. Ariela Luna also participated into the LR in both Lima and Ayacucho.</w:t>
            </w:r>
          </w:p>
        </w:tc>
      </w:tr>
      <w:tr w:rsidR="00A63D57" w14:paraId="37199AA2" w14:textId="77777777" w:rsidTr="00EC7C3D">
        <w:tc>
          <w:tcPr>
            <w:tcW w:w="9664" w:type="dxa"/>
          </w:tcPr>
          <w:p w14:paraId="7F3BE052" w14:textId="01A28089" w:rsidR="004F61C1" w:rsidRPr="00C71E98" w:rsidRDefault="009475C1" w:rsidP="004F4E0B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</w:pP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The institutional relationship among SUN countries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was greatly strengthened: additional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spaces for discussion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, out from the original LR agenda,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were organized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during the trip</w:t>
            </w:r>
            <w:r w:rsidR="00A40C74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to answer participants’ requests. These spaces helped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to foster the exchanges among</w:t>
            </w:r>
            <w:r w:rsidR="00A40C74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people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</w:t>
            </w:r>
            <w:r w:rsidR="00A40C74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from the same sector of the society 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(ex. roundtable discussion</w:t>
            </w:r>
            <w:r w:rsidR="00A40C74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s</w:t>
            </w:r>
            <w:r w:rsidR="00D70F6F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 g</w:t>
            </w:r>
            <w:r w:rsidR="00A40C74"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>rouping together CS members, or governmental representatives only)</w:t>
            </w:r>
            <w:r>
              <w:rPr>
                <w:rFonts w:eastAsiaTheme="minorEastAsia"/>
                <w:bCs/>
                <w:snapToGrid/>
                <w:sz w:val="22"/>
                <w:szCs w:val="22"/>
                <w:lang w:val="en-US" w:eastAsia="it-IT"/>
              </w:rPr>
              <w:t xml:space="preserve">. </w:t>
            </w:r>
          </w:p>
        </w:tc>
      </w:tr>
      <w:tr w:rsidR="00C71E98" w14:paraId="6601463C" w14:textId="77777777" w:rsidTr="00A5277A">
        <w:trPr>
          <w:trHeight w:val="931"/>
        </w:trPr>
        <w:tc>
          <w:tcPr>
            <w:tcW w:w="9664" w:type="dxa"/>
          </w:tcPr>
          <w:p w14:paraId="13DA966C" w14:textId="783B2D8D" w:rsidR="00C71E98" w:rsidRPr="00A5003A" w:rsidRDefault="00AC6177" w:rsidP="008B1CBB">
            <w:pPr>
              <w:pStyle w:val="NormalWeb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003A">
              <w:rPr>
                <w:rFonts w:eastAsiaTheme="minorEastAsia"/>
                <w:bCs/>
                <w:sz w:val="22"/>
                <w:szCs w:val="22"/>
                <w:lang w:eastAsia="it-IT"/>
              </w:rPr>
              <w:t>The LR</w:t>
            </w:r>
            <w:r w:rsidR="00A5003A">
              <w:rPr>
                <w:rFonts w:eastAsiaTheme="minorEastAsia"/>
                <w:bCs/>
                <w:sz w:val="22"/>
                <w:szCs w:val="22"/>
                <w:lang w:eastAsia="it-IT"/>
              </w:rPr>
              <w:t>s</w:t>
            </w:r>
            <w:r w:rsidRPr="00A5003A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enabled the creation of relationships facilitati</w:t>
            </w:r>
            <w:r w:rsidR="00A5003A">
              <w:rPr>
                <w:rFonts w:eastAsiaTheme="minorEastAsia"/>
                <w:bCs/>
                <w:sz w:val="22"/>
                <w:szCs w:val="22"/>
                <w:lang w:eastAsia="it-IT"/>
              </w:rPr>
              <w:t>ng ongoing learning beyond the Learning R</w:t>
            </w:r>
            <w:r w:rsidRPr="00A5003A">
              <w:rPr>
                <w:rFonts w:eastAsiaTheme="minorEastAsia"/>
                <w:bCs/>
                <w:sz w:val="22"/>
                <w:szCs w:val="22"/>
                <w:lang w:eastAsia="it-IT"/>
              </w:rPr>
              <w:t>outes</w:t>
            </w:r>
            <w:r w:rsidR="00A5003A" w:rsidRPr="00A5003A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themselves. </w:t>
            </w:r>
            <w:r w:rsidR="008B1CBB">
              <w:rPr>
                <w:rFonts w:eastAsiaTheme="minorEastAsia"/>
                <w:bCs/>
                <w:sz w:val="22"/>
                <w:szCs w:val="22"/>
                <w:lang w:eastAsia="it-IT"/>
              </w:rPr>
              <w:t>What is remarkable is that all these initiatives are growin</w:t>
            </w:r>
            <w:r w:rsidR="00937DE9">
              <w:rPr>
                <w:rFonts w:eastAsiaTheme="minorEastAsia"/>
                <w:bCs/>
                <w:sz w:val="22"/>
                <w:szCs w:val="22"/>
                <w:lang w:eastAsia="it-IT"/>
              </w:rPr>
              <w:t>g up from th</w:t>
            </w:r>
            <w:r w:rsidR="008B1CBB">
              <w:rPr>
                <w:rFonts w:eastAsiaTheme="minorEastAsia"/>
                <w:bCs/>
                <w:sz w:val="22"/>
                <w:szCs w:val="22"/>
                <w:lang w:eastAsia="it-IT"/>
              </w:rPr>
              <w:t>e interest and proactivity of the LR p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>articipants themselves. PROCASUR</w:t>
            </w:r>
            <w:r w:rsidR="008B1CBB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is following-up to monitor the development of the exchanges and provide additional support when needed:</w:t>
            </w:r>
          </w:p>
          <w:p w14:paraId="0B89C6DE" w14:textId="45CE90F7" w:rsidR="00704090" w:rsidRPr="00704090" w:rsidRDefault="004F4E0B" w:rsidP="00704090">
            <w:pPr>
              <w:pStyle w:val="NormalWeb"/>
              <w:numPr>
                <w:ilvl w:val="0"/>
                <w:numId w:val="8"/>
              </w:numPr>
              <w:rPr>
                <w:rFonts w:eastAsiaTheme="minorEastAsia"/>
                <w:bCs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A delegation from Benin 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visited Senegal from 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>September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the 22</w:t>
            </w:r>
            <w:r w:rsidR="007D2144" w:rsidRPr="007D2144">
              <w:rPr>
                <w:rFonts w:eastAsiaTheme="minorEastAsia"/>
                <w:bCs/>
                <w:sz w:val="22"/>
                <w:szCs w:val="22"/>
                <w:vertAlign w:val="superscript"/>
                <w:lang w:eastAsia="it-IT"/>
              </w:rPr>
              <w:t>nd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to October the 4</w:t>
            </w:r>
            <w:r w:rsidR="007D2144" w:rsidRPr="007D2144">
              <w:rPr>
                <w:rFonts w:eastAsiaTheme="minorEastAsia"/>
                <w:bCs/>
                <w:sz w:val="22"/>
                <w:szCs w:val="22"/>
                <w:vertAlign w:val="superscript"/>
                <w:lang w:eastAsia="it-IT"/>
              </w:rPr>
              <w:t>th</w:t>
            </w:r>
            <w:r w:rsidR="0094591C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to reinforce some of the learning areas addressed during the Route. The visiting delegation is composed by representatives from the CAN (National Council on Food and Nutrition</w:t>
            </w:r>
            <w:r w:rsidR="008B1CBB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) whose Permanent Secretary also joined the Learning Route. </w:t>
            </w:r>
          </w:p>
          <w:p w14:paraId="6C79D115" w14:textId="6B09F09F" w:rsidR="00A5003A" w:rsidRPr="00A5003A" w:rsidRDefault="008B1CBB" w:rsidP="00704090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In order to deepen knowledge on some specific thematic areas, addressed during the LR, a </w:t>
            </w:r>
            <w:r w:rsidR="00A5003A">
              <w:rPr>
                <w:rFonts w:eastAsiaTheme="minorEastAsia"/>
                <w:bCs/>
                <w:sz w:val="22"/>
                <w:szCs w:val="22"/>
                <w:lang w:eastAsia="it-IT"/>
              </w:rPr>
              <w:t>further visit of the Benin d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elegation to Senegal is </w:t>
            </w:r>
            <w:r w:rsidR="00A5003A">
              <w:rPr>
                <w:rFonts w:eastAsiaTheme="minorEastAsia"/>
                <w:bCs/>
                <w:sz w:val="22"/>
                <w:szCs w:val="22"/>
                <w:lang w:eastAsia="it-IT"/>
              </w:rPr>
              <w:t>planned to have place in January 2014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>;</w:t>
            </w:r>
          </w:p>
          <w:p w14:paraId="727125DB" w14:textId="77777777" w:rsidR="00704090" w:rsidRPr="00704090" w:rsidRDefault="00937DE9" w:rsidP="00704090">
            <w:pPr>
              <w:pStyle w:val="NormalWeb"/>
              <w:numPr>
                <w:ilvl w:val="0"/>
                <w:numId w:val="8"/>
              </w:numPr>
              <w:rPr>
                <w:rFonts w:eastAsiaTheme="minorEastAsia"/>
                <w:bCs/>
                <w:sz w:val="22"/>
                <w:szCs w:val="22"/>
                <w:lang w:eastAsia="it-IT"/>
              </w:rPr>
            </w:pPr>
            <w:r>
              <w:rPr>
                <w:rFonts w:eastAsiaTheme="minorEastAsia"/>
                <w:sz w:val="22"/>
                <w:szCs w:val="22"/>
                <w:lang w:eastAsia="it-IT"/>
              </w:rPr>
              <w:t xml:space="preserve">In Lao PDR, the </w:t>
            </w:r>
            <w:r>
              <w:rPr>
                <w:rFonts w:eastAsiaTheme="minorEastAsia"/>
                <w:sz w:val="22"/>
                <w:szCs w:val="22"/>
                <w:lang w:val="it-IT" w:eastAsia="it-IT"/>
              </w:rPr>
              <w:t>“</w:t>
            </w:r>
            <w:r w:rsidRPr="00937DE9">
              <w:rPr>
                <w:rFonts w:eastAsiaTheme="minorEastAsia"/>
                <w:sz w:val="22"/>
                <w:szCs w:val="22"/>
                <w:lang w:eastAsia="it-IT"/>
              </w:rPr>
              <w:t>Laos</w:t>
            </w:r>
            <w:r w:rsidRPr="00937DE9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National Nutrition Centre's is now prioritizing Civil Society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as a</w:t>
            </w:r>
            <w:r w:rsidRPr="00937DE9">
              <w:rPr>
                <w:rFonts w:eastAsiaTheme="minorEastAsia"/>
                <w:bCs/>
                <w:sz w:val="22"/>
                <w:szCs w:val="22"/>
                <w:lang w:eastAsia="it-IT"/>
              </w:rPr>
              <w:t> resu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lt 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lastRenderedPageBreak/>
              <w:t xml:space="preserve">of the Peru Learning Route. </w:t>
            </w:r>
            <w:r w:rsidRPr="00937DE9">
              <w:rPr>
                <w:rFonts w:eastAsiaTheme="minorEastAsia"/>
                <w:bCs/>
                <w:sz w:val="22"/>
                <w:szCs w:val="22"/>
                <w:lang w:eastAsia="it-IT"/>
              </w:rPr>
              <w:t>They have confidence that civil society are good partners to address nutrition together - and plan to include us at the table and in future discussions more often.  This is remarkable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>” (email from the SUN Civil Society representative in Laos)</w:t>
            </w:r>
            <w:r w:rsidRPr="00937DE9">
              <w:rPr>
                <w:rFonts w:eastAsiaTheme="minorEastAsia"/>
                <w:bCs/>
                <w:sz w:val="22"/>
                <w:szCs w:val="22"/>
                <w:lang w:eastAsia="it-IT"/>
              </w:rPr>
              <w:t>.</w:t>
            </w:r>
            <w:r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</w:t>
            </w:r>
          </w:p>
          <w:p w14:paraId="20728FBF" w14:textId="47C80CC7" w:rsidR="00937DE9" w:rsidRPr="00C71E98" w:rsidRDefault="00244F3C" w:rsidP="00F24A4B">
            <w:pPr>
              <w:pStyle w:val="NormalWeb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>In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Peru, 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during the current regional and district election, 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>PRISMA NGO (the CSO represented during t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he LR by its director), engaged into an 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>advocacy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campaign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to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</w:t>
            </w:r>
            <w:r w:rsidR="00F24A4B">
              <w:rPr>
                <w:rFonts w:eastAsiaTheme="minorEastAsia"/>
                <w:bCs/>
                <w:sz w:val="22"/>
                <w:szCs w:val="22"/>
                <w:lang w:eastAsia="it-IT"/>
              </w:rPr>
              <w:t>persuade decision makers and candidates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to 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>include nutriti</w:t>
            </w:r>
            <w:r w:rsidR="00704090">
              <w:rPr>
                <w:rFonts w:eastAsiaTheme="minorEastAsia"/>
                <w:bCs/>
                <w:sz w:val="22"/>
                <w:szCs w:val="22"/>
                <w:lang w:eastAsia="it-IT"/>
              </w:rPr>
              <w:t>on in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the</w:t>
            </w:r>
            <w:r w:rsidR="007D2144">
              <w:rPr>
                <w:rFonts w:eastAsiaTheme="minorEastAsia"/>
                <w:bCs/>
                <w:sz w:val="22"/>
                <w:szCs w:val="22"/>
                <w:lang w:eastAsia="it-IT"/>
              </w:rPr>
              <w:t>ir</w:t>
            </w:r>
            <w:r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</w:t>
            </w:r>
            <w:r w:rsidR="00F24A4B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political 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agenda, as part </w:t>
            </w:r>
            <w:r w:rsidR="00704090">
              <w:rPr>
                <w:rFonts w:eastAsiaTheme="minorEastAsia"/>
                <w:bCs/>
                <w:sz w:val="22"/>
                <w:szCs w:val="22"/>
                <w:lang w:eastAsia="it-IT"/>
              </w:rPr>
              <w:t>of the actions proposed by the Peru</w:t>
            </w:r>
            <w:r w:rsidR="00704090" w:rsidRPr="00704090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 Country Action Plan. </w:t>
            </w:r>
            <w:r w:rsidR="00F24A4B">
              <w:rPr>
                <w:rFonts w:eastAsiaTheme="minorEastAsia"/>
                <w:bCs/>
                <w:sz w:val="22"/>
                <w:szCs w:val="22"/>
                <w:lang w:eastAsia="it-IT"/>
              </w:rPr>
              <w:t>As result, up to today, the 86% of candidates have already signed “Governance Agreements” (</w:t>
            </w:r>
            <w:proofErr w:type="spellStart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>Acuerdos</w:t>
            </w:r>
            <w:proofErr w:type="spellEnd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>Gobernabilidad</w:t>
            </w:r>
            <w:proofErr w:type="spellEnd"/>
            <w:r w:rsidR="00F24A4B">
              <w:rPr>
                <w:rFonts w:eastAsiaTheme="minorEastAsia"/>
                <w:bCs/>
                <w:sz w:val="22"/>
                <w:szCs w:val="22"/>
                <w:lang w:eastAsia="it-IT"/>
              </w:rPr>
              <w:t>) with the civil society platform (</w:t>
            </w:r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 xml:space="preserve">Mesa de </w:t>
            </w:r>
            <w:proofErr w:type="spellStart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>Concertacion</w:t>
            </w:r>
            <w:proofErr w:type="spellEnd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>Lucha</w:t>
            </w:r>
            <w:proofErr w:type="spellEnd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 xml:space="preserve"> contra la </w:t>
            </w:r>
            <w:proofErr w:type="spellStart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>Pobreza</w:t>
            </w:r>
            <w:proofErr w:type="spellEnd"/>
            <w:r w:rsidR="00F24A4B" w:rsidRPr="00F24A4B">
              <w:rPr>
                <w:rFonts w:eastAsiaTheme="minorEastAsia"/>
                <w:bCs/>
                <w:i/>
                <w:sz w:val="22"/>
                <w:szCs w:val="22"/>
                <w:lang w:eastAsia="it-IT"/>
              </w:rPr>
              <w:t xml:space="preserve"> – MCLP</w:t>
            </w:r>
            <w:r w:rsidR="00F24A4B">
              <w:rPr>
                <w:rFonts w:eastAsiaTheme="minorEastAsia"/>
                <w:bCs/>
                <w:sz w:val="22"/>
                <w:szCs w:val="22"/>
                <w:lang w:eastAsia="it-IT"/>
              </w:rPr>
              <w:t xml:space="preserve">) thus committing to include nutrition as one of the priorities of their political programme. </w:t>
            </w:r>
          </w:p>
        </w:tc>
      </w:tr>
    </w:tbl>
    <w:p w14:paraId="046AF267" w14:textId="27B1D146" w:rsidR="005B294D" w:rsidRDefault="007343B5">
      <w:pPr>
        <w:rPr>
          <w:rFonts w:ascii="Calibri" w:eastAsiaTheme="minorEastAsia" w:hAnsi="Calibri"/>
          <w:b/>
          <w:bCs/>
          <w:snapToGrid/>
          <w:sz w:val="28"/>
          <w:szCs w:val="28"/>
          <w:lang w:val="en-US" w:eastAsia="it-IT"/>
        </w:rPr>
      </w:pPr>
      <w:r>
        <w:rPr>
          <w:rFonts w:ascii="Calibri" w:eastAsiaTheme="minorEastAsia" w:hAnsi="Calibri"/>
          <w:b/>
          <w:bCs/>
          <w:snapToGrid/>
          <w:sz w:val="28"/>
          <w:szCs w:val="28"/>
          <w:lang w:val="en-US" w:eastAsia="it-IT"/>
        </w:rPr>
        <w:lastRenderedPageBreak/>
        <w:t xml:space="preserve"> </w:t>
      </w:r>
    </w:p>
    <w:p w14:paraId="2BB81F10" w14:textId="77777777" w:rsidR="00E16585" w:rsidRDefault="00E16585">
      <w:pPr>
        <w:rPr>
          <w:rFonts w:ascii="Calibri" w:eastAsiaTheme="minorEastAsia" w:hAnsi="Calibri"/>
          <w:b/>
          <w:bCs/>
          <w:snapToGrid/>
          <w:sz w:val="28"/>
          <w:szCs w:val="28"/>
          <w:lang w:val="en-US" w:eastAsia="it-IT"/>
        </w:rPr>
      </w:pPr>
    </w:p>
    <w:p w14:paraId="06DD909C" w14:textId="77777777" w:rsidR="00F24A4B" w:rsidRPr="00862A0E" w:rsidRDefault="00F24A4B" w:rsidP="00F24A4B">
      <w:pPr>
        <w:rPr>
          <w:rFonts w:eastAsiaTheme="minorEastAsia"/>
          <w:b/>
          <w:bCs/>
          <w:snapToGrid/>
          <w:sz w:val="22"/>
          <w:szCs w:val="22"/>
          <w:lang w:val="en-US" w:eastAsia="it-IT"/>
        </w:rPr>
      </w:pPr>
      <w:r w:rsidRPr="00862A0E">
        <w:rPr>
          <w:rFonts w:eastAsiaTheme="minorEastAsia"/>
          <w:b/>
          <w:bCs/>
          <w:snapToGrid/>
          <w:sz w:val="22"/>
          <w:szCs w:val="22"/>
          <w:lang w:val="en-US" w:eastAsia="it-IT"/>
        </w:rPr>
        <w:t>NOTE on Financial Management:</w:t>
      </w:r>
    </w:p>
    <w:p w14:paraId="7D0153CF" w14:textId="77777777" w:rsidR="00F24A4B" w:rsidRDefault="00F24A4B" w:rsidP="00F24A4B">
      <w:pPr>
        <w:rPr>
          <w:rFonts w:eastAsiaTheme="minorEastAsia"/>
          <w:bCs/>
          <w:snapToGrid/>
          <w:sz w:val="22"/>
          <w:szCs w:val="22"/>
          <w:lang w:val="en-US" w:eastAsia="it-IT"/>
        </w:rPr>
      </w:pPr>
    </w:p>
    <w:p w14:paraId="0B7393EE" w14:textId="55B8C6C3" w:rsidR="00E11990" w:rsidRPr="00E11990" w:rsidRDefault="00E11990" w:rsidP="00E11990">
      <w:pPr>
        <w:pStyle w:val="Prrafodelista"/>
        <w:numPr>
          <w:ilvl w:val="0"/>
          <w:numId w:val="9"/>
        </w:numPr>
        <w:jc w:val="both"/>
        <w:rPr>
          <w:rFonts w:eastAsiaTheme="minorEastAsia"/>
          <w:bCs/>
          <w:snapToGrid/>
          <w:sz w:val="22"/>
          <w:szCs w:val="22"/>
          <w:lang w:eastAsia="it-IT"/>
        </w:rPr>
      </w:pPr>
      <w:r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As agreed with SMS (and reported in the 1st milestone report and financial interim report April – July 2014), the Action Plan Fund of USD 12,000 was converted into a scholarship to </w:t>
      </w:r>
      <w:r>
        <w:rPr>
          <w:rFonts w:eastAsiaTheme="minorEastAsia"/>
          <w:bCs/>
          <w:snapToGrid/>
          <w:sz w:val="22"/>
          <w:szCs w:val="22"/>
          <w:lang w:eastAsia="it-IT"/>
        </w:rPr>
        <w:t>sponsor</w:t>
      </w:r>
      <w:r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 the participation of 3 extra delegates from a new-selected SUN member country to attend the Learning Route in Peru. After a process of selection, El Salvador was chosen to join the Learning Route. Therefore, the fund was used to </w:t>
      </w:r>
      <w:r>
        <w:rPr>
          <w:rFonts w:eastAsiaTheme="minorEastAsia"/>
          <w:bCs/>
          <w:snapToGrid/>
          <w:sz w:val="22"/>
          <w:szCs w:val="22"/>
          <w:lang w:eastAsia="it-IT"/>
        </w:rPr>
        <w:t xml:space="preserve">cover </w:t>
      </w:r>
      <w:r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all expenses related to </w:t>
      </w:r>
      <w:r>
        <w:rPr>
          <w:rFonts w:eastAsiaTheme="minorEastAsia"/>
          <w:bCs/>
          <w:snapToGrid/>
          <w:sz w:val="22"/>
          <w:szCs w:val="22"/>
          <w:lang w:eastAsia="it-IT"/>
        </w:rPr>
        <w:t xml:space="preserve">the </w:t>
      </w:r>
      <w:r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participation </w:t>
      </w:r>
      <w:r>
        <w:rPr>
          <w:rFonts w:eastAsiaTheme="minorEastAsia"/>
          <w:bCs/>
          <w:snapToGrid/>
          <w:sz w:val="22"/>
          <w:szCs w:val="22"/>
          <w:lang w:eastAsia="it-IT"/>
        </w:rPr>
        <w:t xml:space="preserve">of the Salvadorian delegation to the Route </w:t>
      </w:r>
      <w:r w:rsidRPr="00E11990">
        <w:rPr>
          <w:rFonts w:eastAsiaTheme="minorEastAsia"/>
          <w:bCs/>
          <w:snapToGrid/>
          <w:sz w:val="22"/>
          <w:szCs w:val="22"/>
          <w:lang w:eastAsia="it-IT"/>
        </w:rPr>
        <w:t>(including: international air tickets, visa fee, national air and terrestrial transportation, accommodation and meals, training materials and tools, technical/methodological and logistical assistance, simultaneous interpretation etc.).</w:t>
      </w:r>
    </w:p>
    <w:p w14:paraId="6BFEC10A" w14:textId="77777777" w:rsidR="00E11990" w:rsidRDefault="00E11990" w:rsidP="00430AD7">
      <w:pPr>
        <w:jc w:val="both"/>
        <w:rPr>
          <w:rFonts w:eastAsiaTheme="minorEastAsia"/>
          <w:bCs/>
          <w:snapToGrid/>
          <w:sz w:val="22"/>
          <w:szCs w:val="22"/>
          <w:lang w:val="en-US" w:eastAsia="it-IT"/>
        </w:rPr>
      </w:pPr>
    </w:p>
    <w:p w14:paraId="18A55375" w14:textId="48C3B21C" w:rsidR="00E16585" w:rsidRPr="00E11990" w:rsidRDefault="00430AD7" w:rsidP="0002206F">
      <w:pPr>
        <w:pStyle w:val="Prrafodelista"/>
        <w:numPr>
          <w:ilvl w:val="0"/>
          <w:numId w:val="9"/>
        </w:numPr>
        <w:jc w:val="both"/>
        <w:rPr>
          <w:rFonts w:eastAsiaTheme="minorEastAsia"/>
          <w:bCs/>
          <w:snapToGrid/>
          <w:sz w:val="22"/>
          <w:szCs w:val="22"/>
          <w:lang w:eastAsia="it-IT"/>
        </w:rPr>
      </w:pPr>
      <w:r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>From February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to September 2014, PROCASUR has received an overall amount of USD 320,000 (1</w:t>
      </w:r>
      <w:r w:rsidR="00F24A4B" w:rsidRPr="00E11990">
        <w:rPr>
          <w:rFonts w:eastAsiaTheme="minorEastAsia"/>
          <w:bCs/>
          <w:snapToGrid/>
          <w:sz w:val="22"/>
          <w:szCs w:val="22"/>
          <w:vertAlign w:val="superscript"/>
          <w:lang w:val="en-US" w:eastAsia="it-IT"/>
        </w:rPr>
        <w:t>st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disbursement of USD 120,000 </w:t>
      </w:r>
      <w:r w:rsidR="00E11990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>upon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signature of the </w:t>
      </w:r>
      <w:r w:rsidR="00E11990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>Agreement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and 2</w:t>
      </w:r>
      <w:r w:rsidR="00F24A4B" w:rsidRPr="00E11990">
        <w:rPr>
          <w:rFonts w:eastAsiaTheme="minorEastAsia"/>
          <w:bCs/>
          <w:snapToGrid/>
          <w:sz w:val="22"/>
          <w:szCs w:val="22"/>
          <w:vertAlign w:val="superscript"/>
          <w:lang w:val="en-US" w:eastAsia="it-IT"/>
        </w:rPr>
        <w:t>nd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disburseme</w:t>
      </w:r>
      <w:r w:rsidR="00E11990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>nt of USD 200,000 upon receipt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and acceptance by UNOPS of the 1</w:t>
      </w:r>
      <w:r w:rsidR="00F24A4B" w:rsidRPr="00E11990">
        <w:rPr>
          <w:rFonts w:eastAsiaTheme="minorEastAsia"/>
          <w:bCs/>
          <w:snapToGrid/>
          <w:sz w:val="22"/>
          <w:szCs w:val="22"/>
          <w:vertAlign w:val="superscript"/>
          <w:lang w:val="en-US" w:eastAsia="it-IT"/>
        </w:rPr>
        <w:t>st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milestone report and financial </w:t>
      </w:r>
      <w:r w:rsidR="00E11990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interim 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report on the use of funds </w:t>
      </w:r>
      <w:r w:rsidR="00E11990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>by</w:t>
      </w:r>
      <w:r w:rsidR="00F24A4B" w:rsidRPr="00E11990">
        <w:rPr>
          <w:rFonts w:eastAsiaTheme="minorEastAsia"/>
          <w:bCs/>
          <w:snapToGrid/>
          <w:sz w:val="22"/>
          <w:szCs w:val="22"/>
          <w:lang w:val="en-US" w:eastAsia="it-IT"/>
        </w:rPr>
        <w:t xml:space="preserve"> April 2014</w:t>
      </w:r>
      <w:r w:rsidR="00F24A4B"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). </w:t>
      </w:r>
      <w:r w:rsidR="00E11990" w:rsidRPr="00E11990">
        <w:rPr>
          <w:rFonts w:eastAsiaTheme="minorEastAsia"/>
          <w:bCs/>
          <w:snapToGrid/>
          <w:sz w:val="22"/>
          <w:szCs w:val="22"/>
          <w:lang w:eastAsia="it-IT"/>
        </w:rPr>
        <w:t>As per the schedule of the Agreement, the 3rd disbursement of USD 250,000 was expected to be effective in July upon the receipt and acceptance of the 2nd milestone</w:t>
      </w:r>
      <w:r w:rsidR="00E11990">
        <w:rPr>
          <w:rFonts w:eastAsiaTheme="minorEastAsia"/>
          <w:bCs/>
          <w:snapToGrid/>
          <w:sz w:val="22"/>
          <w:szCs w:val="22"/>
          <w:lang w:eastAsia="it-IT"/>
        </w:rPr>
        <w:t xml:space="preserve"> report and interim</w:t>
      </w:r>
      <w:r w:rsidR="00E11990"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 financial report on the use of funds by</w:t>
      </w:r>
      <w:r w:rsidR="00E11990">
        <w:rPr>
          <w:rFonts w:eastAsiaTheme="minorEastAsia"/>
          <w:bCs/>
          <w:snapToGrid/>
          <w:sz w:val="22"/>
          <w:szCs w:val="22"/>
          <w:lang w:eastAsia="it-IT"/>
        </w:rPr>
        <w:t xml:space="preserve"> July 2014; </w:t>
      </w:r>
      <w:r w:rsidR="00E11990" w:rsidRPr="00E11990">
        <w:rPr>
          <w:rFonts w:eastAsiaTheme="minorEastAsia"/>
          <w:bCs/>
          <w:snapToGrid/>
          <w:sz w:val="22"/>
          <w:szCs w:val="22"/>
          <w:lang w:eastAsia="it-IT"/>
        </w:rPr>
        <w:t>documents have been sent on July the 11th and their reception was acknowledged by UNOPS. However, up to date</w:t>
      </w:r>
      <w:r w:rsidR="00E11990">
        <w:rPr>
          <w:rFonts w:eastAsiaTheme="minorEastAsia"/>
          <w:bCs/>
          <w:snapToGrid/>
          <w:sz w:val="22"/>
          <w:szCs w:val="22"/>
          <w:lang w:eastAsia="it-IT"/>
        </w:rPr>
        <w:t>,</w:t>
      </w:r>
      <w:r w:rsidR="00E11990"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 PROCASUR has not received any payment. The expenditures of the last months have been covered by PROCASUR. This explain</w:t>
      </w:r>
      <w:r w:rsidR="00E11990">
        <w:rPr>
          <w:rFonts w:eastAsiaTheme="minorEastAsia"/>
          <w:bCs/>
          <w:snapToGrid/>
          <w:sz w:val="22"/>
          <w:szCs w:val="22"/>
          <w:lang w:eastAsia="it-IT"/>
        </w:rPr>
        <w:t>s</w:t>
      </w:r>
      <w:r w:rsidR="00E11990"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 the negative b</w:t>
      </w:r>
      <w:r w:rsidR="00E11990">
        <w:rPr>
          <w:rFonts w:eastAsiaTheme="minorEastAsia"/>
          <w:bCs/>
          <w:snapToGrid/>
          <w:sz w:val="22"/>
          <w:szCs w:val="22"/>
          <w:lang w:eastAsia="it-IT"/>
        </w:rPr>
        <w:t>alance reported in the current</w:t>
      </w:r>
      <w:r w:rsidR="00E11990" w:rsidRPr="00E11990">
        <w:rPr>
          <w:rFonts w:eastAsiaTheme="minorEastAsia"/>
          <w:bCs/>
          <w:snapToGrid/>
          <w:sz w:val="22"/>
          <w:szCs w:val="22"/>
          <w:lang w:eastAsia="it-IT"/>
        </w:rPr>
        <w:t xml:space="preserve"> financial report.</w:t>
      </w:r>
    </w:p>
    <w:p w14:paraId="2620161E" w14:textId="77777777" w:rsidR="00E11990" w:rsidRPr="00E11990" w:rsidRDefault="00E11990" w:rsidP="00E11990">
      <w:pPr>
        <w:jc w:val="both"/>
        <w:rPr>
          <w:rFonts w:eastAsiaTheme="minorEastAsia"/>
          <w:bCs/>
          <w:snapToGrid/>
          <w:sz w:val="22"/>
          <w:szCs w:val="22"/>
          <w:lang w:val="en-US" w:eastAsia="it-IT"/>
        </w:rPr>
      </w:pPr>
    </w:p>
    <w:p w14:paraId="4C7B029D" w14:textId="77777777" w:rsidR="00E11990" w:rsidRPr="00E16585" w:rsidRDefault="00E11990" w:rsidP="00E11990">
      <w:pPr>
        <w:pStyle w:val="Prrafodelista"/>
        <w:jc w:val="both"/>
        <w:rPr>
          <w:rFonts w:eastAsiaTheme="minorEastAsia"/>
          <w:bCs/>
          <w:snapToGrid/>
          <w:sz w:val="22"/>
          <w:szCs w:val="22"/>
          <w:lang w:val="en-US" w:eastAsia="it-IT"/>
        </w:rPr>
      </w:pPr>
    </w:p>
    <w:sectPr w:rsidR="00E11990" w:rsidRPr="00E16585" w:rsidSect="00A5277A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8B924" w14:textId="77777777" w:rsidR="0021640B" w:rsidRDefault="0021640B" w:rsidP="00A5277A">
      <w:r>
        <w:separator/>
      </w:r>
    </w:p>
  </w:endnote>
  <w:endnote w:type="continuationSeparator" w:id="0">
    <w:p w14:paraId="5BC1D122" w14:textId="77777777" w:rsidR="0021640B" w:rsidRDefault="0021640B" w:rsidP="00A5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D5BA" w14:textId="77777777" w:rsidR="00F24A4B" w:rsidRDefault="00F24A4B" w:rsidP="00445C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239DC8" w14:textId="77777777" w:rsidR="00F24A4B" w:rsidRDefault="00F24A4B" w:rsidP="00A527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D9D79" w14:textId="77777777" w:rsidR="00F24A4B" w:rsidRDefault="00F24A4B" w:rsidP="00445C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3D29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4C8CD01" w14:textId="77777777" w:rsidR="00F24A4B" w:rsidRDefault="00F24A4B" w:rsidP="00A527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BEFB" w14:textId="77777777" w:rsidR="0021640B" w:rsidRDefault="0021640B" w:rsidP="00A5277A">
      <w:r>
        <w:separator/>
      </w:r>
    </w:p>
  </w:footnote>
  <w:footnote w:type="continuationSeparator" w:id="0">
    <w:p w14:paraId="7F0D632D" w14:textId="77777777" w:rsidR="0021640B" w:rsidRDefault="0021640B" w:rsidP="00A5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31"/>
    <w:multiLevelType w:val="hybridMultilevel"/>
    <w:tmpl w:val="1A3E25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3B052D"/>
    <w:multiLevelType w:val="hybridMultilevel"/>
    <w:tmpl w:val="7A988F74"/>
    <w:lvl w:ilvl="0" w:tplc="98E864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4795"/>
    <w:multiLevelType w:val="hybridMultilevel"/>
    <w:tmpl w:val="FC2CD6C0"/>
    <w:lvl w:ilvl="0" w:tplc="0A0813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74B0C"/>
    <w:multiLevelType w:val="hybridMultilevel"/>
    <w:tmpl w:val="AB8EFD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384E6C"/>
    <w:multiLevelType w:val="hybridMultilevel"/>
    <w:tmpl w:val="64BCD596"/>
    <w:lvl w:ilvl="0" w:tplc="A800AADC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2438BA"/>
    <w:multiLevelType w:val="hybridMultilevel"/>
    <w:tmpl w:val="11C0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81B87"/>
    <w:multiLevelType w:val="hybridMultilevel"/>
    <w:tmpl w:val="3BD24910"/>
    <w:lvl w:ilvl="0" w:tplc="56406D6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2E1B2F"/>
    <w:multiLevelType w:val="multilevel"/>
    <w:tmpl w:val="3BD24910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896B16"/>
    <w:multiLevelType w:val="hybridMultilevel"/>
    <w:tmpl w:val="50309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4D"/>
    <w:rsid w:val="00051547"/>
    <w:rsid w:val="00063F5A"/>
    <w:rsid w:val="00073D29"/>
    <w:rsid w:val="00107395"/>
    <w:rsid w:val="001661E8"/>
    <w:rsid w:val="001824F7"/>
    <w:rsid w:val="001F1472"/>
    <w:rsid w:val="0021640B"/>
    <w:rsid w:val="00244F3C"/>
    <w:rsid w:val="0025233B"/>
    <w:rsid w:val="00264617"/>
    <w:rsid w:val="00295C8B"/>
    <w:rsid w:val="002C0E55"/>
    <w:rsid w:val="002D5D91"/>
    <w:rsid w:val="002D6D3E"/>
    <w:rsid w:val="003079BD"/>
    <w:rsid w:val="00324B7E"/>
    <w:rsid w:val="00382FE6"/>
    <w:rsid w:val="0039715B"/>
    <w:rsid w:val="003B2423"/>
    <w:rsid w:val="003B3CA0"/>
    <w:rsid w:val="003E0F2B"/>
    <w:rsid w:val="003F063D"/>
    <w:rsid w:val="003F7441"/>
    <w:rsid w:val="0040308E"/>
    <w:rsid w:val="00414E66"/>
    <w:rsid w:val="00420C53"/>
    <w:rsid w:val="0042103A"/>
    <w:rsid w:val="00430AD7"/>
    <w:rsid w:val="00440B2B"/>
    <w:rsid w:val="00445C13"/>
    <w:rsid w:val="004551B5"/>
    <w:rsid w:val="00483F43"/>
    <w:rsid w:val="004C475A"/>
    <w:rsid w:val="004F4E0B"/>
    <w:rsid w:val="004F61C1"/>
    <w:rsid w:val="00512031"/>
    <w:rsid w:val="0053283F"/>
    <w:rsid w:val="0056126A"/>
    <w:rsid w:val="00565A5D"/>
    <w:rsid w:val="005677B7"/>
    <w:rsid w:val="00591696"/>
    <w:rsid w:val="00597241"/>
    <w:rsid w:val="005B294D"/>
    <w:rsid w:val="005D2D35"/>
    <w:rsid w:val="00601672"/>
    <w:rsid w:val="00631216"/>
    <w:rsid w:val="00642D7A"/>
    <w:rsid w:val="00704090"/>
    <w:rsid w:val="007343B5"/>
    <w:rsid w:val="00760436"/>
    <w:rsid w:val="00761162"/>
    <w:rsid w:val="007C052B"/>
    <w:rsid w:val="007C3D5D"/>
    <w:rsid w:val="007C6448"/>
    <w:rsid w:val="007C71E2"/>
    <w:rsid w:val="007D2144"/>
    <w:rsid w:val="007D2BC7"/>
    <w:rsid w:val="007E757F"/>
    <w:rsid w:val="008304FD"/>
    <w:rsid w:val="008534B2"/>
    <w:rsid w:val="00887851"/>
    <w:rsid w:val="008B1CBB"/>
    <w:rsid w:val="008C3129"/>
    <w:rsid w:val="008E14BF"/>
    <w:rsid w:val="00904BAC"/>
    <w:rsid w:val="00911F32"/>
    <w:rsid w:val="00932EB1"/>
    <w:rsid w:val="00937C49"/>
    <w:rsid w:val="00937DE9"/>
    <w:rsid w:val="009403A7"/>
    <w:rsid w:val="0094591C"/>
    <w:rsid w:val="009475C1"/>
    <w:rsid w:val="00951B3E"/>
    <w:rsid w:val="00952385"/>
    <w:rsid w:val="00986259"/>
    <w:rsid w:val="009E3D01"/>
    <w:rsid w:val="009F40A1"/>
    <w:rsid w:val="00A21D69"/>
    <w:rsid w:val="00A40C74"/>
    <w:rsid w:val="00A5003A"/>
    <w:rsid w:val="00A5277A"/>
    <w:rsid w:val="00A57892"/>
    <w:rsid w:val="00A63D57"/>
    <w:rsid w:val="00A85479"/>
    <w:rsid w:val="00AC6177"/>
    <w:rsid w:val="00AD17C9"/>
    <w:rsid w:val="00AF036E"/>
    <w:rsid w:val="00AF126F"/>
    <w:rsid w:val="00BA67D7"/>
    <w:rsid w:val="00C41EFE"/>
    <w:rsid w:val="00C71E98"/>
    <w:rsid w:val="00C959A2"/>
    <w:rsid w:val="00CA268F"/>
    <w:rsid w:val="00D05796"/>
    <w:rsid w:val="00D70F6F"/>
    <w:rsid w:val="00DE0C3D"/>
    <w:rsid w:val="00E11990"/>
    <w:rsid w:val="00E16585"/>
    <w:rsid w:val="00E1768E"/>
    <w:rsid w:val="00E36927"/>
    <w:rsid w:val="00E541A8"/>
    <w:rsid w:val="00E705DA"/>
    <w:rsid w:val="00E76242"/>
    <w:rsid w:val="00E9403F"/>
    <w:rsid w:val="00EB5878"/>
    <w:rsid w:val="00EC7C3D"/>
    <w:rsid w:val="00ED351A"/>
    <w:rsid w:val="00F07C2A"/>
    <w:rsid w:val="00F24A4B"/>
    <w:rsid w:val="00F730E6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C35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b/>
        <w:bCs/>
        <w:sz w:val="28"/>
        <w:szCs w:val="28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4D"/>
    <w:pPr>
      <w:widowControl w:val="0"/>
    </w:pPr>
    <w:rPr>
      <w:rFonts w:ascii="Times New Roman" w:eastAsia="Times New Roman" w:hAnsi="Times New Roman"/>
      <w:b w:val="0"/>
      <w:bCs w:val="0"/>
      <w:snapToGrid w:val="0"/>
      <w:sz w:val="24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-00Logosoncoveralignedright">
    <w:name w:val="UN-00 Logos on cover aligned right"/>
    <w:rsid w:val="005B294D"/>
    <w:pPr>
      <w:jc w:val="right"/>
    </w:pPr>
    <w:rPr>
      <w:rFonts w:ascii="Times New Roman" w:eastAsia="Times New Roman" w:hAnsi="Times New Roman"/>
      <w:b w:val="0"/>
      <w:bCs w:val="0"/>
      <w:sz w:val="22"/>
      <w:szCs w:val="20"/>
      <w:lang w:eastAsia="en-US"/>
    </w:rPr>
  </w:style>
  <w:style w:type="paragraph" w:customStyle="1" w:styleId="UN-00Logosoncoveralignedleft">
    <w:name w:val="UN-00 Logos on cover aligned left"/>
    <w:basedOn w:val="UN-00Logosoncoveralignedright"/>
    <w:rsid w:val="005B294D"/>
    <w:pPr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4D"/>
    <w:rPr>
      <w:rFonts w:ascii="Lucida Grande" w:eastAsia="Times New Roman" w:hAnsi="Lucida Grande" w:cs="Lucida Grande"/>
      <w:b w:val="0"/>
      <w:bCs w:val="0"/>
      <w:snapToGrid w:val="0"/>
      <w:sz w:val="18"/>
      <w:szCs w:val="18"/>
      <w:lang w:val="en-GB" w:eastAsia="en-US"/>
    </w:rPr>
  </w:style>
  <w:style w:type="table" w:styleId="Tablaconcuadrcula">
    <w:name w:val="Table Grid"/>
    <w:basedOn w:val="Tablanormal"/>
    <w:uiPriority w:val="59"/>
    <w:rsid w:val="005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1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1E98"/>
    <w:pPr>
      <w:widowControl/>
      <w:spacing w:before="100" w:beforeAutospacing="1" w:after="100" w:afterAutospacing="1"/>
    </w:pPr>
    <w:rPr>
      <w:rFonts w:eastAsiaTheme="minorHAnsi"/>
      <w:snapToGrid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277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77A"/>
    <w:rPr>
      <w:rFonts w:ascii="Times New Roman" w:eastAsia="Times New Roman" w:hAnsi="Times New Roman"/>
      <w:b w:val="0"/>
      <w:bCs w:val="0"/>
      <w:snapToGrid w:val="0"/>
      <w:sz w:val="24"/>
      <w:szCs w:val="20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5277A"/>
  </w:style>
  <w:style w:type="character" w:styleId="Refdecomentario">
    <w:name w:val="annotation reference"/>
    <w:basedOn w:val="Fuentedeprrafopredeter"/>
    <w:uiPriority w:val="99"/>
    <w:semiHidden/>
    <w:unhideWhenUsed/>
    <w:rsid w:val="0040308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08E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08E"/>
    <w:rPr>
      <w:rFonts w:ascii="Times New Roman" w:eastAsia="Times New Roman" w:hAnsi="Times New Roman"/>
      <w:b w:val="0"/>
      <w:bCs w:val="0"/>
      <w:snapToGrid w:val="0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08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08E"/>
    <w:rPr>
      <w:rFonts w:ascii="Times New Roman" w:eastAsia="Times New Roman" w:hAnsi="Times New Roman"/>
      <w:b/>
      <w:bCs/>
      <w:snapToGrid w:val="0"/>
      <w:sz w:val="20"/>
      <w:szCs w:val="20"/>
      <w:lang w:val="en-GB" w:eastAsia="en-US"/>
    </w:rPr>
  </w:style>
  <w:style w:type="character" w:customStyle="1" w:styleId="il">
    <w:name w:val="il"/>
    <w:basedOn w:val="Fuentedeprrafopredeter"/>
    <w:rsid w:val="0093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b/>
        <w:bCs/>
        <w:sz w:val="28"/>
        <w:szCs w:val="28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4D"/>
    <w:pPr>
      <w:widowControl w:val="0"/>
    </w:pPr>
    <w:rPr>
      <w:rFonts w:ascii="Times New Roman" w:eastAsia="Times New Roman" w:hAnsi="Times New Roman"/>
      <w:b w:val="0"/>
      <w:bCs w:val="0"/>
      <w:snapToGrid w:val="0"/>
      <w:sz w:val="24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-00Logosoncoveralignedright">
    <w:name w:val="UN-00 Logos on cover aligned right"/>
    <w:rsid w:val="005B294D"/>
    <w:pPr>
      <w:jc w:val="right"/>
    </w:pPr>
    <w:rPr>
      <w:rFonts w:ascii="Times New Roman" w:eastAsia="Times New Roman" w:hAnsi="Times New Roman"/>
      <w:b w:val="0"/>
      <w:bCs w:val="0"/>
      <w:sz w:val="22"/>
      <w:szCs w:val="20"/>
      <w:lang w:eastAsia="en-US"/>
    </w:rPr>
  </w:style>
  <w:style w:type="paragraph" w:customStyle="1" w:styleId="UN-00Logosoncoveralignedleft">
    <w:name w:val="UN-00 Logos on cover aligned left"/>
    <w:basedOn w:val="UN-00Logosoncoveralignedright"/>
    <w:rsid w:val="005B294D"/>
    <w:pPr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4D"/>
    <w:rPr>
      <w:rFonts w:ascii="Lucida Grande" w:eastAsia="Times New Roman" w:hAnsi="Lucida Grande" w:cs="Lucida Grande"/>
      <w:b w:val="0"/>
      <w:bCs w:val="0"/>
      <w:snapToGrid w:val="0"/>
      <w:sz w:val="18"/>
      <w:szCs w:val="18"/>
      <w:lang w:val="en-GB" w:eastAsia="en-US"/>
    </w:rPr>
  </w:style>
  <w:style w:type="table" w:styleId="Tablaconcuadrcula">
    <w:name w:val="Table Grid"/>
    <w:basedOn w:val="Tablanormal"/>
    <w:uiPriority w:val="59"/>
    <w:rsid w:val="005B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15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1E98"/>
    <w:pPr>
      <w:widowControl/>
      <w:spacing w:before="100" w:beforeAutospacing="1" w:after="100" w:afterAutospacing="1"/>
    </w:pPr>
    <w:rPr>
      <w:rFonts w:eastAsiaTheme="minorHAnsi"/>
      <w:snapToGrid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277A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77A"/>
    <w:rPr>
      <w:rFonts w:ascii="Times New Roman" w:eastAsia="Times New Roman" w:hAnsi="Times New Roman"/>
      <w:b w:val="0"/>
      <w:bCs w:val="0"/>
      <w:snapToGrid w:val="0"/>
      <w:sz w:val="24"/>
      <w:szCs w:val="20"/>
      <w:lang w:val="en-GB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A5277A"/>
  </w:style>
  <w:style w:type="character" w:styleId="Refdecomentario">
    <w:name w:val="annotation reference"/>
    <w:basedOn w:val="Fuentedeprrafopredeter"/>
    <w:uiPriority w:val="99"/>
    <w:semiHidden/>
    <w:unhideWhenUsed/>
    <w:rsid w:val="0040308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08E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08E"/>
    <w:rPr>
      <w:rFonts w:ascii="Times New Roman" w:eastAsia="Times New Roman" w:hAnsi="Times New Roman"/>
      <w:b w:val="0"/>
      <w:bCs w:val="0"/>
      <w:snapToGrid w:val="0"/>
      <w:sz w:val="24"/>
      <w:szCs w:val="24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08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08E"/>
    <w:rPr>
      <w:rFonts w:ascii="Times New Roman" w:eastAsia="Times New Roman" w:hAnsi="Times New Roman"/>
      <w:b/>
      <w:bCs/>
      <w:snapToGrid w:val="0"/>
      <w:sz w:val="20"/>
      <w:szCs w:val="20"/>
      <w:lang w:val="en-GB" w:eastAsia="en-US"/>
    </w:rPr>
  </w:style>
  <w:style w:type="character" w:customStyle="1" w:styleId="il">
    <w:name w:val="il"/>
    <w:basedOn w:val="Fuentedeprrafopredeter"/>
    <w:rsid w:val="0093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C775DC.3F1823B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12308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Pedone</dc:creator>
  <cp:lastModifiedBy>Rodolfo</cp:lastModifiedBy>
  <cp:revision>2</cp:revision>
  <dcterms:created xsi:type="dcterms:W3CDTF">2014-10-10T14:07:00Z</dcterms:created>
  <dcterms:modified xsi:type="dcterms:W3CDTF">2014-10-10T14:07:00Z</dcterms:modified>
</cp:coreProperties>
</file>