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53"/>
        <w:gridCol w:w="5105"/>
        <w:gridCol w:w="1710"/>
      </w:tblGrid>
      <w:tr w:rsidR="003E2682" w:rsidRPr="006538AB">
        <w:trPr>
          <w:trHeight w:val="1745"/>
        </w:trPr>
        <w:tc>
          <w:tcPr>
            <w:tcW w:w="3553" w:type="dxa"/>
            <w:shd w:val="clear" w:color="auto" w:fill="auto"/>
          </w:tcPr>
          <w:p w:rsidR="003E2682" w:rsidRPr="006538AB" w:rsidRDefault="003E2682" w:rsidP="003E2682">
            <w:pPr>
              <w:rPr>
                <w:lang w:val="fr-FR"/>
              </w:rPr>
            </w:pPr>
            <w:bookmarkStart w:id="0" w:name="_GoBack"/>
            <w:bookmarkEnd w:id="0"/>
          </w:p>
        </w:tc>
        <w:tc>
          <w:tcPr>
            <w:tcW w:w="5105" w:type="dxa"/>
            <w:shd w:val="clear" w:color="auto" w:fill="auto"/>
          </w:tcPr>
          <w:p w:rsidR="003E2682" w:rsidRPr="006538AB" w:rsidRDefault="003E2682" w:rsidP="003E2682">
            <w:pPr>
              <w:jc w:val="right"/>
              <w:rPr>
                <w:noProof/>
                <w:lang w:val="fr-FR"/>
              </w:rPr>
            </w:pPr>
          </w:p>
          <w:p w:rsidR="003E2682" w:rsidRPr="006538AB" w:rsidRDefault="003E2682" w:rsidP="003E2682">
            <w:pPr>
              <w:jc w:val="right"/>
              <w:rPr>
                <w:noProof/>
                <w:lang w:val="fr-FR"/>
              </w:rPr>
            </w:pPr>
          </w:p>
          <w:p w:rsidR="003E2682" w:rsidRPr="006538AB" w:rsidRDefault="00D6659A" w:rsidP="003E2682">
            <w:pPr>
              <w:jc w:val="right"/>
              <w:rPr>
                <w:b/>
                <w:u w:val="single"/>
                <w:lang w:val="fr-FR"/>
              </w:rPr>
            </w:pPr>
            <w:r>
              <w:rPr>
                <w:noProof/>
              </w:rPr>
              <w:drawing>
                <wp:inline distT="0" distB="0" distL="0" distR="0">
                  <wp:extent cx="1633855" cy="304800"/>
                  <wp:effectExtent l="19050" t="0" r="4445" b="0"/>
                  <wp:docPr id="1" name="Picture 3" descr="C:\Documents and Settings\amar.bokhari\Local Settings\Temporary Internet Files\Content.Word\UNDG logo 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mar.bokhari\Local Settings\Temporary Internet Files\Content.Word\UNDG logo solo.jpg"/>
                          <pic:cNvPicPr>
                            <a:picLocks noChangeAspect="1" noChangeArrowheads="1"/>
                          </pic:cNvPicPr>
                        </pic:nvPicPr>
                        <pic:blipFill>
                          <a:blip r:embed="rId9" cstate="print"/>
                          <a:srcRect/>
                          <a:stretch>
                            <a:fillRect/>
                          </a:stretch>
                        </pic:blipFill>
                        <pic:spPr bwMode="auto">
                          <a:xfrm>
                            <a:off x="0" y="0"/>
                            <a:ext cx="1633855" cy="304800"/>
                          </a:xfrm>
                          <a:prstGeom prst="rect">
                            <a:avLst/>
                          </a:prstGeom>
                          <a:noFill/>
                          <a:ln w="9525">
                            <a:noFill/>
                            <a:miter lim="800000"/>
                            <a:headEnd/>
                            <a:tailEnd/>
                          </a:ln>
                        </pic:spPr>
                      </pic:pic>
                    </a:graphicData>
                  </a:graphic>
                </wp:inline>
              </w:drawing>
            </w:r>
          </w:p>
        </w:tc>
        <w:tc>
          <w:tcPr>
            <w:tcW w:w="1710" w:type="dxa"/>
            <w:shd w:val="clear" w:color="auto" w:fill="auto"/>
          </w:tcPr>
          <w:p w:rsidR="003E2682" w:rsidRPr="006538AB" w:rsidRDefault="00D6659A" w:rsidP="003E2682">
            <w:pPr>
              <w:jc w:val="right"/>
              <w:rPr>
                <w:b/>
                <w:u w:val="single"/>
                <w:lang w:val="fr-FR"/>
              </w:rPr>
            </w:pPr>
            <w:r>
              <w:rPr>
                <w:b/>
                <w:noProof/>
                <w:color w:val="333399"/>
              </w:rPr>
              <w:drawing>
                <wp:inline distT="0" distB="0" distL="0" distR="0">
                  <wp:extent cx="560705" cy="1060450"/>
                  <wp:effectExtent l="1905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560705" cy="1060450"/>
                          </a:xfrm>
                          <a:prstGeom prst="rect">
                            <a:avLst/>
                          </a:prstGeom>
                          <a:noFill/>
                          <a:ln w="9525">
                            <a:noFill/>
                            <a:miter lim="800000"/>
                            <a:headEnd/>
                            <a:tailEnd/>
                          </a:ln>
                        </pic:spPr>
                      </pic:pic>
                    </a:graphicData>
                  </a:graphic>
                </wp:inline>
              </w:drawing>
            </w:r>
          </w:p>
        </w:tc>
      </w:tr>
    </w:tbl>
    <w:p w:rsidR="003E2682" w:rsidRPr="006538AB" w:rsidRDefault="00C12A1A" w:rsidP="003E2682">
      <w:pPr>
        <w:jc w:val="center"/>
        <w:rPr>
          <w:b/>
          <w:lang w:val="fr-FR"/>
        </w:rPr>
      </w:pPr>
      <w:r w:rsidRPr="006538AB">
        <w:rPr>
          <w:b/>
          <w:lang w:val="fr-FR"/>
        </w:rPr>
        <w:t>FOND</w:t>
      </w:r>
      <w:r w:rsidR="00C23C9F" w:rsidRPr="006538AB">
        <w:rPr>
          <w:b/>
          <w:lang w:val="fr-FR"/>
        </w:rPr>
        <w:t>S</w:t>
      </w:r>
      <w:r w:rsidRPr="006538AB">
        <w:rPr>
          <w:b/>
          <w:lang w:val="fr-FR"/>
        </w:rPr>
        <w:t xml:space="preserve"> </w:t>
      </w:r>
      <w:r w:rsidR="00D6659A">
        <w:rPr>
          <w:b/>
          <w:lang w:val="fr-FR"/>
        </w:rPr>
        <w:t xml:space="preserve">DE </w:t>
      </w:r>
      <w:r w:rsidRPr="006538AB">
        <w:rPr>
          <w:b/>
          <w:lang w:val="fr-FR"/>
        </w:rPr>
        <w:t>RECONSTRUCTION D</w:t>
      </w:r>
      <w:r w:rsidR="00D6659A">
        <w:rPr>
          <w:b/>
          <w:lang w:val="fr-FR"/>
        </w:rPr>
        <w:t>'</w:t>
      </w:r>
      <w:r w:rsidRPr="006538AB">
        <w:rPr>
          <w:b/>
          <w:lang w:val="fr-FR"/>
        </w:rPr>
        <w:t>HA</w:t>
      </w:r>
      <w:r w:rsidR="00D6659A">
        <w:rPr>
          <w:b/>
          <w:lang w:val="fr-FR"/>
        </w:rPr>
        <w:t>Ï</w:t>
      </w:r>
      <w:r w:rsidRPr="006538AB">
        <w:rPr>
          <w:b/>
          <w:lang w:val="fr-FR"/>
        </w:rPr>
        <w:t>TI</w:t>
      </w:r>
    </w:p>
    <w:p w:rsidR="003E2682" w:rsidRPr="006538AB" w:rsidRDefault="003E2682" w:rsidP="003E2682">
      <w:pPr>
        <w:jc w:val="center"/>
        <w:rPr>
          <w:b/>
          <w:bCs/>
          <w:caps/>
          <w:lang w:val="fr-FR"/>
        </w:rPr>
      </w:pPr>
      <w:r w:rsidRPr="006538AB">
        <w:rPr>
          <w:b/>
          <w:bCs/>
          <w:caps/>
          <w:lang w:val="fr-FR"/>
        </w:rPr>
        <w:t xml:space="preserve">RAPPORT DESCRIPTIF ANNUEL SUR </w:t>
      </w:r>
    </w:p>
    <w:p w:rsidR="003E2682" w:rsidRPr="006538AB" w:rsidRDefault="003E2682" w:rsidP="003E2682">
      <w:pPr>
        <w:jc w:val="center"/>
        <w:rPr>
          <w:b/>
          <w:bCs/>
          <w:caps/>
          <w:lang w:val="fr-FR"/>
        </w:rPr>
      </w:pPr>
      <w:r w:rsidRPr="006538AB">
        <w:rPr>
          <w:b/>
          <w:bCs/>
          <w:caps/>
          <w:lang w:val="fr-FR"/>
        </w:rPr>
        <w:t>L’ETAT D’AVANCEMENT DU PROGRAMME</w:t>
      </w:r>
      <w:r w:rsidRPr="006538AB">
        <w:rPr>
          <w:rStyle w:val="FootnoteReference"/>
          <w:b/>
          <w:bCs/>
          <w:caps/>
          <w:lang w:val="fr-FR"/>
        </w:rPr>
        <w:footnoteReference w:id="1"/>
      </w:r>
      <w:r w:rsidRPr="006538AB">
        <w:rPr>
          <w:b/>
          <w:bCs/>
          <w:caps/>
          <w:lang w:val="fr-FR"/>
        </w:rPr>
        <w:t xml:space="preserve"> </w:t>
      </w:r>
    </w:p>
    <w:p w:rsidR="003E2682" w:rsidRPr="006538AB" w:rsidRDefault="003E2682" w:rsidP="003E2682">
      <w:pPr>
        <w:jc w:val="center"/>
        <w:rPr>
          <w:b/>
          <w:bCs/>
          <w:caps/>
          <w:lang w:val="fr-FR"/>
        </w:rPr>
      </w:pPr>
      <w:r w:rsidRPr="006538AB">
        <w:rPr>
          <w:b/>
          <w:bCs/>
          <w:caps/>
          <w:lang w:val="fr-FR"/>
        </w:rPr>
        <w:t>pERIODe du rappo</w:t>
      </w:r>
      <w:r w:rsidR="00A57456" w:rsidRPr="006538AB">
        <w:rPr>
          <w:b/>
          <w:bCs/>
          <w:caps/>
          <w:lang w:val="fr-FR"/>
        </w:rPr>
        <w:t>rt: 1 janvier – 31 Decembre 201</w:t>
      </w:r>
      <w:r w:rsidR="00C03853" w:rsidRPr="006538AB">
        <w:rPr>
          <w:b/>
          <w:bCs/>
          <w:caps/>
          <w:lang w:val="fr-FR"/>
        </w:rPr>
        <w:t>4</w:t>
      </w:r>
    </w:p>
    <w:tbl>
      <w:tblPr>
        <w:tblW w:w="10386" w:type="dxa"/>
        <w:tblInd w:w="-72" w:type="dxa"/>
        <w:tblLayout w:type="fixed"/>
        <w:tblLook w:val="01E0" w:firstRow="1" w:lastRow="1" w:firstColumn="1" w:lastColumn="1" w:noHBand="0" w:noVBand="0"/>
      </w:tblPr>
      <w:tblGrid>
        <w:gridCol w:w="2970"/>
        <w:gridCol w:w="2172"/>
        <w:gridCol w:w="258"/>
        <w:gridCol w:w="3002"/>
        <w:gridCol w:w="1984"/>
      </w:tblGrid>
      <w:tr w:rsidR="003E2682" w:rsidRPr="00FD2390">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3E2682" w:rsidRPr="006538AB" w:rsidRDefault="003E2682" w:rsidP="003E2682">
            <w:pPr>
              <w:pStyle w:val="H1"/>
              <w:jc w:val="center"/>
              <w:rPr>
                <w:rFonts w:cs="Times New Roman"/>
                <w:szCs w:val="24"/>
                <w:lang w:val="fr-FR"/>
              </w:rPr>
            </w:pPr>
            <w:r w:rsidRPr="006538AB">
              <w:rPr>
                <w:rFonts w:cs="Times New Roman"/>
                <w:szCs w:val="24"/>
                <w:lang w:val="fr-FR"/>
              </w:rPr>
              <w:t>Titre du Programme et Référence du Projet</w:t>
            </w:r>
          </w:p>
        </w:tc>
        <w:tc>
          <w:tcPr>
            <w:tcW w:w="258" w:type="dxa"/>
            <w:vMerge w:val="restart"/>
            <w:tcBorders>
              <w:left w:val="single" w:sz="4" w:space="0" w:color="auto"/>
              <w:right w:val="single" w:sz="4" w:space="0" w:color="auto"/>
            </w:tcBorders>
            <w:vAlign w:val="center"/>
          </w:tcPr>
          <w:p w:rsidR="003E2682" w:rsidRPr="006538AB" w:rsidRDefault="003E2682" w:rsidP="003E2682">
            <w:pPr>
              <w:jc w:val="center"/>
              <w:rPr>
                <w:lang w:val="fr-FR"/>
              </w:rPr>
            </w:pPr>
          </w:p>
        </w:tc>
        <w:tc>
          <w:tcPr>
            <w:tcW w:w="4986" w:type="dxa"/>
            <w:gridSpan w:val="2"/>
            <w:tcBorders>
              <w:top w:val="single" w:sz="4" w:space="0" w:color="auto"/>
              <w:left w:val="single" w:sz="4" w:space="0" w:color="auto"/>
              <w:right w:val="single" w:sz="4" w:space="0" w:color="auto"/>
            </w:tcBorders>
            <w:shd w:val="clear" w:color="auto" w:fill="F3F3F3"/>
            <w:vAlign w:val="center"/>
          </w:tcPr>
          <w:p w:rsidR="003E2682" w:rsidRPr="006538AB" w:rsidRDefault="003E2682" w:rsidP="003E2682">
            <w:pPr>
              <w:pStyle w:val="H1"/>
              <w:jc w:val="center"/>
              <w:rPr>
                <w:rFonts w:cs="Times New Roman"/>
                <w:szCs w:val="24"/>
                <w:lang w:val="fr-FR"/>
              </w:rPr>
            </w:pPr>
            <w:r w:rsidRPr="006538AB">
              <w:rPr>
                <w:rFonts w:cs="Times New Roman"/>
                <w:szCs w:val="24"/>
                <w:lang w:val="fr-FR"/>
              </w:rPr>
              <w:t>Pays, Localité(s), Secteur(s) Prioritaire(s) du Programme / Résultats Stratégiques</w:t>
            </w:r>
            <w:r w:rsidRPr="006538AB">
              <w:rPr>
                <w:rStyle w:val="FootnoteReference"/>
                <w:rFonts w:cs="Times New Roman"/>
                <w:szCs w:val="24"/>
                <w:lang w:val="fr-FR"/>
              </w:rPr>
              <w:footnoteReference w:id="2"/>
            </w:r>
          </w:p>
        </w:tc>
      </w:tr>
      <w:tr w:rsidR="003E2682" w:rsidRPr="00FD2390">
        <w:trPr>
          <w:trHeight w:val="300"/>
        </w:trPr>
        <w:tc>
          <w:tcPr>
            <w:tcW w:w="5142" w:type="dxa"/>
            <w:gridSpan w:val="2"/>
            <w:vMerge w:val="restart"/>
            <w:tcBorders>
              <w:left w:val="single" w:sz="4" w:space="0" w:color="auto"/>
              <w:right w:val="single" w:sz="4" w:space="0" w:color="auto"/>
            </w:tcBorders>
          </w:tcPr>
          <w:p w:rsidR="00C12A1A" w:rsidRPr="006538AB" w:rsidRDefault="003E2682" w:rsidP="00C12A1A">
            <w:pPr>
              <w:numPr>
                <w:ilvl w:val="0"/>
                <w:numId w:val="16"/>
              </w:numPr>
              <w:rPr>
                <w:lang w:val="fr-FR"/>
              </w:rPr>
            </w:pPr>
            <w:r w:rsidRPr="006538AB">
              <w:rPr>
                <w:bCs/>
                <w:iCs/>
                <w:snapToGrid w:val="0"/>
                <w:lang w:val="fr-FR"/>
              </w:rPr>
              <w:t>Titre du Programme:</w:t>
            </w:r>
            <w:r w:rsidR="00C12A1A" w:rsidRPr="006538AB">
              <w:rPr>
                <w:lang w:val="fr-FR"/>
              </w:rPr>
              <w:t xml:space="preserve"> Plan de Prévention Séisme Grand Nord d’Haïti</w:t>
            </w:r>
          </w:p>
          <w:p w:rsidR="00C12A1A" w:rsidRPr="006538AB" w:rsidRDefault="00C12A1A" w:rsidP="00C12A1A">
            <w:pPr>
              <w:numPr>
                <w:ilvl w:val="0"/>
                <w:numId w:val="16"/>
              </w:numPr>
              <w:rPr>
                <w:lang w:val="fr-FR"/>
              </w:rPr>
            </w:pPr>
            <w:r w:rsidRPr="006538AB">
              <w:rPr>
                <w:lang w:val="fr-FR"/>
              </w:rPr>
              <w:t>Réf. du Programme: UNDG/HRF-6  / PCN000408</w:t>
            </w:r>
          </w:p>
          <w:p w:rsidR="003E2682" w:rsidRPr="006538AB" w:rsidRDefault="00C12A1A" w:rsidP="00C12A1A">
            <w:pPr>
              <w:numPr>
                <w:ilvl w:val="0"/>
                <w:numId w:val="16"/>
              </w:numPr>
              <w:rPr>
                <w:lang w:val="fr-FR"/>
              </w:rPr>
            </w:pPr>
            <w:r w:rsidRPr="006538AB">
              <w:rPr>
                <w:lang w:val="fr-FR"/>
              </w:rPr>
              <w:t>Numéro de référence du Projet/MPTF Office:</w:t>
            </w:r>
            <w:r w:rsidRPr="006538AB">
              <w:rPr>
                <w:rStyle w:val="FootnoteReference"/>
                <w:lang w:val="fr-FR"/>
              </w:rPr>
              <w:footnoteReference w:id="3"/>
            </w:r>
            <w:r w:rsidRPr="006538AB">
              <w:rPr>
                <w:lang w:val="fr-FR"/>
              </w:rPr>
              <w:t xml:space="preserve">  79112</w:t>
            </w:r>
          </w:p>
          <w:p w:rsidR="003E2682" w:rsidRPr="006538AB" w:rsidRDefault="003E2682" w:rsidP="00C12A1A">
            <w:pPr>
              <w:pStyle w:val="BodyText"/>
              <w:spacing w:before="60" w:after="60"/>
              <w:ind w:left="342"/>
              <w:jc w:val="both"/>
              <w:rPr>
                <w:rFonts w:ascii="Times New Roman" w:hAnsi="Times New Roman"/>
                <w:i/>
                <w:sz w:val="24"/>
                <w:szCs w:val="24"/>
                <w:lang w:val="fr-FR"/>
              </w:rPr>
            </w:pPr>
            <w:r w:rsidRPr="006538AB">
              <w:rPr>
                <w:rFonts w:ascii="Times New Roman" w:hAnsi="Times New Roman"/>
                <w:i/>
                <w:sz w:val="24"/>
                <w:szCs w:val="24"/>
                <w:lang w:val="fr-FR"/>
              </w:rPr>
              <w:t xml:space="preserve"> </w:t>
            </w:r>
          </w:p>
        </w:tc>
        <w:tc>
          <w:tcPr>
            <w:tcW w:w="258" w:type="dxa"/>
            <w:vMerge/>
            <w:tcBorders>
              <w:left w:val="single" w:sz="4" w:space="0" w:color="auto"/>
              <w:right w:val="single" w:sz="4" w:space="0" w:color="auto"/>
            </w:tcBorders>
          </w:tcPr>
          <w:p w:rsidR="003E2682" w:rsidRPr="006538AB" w:rsidRDefault="003E2682" w:rsidP="003E2682">
            <w:pPr>
              <w:pStyle w:val="BodyText"/>
              <w:rPr>
                <w:rFonts w:ascii="Times New Roman" w:hAnsi="Times New Roman"/>
                <w:sz w:val="24"/>
                <w:szCs w:val="24"/>
                <w:lang w:val="fr-FR"/>
              </w:rPr>
            </w:pPr>
          </w:p>
        </w:tc>
        <w:tc>
          <w:tcPr>
            <w:tcW w:w="4986" w:type="dxa"/>
            <w:gridSpan w:val="2"/>
            <w:tcBorders>
              <w:left w:val="single" w:sz="4" w:space="0" w:color="auto"/>
              <w:bottom w:val="single" w:sz="4" w:space="0" w:color="auto"/>
              <w:right w:val="single" w:sz="4" w:space="0" w:color="auto"/>
            </w:tcBorders>
          </w:tcPr>
          <w:p w:rsidR="00C12A1A" w:rsidRPr="006538AB" w:rsidRDefault="00C12A1A" w:rsidP="00C12A1A">
            <w:pPr>
              <w:pStyle w:val="BodyText"/>
              <w:rPr>
                <w:rFonts w:ascii="Times New Roman" w:hAnsi="Times New Roman"/>
                <w:i/>
                <w:sz w:val="24"/>
                <w:szCs w:val="24"/>
                <w:lang w:val="fr-FR"/>
              </w:rPr>
            </w:pPr>
            <w:r w:rsidRPr="006538AB">
              <w:rPr>
                <w:rFonts w:ascii="Times New Roman" w:hAnsi="Times New Roman"/>
                <w:i/>
                <w:sz w:val="24"/>
                <w:szCs w:val="24"/>
                <w:lang w:val="fr-FR"/>
              </w:rPr>
              <w:t>Pays/Localit</w:t>
            </w:r>
            <w:r w:rsidRPr="006538AB">
              <w:rPr>
                <w:rFonts w:ascii="Times New Roman" w:hAnsi="Times New Roman"/>
                <w:bCs/>
                <w:i/>
                <w:iCs/>
                <w:sz w:val="24"/>
                <w:szCs w:val="24"/>
                <w:lang w:val="fr-FR"/>
              </w:rPr>
              <w:t xml:space="preserve">é: </w:t>
            </w:r>
            <w:r w:rsidR="00C23C9F" w:rsidRPr="006538AB">
              <w:rPr>
                <w:rFonts w:ascii="Times New Roman" w:hAnsi="Times New Roman"/>
                <w:i/>
                <w:sz w:val="24"/>
                <w:szCs w:val="24"/>
                <w:lang w:val="fr-FR"/>
              </w:rPr>
              <w:t>Haïti</w:t>
            </w:r>
            <w:r w:rsidRPr="006538AB">
              <w:rPr>
                <w:rFonts w:ascii="Times New Roman" w:hAnsi="Times New Roman"/>
                <w:i/>
                <w:sz w:val="24"/>
                <w:szCs w:val="24"/>
                <w:lang w:val="fr-FR"/>
              </w:rPr>
              <w:t xml:space="preserve">    -   Grand Nord</w:t>
            </w:r>
          </w:p>
          <w:p w:rsidR="00C12A1A" w:rsidRPr="006538AB" w:rsidRDefault="00C12A1A" w:rsidP="00C12A1A">
            <w:pPr>
              <w:pStyle w:val="BodyText"/>
              <w:rPr>
                <w:rFonts w:ascii="Times New Roman" w:hAnsi="Times New Roman"/>
                <w:bCs/>
                <w:i/>
                <w:iCs/>
                <w:sz w:val="24"/>
                <w:szCs w:val="24"/>
                <w:lang w:val="fr-FR"/>
              </w:rPr>
            </w:pPr>
          </w:p>
          <w:p w:rsidR="00C12A1A" w:rsidRPr="006538AB" w:rsidRDefault="00C12A1A" w:rsidP="00C12A1A">
            <w:pPr>
              <w:pStyle w:val="BodyText"/>
              <w:rPr>
                <w:rFonts w:ascii="Times New Roman" w:hAnsi="Times New Roman"/>
                <w:bCs/>
                <w:i/>
                <w:iCs/>
                <w:sz w:val="24"/>
                <w:szCs w:val="24"/>
                <w:lang w:val="fr-FR"/>
              </w:rPr>
            </w:pPr>
            <w:r w:rsidRPr="006538AB">
              <w:rPr>
                <w:rFonts w:ascii="Times New Roman" w:hAnsi="Times New Roman"/>
                <w:bCs/>
                <w:i/>
                <w:iCs/>
                <w:sz w:val="24"/>
                <w:szCs w:val="24"/>
                <w:lang w:val="fr-FR"/>
              </w:rPr>
              <w:t>Département Nord  - Département Nord</w:t>
            </w:r>
            <w:r w:rsidR="00CD5A40">
              <w:rPr>
                <w:rFonts w:ascii="Times New Roman" w:hAnsi="Times New Roman"/>
                <w:bCs/>
                <w:i/>
                <w:iCs/>
                <w:sz w:val="24"/>
                <w:szCs w:val="24"/>
                <w:lang w:val="fr-FR"/>
              </w:rPr>
              <w:t>-</w:t>
            </w:r>
            <w:r w:rsidRPr="006538AB">
              <w:rPr>
                <w:rFonts w:ascii="Times New Roman" w:hAnsi="Times New Roman"/>
                <w:bCs/>
                <w:i/>
                <w:iCs/>
                <w:sz w:val="24"/>
                <w:szCs w:val="24"/>
                <w:lang w:val="fr-FR"/>
              </w:rPr>
              <w:t>Est et Département Nord</w:t>
            </w:r>
            <w:r w:rsidR="00CD5A40">
              <w:rPr>
                <w:rFonts w:ascii="Times New Roman" w:hAnsi="Times New Roman"/>
                <w:bCs/>
                <w:i/>
                <w:iCs/>
                <w:sz w:val="24"/>
                <w:szCs w:val="24"/>
                <w:lang w:val="fr-FR"/>
              </w:rPr>
              <w:t>-</w:t>
            </w:r>
            <w:r w:rsidRPr="006538AB">
              <w:rPr>
                <w:rFonts w:ascii="Times New Roman" w:hAnsi="Times New Roman"/>
                <w:bCs/>
                <w:i/>
                <w:iCs/>
                <w:sz w:val="24"/>
                <w:szCs w:val="24"/>
                <w:lang w:val="fr-FR"/>
              </w:rPr>
              <w:t>Ouest</w:t>
            </w:r>
          </w:p>
          <w:p w:rsidR="003E2682" w:rsidRPr="006538AB" w:rsidRDefault="003E2682" w:rsidP="003E2682">
            <w:pPr>
              <w:pStyle w:val="BodyText"/>
              <w:rPr>
                <w:rFonts w:ascii="Times New Roman" w:hAnsi="Times New Roman"/>
                <w:sz w:val="24"/>
                <w:szCs w:val="24"/>
                <w:lang w:val="fr-FR"/>
              </w:rPr>
            </w:pPr>
          </w:p>
        </w:tc>
      </w:tr>
      <w:tr w:rsidR="003E2682" w:rsidRPr="00FD2390">
        <w:trPr>
          <w:trHeight w:val="426"/>
        </w:trPr>
        <w:tc>
          <w:tcPr>
            <w:tcW w:w="5142" w:type="dxa"/>
            <w:gridSpan w:val="2"/>
            <w:vMerge/>
            <w:tcBorders>
              <w:left w:val="single" w:sz="4" w:space="0" w:color="auto"/>
              <w:bottom w:val="single" w:sz="4" w:space="0" w:color="auto"/>
              <w:right w:val="single" w:sz="4" w:space="0" w:color="auto"/>
            </w:tcBorders>
          </w:tcPr>
          <w:p w:rsidR="003E2682" w:rsidRPr="006538AB" w:rsidRDefault="003E2682" w:rsidP="003E2682">
            <w:pPr>
              <w:pStyle w:val="BodyText"/>
              <w:numPr>
                <w:ilvl w:val="0"/>
                <w:numId w:val="6"/>
              </w:numPr>
              <w:spacing w:before="60" w:after="60"/>
              <w:ind w:left="342"/>
              <w:jc w:val="both"/>
              <w:rPr>
                <w:rFonts w:ascii="Times New Roman" w:hAnsi="Times New Roman"/>
                <w:bCs/>
                <w:iCs/>
                <w:snapToGrid w:val="0"/>
                <w:sz w:val="24"/>
                <w:szCs w:val="24"/>
                <w:lang w:val="fr-FR"/>
              </w:rPr>
            </w:pPr>
          </w:p>
        </w:tc>
        <w:tc>
          <w:tcPr>
            <w:tcW w:w="258" w:type="dxa"/>
            <w:vMerge/>
            <w:tcBorders>
              <w:left w:val="single" w:sz="4" w:space="0" w:color="auto"/>
              <w:right w:val="single" w:sz="4" w:space="0" w:color="auto"/>
            </w:tcBorders>
          </w:tcPr>
          <w:p w:rsidR="003E2682" w:rsidRPr="006538AB" w:rsidRDefault="003E2682" w:rsidP="003E2682">
            <w:pPr>
              <w:pStyle w:val="BodyText"/>
              <w:rPr>
                <w:rFonts w:ascii="Times New Roman" w:hAnsi="Times New Roman"/>
                <w:sz w:val="24"/>
                <w:szCs w:val="24"/>
                <w:lang w:val="fr-FR"/>
              </w:rPr>
            </w:pPr>
          </w:p>
        </w:tc>
        <w:tc>
          <w:tcPr>
            <w:tcW w:w="4986" w:type="dxa"/>
            <w:gridSpan w:val="2"/>
            <w:tcBorders>
              <w:top w:val="single" w:sz="4" w:space="0" w:color="auto"/>
              <w:left w:val="single" w:sz="4" w:space="0" w:color="auto"/>
              <w:bottom w:val="single" w:sz="4" w:space="0" w:color="auto"/>
              <w:right w:val="single" w:sz="4" w:space="0" w:color="auto"/>
            </w:tcBorders>
          </w:tcPr>
          <w:p w:rsidR="00C12A1A" w:rsidRPr="006538AB" w:rsidRDefault="003E2682" w:rsidP="003E2682">
            <w:pPr>
              <w:pStyle w:val="BodyText"/>
              <w:rPr>
                <w:rFonts w:ascii="Times New Roman" w:hAnsi="Times New Roman"/>
                <w:bCs/>
                <w:i/>
                <w:iCs/>
                <w:snapToGrid w:val="0"/>
                <w:sz w:val="24"/>
                <w:szCs w:val="24"/>
                <w:lang w:val="fr-FR"/>
              </w:rPr>
            </w:pPr>
            <w:r w:rsidRPr="006538AB">
              <w:rPr>
                <w:rFonts w:ascii="Times New Roman" w:hAnsi="Times New Roman"/>
                <w:bCs/>
                <w:i/>
                <w:iCs/>
                <w:snapToGrid w:val="0"/>
                <w:sz w:val="24"/>
                <w:szCs w:val="24"/>
                <w:lang w:val="fr-FR"/>
              </w:rPr>
              <w:t>Secteur(s) Prioritaire(s) du Pr</w:t>
            </w:r>
            <w:r w:rsidR="00C12A1A" w:rsidRPr="006538AB">
              <w:rPr>
                <w:rFonts w:ascii="Times New Roman" w:hAnsi="Times New Roman"/>
                <w:bCs/>
                <w:i/>
                <w:iCs/>
                <w:snapToGrid w:val="0"/>
                <w:sz w:val="24"/>
                <w:szCs w:val="24"/>
                <w:lang w:val="fr-FR"/>
              </w:rPr>
              <w:t xml:space="preserve">ogramme / </w:t>
            </w:r>
            <w:r w:rsidR="00CD5A40" w:rsidRPr="00E3532D">
              <w:rPr>
                <w:rFonts w:ascii="Times New Roman" w:hAnsi="Times New Roman"/>
                <w:bCs/>
                <w:i/>
                <w:iCs/>
                <w:snapToGrid w:val="0"/>
                <w:lang w:val="fr-FR"/>
              </w:rPr>
              <w:t>Résultats Stratégiques</w:t>
            </w:r>
            <w:r w:rsidR="00CD5A40">
              <w:rPr>
                <w:rFonts w:ascii="Times New Roman" w:hAnsi="Times New Roman"/>
                <w:bCs/>
                <w:i/>
                <w:iCs/>
                <w:snapToGrid w:val="0"/>
                <w:lang w:val="fr-FR"/>
              </w:rPr>
              <w:t xml:space="preserve">: </w:t>
            </w:r>
          </w:p>
          <w:p w:rsidR="003E2682" w:rsidRPr="006538AB" w:rsidRDefault="00C12A1A" w:rsidP="003E2682">
            <w:pPr>
              <w:pStyle w:val="BodyText"/>
              <w:rPr>
                <w:rFonts w:ascii="Times New Roman" w:hAnsi="Times New Roman"/>
                <w:bCs/>
                <w:i/>
                <w:iCs/>
                <w:snapToGrid w:val="0"/>
                <w:sz w:val="24"/>
                <w:szCs w:val="24"/>
                <w:lang w:val="fr-FR"/>
              </w:rPr>
            </w:pPr>
            <w:r w:rsidRPr="006538AB">
              <w:rPr>
                <w:rFonts w:ascii="Times New Roman" w:hAnsi="Times New Roman"/>
                <w:bCs/>
                <w:i/>
                <w:iCs/>
                <w:sz w:val="24"/>
                <w:szCs w:val="24"/>
                <w:lang w:val="fr-FR"/>
              </w:rPr>
              <w:t>Réduction des Risques et des Désastres/Risques Sismiques.</w:t>
            </w:r>
          </w:p>
        </w:tc>
      </w:tr>
      <w:tr w:rsidR="003E2682" w:rsidRPr="00FD2390">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3E2682" w:rsidRPr="006538AB" w:rsidRDefault="003E2682" w:rsidP="003E2682">
            <w:pPr>
              <w:pStyle w:val="H1"/>
              <w:jc w:val="center"/>
              <w:rPr>
                <w:rFonts w:cs="Times New Roman"/>
                <w:szCs w:val="24"/>
                <w:lang w:val="fr-FR"/>
              </w:rPr>
            </w:pPr>
            <w:r w:rsidRPr="006538AB">
              <w:rPr>
                <w:rFonts w:cs="Times New Roman"/>
                <w:szCs w:val="24"/>
                <w:lang w:val="fr-FR"/>
              </w:rPr>
              <w:t>Organisation(s) Participante(s)</w:t>
            </w:r>
          </w:p>
        </w:tc>
        <w:tc>
          <w:tcPr>
            <w:tcW w:w="258" w:type="dxa"/>
            <w:vMerge w:val="restart"/>
            <w:tcBorders>
              <w:left w:val="single" w:sz="4" w:space="0" w:color="auto"/>
              <w:right w:val="single" w:sz="4" w:space="0" w:color="auto"/>
            </w:tcBorders>
            <w:vAlign w:val="center"/>
          </w:tcPr>
          <w:p w:rsidR="003E2682" w:rsidRPr="006538AB" w:rsidRDefault="003E2682" w:rsidP="003E2682">
            <w:pPr>
              <w:jc w:val="center"/>
              <w:rPr>
                <w:lang w:val="fr-FR"/>
              </w:rPr>
            </w:pPr>
          </w:p>
        </w:tc>
        <w:tc>
          <w:tcPr>
            <w:tcW w:w="4986" w:type="dxa"/>
            <w:gridSpan w:val="2"/>
            <w:tcBorders>
              <w:top w:val="single" w:sz="4" w:space="0" w:color="auto"/>
              <w:left w:val="single" w:sz="4" w:space="0" w:color="auto"/>
              <w:right w:val="single" w:sz="4" w:space="0" w:color="auto"/>
            </w:tcBorders>
            <w:shd w:val="clear" w:color="auto" w:fill="F3F3F3"/>
            <w:vAlign w:val="center"/>
          </w:tcPr>
          <w:p w:rsidR="003E2682" w:rsidRPr="006538AB" w:rsidRDefault="003E2682" w:rsidP="003E2682">
            <w:pPr>
              <w:pStyle w:val="H1"/>
              <w:jc w:val="center"/>
              <w:rPr>
                <w:rFonts w:cs="Times New Roman"/>
                <w:szCs w:val="24"/>
                <w:lang w:val="fr-FR"/>
              </w:rPr>
            </w:pPr>
            <w:r w:rsidRPr="006538AB">
              <w:rPr>
                <w:rFonts w:cs="Times New Roman"/>
                <w:szCs w:val="24"/>
                <w:lang w:val="fr-FR"/>
              </w:rPr>
              <w:t>Partenaires de mise en œuvre</w:t>
            </w:r>
          </w:p>
        </w:tc>
      </w:tr>
      <w:tr w:rsidR="003E2682" w:rsidRPr="00FD2390" w:rsidTr="00C23C9F">
        <w:trPr>
          <w:trHeight w:val="936"/>
        </w:trPr>
        <w:tc>
          <w:tcPr>
            <w:tcW w:w="5142" w:type="dxa"/>
            <w:gridSpan w:val="2"/>
            <w:tcBorders>
              <w:left w:val="single" w:sz="4" w:space="0" w:color="auto"/>
              <w:bottom w:val="single" w:sz="4" w:space="0" w:color="auto"/>
              <w:right w:val="single" w:sz="4" w:space="0" w:color="auto"/>
            </w:tcBorders>
          </w:tcPr>
          <w:p w:rsidR="003E2682" w:rsidRPr="006538AB" w:rsidRDefault="00C12A1A" w:rsidP="003E2682">
            <w:pPr>
              <w:pStyle w:val="BodyText"/>
              <w:ind w:left="214"/>
              <w:rPr>
                <w:rFonts w:ascii="Times New Roman" w:hAnsi="Times New Roman"/>
                <w:sz w:val="24"/>
                <w:szCs w:val="24"/>
                <w:lang w:val="fr-FR"/>
              </w:rPr>
            </w:pPr>
            <w:r w:rsidRPr="006538AB">
              <w:rPr>
                <w:rFonts w:ascii="Times New Roman" w:hAnsi="Times New Roman"/>
                <w:sz w:val="24"/>
                <w:szCs w:val="24"/>
                <w:lang w:val="fr-FR"/>
              </w:rPr>
              <w:t xml:space="preserve">•    Programme des Nations Unies pour le </w:t>
            </w:r>
            <w:r w:rsidR="00CD5A40">
              <w:rPr>
                <w:rFonts w:ascii="Times New Roman" w:hAnsi="Times New Roman"/>
                <w:sz w:val="24"/>
                <w:szCs w:val="24"/>
                <w:lang w:val="fr-FR"/>
              </w:rPr>
              <w:t>d</w:t>
            </w:r>
            <w:r w:rsidRPr="006538AB">
              <w:rPr>
                <w:rFonts w:ascii="Times New Roman" w:hAnsi="Times New Roman"/>
                <w:sz w:val="24"/>
                <w:szCs w:val="24"/>
                <w:lang w:val="fr-FR"/>
              </w:rPr>
              <w:t>éveloppement (PNUD)</w:t>
            </w:r>
          </w:p>
          <w:p w:rsidR="003E2682" w:rsidRPr="006538AB" w:rsidRDefault="003E2682" w:rsidP="003E2682">
            <w:pPr>
              <w:pStyle w:val="BodyText"/>
              <w:rPr>
                <w:rFonts w:ascii="Times New Roman" w:hAnsi="Times New Roman"/>
                <w:i/>
                <w:sz w:val="24"/>
                <w:szCs w:val="24"/>
                <w:lang w:val="fr-FR"/>
              </w:rPr>
            </w:pPr>
          </w:p>
        </w:tc>
        <w:tc>
          <w:tcPr>
            <w:tcW w:w="258" w:type="dxa"/>
            <w:vMerge/>
            <w:tcBorders>
              <w:left w:val="single" w:sz="4" w:space="0" w:color="auto"/>
              <w:right w:val="single" w:sz="4" w:space="0" w:color="auto"/>
            </w:tcBorders>
          </w:tcPr>
          <w:p w:rsidR="003E2682" w:rsidRPr="006538AB" w:rsidRDefault="003E2682" w:rsidP="003E2682">
            <w:pPr>
              <w:pStyle w:val="BodyText"/>
              <w:rPr>
                <w:rFonts w:ascii="Times New Roman" w:hAnsi="Times New Roman"/>
                <w:sz w:val="24"/>
                <w:szCs w:val="24"/>
                <w:lang w:val="fr-FR"/>
              </w:rPr>
            </w:pPr>
          </w:p>
        </w:tc>
        <w:tc>
          <w:tcPr>
            <w:tcW w:w="4986" w:type="dxa"/>
            <w:gridSpan w:val="2"/>
            <w:tcBorders>
              <w:left w:val="single" w:sz="4" w:space="0" w:color="auto"/>
              <w:bottom w:val="single" w:sz="4" w:space="0" w:color="auto"/>
              <w:right w:val="single" w:sz="4" w:space="0" w:color="auto"/>
            </w:tcBorders>
          </w:tcPr>
          <w:p w:rsidR="00D2347D" w:rsidRDefault="00EB48EB">
            <w:pPr>
              <w:pStyle w:val="BodyText"/>
              <w:numPr>
                <w:ilvl w:val="0"/>
                <w:numId w:val="7"/>
              </w:numPr>
              <w:spacing w:before="60" w:after="60"/>
              <w:ind w:left="376"/>
              <w:jc w:val="both"/>
              <w:rPr>
                <w:rFonts w:ascii="Times New Roman" w:hAnsi="Times New Roman"/>
                <w:bCs/>
                <w:iCs/>
                <w:snapToGrid w:val="0"/>
                <w:color w:val="000000"/>
                <w:sz w:val="24"/>
                <w:szCs w:val="24"/>
                <w:lang w:val="fr-FR"/>
              </w:rPr>
            </w:pPr>
            <w:r>
              <w:rPr>
                <w:rFonts w:ascii="Times New Roman" w:hAnsi="Times New Roman"/>
                <w:bCs/>
                <w:iCs/>
                <w:snapToGrid w:val="0"/>
                <w:color w:val="000000"/>
                <w:sz w:val="24"/>
                <w:szCs w:val="24"/>
                <w:lang w:val="fr-FR"/>
              </w:rPr>
              <w:t xml:space="preserve">Partenaires nationaux: </w:t>
            </w:r>
            <w:r w:rsidR="00C12C2A" w:rsidRPr="00C12C2A">
              <w:rPr>
                <w:rFonts w:ascii="Times New Roman" w:hAnsi="Times New Roman"/>
                <w:sz w:val="24"/>
                <w:lang w:val="fr-FR"/>
              </w:rPr>
              <w:t xml:space="preserve">Ministère de l’Intérieur et des Collectivités Territoriales (MICT); </w:t>
            </w:r>
            <w:r w:rsidR="000F2DFE" w:rsidRPr="0032055A">
              <w:rPr>
                <w:rFonts w:ascii="Times New Roman" w:hAnsi="Times New Roman"/>
                <w:sz w:val="24"/>
                <w:szCs w:val="24"/>
                <w:lang w:val="fr-FR"/>
              </w:rPr>
              <w:t>Ministère des Travaux Publics, des Transports et des Communications</w:t>
            </w:r>
            <w:r w:rsidR="000F2DFE">
              <w:rPr>
                <w:rFonts w:ascii="Times New Roman" w:hAnsi="Times New Roman"/>
                <w:sz w:val="24"/>
                <w:szCs w:val="24"/>
                <w:lang w:val="fr-FR"/>
              </w:rPr>
              <w:t xml:space="preserve"> (MTPTC):</w:t>
            </w:r>
            <w:r w:rsidR="000F2DFE" w:rsidRPr="0032055A">
              <w:rPr>
                <w:rFonts w:ascii="Times New Roman" w:hAnsi="Times New Roman"/>
                <w:sz w:val="24"/>
                <w:szCs w:val="24"/>
                <w:lang w:val="fr-FR"/>
              </w:rPr>
              <w:t xml:space="preserve"> </w:t>
            </w:r>
            <w:r w:rsidR="00C12C2A" w:rsidRPr="00C12C2A">
              <w:rPr>
                <w:rFonts w:ascii="Times New Roman" w:hAnsi="Times New Roman"/>
                <w:sz w:val="24"/>
                <w:lang w:val="fr-FR"/>
              </w:rPr>
              <w:t>Laboratoire Nationale du  Bâtiment e</w:t>
            </w:r>
            <w:r>
              <w:rPr>
                <w:rFonts w:ascii="Times New Roman" w:hAnsi="Times New Roman"/>
                <w:sz w:val="24"/>
                <w:lang w:val="fr-FR"/>
              </w:rPr>
              <w:t>t des Travaux Publiques (LNBTP)</w:t>
            </w:r>
            <w:r w:rsidR="000F2DFE">
              <w:rPr>
                <w:rFonts w:ascii="Times New Roman" w:hAnsi="Times New Roman"/>
                <w:sz w:val="24"/>
                <w:lang w:val="fr-FR"/>
              </w:rPr>
              <w:t>,</w:t>
            </w:r>
            <w:r w:rsidR="00C12C2A" w:rsidRPr="00C12C2A">
              <w:rPr>
                <w:rFonts w:ascii="Times New Roman" w:hAnsi="Times New Roman"/>
                <w:sz w:val="24"/>
                <w:lang w:val="fr-FR"/>
              </w:rPr>
              <w:t xml:space="preserve"> Bureau des Mines et de l’Énergie (BME)</w:t>
            </w:r>
            <w:r>
              <w:rPr>
                <w:rFonts w:ascii="Times New Roman" w:hAnsi="Times New Roman"/>
                <w:sz w:val="24"/>
                <w:lang w:val="fr-FR"/>
              </w:rPr>
              <w:t>; Ministère de l'Éducation Nationale et de la Formation Professionnelle (MENFP)</w:t>
            </w:r>
            <w:r w:rsidR="000F2DFE">
              <w:rPr>
                <w:rFonts w:ascii="Times New Roman" w:hAnsi="Times New Roman"/>
                <w:sz w:val="24"/>
                <w:lang w:val="fr-FR"/>
              </w:rPr>
              <w:t>: Institut National de Formation Professionnelle (INFP), Cellule des Urgences</w:t>
            </w:r>
            <w:r>
              <w:rPr>
                <w:rFonts w:ascii="Times New Roman" w:hAnsi="Times New Roman"/>
                <w:sz w:val="24"/>
                <w:lang w:val="fr-FR"/>
              </w:rPr>
              <w:t>; Délégations et Grandes Villes du Nord;</w:t>
            </w:r>
            <w:r w:rsidR="000F2DFE">
              <w:rPr>
                <w:rFonts w:ascii="Times New Roman" w:hAnsi="Times New Roman"/>
                <w:sz w:val="24"/>
                <w:lang w:val="fr-FR"/>
              </w:rPr>
              <w:t xml:space="preserve"> </w:t>
            </w:r>
            <w:r w:rsidR="000F2DFE" w:rsidRPr="0032055A">
              <w:rPr>
                <w:rFonts w:ascii="Times New Roman" w:hAnsi="Times New Roman"/>
                <w:sz w:val="24"/>
                <w:szCs w:val="24"/>
                <w:lang w:val="fr-FR"/>
              </w:rPr>
              <w:t>Centre National d’Information Géo Spatiale</w:t>
            </w:r>
          </w:p>
          <w:p w:rsidR="00D2347D" w:rsidRDefault="000F2DFE">
            <w:pPr>
              <w:pStyle w:val="BodyText"/>
              <w:numPr>
                <w:ilvl w:val="0"/>
                <w:numId w:val="7"/>
              </w:numPr>
              <w:spacing w:before="60" w:after="60"/>
              <w:ind w:left="376"/>
              <w:jc w:val="both"/>
              <w:rPr>
                <w:rFonts w:ascii="Times New Roman" w:hAnsi="Times New Roman"/>
                <w:bCs/>
                <w:iCs/>
                <w:snapToGrid w:val="0"/>
                <w:color w:val="000000"/>
                <w:sz w:val="24"/>
                <w:szCs w:val="24"/>
                <w:lang w:val="fr-FR"/>
              </w:rPr>
            </w:pPr>
            <w:r w:rsidRPr="000F2DFE">
              <w:rPr>
                <w:rFonts w:ascii="Times New Roman" w:hAnsi="Times New Roman"/>
                <w:sz w:val="24"/>
                <w:szCs w:val="24"/>
                <w:lang w:val="fr-FR"/>
              </w:rPr>
              <w:t xml:space="preserve">Partenaires internationaux: </w:t>
            </w:r>
            <w:r w:rsidR="00C12C2A" w:rsidRPr="00C12C2A">
              <w:rPr>
                <w:rFonts w:ascii="Times New Roman" w:hAnsi="Times New Roman"/>
                <w:sz w:val="24"/>
                <w:szCs w:val="24"/>
                <w:lang w:val="fr-FR"/>
              </w:rPr>
              <w:t>Bureau de Recherches Géologiques et Minières (BRGM)  [France]</w:t>
            </w:r>
          </w:p>
        </w:tc>
      </w:tr>
      <w:tr w:rsidR="003E2682" w:rsidRPr="00653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3E2682" w:rsidRPr="006538AB" w:rsidRDefault="003E2682" w:rsidP="003E2682">
            <w:pPr>
              <w:pStyle w:val="H1"/>
              <w:jc w:val="center"/>
              <w:rPr>
                <w:rFonts w:cs="Times New Roman"/>
                <w:szCs w:val="24"/>
                <w:lang w:val="fr-FR"/>
              </w:rPr>
            </w:pPr>
            <w:r w:rsidRPr="006538AB">
              <w:rPr>
                <w:rFonts w:cs="Times New Roman"/>
                <w:szCs w:val="24"/>
                <w:lang w:val="fr-FR"/>
              </w:rPr>
              <w:t>Budget du Programme/Projet (US$)</w:t>
            </w:r>
          </w:p>
        </w:tc>
        <w:tc>
          <w:tcPr>
            <w:tcW w:w="258" w:type="dxa"/>
            <w:tcBorders>
              <w:top w:val="nil"/>
              <w:left w:val="single" w:sz="4" w:space="0" w:color="auto"/>
              <w:bottom w:val="nil"/>
              <w:right w:val="single" w:sz="4" w:space="0" w:color="auto"/>
            </w:tcBorders>
            <w:shd w:val="clear" w:color="auto" w:fill="auto"/>
            <w:vAlign w:val="center"/>
          </w:tcPr>
          <w:p w:rsidR="003E2682" w:rsidRPr="006538AB" w:rsidRDefault="003E2682" w:rsidP="003E2682">
            <w:pPr>
              <w:pStyle w:val="H1"/>
              <w:jc w:val="center"/>
              <w:rPr>
                <w:rFonts w:cs="Times New Roman"/>
                <w:szCs w:val="24"/>
                <w:lang w:val="fr-FR"/>
              </w:rPr>
            </w:pPr>
          </w:p>
        </w:tc>
        <w:tc>
          <w:tcPr>
            <w:tcW w:w="4986" w:type="dxa"/>
            <w:gridSpan w:val="2"/>
            <w:tcBorders>
              <w:top w:val="single" w:sz="4" w:space="0" w:color="auto"/>
              <w:left w:val="single" w:sz="4" w:space="0" w:color="auto"/>
              <w:bottom w:val="nil"/>
              <w:right w:val="single" w:sz="4" w:space="0" w:color="auto"/>
            </w:tcBorders>
            <w:shd w:val="clear" w:color="auto" w:fill="F2F2F2"/>
            <w:vAlign w:val="center"/>
          </w:tcPr>
          <w:p w:rsidR="003E2682" w:rsidRPr="006538AB" w:rsidRDefault="003E2682" w:rsidP="003E2682">
            <w:pPr>
              <w:pStyle w:val="H1"/>
              <w:jc w:val="center"/>
              <w:rPr>
                <w:rFonts w:cs="Times New Roman"/>
                <w:szCs w:val="24"/>
                <w:lang w:val="fr-FR"/>
              </w:rPr>
            </w:pPr>
            <w:r w:rsidRPr="006538AB">
              <w:rPr>
                <w:rFonts w:cs="Times New Roman"/>
                <w:szCs w:val="24"/>
                <w:lang w:val="fr-FR"/>
              </w:rPr>
              <w:t>Durée du Programme (mois)</w:t>
            </w:r>
          </w:p>
        </w:tc>
      </w:tr>
      <w:tr w:rsidR="003E2682" w:rsidRPr="00653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970" w:type="dxa"/>
            <w:tcBorders>
              <w:top w:val="nil"/>
              <w:left w:val="single" w:sz="4" w:space="0" w:color="auto"/>
              <w:bottom w:val="nil"/>
              <w:right w:val="nil"/>
            </w:tcBorders>
            <w:shd w:val="clear" w:color="auto" w:fill="auto"/>
            <w:vAlign w:val="center"/>
          </w:tcPr>
          <w:p w:rsidR="003E2682" w:rsidRPr="006538AB" w:rsidRDefault="003E2682" w:rsidP="003E2682">
            <w:pPr>
              <w:pStyle w:val="H2"/>
              <w:rPr>
                <w:rFonts w:cs="Times New Roman"/>
                <w:b w:val="0"/>
                <w:sz w:val="24"/>
                <w:szCs w:val="24"/>
                <w:lang w:val="fr-FR"/>
              </w:rPr>
            </w:pPr>
            <w:r w:rsidRPr="006538AB">
              <w:rPr>
                <w:rFonts w:cs="Times New Roman"/>
                <w:b w:val="0"/>
                <w:sz w:val="24"/>
                <w:szCs w:val="24"/>
                <w:lang w:val="fr-FR"/>
              </w:rPr>
              <w:t xml:space="preserve">Budget total approuvé tels que reflété sur le document du projet: </w:t>
            </w:r>
            <w:r w:rsidR="007D58B2" w:rsidRPr="002E2767">
              <w:rPr>
                <w:rFonts w:cs="Times New Roman"/>
                <w:sz w:val="24"/>
                <w:szCs w:val="24"/>
                <w:lang w:val="fr-FR"/>
              </w:rPr>
              <w:t>9,960,000.00</w:t>
            </w:r>
          </w:p>
          <w:p w:rsidR="003E2682" w:rsidRPr="006538AB" w:rsidRDefault="003E2682" w:rsidP="003E2682">
            <w:pPr>
              <w:pStyle w:val="H2"/>
              <w:rPr>
                <w:rFonts w:cs="Times New Roman"/>
                <w:b w:val="0"/>
                <w:sz w:val="24"/>
                <w:szCs w:val="24"/>
                <w:lang w:val="fr-FR"/>
              </w:rPr>
            </w:pPr>
            <w:r w:rsidRPr="006538AB">
              <w:rPr>
                <w:rFonts w:cs="Times New Roman"/>
                <w:b w:val="0"/>
                <w:sz w:val="24"/>
                <w:szCs w:val="24"/>
                <w:lang w:val="fr-FR"/>
              </w:rPr>
              <w:t>Contribution du Fonds</w:t>
            </w:r>
            <w:r w:rsidRPr="006538AB">
              <w:rPr>
                <w:rStyle w:val="FootnoteReference"/>
                <w:rFonts w:cs="Times New Roman"/>
                <w:b w:val="0"/>
                <w:sz w:val="24"/>
                <w:szCs w:val="24"/>
                <w:lang w:val="fr-FR"/>
              </w:rPr>
              <w:footnoteReference w:id="4"/>
            </w:r>
          </w:p>
          <w:p w:rsidR="003E2682" w:rsidRPr="006538AB" w:rsidRDefault="007D58B2" w:rsidP="003E2682">
            <w:pPr>
              <w:pStyle w:val="H2"/>
              <w:numPr>
                <w:ilvl w:val="0"/>
                <w:numId w:val="9"/>
              </w:numPr>
              <w:ind w:left="162" w:hanging="180"/>
              <w:rPr>
                <w:rFonts w:cs="Times New Roman"/>
                <w:i/>
                <w:sz w:val="24"/>
                <w:szCs w:val="24"/>
                <w:lang w:val="fr-FR"/>
              </w:rPr>
            </w:pPr>
            <w:r w:rsidRPr="006538AB">
              <w:rPr>
                <w:rFonts w:cs="Times New Roman"/>
                <w:b w:val="0"/>
                <w:i/>
                <w:sz w:val="24"/>
                <w:szCs w:val="24"/>
                <w:lang w:val="fr-FR"/>
              </w:rPr>
              <w:lastRenderedPageBreak/>
              <w:t>9,960.000.00</w:t>
            </w:r>
          </w:p>
        </w:tc>
        <w:tc>
          <w:tcPr>
            <w:tcW w:w="2172" w:type="dxa"/>
            <w:tcBorders>
              <w:top w:val="nil"/>
              <w:left w:val="nil"/>
              <w:bottom w:val="nil"/>
              <w:right w:val="single" w:sz="4" w:space="0" w:color="auto"/>
            </w:tcBorders>
            <w:shd w:val="clear" w:color="auto" w:fill="auto"/>
            <w:vAlign w:val="center"/>
          </w:tcPr>
          <w:p w:rsidR="003E2682" w:rsidRPr="006538AB" w:rsidRDefault="003E2682" w:rsidP="003E2682">
            <w:pPr>
              <w:pStyle w:val="BodyText"/>
              <w:rPr>
                <w:rFonts w:ascii="Times New Roman" w:hAnsi="Times New Roman"/>
                <w:color w:val="000000"/>
                <w:sz w:val="24"/>
                <w:szCs w:val="24"/>
                <w:lang w:val="fr-FR"/>
              </w:rPr>
            </w:pPr>
          </w:p>
        </w:tc>
        <w:tc>
          <w:tcPr>
            <w:tcW w:w="258" w:type="dxa"/>
            <w:tcBorders>
              <w:top w:val="nil"/>
              <w:left w:val="single" w:sz="4" w:space="0" w:color="auto"/>
              <w:bottom w:val="nil"/>
              <w:right w:val="single" w:sz="4" w:space="0" w:color="auto"/>
            </w:tcBorders>
            <w:shd w:val="clear" w:color="auto" w:fill="auto"/>
            <w:vAlign w:val="center"/>
          </w:tcPr>
          <w:p w:rsidR="003E2682" w:rsidRPr="006538AB" w:rsidRDefault="003E2682" w:rsidP="003E2682">
            <w:pPr>
              <w:pStyle w:val="BodyText"/>
              <w:rPr>
                <w:rFonts w:ascii="Times New Roman" w:hAnsi="Times New Roman"/>
                <w:sz w:val="24"/>
                <w:szCs w:val="24"/>
                <w:lang w:val="fr-FR"/>
              </w:rPr>
            </w:pPr>
          </w:p>
        </w:tc>
        <w:tc>
          <w:tcPr>
            <w:tcW w:w="3002" w:type="dxa"/>
            <w:tcBorders>
              <w:top w:val="nil"/>
              <w:left w:val="single" w:sz="4" w:space="0" w:color="auto"/>
              <w:bottom w:val="nil"/>
              <w:right w:val="nil"/>
            </w:tcBorders>
            <w:shd w:val="clear" w:color="auto" w:fill="auto"/>
            <w:vAlign w:val="center"/>
          </w:tcPr>
          <w:p w:rsidR="003E2682" w:rsidRPr="006538AB" w:rsidRDefault="003E2682" w:rsidP="003E2682">
            <w:pPr>
              <w:pStyle w:val="BodyText"/>
              <w:rPr>
                <w:rFonts w:ascii="Times New Roman" w:hAnsi="Times New Roman"/>
                <w:sz w:val="24"/>
                <w:szCs w:val="24"/>
                <w:lang w:val="fr-FR"/>
              </w:rPr>
            </w:pPr>
            <w:r w:rsidRPr="006538AB">
              <w:rPr>
                <w:rFonts w:ascii="Times New Roman" w:hAnsi="Times New Roman"/>
                <w:sz w:val="24"/>
                <w:szCs w:val="24"/>
                <w:lang w:val="fr-FR"/>
              </w:rPr>
              <w:t xml:space="preserve">Durée totale </w:t>
            </w:r>
            <w:r w:rsidRPr="006538AB">
              <w:rPr>
                <w:rFonts w:ascii="Times New Roman" w:hAnsi="Times New Roman"/>
                <w:i/>
                <w:sz w:val="24"/>
                <w:szCs w:val="24"/>
                <w:lang w:val="fr-FR"/>
              </w:rPr>
              <w:t>(</w:t>
            </w:r>
            <w:r w:rsidR="007D58B2" w:rsidRPr="006538AB">
              <w:rPr>
                <w:rFonts w:ascii="Times New Roman" w:hAnsi="Times New Roman"/>
                <w:i/>
                <w:sz w:val="24"/>
                <w:szCs w:val="24"/>
                <w:lang w:val="fr-FR"/>
              </w:rPr>
              <w:t xml:space="preserve">48 </w:t>
            </w:r>
            <w:r w:rsidRPr="006538AB">
              <w:rPr>
                <w:rFonts w:ascii="Times New Roman" w:hAnsi="Times New Roman"/>
                <w:i/>
                <w:sz w:val="24"/>
                <w:szCs w:val="24"/>
                <w:lang w:val="fr-FR"/>
              </w:rPr>
              <w:t>mois)</w:t>
            </w:r>
          </w:p>
        </w:tc>
        <w:tc>
          <w:tcPr>
            <w:tcW w:w="1984" w:type="dxa"/>
            <w:tcBorders>
              <w:top w:val="nil"/>
              <w:left w:val="nil"/>
              <w:bottom w:val="nil"/>
              <w:right w:val="single" w:sz="4" w:space="0" w:color="auto"/>
            </w:tcBorders>
            <w:shd w:val="clear" w:color="auto" w:fill="auto"/>
            <w:vAlign w:val="center"/>
          </w:tcPr>
          <w:p w:rsidR="003E2682" w:rsidRPr="006538AB" w:rsidRDefault="003E2682" w:rsidP="003E2682">
            <w:pPr>
              <w:pStyle w:val="BodyText"/>
              <w:widowControl w:val="0"/>
              <w:rPr>
                <w:rFonts w:ascii="Times New Roman" w:hAnsi="Times New Roman"/>
                <w:sz w:val="24"/>
                <w:szCs w:val="24"/>
                <w:lang w:val="fr-FR"/>
              </w:rPr>
            </w:pPr>
          </w:p>
        </w:tc>
      </w:tr>
      <w:tr w:rsidR="003E2682" w:rsidRPr="00653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auto"/>
            <w:vAlign w:val="center"/>
          </w:tcPr>
          <w:p w:rsidR="003E2682" w:rsidRPr="006538AB" w:rsidRDefault="003E2682" w:rsidP="002E2767">
            <w:pPr>
              <w:pStyle w:val="H2"/>
              <w:ind w:left="162"/>
              <w:rPr>
                <w:rFonts w:cs="Times New Roman"/>
                <w:sz w:val="24"/>
                <w:szCs w:val="24"/>
                <w:lang w:val="fr-FR"/>
              </w:rPr>
            </w:pPr>
          </w:p>
        </w:tc>
        <w:tc>
          <w:tcPr>
            <w:tcW w:w="2172" w:type="dxa"/>
            <w:tcBorders>
              <w:top w:val="nil"/>
              <w:left w:val="nil"/>
              <w:bottom w:val="nil"/>
              <w:right w:val="single" w:sz="4" w:space="0" w:color="auto"/>
            </w:tcBorders>
            <w:shd w:val="clear" w:color="auto" w:fill="auto"/>
            <w:vAlign w:val="center"/>
          </w:tcPr>
          <w:p w:rsidR="003E2682" w:rsidRPr="006538AB" w:rsidRDefault="003E2682" w:rsidP="003E2682">
            <w:pPr>
              <w:pStyle w:val="BodyText"/>
              <w:rPr>
                <w:rFonts w:ascii="Times New Roman" w:hAnsi="Times New Roman"/>
                <w:color w:val="000000"/>
                <w:sz w:val="24"/>
                <w:szCs w:val="24"/>
                <w:lang w:val="fr-FR"/>
              </w:rPr>
            </w:pPr>
          </w:p>
        </w:tc>
        <w:tc>
          <w:tcPr>
            <w:tcW w:w="258" w:type="dxa"/>
            <w:tcBorders>
              <w:top w:val="nil"/>
              <w:left w:val="single" w:sz="4" w:space="0" w:color="auto"/>
              <w:bottom w:val="nil"/>
              <w:right w:val="single" w:sz="4" w:space="0" w:color="auto"/>
            </w:tcBorders>
            <w:shd w:val="clear" w:color="auto" w:fill="auto"/>
            <w:vAlign w:val="center"/>
          </w:tcPr>
          <w:p w:rsidR="003E2682" w:rsidRPr="006538AB" w:rsidRDefault="003E2682" w:rsidP="003E2682">
            <w:pPr>
              <w:pStyle w:val="BodyText"/>
              <w:rPr>
                <w:rFonts w:ascii="Times New Roman" w:hAnsi="Times New Roman"/>
                <w:sz w:val="24"/>
                <w:szCs w:val="24"/>
                <w:lang w:val="fr-FR"/>
              </w:rPr>
            </w:pPr>
          </w:p>
        </w:tc>
        <w:tc>
          <w:tcPr>
            <w:tcW w:w="3002" w:type="dxa"/>
            <w:tcBorders>
              <w:top w:val="nil"/>
              <w:left w:val="single" w:sz="4" w:space="0" w:color="auto"/>
              <w:bottom w:val="nil"/>
              <w:right w:val="nil"/>
            </w:tcBorders>
            <w:shd w:val="clear" w:color="auto" w:fill="auto"/>
            <w:vAlign w:val="center"/>
          </w:tcPr>
          <w:p w:rsidR="003E2682" w:rsidRPr="006538AB" w:rsidRDefault="003E2682" w:rsidP="003E2682">
            <w:pPr>
              <w:pStyle w:val="BodyText"/>
              <w:rPr>
                <w:rFonts w:ascii="Times New Roman" w:hAnsi="Times New Roman"/>
                <w:sz w:val="24"/>
                <w:szCs w:val="24"/>
                <w:lang w:val="fr-FR"/>
              </w:rPr>
            </w:pPr>
            <w:r w:rsidRPr="006538AB">
              <w:rPr>
                <w:rFonts w:ascii="Times New Roman" w:hAnsi="Times New Roman"/>
                <w:sz w:val="24"/>
                <w:szCs w:val="24"/>
                <w:lang w:val="fr-FR"/>
              </w:rPr>
              <w:t>Date de démarrage</w:t>
            </w:r>
            <w:r w:rsidRPr="006538AB">
              <w:rPr>
                <w:rStyle w:val="FootnoteReference"/>
                <w:rFonts w:ascii="Times New Roman" w:hAnsi="Times New Roman"/>
                <w:sz w:val="24"/>
                <w:szCs w:val="24"/>
                <w:lang w:val="fr-FR"/>
              </w:rPr>
              <w:footnoteReference w:id="5"/>
            </w:r>
            <w:r w:rsidRPr="006538AB">
              <w:rPr>
                <w:rFonts w:ascii="Times New Roman" w:hAnsi="Times New Roman"/>
                <w:sz w:val="24"/>
                <w:szCs w:val="24"/>
                <w:lang w:val="fr-FR"/>
              </w:rPr>
              <w:t xml:space="preserve"> </w:t>
            </w:r>
            <w:r w:rsidR="007D58B2" w:rsidRPr="006538AB">
              <w:rPr>
                <w:rFonts w:ascii="Times New Roman" w:hAnsi="Times New Roman"/>
                <w:i/>
                <w:sz w:val="24"/>
                <w:szCs w:val="24"/>
                <w:lang w:val="fr-FR"/>
              </w:rPr>
              <w:t>15/07/2011</w:t>
            </w:r>
          </w:p>
        </w:tc>
        <w:tc>
          <w:tcPr>
            <w:tcW w:w="1984" w:type="dxa"/>
            <w:tcBorders>
              <w:top w:val="nil"/>
              <w:left w:val="nil"/>
              <w:bottom w:val="nil"/>
              <w:right w:val="single" w:sz="4" w:space="0" w:color="auto"/>
            </w:tcBorders>
            <w:shd w:val="clear" w:color="auto" w:fill="auto"/>
            <w:vAlign w:val="center"/>
          </w:tcPr>
          <w:p w:rsidR="003E2682" w:rsidRPr="006538AB" w:rsidRDefault="003E2682" w:rsidP="003E2682">
            <w:pPr>
              <w:pStyle w:val="BodyText"/>
              <w:rPr>
                <w:rFonts w:ascii="Times New Roman" w:hAnsi="Times New Roman"/>
                <w:sz w:val="24"/>
                <w:szCs w:val="24"/>
                <w:lang w:val="fr-FR"/>
              </w:rPr>
            </w:pPr>
          </w:p>
        </w:tc>
      </w:tr>
      <w:tr w:rsidR="003E2682" w:rsidRPr="00653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rsidR="003E2682" w:rsidRPr="006538AB" w:rsidRDefault="003E2682" w:rsidP="003E2682">
            <w:pPr>
              <w:pStyle w:val="H2"/>
              <w:rPr>
                <w:rFonts w:cs="Times New Roman"/>
                <w:sz w:val="24"/>
                <w:szCs w:val="24"/>
                <w:lang w:val="fr-FR"/>
              </w:rPr>
            </w:pPr>
          </w:p>
        </w:tc>
        <w:tc>
          <w:tcPr>
            <w:tcW w:w="2172" w:type="dxa"/>
            <w:tcBorders>
              <w:top w:val="nil"/>
              <w:left w:val="nil"/>
              <w:bottom w:val="nil"/>
              <w:right w:val="single" w:sz="4" w:space="0" w:color="auto"/>
            </w:tcBorders>
            <w:shd w:val="clear" w:color="auto" w:fill="D9D9D9"/>
            <w:vAlign w:val="center"/>
          </w:tcPr>
          <w:p w:rsidR="003E2682" w:rsidRPr="006538AB" w:rsidRDefault="003E2682" w:rsidP="003E2682">
            <w:pPr>
              <w:pStyle w:val="BodyText"/>
              <w:rPr>
                <w:rFonts w:ascii="Times New Roman" w:hAnsi="Times New Roman"/>
                <w:color w:val="000000"/>
                <w:sz w:val="24"/>
                <w:szCs w:val="24"/>
                <w:lang w:val="fr-FR"/>
              </w:rPr>
            </w:pPr>
          </w:p>
        </w:tc>
        <w:tc>
          <w:tcPr>
            <w:tcW w:w="258" w:type="dxa"/>
            <w:tcBorders>
              <w:top w:val="nil"/>
              <w:left w:val="single" w:sz="4" w:space="0" w:color="auto"/>
              <w:bottom w:val="nil"/>
              <w:right w:val="single" w:sz="4" w:space="0" w:color="auto"/>
            </w:tcBorders>
            <w:shd w:val="clear" w:color="auto" w:fill="auto"/>
            <w:vAlign w:val="center"/>
          </w:tcPr>
          <w:p w:rsidR="003E2682" w:rsidRPr="006538AB" w:rsidRDefault="003E2682" w:rsidP="003E2682">
            <w:pPr>
              <w:pStyle w:val="BodyText"/>
              <w:rPr>
                <w:rFonts w:ascii="Times New Roman" w:hAnsi="Times New Roman"/>
                <w:sz w:val="24"/>
                <w:szCs w:val="24"/>
                <w:lang w:val="fr-FR"/>
              </w:rPr>
            </w:pPr>
          </w:p>
        </w:tc>
        <w:tc>
          <w:tcPr>
            <w:tcW w:w="3002" w:type="dxa"/>
            <w:tcBorders>
              <w:top w:val="nil"/>
              <w:left w:val="single" w:sz="4" w:space="0" w:color="auto"/>
              <w:bottom w:val="nil"/>
              <w:right w:val="nil"/>
            </w:tcBorders>
            <w:shd w:val="clear" w:color="auto" w:fill="auto"/>
            <w:vAlign w:val="center"/>
          </w:tcPr>
          <w:p w:rsidR="003E2682" w:rsidRPr="006538AB" w:rsidRDefault="003E2682" w:rsidP="003E2682">
            <w:pPr>
              <w:pStyle w:val="BodyText"/>
              <w:rPr>
                <w:rFonts w:ascii="Times New Roman" w:hAnsi="Times New Roman"/>
                <w:sz w:val="24"/>
                <w:szCs w:val="24"/>
                <w:lang w:val="fr-FR"/>
              </w:rPr>
            </w:pPr>
            <w:r w:rsidRPr="006538AB">
              <w:rPr>
                <w:rFonts w:ascii="Times New Roman" w:hAnsi="Times New Roman"/>
                <w:sz w:val="24"/>
                <w:szCs w:val="24"/>
                <w:lang w:val="fr-FR"/>
              </w:rPr>
              <w:t>Date de clôture originale</w:t>
            </w:r>
            <w:r w:rsidRPr="006538AB">
              <w:rPr>
                <w:rStyle w:val="FootnoteReference"/>
                <w:rFonts w:ascii="Times New Roman" w:hAnsi="Times New Roman"/>
                <w:bCs/>
                <w:i/>
                <w:iCs/>
                <w:snapToGrid w:val="0"/>
                <w:sz w:val="24"/>
                <w:szCs w:val="24"/>
                <w:lang w:val="fr-FR"/>
              </w:rPr>
              <w:footnoteReference w:id="6"/>
            </w:r>
            <w:r w:rsidRPr="006538AB">
              <w:rPr>
                <w:rFonts w:ascii="Times New Roman" w:hAnsi="Times New Roman"/>
                <w:sz w:val="24"/>
                <w:szCs w:val="24"/>
                <w:lang w:val="fr-FR"/>
              </w:rPr>
              <w:t xml:space="preserve"> </w:t>
            </w:r>
            <w:r w:rsidR="007D58B2" w:rsidRPr="006538AB">
              <w:rPr>
                <w:rFonts w:ascii="Times New Roman" w:hAnsi="Times New Roman"/>
                <w:i/>
                <w:sz w:val="24"/>
                <w:szCs w:val="24"/>
                <w:lang w:val="fr-FR"/>
              </w:rPr>
              <w:t>15/07/2014</w:t>
            </w:r>
          </w:p>
        </w:tc>
        <w:tc>
          <w:tcPr>
            <w:tcW w:w="1984" w:type="dxa"/>
            <w:tcBorders>
              <w:top w:val="nil"/>
              <w:left w:val="nil"/>
              <w:bottom w:val="nil"/>
              <w:right w:val="single" w:sz="4" w:space="0" w:color="auto"/>
            </w:tcBorders>
            <w:shd w:val="clear" w:color="auto" w:fill="auto"/>
            <w:vAlign w:val="center"/>
          </w:tcPr>
          <w:p w:rsidR="003E2682" w:rsidRPr="006538AB" w:rsidRDefault="003E2682" w:rsidP="003E2682">
            <w:pPr>
              <w:pStyle w:val="BodyText"/>
              <w:rPr>
                <w:rFonts w:ascii="Times New Roman" w:hAnsi="Times New Roman"/>
                <w:sz w:val="24"/>
                <w:szCs w:val="24"/>
                <w:lang w:val="fr-FR"/>
              </w:rPr>
            </w:pPr>
          </w:p>
        </w:tc>
      </w:tr>
      <w:tr w:rsidR="003E2682" w:rsidRPr="00653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vAlign w:val="center"/>
          </w:tcPr>
          <w:p w:rsidR="003E2682" w:rsidRPr="006538AB" w:rsidRDefault="003E2682" w:rsidP="003E2682">
            <w:pPr>
              <w:pStyle w:val="H2"/>
              <w:rPr>
                <w:rFonts w:cs="Times New Roman"/>
                <w:sz w:val="24"/>
                <w:szCs w:val="24"/>
                <w:lang w:val="fr-FR"/>
              </w:rPr>
            </w:pPr>
          </w:p>
        </w:tc>
        <w:tc>
          <w:tcPr>
            <w:tcW w:w="2172" w:type="dxa"/>
            <w:tcBorders>
              <w:top w:val="nil"/>
              <w:left w:val="nil"/>
              <w:bottom w:val="nil"/>
              <w:right w:val="single" w:sz="4" w:space="0" w:color="auto"/>
            </w:tcBorders>
            <w:shd w:val="clear" w:color="auto" w:fill="D9D9D9"/>
            <w:vAlign w:val="center"/>
          </w:tcPr>
          <w:p w:rsidR="003E2682" w:rsidRPr="006538AB" w:rsidRDefault="003E2682" w:rsidP="003E2682">
            <w:pPr>
              <w:pStyle w:val="BodyText"/>
              <w:rPr>
                <w:rFonts w:ascii="Times New Roman" w:hAnsi="Times New Roman"/>
                <w:color w:val="000000"/>
                <w:sz w:val="24"/>
                <w:szCs w:val="24"/>
                <w:lang w:val="fr-FR"/>
              </w:rPr>
            </w:pPr>
          </w:p>
        </w:tc>
        <w:tc>
          <w:tcPr>
            <w:tcW w:w="258" w:type="dxa"/>
            <w:tcBorders>
              <w:top w:val="nil"/>
              <w:left w:val="single" w:sz="4" w:space="0" w:color="auto"/>
              <w:bottom w:val="nil"/>
              <w:right w:val="single" w:sz="4" w:space="0" w:color="auto"/>
            </w:tcBorders>
            <w:shd w:val="clear" w:color="auto" w:fill="auto"/>
            <w:vAlign w:val="center"/>
          </w:tcPr>
          <w:p w:rsidR="003E2682" w:rsidRPr="006538AB" w:rsidRDefault="003E2682" w:rsidP="003E2682">
            <w:pPr>
              <w:pStyle w:val="BodyText"/>
              <w:rPr>
                <w:rFonts w:ascii="Times New Roman" w:hAnsi="Times New Roman"/>
                <w:sz w:val="24"/>
                <w:szCs w:val="24"/>
                <w:lang w:val="fr-FR"/>
              </w:rPr>
            </w:pPr>
          </w:p>
        </w:tc>
        <w:tc>
          <w:tcPr>
            <w:tcW w:w="3002" w:type="dxa"/>
            <w:tcBorders>
              <w:top w:val="nil"/>
              <w:left w:val="single" w:sz="4" w:space="0" w:color="auto"/>
              <w:bottom w:val="nil"/>
              <w:right w:val="nil"/>
            </w:tcBorders>
            <w:shd w:val="clear" w:color="auto" w:fill="auto"/>
            <w:vAlign w:val="center"/>
          </w:tcPr>
          <w:p w:rsidR="003E2682" w:rsidRPr="006538AB" w:rsidRDefault="003E2682" w:rsidP="003E2682">
            <w:pPr>
              <w:pStyle w:val="BodyText"/>
              <w:rPr>
                <w:rFonts w:ascii="Times New Roman" w:hAnsi="Times New Roman"/>
                <w:sz w:val="24"/>
                <w:szCs w:val="24"/>
                <w:lang w:val="fr-FR"/>
              </w:rPr>
            </w:pPr>
            <w:r w:rsidRPr="006538AB">
              <w:rPr>
                <w:rFonts w:ascii="Times New Roman" w:hAnsi="Times New Roman"/>
                <w:sz w:val="24"/>
                <w:szCs w:val="24"/>
                <w:lang w:val="fr-FR"/>
              </w:rPr>
              <w:t>Date de clôture actuelle</w:t>
            </w:r>
            <w:r w:rsidRPr="006538AB">
              <w:rPr>
                <w:rStyle w:val="FootnoteReference"/>
                <w:rFonts w:ascii="Times New Roman" w:hAnsi="Times New Roman"/>
                <w:sz w:val="24"/>
                <w:szCs w:val="24"/>
                <w:lang w:val="fr-FR"/>
              </w:rPr>
              <w:footnoteReference w:id="7"/>
            </w:r>
            <w:r w:rsidR="007D58B2" w:rsidRPr="006538AB">
              <w:rPr>
                <w:rFonts w:ascii="Times New Roman" w:hAnsi="Times New Roman"/>
                <w:i/>
                <w:sz w:val="24"/>
                <w:szCs w:val="24"/>
                <w:lang w:val="fr-FR"/>
              </w:rPr>
              <w:t>31/12/2015</w:t>
            </w:r>
          </w:p>
        </w:tc>
        <w:tc>
          <w:tcPr>
            <w:tcW w:w="1984" w:type="dxa"/>
            <w:tcBorders>
              <w:top w:val="nil"/>
              <w:left w:val="nil"/>
              <w:bottom w:val="nil"/>
              <w:right w:val="single" w:sz="4" w:space="0" w:color="auto"/>
            </w:tcBorders>
            <w:shd w:val="clear" w:color="auto" w:fill="auto"/>
            <w:vAlign w:val="center"/>
          </w:tcPr>
          <w:p w:rsidR="003E2682" w:rsidRPr="006538AB" w:rsidRDefault="003E2682" w:rsidP="003E2682">
            <w:pPr>
              <w:pStyle w:val="BodyText"/>
              <w:rPr>
                <w:rFonts w:ascii="Times New Roman" w:hAnsi="Times New Roman"/>
                <w:sz w:val="24"/>
                <w:szCs w:val="24"/>
                <w:lang w:val="fr-FR"/>
              </w:rPr>
            </w:pPr>
          </w:p>
        </w:tc>
      </w:tr>
      <w:tr w:rsidR="003E2682" w:rsidRPr="00653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rsidR="003E2682" w:rsidRPr="006538AB" w:rsidRDefault="003E2682" w:rsidP="003E2682">
            <w:pPr>
              <w:pStyle w:val="H2"/>
              <w:rPr>
                <w:rFonts w:cs="Times New Roman"/>
                <w:sz w:val="24"/>
                <w:szCs w:val="24"/>
                <w:lang w:val="fr-FR"/>
              </w:rPr>
            </w:pPr>
            <w:r w:rsidRPr="006538AB">
              <w:rPr>
                <w:rFonts w:cs="Times New Roman"/>
                <w:sz w:val="24"/>
                <w:szCs w:val="24"/>
                <w:lang w:val="fr-FR"/>
              </w:rPr>
              <w:t>TOTAL:</w:t>
            </w:r>
            <w:r w:rsidR="00E368DC">
              <w:rPr>
                <w:rFonts w:cs="Times New Roman"/>
                <w:sz w:val="24"/>
                <w:szCs w:val="24"/>
                <w:lang w:val="fr-FR"/>
              </w:rPr>
              <w:t xml:space="preserve"> </w:t>
            </w:r>
            <w:r w:rsidR="00E368DC" w:rsidRPr="006538AB">
              <w:rPr>
                <w:rFonts w:cs="Times New Roman"/>
                <w:szCs w:val="24"/>
                <w:lang w:val="fr-FR"/>
              </w:rPr>
              <w:t>US$</w:t>
            </w:r>
            <w:r w:rsidR="00E368DC">
              <w:rPr>
                <w:rFonts w:cs="Times New Roman"/>
                <w:szCs w:val="24"/>
                <w:lang w:val="fr-FR"/>
              </w:rPr>
              <w:t xml:space="preserve"> 9,960,000</w:t>
            </w:r>
          </w:p>
        </w:tc>
        <w:tc>
          <w:tcPr>
            <w:tcW w:w="2172" w:type="dxa"/>
            <w:tcBorders>
              <w:top w:val="nil"/>
              <w:left w:val="nil"/>
              <w:bottom w:val="single" w:sz="4" w:space="0" w:color="auto"/>
              <w:right w:val="single" w:sz="4" w:space="0" w:color="auto"/>
            </w:tcBorders>
            <w:shd w:val="clear" w:color="auto" w:fill="auto"/>
            <w:vAlign w:val="center"/>
          </w:tcPr>
          <w:p w:rsidR="003E2682" w:rsidRPr="006538AB" w:rsidRDefault="003E2682" w:rsidP="003E2682">
            <w:pPr>
              <w:pStyle w:val="BodyText"/>
              <w:rPr>
                <w:rFonts w:ascii="Times New Roman" w:hAnsi="Times New Roman"/>
                <w:color w:val="000000"/>
                <w:sz w:val="24"/>
                <w:szCs w:val="24"/>
                <w:lang w:val="fr-FR"/>
              </w:rPr>
            </w:pPr>
          </w:p>
        </w:tc>
        <w:tc>
          <w:tcPr>
            <w:tcW w:w="258" w:type="dxa"/>
            <w:tcBorders>
              <w:top w:val="nil"/>
              <w:left w:val="single" w:sz="4" w:space="0" w:color="auto"/>
              <w:bottom w:val="nil"/>
              <w:right w:val="single" w:sz="4" w:space="0" w:color="auto"/>
            </w:tcBorders>
            <w:shd w:val="clear" w:color="auto" w:fill="auto"/>
            <w:vAlign w:val="center"/>
          </w:tcPr>
          <w:p w:rsidR="003E2682" w:rsidRPr="006538AB" w:rsidRDefault="003E2682" w:rsidP="003E2682">
            <w:pPr>
              <w:pStyle w:val="BodyText"/>
              <w:rPr>
                <w:rFonts w:ascii="Times New Roman" w:hAnsi="Times New Roman"/>
                <w:sz w:val="24"/>
                <w:szCs w:val="24"/>
                <w:lang w:val="fr-FR"/>
              </w:rPr>
            </w:pPr>
          </w:p>
        </w:tc>
        <w:tc>
          <w:tcPr>
            <w:tcW w:w="3002" w:type="dxa"/>
            <w:tcBorders>
              <w:top w:val="nil"/>
              <w:left w:val="single" w:sz="4" w:space="0" w:color="auto"/>
              <w:bottom w:val="single" w:sz="4" w:space="0" w:color="auto"/>
              <w:right w:val="nil"/>
            </w:tcBorders>
            <w:shd w:val="clear" w:color="auto" w:fill="auto"/>
            <w:vAlign w:val="center"/>
          </w:tcPr>
          <w:p w:rsidR="003E2682" w:rsidRPr="006538AB" w:rsidRDefault="003E2682" w:rsidP="003E2682">
            <w:pPr>
              <w:pStyle w:val="BodyText"/>
              <w:rPr>
                <w:rFonts w:ascii="Times New Roman" w:hAnsi="Times New Roman"/>
                <w:color w:val="000000"/>
                <w:sz w:val="24"/>
                <w:szCs w:val="24"/>
                <w:lang w:val="fr-FR"/>
              </w:rPr>
            </w:pPr>
          </w:p>
        </w:tc>
        <w:tc>
          <w:tcPr>
            <w:tcW w:w="1984" w:type="dxa"/>
            <w:tcBorders>
              <w:top w:val="nil"/>
              <w:left w:val="nil"/>
              <w:bottom w:val="single" w:sz="4" w:space="0" w:color="auto"/>
              <w:right w:val="single" w:sz="4" w:space="0" w:color="auto"/>
            </w:tcBorders>
            <w:shd w:val="clear" w:color="auto" w:fill="auto"/>
            <w:vAlign w:val="center"/>
          </w:tcPr>
          <w:p w:rsidR="003E2682" w:rsidRPr="006538AB" w:rsidRDefault="003E2682" w:rsidP="003E2682">
            <w:pPr>
              <w:pStyle w:val="BodyText"/>
              <w:rPr>
                <w:rFonts w:ascii="Times New Roman" w:hAnsi="Times New Roman"/>
                <w:sz w:val="24"/>
                <w:szCs w:val="24"/>
                <w:lang w:val="fr-FR"/>
              </w:rPr>
            </w:pPr>
          </w:p>
        </w:tc>
      </w:tr>
      <w:tr w:rsidR="003E2682" w:rsidRPr="006538AB">
        <w:trPr>
          <w:trHeight w:val="206"/>
        </w:trPr>
        <w:tc>
          <w:tcPr>
            <w:tcW w:w="5142" w:type="dxa"/>
            <w:gridSpan w:val="2"/>
            <w:tcBorders>
              <w:top w:val="single" w:sz="4" w:space="0" w:color="auto"/>
              <w:left w:val="single" w:sz="4" w:space="0" w:color="auto"/>
              <w:right w:val="single" w:sz="4" w:space="0" w:color="auto"/>
            </w:tcBorders>
            <w:shd w:val="clear" w:color="auto" w:fill="F3F3F3"/>
          </w:tcPr>
          <w:p w:rsidR="003E2682" w:rsidRPr="006538AB" w:rsidRDefault="003E2682" w:rsidP="003E2682">
            <w:pPr>
              <w:pStyle w:val="H1"/>
              <w:ind w:right="-120" w:hanging="70"/>
              <w:jc w:val="center"/>
              <w:rPr>
                <w:rFonts w:cs="Times New Roman"/>
                <w:szCs w:val="24"/>
                <w:lang w:val="fr-FR"/>
              </w:rPr>
            </w:pPr>
            <w:r w:rsidRPr="006538AB">
              <w:rPr>
                <w:rFonts w:cs="Times New Roman"/>
                <w:szCs w:val="24"/>
                <w:lang w:val="fr-FR"/>
              </w:rPr>
              <w:t xml:space="preserve">Évaluation du Programme </w:t>
            </w:r>
          </w:p>
        </w:tc>
        <w:tc>
          <w:tcPr>
            <w:tcW w:w="258" w:type="dxa"/>
            <w:vMerge w:val="restart"/>
            <w:tcBorders>
              <w:left w:val="single" w:sz="4" w:space="0" w:color="auto"/>
              <w:right w:val="single" w:sz="4" w:space="0" w:color="auto"/>
            </w:tcBorders>
          </w:tcPr>
          <w:p w:rsidR="003E2682" w:rsidRPr="006538AB" w:rsidRDefault="003E2682" w:rsidP="003E2682">
            <w:pPr>
              <w:rPr>
                <w:lang w:val="fr-FR"/>
              </w:rPr>
            </w:pPr>
          </w:p>
        </w:tc>
        <w:tc>
          <w:tcPr>
            <w:tcW w:w="4986" w:type="dxa"/>
            <w:gridSpan w:val="2"/>
            <w:tcBorders>
              <w:top w:val="single" w:sz="4" w:space="0" w:color="auto"/>
              <w:left w:val="single" w:sz="4" w:space="0" w:color="auto"/>
              <w:right w:val="single" w:sz="4" w:space="0" w:color="auto"/>
            </w:tcBorders>
            <w:shd w:val="clear" w:color="auto" w:fill="F3F3F3"/>
          </w:tcPr>
          <w:p w:rsidR="003E2682" w:rsidRPr="006538AB" w:rsidRDefault="003E2682" w:rsidP="003E2682">
            <w:pPr>
              <w:pStyle w:val="H1"/>
              <w:jc w:val="center"/>
              <w:rPr>
                <w:rFonts w:cs="Times New Roman"/>
                <w:szCs w:val="24"/>
                <w:lang w:val="fr-FR"/>
              </w:rPr>
            </w:pPr>
            <w:r w:rsidRPr="006538AB">
              <w:rPr>
                <w:rFonts w:cs="Times New Roman"/>
                <w:bCs w:val="0"/>
                <w:szCs w:val="24"/>
                <w:lang w:val="fr-FR"/>
              </w:rPr>
              <w:t>Soumis par:</w:t>
            </w:r>
          </w:p>
        </w:tc>
      </w:tr>
      <w:tr w:rsidR="003E2682" w:rsidRPr="00FD2390">
        <w:trPr>
          <w:trHeight w:val="285"/>
        </w:trPr>
        <w:tc>
          <w:tcPr>
            <w:tcW w:w="5142" w:type="dxa"/>
            <w:gridSpan w:val="2"/>
            <w:tcBorders>
              <w:left w:val="single" w:sz="4" w:space="0" w:color="auto"/>
              <w:bottom w:val="single" w:sz="4" w:space="0" w:color="auto"/>
              <w:right w:val="single" w:sz="4" w:space="0" w:color="auto"/>
            </w:tcBorders>
          </w:tcPr>
          <w:p w:rsidR="003E2682" w:rsidRPr="006538AB" w:rsidRDefault="003E2682" w:rsidP="003E2682">
            <w:pPr>
              <w:pStyle w:val="BodyText"/>
              <w:rPr>
                <w:rFonts w:ascii="Times New Roman" w:hAnsi="Times New Roman"/>
                <w:bCs/>
                <w:i/>
                <w:iCs/>
                <w:snapToGrid w:val="0"/>
                <w:sz w:val="24"/>
                <w:szCs w:val="24"/>
                <w:lang w:val="fr-FR"/>
              </w:rPr>
            </w:pPr>
            <w:r w:rsidRPr="006538AB">
              <w:rPr>
                <w:rFonts w:ascii="Times New Roman" w:hAnsi="Times New Roman"/>
                <w:sz w:val="24"/>
                <w:szCs w:val="24"/>
                <w:lang w:val="fr-FR"/>
              </w:rPr>
              <w:t>Evaluation  - à joindre le cas échéant</w:t>
            </w:r>
          </w:p>
          <w:p w:rsidR="003E2682" w:rsidRPr="006538AB" w:rsidRDefault="00FD2390" w:rsidP="003E2682">
            <w:pPr>
              <w:pStyle w:val="BodyText"/>
              <w:rPr>
                <w:rFonts w:ascii="Times New Roman" w:hAnsi="Times New Roman"/>
                <w:sz w:val="24"/>
                <w:szCs w:val="24"/>
                <w:lang w:val="fr-FR"/>
              </w:rPr>
            </w:pPr>
            <w:r>
              <w:rPr>
                <w:rFonts w:ascii="Times New Roman" w:hAnsi="Times New Roman"/>
                <w:i/>
                <w:noProof/>
                <w:sz w:val="24"/>
                <w:szCs w:val="24"/>
              </w:rPr>
              <mc:AlternateContent>
                <mc:Choice Requires="wps">
                  <w:drawing>
                    <wp:anchor distT="0" distB="0" distL="114300" distR="114300" simplePos="0" relativeHeight="251656704" behindDoc="0" locked="0" layoutInCell="1" allowOverlap="1">
                      <wp:simplePos x="0" y="0"/>
                      <wp:positionH relativeFrom="column">
                        <wp:posOffset>524510</wp:posOffset>
                      </wp:positionH>
                      <wp:positionV relativeFrom="paragraph">
                        <wp:posOffset>17145</wp:posOffset>
                      </wp:positionV>
                      <wp:extent cx="90805" cy="90805"/>
                      <wp:effectExtent l="10160" t="7620" r="1333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1.3pt;margin-top:1.3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"/>
                  </w:pict>
                </mc:Fallback>
              </mc:AlternateContent>
            </w:r>
            <w:r>
              <w:rPr>
                <w:rFonts w:ascii="Times New Roman" w:hAnsi="Times New Roman"/>
                <w:i/>
                <w:noProof/>
                <w:sz w:val="24"/>
                <w:szCs w:val="24"/>
              </w:rPr>
              <mc:AlternateContent>
                <mc:Choice Requires="wps">
                  <w:drawing>
                    <wp:anchor distT="0" distB="0" distL="114300" distR="114300" simplePos="0" relativeHeight="251659776" behindDoc="0" locked="0" layoutInCell="1" allowOverlap="1">
                      <wp:simplePos x="0" y="0"/>
                      <wp:positionH relativeFrom="column">
                        <wp:posOffset>-8890</wp:posOffset>
                      </wp:positionH>
                      <wp:positionV relativeFrom="paragraph">
                        <wp:posOffset>17145</wp:posOffset>
                      </wp:positionV>
                      <wp:extent cx="90805" cy="90805"/>
                      <wp:effectExtent l="19685" t="26670" r="32385" b="444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pt;margin-top:1.3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" fillcolor="black" strokecolor="#f2f2f2" strokeweight="3pt">
                      <v:shadow on="t" color="#7f7f7f" opacity=".5" offset="1pt"/>
                    </v:rect>
                  </w:pict>
                </mc:Fallback>
              </mc:AlternateContent>
            </w:r>
            <w:r w:rsidR="003E2682" w:rsidRPr="006538AB">
              <w:rPr>
                <w:rFonts w:ascii="Times New Roman" w:hAnsi="Times New Roman"/>
                <w:sz w:val="24"/>
                <w:szCs w:val="24"/>
                <w:lang w:val="fr-FR"/>
              </w:rPr>
              <w:t xml:space="preserve">     Oui          Non    Date: </w:t>
            </w:r>
            <w:r w:rsidR="00210271" w:rsidRPr="006538AB">
              <w:rPr>
                <w:rFonts w:ascii="Times New Roman" w:hAnsi="Times New Roman"/>
                <w:i/>
                <w:sz w:val="24"/>
                <w:szCs w:val="24"/>
                <w:lang w:val="fr-FR"/>
              </w:rPr>
              <w:t>10/01/2015</w:t>
            </w:r>
          </w:p>
          <w:p w:rsidR="003E2682" w:rsidRPr="006538AB" w:rsidRDefault="003E2682" w:rsidP="003E2682">
            <w:pPr>
              <w:pStyle w:val="BodyText"/>
              <w:rPr>
                <w:rFonts w:ascii="Times New Roman" w:hAnsi="Times New Roman"/>
                <w:sz w:val="24"/>
                <w:szCs w:val="24"/>
                <w:lang w:val="fr-FR"/>
              </w:rPr>
            </w:pPr>
            <w:r w:rsidRPr="006538AB">
              <w:rPr>
                <w:rFonts w:ascii="Times New Roman" w:hAnsi="Times New Roman"/>
                <w:sz w:val="24"/>
                <w:szCs w:val="24"/>
                <w:lang w:val="fr-FR"/>
              </w:rPr>
              <w:t xml:space="preserve">Evaluation  à mi-parcours </w:t>
            </w:r>
            <w:r w:rsidRPr="006538AB">
              <w:rPr>
                <w:rFonts w:ascii="Times New Roman" w:hAnsi="Times New Roman"/>
                <w:bCs/>
                <w:i/>
                <w:iCs/>
                <w:snapToGrid w:val="0"/>
                <w:sz w:val="24"/>
                <w:szCs w:val="24"/>
                <w:lang w:val="fr-FR"/>
              </w:rPr>
              <w:t xml:space="preserve">– </w:t>
            </w:r>
            <w:r w:rsidRPr="006538AB">
              <w:rPr>
                <w:rFonts w:ascii="Times New Roman" w:hAnsi="Times New Roman"/>
                <w:sz w:val="24"/>
                <w:szCs w:val="24"/>
                <w:lang w:val="fr-FR"/>
              </w:rPr>
              <w:t>à joindre le cas échéant</w:t>
            </w:r>
            <w:r w:rsidRPr="006538AB">
              <w:rPr>
                <w:rFonts w:ascii="Times New Roman" w:hAnsi="Times New Roman"/>
                <w:bCs/>
                <w:i/>
                <w:iCs/>
                <w:snapToGrid w:val="0"/>
                <w:sz w:val="24"/>
                <w:szCs w:val="24"/>
                <w:lang w:val="fr-FR"/>
              </w:rPr>
              <w:t xml:space="preserve"> </w:t>
            </w:r>
            <w:r w:rsidRPr="006538AB">
              <w:rPr>
                <w:rFonts w:ascii="Times New Roman" w:hAnsi="Times New Roman"/>
                <w:b/>
                <w:sz w:val="24"/>
                <w:szCs w:val="24"/>
                <w:lang w:val="fr-FR"/>
              </w:rPr>
              <w:t xml:space="preserve">          </w:t>
            </w:r>
          </w:p>
          <w:p w:rsidR="003E2682" w:rsidRPr="006538AB" w:rsidRDefault="00FD2390" w:rsidP="003E2682">
            <w:pPr>
              <w:pStyle w:val="BodyText"/>
              <w:rPr>
                <w:rFonts w:ascii="Times New Roman" w:hAnsi="Times New Roman"/>
                <w:sz w:val="24"/>
                <w:szCs w:val="24"/>
                <w:lang w:val="fr-FR"/>
              </w:rPr>
            </w:pPr>
            <w:r>
              <w:rPr>
                <w:rFonts w:ascii="Times New Roman" w:hAnsi="Times New Roman"/>
                <w:i/>
                <w:noProof/>
                <w:sz w:val="24"/>
                <w:szCs w:val="24"/>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20955</wp:posOffset>
                      </wp:positionV>
                      <wp:extent cx="90805" cy="90170"/>
                      <wp:effectExtent l="19685" t="20955" r="32385" b="5080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pt;margin-top:1.65pt;width:7.15pt;height: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" fillcolor="black" strokecolor="#f2f2f2" strokeweight="3pt">
                      <v:shadow on="t" color="#7f7f7f" opacity=".5" offset="1pt"/>
                    </v:rect>
                  </w:pict>
                </mc:Fallback>
              </mc:AlternateContent>
            </w:r>
            <w:r>
              <w:rPr>
                <w:rFonts w:ascii="Times New Roman" w:hAnsi="Times New Roman"/>
                <w:i/>
                <w:noProof/>
                <w:sz w:val="24"/>
                <w:szCs w:val="24"/>
              </w:rPr>
              <mc:AlternateContent>
                <mc:Choice Requires="wps">
                  <w:drawing>
                    <wp:anchor distT="0" distB="0" distL="114300" distR="114300" simplePos="0" relativeHeight="251658752" behindDoc="0" locked="0" layoutInCell="1" allowOverlap="1">
                      <wp:simplePos x="0" y="0"/>
                      <wp:positionH relativeFrom="column">
                        <wp:posOffset>519430</wp:posOffset>
                      </wp:positionH>
                      <wp:positionV relativeFrom="paragraph">
                        <wp:posOffset>20320</wp:posOffset>
                      </wp:positionV>
                      <wp:extent cx="90805" cy="90805"/>
                      <wp:effectExtent l="5080" t="10795" r="8890" b="1270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0.9pt;margin-top:1.6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Qy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pPOb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"/>
                  </w:pict>
                </mc:Fallback>
              </mc:AlternateContent>
            </w:r>
            <w:r w:rsidR="003E2682" w:rsidRPr="006538AB">
              <w:rPr>
                <w:rFonts w:ascii="Times New Roman" w:hAnsi="Times New Roman"/>
                <w:sz w:val="24"/>
                <w:szCs w:val="24"/>
                <w:lang w:val="fr-FR"/>
              </w:rPr>
              <w:t xml:space="preserve">      Oui          Non    Date: </w:t>
            </w:r>
            <w:r w:rsidR="00210271" w:rsidRPr="006538AB">
              <w:rPr>
                <w:rFonts w:ascii="Times New Roman" w:hAnsi="Times New Roman"/>
                <w:i/>
                <w:sz w:val="24"/>
                <w:szCs w:val="24"/>
                <w:lang w:val="fr-FR"/>
              </w:rPr>
              <w:t>10/01/2015</w:t>
            </w:r>
          </w:p>
        </w:tc>
        <w:tc>
          <w:tcPr>
            <w:tcW w:w="258" w:type="dxa"/>
            <w:vMerge/>
            <w:tcBorders>
              <w:left w:val="single" w:sz="4" w:space="0" w:color="auto"/>
              <w:right w:val="single" w:sz="4" w:space="0" w:color="auto"/>
            </w:tcBorders>
          </w:tcPr>
          <w:p w:rsidR="003E2682" w:rsidRPr="006538AB" w:rsidRDefault="003E2682" w:rsidP="003E2682">
            <w:pPr>
              <w:pStyle w:val="BodyText"/>
              <w:rPr>
                <w:rFonts w:ascii="Times New Roman" w:hAnsi="Times New Roman"/>
                <w:sz w:val="24"/>
                <w:szCs w:val="24"/>
                <w:lang w:val="fr-FR"/>
              </w:rPr>
            </w:pPr>
          </w:p>
        </w:tc>
        <w:tc>
          <w:tcPr>
            <w:tcW w:w="4986" w:type="dxa"/>
            <w:gridSpan w:val="2"/>
            <w:tcBorders>
              <w:left w:val="single" w:sz="4" w:space="0" w:color="auto"/>
              <w:bottom w:val="single" w:sz="4" w:space="0" w:color="auto"/>
              <w:right w:val="single" w:sz="4" w:space="0" w:color="auto"/>
            </w:tcBorders>
          </w:tcPr>
          <w:p w:rsidR="003E2682" w:rsidRPr="006538AB" w:rsidRDefault="003E2682" w:rsidP="003E2682">
            <w:pPr>
              <w:numPr>
                <w:ilvl w:val="0"/>
                <w:numId w:val="10"/>
              </w:numPr>
              <w:ind w:left="342"/>
              <w:rPr>
                <w:lang w:val="fr-FR"/>
              </w:rPr>
            </w:pPr>
            <w:r w:rsidRPr="006538AB">
              <w:rPr>
                <w:lang w:val="fr-FR"/>
              </w:rPr>
              <w:t>Nom:</w:t>
            </w:r>
            <w:r w:rsidR="007D58B2" w:rsidRPr="006538AB">
              <w:rPr>
                <w:lang w:val="fr-FR"/>
              </w:rPr>
              <w:t xml:space="preserve"> Sophie de Caen</w:t>
            </w:r>
          </w:p>
          <w:p w:rsidR="003E2682" w:rsidRPr="006538AB" w:rsidRDefault="003E2682" w:rsidP="003E2682">
            <w:pPr>
              <w:numPr>
                <w:ilvl w:val="0"/>
                <w:numId w:val="10"/>
              </w:numPr>
              <w:ind w:left="342"/>
              <w:rPr>
                <w:lang w:val="fr-FR"/>
              </w:rPr>
            </w:pPr>
            <w:r w:rsidRPr="006538AB">
              <w:rPr>
                <w:lang w:val="fr-FR"/>
              </w:rPr>
              <w:t>Titre:</w:t>
            </w:r>
            <w:r w:rsidR="00210271" w:rsidRPr="006538AB">
              <w:rPr>
                <w:lang w:val="fr-FR"/>
              </w:rPr>
              <w:t xml:space="preserve"> Directrice Principale </w:t>
            </w:r>
          </w:p>
          <w:p w:rsidR="003E2682" w:rsidRPr="006538AB" w:rsidRDefault="003E2682" w:rsidP="003E2682">
            <w:pPr>
              <w:numPr>
                <w:ilvl w:val="0"/>
                <w:numId w:val="10"/>
              </w:numPr>
              <w:ind w:left="342"/>
              <w:rPr>
                <w:lang w:val="fr-FR"/>
              </w:rPr>
            </w:pPr>
            <w:r w:rsidRPr="006538AB">
              <w:rPr>
                <w:lang w:val="fr-FR"/>
              </w:rPr>
              <w:t>Organisati</w:t>
            </w:r>
            <w:r w:rsidR="00210271" w:rsidRPr="006538AB">
              <w:rPr>
                <w:lang w:val="fr-FR"/>
              </w:rPr>
              <w:t>on Participante</w:t>
            </w:r>
            <w:r w:rsidR="00E368DC">
              <w:rPr>
                <w:lang w:val="fr-FR"/>
              </w:rPr>
              <w:t>:</w:t>
            </w:r>
            <w:r w:rsidR="00210271" w:rsidRPr="006538AB">
              <w:rPr>
                <w:lang w:val="fr-FR"/>
              </w:rPr>
              <w:t xml:space="preserve">  PNUD</w:t>
            </w:r>
          </w:p>
          <w:p w:rsidR="003E2682" w:rsidRPr="006538AB" w:rsidRDefault="003E2682" w:rsidP="003E2682">
            <w:pPr>
              <w:pStyle w:val="BodyText"/>
              <w:numPr>
                <w:ilvl w:val="0"/>
                <w:numId w:val="10"/>
              </w:numPr>
              <w:spacing w:after="120"/>
              <w:ind w:left="342"/>
              <w:jc w:val="both"/>
              <w:rPr>
                <w:rFonts w:ascii="Times New Roman" w:hAnsi="Times New Roman"/>
                <w:b/>
                <w:bCs/>
                <w:snapToGrid w:val="0"/>
                <w:kern w:val="32"/>
                <w:sz w:val="24"/>
                <w:szCs w:val="24"/>
                <w:lang w:val="fr-FR"/>
              </w:rPr>
            </w:pPr>
            <w:r w:rsidRPr="006538AB">
              <w:rPr>
                <w:rFonts w:ascii="Times New Roman" w:hAnsi="Times New Roman"/>
                <w:sz w:val="24"/>
                <w:szCs w:val="24"/>
                <w:lang w:val="fr-FR"/>
              </w:rPr>
              <w:t>Adresse e-mail:</w:t>
            </w:r>
            <w:r w:rsidR="00E368DC">
              <w:rPr>
                <w:rFonts w:ascii="Times New Roman" w:hAnsi="Times New Roman"/>
                <w:sz w:val="24"/>
                <w:szCs w:val="24"/>
                <w:lang w:val="fr-FR"/>
              </w:rPr>
              <w:t xml:space="preserve"> </w:t>
            </w:r>
            <w:r w:rsidR="00210271" w:rsidRPr="006538AB">
              <w:rPr>
                <w:rFonts w:ascii="Times New Roman" w:hAnsi="Times New Roman"/>
                <w:sz w:val="24"/>
                <w:szCs w:val="24"/>
                <w:lang w:val="fr-FR"/>
              </w:rPr>
              <w:t>sophie.de.caen@undp.org</w:t>
            </w:r>
          </w:p>
        </w:tc>
      </w:tr>
    </w:tbl>
    <w:p w:rsidR="003E2682" w:rsidRPr="006538AB" w:rsidRDefault="003E2682" w:rsidP="003E2682">
      <w:pPr>
        <w:rPr>
          <w:lang w:val="fr-FR"/>
        </w:rPr>
      </w:pPr>
      <w:r w:rsidRPr="006538AB">
        <w:rPr>
          <w:b/>
          <w:bCs/>
          <w:caps/>
          <w:lang w:val="fr-FR"/>
        </w:rPr>
        <w:br w:type="page"/>
      </w:r>
    </w:p>
    <w:p w:rsidR="003E2682" w:rsidRPr="006538AB" w:rsidRDefault="003E2682" w:rsidP="003E2682">
      <w:pPr>
        <w:rPr>
          <w:lang w:val="fr-FR"/>
        </w:rPr>
      </w:pPr>
    </w:p>
    <w:p w:rsidR="003E2682" w:rsidRPr="006538AB" w:rsidRDefault="003E2682" w:rsidP="003E2682">
      <w:pPr>
        <w:pStyle w:val="Heading1"/>
        <w:tabs>
          <w:tab w:val="left" w:pos="360"/>
        </w:tabs>
        <w:ind w:left="0"/>
        <w:jc w:val="left"/>
        <w:rPr>
          <w:rFonts w:ascii="Times New Roman" w:hAnsi="Times New Roman"/>
          <w:sz w:val="24"/>
          <w:szCs w:val="24"/>
          <w:lang w:val="fr-FR"/>
        </w:rPr>
      </w:pPr>
      <w:bookmarkStart w:id="1" w:name="_Toc249364483"/>
      <w:r w:rsidRPr="006538AB">
        <w:rPr>
          <w:rFonts w:ascii="Times New Roman" w:hAnsi="Times New Roman"/>
          <w:sz w:val="24"/>
          <w:szCs w:val="24"/>
          <w:lang w:val="fr-FR"/>
        </w:rPr>
        <w:t>RÉSUMÉ</w:t>
      </w:r>
    </w:p>
    <w:p w:rsidR="003E2682" w:rsidRPr="006538AB" w:rsidRDefault="003E2682" w:rsidP="003E2682">
      <w:pPr>
        <w:ind w:left="720"/>
        <w:jc w:val="both"/>
        <w:rPr>
          <w:lang w:val="fr-FR"/>
        </w:rPr>
      </w:pPr>
    </w:p>
    <w:p w:rsidR="00065A6E" w:rsidRPr="006538AB" w:rsidRDefault="00065A6E" w:rsidP="00065A6E">
      <w:pPr>
        <w:jc w:val="both"/>
        <w:rPr>
          <w:lang w:val="fr-FR"/>
        </w:rPr>
      </w:pPr>
      <w:r w:rsidRPr="006538AB">
        <w:rPr>
          <w:lang w:val="fr-FR"/>
        </w:rPr>
        <w:t xml:space="preserve">Le séisme du 12 janvier 2010 nous a  rappelé  de façon dramatique et brutale la vulnérabilité du bâti et des infrastructures en Haïti face aux séismes, ainsi que le faible niveau de capacités, en Haïti, pour concevoir et construire de manière appropriée face à cette menace. </w:t>
      </w:r>
    </w:p>
    <w:p w:rsidR="00065A6E" w:rsidRPr="006538AB" w:rsidRDefault="00065A6E" w:rsidP="00065A6E">
      <w:pPr>
        <w:jc w:val="both"/>
        <w:rPr>
          <w:lang w:val="fr-FR"/>
        </w:rPr>
      </w:pPr>
      <w:r w:rsidRPr="006538AB">
        <w:rPr>
          <w:lang w:val="fr-FR"/>
        </w:rPr>
        <w:t xml:space="preserve">Les villes côtières du nord du pays font face à un risque sismique élevé car elles sont situées le long de la faille active dite « Septentrionale », responsable du séisme de magnitude 8 de 1842. </w:t>
      </w:r>
    </w:p>
    <w:p w:rsidR="00065A6E" w:rsidRPr="006538AB" w:rsidRDefault="00065A6E" w:rsidP="00065A6E">
      <w:pPr>
        <w:jc w:val="both"/>
        <w:rPr>
          <w:lang w:val="fr-FR"/>
        </w:rPr>
      </w:pPr>
      <w:r w:rsidRPr="006538AB">
        <w:rPr>
          <w:lang w:val="fr-FR"/>
        </w:rPr>
        <w:t>Ce projet est bâti autour de 4 piliers qui permettront de définir le niveau de risque, de le prendre en compte de manière effective pour les infrastructures existantes et à venir, de former et d’informer sur le risque et les solutions pour s’y adapter et de renforcer les capacités locales.</w:t>
      </w:r>
    </w:p>
    <w:p w:rsidR="00065A6E" w:rsidRPr="006538AB" w:rsidRDefault="00065A6E" w:rsidP="00065A6E">
      <w:pPr>
        <w:jc w:val="both"/>
        <w:rPr>
          <w:lang w:val="fr-FR"/>
        </w:rPr>
      </w:pPr>
    </w:p>
    <w:p w:rsidR="00065A6E" w:rsidRPr="006538AB" w:rsidRDefault="00C12C2A" w:rsidP="00065A6E">
      <w:pPr>
        <w:numPr>
          <w:ilvl w:val="0"/>
          <w:numId w:val="17"/>
        </w:numPr>
        <w:spacing w:before="60"/>
        <w:ind w:left="720" w:hanging="360"/>
        <w:jc w:val="both"/>
        <w:rPr>
          <w:lang w:val="fr-FR"/>
        </w:rPr>
      </w:pPr>
      <w:r w:rsidRPr="00C12C2A">
        <w:rPr>
          <w:b/>
          <w:i/>
          <w:lang w:val="fr-FR"/>
        </w:rPr>
        <w:t>Pilier 1 - Approfondir la connaissance de la menace sismique :</w:t>
      </w:r>
      <w:r w:rsidR="00065A6E" w:rsidRPr="006538AB">
        <w:rPr>
          <w:lang w:val="fr-FR"/>
        </w:rPr>
        <w:t xml:space="preserve"> Des études approfondies de micro</w:t>
      </w:r>
      <w:r w:rsidR="00567435">
        <w:rPr>
          <w:lang w:val="fr-FR"/>
        </w:rPr>
        <w:t>-</w:t>
      </w:r>
      <w:r w:rsidR="00065A6E" w:rsidRPr="006538AB">
        <w:rPr>
          <w:lang w:val="fr-FR"/>
        </w:rPr>
        <w:t>zonage ont permis de quantifier la réponse des sols à la sollicitation sismique dans les villes principales et leurs alentours (micro</w:t>
      </w:r>
      <w:r w:rsidR="00567435">
        <w:rPr>
          <w:lang w:val="fr-FR"/>
        </w:rPr>
        <w:t>-</w:t>
      </w:r>
      <w:r w:rsidR="00065A6E" w:rsidRPr="006538AB">
        <w:rPr>
          <w:lang w:val="fr-FR"/>
        </w:rPr>
        <w:t>zonage)</w:t>
      </w:r>
      <w:r w:rsidR="00CB510F">
        <w:rPr>
          <w:lang w:val="fr-FR"/>
        </w:rPr>
        <w:t xml:space="preserve">. Des rapports et des cartographies finales ont été livrés pour les villes du Cap-Haïtien, de Fort-Liberté et de Ouanaminthe. </w:t>
      </w:r>
    </w:p>
    <w:p w:rsidR="00065A6E" w:rsidRPr="006538AB" w:rsidRDefault="00065A6E" w:rsidP="00065A6E">
      <w:pPr>
        <w:spacing w:before="60"/>
        <w:ind w:left="720"/>
        <w:jc w:val="both"/>
        <w:rPr>
          <w:b/>
          <w:lang w:val="fr-FR"/>
        </w:rPr>
      </w:pPr>
    </w:p>
    <w:p w:rsidR="00065A6E" w:rsidRPr="00E368DC" w:rsidRDefault="00C12C2A" w:rsidP="00065A6E">
      <w:pPr>
        <w:numPr>
          <w:ilvl w:val="0"/>
          <w:numId w:val="17"/>
        </w:numPr>
        <w:spacing w:before="60"/>
        <w:ind w:left="720" w:hanging="360"/>
        <w:jc w:val="both"/>
        <w:rPr>
          <w:i/>
          <w:lang w:val="fr-FR"/>
        </w:rPr>
      </w:pPr>
      <w:r w:rsidRPr="00C12C2A">
        <w:rPr>
          <w:b/>
          <w:i/>
          <w:lang w:val="fr-FR"/>
        </w:rPr>
        <w:t>Pilier 2 - Concerter, coopérer et communiquer sur le risque sismique et les solutions pour s’y adapter :</w:t>
      </w:r>
      <w:r w:rsidR="00CE2E3A" w:rsidRPr="00CE2E3A">
        <w:rPr>
          <w:lang w:val="fr-FR"/>
        </w:rPr>
        <w:t xml:space="preserve"> </w:t>
      </w:r>
      <w:r w:rsidR="00CE2E3A" w:rsidRPr="006538AB">
        <w:rPr>
          <w:lang w:val="fr-FR"/>
        </w:rPr>
        <w:t>Cette communication s’est adressée  au public  grâce aux différents ateliers de formation et d’animation organisés dans les trois départements  cibles</w:t>
      </w:r>
      <w:r w:rsidR="00CE2E3A">
        <w:rPr>
          <w:lang w:val="fr-FR"/>
        </w:rPr>
        <w:t xml:space="preserve"> </w:t>
      </w:r>
      <w:r w:rsidR="00CE2E3A" w:rsidRPr="006538AB">
        <w:rPr>
          <w:lang w:val="fr-FR"/>
        </w:rPr>
        <w:t>(Activités transversales).</w:t>
      </w:r>
    </w:p>
    <w:p w:rsidR="00065A6E" w:rsidRPr="006538AB" w:rsidRDefault="00065A6E" w:rsidP="00065A6E">
      <w:pPr>
        <w:spacing w:before="60"/>
        <w:ind w:left="720"/>
        <w:jc w:val="both"/>
        <w:rPr>
          <w:lang w:val="fr-FR"/>
        </w:rPr>
      </w:pPr>
    </w:p>
    <w:p w:rsidR="00065A6E" w:rsidRDefault="00C12C2A" w:rsidP="00065A6E">
      <w:pPr>
        <w:numPr>
          <w:ilvl w:val="0"/>
          <w:numId w:val="17"/>
        </w:numPr>
        <w:spacing w:before="60"/>
        <w:ind w:left="720" w:hanging="360"/>
        <w:jc w:val="both"/>
        <w:rPr>
          <w:lang w:val="fr-FR"/>
        </w:rPr>
      </w:pPr>
      <w:r w:rsidRPr="00C12C2A">
        <w:rPr>
          <w:b/>
          <w:i/>
          <w:lang w:val="fr-FR"/>
        </w:rPr>
        <w:t>Pilier 3 - Evaluer la vulnérabilité du bâti existant et proposer des solutions et outils pour la réduction de la vulnérabilité aux séismes / formation de la chaine de construction en génie parasismique:</w:t>
      </w:r>
      <w:r w:rsidR="00065A6E" w:rsidRPr="006538AB">
        <w:rPr>
          <w:lang w:val="fr-FR"/>
        </w:rPr>
        <w:t xml:space="preserve"> </w:t>
      </w:r>
      <w:r w:rsidR="00CB510F">
        <w:rPr>
          <w:lang w:val="fr-FR"/>
        </w:rPr>
        <w:t xml:space="preserve">Pour ce volet, le projet a déjà produit le rapport d'évaluation de sept (7) bâtiments publiques et </w:t>
      </w:r>
      <w:r w:rsidR="00567435">
        <w:rPr>
          <w:lang w:val="fr-FR"/>
        </w:rPr>
        <w:t>de dix-sept (</w:t>
      </w:r>
      <w:r w:rsidR="00CB510F">
        <w:rPr>
          <w:lang w:val="fr-FR"/>
        </w:rPr>
        <w:t>17</w:t>
      </w:r>
      <w:r w:rsidR="00567435">
        <w:rPr>
          <w:lang w:val="fr-FR"/>
        </w:rPr>
        <w:t xml:space="preserve">) infrastructures, et celui sur l'estimation de pertes en vies humaines et infrastructures en cas de tremblement de terre. Le projet a formé 25 contremaîtres en construction parasismique et va bientôt former 200 maçons et 60 ingénieurs. </w:t>
      </w:r>
    </w:p>
    <w:p w:rsidR="002E2767" w:rsidRDefault="002E2767" w:rsidP="002E2767">
      <w:pPr>
        <w:spacing w:before="60"/>
        <w:ind w:left="720"/>
        <w:jc w:val="both"/>
        <w:rPr>
          <w:lang w:val="fr-FR"/>
        </w:rPr>
      </w:pPr>
    </w:p>
    <w:p w:rsidR="00065A6E" w:rsidRPr="002E2767" w:rsidRDefault="00C12C2A" w:rsidP="00065A6E">
      <w:pPr>
        <w:numPr>
          <w:ilvl w:val="0"/>
          <w:numId w:val="17"/>
        </w:numPr>
        <w:spacing w:before="60"/>
        <w:ind w:left="720" w:hanging="360"/>
        <w:jc w:val="both"/>
        <w:rPr>
          <w:lang w:val="fr-FR"/>
        </w:rPr>
      </w:pPr>
      <w:r w:rsidRPr="002E2767">
        <w:rPr>
          <w:b/>
          <w:i/>
          <w:lang w:val="fr-FR"/>
        </w:rPr>
        <w:t>Pilier</w:t>
      </w:r>
      <w:r w:rsidR="00567435" w:rsidRPr="002E2767">
        <w:rPr>
          <w:b/>
          <w:i/>
          <w:lang w:val="fr-FR"/>
        </w:rPr>
        <w:t xml:space="preserve"> </w:t>
      </w:r>
      <w:r w:rsidRPr="002E2767">
        <w:rPr>
          <w:b/>
          <w:i/>
          <w:lang w:val="fr-FR"/>
        </w:rPr>
        <w:t>4 : Renforcer les capacités locales</w:t>
      </w:r>
      <w:r w:rsidR="00567435" w:rsidRPr="002E2767">
        <w:rPr>
          <w:b/>
          <w:i/>
          <w:lang w:val="fr-FR"/>
        </w:rPr>
        <w:t>:</w:t>
      </w:r>
      <w:r w:rsidR="002E2767">
        <w:rPr>
          <w:b/>
          <w:i/>
          <w:lang w:val="fr-FR"/>
        </w:rPr>
        <w:t xml:space="preserve"> </w:t>
      </w:r>
      <w:r w:rsidR="00065A6E" w:rsidRPr="002E2767">
        <w:rPr>
          <w:lang w:val="fr-FR"/>
        </w:rPr>
        <w:t xml:space="preserve">Le </w:t>
      </w:r>
      <w:r w:rsidR="00567435" w:rsidRPr="002E2767">
        <w:rPr>
          <w:lang w:val="fr-FR"/>
        </w:rPr>
        <w:t>p</w:t>
      </w:r>
      <w:r w:rsidR="00065A6E" w:rsidRPr="002E2767">
        <w:rPr>
          <w:lang w:val="fr-FR"/>
        </w:rPr>
        <w:t xml:space="preserve">rojet a déjà produit trois plans de contingence sismiques pour les trois départements du  </w:t>
      </w:r>
      <w:r w:rsidR="00567435" w:rsidRPr="002E2767">
        <w:rPr>
          <w:lang w:val="fr-FR"/>
        </w:rPr>
        <w:t xml:space="preserve">Grand </w:t>
      </w:r>
      <w:r w:rsidR="00302CB7" w:rsidRPr="002E2767">
        <w:rPr>
          <w:lang w:val="fr-FR"/>
        </w:rPr>
        <w:t>N</w:t>
      </w:r>
      <w:r w:rsidR="00065A6E" w:rsidRPr="002E2767">
        <w:rPr>
          <w:lang w:val="fr-FR"/>
        </w:rPr>
        <w:t>ord  et a renforcé la capacité de 65 maires en gestion de crises liées au séisme.</w:t>
      </w:r>
    </w:p>
    <w:p w:rsidR="00065A6E" w:rsidRPr="006538AB" w:rsidRDefault="00065A6E" w:rsidP="00065A6E">
      <w:pPr>
        <w:spacing w:before="60"/>
        <w:ind w:left="720"/>
        <w:jc w:val="both"/>
        <w:rPr>
          <w:lang w:val="fr-FR"/>
        </w:rPr>
      </w:pPr>
    </w:p>
    <w:bookmarkEnd w:id="1"/>
    <w:p w:rsidR="003E2682" w:rsidRPr="006538AB" w:rsidRDefault="003E2682" w:rsidP="003E2682">
      <w:pPr>
        <w:pStyle w:val="Heading1"/>
        <w:numPr>
          <w:ilvl w:val="0"/>
          <w:numId w:val="1"/>
        </w:numPr>
        <w:tabs>
          <w:tab w:val="clear" w:pos="1080"/>
          <w:tab w:val="left" w:pos="360"/>
        </w:tabs>
        <w:ind w:left="360" w:hanging="360"/>
        <w:jc w:val="left"/>
        <w:rPr>
          <w:rFonts w:ascii="Times New Roman" w:hAnsi="Times New Roman"/>
          <w:sz w:val="24"/>
          <w:szCs w:val="24"/>
          <w:lang w:val="fr-FR"/>
        </w:rPr>
      </w:pPr>
      <w:r w:rsidRPr="006538AB">
        <w:rPr>
          <w:rFonts w:ascii="Times New Roman" w:hAnsi="Times New Roman"/>
          <w:sz w:val="24"/>
          <w:szCs w:val="24"/>
          <w:lang w:val="fr-FR"/>
        </w:rPr>
        <w:t>Objectifs</w:t>
      </w:r>
    </w:p>
    <w:p w:rsidR="00065A6E" w:rsidRPr="006538AB" w:rsidRDefault="00302CB7" w:rsidP="00065A6E">
      <w:pPr>
        <w:jc w:val="both"/>
        <w:rPr>
          <w:lang w:val="fr-FR"/>
        </w:rPr>
      </w:pPr>
      <w:r w:rsidRPr="006538AB">
        <w:rPr>
          <w:lang w:val="fr-FR"/>
        </w:rPr>
        <w:t xml:space="preserve">L’objectif principal </w:t>
      </w:r>
      <w:r w:rsidR="00065A6E" w:rsidRPr="006538AB">
        <w:rPr>
          <w:lang w:val="fr-FR"/>
        </w:rPr>
        <w:t>de ce projet est de réduire la vulnérabilité des départements du Nord-Est, Nord, et Nord-Ouest face à la menace sismique en renforçant la résilience des infrastructures et des populations dans le but de minimiser les pertes économiques et en vies humaines lors d’événements futurs.</w:t>
      </w:r>
    </w:p>
    <w:p w:rsidR="00065A6E" w:rsidRPr="006538AB" w:rsidRDefault="00065A6E" w:rsidP="00065A6E">
      <w:pPr>
        <w:jc w:val="both"/>
        <w:rPr>
          <w:lang w:val="fr-FR"/>
        </w:rPr>
      </w:pPr>
    </w:p>
    <w:p w:rsidR="00065A6E" w:rsidRPr="006538AB" w:rsidRDefault="00065A6E" w:rsidP="00065A6E">
      <w:pPr>
        <w:jc w:val="both"/>
        <w:rPr>
          <w:lang w:val="fr-FR"/>
        </w:rPr>
      </w:pPr>
      <w:r w:rsidRPr="006538AB">
        <w:rPr>
          <w:b/>
          <w:lang w:val="fr-FR"/>
        </w:rPr>
        <w:t>Les objectifs spécifiques</w:t>
      </w:r>
      <w:r w:rsidRPr="006538AB">
        <w:rPr>
          <w:lang w:val="fr-FR"/>
        </w:rPr>
        <w:t xml:space="preserve">  sont  :</w:t>
      </w:r>
    </w:p>
    <w:p w:rsidR="00065A6E" w:rsidRPr="006538AB" w:rsidRDefault="00065A6E" w:rsidP="00065A6E">
      <w:pPr>
        <w:numPr>
          <w:ilvl w:val="0"/>
          <w:numId w:val="18"/>
        </w:numPr>
        <w:ind w:left="360"/>
        <w:jc w:val="both"/>
        <w:rPr>
          <w:lang w:val="fr-FR"/>
        </w:rPr>
      </w:pPr>
      <w:r w:rsidRPr="006538AB">
        <w:rPr>
          <w:lang w:val="fr-FR"/>
        </w:rPr>
        <w:t>Quantifier la menace sismique par le micro</w:t>
      </w:r>
      <w:r w:rsidR="00567435">
        <w:rPr>
          <w:lang w:val="fr-FR"/>
        </w:rPr>
        <w:t>-</w:t>
      </w:r>
      <w:r w:rsidRPr="006538AB">
        <w:rPr>
          <w:lang w:val="fr-FR"/>
        </w:rPr>
        <w:t>zonage des 4 grandes villes du Nord, Nord-Est et Nord-Ouest (Port-de-Paix, Cap</w:t>
      </w:r>
      <w:r w:rsidR="00567435">
        <w:rPr>
          <w:lang w:val="fr-FR"/>
        </w:rPr>
        <w:t>-</w:t>
      </w:r>
      <w:r w:rsidRPr="006538AB">
        <w:rPr>
          <w:lang w:val="fr-FR"/>
        </w:rPr>
        <w:t>Haïtien, Fort Liberté</w:t>
      </w:r>
      <w:r w:rsidR="00567435">
        <w:rPr>
          <w:lang w:val="fr-FR"/>
        </w:rPr>
        <w:t xml:space="preserve"> et </w:t>
      </w:r>
      <w:r w:rsidRPr="006538AB">
        <w:rPr>
          <w:lang w:val="fr-FR"/>
        </w:rPr>
        <w:t>Ouanaminthe) et les villes secondaires principales;</w:t>
      </w:r>
    </w:p>
    <w:p w:rsidR="00065A6E" w:rsidRPr="006538AB" w:rsidRDefault="00065A6E" w:rsidP="00065A6E">
      <w:pPr>
        <w:numPr>
          <w:ilvl w:val="0"/>
          <w:numId w:val="18"/>
        </w:numPr>
        <w:ind w:left="360"/>
        <w:jc w:val="both"/>
        <w:rPr>
          <w:lang w:val="fr-FR"/>
        </w:rPr>
      </w:pPr>
      <w:r w:rsidRPr="006538AB">
        <w:rPr>
          <w:lang w:val="fr-FR"/>
        </w:rPr>
        <w:t>Evaluer la vulnérabilité du bâti et des infrastructures</w:t>
      </w:r>
      <w:r w:rsidR="00567435">
        <w:rPr>
          <w:lang w:val="fr-FR"/>
        </w:rPr>
        <w:t>,</w:t>
      </w:r>
      <w:r w:rsidRPr="006538AB">
        <w:rPr>
          <w:lang w:val="fr-FR"/>
        </w:rPr>
        <w:t xml:space="preserve"> et les classifier en fonction de l’enjeu associé (économique, humain, stratégique);</w:t>
      </w:r>
    </w:p>
    <w:p w:rsidR="00065A6E" w:rsidRPr="006538AB" w:rsidRDefault="00065A6E" w:rsidP="00065A6E">
      <w:pPr>
        <w:numPr>
          <w:ilvl w:val="0"/>
          <w:numId w:val="18"/>
        </w:numPr>
        <w:ind w:left="360"/>
        <w:jc w:val="both"/>
        <w:rPr>
          <w:lang w:val="fr-FR"/>
        </w:rPr>
      </w:pPr>
      <w:r w:rsidRPr="006538AB">
        <w:rPr>
          <w:lang w:val="fr-FR"/>
        </w:rPr>
        <w:t>Identifier les infrastructures critiques à fort enjeu (hôpitaux, bâtiments publics, écoles, ponts, centrales d’énergie, etc.);</w:t>
      </w:r>
    </w:p>
    <w:p w:rsidR="00065A6E" w:rsidRPr="006538AB" w:rsidRDefault="00065A6E" w:rsidP="00065A6E">
      <w:pPr>
        <w:numPr>
          <w:ilvl w:val="0"/>
          <w:numId w:val="18"/>
        </w:numPr>
        <w:ind w:left="360"/>
        <w:jc w:val="both"/>
        <w:rPr>
          <w:lang w:val="fr-FR"/>
        </w:rPr>
      </w:pPr>
      <w:r w:rsidRPr="006538AB">
        <w:rPr>
          <w:lang w:val="fr-FR"/>
        </w:rPr>
        <w:t>Proposer des solutions budgétisées pour le renforcement structural des infrastructures prioritaires à fort enjeu;</w:t>
      </w:r>
    </w:p>
    <w:p w:rsidR="00065A6E" w:rsidRPr="006538AB" w:rsidRDefault="00065A6E" w:rsidP="00065A6E">
      <w:pPr>
        <w:numPr>
          <w:ilvl w:val="0"/>
          <w:numId w:val="18"/>
        </w:numPr>
        <w:ind w:left="360"/>
        <w:jc w:val="both"/>
        <w:rPr>
          <w:lang w:val="fr-FR"/>
        </w:rPr>
      </w:pPr>
      <w:r w:rsidRPr="006538AB">
        <w:rPr>
          <w:lang w:val="fr-FR"/>
        </w:rPr>
        <w:t>Renforcer un sous-ensemble prioritaire des infrastructures critiques à fort enjeu;</w:t>
      </w:r>
    </w:p>
    <w:p w:rsidR="00065A6E" w:rsidRPr="006538AB" w:rsidRDefault="00065A6E" w:rsidP="00065A6E">
      <w:pPr>
        <w:numPr>
          <w:ilvl w:val="0"/>
          <w:numId w:val="18"/>
        </w:numPr>
        <w:ind w:left="360"/>
        <w:jc w:val="both"/>
        <w:rPr>
          <w:lang w:val="fr-FR"/>
        </w:rPr>
      </w:pPr>
      <w:r w:rsidRPr="006538AB">
        <w:rPr>
          <w:lang w:val="fr-FR"/>
        </w:rPr>
        <w:t>Former les professionnels de la construction aux pratiques parasismiques, des maçons aux ingénieurs, du secteur public (ingénieurs municipaux et départementaux) et privé;</w:t>
      </w:r>
    </w:p>
    <w:p w:rsidR="00065A6E" w:rsidRPr="006538AB" w:rsidRDefault="00065A6E" w:rsidP="00065A6E">
      <w:pPr>
        <w:numPr>
          <w:ilvl w:val="0"/>
          <w:numId w:val="18"/>
        </w:numPr>
        <w:ind w:left="360"/>
        <w:jc w:val="both"/>
        <w:rPr>
          <w:lang w:val="fr-FR"/>
        </w:rPr>
      </w:pPr>
      <w:r w:rsidRPr="006538AB">
        <w:rPr>
          <w:lang w:val="fr-FR"/>
        </w:rPr>
        <w:lastRenderedPageBreak/>
        <w:t>Inclure le risque sismique dans le plan de contingence aux désastres des 3 départements du nord et former les membres des comités départementaux et communaux;</w:t>
      </w:r>
    </w:p>
    <w:p w:rsidR="00065A6E" w:rsidRPr="006538AB" w:rsidRDefault="00065A6E" w:rsidP="00065A6E">
      <w:pPr>
        <w:numPr>
          <w:ilvl w:val="0"/>
          <w:numId w:val="18"/>
        </w:numPr>
        <w:ind w:left="360"/>
        <w:jc w:val="both"/>
        <w:rPr>
          <w:lang w:val="fr-FR"/>
        </w:rPr>
      </w:pPr>
      <w:r w:rsidRPr="006538AB">
        <w:rPr>
          <w:lang w:val="fr-FR"/>
        </w:rPr>
        <w:t xml:space="preserve">Informer les citoyens, les constructeurs et les pouvoirs publics sur le risque sismique et les solutions pour s’y préparer et </w:t>
      </w:r>
      <w:r w:rsidR="00567435">
        <w:rPr>
          <w:lang w:val="fr-FR"/>
        </w:rPr>
        <w:t xml:space="preserve">s'y </w:t>
      </w:r>
      <w:r w:rsidRPr="006538AB">
        <w:rPr>
          <w:lang w:val="fr-FR"/>
        </w:rPr>
        <w:t>adapter; et</w:t>
      </w:r>
    </w:p>
    <w:p w:rsidR="00065A6E" w:rsidRPr="006538AB" w:rsidRDefault="00065A6E" w:rsidP="00065A6E">
      <w:pPr>
        <w:numPr>
          <w:ilvl w:val="0"/>
          <w:numId w:val="18"/>
        </w:numPr>
        <w:ind w:left="360"/>
        <w:jc w:val="both"/>
        <w:rPr>
          <w:lang w:val="fr-FR"/>
        </w:rPr>
      </w:pPr>
      <w:r w:rsidRPr="006538AB">
        <w:rPr>
          <w:lang w:val="fr-FR"/>
        </w:rPr>
        <w:t>Renforcer les capacités des communes et des départements pour la gestion du risque sismique.</w:t>
      </w:r>
    </w:p>
    <w:p w:rsidR="003E2682" w:rsidRPr="006538AB" w:rsidRDefault="003E2682" w:rsidP="003E2682">
      <w:pPr>
        <w:pStyle w:val="BodyText"/>
        <w:ind w:left="720"/>
        <w:jc w:val="both"/>
        <w:rPr>
          <w:rFonts w:ascii="Times New Roman" w:hAnsi="Times New Roman"/>
          <w:sz w:val="24"/>
          <w:szCs w:val="24"/>
          <w:lang w:val="fr-FR"/>
        </w:rPr>
      </w:pPr>
    </w:p>
    <w:p w:rsidR="00066055" w:rsidRPr="006538AB" w:rsidRDefault="00066055" w:rsidP="00066055">
      <w:pPr>
        <w:rPr>
          <w:b/>
          <w:lang w:val="fr-FR"/>
        </w:rPr>
      </w:pPr>
      <w:r w:rsidRPr="006538AB">
        <w:rPr>
          <w:b/>
          <w:lang w:val="fr-FR"/>
        </w:rPr>
        <w:t>II</w:t>
      </w:r>
      <w:r w:rsidR="00567435">
        <w:rPr>
          <w:b/>
          <w:lang w:val="fr-FR"/>
        </w:rPr>
        <w:t>.</w:t>
      </w:r>
      <w:r w:rsidRPr="006538AB">
        <w:rPr>
          <w:b/>
          <w:lang w:val="fr-FR"/>
        </w:rPr>
        <w:t xml:space="preserve"> RÉSULTATS</w:t>
      </w:r>
    </w:p>
    <w:p w:rsidR="00567435" w:rsidRDefault="006938E7" w:rsidP="00066055">
      <w:pPr>
        <w:pStyle w:val="BodyText2"/>
        <w:rPr>
          <w:rStyle w:val="hps"/>
          <w:rFonts w:ascii="Times New Roman" w:hAnsi="Times New Roman" w:cs="Times New Roman"/>
          <w:sz w:val="24"/>
          <w:szCs w:val="24"/>
          <w:lang w:val="fr-FR"/>
        </w:rPr>
      </w:pPr>
      <w:r w:rsidRPr="006538AB">
        <w:rPr>
          <w:rStyle w:val="hps"/>
          <w:rFonts w:ascii="Times New Roman" w:hAnsi="Times New Roman" w:cs="Times New Roman"/>
          <w:sz w:val="24"/>
          <w:szCs w:val="24"/>
          <w:lang w:val="fr-FR"/>
        </w:rPr>
        <w:t>Les résultats les plus significati</w:t>
      </w:r>
      <w:r w:rsidR="00FB4B6C" w:rsidRPr="006538AB">
        <w:rPr>
          <w:rStyle w:val="hps"/>
          <w:rFonts w:ascii="Times New Roman" w:hAnsi="Times New Roman" w:cs="Times New Roman"/>
          <w:sz w:val="24"/>
          <w:szCs w:val="24"/>
          <w:lang w:val="fr-FR"/>
        </w:rPr>
        <w:t xml:space="preserve">fs </w:t>
      </w:r>
      <w:r w:rsidRPr="006538AB">
        <w:rPr>
          <w:rStyle w:val="hps"/>
          <w:rFonts w:ascii="Times New Roman" w:hAnsi="Times New Roman" w:cs="Times New Roman"/>
          <w:sz w:val="24"/>
          <w:szCs w:val="24"/>
          <w:lang w:val="fr-FR"/>
        </w:rPr>
        <w:t xml:space="preserve"> sont</w:t>
      </w:r>
      <w:r w:rsidR="00567435">
        <w:rPr>
          <w:rStyle w:val="hps"/>
          <w:rFonts w:ascii="Times New Roman" w:hAnsi="Times New Roman" w:cs="Times New Roman"/>
          <w:sz w:val="24"/>
          <w:szCs w:val="24"/>
          <w:lang w:val="fr-FR"/>
        </w:rPr>
        <w:t>:</w:t>
      </w:r>
    </w:p>
    <w:p w:rsidR="00D2347D" w:rsidRDefault="006938E7">
      <w:pPr>
        <w:pStyle w:val="BodyText2"/>
        <w:numPr>
          <w:ilvl w:val="0"/>
          <w:numId w:val="25"/>
        </w:numPr>
        <w:rPr>
          <w:rStyle w:val="hps"/>
          <w:rFonts w:ascii="Times New Roman" w:hAnsi="Times New Roman" w:cs="Times New Roman"/>
          <w:sz w:val="24"/>
          <w:szCs w:val="24"/>
          <w:lang w:val="fr-FR"/>
        </w:rPr>
      </w:pPr>
      <w:r w:rsidRPr="006538AB">
        <w:rPr>
          <w:rStyle w:val="hps"/>
          <w:rFonts w:ascii="Times New Roman" w:hAnsi="Times New Roman" w:cs="Times New Roman"/>
          <w:sz w:val="24"/>
          <w:szCs w:val="24"/>
          <w:lang w:val="fr-FR"/>
        </w:rPr>
        <w:t xml:space="preserve">l’élaboration et la mise </w:t>
      </w:r>
      <w:r w:rsidR="000B23DD" w:rsidRPr="006538AB">
        <w:rPr>
          <w:rFonts w:ascii="Times New Roman" w:hAnsi="Times New Roman" w:cs="Times New Roman"/>
          <w:sz w:val="24"/>
          <w:szCs w:val="24"/>
          <w:lang w:val="fr-FR"/>
        </w:rPr>
        <w:t>à</w:t>
      </w:r>
      <w:r w:rsidRPr="006538AB">
        <w:rPr>
          <w:rStyle w:val="hps"/>
          <w:rFonts w:ascii="Times New Roman" w:hAnsi="Times New Roman" w:cs="Times New Roman"/>
          <w:sz w:val="24"/>
          <w:szCs w:val="24"/>
          <w:lang w:val="fr-FR"/>
        </w:rPr>
        <w:t xml:space="preserve"> disposition des autorités locales</w:t>
      </w:r>
      <w:r w:rsidR="000B23DD" w:rsidRPr="006538AB">
        <w:rPr>
          <w:rStyle w:val="hps"/>
          <w:rFonts w:ascii="Times New Roman" w:hAnsi="Times New Roman" w:cs="Times New Roman"/>
          <w:sz w:val="24"/>
          <w:szCs w:val="24"/>
          <w:lang w:val="fr-FR"/>
        </w:rPr>
        <w:t xml:space="preserve"> et nationales </w:t>
      </w:r>
      <w:r w:rsidRPr="006538AB">
        <w:rPr>
          <w:rStyle w:val="hps"/>
          <w:rFonts w:ascii="Times New Roman" w:hAnsi="Times New Roman" w:cs="Times New Roman"/>
          <w:sz w:val="24"/>
          <w:szCs w:val="24"/>
          <w:lang w:val="fr-FR"/>
        </w:rPr>
        <w:t xml:space="preserve"> des outils pouvant leur permettre de bien </w:t>
      </w:r>
      <w:r w:rsidR="00567435">
        <w:rPr>
          <w:rStyle w:val="hps"/>
          <w:rFonts w:ascii="Times New Roman" w:hAnsi="Times New Roman" w:cs="Times New Roman"/>
          <w:sz w:val="24"/>
          <w:szCs w:val="24"/>
          <w:lang w:val="fr-FR"/>
        </w:rPr>
        <w:t xml:space="preserve">exécuter </w:t>
      </w:r>
      <w:r w:rsidRPr="006538AB">
        <w:rPr>
          <w:rStyle w:val="hps"/>
          <w:rFonts w:ascii="Times New Roman" w:hAnsi="Times New Roman" w:cs="Times New Roman"/>
          <w:sz w:val="24"/>
          <w:szCs w:val="24"/>
          <w:lang w:val="fr-FR"/>
        </w:rPr>
        <w:t xml:space="preserve">des programmes d’aménagement de territoire et de plan de </w:t>
      </w:r>
      <w:r w:rsidR="000B23DD" w:rsidRPr="006538AB">
        <w:rPr>
          <w:rStyle w:val="hps"/>
          <w:rFonts w:ascii="Times New Roman" w:hAnsi="Times New Roman" w:cs="Times New Roman"/>
          <w:sz w:val="24"/>
          <w:szCs w:val="24"/>
          <w:lang w:val="fr-FR"/>
        </w:rPr>
        <w:t>réponse</w:t>
      </w:r>
      <w:r w:rsidRPr="006538AB">
        <w:rPr>
          <w:rStyle w:val="hps"/>
          <w:rFonts w:ascii="Times New Roman" w:hAnsi="Times New Roman" w:cs="Times New Roman"/>
          <w:sz w:val="24"/>
          <w:szCs w:val="24"/>
          <w:lang w:val="fr-FR"/>
        </w:rPr>
        <w:t xml:space="preserve"> en cas de s</w:t>
      </w:r>
      <w:r w:rsidR="00567435">
        <w:rPr>
          <w:rStyle w:val="hps"/>
          <w:rFonts w:ascii="Times New Roman" w:hAnsi="Times New Roman" w:cs="Times New Roman"/>
          <w:sz w:val="24"/>
          <w:szCs w:val="24"/>
          <w:lang w:val="fr-FR"/>
        </w:rPr>
        <w:t>é</w:t>
      </w:r>
      <w:r w:rsidRPr="006538AB">
        <w:rPr>
          <w:rStyle w:val="hps"/>
          <w:rFonts w:ascii="Times New Roman" w:hAnsi="Times New Roman" w:cs="Times New Roman"/>
          <w:sz w:val="24"/>
          <w:szCs w:val="24"/>
          <w:lang w:val="fr-FR"/>
        </w:rPr>
        <w:t>isme</w:t>
      </w:r>
      <w:r w:rsidR="00567435">
        <w:rPr>
          <w:rStyle w:val="hps"/>
          <w:rFonts w:ascii="Times New Roman" w:hAnsi="Times New Roman" w:cs="Times New Roman"/>
          <w:sz w:val="24"/>
          <w:szCs w:val="24"/>
          <w:lang w:val="fr-FR"/>
        </w:rPr>
        <w:t>.</w:t>
      </w:r>
    </w:p>
    <w:p w:rsidR="00D2347D" w:rsidRDefault="00D53D4E">
      <w:pPr>
        <w:pStyle w:val="BodyText2"/>
        <w:numPr>
          <w:ilvl w:val="0"/>
          <w:numId w:val="25"/>
        </w:numPr>
        <w:rPr>
          <w:rStyle w:val="hps"/>
          <w:rFonts w:ascii="Times New Roman" w:hAnsi="Times New Roman" w:cs="Times New Roman"/>
          <w:sz w:val="24"/>
          <w:szCs w:val="24"/>
          <w:lang w:val="fr-FR"/>
        </w:rPr>
      </w:pPr>
      <w:r w:rsidRPr="00D53D4E">
        <w:rPr>
          <w:rStyle w:val="hps"/>
          <w:rFonts w:ascii="Times New Roman" w:hAnsi="Times New Roman" w:cs="Times New Roman"/>
          <w:sz w:val="24"/>
          <w:szCs w:val="24"/>
          <w:lang w:val="fr-FR"/>
        </w:rPr>
        <w:t>l</w:t>
      </w:r>
      <w:r w:rsidR="000B23DD" w:rsidRPr="00D53D4E">
        <w:rPr>
          <w:rStyle w:val="hps"/>
          <w:rFonts w:ascii="Times New Roman" w:hAnsi="Times New Roman" w:cs="Times New Roman"/>
          <w:sz w:val="24"/>
          <w:szCs w:val="24"/>
          <w:lang w:val="fr-FR"/>
        </w:rPr>
        <w:t>es cartographies de micro-zonage sismiques ainsi que  trois plans de contingence sismique sont livrés</w:t>
      </w:r>
      <w:r w:rsidR="00567435" w:rsidRPr="00D53D4E">
        <w:rPr>
          <w:rStyle w:val="hps"/>
          <w:rFonts w:ascii="Times New Roman" w:hAnsi="Times New Roman" w:cs="Times New Roman"/>
          <w:sz w:val="24"/>
          <w:szCs w:val="24"/>
          <w:lang w:val="fr-FR"/>
        </w:rPr>
        <w:t>.</w:t>
      </w:r>
      <w:r w:rsidR="00C12C2A">
        <w:rPr>
          <w:rStyle w:val="hps"/>
          <w:rFonts w:ascii="Times New Roman" w:hAnsi="Times New Roman" w:cs="Times New Roman"/>
          <w:sz w:val="24"/>
          <w:szCs w:val="24"/>
          <w:lang w:val="fr-FR"/>
        </w:rPr>
        <w:t xml:space="preserve"> </w:t>
      </w:r>
    </w:p>
    <w:p w:rsidR="00D2347D" w:rsidRDefault="00D53D4E">
      <w:pPr>
        <w:pStyle w:val="BodyText2"/>
        <w:numPr>
          <w:ilvl w:val="0"/>
          <w:numId w:val="25"/>
        </w:numPr>
        <w:rPr>
          <w:rStyle w:val="hps"/>
          <w:rFonts w:ascii="Times New Roman" w:hAnsi="Times New Roman" w:cs="Times New Roman"/>
          <w:sz w:val="24"/>
          <w:szCs w:val="24"/>
          <w:lang w:val="fr-FR"/>
        </w:rPr>
      </w:pPr>
      <w:r w:rsidRPr="00D53D4E">
        <w:rPr>
          <w:rStyle w:val="hps"/>
          <w:rFonts w:ascii="Times New Roman" w:hAnsi="Times New Roman" w:cs="Times New Roman"/>
          <w:sz w:val="24"/>
          <w:szCs w:val="24"/>
          <w:lang w:val="fr-FR"/>
        </w:rPr>
        <w:t>l</w:t>
      </w:r>
      <w:r w:rsidR="000B23DD" w:rsidRPr="00D53D4E">
        <w:rPr>
          <w:rStyle w:val="hps"/>
          <w:rFonts w:ascii="Times New Roman" w:hAnsi="Times New Roman" w:cs="Times New Roman"/>
          <w:sz w:val="24"/>
          <w:szCs w:val="24"/>
          <w:lang w:val="fr-FR"/>
        </w:rPr>
        <w:t xml:space="preserve">es données techniques contenues dans </w:t>
      </w:r>
      <w:r w:rsidR="00FB4B6C" w:rsidRPr="00D53D4E">
        <w:rPr>
          <w:rStyle w:val="hps"/>
          <w:rFonts w:ascii="Times New Roman" w:hAnsi="Times New Roman" w:cs="Times New Roman"/>
          <w:sz w:val="24"/>
          <w:szCs w:val="24"/>
          <w:lang w:val="fr-FR"/>
        </w:rPr>
        <w:t>le</w:t>
      </w:r>
      <w:r w:rsidR="000B23DD" w:rsidRPr="00D53D4E">
        <w:rPr>
          <w:rStyle w:val="hps"/>
          <w:rFonts w:ascii="Times New Roman" w:hAnsi="Times New Roman" w:cs="Times New Roman"/>
          <w:sz w:val="24"/>
          <w:szCs w:val="24"/>
          <w:lang w:val="fr-FR"/>
        </w:rPr>
        <w:t xml:space="preserve"> rapport technique sur l’évaluation  structurelle des bâtiments et infrastructures publiques </w:t>
      </w:r>
      <w:r>
        <w:rPr>
          <w:rStyle w:val="hps"/>
          <w:rFonts w:ascii="Times New Roman" w:hAnsi="Times New Roman" w:cs="Times New Roman"/>
          <w:sz w:val="24"/>
          <w:szCs w:val="24"/>
          <w:lang w:val="fr-FR"/>
        </w:rPr>
        <w:t>(</w:t>
      </w:r>
      <w:r w:rsidR="000B23DD" w:rsidRPr="00D53D4E">
        <w:rPr>
          <w:rStyle w:val="hps"/>
          <w:rFonts w:ascii="Times New Roman" w:hAnsi="Times New Roman" w:cs="Times New Roman"/>
          <w:sz w:val="24"/>
          <w:szCs w:val="24"/>
          <w:lang w:val="fr-FR"/>
        </w:rPr>
        <w:t xml:space="preserve">dont le </w:t>
      </w:r>
      <w:r w:rsidR="00FB4B6C" w:rsidRPr="00D53D4E">
        <w:rPr>
          <w:rStyle w:val="hps"/>
          <w:rFonts w:ascii="Times New Roman" w:hAnsi="Times New Roman" w:cs="Times New Roman"/>
          <w:sz w:val="24"/>
          <w:szCs w:val="24"/>
          <w:lang w:val="fr-FR"/>
        </w:rPr>
        <w:t>C</w:t>
      </w:r>
      <w:r w:rsidR="000B23DD" w:rsidRPr="00D53D4E">
        <w:rPr>
          <w:rStyle w:val="hps"/>
          <w:rFonts w:ascii="Times New Roman" w:hAnsi="Times New Roman" w:cs="Times New Roman"/>
          <w:sz w:val="24"/>
          <w:szCs w:val="24"/>
          <w:lang w:val="fr-FR"/>
        </w:rPr>
        <w:t xml:space="preserve">omplexe </w:t>
      </w:r>
      <w:r w:rsidR="00FB4B6C" w:rsidRPr="00D53D4E">
        <w:rPr>
          <w:rStyle w:val="hps"/>
          <w:rFonts w:ascii="Times New Roman" w:hAnsi="Times New Roman" w:cs="Times New Roman"/>
          <w:sz w:val="24"/>
          <w:szCs w:val="24"/>
          <w:lang w:val="fr-FR"/>
        </w:rPr>
        <w:t>A</w:t>
      </w:r>
      <w:r w:rsidR="000B23DD" w:rsidRPr="00D53D4E">
        <w:rPr>
          <w:rStyle w:val="hps"/>
          <w:rFonts w:ascii="Times New Roman" w:hAnsi="Times New Roman" w:cs="Times New Roman"/>
          <w:sz w:val="24"/>
          <w:szCs w:val="24"/>
          <w:lang w:val="fr-FR"/>
        </w:rPr>
        <w:t xml:space="preserve">dministratif du </w:t>
      </w:r>
      <w:r w:rsidR="00FB4B6C" w:rsidRPr="00D53D4E">
        <w:rPr>
          <w:rStyle w:val="hps"/>
          <w:rFonts w:ascii="Times New Roman" w:hAnsi="Times New Roman" w:cs="Times New Roman"/>
          <w:sz w:val="24"/>
          <w:szCs w:val="24"/>
          <w:lang w:val="fr-FR"/>
        </w:rPr>
        <w:t>C</w:t>
      </w:r>
      <w:r w:rsidR="000B23DD" w:rsidRPr="00D53D4E">
        <w:rPr>
          <w:rStyle w:val="hps"/>
          <w:rFonts w:ascii="Times New Roman" w:hAnsi="Times New Roman" w:cs="Times New Roman"/>
          <w:sz w:val="24"/>
          <w:szCs w:val="24"/>
          <w:lang w:val="fr-FR"/>
        </w:rPr>
        <w:t xml:space="preserve">ap </w:t>
      </w:r>
      <w:r w:rsidR="00FB4B6C" w:rsidRPr="00D53D4E">
        <w:rPr>
          <w:rStyle w:val="hps"/>
          <w:rFonts w:ascii="Times New Roman" w:hAnsi="Times New Roman" w:cs="Times New Roman"/>
          <w:sz w:val="24"/>
          <w:szCs w:val="24"/>
          <w:lang w:val="fr-FR"/>
        </w:rPr>
        <w:t>H</w:t>
      </w:r>
      <w:r w:rsidR="000B23DD" w:rsidRPr="00D53D4E">
        <w:rPr>
          <w:rStyle w:val="hps"/>
          <w:rFonts w:ascii="Times New Roman" w:hAnsi="Times New Roman" w:cs="Times New Roman"/>
          <w:sz w:val="24"/>
          <w:szCs w:val="24"/>
          <w:lang w:val="fr-FR"/>
        </w:rPr>
        <w:t>aïtien</w:t>
      </w:r>
      <w:r>
        <w:rPr>
          <w:rStyle w:val="hps"/>
          <w:rFonts w:ascii="Times New Roman" w:hAnsi="Times New Roman" w:cs="Times New Roman"/>
          <w:sz w:val="24"/>
          <w:szCs w:val="24"/>
          <w:lang w:val="fr-FR"/>
        </w:rPr>
        <w:t xml:space="preserve"> et</w:t>
      </w:r>
      <w:r w:rsidR="000B23DD" w:rsidRPr="00D53D4E">
        <w:rPr>
          <w:rStyle w:val="hps"/>
          <w:rFonts w:ascii="Times New Roman" w:hAnsi="Times New Roman" w:cs="Times New Roman"/>
          <w:sz w:val="24"/>
          <w:szCs w:val="24"/>
          <w:lang w:val="fr-FR"/>
        </w:rPr>
        <w:t xml:space="preserve"> l’</w:t>
      </w:r>
      <w:r w:rsidR="00FB4B6C" w:rsidRPr="00D53D4E">
        <w:rPr>
          <w:rStyle w:val="hps"/>
          <w:rFonts w:ascii="Times New Roman" w:hAnsi="Times New Roman" w:cs="Times New Roman"/>
          <w:sz w:val="24"/>
          <w:szCs w:val="24"/>
          <w:lang w:val="fr-FR"/>
        </w:rPr>
        <w:t>A</w:t>
      </w:r>
      <w:r w:rsidR="000B23DD" w:rsidRPr="00D53D4E">
        <w:rPr>
          <w:rStyle w:val="hps"/>
          <w:rFonts w:ascii="Times New Roman" w:hAnsi="Times New Roman" w:cs="Times New Roman"/>
          <w:sz w:val="24"/>
          <w:szCs w:val="24"/>
          <w:lang w:val="fr-FR"/>
        </w:rPr>
        <w:t xml:space="preserve">éroport du </w:t>
      </w:r>
      <w:r w:rsidR="00FB4B6C" w:rsidRPr="00D53D4E">
        <w:rPr>
          <w:rStyle w:val="hps"/>
          <w:rFonts w:ascii="Times New Roman" w:hAnsi="Times New Roman" w:cs="Times New Roman"/>
          <w:sz w:val="24"/>
          <w:szCs w:val="24"/>
          <w:lang w:val="fr-FR"/>
        </w:rPr>
        <w:t>C</w:t>
      </w:r>
      <w:r w:rsidR="000B23DD" w:rsidRPr="00D53D4E">
        <w:rPr>
          <w:rStyle w:val="hps"/>
          <w:rFonts w:ascii="Times New Roman" w:hAnsi="Times New Roman" w:cs="Times New Roman"/>
          <w:sz w:val="24"/>
          <w:szCs w:val="24"/>
          <w:lang w:val="fr-FR"/>
        </w:rPr>
        <w:t>ap</w:t>
      </w:r>
      <w:r>
        <w:rPr>
          <w:rStyle w:val="hps"/>
          <w:rFonts w:ascii="Times New Roman" w:hAnsi="Times New Roman" w:cs="Times New Roman"/>
          <w:sz w:val="24"/>
          <w:szCs w:val="24"/>
          <w:lang w:val="fr-FR"/>
        </w:rPr>
        <w:t>-</w:t>
      </w:r>
      <w:r w:rsidR="00FB4B6C" w:rsidRPr="00D53D4E">
        <w:rPr>
          <w:rStyle w:val="hps"/>
          <w:rFonts w:ascii="Times New Roman" w:hAnsi="Times New Roman" w:cs="Times New Roman"/>
          <w:sz w:val="24"/>
          <w:szCs w:val="24"/>
          <w:lang w:val="fr-FR"/>
        </w:rPr>
        <w:t>H</w:t>
      </w:r>
      <w:r w:rsidR="000B23DD" w:rsidRPr="00D53D4E">
        <w:rPr>
          <w:rStyle w:val="hps"/>
          <w:rFonts w:ascii="Times New Roman" w:hAnsi="Times New Roman" w:cs="Times New Roman"/>
          <w:sz w:val="24"/>
          <w:szCs w:val="24"/>
          <w:lang w:val="fr-FR"/>
        </w:rPr>
        <w:t>aïtien</w:t>
      </w:r>
      <w:r>
        <w:rPr>
          <w:rStyle w:val="hps"/>
          <w:rFonts w:ascii="Times New Roman" w:hAnsi="Times New Roman" w:cs="Times New Roman"/>
          <w:sz w:val="24"/>
          <w:szCs w:val="24"/>
          <w:lang w:val="fr-FR"/>
        </w:rPr>
        <w:t>)</w:t>
      </w:r>
      <w:r w:rsidR="000B23DD" w:rsidRPr="00D53D4E">
        <w:rPr>
          <w:rStyle w:val="hps"/>
          <w:rFonts w:ascii="Times New Roman" w:hAnsi="Times New Roman" w:cs="Times New Roman"/>
          <w:sz w:val="24"/>
          <w:szCs w:val="24"/>
          <w:lang w:val="fr-FR"/>
        </w:rPr>
        <w:t xml:space="preserve"> sont précieuses pour envisager</w:t>
      </w:r>
      <w:r w:rsidR="00B64438" w:rsidRPr="00D53D4E">
        <w:rPr>
          <w:rStyle w:val="hps"/>
          <w:rFonts w:ascii="Times New Roman" w:hAnsi="Times New Roman" w:cs="Times New Roman"/>
          <w:sz w:val="24"/>
          <w:szCs w:val="24"/>
          <w:lang w:val="fr-FR"/>
        </w:rPr>
        <w:t xml:space="preserve"> des programmes de renforcement</w:t>
      </w:r>
      <w:r w:rsidR="000B23DD" w:rsidRPr="00D53D4E">
        <w:rPr>
          <w:rStyle w:val="hps"/>
          <w:rFonts w:ascii="Times New Roman" w:hAnsi="Times New Roman" w:cs="Times New Roman"/>
          <w:sz w:val="24"/>
          <w:szCs w:val="24"/>
          <w:lang w:val="fr-FR"/>
        </w:rPr>
        <w:t>.</w:t>
      </w:r>
    </w:p>
    <w:p w:rsidR="00FB4B6C" w:rsidRPr="006538AB" w:rsidRDefault="00FB4B6C" w:rsidP="00066055">
      <w:pPr>
        <w:pStyle w:val="BodyText2"/>
        <w:rPr>
          <w:rStyle w:val="hps"/>
          <w:rFonts w:ascii="Times New Roman" w:hAnsi="Times New Roman" w:cs="Times New Roman"/>
          <w:sz w:val="24"/>
          <w:szCs w:val="24"/>
          <w:lang w:val="fr-FR"/>
        </w:rPr>
      </w:pPr>
    </w:p>
    <w:p w:rsidR="00066055" w:rsidRPr="006538AB" w:rsidRDefault="00066055" w:rsidP="00066055">
      <w:pPr>
        <w:pStyle w:val="BodyText2"/>
        <w:numPr>
          <w:ilvl w:val="0"/>
          <w:numId w:val="21"/>
        </w:numPr>
        <w:rPr>
          <w:rStyle w:val="hps"/>
          <w:rFonts w:ascii="Times New Roman" w:hAnsi="Times New Roman" w:cs="Times New Roman"/>
          <w:b/>
          <w:sz w:val="24"/>
          <w:szCs w:val="24"/>
          <w:lang w:val="fr-FR"/>
        </w:rPr>
      </w:pPr>
      <w:r w:rsidRPr="006538AB">
        <w:rPr>
          <w:rStyle w:val="hps"/>
          <w:rFonts w:ascii="Times New Roman" w:hAnsi="Times New Roman" w:cs="Times New Roman"/>
          <w:b/>
          <w:sz w:val="24"/>
          <w:szCs w:val="24"/>
          <w:lang w:val="fr-FR"/>
        </w:rPr>
        <w:t>Rapport descriptif</w:t>
      </w:r>
    </w:p>
    <w:p w:rsidR="00066055" w:rsidRPr="006538AB" w:rsidRDefault="00066055" w:rsidP="00066055">
      <w:pPr>
        <w:pStyle w:val="BodyText2"/>
        <w:ind w:left="1080"/>
        <w:rPr>
          <w:rStyle w:val="hps"/>
          <w:rFonts w:ascii="Times New Roman" w:hAnsi="Times New Roman" w:cs="Times New Roman"/>
          <w:sz w:val="24"/>
          <w:szCs w:val="24"/>
          <w:lang w:val="fr-FR"/>
        </w:rPr>
      </w:pPr>
    </w:p>
    <w:p w:rsidR="00066055" w:rsidRPr="006538AB" w:rsidRDefault="00066055" w:rsidP="00066055">
      <w:pPr>
        <w:pStyle w:val="BodyText2"/>
        <w:rPr>
          <w:rStyle w:val="hps"/>
          <w:rFonts w:ascii="Times New Roman" w:hAnsi="Times New Roman" w:cs="Times New Roman"/>
          <w:b/>
          <w:sz w:val="24"/>
          <w:szCs w:val="24"/>
          <w:lang w:val="fr-FR"/>
        </w:rPr>
      </w:pPr>
      <w:r w:rsidRPr="006538AB">
        <w:rPr>
          <w:rStyle w:val="hps"/>
          <w:rFonts w:ascii="Times New Roman" w:hAnsi="Times New Roman" w:cs="Times New Roman"/>
          <w:b/>
          <w:sz w:val="24"/>
          <w:szCs w:val="24"/>
          <w:lang w:val="fr-FR"/>
        </w:rPr>
        <w:t>Sur la période considérée, les résultats suivan</w:t>
      </w:r>
      <w:r w:rsidR="00E629AA" w:rsidRPr="006538AB">
        <w:rPr>
          <w:rStyle w:val="hps"/>
          <w:rFonts w:ascii="Times New Roman" w:hAnsi="Times New Roman" w:cs="Times New Roman"/>
          <w:b/>
          <w:sz w:val="24"/>
          <w:szCs w:val="24"/>
          <w:lang w:val="fr-FR"/>
        </w:rPr>
        <w:t>ts ont été atteints:</w:t>
      </w:r>
      <w:r w:rsidR="00D53D4E">
        <w:rPr>
          <w:rStyle w:val="hps"/>
          <w:rFonts w:ascii="Times New Roman" w:hAnsi="Times New Roman" w:cs="Times New Roman"/>
          <w:b/>
          <w:sz w:val="24"/>
          <w:szCs w:val="24"/>
          <w:lang w:val="fr-FR"/>
        </w:rPr>
        <w:t xml:space="preserve"> </w:t>
      </w:r>
      <w:r w:rsidR="00E629AA" w:rsidRPr="006538AB">
        <w:rPr>
          <w:rStyle w:val="hps"/>
          <w:rFonts w:ascii="Times New Roman" w:hAnsi="Times New Roman" w:cs="Times New Roman"/>
          <w:b/>
          <w:sz w:val="24"/>
          <w:szCs w:val="24"/>
          <w:lang w:val="fr-FR"/>
        </w:rPr>
        <w:t>(Janvier-31</w:t>
      </w:r>
      <w:r w:rsidRPr="006538AB">
        <w:rPr>
          <w:rStyle w:val="hps"/>
          <w:rFonts w:ascii="Times New Roman" w:hAnsi="Times New Roman" w:cs="Times New Roman"/>
          <w:b/>
          <w:sz w:val="24"/>
          <w:szCs w:val="24"/>
          <w:lang w:val="fr-FR"/>
        </w:rPr>
        <w:t xml:space="preserve"> </w:t>
      </w:r>
      <w:r w:rsidR="000B23DD" w:rsidRPr="006538AB">
        <w:rPr>
          <w:rStyle w:val="hps"/>
          <w:rFonts w:ascii="Times New Roman" w:hAnsi="Times New Roman" w:cs="Times New Roman"/>
          <w:b/>
          <w:sz w:val="24"/>
          <w:szCs w:val="24"/>
          <w:lang w:val="fr-FR"/>
        </w:rPr>
        <w:t xml:space="preserve"> Décembre </w:t>
      </w:r>
      <w:r w:rsidRPr="006538AB">
        <w:rPr>
          <w:rStyle w:val="hps"/>
          <w:rFonts w:ascii="Times New Roman" w:hAnsi="Times New Roman" w:cs="Times New Roman"/>
          <w:b/>
          <w:sz w:val="24"/>
          <w:szCs w:val="24"/>
          <w:lang w:val="fr-FR"/>
        </w:rPr>
        <w:t>2014)</w:t>
      </w:r>
    </w:p>
    <w:p w:rsidR="00066055" w:rsidRPr="006538AB" w:rsidRDefault="00066055" w:rsidP="000B23DD">
      <w:pPr>
        <w:jc w:val="both"/>
        <w:rPr>
          <w:lang w:val="fr-FR"/>
        </w:rPr>
      </w:pPr>
    </w:p>
    <w:p w:rsidR="00D2347D" w:rsidRDefault="007B4162">
      <w:pPr>
        <w:numPr>
          <w:ilvl w:val="0"/>
          <w:numId w:val="20"/>
        </w:numPr>
        <w:jc w:val="both"/>
        <w:rPr>
          <w:rStyle w:val="hps"/>
          <w:rFonts w:ascii="Arial" w:hAnsi="Arial" w:cs="Arial"/>
          <w:sz w:val="20"/>
          <w:szCs w:val="20"/>
          <w:lang w:val="fr-FR"/>
        </w:rPr>
      </w:pPr>
      <w:r w:rsidRPr="006538AB">
        <w:rPr>
          <w:rFonts w:eastAsia="Calibri"/>
          <w:lang w:val="fr-FR"/>
        </w:rPr>
        <w:t xml:space="preserve">Documents </w:t>
      </w:r>
      <w:r w:rsidR="00D53D4E">
        <w:rPr>
          <w:rFonts w:eastAsia="Calibri"/>
          <w:lang w:val="fr-FR"/>
        </w:rPr>
        <w:t>f</w:t>
      </w:r>
      <w:r w:rsidRPr="006538AB">
        <w:rPr>
          <w:rFonts w:eastAsia="Calibri"/>
          <w:lang w:val="fr-FR"/>
        </w:rPr>
        <w:t>inaux</w:t>
      </w:r>
      <w:r w:rsidR="00066055" w:rsidRPr="006538AB">
        <w:rPr>
          <w:rFonts w:eastAsia="Calibri"/>
          <w:lang w:val="fr-FR"/>
        </w:rPr>
        <w:t xml:space="preserve"> de </w:t>
      </w:r>
      <w:r w:rsidR="00D53D4E">
        <w:rPr>
          <w:rFonts w:eastAsia="Calibri"/>
          <w:lang w:val="fr-FR"/>
        </w:rPr>
        <w:t>m</w:t>
      </w:r>
      <w:r w:rsidR="00066055" w:rsidRPr="006538AB">
        <w:rPr>
          <w:rFonts w:eastAsia="Calibri"/>
          <w:lang w:val="fr-FR"/>
        </w:rPr>
        <w:t>icro-zonage</w:t>
      </w:r>
      <w:r w:rsidRPr="006538AB">
        <w:rPr>
          <w:rFonts w:eastAsia="Calibri"/>
          <w:lang w:val="fr-FR"/>
        </w:rPr>
        <w:t xml:space="preserve"> sismique pour </w:t>
      </w:r>
      <w:r w:rsidR="00D53D4E">
        <w:rPr>
          <w:rFonts w:eastAsia="Calibri"/>
          <w:lang w:val="fr-FR"/>
        </w:rPr>
        <w:t>les</w:t>
      </w:r>
      <w:r w:rsidRPr="006538AB">
        <w:rPr>
          <w:rFonts w:eastAsia="Calibri"/>
          <w:lang w:val="fr-FR"/>
        </w:rPr>
        <w:t xml:space="preserve"> ville</w:t>
      </w:r>
      <w:r w:rsidR="00D53D4E">
        <w:rPr>
          <w:rFonts w:eastAsia="Calibri"/>
          <w:lang w:val="fr-FR"/>
        </w:rPr>
        <w:t>s</w:t>
      </w:r>
      <w:r w:rsidRPr="006538AB">
        <w:rPr>
          <w:rFonts w:eastAsia="Calibri"/>
          <w:lang w:val="fr-FR"/>
        </w:rPr>
        <w:t xml:space="preserve"> du Cap</w:t>
      </w:r>
      <w:r w:rsidR="00D53D4E">
        <w:rPr>
          <w:rFonts w:eastAsia="Calibri"/>
          <w:lang w:val="fr-FR"/>
        </w:rPr>
        <w:t>-</w:t>
      </w:r>
      <w:r w:rsidR="00B64438" w:rsidRPr="006538AB">
        <w:rPr>
          <w:rFonts w:eastAsia="Calibri"/>
          <w:lang w:val="fr-FR"/>
        </w:rPr>
        <w:t>Haïtien</w:t>
      </w:r>
      <w:r w:rsidR="00D53D4E">
        <w:rPr>
          <w:rFonts w:eastAsia="Calibri"/>
          <w:lang w:val="fr-FR"/>
        </w:rPr>
        <w:t>,</w:t>
      </w:r>
      <w:r w:rsidR="00B64438" w:rsidRPr="006538AB">
        <w:rPr>
          <w:rFonts w:eastAsia="Calibri"/>
          <w:lang w:val="fr-FR"/>
        </w:rPr>
        <w:t xml:space="preserve"> </w:t>
      </w:r>
      <w:r w:rsidR="00D53D4E">
        <w:rPr>
          <w:rFonts w:eastAsia="Calibri"/>
          <w:lang w:val="fr-FR"/>
        </w:rPr>
        <w:t xml:space="preserve">de </w:t>
      </w:r>
      <w:r w:rsidR="00B64438" w:rsidRPr="006538AB">
        <w:rPr>
          <w:rFonts w:eastAsia="Calibri"/>
          <w:lang w:val="fr-FR"/>
        </w:rPr>
        <w:t>Fort</w:t>
      </w:r>
      <w:r w:rsidRPr="006538AB">
        <w:rPr>
          <w:rFonts w:eastAsia="Calibri"/>
          <w:lang w:val="fr-FR"/>
        </w:rPr>
        <w:t xml:space="preserve"> Liberté et </w:t>
      </w:r>
      <w:r w:rsidR="00D53D4E">
        <w:rPr>
          <w:rFonts w:eastAsia="Calibri"/>
          <w:lang w:val="fr-FR"/>
        </w:rPr>
        <w:t xml:space="preserve">de </w:t>
      </w:r>
      <w:r w:rsidRPr="006538AB">
        <w:rPr>
          <w:rFonts w:eastAsia="Calibri"/>
          <w:lang w:val="fr-FR"/>
        </w:rPr>
        <w:t>Ouanaminthe</w:t>
      </w:r>
      <w:r w:rsidR="00D53D4E">
        <w:rPr>
          <w:rFonts w:eastAsia="Calibri"/>
          <w:lang w:val="fr-FR"/>
        </w:rPr>
        <w:t>,</w:t>
      </w:r>
      <w:r w:rsidRPr="006538AB">
        <w:rPr>
          <w:rFonts w:eastAsia="Calibri"/>
          <w:lang w:val="fr-FR"/>
        </w:rPr>
        <w:t xml:space="preserve"> ainsi que les cartographies sismiques</w:t>
      </w:r>
      <w:r w:rsidR="00D53D4E">
        <w:rPr>
          <w:rFonts w:eastAsia="Calibri"/>
          <w:lang w:val="fr-FR"/>
        </w:rPr>
        <w:t>,</w:t>
      </w:r>
      <w:r w:rsidRPr="006538AB">
        <w:rPr>
          <w:rFonts w:eastAsia="Calibri"/>
          <w:lang w:val="fr-FR"/>
        </w:rPr>
        <w:t xml:space="preserve"> ont été livré</w:t>
      </w:r>
      <w:r w:rsidR="00FB4B6C" w:rsidRPr="006538AB">
        <w:rPr>
          <w:rFonts w:eastAsia="Calibri"/>
          <w:lang w:val="fr-FR"/>
        </w:rPr>
        <w:t>e</w:t>
      </w:r>
      <w:r w:rsidRPr="006538AB">
        <w:rPr>
          <w:rFonts w:eastAsia="Calibri"/>
          <w:lang w:val="fr-FR"/>
        </w:rPr>
        <w:t>s aux autorités</w:t>
      </w:r>
      <w:r w:rsidR="00C660CF" w:rsidRPr="006538AB">
        <w:rPr>
          <w:rFonts w:eastAsia="Calibri"/>
          <w:lang w:val="fr-FR"/>
        </w:rPr>
        <w:t>.</w:t>
      </w:r>
      <w:r w:rsidR="00D53D4E">
        <w:rPr>
          <w:rFonts w:eastAsia="Calibri"/>
          <w:lang w:val="fr-FR"/>
        </w:rPr>
        <w:t xml:space="preserve"> </w:t>
      </w:r>
      <w:r w:rsidR="00C660CF" w:rsidRPr="006538AB">
        <w:rPr>
          <w:rFonts w:eastAsia="Calibri"/>
          <w:lang w:val="fr-FR"/>
        </w:rPr>
        <w:t xml:space="preserve">Des zones </w:t>
      </w:r>
      <w:r w:rsidR="00C660CF" w:rsidRPr="006538AB">
        <w:rPr>
          <w:lang w:val="fr-FR"/>
        </w:rPr>
        <w:t xml:space="preserve">à risques en cas de tremblement de terre ont été </w:t>
      </w:r>
      <w:r w:rsidR="00735442" w:rsidRPr="006538AB">
        <w:rPr>
          <w:lang w:val="fr-FR"/>
        </w:rPr>
        <w:t>répertoriées</w:t>
      </w:r>
      <w:r w:rsidR="00C660CF" w:rsidRPr="006538AB">
        <w:rPr>
          <w:lang w:val="fr-FR"/>
        </w:rPr>
        <w:t xml:space="preserve"> sur des cartes  </w:t>
      </w:r>
      <w:r w:rsidR="00735442" w:rsidRPr="006538AB">
        <w:rPr>
          <w:lang w:val="fr-FR"/>
        </w:rPr>
        <w:t>plus détaillées. Ces informations utiles vont être utilisées dans les programmes d’aménagement d</w:t>
      </w:r>
      <w:r w:rsidR="00FB4B6C" w:rsidRPr="006538AB">
        <w:rPr>
          <w:lang w:val="fr-FR"/>
        </w:rPr>
        <w:t xml:space="preserve">u </w:t>
      </w:r>
      <w:r w:rsidR="00735442" w:rsidRPr="006538AB">
        <w:rPr>
          <w:lang w:val="fr-FR"/>
        </w:rPr>
        <w:t xml:space="preserve"> territoire. </w:t>
      </w:r>
    </w:p>
    <w:p w:rsidR="00066055" w:rsidRPr="006538AB" w:rsidRDefault="00066055" w:rsidP="00066055">
      <w:pPr>
        <w:numPr>
          <w:ilvl w:val="0"/>
          <w:numId w:val="20"/>
        </w:numPr>
        <w:jc w:val="both"/>
        <w:rPr>
          <w:rStyle w:val="hps"/>
          <w:lang w:val="fr-FR"/>
        </w:rPr>
      </w:pPr>
      <w:r w:rsidRPr="006538AB">
        <w:rPr>
          <w:rStyle w:val="hps"/>
          <w:lang w:val="fr-FR"/>
        </w:rPr>
        <w:t xml:space="preserve"> </w:t>
      </w:r>
      <w:r w:rsidR="00C76468" w:rsidRPr="006538AB">
        <w:rPr>
          <w:rStyle w:val="hps"/>
          <w:lang w:val="fr-FR"/>
        </w:rPr>
        <w:t>Pour la première</w:t>
      </w:r>
      <w:r w:rsidR="00C660CF" w:rsidRPr="006538AB">
        <w:rPr>
          <w:rStyle w:val="hps"/>
          <w:lang w:val="fr-FR"/>
        </w:rPr>
        <w:t xml:space="preserve"> fois, </w:t>
      </w:r>
      <w:r w:rsidR="00C76468" w:rsidRPr="006538AB">
        <w:rPr>
          <w:rStyle w:val="hps"/>
          <w:lang w:val="fr-FR"/>
        </w:rPr>
        <w:t xml:space="preserve">les trois départements du Grand Nord sont dotés de leurs plans de contingences sismiques qui vont leur permettre de pouvoir répondre et d’organiser le secours  aux premières heures en cas de séisme.  </w:t>
      </w:r>
    </w:p>
    <w:p w:rsidR="00066055" w:rsidRPr="006538AB" w:rsidRDefault="007C2678" w:rsidP="00066055">
      <w:pPr>
        <w:numPr>
          <w:ilvl w:val="0"/>
          <w:numId w:val="20"/>
        </w:numPr>
        <w:jc w:val="both"/>
        <w:rPr>
          <w:rStyle w:val="hps"/>
          <w:lang w:val="fr-FR"/>
        </w:rPr>
      </w:pPr>
      <w:r w:rsidRPr="006538AB">
        <w:rPr>
          <w:rStyle w:val="hps"/>
          <w:lang w:val="fr-FR"/>
        </w:rPr>
        <w:t xml:space="preserve">Les </w:t>
      </w:r>
      <w:r w:rsidR="00C660CF" w:rsidRPr="006538AB">
        <w:rPr>
          <w:rStyle w:val="hps"/>
          <w:lang w:val="fr-FR"/>
        </w:rPr>
        <w:t>autorités</w:t>
      </w:r>
      <w:r w:rsidRPr="006538AB">
        <w:rPr>
          <w:rStyle w:val="hps"/>
          <w:lang w:val="fr-FR"/>
        </w:rPr>
        <w:t xml:space="preserve"> locales et le grand public sont imbus sur les risques sismiques et la cha</w:t>
      </w:r>
      <w:r w:rsidR="00D53D4E">
        <w:rPr>
          <w:rStyle w:val="hps"/>
          <w:lang w:val="fr-FR"/>
        </w:rPr>
        <w:t>î</w:t>
      </w:r>
      <w:r w:rsidRPr="006538AB">
        <w:rPr>
          <w:rStyle w:val="hps"/>
          <w:lang w:val="fr-FR"/>
        </w:rPr>
        <w:t xml:space="preserve">ne de commandement en cas de réponse </w:t>
      </w:r>
      <w:r w:rsidR="00D53D4E">
        <w:rPr>
          <w:rStyle w:val="hps"/>
          <w:lang w:val="fr-FR"/>
        </w:rPr>
        <w:t>à</w:t>
      </w:r>
      <w:r w:rsidR="00D53D4E" w:rsidRPr="006538AB">
        <w:rPr>
          <w:rStyle w:val="hps"/>
          <w:lang w:val="fr-FR"/>
        </w:rPr>
        <w:t xml:space="preserve"> </w:t>
      </w:r>
      <w:r w:rsidR="00D53D4E">
        <w:rPr>
          <w:rStyle w:val="hps"/>
          <w:lang w:val="fr-FR"/>
        </w:rPr>
        <w:t xml:space="preserve">un </w:t>
      </w:r>
      <w:r w:rsidRPr="006538AB">
        <w:rPr>
          <w:rStyle w:val="hps"/>
          <w:lang w:val="fr-FR"/>
        </w:rPr>
        <w:t>séisme majeur</w:t>
      </w:r>
      <w:r w:rsidR="00C660CF" w:rsidRPr="006538AB">
        <w:rPr>
          <w:rStyle w:val="hps"/>
          <w:lang w:val="fr-FR"/>
        </w:rPr>
        <w:t xml:space="preserve">(Plans de contingence sismiques). </w:t>
      </w:r>
    </w:p>
    <w:p w:rsidR="00C660CF" w:rsidRPr="006538AB" w:rsidRDefault="00C660CF" w:rsidP="00066055">
      <w:pPr>
        <w:numPr>
          <w:ilvl w:val="0"/>
          <w:numId w:val="20"/>
        </w:numPr>
        <w:jc w:val="both"/>
        <w:rPr>
          <w:lang w:val="fr-FR"/>
        </w:rPr>
      </w:pPr>
      <w:r w:rsidRPr="006538AB">
        <w:rPr>
          <w:rStyle w:val="hps"/>
          <w:lang w:val="fr-FR"/>
        </w:rPr>
        <w:t xml:space="preserve">Les maires des communes </w:t>
      </w:r>
      <w:r w:rsidRPr="006538AB">
        <w:rPr>
          <w:lang w:val="fr-FR"/>
        </w:rPr>
        <w:t xml:space="preserve">à risque ainsi que les communautés sont conscients des risques que pourraient engendrer un séisme grâce aux programmes élargis et diversifiés de formation et d’information. </w:t>
      </w:r>
      <w:r w:rsidR="00735442" w:rsidRPr="006538AB">
        <w:rPr>
          <w:lang w:val="fr-FR"/>
        </w:rPr>
        <w:t xml:space="preserve"> Les 25 </w:t>
      </w:r>
      <w:r w:rsidR="00573B11" w:rsidRPr="006538AB">
        <w:rPr>
          <w:lang w:val="fr-FR"/>
        </w:rPr>
        <w:t xml:space="preserve"> contrema</w:t>
      </w:r>
      <w:r w:rsidR="00D53D4E">
        <w:rPr>
          <w:lang w:val="fr-FR"/>
        </w:rPr>
        <w:t>î</w:t>
      </w:r>
      <w:r w:rsidR="00573B11" w:rsidRPr="006538AB">
        <w:rPr>
          <w:lang w:val="fr-FR"/>
        </w:rPr>
        <w:t xml:space="preserve">tres </w:t>
      </w:r>
      <w:r w:rsidR="00735442" w:rsidRPr="006538AB">
        <w:rPr>
          <w:lang w:val="fr-FR"/>
        </w:rPr>
        <w:t xml:space="preserve"> qui ont été formés en construction parasismique vont pouvoir aider les autorités à respecter les normes de construction parasismique.</w:t>
      </w:r>
    </w:p>
    <w:p w:rsidR="00D2347D" w:rsidRDefault="007C2678">
      <w:pPr>
        <w:numPr>
          <w:ilvl w:val="0"/>
          <w:numId w:val="20"/>
        </w:numPr>
        <w:jc w:val="both"/>
        <w:rPr>
          <w:rFonts w:eastAsia="Calibri"/>
          <w:lang w:val="fr-FR"/>
        </w:rPr>
      </w:pPr>
      <w:r w:rsidRPr="006538AB">
        <w:rPr>
          <w:lang w:val="fr-FR"/>
        </w:rPr>
        <w:t xml:space="preserve">Les résultats de l’inventaire des bâtiments </w:t>
      </w:r>
      <w:r w:rsidR="00B64438" w:rsidRPr="006538AB">
        <w:rPr>
          <w:lang w:val="fr-FR"/>
        </w:rPr>
        <w:t>publics</w:t>
      </w:r>
      <w:r w:rsidRPr="006538AB">
        <w:rPr>
          <w:lang w:val="fr-FR"/>
        </w:rPr>
        <w:t xml:space="preserve"> et </w:t>
      </w:r>
      <w:r w:rsidR="00D53D4E">
        <w:rPr>
          <w:lang w:val="fr-FR"/>
        </w:rPr>
        <w:t xml:space="preserve">des </w:t>
      </w:r>
      <w:r w:rsidRPr="006538AB">
        <w:rPr>
          <w:lang w:val="fr-FR"/>
        </w:rPr>
        <w:t xml:space="preserve">infrastructures dans les </w:t>
      </w:r>
      <w:r w:rsidR="00B64438" w:rsidRPr="006538AB">
        <w:rPr>
          <w:lang w:val="fr-FR"/>
        </w:rPr>
        <w:t>grandes</w:t>
      </w:r>
      <w:r w:rsidRPr="006538AB">
        <w:rPr>
          <w:lang w:val="fr-FR"/>
        </w:rPr>
        <w:t xml:space="preserve"> villes du </w:t>
      </w:r>
      <w:r w:rsidR="00D53D4E">
        <w:rPr>
          <w:lang w:val="fr-FR"/>
        </w:rPr>
        <w:t xml:space="preserve">Grand </w:t>
      </w:r>
      <w:r w:rsidRPr="006538AB">
        <w:rPr>
          <w:lang w:val="fr-FR"/>
        </w:rPr>
        <w:t xml:space="preserve">Nord  </w:t>
      </w:r>
      <w:r w:rsidRPr="00D53D4E">
        <w:rPr>
          <w:rFonts w:eastAsia="Calibri"/>
          <w:lang w:val="fr-FR"/>
        </w:rPr>
        <w:t xml:space="preserve">ont permis aux autorités locales de choisir les bâtiments prioritaires </w:t>
      </w:r>
      <w:r w:rsidR="00B64438" w:rsidRPr="00D53D4E">
        <w:rPr>
          <w:rFonts w:eastAsia="Calibri"/>
          <w:lang w:val="fr-FR"/>
        </w:rPr>
        <w:t>(hôpitaux</w:t>
      </w:r>
      <w:r w:rsidRPr="00D53D4E">
        <w:rPr>
          <w:rFonts w:eastAsia="Calibri"/>
          <w:lang w:val="fr-FR"/>
        </w:rPr>
        <w:t>;</w:t>
      </w:r>
      <w:r w:rsidR="00C660CF" w:rsidRPr="00D53D4E">
        <w:rPr>
          <w:rFonts w:eastAsia="Calibri"/>
          <w:lang w:val="fr-FR"/>
        </w:rPr>
        <w:t xml:space="preserve"> écoles) qui ont</w:t>
      </w:r>
      <w:r w:rsidRPr="00D53D4E">
        <w:rPr>
          <w:rFonts w:eastAsia="Calibri"/>
          <w:lang w:val="fr-FR"/>
        </w:rPr>
        <w:t xml:space="preserve"> été évalués. P</w:t>
      </w:r>
      <w:r w:rsidR="00C12C2A">
        <w:rPr>
          <w:rFonts w:eastAsia="Calibri"/>
          <w:lang w:val="fr-FR"/>
        </w:rPr>
        <w:t>ar exemple, les rapports d’évaluation de l’Hôpital Justinien et le Complexe Administratif au Cap</w:t>
      </w:r>
      <w:r w:rsidR="00D53D4E">
        <w:rPr>
          <w:rFonts w:eastAsia="Calibri"/>
          <w:lang w:val="fr-FR"/>
        </w:rPr>
        <w:t>-</w:t>
      </w:r>
      <w:r w:rsidR="00573B11" w:rsidRPr="00D53D4E">
        <w:rPr>
          <w:rFonts w:eastAsia="Calibri"/>
          <w:lang w:val="fr-FR"/>
        </w:rPr>
        <w:t>H</w:t>
      </w:r>
      <w:r w:rsidR="00C660CF" w:rsidRPr="00D53D4E">
        <w:rPr>
          <w:rFonts w:eastAsia="Calibri"/>
          <w:lang w:val="fr-FR"/>
        </w:rPr>
        <w:t>aïtien</w:t>
      </w:r>
      <w:r w:rsidRPr="00D53D4E">
        <w:rPr>
          <w:rFonts w:eastAsia="Calibri"/>
          <w:lang w:val="fr-FR"/>
        </w:rPr>
        <w:t xml:space="preserve"> </w:t>
      </w:r>
      <w:r w:rsidR="00C660CF" w:rsidRPr="00D53D4E">
        <w:rPr>
          <w:rFonts w:eastAsia="Calibri"/>
          <w:lang w:val="fr-FR"/>
        </w:rPr>
        <w:t>préconisent</w:t>
      </w:r>
      <w:r w:rsidRPr="00D53D4E">
        <w:rPr>
          <w:rFonts w:eastAsia="Calibri"/>
          <w:lang w:val="fr-FR"/>
        </w:rPr>
        <w:t xml:space="preserve"> que ces grands édifices publiques puissent être renforcés pour pouvoir résister </w:t>
      </w:r>
      <w:r w:rsidR="00D53D4E">
        <w:rPr>
          <w:rFonts w:eastAsia="Calibri"/>
          <w:lang w:val="fr-FR"/>
        </w:rPr>
        <w:t xml:space="preserve">à un </w:t>
      </w:r>
      <w:r w:rsidRPr="00D53D4E">
        <w:rPr>
          <w:rFonts w:eastAsia="Calibri"/>
          <w:lang w:val="fr-FR"/>
        </w:rPr>
        <w:t>séisme majeur.</w:t>
      </w:r>
    </w:p>
    <w:p w:rsidR="00C660CF" w:rsidRPr="006538AB" w:rsidRDefault="00C660CF" w:rsidP="007C2678">
      <w:pPr>
        <w:pStyle w:val="ListParagraph"/>
        <w:tabs>
          <w:tab w:val="left" w:pos="426"/>
        </w:tabs>
        <w:jc w:val="both"/>
        <w:rPr>
          <w:rFonts w:eastAsia="Calibri"/>
          <w:lang w:val="fr-FR"/>
        </w:rPr>
      </w:pPr>
    </w:p>
    <w:p w:rsidR="00C660CF" w:rsidRPr="006538AB" w:rsidRDefault="00C660CF" w:rsidP="007C2678">
      <w:pPr>
        <w:pStyle w:val="ListParagraph"/>
        <w:tabs>
          <w:tab w:val="left" w:pos="426"/>
        </w:tabs>
        <w:jc w:val="both"/>
        <w:rPr>
          <w:rFonts w:eastAsia="Calibri"/>
          <w:i/>
          <w:lang w:val="fr-FR"/>
        </w:rPr>
      </w:pPr>
    </w:p>
    <w:p w:rsidR="00066055" w:rsidRPr="006538AB" w:rsidRDefault="00D53D4E" w:rsidP="00066055">
      <w:pPr>
        <w:jc w:val="both"/>
        <w:rPr>
          <w:rStyle w:val="hps"/>
          <w:b/>
          <w:lang w:val="fr-FR"/>
        </w:rPr>
      </w:pPr>
      <w:r>
        <w:rPr>
          <w:rStyle w:val="hps"/>
          <w:b/>
          <w:lang w:val="fr-FR"/>
        </w:rPr>
        <w:t>R</w:t>
      </w:r>
      <w:r w:rsidR="00066055" w:rsidRPr="006538AB">
        <w:rPr>
          <w:rStyle w:val="hps"/>
          <w:b/>
          <w:lang w:val="fr-FR"/>
        </w:rPr>
        <w:t>ésultats obtenus par produit :</w:t>
      </w:r>
    </w:p>
    <w:p w:rsidR="00066055" w:rsidRPr="006538AB" w:rsidRDefault="00066055" w:rsidP="00066055">
      <w:pPr>
        <w:jc w:val="both"/>
        <w:rPr>
          <w:b/>
          <w:color w:val="000000"/>
          <w:lang w:val="fr-FR"/>
        </w:rPr>
      </w:pPr>
    </w:p>
    <w:p w:rsidR="00066055" w:rsidRPr="00D53D4E" w:rsidRDefault="00066055" w:rsidP="00066055">
      <w:pPr>
        <w:jc w:val="both"/>
        <w:rPr>
          <w:i/>
          <w:color w:val="000000"/>
          <w:lang w:val="fr-FR"/>
        </w:rPr>
      </w:pPr>
      <w:r w:rsidRPr="006538AB">
        <w:rPr>
          <w:b/>
          <w:color w:val="000000"/>
          <w:lang w:val="fr-FR"/>
        </w:rPr>
        <w:t xml:space="preserve">Produit 1 : </w:t>
      </w:r>
      <w:r w:rsidR="00C12C2A" w:rsidRPr="00C12C2A">
        <w:rPr>
          <w:i/>
          <w:color w:val="000000"/>
          <w:lang w:val="fr-FR"/>
        </w:rPr>
        <w:t>Une concertation et un diagnostic sont engagés avec l’ensemble des acteurs locaux.</w:t>
      </w:r>
    </w:p>
    <w:p w:rsidR="00066055" w:rsidRPr="006538AB"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Un diagnostic de la compréhension de la menace sismique dans les communautés locales est réalisé</w:t>
      </w:r>
    </w:p>
    <w:p w:rsidR="00066055" w:rsidRPr="006538AB"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Un diagnostic des pratiques de construction en cours, des matériaux utilisés et des règlements appliqués</w:t>
      </w:r>
      <w:r w:rsidR="00607205">
        <w:rPr>
          <w:color w:val="000000"/>
          <w:lang w:val="fr-FR"/>
        </w:rPr>
        <w:t>,</w:t>
      </w:r>
      <w:r w:rsidRPr="006538AB">
        <w:rPr>
          <w:color w:val="000000"/>
          <w:lang w:val="fr-FR"/>
        </w:rPr>
        <w:t xml:space="preserve"> est réalisé ;</w:t>
      </w:r>
    </w:p>
    <w:p w:rsidR="00066055" w:rsidRPr="002E2767" w:rsidRDefault="00066055" w:rsidP="00066055">
      <w:pPr>
        <w:pStyle w:val="ListParagraph"/>
        <w:numPr>
          <w:ilvl w:val="1"/>
          <w:numId w:val="19"/>
        </w:numPr>
        <w:spacing w:after="200" w:line="276" w:lineRule="auto"/>
        <w:ind w:left="360"/>
        <w:jc w:val="both"/>
        <w:rPr>
          <w:lang w:val="fr-FR"/>
        </w:rPr>
      </w:pPr>
      <w:r w:rsidRPr="006538AB">
        <w:rPr>
          <w:color w:val="000000"/>
          <w:lang w:val="fr-FR"/>
        </w:rPr>
        <w:t>Un diagnostic de la possession du bâti est réalisé et les mécanismes de financement de l'accès au logement sont identifiés.</w:t>
      </w:r>
    </w:p>
    <w:p w:rsidR="002E2767" w:rsidRPr="006538AB" w:rsidRDefault="002E2767" w:rsidP="002E2767">
      <w:pPr>
        <w:pStyle w:val="ListParagraph"/>
        <w:spacing w:after="200" w:line="276" w:lineRule="auto"/>
        <w:ind w:left="360"/>
        <w:jc w:val="both"/>
        <w:rPr>
          <w:lang w:val="fr-FR"/>
        </w:rPr>
      </w:pPr>
    </w:p>
    <w:p w:rsidR="00D2347D" w:rsidRDefault="00D2347D">
      <w:pPr>
        <w:pStyle w:val="ListParagraph"/>
        <w:spacing w:after="200" w:line="276" w:lineRule="auto"/>
        <w:ind w:left="360"/>
        <w:jc w:val="both"/>
        <w:rPr>
          <w:lang w:val="fr-FR"/>
        </w:rPr>
      </w:pPr>
    </w:p>
    <w:p w:rsidR="00066055" w:rsidRPr="006538AB" w:rsidRDefault="00066055" w:rsidP="00066055">
      <w:pPr>
        <w:pStyle w:val="ListParagraph"/>
        <w:spacing w:before="240" w:after="120"/>
        <w:ind w:left="360" w:firstLine="360"/>
        <w:contextualSpacing w:val="0"/>
        <w:jc w:val="both"/>
        <w:rPr>
          <w:b/>
          <w:i/>
          <w:u w:val="single"/>
          <w:lang w:val="fr-FR"/>
        </w:rPr>
      </w:pPr>
      <w:r w:rsidRPr="006538AB">
        <w:rPr>
          <w:b/>
          <w:i/>
          <w:u w:val="single"/>
          <w:lang w:val="fr-FR"/>
        </w:rPr>
        <w:t>Résultats obtenus  par rapport au produit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6210"/>
        <w:gridCol w:w="1530"/>
      </w:tblGrid>
      <w:tr w:rsidR="00066055" w:rsidRPr="006538AB" w:rsidTr="00984F8E">
        <w:tc>
          <w:tcPr>
            <w:tcW w:w="2808" w:type="dxa"/>
          </w:tcPr>
          <w:p w:rsidR="00066055" w:rsidRPr="006538AB" w:rsidRDefault="00066055" w:rsidP="00984F8E">
            <w:pPr>
              <w:pStyle w:val="ListParagraph"/>
              <w:ind w:left="360"/>
              <w:jc w:val="center"/>
              <w:rPr>
                <w:b/>
                <w:i/>
                <w:lang w:val="fr-FR"/>
              </w:rPr>
            </w:pPr>
            <w:r w:rsidRPr="006538AB">
              <w:rPr>
                <w:b/>
                <w:i/>
                <w:lang w:val="fr-FR"/>
              </w:rPr>
              <w:t>Items</w:t>
            </w:r>
          </w:p>
        </w:tc>
        <w:tc>
          <w:tcPr>
            <w:tcW w:w="6210" w:type="dxa"/>
          </w:tcPr>
          <w:p w:rsidR="00066055" w:rsidRPr="006538AB" w:rsidRDefault="00066055" w:rsidP="00984F8E">
            <w:pPr>
              <w:pStyle w:val="ListParagraph"/>
              <w:ind w:left="360"/>
              <w:jc w:val="center"/>
              <w:rPr>
                <w:b/>
                <w:i/>
                <w:lang w:val="fr-FR"/>
              </w:rPr>
            </w:pPr>
            <w:r w:rsidRPr="006538AB">
              <w:rPr>
                <w:b/>
                <w:i/>
                <w:lang w:val="fr-FR"/>
              </w:rPr>
              <w:t>Etat d’avancement</w:t>
            </w:r>
          </w:p>
        </w:tc>
        <w:tc>
          <w:tcPr>
            <w:tcW w:w="1530" w:type="dxa"/>
          </w:tcPr>
          <w:p w:rsidR="00066055" w:rsidRPr="006538AB" w:rsidRDefault="00066055" w:rsidP="00984F8E">
            <w:pPr>
              <w:rPr>
                <w:b/>
                <w:i/>
                <w:lang w:val="fr-FR"/>
              </w:rPr>
            </w:pPr>
            <w:r w:rsidRPr="006538AB">
              <w:rPr>
                <w:b/>
                <w:i/>
                <w:lang w:val="fr-FR"/>
              </w:rPr>
              <w:t>Pourcentage</w:t>
            </w:r>
          </w:p>
        </w:tc>
      </w:tr>
      <w:tr w:rsidR="00066055" w:rsidRPr="006538AB" w:rsidTr="00984F8E">
        <w:tc>
          <w:tcPr>
            <w:tcW w:w="2808" w:type="dxa"/>
          </w:tcPr>
          <w:p w:rsidR="00066055" w:rsidRPr="006538AB" w:rsidRDefault="00066055" w:rsidP="00984F8E">
            <w:pPr>
              <w:jc w:val="both"/>
              <w:rPr>
                <w:lang w:val="fr-FR"/>
              </w:rPr>
            </w:pPr>
            <w:r w:rsidRPr="006538AB">
              <w:rPr>
                <w:lang w:val="fr-FR"/>
              </w:rPr>
              <w:t>Un diagnostic de la compréhension de la menace sismique dans les communautés locales est réalisé</w:t>
            </w:r>
          </w:p>
        </w:tc>
        <w:tc>
          <w:tcPr>
            <w:tcW w:w="6210" w:type="dxa"/>
          </w:tcPr>
          <w:p w:rsidR="00066055" w:rsidRPr="006538AB" w:rsidRDefault="00066055" w:rsidP="00984F8E">
            <w:pPr>
              <w:jc w:val="both"/>
              <w:rPr>
                <w:lang w:val="fr-FR"/>
              </w:rPr>
            </w:pPr>
          </w:p>
          <w:p w:rsidR="00066055" w:rsidRPr="006538AB" w:rsidRDefault="00066055" w:rsidP="00984F8E">
            <w:pPr>
              <w:jc w:val="both"/>
              <w:rPr>
                <w:lang w:val="fr-FR"/>
              </w:rPr>
            </w:pPr>
            <w:r w:rsidRPr="006538AB">
              <w:rPr>
                <w:lang w:val="fr-FR"/>
              </w:rPr>
              <w:t xml:space="preserve">Plus </w:t>
            </w:r>
            <w:r w:rsidR="00D53D4E">
              <w:rPr>
                <w:lang w:val="fr-FR"/>
              </w:rPr>
              <w:t xml:space="preserve">de </w:t>
            </w:r>
            <w:r w:rsidRPr="006538AB">
              <w:rPr>
                <w:lang w:val="fr-FR"/>
              </w:rPr>
              <w:t>12</w:t>
            </w:r>
            <w:r w:rsidR="00D53D4E">
              <w:rPr>
                <w:lang w:val="fr-FR"/>
              </w:rPr>
              <w:t>.</w:t>
            </w:r>
            <w:r w:rsidRPr="006538AB">
              <w:rPr>
                <w:lang w:val="fr-FR"/>
              </w:rPr>
              <w:t>000 élèves ont été sensibilisés et 600 professeurs formés dans les différentes écoles de</w:t>
            </w:r>
            <w:r w:rsidR="00D53D4E">
              <w:rPr>
                <w:lang w:val="fr-FR"/>
              </w:rPr>
              <w:t>s</w:t>
            </w:r>
            <w:r w:rsidRPr="006538AB">
              <w:rPr>
                <w:lang w:val="fr-FR"/>
              </w:rPr>
              <w:t xml:space="preserve">  quatre villes ciblées.</w:t>
            </w:r>
          </w:p>
          <w:p w:rsidR="00066055" w:rsidRPr="006538AB" w:rsidRDefault="00066055" w:rsidP="00984F8E">
            <w:pPr>
              <w:jc w:val="both"/>
              <w:rPr>
                <w:lang w:val="fr-FR"/>
              </w:rPr>
            </w:pPr>
            <w:r w:rsidRPr="006538AB">
              <w:rPr>
                <w:lang w:val="fr-FR"/>
              </w:rPr>
              <w:t>Des activités de protection civile ont été réalisées en vue de permettre aux élèves de non seulement comprendre le phénomène de tremblement de terre</w:t>
            </w:r>
            <w:r w:rsidR="00A57532" w:rsidRPr="006538AB">
              <w:rPr>
                <w:lang w:val="fr-FR"/>
              </w:rPr>
              <w:t xml:space="preserve"> et de tsunami</w:t>
            </w:r>
            <w:r w:rsidRPr="006538AB">
              <w:rPr>
                <w:lang w:val="fr-FR"/>
              </w:rPr>
              <w:t xml:space="preserve"> mais </w:t>
            </w:r>
            <w:r w:rsidR="00A57532" w:rsidRPr="006538AB">
              <w:rPr>
                <w:lang w:val="fr-FR"/>
              </w:rPr>
              <w:t xml:space="preserve">aussi </w:t>
            </w:r>
            <w:r w:rsidRPr="006538AB">
              <w:rPr>
                <w:lang w:val="fr-FR"/>
              </w:rPr>
              <w:t xml:space="preserve">de pouvoir voler au secours des riverains </w:t>
            </w:r>
            <w:r w:rsidR="00A57532" w:rsidRPr="006538AB">
              <w:rPr>
                <w:lang w:val="fr-FR"/>
              </w:rPr>
              <w:t>dans ces situations</w:t>
            </w:r>
            <w:r w:rsidRPr="006538AB">
              <w:rPr>
                <w:lang w:val="fr-FR"/>
              </w:rPr>
              <w:t>.</w:t>
            </w:r>
          </w:p>
          <w:p w:rsidR="00735442" w:rsidRPr="006538AB" w:rsidRDefault="00735442" w:rsidP="00984F8E">
            <w:pPr>
              <w:jc w:val="both"/>
              <w:rPr>
                <w:lang w:val="fr-FR"/>
              </w:rPr>
            </w:pPr>
            <w:r w:rsidRPr="006538AB">
              <w:rPr>
                <w:lang w:val="fr-FR"/>
              </w:rPr>
              <w:t xml:space="preserve">60 maires de communes du </w:t>
            </w:r>
            <w:r w:rsidR="00607205">
              <w:rPr>
                <w:lang w:val="fr-FR"/>
              </w:rPr>
              <w:t xml:space="preserve">Grand </w:t>
            </w:r>
            <w:r w:rsidRPr="006538AB">
              <w:rPr>
                <w:lang w:val="fr-FR"/>
              </w:rPr>
              <w:t xml:space="preserve">Nord ont été formés en gestion de risques sismiques. </w:t>
            </w:r>
          </w:p>
          <w:p w:rsidR="00A57532" w:rsidRPr="006538AB" w:rsidRDefault="00A57532" w:rsidP="00A57532">
            <w:pPr>
              <w:jc w:val="both"/>
              <w:rPr>
                <w:lang w:val="fr-FR"/>
              </w:rPr>
            </w:pPr>
            <w:r w:rsidRPr="006538AB">
              <w:rPr>
                <w:lang w:val="fr-FR"/>
              </w:rPr>
              <w:t xml:space="preserve"> </w:t>
            </w:r>
          </w:p>
        </w:tc>
        <w:tc>
          <w:tcPr>
            <w:tcW w:w="1530" w:type="dxa"/>
          </w:tcPr>
          <w:p w:rsidR="00066055" w:rsidRPr="006538AB" w:rsidRDefault="00735442" w:rsidP="00984F8E">
            <w:pPr>
              <w:jc w:val="center"/>
              <w:rPr>
                <w:lang w:val="fr-FR"/>
              </w:rPr>
            </w:pPr>
            <w:r w:rsidRPr="006538AB">
              <w:rPr>
                <w:lang w:val="fr-FR"/>
              </w:rPr>
              <w:t>7</w:t>
            </w:r>
            <w:r w:rsidR="00066055" w:rsidRPr="006538AB">
              <w:rPr>
                <w:lang w:val="fr-FR"/>
              </w:rPr>
              <w:t>0%</w:t>
            </w:r>
          </w:p>
        </w:tc>
      </w:tr>
      <w:tr w:rsidR="00066055" w:rsidRPr="006538AB" w:rsidTr="00984F8E">
        <w:tc>
          <w:tcPr>
            <w:tcW w:w="2808" w:type="dxa"/>
          </w:tcPr>
          <w:p w:rsidR="00066055" w:rsidRPr="006538AB" w:rsidRDefault="00066055" w:rsidP="00984F8E">
            <w:pPr>
              <w:jc w:val="both"/>
              <w:rPr>
                <w:lang w:val="fr-FR"/>
              </w:rPr>
            </w:pPr>
            <w:r w:rsidRPr="006538AB">
              <w:rPr>
                <w:lang w:val="fr-FR"/>
              </w:rPr>
              <w:t>Un diagnostic des pratiques de construction en cours, des matériaux utilisés et des règlements appliqués</w:t>
            </w:r>
            <w:r w:rsidR="00607205">
              <w:rPr>
                <w:lang w:val="fr-FR"/>
              </w:rPr>
              <w:t>,</w:t>
            </w:r>
            <w:r w:rsidRPr="006538AB">
              <w:rPr>
                <w:lang w:val="fr-FR"/>
              </w:rPr>
              <w:t xml:space="preserve"> est réalisé</w:t>
            </w:r>
          </w:p>
        </w:tc>
        <w:tc>
          <w:tcPr>
            <w:tcW w:w="6210" w:type="dxa"/>
          </w:tcPr>
          <w:p w:rsidR="00066055" w:rsidRPr="006538AB" w:rsidRDefault="00066055" w:rsidP="00607205">
            <w:pPr>
              <w:jc w:val="both"/>
              <w:rPr>
                <w:lang w:val="fr-FR"/>
              </w:rPr>
            </w:pPr>
            <w:r w:rsidRPr="006538AB">
              <w:rPr>
                <w:lang w:val="fr-FR"/>
              </w:rPr>
              <w:t>L</w:t>
            </w:r>
            <w:r w:rsidR="00735442" w:rsidRPr="006538AB">
              <w:rPr>
                <w:lang w:val="fr-FR"/>
              </w:rPr>
              <w:t>es modules de formation  de formateurs ont abord</w:t>
            </w:r>
            <w:r w:rsidR="00A57532" w:rsidRPr="006538AB">
              <w:rPr>
                <w:lang w:val="fr-FR"/>
              </w:rPr>
              <w:t>é</w:t>
            </w:r>
            <w:r w:rsidR="00735442" w:rsidRPr="006538AB">
              <w:rPr>
                <w:lang w:val="fr-FR"/>
              </w:rPr>
              <w:t xml:space="preserve"> ce sujet et 25 </w:t>
            </w:r>
            <w:r w:rsidR="00607205" w:rsidRPr="006538AB">
              <w:rPr>
                <w:lang w:val="fr-FR"/>
              </w:rPr>
              <w:t>contrema</w:t>
            </w:r>
            <w:r w:rsidR="00607205">
              <w:rPr>
                <w:lang w:val="fr-FR"/>
              </w:rPr>
              <w:t>î</w:t>
            </w:r>
            <w:r w:rsidR="00607205" w:rsidRPr="006538AB">
              <w:rPr>
                <w:lang w:val="fr-FR"/>
              </w:rPr>
              <w:t xml:space="preserve">tres </w:t>
            </w:r>
            <w:r w:rsidR="00735442" w:rsidRPr="006538AB">
              <w:rPr>
                <w:lang w:val="fr-FR"/>
              </w:rPr>
              <w:t>sont formés pour faire ce diagnostic.</w:t>
            </w:r>
          </w:p>
        </w:tc>
        <w:tc>
          <w:tcPr>
            <w:tcW w:w="1530" w:type="dxa"/>
          </w:tcPr>
          <w:p w:rsidR="00066055" w:rsidRPr="006538AB" w:rsidRDefault="00735442" w:rsidP="00984F8E">
            <w:pPr>
              <w:jc w:val="center"/>
              <w:rPr>
                <w:lang w:val="fr-FR"/>
              </w:rPr>
            </w:pPr>
            <w:r w:rsidRPr="006538AB">
              <w:rPr>
                <w:lang w:val="fr-FR"/>
              </w:rPr>
              <w:t>4</w:t>
            </w:r>
            <w:r w:rsidR="00066055" w:rsidRPr="006538AB">
              <w:rPr>
                <w:lang w:val="fr-FR"/>
              </w:rPr>
              <w:t>0%</w:t>
            </w:r>
          </w:p>
        </w:tc>
      </w:tr>
      <w:tr w:rsidR="00066055" w:rsidRPr="006538AB" w:rsidTr="00984F8E">
        <w:tc>
          <w:tcPr>
            <w:tcW w:w="2808" w:type="dxa"/>
          </w:tcPr>
          <w:p w:rsidR="00066055" w:rsidRPr="006538AB" w:rsidRDefault="00066055" w:rsidP="00984F8E">
            <w:pPr>
              <w:jc w:val="both"/>
              <w:rPr>
                <w:lang w:val="fr-FR"/>
              </w:rPr>
            </w:pPr>
            <w:r w:rsidRPr="006538AB">
              <w:rPr>
                <w:lang w:val="fr-FR"/>
              </w:rPr>
              <w:t>Un diagnostic de la possession du bâti est réalisé et les mécanismes de financement de l'accès au logement sont identifiés</w:t>
            </w:r>
          </w:p>
        </w:tc>
        <w:tc>
          <w:tcPr>
            <w:tcW w:w="6210" w:type="dxa"/>
          </w:tcPr>
          <w:p w:rsidR="00066055" w:rsidRPr="006538AB" w:rsidRDefault="00735442" w:rsidP="00984F8E">
            <w:pPr>
              <w:jc w:val="both"/>
              <w:rPr>
                <w:lang w:val="fr-FR"/>
              </w:rPr>
            </w:pPr>
            <w:r w:rsidRPr="006538AB">
              <w:rPr>
                <w:lang w:val="fr-FR"/>
              </w:rPr>
              <w:t xml:space="preserve">Le rapport sur l’inventaire de 37 </w:t>
            </w:r>
            <w:r w:rsidR="00D47DF4" w:rsidRPr="006538AB">
              <w:rPr>
                <w:lang w:val="fr-FR"/>
              </w:rPr>
              <w:t>bâtiments</w:t>
            </w:r>
            <w:r w:rsidRPr="006538AB">
              <w:rPr>
                <w:lang w:val="fr-FR"/>
              </w:rPr>
              <w:t xml:space="preserve"> publiques  et l’</w:t>
            </w:r>
            <w:r w:rsidR="00D47DF4" w:rsidRPr="006538AB">
              <w:rPr>
                <w:lang w:val="fr-FR"/>
              </w:rPr>
              <w:t>évaluation</w:t>
            </w:r>
            <w:r w:rsidRPr="006538AB">
              <w:rPr>
                <w:lang w:val="fr-FR"/>
              </w:rPr>
              <w:t xml:space="preserve"> </w:t>
            </w:r>
            <w:r w:rsidR="00D47DF4" w:rsidRPr="006538AB">
              <w:rPr>
                <w:lang w:val="fr-FR"/>
              </w:rPr>
              <w:t>des bâtiments prioritaires ont permis de faire les cartographies géo-référenciées  des bâtiments publiques.</w:t>
            </w:r>
          </w:p>
          <w:p w:rsidR="00D47DF4" w:rsidRPr="006538AB" w:rsidRDefault="00D47DF4" w:rsidP="00984F8E">
            <w:pPr>
              <w:jc w:val="both"/>
              <w:rPr>
                <w:bCs/>
                <w:lang w:val="fr-FR"/>
              </w:rPr>
            </w:pPr>
            <w:r w:rsidRPr="006538AB">
              <w:rPr>
                <w:lang w:val="fr-FR"/>
              </w:rPr>
              <w:t>La partie liée au</w:t>
            </w:r>
            <w:r w:rsidR="00A57532" w:rsidRPr="006538AB">
              <w:rPr>
                <w:lang w:val="fr-FR"/>
              </w:rPr>
              <w:t>x</w:t>
            </w:r>
            <w:r w:rsidRPr="006538AB">
              <w:rPr>
                <w:lang w:val="fr-FR"/>
              </w:rPr>
              <w:t xml:space="preserve"> mécanismes de financement ne sera pas abordée.  </w:t>
            </w:r>
          </w:p>
        </w:tc>
        <w:tc>
          <w:tcPr>
            <w:tcW w:w="1530" w:type="dxa"/>
          </w:tcPr>
          <w:p w:rsidR="00066055" w:rsidRPr="006538AB" w:rsidRDefault="00D47DF4" w:rsidP="002E2767">
            <w:pPr>
              <w:jc w:val="center"/>
              <w:rPr>
                <w:lang w:val="fr-FR"/>
              </w:rPr>
            </w:pPr>
            <w:r w:rsidRPr="006538AB">
              <w:rPr>
                <w:lang w:val="fr-FR"/>
              </w:rPr>
              <w:t>5</w:t>
            </w:r>
            <w:r w:rsidR="00066055" w:rsidRPr="006538AB">
              <w:rPr>
                <w:lang w:val="fr-FR"/>
              </w:rPr>
              <w:t>0%</w:t>
            </w:r>
          </w:p>
        </w:tc>
      </w:tr>
    </w:tbl>
    <w:p w:rsidR="00066055" w:rsidRPr="006538AB" w:rsidRDefault="00066055" w:rsidP="00066055">
      <w:pPr>
        <w:pStyle w:val="ListParagraph"/>
        <w:ind w:left="360"/>
        <w:jc w:val="both"/>
        <w:rPr>
          <w:color w:val="000000"/>
          <w:lang w:val="fr-FR"/>
        </w:rPr>
      </w:pPr>
    </w:p>
    <w:p w:rsidR="00066055" w:rsidRPr="006538AB" w:rsidRDefault="00066055" w:rsidP="00066055">
      <w:pPr>
        <w:jc w:val="both"/>
        <w:rPr>
          <w:b/>
          <w:bCs/>
          <w:lang w:val="fr-FR"/>
        </w:rPr>
      </w:pPr>
      <w:r w:rsidRPr="006538AB">
        <w:rPr>
          <w:b/>
          <w:bCs/>
          <w:lang w:val="fr-FR"/>
        </w:rPr>
        <w:t xml:space="preserve">Produit 2 : </w:t>
      </w:r>
      <w:r w:rsidRPr="006538AB">
        <w:rPr>
          <w:i/>
          <w:color w:val="000000"/>
          <w:lang w:val="fr-FR"/>
        </w:rPr>
        <w:t>Le risque sismique est quantifié par l'évaluation et la classification du bâti et des infrastructures</w:t>
      </w:r>
    </w:p>
    <w:p w:rsidR="00066055" w:rsidRPr="006538AB"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Une méthodologie pour l'évaluation du bâti est développée ;</w:t>
      </w:r>
    </w:p>
    <w:p w:rsidR="00066055" w:rsidRPr="006538AB"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 xml:space="preserve">50% au moins du bâti des 4 grandes villes du </w:t>
      </w:r>
      <w:r w:rsidR="00607205">
        <w:rPr>
          <w:color w:val="000000"/>
          <w:lang w:val="fr-FR"/>
        </w:rPr>
        <w:t>G</w:t>
      </w:r>
      <w:r w:rsidRPr="006538AB">
        <w:rPr>
          <w:color w:val="000000"/>
          <w:lang w:val="fr-FR"/>
        </w:rPr>
        <w:t xml:space="preserve">rand </w:t>
      </w:r>
      <w:r w:rsidR="00607205">
        <w:rPr>
          <w:color w:val="000000"/>
          <w:lang w:val="fr-FR"/>
        </w:rPr>
        <w:t>N</w:t>
      </w:r>
      <w:r w:rsidRPr="006538AB">
        <w:rPr>
          <w:color w:val="000000"/>
          <w:lang w:val="fr-FR"/>
        </w:rPr>
        <w:t>ord est évalué selon cette méthodologie ;</w:t>
      </w:r>
    </w:p>
    <w:p w:rsidR="00066055"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L’ensemble du bâti évalué est classifié selon son niveau d’importance et d’enjeu.</w:t>
      </w:r>
    </w:p>
    <w:p w:rsidR="002E2767" w:rsidRPr="006538AB" w:rsidRDefault="002E2767" w:rsidP="002E2767">
      <w:pPr>
        <w:pStyle w:val="ListParagraph"/>
        <w:spacing w:after="200" w:line="276" w:lineRule="auto"/>
        <w:ind w:left="360"/>
        <w:jc w:val="both"/>
        <w:rPr>
          <w:color w:val="000000"/>
          <w:lang w:val="fr-FR"/>
        </w:rPr>
      </w:pPr>
    </w:p>
    <w:p w:rsidR="00066055" w:rsidRPr="006538AB" w:rsidRDefault="00066055" w:rsidP="00066055">
      <w:pPr>
        <w:pStyle w:val="ListParagraph"/>
        <w:spacing w:before="240" w:after="120"/>
        <w:ind w:left="360" w:firstLine="360"/>
        <w:contextualSpacing w:val="0"/>
        <w:jc w:val="both"/>
        <w:rPr>
          <w:b/>
          <w:i/>
          <w:u w:val="single"/>
          <w:lang w:val="fr-FR"/>
        </w:rPr>
      </w:pPr>
      <w:r w:rsidRPr="006538AB">
        <w:rPr>
          <w:b/>
          <w:i/>
          <w:u w:val="single"/>
          <w:lang w:val="fr-FR"/>
        </w:rPr>
        <w:t>Résultats obtenus par rapport au produit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6210"/>
        <w:gridCol w:w="1530"/>
      </w:tblGrid>
      <w:tr w:rsidR="00066055" w:rsidRPr="006538AB" w:rsidTr="00984F8E">
        <w:tc>
          <w:tcPr>
            <w:tcW w:w="2808" w:type="dxa"/>
          </w:tcPr>
          <w:p w:rsidR="00066055" w:rsidRPr="006538AB" w:rsidRDefault="00066055" w:rsidP="00984F8E">
            <w:pPr>
              <w:pStyle w:val="ListParagraph"/>
              <w:ind w:left="360"/>
              <w:jc w:val="center"/>
              <w:rPr>
                <w:b/>
                <w:i/>
                <w:lang w:val="fr-FR"/>
              </w:rPr>
            </w:pPr>
            <w:r w:rsidRPr="006538AB">
              <w:rPr>
                <w:b/>
                <w:i/>
                <w:lang w:val="fr-FR"/>
              </w:rPr>
              <w:t>Items</w:t>
            </w:r>
          </w:p>
        </w:tc>
        <w:tc>
          <w:tcPr>
            <w:tcW w:w="6210" w:type="dxa"/>
          </w:tcPr>
          <w:p w:rsidR="00066055" w:rsidRPr="006538AB" w:rsidRDefault="00066055" w:rsidP="00984F8E">
            <w:pPr>
              <w:pStyle w:val="ListParagraph"/>
              <w:ind w:left="360"/>
              <w:jc w:val="center"/>
              <w:rPr>
                <w:b/>
                <w:i/>
                <w:lang w:val="fr-FR"/>
              </w:rPr>
            </w:pPr>
            <w:r w:rsidRPr="006538AB">
              <w:rPr>
                <w:b/>
                <w:i/>
                <w:lang w:val="fr-FR"/>
              </w:rPr>
              <w:t>Etat d’avancement</w:t>
            </w:r>
          </w:p>
        </w:tc>
        <w:tc>
          <w:tcPr>
            <w:tcW w:w="1530" w:type="dxa"/>
          </w:tcPr>
          <w:p w:rsidR="00066055" w:rsidRPr="006538AB" w:rsidRDefault="00066055" w:rsidP="00984F8E">
            <w:pPr>
              <w:rPr>
                <w:b/>
                <w:i/>
                <w:lang w:val="fr-FR"/>
              </w:rPr>
            </w:pPr>
            <w:r w:rsidRPr="006538AB">
              <w:rPr>
                <w:b/>
                <w:i/>
                <w:lang w:val="fr-FR"/>
              </w:rPr>
              <w:t>Pourcentage</w:t>
            </w:r>
          </w:p>
        </w:tc>
      </w:tr>
      <w:tr w:rsidR="00066055" w:rsidRPr="006538AB" w:rsidTr="00984F8E">
        <w:tc>
          <w:tcPr>
            <w:tcW w:w="2808" w:type="dxa"/>
          </w:tcPr>
          <w:p w:rsidR="00066055" w:rsidRPr="006538AB" w:rsidRDefault="00066055" w:rsidP="00984F8E">
            <w:pPr>
              <w:jc w:val="both"/>
              <w:rPr>
                <w:lang w:val="fr-FR"/>
              </w:rPr>
            </w:pPr>
            <w:r w:rsidRPr="006538AB">
              <w:rPr>
                <w:lang w:val="fr-FR"/>
              </w:rPr>
              <w:t>Une méthodologie (Micro</w:t>
            </w:r>
            <w:r w:rsidR="00607205">
              <w:rPr>
                <w:lang w:val="fr-FR"/>
              </w:rPr>
              <w:t>-</w:t>
            </w:r>
            <w:r w:rsidRPr="006538AB">
              <w:rPr>
                <w:lang w:val="fr-FR"/>
              </w:rPr>
              <w:t>zonage) pour l'évaluation du risque séismique est développée et implantée dans les quatre grandes villes</w:t>
            </w:r>
            <w:r w:rsidR="00607205">
              <w:rPr>
                <w:lang w:val="fr-FR"/>
              </w:rPr>
              <w:t>.</w:t>
            </w:r>
          </w:p>
          <w:p w:rsidR="00066055" w:rsidRPr="006538AB" w:rsidRDefault="00066055" w:rsidP="00984F8E">
            <w:pPr>
              <w:jc w:val="both"/>
              <w:rPr>
                <w:lang w:val="fr-FR"/>
              </w:rPr>
            </w:pPr>
            <w:r w:rsidRPr="006538AB">
              <w:rPr>
                <w:lang w:val="fr-FR"/>
              </w:rPr>
              <w:t>Une cartographie des risques est développée et diffusée.</w:t>
            </w:r>
          </w:p>
        </w:tc>
        <w:tc>
          <w:tcPr>
            <w:tcW w:w="6210" w:type="dxa"/>
          </w:tcPr>
          <w:p w:rsidR="00066055" w:rsidRPr="006538AB" w:rsidRDefault="00066055" w:rsidP="00984F8E">
            <w:pPr>
              <w:jc w:val="both"/>
              <w:rPr>
                <w:lang w:val="fr-FR"/>
              </w:rPr>
            </w:pPr>
          </w:p>
          <w:p w:rsidR="00066055" w:rsidRPr="006538AB" w:rsidRDefault="00066055" w:rsidP="00984F8E">
            <w:pPr>
              <w:spacing w:after="120"/>
              <w:ind w:right="115"/>
              <w:jc w:val="both"/>
              <w:rPr>
                <w:lang w:val="fr-FR"/>
              </w:rPr>
            </w:pPr>
            <w:r w:rsidRPr="006538AB">
              <w:rPr>
                <w:lang w:val="fr-FR"/>
              </w:rPr>
              <w:t xml:space="preserve">a) Mise à disposition des résultats  qui vont servir dans les programmes d’amélioration du territoire aux autorités </w:t>
            </w:r>
            <w:r w:rsidR="00A57532" w:rsidRPr="006538AB">
              <w:rPr>
                <w:lang w:val="fr-FR"/>
              </w:rPr>
              <w:t>n</w:t>
            </w:r>
            <w:r w:rsidRPr="006538AB">
              <w:rPr>
                <w:lang w:val="fr-FR"/>
              </w:rPr>
              <w:t xml:space="preserve">ationales et </w:t>
            </w:r>
            <w:r w:rsidR="00A57532" w:rsidRPr="006538AB">
              <w:rPr>
                <w:lang w:val="fr-FR"/>
              </w:rPr>
              <w:t xml:space="preserve">départementales </w:t>
            </w:r>
            <w:r w:rsidR="00D47DF4" w:rsidRPr="006538AB">
              <w:rPr>
                <w:lang w:val="fr-FR"/>
              </w:rPr>
              <w:t>pour les</w:t>
            </w:r>
            <w:r w:rsidRPr="006538AB">
              <w:rPr>
                <w:lang w:val="fr-FR"/>
              </w:rPr>
              <w:t xml:space="preserve"> ville</w:t>
            </w:r>
            <w:r w:rsidR="00D47DF4" w:rsidRPr="006538AB">
              <w:rPr>
                <w:lang w:val="fr-FR"/>
              </w:rPr>
              <w:t>s</w:t>
            </w:r>
            <w:r w:rsidRPr="006538AB">
              <w:rPr>
                <w:lang w:val="fr-FR"/>
              </w:rPr>
              <w:t xml:space="preserve"> du Cap</w:t>
            </w:r>
            <w:r w:rsidR="00607205">
              <w:rPr>
                <w:lang w:val="fr-FR"/>
              </w:rPr>
              <w:t>-</w:t>
            </w:r>
            <w:r w:rsidR="00D47DF4" w:rsidRPr="006538AB">
              <w:rPr>
                <w:lang w:val="fr-FR"/>
              </w:rPr>
              <w:t xml:space="preserve">Haitien, </w:t>
            </w:r>
            <w:r w:rsidR="00607205">
              <w:rPr>
                <w:lang w:val="fr-FR"/>
              </w:rPr>
              <w:t xml:space="preserve">de </w:t>
            </w:r>
            <w:r w:rsidR="00D47DF4" w:rsidRPr="006538AB">
              <w:rPr>
                <w:lang w:val="fr-FR"/>
              </w:rPr>
              <w:t>Fort</w:t>
            </w:r>
            <w:r w:rsidR="00607205">
              <w:rPr>
                <w:lang w:val="fr-FR"/>
              </w:rPr>
              <w:t>-L</w:t>
            </w:r>
            <w:r w:rsidR="00D47DF4" w:rsidRPr="006538AB">
              <w:rPr>
                <w:lang w:val="fr-FR"/>
              </w:rPr>
              <w:t xml:space="preserve">iberté et </w:t>
            </w:r>
            <w:r w:rsidR="00607205">
              <w:rPr>
                <w:lang w:val="fr-FR"/>
              </w:rPr>
              <w:t xml:space="preserve">de </w:t>
            </w:r>
            <w:r w:rsidR="00D47DF4" w:rsidRPr="006538AB">
              <w:rPr>
                <w:lang w:val="fr-FR"/>
              </w:rPr>
              <w:t>Ouanaminthe.</w:t>
            </w:r>
          </w:p>
          <w:p w:rsidR="00066055" w:rsidRPr="006538AB" w:rsidRDefault="00066055" w:rsidP="00984F8E">
            <w:pPr>
              <w:spacing w:after="120"/>
              <w:ind w:right="115"/>
              <w:jc w:val="both"/>
              <w:rPr>
                <w:lang w:val="fr-FR"/>
              </w:rPr>
            </w:pPr>
            <w:r w:rsidRPr="006538AB">
              <w:rPr>
                <w:lang w:val="fr-FR"/>
              </w:rPr>
              <w:t>b)</w:t>
            </w:r>
            <w:r w:rsidR="00D47DF4" w:rsidRPr="006538AB">
              <w:rPr>
                <w:lang w:val="fr-FR"/>
              </w:rPr>
              <w:t xml:space="preserve"> </w:t>
            </w:r>
            <w:r w:rsidR="00607205">
              <w:rPr>
                <w:lang w:val="fr-FR"/>
              </w:rPr>
              <w:t>C</w:t>
            </w:r>
            <w:r w:rsidR="00D47DF4" w:rsidRPr="006538AB">
              <w:rPr>
                <w:lang w:val="fr-FR"/>
              </w:rPr>
              <w:t xml:space="preserve">artographies plus détaillées montrant </w:t>
            </w:r>
            <w:r w:rsidRPr="006538AB">
              <w:rPr>
                <w:lang w:val="fr-FR"/>
              </w:rPr>
              <w:t xml:space="preserve"> des zone</w:t>
            </w:r>
            <w:r w:rsidR="00D47DF4" w:rsidRPr="006538AB">
              <w:rPr>
                <w:lang w:val="fr-FR"/>
              </w:rPr>
              <w:t>s à risque dans ces villes</w:t>
            </w:r>
          </w:p>
          <w:p w:rsidR="00066055" w:rsidRPr="006538AB" w:rsidRDefault="00066055" w:rsidP="00984F8E">
            <w:pPr>
              <w:spacing w:after="120"/>
              <w:ind w:right="115"/>
              <w:jc w:val="both"/>
              <w:rPr>
                <w:lang w:val="fr-FR"/>
              </w:rPr>
            </w:pPr>
            <w:r w:rsidRPr="006538AB">
              <w:rPr>
                <w:lang w:val="fr-FR"/>
              </w:rPr>
              <w:t>c) Rapport</w:t>
            </w:r>
            <w:r w:rsidR="00D47DF4" w:rsidRPr="006538AB">
              <w:rPr>
                <w:lang w:val="fr-FR"/>
              </w:rPr>
              <w:t>s Finaux</w:t>
            </w:r>
            <w:r w:rsidRPr="006538AB">
              <w:rPr>
                <w:lang w:val="fr-FR"/>
              </w:rPr>
              <w:t xml:space="preserve"> de m</w:t>
            </w:r>
            <w:r w:rsidR="00D47DF4" w:rsidRPr="006538AB">
              <w:rPr>
                <w:lang w:val="fr-FR"/>
              </w:rPr>
              <w:t>icro-zonage pour les villes d</w:t>
            </w:r>
            <w:r w:rsidR="00607205">
              <w:rPr>
                <w:lang w:val="fr-FR"/>
              </w:rPr>
              <w:t>u</w:t>
            </w:r>
            <w:r w:rsidR="00D47DF4" w:rsidRPr="006538AB">
              <w:rPr>
                <w:lang w:val="fr-FR"/>
              </w:rPr>
              <w:t xml:space="preserve"> Cap</w:t>
            </w:r>
            <w:r w:rsidR="00607205">
              <w:rPr>
                <w:lang w:val="fr-FR"/>
              </w:rPr>
              <w:t>-</w:t>
            </w:r>
            <w:r w:rsidR="00D47DF4" w:rsidRPr="006538AB">
              <w:rPr>
                <w:lang w:val="fr-FR"/>
              </w:rPr>
              <w:t>Ha</w:t>
            </w:r>
            <w:r w:rsidR="00607205">
              <w:rPr>
                <w:lang w:val="fr-FR"/>
              </w:rPr>
              <w:t>ï</w:t>
            </w:r>
            <w:r w:rsidR="00D47DF4" w:rsidRPr="006538AB">
              <w:rPr>
                <w:lang w:val="fr-FR"/>
              </w:rPr>
              <w:t xml:space="preserve">tien, </w:t>
            </w:r>
            <w:r w:rsidR="00607205">
              <w:rPr>
                <w:lang w:val="fr-FR"/>
              </w:rPr>
              <w:t xml:space="preserve">de </w:t>
            </w:r>
            <w:r w:rsidR="00D47DF4" w:rsidRPr="006538AB">
              <w:rPr>
                <w:lang w:val="fr-FR"/>
              </w:rPr>
              <w:t xml:space="preserve">Fort- </w:t>
            </w:r>
            <w:r w:rsidR="00A74454" w:rsidRPr="006538AB">
              <w:rPr>
                <w:lang w:val="fr-FR"/>
              </w:rPr>
              <w:t>Liberté</w:t>
            </w:r>
            <w:r w:rsidR="00D47DF4" w:rsidRPr="006538AB">
              <w:rPr>
                <w:lang w:val="fr-FR"/>
              </w:rPr>
              <w:t xml:space="preserve">  et </w:t>
            </w:r>
            <w:r w:rsidR="00607205">
              <w:rPr>
                <w:lang w:val="fr-FR"/>
              </w:rPr>
              <w:t xml:space="preserve">de </w:t>
            </w:r>
            <w:r w:rsidR="00D47DF4" w:rsidRPr="006538AB">
              <w:rPr>
                <w:lang w:val="fr-FR"/>
              </w:rPr>
              <w:t>Ouanaminthe.</w:t>
            </w:r>
          </w:p>
          <w:p w:rsidR="00066055" w:rsidRPr="006538AB" w:rsidRDefault="00D47DF4" w:rsidP="00984F8E">
            <w:pPr>
              <w:spacing w:after="120"/>
              <w:ind w:right="115"/>
              <w:jc w:val="both"/>
              <w:rPr>
                <w:lang w:val="fr-FR"/>
              </w:rPr>
            </w:pPr>
            <w:r w:rsidRPr="006538AB">
              <w:rPr>
                <w:lang w:val="fr-FR"/>
              </w:rPr>
              <w:t xml:space="preserve">d) </w:t>
            </w:r>
            <w:r w:rsidR="00607205">
              <w:rPr>
                <w:lang w:val="fr-FR"/>
              </w:rPr>
              <w:t>C</w:t>
            </w:r>
            <w:r w:rsidRPr="006538AB">
              <w:rPr>
                <w:lang w:val="fr-FR"/>
              </w:rPr>
              <w:t xml:space="preserve">artographies de mouvements de terrain pour les </w:t>
            </w:r>
            <w:r w:rsidR="00607205">
              <w:rPr>
                <w:lang w:val="fr-FR"/>
              </w:rPr>
              <w:t>v</w:t>
            </w:r>
            <w:r w:rsidRPr="006538AB">
              <w:rPr>
                <w:lang w:val="fr-FR"/>
              </w:rPr>
              <w:t>illes de Port</w:t>
            </w:r>
            <w:r w:rsidR="00607205">
              <w:rPr>
                <w:lang w:val="fr-FR"/>
              </w:rPr>
              <w:t>-</w:t>
            </w:r>
            <w:r w:rsidRPr="006538AB">
              <w:rPr>
                <w:lang w:val="fr-FR"/>
              </w:rPr>
              <w:t>de</w:t>
            </w:r>
            <w:r w:rsidR="00607205">
              <w:rPr>
                <w:lang w:val="fr-FR"/>
              </w:rPr>
              <w:t>-</w:t>
            </w:r>
            <w:r w:rsidRPr="006538AB">
              <w:rPr>
                <w:lang w:val="fr-FR"/>
              </w:rPr>
              <w:t xml:space="preserve">Paix et </w:t>
            </w:r>
            <w:r w:rsidR="00607205">
              <w:rPr>
                <w:lang w:val="fr-FR"/>
              </w:rPr>
              <w:t xml:space="preserve">de </w:t>
            </w:r>
            <w:r w:rsidRPr="006538AB">
              <w:rPr>
                <w:lang w:val="fr-FR"/>
              </w:rPr>
              <w:t>Saint</w:t>
            </w:r>
            <w:r w:rsidR="00607205">
              <w:rPr>
                <w:lang w:val="fr-FR"/>
              </w:rPr>
              <w:t>-</w:t>
            </w:r>
            <w:r w:rsidRPr="006538AB">
              <w:rPr>
                <w:lang w:val="fr-FR"/>
              </w:rPr>
              <w:t>Louis</w:t>
            </w:r>
            <w:r w:rsidR="00607205">
              <w:rPr>
                <w:lang w:val="fr-FR"/>
              </w:rPr>
              <w:t>-</w:t>
            </w:r>
            <w:r w:rsidRPr="006538AB">
              <w:rPr>
                <w:lang w:val="fr-FR"/>
              </w:rPr>
              <w:t>du</w:t>
            </w:r>
            <w:r w:rsidR="00607205">
              <w:rPr>
                <w:lang w:val="fr-FR"/>
              </w:rPr>
              <w:t>-</w:t>
            </w:r>
            <w:r w:rsidRPr="006538AB">
              <w:rPr>
                <w:lang w:val="fr-FR"/>
              </w:rPr>
              <w:t>Nord.</w:t>
            </w:r>
          </w:p>
          <w:p w:rsidR="00066055" w:rsidRPr="006538AB" w:rsidRDefault="00066055" w:rsidP="00984F8E">
            <w:pPr>
              <w:spacing w:after="120"/>
              <w:ind w:right="115"/>
              <w:jc w:val="both"/>
              <w:rPr>
                <w:lang w:val="fr-FR"/>
              </w:rPr>
            </w:pPr>
          </w:p>
          <w:p w:rsidR="00066055" w:rsidRPr="006538AB" w:rsidRDefault="00066055" w:rsidP="00984F8E">
            <w:pPr>
              <w:jc w:val="both"/>
              <w:rPr>
                <w:lang w:val="fr-FR"/>
              </w:rPr>
            </w:pPr>
          </w:p>
        </w:tc>
        <w:tc>
          <w:tcPr>
            <w:tcW w:w="1530" w:type="dxa"/>
          </w:tcPr>
          <w:p w:rsidR="00066055" w:rsidRPr="006538AB" w:rsidRDefault="00066055" w:rsidP="00984F8E">
            <w:pPr>
              <w:jc w:val="center"/>
              <w:rPr>
                <w:lang w:val="fr-FR"/>
              </w:rPr>
            </w:pPr>
            <w:r w:rsidRPr="006538AB">
              <w:rPr>
                <w:lang w:val="fr-FR"/>
              </w:rPr>
              <w:t>75%</w:t>
            </w:r>
          </w:p>
        </w:tc>
      </w:tr>
      <w:tr w:rsidR="00066055" w:rsidRPr="006538AB" w:rsidTr="00984F8E">
        <w:tc>
          <w:tcPr>
            <w:tcW w:w="2808" w:type="dxa"/>
          </w:tcPr>
          <w:p w:rsidR="00066055" w:rsidRPr="006538AB" w:rsidRDefault="00066055" w:rsidP="00984F8E">
            <w:pPr>
              <w:jc w:val="both"/>
              <w:rPr>
                <w:lang w:val="fr-FR"/>
              </w:rPr>
            </w:pPr>
            <w:r w:rsidRPr="006538AB">
              <w:rPr>
                <w:lang w:val="fr-FR"/>
              </w:rPr>
              <w:t xml:space="preserve">50% au moins du bâti des 4 grandes villes du </w:t>
            </w:r>
            <w:r w:rsidR="00607205">
              <w:rPr>
                <w:lang w:val="fr-FR"/>
              </w:rPr>
              <w:t>G</w:t>
            </w:r>
            <w:r w:rsidRPr="006538AB">
              <w:rPr>
                <w:lang w:val="fr-FR"/>
              </w:rPr>
              <w:t xml:space="preserve">rand </w:t>
            </w:r>
            <w:r w:rsidR="00607205">
              <w:rPr>
                <w:lang w:val="fr-FR"/>
              </w:rPr>
              <w:lastRenderedPageBreak/>
              <w:t>N</w:t>
            </w:r>
            <w:r w:rsidRPr="006538AB">
              <w:rPr>
                <w:lang w:val="fr-FR"/>
              </w:rPr>
              <w:t>ord est évalué selon cette méthodologie</w:t>
            </w:r>
          </w:p>
        </w:tc>
        <w:tc>
          <w:tcPr>
            <w:tcW w:w="6210" w:type="dxa"/>
          </w:tcPr>
          <w:p w:rsidR="00066055" w:rsidRPr="006538AB" w:rsidRDefault="00066055" w:rsidP="00984F8E">
            <w:pPr>
              <w:rPr>
                <w:lang w:val="fr-FR"/>
              </w:rPr>
            </w:pPr>
            <w:r w:rsidRPr="006538AB">
              <w:rPr>
                <w:bCs/>
                <w:lang w:val="fr-FR"/>
              </w:rPr>
              <w:lastRenderedPageBreak/>
              <w:t xml:space="preserve"> </w:t>
            </w:r>
            <w:r w:rsidR="00A57532" w:rsidRPr="006538AB">
              <w:rPr>
                <w:bCs/>
                <w:lang w:val="fr-FR"/>
              </w:rPr>
              <w:t xml:space="preserve">Des immeubles et infrastructures publiques présentant un certain enjeu  seront choisis pour </w:t>
            </w:r>
            <w:r w:rsidR="00A54D2C" w:rsidRPr="006538AB">
              <w:rPr>
                <w:bCs/>
                <w:lang w:val="fr-FR"/>
              </w:rPr>
              <w:t>être</w:t>
            </w:r>
            <w:r w:rsidR="00A57532" w:rsidRPr="006538AB">
              <w:rPr>
                <w:bCs/>
                <w:lang w:val="fr-FR"/>
              </w:rPr>
              <w:t xml:space="preserve"> renforcés dans les </w:t>
            </w:r>
            <w:r w:rsidR="00A54D2C" w:rsidRPr="006538AB">
              <w:rPr>
                <w:bCs/>
                <w:lang w:val="fr-FR"/>
              </w:rPr>
              <w:lastRenderedPageBreak/>
              <w:t>quatre</w:t>
            </w:r>
            <w:r w:rsidR="00A57532" w:rsidRPr="006538AB">
              <w:rPr>
                <w:bCs/>
                <w:lang w:val="fr-FR"/>
              </w:rPr>
              <w:t xml:space="preserve"> grandes villes du Grand </w:t>
            </w:r>
            <w:r w:rsidR="00607205">
              <w:rPr>
                <w:bCs/>
                <w:lang w:val="fr-FR"/>
              </w:rPr>
              <w:t>Nord</w:t>
            </w:r>
          </w:p>
          <w:p w:rsidR="00066055" w:rsidRPr="006538AB" w:rsidRDefault="00066055" w:rsidP="00984F8E">
            <w:pPr>
              <w:jc w:val="both"/>
              <w:rPr>
                <w:lang w:val="fr-FR"/>
              </w:rPr>
            </w:pPr>
            <w:r w:rsidRPr="006538AB" w:rsidDel="00DC3AD7">
              <w:rPr>
                <w:lang w:val="fr-FR"/>
              </w:rPr>
              <w:t xml:space="preserve"> </w:t>
            </w:r>
          </w:p>
        </w:tc>
        <w:tc>
          <w:tcPr>
            <w:tcW w:w="1530" w:type="dxa"/>
          </w:tcPr>
          <w:p w:rsidR="00066055" w:rsidRPr="006538AB" w:rsidRDefault="00066055" w:rsidP="00984F8E">
            <w:pPr>
              <w:jc w:val="center"/>
              <w:rPr>
                <w:lang w:val="fr-FR"/>
              </w:rPr>
            </w:pPr>
            <w:r w:rsidRPr="006538AB">
              <w:rPr>
                <w:lang w:val="fr-FR"/>
              </w:rPr>
              <w:lastRenderedPageBreak/>
              <w:t>10%</w:t>
            </w:r>
          </w:p>
        </w:tc>
      </w:tr>
      <w:tr w:rsidR="00066055" w:rsidRPr="006538AB" w:rsidTr="00984F8E">
        <w:tc>
          <w:tcPr>
            <w:tcW w:w="2808" w:type="dxa"/>
          </w:tcPr>
          <w:p w:rsidR="00066055" w:rsidRPr="006538AB" w:rsidRDefault="00066055" w:rsidP="00984F8E">
            <w:pPr>
              <w:jc w:val="both"/>
              <w:rPr>
                <w:lang w:val="fr-FR"/>
              </w:rPr>
            </w:pPr>
            <w:r w:rsidRPr="006538AB">
              <w:rPr>
                <w:lang w:val="fr-FR"/>
              </w:rPr>
              <w:lastRenderedPageBreak/>
              <w:t>L’ensemble du bâti évalué est classifié selon son niveau d’importance et d’enjeu</w:t>
            </w:r>
          </w:p>
        </w:tc>
        <w:tc>
          <w:tcPr>
            <w:tcW w:w="6210" w:type="dxa"/>
          </w:tcPr>
          <w:p w:rsidR="00066055" w:rsidRPr="006538AB" w:rsidRDefault="00066055" w:rsidP="00984F8E">
            <w:pPr>
              <w:rPr>
                <w:bCs/>
                <w:lang w:val="fr-FR"/>
              </w:rPr>
            </w:pPr>
            <w:r w:rsidRPr="006538AB">
              <w:rPr>
                <w:lang w:val="fr-FR"/>
              </w:rPr>
              <w:t>Le RFP a été lancé et un presta</w:t>
            </w:r>
            <w:r w:rsidR="00E611FB" w:rsidRPr="006538AB">
              <w:rPr>
                <w:lang w:val="fr-FR"/>
              </w:rPr>
              <w:t>ta</w:t>
            </w:r>
            <w:r w:rsidRPr="006538AB">
              <w:rPr>
                <w:lang w:val="fr-FR"/>
              </w:rPr>
              <w:t xml:space="preserve">ire a été  </w:t>
            </w:r>
            <w:r w:rsidR="00E611FB" w:rsidRPr="006538AB">
              <w:rPr>
                <w:lang w:val="fr-FR"/>
              </w:rPr>
              <w:t>présélectionné</w:t>
            </w:r>
            <w:r w:rsidRPr="006538AB">
              <w:rPr>
                <w:lang w:val="fr-FR"/>
              </w:rPr>
              <w:t xml:space="preserve">  </w:t>
            </w:r>
            <w:r w:rsidR="00A57532" w:rsidRPr="006538AB">
              <w:rPr>
                <w:lang w:val="fr-FR"/>
              </w:rPr>
              <w:t xml:space="preserve">et </w:t>
            </w:r>
            <w:r w:rsidRPr="006538AB">
              <w:rPr>
                <w:lang w:val="fr-FR"/>
              </w:rPr>
              <w:t xml:space="preserve"> choisi pour exécuter ce volet au niveau des trois départements. </w:t>
            </w:r>
            <w:r w:rsidRPr="006538AB">
              <w:rPr>
                <w:bCs/>
                <w:lang w:val="fr-FR"/>
              </w:rPr>
              <w:t xml:space="preserve">  RFP-UNDP-HAI- 14-015</w:t>
            </w:r>
          </w:p>
          <w:p w:rsidR="00A74454" w:rsidRPr="006538AB" w:rsidRDefault="00A74454" w:rsidP="00984F8E">
            <w:pPr>
              <w:rPr>
                <w:lang w:val="fr-FR"/>
              </w:rPr>
            </w:pPr>
            <w:r w:rsidRPr="006538AB">
              <w:rPr>
                <w:bCs/>
                <w:lang w:val="fr-FR"/>
              </w:rPr>
              <w:t>Rapport no 1 sur 7 bât</w:t>
            </w:r>
            <w:r w:rsidRPr="006538AB">
              <w:rPr>
                <w:lang w:val="fr-FR"/>
              </w:rPr>
              <w:t xml:space="preserve">iments à fort </w:t>
            </w:r>
            <w:r w:rsidR="00607205">
              <w:rPr>
                <w:lang w:val="fr-FR"/>
              </w:rPr>
              <w:t xml:space="preserve">enjeu </w:t>
            </w:r>
            <w:r w:rsidRPr="006538AB">
              <w:rPr>
                <w:lang w:val="fr-FR"/>
              </w:rPr>
              <w:t>et 1</w:t>
            </w:r>
            <w:r w:rsidR="006A0A23">
              <w:rPr>
                <w:lang w:val="fr-FR"/>
              </w:rPr>
              <w:t>7</w:t>
            </w:r>
            <w:r w:rsidRPr="006538AB">
              <w:rPr>
                <w:lang w:val="fr-FR"/>
              </w:rPr>
              <w:t xml:space="preserve"> </w:t>
            </w:r>
            <w:r w:rsidR="0028345A" w:rsidRPr="006538AB">
              <w:rPr>
                <w:lang w:val="fr-FR"/>
              </w:rPr>
              <w:t xml:space="preserve">infrastructures </w:t>
            </w:r>
            <w:r w:rsidRPr="006538AB">
              <w:rPr>
                <w:lang w:val="fr-FR"/>
              </w:rPr>
              <w:t xml:space="preserve"> sélectionnés sur les trois </w:t>
            </w:r>
            <w:r w:rsidR="0028345A" w:rsidRPr="006538AB">
              <w:rPr>
                <w:lang w:val="fr-FR"/>
              </w:rPr>
              <w:t>départements</w:t>
            </w:r>
            <w:r w:rsidRPr="006538AB">
              <w:rPr>
                <w:lang w:val="fr-FR"/>
              </w:rPr>
              <w:t>.</w:t>
            </w:r>
          </w:p>
          <w:p w:rsidR="00A74454" w:rsidRPr="006538AB" w:rsidRDefault="00A74454" w:rsidP="00984F8E">
            <w:pPr>
              <w:rPr>
                <w:lang w:val="fr-FR"/>
              </w:rPr>
            </w:pPr>
            <w:r w:rsidRPr="006538AB">
              <w:rPr>
                <w:lang w:val="fr-FR"/>
              </w:rPr>
              <w:t xml:space="preserve">Ce rapport </w:t>
            </w:r>
            <w:r w:rsidR="0028345A" w:rsidRPr="006538AB">
              <w:rPr>
                <w:lang w:val="fr-FR"/>
              </w:rPr>
              <w:t>démontre</w:t>
            </w:r>
            <w:r w:rsidRPr="006538AB">
              <w:rPr>
                <w:lang w:val="fr-FR"/>
              </w:rPr>
              <w:t xml:space="preserve"> un grand </w:t>
            </w:r>
            <w:r w:rsidR="0028345A" w:rsidRPr="006538AB">
              <w:rPr>
                <w:lang w:val="fr-FR"/>
              </w:rPr>
              <w:t>degré</w:t>
            </w:r>
            <w:r w:rsidRPr="006538AB">
              <w:rPr>
                <w:lang w:val="fr-FR"/>
              </w:rPr>
              <w:t xml:space="preserve"> de </w:t>
            </w:r>
            <w:r w:rsidR="0028345A" w:rsidRPr="006538AB">
              <w:rPr>
                <w:lang w:val="fr-FR"/>
              </w:rPr>
              <w:t>vulnérabilité</w:t>
            </w:r>
            <w:r w:rsidRPr="006538AB">
              <w:rPr>
                <w:lang w:val="fr-FR"/>
              </w:rPr>
              <w:t xml:space="preserve"> surtout pour les </w:t>
            </w:r>
            <w:r w:rsidR="0028345A" w:rsidRPr="006538AB">
              <w:rPr>
                <w:lang w:val="fr-FR"/>
              </w:rPr>
              <w:t>écoles</w:t>
            </w:r>
            <w:r w:rsidRPr="006538AB">
              <w:rPr>
                <w:lang w:val="fr-FR"/>
              </w:rPr>
              <w:t xml:space="preserve"> publiques.</w:t>
            </w:r>
          </w:p>
          <w:p w:rsidR="0028345A" w:rsidRPr="006538AB" w:rsidRDefault="0028345A" w:rsidP="00984F8E">
            <w:pPr>
              <w:rPr>
                <w:lang w:val="fr-FR"/>
              </w:rPr>
            </w:pPr>
          </w:p>
          <w:p w:rsidR="00066055" w:rsidRPr="006538AB" w:rsidRDefault="00066055" w:rsidP="00984F8E">
            <w:pPr>
              <w:jc w:val="both"/>
              <w:rPr>
                <w:lang w:val="fr-FR"/>
              </w:rPr>
            </w:pPr>
          </w:p>
        </w:tc>
        <w:tc>
          <w:tcPr>
            <w:tcW w:w="1530" w:type="dxa"/>
          </w:tcPr>
          <w:p w:rsidR="00066055" w:rsidRPr="006538AB" w:rsidRDefault="0028345A" w:rsidP="00984F8E">
            <w:pPr>
              <w:jc w:val="center"/>
              <w:rPr>
                <w:lang w:val="fr-FR"/>
              </w:rPr>
            </w:pPr>
            <w:r w:rsidRPr="006538AB">
              <w:rPr>
                <w:lang w:val="fr-FR"/>
              </w:rPr>
              <w:t>6</w:t>
            </w:r>
            <w:r w:rsidR="00066055" w:rsidRPr="006538AB">
              <w:rPr>
                <w:lang w:val="fr-FR"/>
              </w:rPr>
              <w:t>0%</w:t>
            </w:r>
          </w:p>
        </w:tc>
      </w:tr>
    </w:tbl>
    <w:p w:rsidR="00607205" w:rsidRDefault="00607205" w:rsidP="00066055">
      <w:pPr>
        <w:shd w:val="clear" w:color="auto" w:fill="FFFFFF"/>
        <w:jc w:val="both"/>
        <w:rPr>
          <w:b/>
          <w:lang w:val="fr-FR"/>
        </w:rPr>
      </w:pPr>
    </w:p>
    <w:p w:rsidR="00066055" w:rsidRPr="006538AB" w:rsidRDefault="00066055" w:rsidP="00066055">
      <w:pPr>
        <w:shd w:val="clear" w:color="auto" w:fill="FFFFFF"/>
        <w:jc w:val="both"/>
        <w:rPr>
          <w:color w:val="000000"/>
          <w:lang w:val="fr-FR"/>
        </w:rPr>
      </w:pPr>
      <w:r w:rsidRPr="006538AB">
        <w:rPr>
          <w:b/>
          <w:lang w:val="fr-FR"/>
        </w:rPr>
        <w:t>Produit 3 </w:t>
      </w:r>
      <w:r w:rsidRPr="006538AB">
        <w:rPr>
          <w:b/>
          <w:i/>
          <w:lang w:val="fr-FR"/>
        </w:rPr>
        <w:t xml:space="preserve">: </w:t>
      </w:r>
      <w:r w:rsidRPr="006538AB">
        <w:rPr>
          <w:i/>
          <w:color w:val="000000"/>
          <w:lang w:val="fr-FR"/>
        </w:rPr>
        <w:t>Le risque sismique est réduit par des actions de prévention et de mitigation, dont les « plan séisme », les partenariats avec les Communautés locales concernées par le risque sismique sont développés</w:t>
      </w:r>
      <w:r w:rsidRPr="006538AB">
        <w:rPr>
          <w:color w:val="000000"/>
          <w:lang w:val="fr-FR"/>
        </w:rPr>
        <w:t> :</w:t>
      </w:r>
    </w:p>
    <w:p w:rsidR="00066055" w:rsidRPr="006538AB"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Un Comité de Conseil est créé et fonctionne dans chacun des chefs-lieux des trois départements ;</w:t>
      </w:r>
    </w:p>
    <w:p w:rsidR="00066055" w:rsidRPr="006538AB"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Les bâtiments qui seront renforcés dans le cadre du projet sont identifiés.</w:t>
      </w:r>
    </w:p>
    <w:p w:rsidR="00066055" w:rsidRPr="006538AB" w:rsidRDefault="00066055" w:rsidP="00066055">
      <w:pPr>
        <w:pStyle w:val="ListParagraph"/>
        <w:spacing w:after="200" w:line="276" w:lineRule="auto"/>
        <w:jc w:val="both"/>
        <w:rPr>
          <w:color w:val="000000"/>
          <w:lang w:val="fr-FR"/>
        </w:rPr>
      </w:pPr>
    </w:p>
    <w:p w:rsidR="00066055" w:rsidRPr="006538AB" w:rsidRDefault="00066055" w:rsidP="00066055">
      <w:pPr>
        <w:pStyle w:val="ListParagraph"/>
        <w:spacing w:before="240" w:after="120"/>
        <w:ind w:left="360" w:firstLine="360"/>
        <w:contextualSpacing w:val="0"/>
        <w:jc w:val="both"/>
        <w:rPr>
          <w:b/>
          <w:i/>
          <w:u w:val="single"/>
          <w:lang w:val="fr-FR"/>
        </w:rPr>
      </w:pPr>
      <w:r w:rsidRPr="006538AB">
        <w:rPr>
          <w:b/>
          <w:i/>
          <w:u w:val="single"/>
          <w:lang w:val="fr-FR"/>
        </w:rPr>
        <w:t>Résultats obtenus par rapport au produit #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6210"/>
        <w:gridCol w:w="1530"/>
      </w:tblGrid>
      <w:tr w:rsidR="00066055" w:rsidRPr="006538AB" w:rsidTr="00984F8E">
        <w:tc>
          <w:tcPr>
            <w:tcW w:w="2808" w:type="dxa"/>
          </w:tcPr>
          <w:p w:rsidR="00066055" w:rsidRPr="006538AB" w:rsidRDefault="00066055" w:rsidP="00984F8E">
            <w:pPr>
              <w:pStyle w:val="ListParagraph"/>
              <w:ind w:left="360"/>
              <w:jc w:val="center"/>
              <w:rPr>
                <w:b/>
                <w:i/>
                <w:lang w:val="fr-FR"/>
              </w:rPr>
            </w:pPr>
            <w:r w:rsidRPr="006538AB">
              <w:rPr>
                <w:b/>
                <w:i/>
                <w:lang w:val="fr-FR"/>
              </w:rPr>
              <w:t>Items</w:t>
            </w:r>
          </w:p>
        </w:tc>
        <w:tc>
          <w:tcPr>
            <w:tcW w:w="6210" w:type="dxa"/>
          </w:tcPr>
          <w:p w:rsidR="00066055" w:rsidRPr="006538AB" w:rsidRDefault="00066055" w:rsidP="00984F8E">
            <w:pPr>
              <w:pStyle w:val="ListParagraph"/>
              <w:ind w:left="360"/>
              <w:jc w:val="center"/>
              <w:rPr>
                <w:b/>
                <w:i/>
                <w:lang w:val="fr-FR"/>
              </w:rPr>
            </w:pPr>
            <w:r w:rsidRPr="006538AB">
              <w:rPr>
                <w:b/>
                <w:i/>
                <w:lang w:val="fr-FR"/>
              </w:rPr>
              <w:t>Etat d’avancement</w:t>
            </w:r>
          </w:p>
        </w:tc>
        <w:tc>
          <w:tcPr>
            <w:tcW w:w="1530" w:type="dxa"/>
          </w:tcPr>
          <w:p w:rsidR="00066055" w:rsidRPr="006538AB" w:rsidRDefault="00066055" w:rsidP="00984F8E">
            <w:pPr>
              <w:rPr>
                <w:b/>
                <w:i/>
                <w:lang w:val="fr-FR"/>
              </w:rPr>
            </w:pPr>
            <w:r w:rsidRPr="006538AB">
              <w:rPr>
                <w:b/>
                <w:i/>
                <w:lang w:val="fr-FR"/>
              </w:rPr>
              <w:t>Pourcentage</w:t>
            </w:r>
          </w:p>
        </w:tc>
      </w:tr>
      <w:tr w:rsidR="00066055" w:rsidRPr="006538AB" w:rsidTr="00984F8E">
        <w:tc>
          <w:tcPr>
            <w:tcW w:w="2808" w:type="dxa"/>
          </w:tcPr>
          <w:p w:rsidR="00066055" w:rsidRPr="006538AB" w:rsidRDefault="00066055" w:rsidP="00984F8E">
            <w:pPr>
              <w:jc w:val="both"/>
              <w:rPr>
                <w:lang w:val="fr-FR"/>
              </w:rPr>
            </w:pPr>
            <w:r w:rsidRPr="006538AB">
              <w:rPr>
                <w:lang w:val="fr-FR"/>
              </w:rPr>
              <w:t>Un Comité de Conseil est créé et fonctionne dans chacun des chefs-lieux des trois départements.</w:t>
            </w:r>
          </w:p>
        </w:tc>
        <w:tc>
          <w:tcPr>
            <w:tcW w:w="6210" w:type="dxa"/>
          </w:tcPr>
          <w:p w:rsidR="00066055" w:rsidRPr="006538AB" w:rsidRDefault="00066055" w:rsidP="00984F8E">
            <w:pPr>
              <w:jc w:val="both"/>
              <w:rPr>
                <w:lang w:val="fr-FR"/>
              </w:rPr>
            </w:pPr>
            <w:r w:rsidRPr="006538AB">
              <w:rPr>
                <w:lang w:val="fr-FR"/>
              </w:rPr>
              <w:t xml:space="preserve"> Les Comités de </w:t>
            </w:r>
            <w:r w:rsidR="00C256F4" w:rsidRPr="006538AB">
              <w:rPr>
                <w:lang w:val="fr-FR"/>
              </w:rPr>
              <w:t>C</w:t>
            </w:r>
            <w:r w:rsidRPr="006538AB">
              <w:rPr>
                <w:lang w:val="fr-FR"/>
              </w:rPr>
              <w:t>onseil sismique</w:t>
            </w:r>
            <w:r w:rsidR="00C256F4" w:rsidRPr="006538AB">
              <w:rPr>
                <w:lang w:val="fr-FR"/>
              </w:rPr>
              <w:t>s</w:t>
            </w:r>
            <w:r w:rsidRPr="006538AB">
              <w:rPr>
                <w:lang w:val="fr-FR"/>
              </w:rPr>
              <w:t xml:space="preserve"> pour les quatre villes sont créés et le </w:t>
            </w:r>
            <w:r w:rsidR="00C256F4" w:rsidRPr="006538AB">
              <w:rPr>
                <w:lang w:val="fr-FR"/>
              </w:rPr>
              <w:t>Comité</w:t>
            </w:r>
            <w:r w:rsidRPr="006538AB">
              <w:rPr>
                <w:lang w:val="fr-FR"/>
              </w:rPr>
              <w:t xml:space="preserve"> de pilotage national est opérationnel.</w:t>
            </w:r>
          </w:p>
          <w:p w:rsidR="00066055" w:rsidRPr="006538AB" w:rsidRDefault="00607205" w:rsidP="00984F8E">
            <w:pPr>
              <w:jc w:val="both"/>
              <w:rPr>
                <w:lang w:val="fr-FR"/>
              </w:rPr>
            </w:pPr>
            <w:r>
              <w:rPr>
                <w:lang w:val="fr-FR"/>
              </w:rPr>
              <w:t>L</w:t>
            </w:r>
            <w:r w:rsidR="00066055" w:rsidRPr="006538AB">
              <w:rPr>
                <w:lang w:val="fr-FR"/>
              </w:rPr>
              <w:t xml:space="preserve">es membres  participent activement aux activités du projet pour renforcer l’appropriation. </w:t>
            </w:r>
          </w:p>
          <w:p w:rsidR="00066055" w:rsidRPr="006538AB" w:rsidRDefault="00066055" w:rsidP="00984F8E">
            <w:pPr>
              <w:jc w:val="both"/>
              <w:rPr>
                <w:lang w:val="fr-FR"/>
              </w:rPr>
            </w:pPr>
            <w:r w:rsidRPr="006538AB">
              <w:rPr>
                <w:lang w:val="fr-FR"/>
              </w:rPr>
              <w:t>De plus, tous les maires des 19 communes du département du Nord ont été formés et sensibilisé</w:t>
            </w:r>
            <w:r w:rsidR="00C256F4" w:rsidRPr="006538AB">
              <w:rPr>
                <w:lang w:val="fr-FR"/>
              </w:rPr>
              <w:t>s</w:t>
            </w:r>
            <w:r w:rsidRPr="006538AB">
              <w:rPr>
                <w:lang w:val="fr-FR"/>
              </w:rPr>
              <w:t xml:space="preserve"> par rapport à la menace sismique</w:t>
            </w:r>
          </w:p>
        </w:tc>
        <w:tc>
          <w:tcPr>
            <w:tcW w:w="1530" w:type="dxa"/>
          </w:tcPr>
          <w:p w:rsidR="00066055" w:rsidRPr="006538AB" w:rsidRDefault="00AB6747" w:rsidP="00984F8E">
            <w:pPr>
              <w:jc w:val="center"/>
              <w:rPr>
                <w:lang w:val="fr-FR"/>
              </w:rPr>
            </w:pPr>
            <w:r w:rsidRPr="006538AB">
              <w:rPr>
                <w:lang w:val="fr-FR"/>
              </w:rPr>
              <w:t>9</w:t>
            </w:r>
            <w:r w:rsidR="00066055" w:rsidRPr="006538AB">
              <w:rPr>
                <w:lang w:val="fr-FR"/>
              </w:rPr>
              <w:t>0 %</w:t>
            </w:r>
          </w:p>
        </w:tc>
      </w:tr>
      <w:tr w:rsidR="00066055" w:rsidRPr="006538AB" w:rsidTr="00984F8E">
        <w:tc>
          <w:tcPr>
            <w:tcW w:w="2808" w:type="dxa"/>
          </w:tcPr>
          <w:p w:rsidR="00066055" w:rsidRPr="006538AB" w:rsidRDefault="00066055" w:rsidP="00984F8E">
            <w:pPr>
              <w:jc w:val="both"/>
              <w:rPr>
                <w:lang w:val="fr-FR"/>
              </w:rPr>
            </w:pPr>
            <w:r w:rsidRPr="006538AB">
              <w:rPr>
                <w:lang w:val="fr-FR"/>
              </w:rPr>
              <w:t>Les bâtiments qui seront renforcés dans le cadre du projet sont identifiés.</w:t>
            </w:r>
          </w:p>
        </w:tc>
        <w:tc>
          <w:tcPr>
            <w:tcW w:w="6210" w:type="dxa"/>
          </w:tcPr>
          <w:p w:rsidR="00066055" w:rsidRPr="006538AB" w:rsidRDefault="00AB6747" w:rsidP="00984F8E">
            <w:pPr>
              <w:jc w:val="both"/>
              <w:rPr>
                <w:spacing w:val="-2"/>
                <w:lang w:val="fr-FR"/>
              </w:rPr>
            </w:pPr>
            <w:r w:rsidRPr="006538AB">
              <w:rPr>
                <w:spacing w:val="-2"/>
                <w:lang w:val="fr-FR"/>
              </w:rPr>
              <w:t xml:space="preserve">Le rapport no1 publié par le consortium BRGM-SOCOTEC propose 4 </w:t>
            </w:r>
            <w:r w:rsidR="00C256F4" w:rsidRPr="006538AB">
              <w:rPr>
                <w:spacing w:val="-2"/>
                <w:lang w:val="fr-FR"/>
              </w:rPr>
              <w:t>-</w:t>
            </w:r>
            <w:r w:rsidRPr="006538AB">
              <w:rPr>
                <w:spacing w:val="-2"/>
                <w:lang w:val="fr-FR"/>
              </w:rPr>
              <w:t xml:space="preserve"> 5 bâtiments prioritaires qui pourraient être renforcés </w:t>
            </w:r>
          </w:p>
          <w:p w:rsidR="00066055" w:rsidRPr="006538AB" w:rsidRDefault="00A54D2C" w:rsidP="00C256F4">
            <w:pPr>
              <w:jc w:val="both"/>
              <w:rPr>
                <w:spacing w:val="-2"/>
                <w:lang w:val="fr-FR"/>
              </w:rPr>
            </w:pPr>
            <w:r w:rsidRPr="006538AB">
              <w:rPr>
                <w:spacing w:val="-2"/>
                <w:lang w:val="fr-FR"/>
              </w:rPr>
              <w:t>(Complexe</w:t>
            </w:r>
            <w:r w:rsidR="00AB6747" w:rsidRPr="006538AB">
              <w:rPr>
                <w:spacing w:val="-2"/>
                <w:lang w:val="fr-FR"/>
              </w:rPr>
              <w:t xml:space="preserve"> </w:t>
            </w:r>
            <w:r w:rsidR="00C256F4" w:rsidRPr="006538AB">
              <w:rPr>
                <w:spacing w:val="-2"/>
                <w:lang w:val="fr-FR"/>
              </w:rPr>
              <w:t>A</w:t>
            </w:r>
            <w:r w:rsidR="00AB6747" w:rsidRPr="006538AB">
              <w:rPr>
                <w:spacing w:val="-2"/>
                <w:lang w:val="fr-FR"/>
              </w:rPr>
              <w:t>dministratif </w:t>
            </w:r>
            <w:r w:rsidRPr="006538AB">
              <w:rPr>
                <w:spacing w:val="-2"/>
                <w:lang w:val="fr-FR"/>
              </w:rPr>
              <w:t>; Hôpital</w:t>
            </w:r>
            <w:r w:rsidR="00AB6747" w:rsidRPr="006538AB">
              <w:rPr>
                <w:spacing w:val="-2"/>
                <w:lang w:val="fr-FR"/>
              </w:rPr>
              <w:t xml:space="preserve"> Justinien</w:t>
            </w:r>
            <w:r w:rsidR="00607205">
              <w:rPr>
                <w:spacing w:val="-2"/>
                <w:lang w:val="fr-FR"/>
              </w:rPr>
              <w:t>;</w:t>
            </w:r>
            <w:r w:rsidR="00AB6747" w:rsidRPr="006538AB">
              <w:rPr>
                <w:spacing w:val="-2"/>
                <w:lang w:val="fr-FR"/>
              </w:rPr>
              <w:t xml:space="preserve"> Le </w:t>
            </w:r>
            <w:r w:rsidR="00C256F4" w:rsidRPr="006538AB">
              <w:rPr>
                <w:spacing w:val="-2"/>
                <w:lang w:val="fr-FR"/>
              </w:rPr>
              <w:t>G</w:t>
            </w:r>
            <w:r w:rsidR="00AB6747" w:rsidRPr="006538AB">
              <w:rPr>
                <w:spacing w:val="-2"/>
                <w:lang w:val="fr-FR"/>
              </w:rPr>
              <w:t xml:space="preserve">ymnasium du </w:t>
            </w:r>
            <w:r w:rsidR="00C256F4" w:rsidRPr="006538AB">
              <w:rPr>
                <w:spacing w:val="-2"/>
                <w:lang w:val="fr-FR"/>
              </w:rPr>
              <w:t>C</w:t>
            </w:r>
            <w:r w:rsidR="00AB6747" w:rsidRPr="006538AB">
              <w:rPr>
                <w:spacing w:val="-2"/>
                <w:lang w:val="fr-FR"/>
              </w:rPr>
              <w:t>ap</w:t>
            </w:r>
            <w:r w:rsidRPr="006538AB">
              <w:rPr>
                <w:spacing w:val="-2"/>
                <w:lang w:val="fr-FR"/>
              </w:rPr>
              <w:t>,</w:t>
            </w:r>
            <w:r w:rsidR="00C256F4" w:rsidRPr="006538AB">
              <w:rPr>
                <w:spacing w:val="-2"/>
                <w:lang w:val="fr-FR"/>
              </w:rPr>
              <w:t xml:space="preserve"> Lycée Philippe  </w:t>
            </w:r>
            <w:r w:rsidR="00FE03FA" w:rsidRPr="006538AB">
              <w:rPr>
                <w:spacing w:val="-2"/>
                <w:lang w:val="fr-FR"/>
              </w:rPr>
              <w:t>Guerrier du Cap</w:t>
            </w:r>
            <w:r w:rsidR="00607205">
              <w:rPr>
                <w:spacing w:val="-2"/>
                <w:lang w:val="fr-FR"/>
              </w:rPr>
              <w:t>)</w:t>
            </w:r>
          </w:p>
        </w:tc>
        <w:tc>
          <w:tcPr>
            <w:tcW w:w="1530" w:type="dxa"/>
          </w:tcPr>
          <w:p w:rsidR="00066055" w:rsidRPr="006538AB" w:rsidRDefault="00FE03FA" w:rsidP="00984F8E">
            <w:pPr>
              <w:jc w:val="center"/>
              <w:rPr>
                <w:lang w:val="fr-FR"/>
              </w:rPr>
            </w:pPr>
            <w:r w:rsidRPr="006538AB">
              <w:rPr>
                <w:lang w:val="fr-FR"/>
              </w:rPr>
              <w:t>8</w:t>
            </w:r>
            <w:r w:rsidR="00066055" w:rsidRPr="006538AB">
              <w:rPr>
                <w:lang w:val="fr-FR"/>
              </w:rPr>
              <w:t>0%</w:t>
            </w:r>
          </w:p>
        </w:tc>
      </w:tr>
    </w:tbl>
    <w:p w:rsidR="00066055" w:rsidRPr="006538AB" w:rsidRDefault="00066055" w:rsidP="00066055">
      <w:pPr>
        <w:pStyle w:val="ListParagraph"/>
        <w:ind w:left="360"/>
        <w:jc w:val="both"/>
        <w:rPr>
          <w:color w:val="000000"/>
          <w:lang w:val="fr-FR"/>
        </w:rPr>
      </w:pPr>
    </w:p>
    <w:p w:rsidR="00FE03FA" w:rsidRPr="006538AB" w:rsidRDefault="00FE03FA" w:rsidP="00066055">
      <w:pPr>
        <w:jc w:val="both"/>
        <w:rPr>
          <w:b/>
          <w:lang w:val="fr-FR"/>
        </w:rPr>
      </w:pPr>
    </w:p>
    <w:p w:rsidR="00066055" w:rsidRPr="006538AB" w:rsidRDefault="00066055" w:rsidP="00066055">
      <w:pPr>
        <w:jc w:val="both"/>
        <w:rPr>
          <w:color w:val="000000"/>
          <w:lang w:val="fr-FR"/>
        </w:rPr>
      </w:pPr>
      <w:r w:rsidRPr="006538AB">
        <w:rPr>
          <w:b/>
          <w:lang w:val="fr-FR"/>
        </w:rPr>
        <w:t xml:space="preserve">Produit 4 : </w:t>
      </w:r>
      <w:r w:rsidRPr="006538AB">
        <w:rPr>
          <w:i/>
          <w:color w:val="000000"/>
          <w:lang w:val="fr-FR"/>
        </w:rPr>
        <w:t>La chaîne de la construction est formée aux pratiques parasismiques</w:t>
      </w:r>
      <w:r w:rsidRPr="006538AB">
        <w:rPr>
          <w:color w:val="000000"/>
          <w:lang w:val="fr-FR"/>
        </w:rPr>
        <w:t> :</w:t>
      </w:r>
    </w:p>
    <w:p w:rsidR="00066055" w:rsidRPr="006538AB"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Des recommandations sur les méthodes de construction parasismique sont établies en accord avec les procédures nationales du MTPTC ;</w:t>
      </w:r>
    </w:p>
    <w:p w:rsidR="00066055" w:rsidRPr="006538AB"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Une formation continue en génie parasismique est mise en place pour les maçons et entrepreneurs de la construction ;</w:t>
      </w:r>
    </w:p>
    <w:p w:rsidR="00066055"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Une formation continue en génie parasismique est mise en place pour les ingénieurs et architectes de la construction.</w:t>
      </w:r>
    </w:p>
    <w:p w:rsidR="002E2767" w:rsidRPr="006538AB" w:rsidRDefault="002E2767" w:rsidP="002E2767">
      <w:pPr>
        <w:pStyle w:val="ListParagraph"/>
        <w:spacing w:after="200" w:line="276" w:lineRule="auto"/>
        <w:ind w:left="360"/>
        <w:jc w:val="both"/>
        <w:rPr>
          <w:color w:val="000000"/>
          <w:lang w:val="fr-FR"/>
        </w:rPr>
      </w:pPr>
    </w:p>
    <w:p w:rsidR="00066055" w:rsidRPr="006538AB" w:rsidRDefault="00066055" w:rsidP="00066055">
      <w:pPr>
        <w:pStyle w:val="ListParagraph"/>
        <w:spacing w:before="240" w:after="120"/>
        <w:ind w:left="360" w:firstLine="360"/>
        <w:contextualSpacing w:val="0"/>
        <w:jc w:val="both"/>
        <w:rPr>
          <w:b/>
          <w:i/>
          <w:u w:val="single"/>
          <w:lang w:val="fr-FR"/>
        </w:rPr>
      </w:pPr>
      <w:r w:rsidRPr="006538AB">
        <w:rPr>
          <w:b/>
          <w:i/>
          <w:u w:val="single"/>
          <w:lang w:val="fr-FR"/>
        </w:rPr>
        <w:t>Résultats obtenus  par rapport au produit #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6210"/>
        <w:gridCol w:w="1530"/>
      </w:tblGrid>
      <w:tr w:rsidR="00066055" w:rsidRPr="006538AB" w:rsidTr="00984F8E">
        <w:tc>
          <w:tcPr>
            <w:tcW w:w="2808" w:type="dxa"/>
          </w:tcPr>
          <w:p w:rsidR="00066055" w:rsidRPr="006538AB" w:rsidRDefault="00066055" w:rsidP="00984F8E">
            <w:pPr>
              <w:pStyle w:val="ListParagraph"/>
              <w:ind w:left="360"/>
              <w:jc w:val="center"/>
              <w:rPr>
                <w:b/>
                <w:i/>
                <w:lang w:val="fr-FR"/>
              </w:rPr>
            </w:pPr>
            <w:r w:rsidRPr="006538AB">
              <w:rPr>
                <w:b/>
                <w:i/>
                <w:lang w:val="fr-FR"/>
              </w:rPr>
              <w:t>Items</w:t>
            </w:r>
          </w:p>
        </w:tc>
        <w:tc>
          <w:tcPr>
            <w:tcW w:w="6210" w:type="dxa"/>
          </w:tcPr>
          <w:p w:rsidR="00066055" w:rsidRPr="006538AB" w:rsidRDefault="00066055" w:rsidP="00984F8E">
            <w:pPr>
              <w:pStyle w:val="ListParagraph"/>
              <w:ind w:left="360"/>
              <w:jc w:val="center"/>
              <w:rPr>
                <w:b/>
                <w:i/>
                <w:lang w:val="fr-FR"/>
              </w:rPr>
            </w:pPr>
            <w:r w:rsidRPr="006538AB">
              <w:rPr>
                <w:b/>
                <w:i/>
                <w:lang w:val="fr-FR"/>
              </w:rPr>
              <w:t>Etat d’avancement</w:t>
            </w:r>
          </w:p>
        </w:tc>
        <w:tc>
          <w:tcPr>
            <w:tcW w:w="1530" w:type="dxa"/>
          </w:tcPr>
          <w:p w:rsidR="00066055" w:rsidRPr="006538AB" w:rsidRDefault="00066055" w:rsidP="00984F8E">
            <w:pPr>
              <w:rPr>
                <w:b/>
                <w:i/>
                <w:lang w:val="fr-FR"/>
              </w:rPr>
            </w:pPr>
            <w:r w:rsidRPr="006538AB">
              <w:rPr>
                <w:b/>
                <w:i/>
                <w:lang w:val="fr-FR"/>
              </w:rPr>
              <w:t>Pourcentage</w:t>
            </w:r>
          </w:p>
        </w:tc>
      </w:tr>
      <w:tr w:rsidR="00066055" w:rsidRPr="006538AB" w:rsidTr="00984F8E">
        <w:tc>
          <w:tcPr>
            <w:tcW w:w="2808" w:type="dxa"/>
          </w:tcPr>
          <w:p w:rsidR="00066055" w:rsidRPr="006538AB" w:rsidRDefault="00066055" w:rsidP="00984F8E">
            <w:pPr>
              <w:jc w:val="both"/>
              <w:rPr>
                <w:lang w:val="fr-FR"/>
              </w:rPr>
            </w:pPr>
            <w:r w:rsidRPr="006538AB">
              <w:rPr>
                <w:lang w:val="fr-FR"/>
              </w:rPr>
              <w:t>Des recommandations sur les méthodes de construction parasismiques</w:t>
            </w:r>
            <w:r w:rsidR="00A54D2C" w:rsidRPr="006538AB">
              <w:rPr>
                <w:lang w:val="fr-FR"/>
              </w:rPr>
              <w:t xml:space="preserve"> </w:t>
            </w:r>
            <w:r w:rsidRPr="006538AB">
              <w:rPr>
                <w:lang w:val="fr-FR"/>
              </w:rPr>
              <w:t xml:space="preserve">sont établies en accord avec les </w:t>
            </w:r>
            <w:r w:rsidRPr="006538AB">
              <w:rPr>
                <w:lang w:val="fr-FR"/>
              </w:rPr>
              <w:lastRenderedPageBreak/>
              <w:t>procédures nationales du MTPTC.</w:t>
            </w:r>
          </w:p>
        </w:tc>
        <w:tc>
          <w:tcPr>
            <w:tcW w:w="6210" w:type="dxa"/>
          </w:tcPr>
          <w:p w:rsidR="00066055" w:rsidRPr="006538AB" w:rsidRDefault="00FE03FA" w:rsidP="00984F8E">
            <w:pPr>
              <w:jc w:val="both"/>
              <w:rPr>
                <w:lang w:val="fr-FR"/>
              </w:rPr>
            </w:pPr>
            <w:r w:rsidRPr="006538AB">
              <w:rPr>
                <w:lang w:val="fr-FR"/>
              </w:rPr>
              <w:lastRenderedPageBreak/>
              <w:t xml:space="preserve">10 ingénieurs ont été formés sur les techniques d’évaluation des bâtiments et </w:t>
            </w:r>
            <w:r w:rsidR="00A54D2C" w:rsidRPr="006538AB">
              <w:rPr>
                <w:lang w:val="fr-FR"/>
              </w:rPr>
              <w:t>infrastructures.</w:t>
            </w:r>
          </w:p>
          <w:p w:rsidR="00FE03FA" w:rsidRPr="006538AB" w:rsidRDefault="00FE03FA" w:rsidP="00984F8E">
            <w:pPr>
              <w:jc w:val="both"/>
              <w:rPr>
                <w:lang w:val="fr-FR"/>
              </w:rPr>
            </w:pPr>
            <w:r w:rsidRPr="006538AB">
              <w:rPr>
                <w:lang w:val="fr-FR"/>
              </w:rPr>
              <w:t xml:space="preserve">Amélioration des connaissances techniques pour 25 </w:t>
            </w:r>
            <w:r w:rsidR="00375049" w:rsidRPr="006538AB">
              <w:rPr>
                <w:lang w:val="fr-FR"/>
              </w:rPr>
              <w:t xml:space="preserve"> contrema</w:t>
            </w:r>
            <w:r w:rsidR="00D047C1">
              <w:rPr>
                <w:lang w:val="fr-FR"/>
              </w:rPr>
              <w:t>î</w:t>
            </w:r>
            <w:r w:rsidR="00375049" w:rsidRPr="006538AB">
              <w:rPr>
                <w:lang w:val="fr-FR"/>
              </w:rPr>
              <w:t xml:space="preserve">tres </w:t>
            </w:r>
            <w:r w:rsidRPr="006538AB">
              <w:rPr>
                <w:lang w:val="fr-FR"/>
              </w:rPr>
              <w:t xml:space="preserve"> formés en constructions parasismiques</w:t>
            </w:r>
            <w:r w:rsidR="00375049" w:rsidRPr="006538AB">
              <w:rPr>
                <w:lang w:val="fr-FR"/>
              </w:rPr>
              <w:t xml:space="preserve"> pendant six semaines </w:t>
            </w:r>
          </w:p>
          <w:p w:rsidR="00FE03FA" w:rsidRPr="006538AB" w:rsidRDefault="00A54D2C" w:rsidP="00984F8E">
            <w:pPr>
              <w:jc w:val="both"/>
              <w:rPr>
                <w:lang w:val="fr-FR"/>
              </w:rPr>
            </w:pPr>
            <w:r w:rsidRPr="006538AB">
              <w:rPr>
                <w:lang w:val="fr-FR"/>
              </w:rPr>
              <w:lastRenderedPageBreak/>
              <w:t>(maçonnerie</w:t>
            </w:r>
            <w:r w:rsidR="00FE03FA" w:rsidRPr="006538AB">
              <w:rPr>
                <w:lang w:val="fr-FR"/>
              </w:rPr>
              <w:t xml:space="preserve"> </w:t>
            </w:r>
            <w:r w:rsidRPr="006538AB">
              <w:rPr>
                <w:lang w:val="fr-FR"/>
              </w:rPr>
              <w:t>chainée</w:t>
            </w:r>
            <w:r w:rsidR="00FE03FA" w:rsidRPr="006538AB">
              <w:rPr>
                <w:lang w:val="fr-FR"/>
              </w:rPr>
              <w:t xml:space="preserve">) </w:t>
            </w:r>
          </w:p>
        </w:tc>
        <w:tc>
          <w:tcPr>
            <w:tcW w:w="1530" w:type="dxa"/>
          </w:tcPr>
          <w:p w:rsidR="00066055" w:rsidRPr="006538AB" w:rsidRDefault="00066055" w:rsidP="00984F8E">
            <w:pPr>
              <w:rPr>
                <w:lang w:val="fr-FR"/>
              </w:rPr>
            </w:pPr>
            <w:r w:rsidRPr="006538AB">
              <w:rPr>
                <w:lang w:val="fr-FR"/>
              </w:rPr>
              <w:lastRenderedPageBreak/>
              <w:t xml:space="preserve">          </w:t>
            </w:r>
            <w:r w:rsidR="00FE03FA" w:rsidRPr="006538AB">
              <w:rPr>
                <w:lang w:val="fr-FR"/>
              </w:rPr>
              <w:t>5</w:t>
            </w:r>
            <w:r w:rsidRPr="006538AB">
              <w:rPr>
                <w:lang w:val="fr-FR"/>
              </w:rPr>
              <w:t>0%</w:t>
            </w:r>
          </w:p>
        </w:tc>
      </w:tr>
      <w:tr w:rsidR="00066055" w:rsidRPr="006538AB" w:rsidTr="00984F8E">
        <w:tc>
          <w:tcPr>
            <w:tcW w:w="2808" w:type="dxa"/>
          </w:tcPr>
          <w:p w:rsidR="00066055" w:rsidRPr="006538AB" w:rsidRDefault="00066055" w:rsidP="00984F8E">
            <w:pPr>
              <w:jc w:val="both"/>
              <w:rPr>
                <w:lang w:val="fr-FR"/>
              </w:rPr>
            </w:pPr>
            <w:r w:rsidRPr="006538AB">
              <w:rPr>
                <w:lang w:val="fr-FR"/>
              </w:rPr>
              <w:lastRenderedPageBreak/>
              <w:t>Une formation continue en génie parasismique est mise en place pour les maçons et entrepreneurs de la construction.</w:t>
            </w:r>
          </w:p>
        </w:tc>
        <w:tc>
          <w:tcPr>
            <w:tcW w:w="6210" w:type="dxa"/>
          </w:tcPr>
          <w:p w:rsidR="00FE03FA" w:rsidRPr="006538AB" w:rsidRDefault="00FE03FA" w:rsidP="00FE03FA">
            <w:pPr>
              <w:jc w:val="both"/>
              <w:rPr>
                <w:lang w:val="fr-FR"/>
              </w:rPr>
            </w:pPr>
            <w:r w:rsidRPr="006538AB">
              <w:rPr>
                <w:lang w:val="fr-FR"/>
              </w:rPr>
              <w:t xml:space="preserve">Amélioration des connaissances techniques pour 25 </w:t>
            </w:r>
            <w:r w:rsidR="00375049" w:rsidRPr="006538AB">
              <w:rPr>
                <w:lang w:val="fr-FR"/>
              </w:rPr>
              <w:t>contrema</w:t>
            </w:r>
            <w:r w:rsidR="00D047C1">
              <w:rPr>
                <w:lang w:val="fr-FR"/>
              </w:rPr>
              <w:t>î</w:t>
            </w:r>
            <w:r w:rsidR="00375049" w:rsidRPr="006538AB">
              <w:rPr>
                <w:lang w:val="fr-FR"/>
              </w:rPr>
              <w:t xml:space="preserve">tres </w:t>
            </w:r>
            <w:r w:rsidRPr="006538AB">
              <w:rPr>
                <w:lang w:val="fr-FR"/>
              </w:rPr>
              <w:t xml:space="preserve"> qui étaient formés en construction parasismique</w:t>
            </w:r>
          </w:p>
          <w:p w:rsidR="00FE03FA" w:rsidRPr="006538AB" w:rsidRDefault="00A54D2C" w:rsidP="00FE03FA">
            <w:pPr>
              <w:jc w:val="both"/>
              <w:rPr>
                <w:lang w:val="fr-FR"/>
              </w:rPr>
            </w:pPr>
            <w:r w:rsidRPr="006538AB">
              <w:rPr>
                <w:lang w:val="fr-FR"/>
              </w:rPr>
              <w:t>(maçonnerie</w:t>
            </w:r>
            <w:r w:rsidR="00FE03FA" w:rsidRPr="006538AB">
              <w:rPr>
                <w:lang w:val="fr-FR"/>
              </w:rPr>
              <w:t xml:space="preserve"> </w:t>
            </w:r>
            <w:r w:rsidRPr="006538AB">
              <w:rPr>
                <w:lang w:val="fr-FR"/>
              </w:rPr>
              <w:t>chainée)</w:t>
            </w:r>
          </w:p>
          <w:p w:rsidR="00FE03FA" w:rsidRPr="006538AB" w:rsidRDefault="00FE03FA" w:rsidP="00984F8E">
            <w:pPr>
              <w:jc w:val="both"/>
              <w:rPr>
                <w:lang w:val="fr-FR"/>
              </w:rPr>
            </w:pPr>
            <w:r w:rsidRPr="006538AB">
              <w:rPr>
                <w:lang w:val="fr-FR"/>
              </w:rPr>
              <w:t xml:space="preserve">Mise en place du programme  de formation de 200 maçons </w:t>
            </w:r>
            <w:r w:rsidR="00066055" w:rsidRPr="006538AB">
              <w:rPr>
                <w:lang w:val="fr-FR"/>
              </w:rPr>
              <w:t xml:space="preserve">  dans les trois départements du </w:t>
            </w:r>
            <w:r w:rsidR="00D047C1">
              <w:rPr>
                <w:lang w:val="fr-FR"/>
              </w:rPr>
              <w:t>G</w:t>
            </w:r>
            <w:r w:rsidR="00066055" w:rsidRPr="006538AB">
              <w:rPr>
                <w:lang w:val="fr-FR"/>
              </w:rPr>
              <w:t>rand Nord.</w:t>
            </w:r>
          </w:p>
          <w:p w:rsidR="00066055" w:rsidRPr="006538AB" w:rsidRDefault="00FE03FA" w:rsidP="00984F8E">
            <w:pPr>
              <w:jc w:val="both"/>
              <w:rPr>
                <w:lang w:val="fr-FR"/>
              </w:rPr>
            </w:pPr>
            <w:r w:rsidRPr="006538AB">
              <w:rPr>
                <w:lang w:val="fr-FR"/>
              </w:rPr>
              <w:t>11 centres professionnels</w:t>
            </w:r>
            <w:r w:rsidR="00375049" w:rsidRPr="006538AB">
              <w:rPr>
                <w:lang w:val="fr-FR"/>
              </w:rPr>
              <w:t xml:space="preserve"> opérationnels</w:t>
            </w:r>
            <w:r w:rsidRPr="006538AB">
              <w:rPr>
                <w:lang w:val="fr-FR"/>
              </w:rPr>
              <w:t xml:space="preserve"> identifiés. </w:t>
            </w:r>
            <w:r w:rsidR="00066055" w:rsidRPr="006538AB">
              <w:rPr>
                <w:lang w:val="fr-FR"/>
              </w:rPr>
              <w:t xml:space="preserve"> La lettre  d’accord a été signée entre le PNUD et l’I</w:t>
            </w:r>
            <w:r w:rsidR="00FB032F" w:rsidRPr="006538AB">
              <w:rPr>
                <w:lang w:val="fr-FR"/>
              </w:rPr>
              <w:t xml:space="preserve">nstitut </w:t>
            </w:r>
            <w:r w:rsidR="00066055" w:rsidRPr="006538AB">
              <w:rPr>
                <w:lang w:val="fr-FR"/>
              </w:rPr>
              <w:t>N</w:t>
            </w:r>
            <w:r w:rsidR="00FB032F" w:rsidRPr="006538AB">
              <w:rPr>
                <w:lang w:val="fr-FR"/>
              </w:rPr>
              <w:t xml:space="preserve">ational  de </w:t>
            </w:r>
            <w:r w:rsidR="00066055" w:rsidRPr="006538AB">
              <w:rPr>
                <w:lang w:val="fr-FR"/>
              </w:rPr>
              <w:t>F</w:t>
            </w:r>
            <w:r w:rsidR="00FB032F" w:rsidRPr="006538AB">
              <w:rPr>
                <w:lang w:val="fr-FR"/>
              </w:rPr>
              <w:t xml:space="preserve">ormation </w:t>
            </w:r>
            <w:r w:rsidR="00066055" w:rsidRPr="006538AB">
              <w:rPr>
                <w:lang w:val="fr-FR"/>
              </w:rPr>
              <w:t>P</w:t>
            </w:r>
            <w:r w:rsidR="00FB032F" w:rsidRPr="006538AB">
              <w:rPr>
                <w:lang w:val="fr-FR"/>
              </w:rPr>
              <w:t>rofessionnel</w:t>
            </w:r>
            <w:r w:rsidR="00D047C1">
              <w:rPr>
                <w:lang w:val="fr-FR"/>
              </w:rPr>
              <w:t xml:space="preserve"> </w:t>
            </w:r>
            <w:r w:rsidR="00FB032F" w:rsidRPr="006538AB">
              <w:rPr>
                <w:lang w:val="fr-FR"/>
              </w:rPr>
              <w:t xml:space="preserve">(INFP) </w:t>
            </w:r>
            <w:r w:rsidR="00066055" w:rsidRPr="006538AB">
              <w:rPr>
                <w:lang w:val="fr-FR"/>
              </w:rPr>
              <w:t xml:space="preserve"> pour la formation adéquate de ces professionnels de la </w:t>
            </w:r>
            <w:r w:rsidR="00375049" w:rsidRPr="006538AB">
              <w:rPr>
                <w:lang w:val="fr-FR"/>
              </w:rPr>
              <w:t>construction.</w:t>
            </w:r>
          </w:p>
          <w:p w:rsidR="00066055" w:rsidRPr="006538AB" w:rsidRDefault="00066055" w:rsidP="00984F8E">
            <w:pPr>
              <w:jc w:val="both"/>
              <w:rPr>
                <w:lang w:val="fr-FR"/>
              </w:rPr>
            </w:pPr>
          </w:p>
          <w:p w:rsidR="00066055" w:rsidRPr="006538AB" w:rsidRDefault="00066055" w:rsidP="00984F8E">
            <w:pPr>
              <w:jc w:val="both"/>
              <w:rPr>
                <w:lang w:val="fr-FR"/>
              </w:rPr>
            </w:pPr>
          </w:p>
        </w:tc>
        <w:tc>
          <w:tcPr>
            <w:tcW w:w="1530" w:type="dxa"/>
          </w:tcPr>
          <w:p w:rsidR="00066055" w:rsidRPr="006538AB" w:rsidRDefault="00FB032F" w:rsidP="00984F8E">
            <w:pPr>
              <w:jc w:val="center"/>
              <w:rPr>
                <w:lang w:val="fr-FR"/>
              </w:rPr>
            </w:pPr>
            <w:r w:rsidRPr="006538AB">
              <w:rPr>
                <w:lang w:val="fr-FR"/>
              </w:rPr>
              <w:t>5</w:t>
            </w:r>
            <w:r w:rsidR="00066055" w:rsidRPr="006538AB">
              <w:rPr>
                <w:lang w:val="fr-FR"/>
              </w:rPr>
              <w:t>0%</w:t>
            </w:r>
          </w:p>
        </w:tc>
      </w:tr>
      <w:tr w:rsidR="00066055" w:rsidRPr="006538AB" w:rsidTr="00984F8E">
        <w:tc>
          <w:tcPr>
            <w:tcW w:w="2808" w:type="dxa"/>
          </w:tcPr>
          <w:p w:rsidR="00066055" w:rsidRPr="006538AB" w:rsidRDefault="00066055" w:rsidP="00984F8E">
            <w:pPr>
              <w:jc w:val="both"/>
              <w:rPr>
                <w:lang w:val="fr-FR"/>
              </w:rPr>
            </w:pPr>
            <w:r w:rsidRPr="006538AB">
              <w:rPr>
                <w:lang w:val="fr-FR"/>
              </w:rPr>
              <w:t>Une formation continue en génie parasismique est mise en place pour les ingénieurs et architectes de la construction.</w:t>
            </w:r>
          </w:p>
        </w:tc>
        <w:tc>
          <w:tcPr>
            <w:tcW w:w="6210" w:type="dxa"/>
          </w:tcPr>
          <w:p w:rsidR="00066055" w:rsidRPr="006538AB" w:rsidRDefault="00066055" w:rsidP="00984F8E">
            <w:pPr>
              <w:jc w:val="both"/>
              <w:rPr>
                <w:lang w:val="fr-FR"/>
              </w:rPr>
            </w:pPr>
            <w:r w:rsidRPr="006538AB">
              <w:rPr>
                <w:lang w:val="fr-FR"/>
              </w:rPr>
              <w:t xml:space="preserve"> Des discussions sont en cours ave</w:t>
            </w:r>
            <w:r w:rsidR="00FB032F" w:rsidRPr="006538AB">
              <w:rPr>
                <w:lang w:val="fr-FR"/>
              </w:rPr>
              <w:t>c le MTPTC pour la formation de 60</w:t>
            </w:r>
            <w:r w:rsidRPr="006538AB">
              <w:rPr>
                <w:lang w:val="fr-FR"/>
              </w:rPr>
              <w:t xml:space="preserve"> ingénieurs et architectes. Le MTPTC a  déjà soumis un document de référence et après analyse</w:t>
            </w:r>
            <w:r w:rsidR="00D047C1">
              <w:rPr>
                <w:lang w:val="fr-FR"/>
              </w:rPr>
              <w:t>,</w:t>
            </w:r>
            <w:r w:rsidRPr="006538AB">
              <w:rPr>
                <w:lang w:val="fr-FR"/>
              </w:rPr>
              <w:t xml:space="preserve"> le PNUD va procéder aux suites utiles.</w:t>
            </w:r>
          </w:p>
          <w:p w:rsidR="00066055" w:rsidRPr="006538AB" w:rsidRDefault="00066055" w:rsidP="00984F8E">
            <w:pPr>
              <w:jc w:val="both"/>
              <w:rPr>
                <w:lang w:val="fr-FR"/>
              </w:rPr>
            </w:pPr>
            <w:r w:rsidRPr="006538AB">
              <w:rPr>
                <w:lang w:val="fr-FR"/>
              </w:rPr>
              <w:t>Le consortium sélectionné va aussi former les ingénieurs</w:t>
            </w:r>
            <w:r w:rsidR="00D047C1">
              <w:rPr>
                <w:lang w:val="fr-FR"/>
              </w:rPr>
              <w:t>.</w:t>
            </w:r>
            <w:r w:rsidRPr="006538AB">
              <w:rPr>
                <w:lang w:val="fr-FR"/>
              </w:rPr>
              <w:t xml:space="preserve"> </w:t>
            </w:r>
          </w:p>
        </w:tc>
        <w:tc>
          <w:tcPr>
            <w:tcW w:w="1530" w:type="dxa"/>
          </w:tcPr>
          <w:p w:rsidR="00066055" w:rsidRPr="006538AB" w:rsidRDefault="00FB032F" w:rsidP="00984F8E">
            <w:pPr>
              <w:jc w:val="center"/>
              <w:rPr>
                <w:lang w:val="fr-FR"/>
              </w:rPr>
            </w:pPr>
            <w:r w:rsidRPr="006538AB">
              <w:rPr>
                <w:lang w:val="fr-FR"/>
              </w:rPr>
              <w:t>2</w:t>
            </w:r>
            <w:r w:rsidR="00066055" w:rsidRPr="006538AB">
              <w:rPr>
                <w:lang w:val="fr-FR"/>
              </w:rPr>
              <w:t>0%</w:t>
            </w:r>
          </w:p>
        </w:tc>
      </w:tr>
    </w:tbl>
    <w:p w:rsidR="00066055" w:rsidRPr="006538AB" w:rsidRDefault="00066055" w:rsidP="00066055">
      <w:pPr>
        <w:pStyle w:val="ListParagraph"/>
        <w:ind w:left="360"/>
        <w:jc w:val="both"/>
        <w:rPr>
          <w:color w:val="000000"/>
          <w:lang w:val="fr-FR"/>
        </w:rPr>
      </w:pPr>
    </w:p>
    <w:p w:rsidR="00066055" w:rsidRPr="006538AB" w:rsidRDefault="00066055" w:rsidP="00066055">
      <w:pPr>
        <w:jc w:val="both"/>
        <w:rPr>
          <w:b/>
          <w:lang w:val="fr-FR"/>
        </w:rPr>
      </w:pPr>
    </w:p>
    <w:p w:rsidR="00066055" w:rsidRPr="006538AB" w:rsidRDefault="00066055" w:rsidP="00066055">
      <w:pPr>
        <w:jc w:val="both"/>
        <w:rPr>
          <w:b/>
          <w:lang w:val="fr-FR"/>
        </w:rPr>
      </w:pPr>
      <w:r w:rsidRPr="006538AB">
        <w:rPr>
          <w:b/>
          <w:lang w:val="fr-FR"/>
        </w:rPr>
        <w:t xml:space="preserve">Produit 5 : </w:t>
      </w:r>
      <w:r w:rsidRPr="006538AB">
        <w:rPr>
          <w:i/>
          <w:color w:val="000000"/>
          <w:lang w:val="fr-FR"/>
        </w:rPr>
        <w:t>Le grand public, le milieu scolaire et hospitalier sont informés et préparés face à la menace sismique</w:t>
      </w:r>
      <w:r w:rsidRPr="006538AB">
        <w:rPr>
          <w:color w:val="000000"/>
          <w:lang w:val="fr-FR"/>
        </w:rPr>
        <w:t> :</w:t>
      </w:r>
    </w:p>
    <w:p w:rsidR="00066055" w:rsidRPr="006538AB"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Une stratégie est développée pour l'information et l'éducation du public sur la menace sismique et les solutions techniques pour s’y adapter;</w:t>
      </w:r>
    </w:p>
    <w:p w:rsidR="00066055" w:rsidRPr="006538AB"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L’information du p</w:t>
      </w:r>
      <w:r w:rsidR="00FB032F" w:rsidRPr="006538AB">
        <w:rPr>
          <w:color w:val="000000"/>
          <w:lang w:val="fr-FR"/>
        </w:rPr>
        <w:t xml:space="preserve">ublic continue </w:t>
      </w:r>
      <w:r w:rsidRPr="006538AB">
        <w:rPr>
          <w:color w:val="000000"/>
          <w:lang w:val="fr-FR"/>
        </w:rPr>
        <w:t xml:space="preserve">dans les </w:t>
      </w:r>
      <w:r w:rsidR="00FB032F" w:rsidRPr="006538AB">
        <w:rPr>
          <w:color w:val="000000"/>
          <w:lang w:val="fr-FR"/>
        </w:rPr>
        <w:t xml:space="preserve">4 grandes villes du </w:t>
      </w:r>
      <w:r w:rsidR="00D047C1">
        <w:rPr>
          <w:color w:val="000000"/>
          <w:lang w:val="fr-FR"/>
        </w:rPr>
        <w:t>G</w:t>
      </w:r>
      <w:r w:rsidR="00FB032F" w:rsidRPr="006538AB">
        <w:rPr>
          <w:color w:val="000000"/>
          <w:lang w:val="fr-FR"/>
        </w:rPr>
        <w:t xml:space="preserve">rand </w:t>
      </w:r>
      <w:r w:rsidR="00D047C1">
        <w:rPr>
          <w:color w:val="000000"/>
          <w:lang w:val="fr-FR"/>
        </w:rPr>
        <w:t>N</w:t>
      </w:r>
      <w:r w:rsidR="00FB032F" w:rsidRPr="006538AB">
        <w:rPr>
          <w:color w:val="000000"/>
          <w:lang w:val="fr-FR"/>
        </w:rPr>
        <w:t>ord grâce aux programmes transversa</w:t>
      </w:r>
      <w:r w:rsidR="00375049" w:rsidRPr="006538AB">
        <w:rPr>
          <w:color w:val="000000"/>
          <w:lang w:val="fr-FR"/>
        </w:rPr>
        <w:t xml:space="preserve">ux </w:t>
      </w:r>
      <w:r w:rsidR="00FB032F" w:rsidRPr="006538AB">
        <w:rPr>
          <w:color w:val="000000"/>
          <w:lang w:val="fr-FR"/>
        </w:rPr>
        <w:t xml:space="preserve"> de sensibilisation.</w:t>
      </w:r>
    </w:p>
    <w:p w:rsidR="00066055"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Les écoles et hôpitaux « pilotes » (deux par grande ville) sont identifiés et des actions de sensibilisation y sont engagées.</w:t>
      </w:r>
    </w:p>
    <w:p w:rsidR="002E2767" w:rsidRPr="006538AB" w:rsidRDefault="002E2767" w:rsidP="002E2767">
      <w:pPr>
        <w:pStyle w:val="ListParagraph"/>
        <w:spacing w:after="200" w:line="276" w:lineRule="auto"/>
        <w:ind w:left="360"/>
        <w:jc w:val="both"/>
        <w:rPr>
          <w:color w:val="000000"/>
          <w:lang w:val="fr-FR"/>
        </w:rPr>
      </w:pPr>
    </w:p>
    <w:p w:rsidR="00066055" w:rsidRPr="006538AB" w:rsidRDefault="00066055" w:rsidP="00066055">
      <w:pPr>
        <w:pStyle w:val="ListParagraph"/>
        <w:spacing w:before="240" w:after="120"/>
        <w:ind w:left="360" w:firstLine="360"/>
        <w:contextualSpacing w:val="0"/>
        <w:jc w:val="both"/>
        <w:rPr>
          <w:b/>
          <w:i/>
          <w:u w:val="single"/>
          <w:lang w:val="fr-FR"/>
        </w:rPr>
      </w:pPr>
      <w:r w:rsidRPr="006538AB">
        <w:rPr>
          <w:b/>
          <w:i/>
          <w:u w:val="single"/>
          <w:lang w:val="fr-FR"/>
        </w:rPr>
        <w:t>Résultats obtenus   par rapport au produit #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6210"/>
        <w:gridCol w:w="1530"/>
      </w:tblGrid>
      <w:tr w:rsidR="00066055" w:rsidRPr="006538AB" w:rsidTr="00984F8E">
        <w:tc>
          <w:tcPr>
            <w:tcW w:w="2808" w:type="dxa"/>
          </w:tcPr>
          <w:p w:rsidR="00066055" w:rsidRPr="006538AB" w:rsidRDefault="00066055" w:rsidP="00984F8E">
            <w:pPr>
              <w:pStyle w:val="ListParagraph"/>
              <w:ind w:left="360"/>
              <w:jc w:val="center"/>
              <w:rPr>
                <w:b/>
                <w:i/>
                <w:lang w:val="fr-FR"/>
              </w:rPr>
            </w:pPr>
            <w:r w:rsidRPr="006538AB">
              <w:rPr>
                <w:b/>
                <w:i/>
                <w:lang w:val="fr-FR"/>
              </w:rPr>
              <w:t>Items</w:t>
            </w:r>
          </w:p>
        </w:tc>
        <w:tc>
          <w:tcPr>
            <w:tcW w:w="6210" w:type="dxa"/>
          </w:tcPr>
          <w:p w:rsidR="00066055" w:rsidRPr="006538AB" w:rsidRDefault="00066055" w:rsidP="00984F8E">
            <w:pPr>
              <w:pStyle w:val="ListParagraph"/>
              <w:ind w:left="360"/>
              <w:jc w:val="center"/>
              <w:rPr>
                <w:b/>
                <w:i/>
                <w:lang w:val="fr-FR"/>
              </w:rPr>
            </w:pPr>
            <w:r w:rsidRPr="006538AB">
              <w:rPr>
                <w:b/>
                <w:i/>
                <w:lang w:val="fr-FR"/>
              </w:rPr>
              <w:t>Etat d’avancement</w:t>
            </w:r>
          </w:p>
        </w:tc>
        <w:tc>
          <w:tcPr>
            <w:tcW w:w="1530" w:type="dxa"/>
          </w:tcPr>
          <w:p w:rsidR="00066055" w:rsidRPr="006538AB" w:rsidRDefault="00066055" w:rsidP="00984F8E">
            <w:pPr>
              <w:rPr>
                <w:b/>
                <w:i/>
                <w:lang w:val="fr-FR"/>
              </w:rPr>
            </w:pPr>
            <w:r w:rsidRPr="006538AB">
              <w:rPr>
                <w:b/>
                <w:i/>
                <w:lang w:val="fr-FR"/>
              </w:rPr>
              <w:t>Pourcentage</w:t>
            </w:r>
          </w:p>
        </w:tc>
      </w:tr>
      <w:tr w:rsidR="00066055" w:rsidRPr="006538AB" w:rsidTr="00984F8E">
        <w:tc>
          <w:tcPr>
            <w:tcW w:w="2808" w:type="dxa"/>
          </w:tcPr>
          <w:p w:rsidR="00066055" w:rsidRPr="006538AB" w:rsidRDefault="00066055" w:rsidP="00984F8E">
            <w:pPr>
              <w:jc w:val="both"/>
              <w:rPr>
                <w:lang w:val="fr-FR"/>
              </w:rPr>
            </w:pPr>
            <w:r w:rsidRPr="006538AB">
              <w:rPr>
                <w:lang w:val="fr-FR"/>
              </w:rPr>
              <w:t>Une stratégie est développée pour l'information et l'éducation du public sur la menace sismique et les solutions techniques pour s’y adapter.</w:t>
            </w:r>
          </w:p>
        </w:tc>
        <w:tc>
          <w:tcPr>
            <w:tcW w:w="6210" w:type="dxa"/>
          </w:tcPr>
          <w:p w:rsidR="00066055" w:rsidRPr="006538AB" w:rsidRDefault="00066055" w:rsidP="00984F8E">
            <w:pPr>
              <w:jc w:val="both"/>
              <w:rPr>
                <w:i/>
                <w:lang w:val="fr-FR"/>
              </w:rPr>
            </w:pPr>
            <w:r w:rsidRPr="006538AB">
              <w:rPr>
                <w:i/>
                <w:lang w:val="fr-FR"/>
              </w:rPr>
              <w:t>Implication des autorités locales et nationales dans les programmes de sensibilisation  et d’éducation</w:t>
            </w:r>
          </w:p>
          <w:p w:rsidR="00066055" w:rsidRPr="006538AB" w:rsidRDefault="00066055" w:rsidP="00066055">
            <w:pPr>
              <w:numPr>
                <w:ilvl w:val="0"/>
                <w:numId w:val="22"/>
              </w:numPr>
              <w:jc w:val="both"/>
              <w:rPr>
                <w:i/>
                <w:lang w:val="fr-FR"/>
              </w:rPr>
            </w:pPr>
            <w:r w:rsidRPr="006538AB">
              <w:rPr>
                <w:rFonts w:eastAsia="Calibri"/>
                <w:lang w:val="fr-FR"/>
              </w:rPr>
              <w:t xml:space="preserve">plus de 500 élèves  provenant de dix écoles de la ville </w:t>
            </w:r>
            <w:r w:rsidR="00BD3A56" w:rsidRPr="006538AB">
              <w:rPr>
                <w:rFonts w:eastAsia="Calibri"/>
                <w:lang w:val="fr-FR"/>
              </w:rPr>
              <w:t xml:space="preserve"> de Fort</w:t>
            </w:r>
            <w:r w:rsidR="00D047C1">
              <w:rPr>
                <w:rFonts w:eastAsia="Calibri"/>
                <w:lang w:val="fr-FR"/>
              </w:rPr>
              <w:t>-</w:t>
            </w:r>
            <w:r w:rsidR="00BD3A56" w:rsidRPr="006538AB">
              <w:rPr>
                <w:rFonts w:eastAsia="Calibri"/>
                <w:lang w:val="fr-FR"/>
              </w:rPr>
              <w:t xml:space="preserve">Liberté </w:t>
            </w:r>
            <w:r w:rsidRPr="006538AB">
              <w:rPr>
                <w:rFonts w:eastAsia="Calibri"/>
                <w:lang w:val="fr-FR"/>
              </w:rPr>
              <w:t>ont été sensibilisés grâce aux activités de commémoration du</w:t>
            </w:r>
            <w:r w:rsidR="00D047C1">
              <w:rPr>
                <w:rFonts w:eastAsia="Calibri"/>
                <w:lang w:val="fr-FR"/>
              </w:rPr>
              <w:t xml:space="preserve"> séisme du</w:t>
            </w:r>
            <w:r w:rsidRPr="006538AB">
              <w:rPr>
                <w:rFonts w:eastAsia="Calibri"/>
                <w:lang w:val="fr-FR"/>
              </w:rPr>
              <w:t xml:space="preserve"> 7 Mai  1842. Ils ont aussi participé </w:t>
            </w:r>
            <w:r w:rsidR="00375049" w:rsidRPr="006538AB">
              <w:rPr>
                <w:rFonts w:eastAsia="Calibri"/>
                <w:lang w:val="fr-FR"/>
              </w:rPr>
              <w:t xml:space="preserve"> à la Marche Mémoriale</w:t>
            </w:r>
            <w:r w:rsidRPr="006538AB">
              <w:rPr>
                <w:rFonts w:eastAsia="Calibri"/>
                <w:lang w:val="fr-FR"/>
              </w:rPr>
              <w:t xml:space="preserve"> du 9 Mai pour sensibiliser le grand public de Fort</w:t>
            </w:r>
            <w:r w:rsidR="00D047C1">
              <w:rPr>
                <w:rFonts w:eastAsia="Calibri"/>
                <w:lang w:val="fr-FR"/>
              </w:rPr>
              <w:t>-L</w:t>
            </w:r>
            <w:r w:rsidRPr="006538AB">
              <w:rPr>
                <w:rFonts w:eastAsia="Calibri"/>
                <w:lang w:val="fr-FR"/>
              </w:rPr>
              <w:t>iberté</w:t>
            </w:r>
          </w:p>
          <w:p w:rsidR="00066055" w:rsidRPr="006538AB" w:rsidRDefault="00066055" w:rsidP="00066055">
            <w:pPr>
              <w:numPr>
                <w:ilvl w:val="0"/>
                <w:numId w:val="22"/>
              </w:numPr>
              <w:jc w:val="both"/>
              <w:rPr>
                <w:i/>
                <w:lang w:val="fr-FR"/>
              </w:rPr>
            </w:pPr>
            <w:r w:rsidRPr="006538AB">
              <w:rPr>
                <w:rFonts w:eastAsia="Calibri"/>
                <w:lang w:val="fr-FR"/>
              </w:rPr>
              <w:t>un nouveau noyau de 800 élèves  est formé par les brigadiers dans les techniques de premiers secours  en cas de de tremblement de terre (technique de transport des blessés; lutte contre incendies et sauvetage sous les décombres au niveau du Cap-Ha</w:t>
            </w:r>
            <w:r w:rsidR="00D047C1">
              <w:rPr>
                <w:rFonts w:eastAsia="Calibri"/>
                <w:lang w:val="fr-FR"/>
              </w:rPr>
              <w:t>ï</w:t>
            </w:r>
            <w:r w:rsidRPr="006538AB">
              <w:rPr>
                <w:rFonts w:eastAsia="Calibri"/>
                <w:lang w:val="fr-FR"/>
              </w:rPr>
              <w:t>tien</w:t>
            </w:r>
            <w:r w:rsidR="00D5209E" w:rsidRPr="006538AB">
              <w:rPr>
                <w:rFonts w:eastAsia="Calibri"/>
                <w:lang w:val="fr-FR"/>
              </w:rPr>
              <w:t>. Un stand Infos a eu lieu au Cap-Ha</w:t>
            </w:r>
            <w:r w:rsidR="00D047C1">
              <w:rPr>
                <w:rFonts w:eastAsia="Calibri"/>
                <w:lang w:val="fr-FR"/>
              </w:rPr>
              <w:t>ï</w:t>
            </w:r>
            <w:r w:rsidR="00D5209E" w:rsidRPr="006538AB">
              <w:rPr>
                <w:rFonts w:eastAsia="Calibri"/>
                <w:lang w:val="fr-FR"/>
              </w:rPr>
              <w:t xml:space="preserve">tien avec l’appui de la DPC et plusieurs centaines de participants comprennent la menace sismique qui </w:t>
            </w:r>
            <w:r w:rsidR="008859B3" w:rsidRPr="006538AB">
              <w:rPr>
                <w:rFonts w:eastAsia="Calibri"/>
                <w:lang w:val="fr-FR"/>
              </w:rPr>
              <w:t>pèse</w:t>
            </w:r>
            <w:r w:rsidR="00D5209E" w:rsidRPr="006538AB">
              <w:rPr>
                <w:rFonts w:eastAsia="Calibri"/>
                <w:lang w:val="fr-FR"/>
              </w:rPr>
              <w:t xml:space="preserve"> sur la </w:t>
            </w:r>
            <w:r w:rsidR="00B64438" w:rsidRPr="006538AB">
              <w:rPr>
                <w:rFonts w:eastAsia="Calibri"/>
                <w:lang w:val="fr-FR"/>
              </w:rPr>
              <w:t>région</w:t>
            </w:r>
            <w:r w:rsidR="00D5209E" w:rsidRPr="006538AB">
              <w:rPr>
                <w:rFonts w:eastAsia="Calibri"/>
                <w:lang w:val="fr-FR"/>
              </w:rPr>
              <w:t xml:space="preserve">. </w:t>
            </w:r>
          </w:p>
          <w:p w:rsidR="00066055" w:rsidRPr="006538AB" w:rsidRDefault="00066055" w:rsidP="00066055">
            <w:pPr>
              <w:numPr>
                <w:ilvl w:val="0"/>
                <w:numId w:val="22"/>
              </w:numPr>
              <w:jc w:val="both"/>
              <w:rPr>
                <w:i/>
                <w:lang w:val="fr-FR"/>
              </w:rPr>
            </w:pPr>
            <w:r w:rsidRPr="006538AB">
              <w:rPr>
                <w:rFonts w:eastAsia="Calibri"/>
                <w:lang w:val="fr-FR"/>
              </w:rPr>
              <w:t>Formation de 47 étudiantes</w:t>
            </w:r>
            <w:r w:rsidR="00D047C1">
              <w:rPr>
                <w:rFonts w:eastAsia="Calibri"/>
                <w:lang w:val="fr-FR"/>
              </w:rPr>
              <w:t xml:space="preserve"> de l'</w:t>
            </w:r>
            <w:r w:rsidRPr="006538AB">
              <w:rPr>
                <w:rFonts w:eastAsia="Calibri"/>
                <w:lang w:val="fr-FR"/>
              </w:rPr>
              <w:t xml:space="preserve">Ecole </w:t>
            </w:r>
            <w:r w:rsidR="00375049" w:rsidRPr="006538AB">
              <w:rPr>
                <w:rFonts w:eastAsia="Calibri"/>
                <w:lang w:val="fr-FR"/>
              </w:rPr>
              <w:t xml:space="preserve"> des Infirmières</w:t>
            </w:r>
            <w:r w:rsidRPr="006538AB">
              <w:rPr>
                <w:rFonts w:eastAsia="Calibri"/>
                <w:lang w:val="fr-FR"/>
              </w:rPr>
              <w:t xml:space="preserve"> de l’</w:t>
            </w:r>
            <w:r w:rsidR="00375049" w:rsidRPr="006538AB">
              <w:rPr>
                <w:rFonts w:eastAsia="Calibri"/>
                <w:lang w:val="fr-FR"/>
              </w:rPr>
              <w:t>U</w:t>
            </w:r>
            <w:r w:rsidRPr="006538AB">
              <w:rPr>
                <w:rFonts w:eastAsia="Calibri"/>
                <w:lang w:val="fr-FR"/>
              </w:rPr>
              <w:t>niversité Notre Dame  d’Haïti du Nord-Ouest aux fins de devenir formateur</w:t>
            </w:r>
            <w:r w:rsidR="00375049" w:rsidRPr="006538AB">
              <w:rPr>
                <w:rFonts w:eastAsia="Calibri"/>
                <w:lang w:val="fr-FR"/>
              </w:rPr>
              <w:t>s</w:t>
            </w:r>
            <w:r w:rsidRPr="006538AB">
              <w:rPr>
                <w:rFonts w:eastAsia="Calibri"/>
                <w:lang w:val="fr-FR"/>
              </w:rPr>
              <w:t xml:space="preserve"> des formateurs</w:t>
            </w:r>
            <w:r w:rsidR="00375049" w:rsidRPr="006538AB">
              <w:rPr>
                <w:rFonts w:eastAsia="Calibri"/>
                <w:lang w:val="fr-FR"/>
              </w:rPr>
              <w:t xml:space="preserve"> et une </w:t>
            </w:r>
            <w:r w:rsidR="00375049" w:rsidRPr="006538AB">
              <w:rPr>
                <w:rFonts w:eastAsia="Calibri"/>
                <w:lang w:val="fr-FR"/>
              </w:rPr>
              <w:lastRenderedPageBreak/>
              <w:t xml:space="preserve">vingtaine de </w:t>
            </w:r>
            <w:r w:rsidR="00D5209E" w:rsidRPr="006538AB">
              <w:rPr>
                <w:rFonts w:eastAsia="Calibri"/>
                <w:lang w:val="fr-FR"/>
              </w:rPr>
              <w:t>vacanciers formés pour faire une campagne de porte-à-porte.</w:t>
            </w:r>
          </w:p>
          <w:p w:rsidR="00BD3A56" w:rsidRPr="006538AB" w:rsidRDefault="00B64438" w:rsidP="00066055">
            <w:pPr>
              <w:numPr>
                <w:ilvl w:val="0"/>
                <w:numId w:val="22"/>
              </w:numPr>
              <w:jc w:val="both"/>
              <w:rPr>
                <w:i/>
                <w:lang w:val="fr-FR"/>
              </w:rPr>
            </w:pPr>
            <w:r w:rsidRPr="006538AB">
              <w:rPr>
                <w:rFonts w:eastAsia="Calibri"/>
                <w:lang w:val="fr-FR"/>
              </w:rPr>
              <w:t>Formation de 70 maires dans les</w:t>
            </w:r>
            <w:r w:rsidR="00BD3A56" w:rsidRPr="006538AB">
              <w:rPr>
                <w:rFonts w:eastAsia="Calibri"/>
                <w:lang w:val="fr-FR"/>
              </w:rPr>
              <w:t xml:space="preserve"> </w:t>
            </w:r>
            <w:r w:rsidR="00D047C1">
              <w:rPr>
                <w:rFonts w:eastAsia="Calibri"/>
                <w:lang w:val="fr-FR"/>
              </w:rPr>
              <w:t>d</w:t>
            </w:r>
            <w:r w:rsidR="00375049" w:rsidRPr="006538AB">
              <w:rPr>
                <w:rFonts w:eastAsia="Calibri"/>
                <w:lang w:val="fr-FR"/>
              </w:rPr>
              <w:t>épartement</w:t>
            </w:r>
            <w:r w:rsidRPr="006538AB">
              <w:rPr>
                <w:rFonts w:eastAsia="Calibri"/>
                <w:lang w:val="fr-FR"/>
              </w:rPr>
              <w:t>s</w:t>
            </w:r>
            <w:r w:rsidR="00375049" w:rsidRPr="006538AB">
              <w:rPr>
                <w:rFonts w:eastAsia="Calibri"/>
                <w:lang w:val="fr-FR"/>
              </w:rPr>
              <w:t xml:space="preserve"> </w:t>
            </w:r>
            <w:r w:rsidR="00BD3A56" w:rsidRPr="006538AB">
              <w:rPr>
                <w:rFonts w:eastAsia="Calibri"/>
                <w:lang w:val="fr-FR"/>
              </w:rPr>
              <w:t xml:space="preserve"> du </w:t>
            </w:r>
            <w:r w:rsidR="00375049" w:rsidRPr="006538AB">
              <w:rPr>
                <w:rFonts w:eastAsia="Calibri"/>
                <w:lang w:val="fr-FR"/>
              </w:rPr>
              <w:t>N</w:t>
            </w:r>
            <w:r w:rsidR="00A54D2C" w:rsidRPr="006538AB">
              <w:rPr>
                <w:rFonts w:eastAsia="Calibri"/>
                <w:lang w:val="fr-FR"/>
              </w:rPr>
              <w:t xml:space="preserve">ord et </w:t>
            </w:r>
            <w:r w:rsidRPr="006538AB">
              <w:rPr>
                <w:rFonts w:eastAsia="Calibri"/>
                <w:lang w:val="fr-FR"/>
              </w:rPr>
              <w:t xml:space="preserve">du </w:t>
            </w:r>
            <w:r w:rsidR="00A54D2C" w:rsidRPr="006538AB">
              <w:rPr>
                <w:rFonts w:eastAsia="Calibri"/>
                <w:lang w:val="fr-FR"/>
              </w:rPr>
              <w:t xml:space="preserve">Nord-Ouest </w:t>
            </w:r>
            <w:r w:rsidR="00BD3A56" w:rsidRPr="006538AB">
              <w:rPr>
                <w:rFonts w:eastAsia="Calibri"/>
                <w:lang w:val="fr-FR"/>
              </w:rPr>
              <w:t>en gestion des risques.</w:t>
            </w:r>
          </w:p>
          <w:p w:rsidR="00D5209E" w:rsidRPr="006538AB" w:rsidRDefault="00D5209E" w:rsidP="00066055">
            <w:pPr>
              <w:numPr>
                <w:ilvl w:val="0"/>
                <w:numId w:val="22"/>
              </w:numPr>
              <w:jc w:val="both"/>
              <w:rPr>
                <w:i/>
                <w:lang w:val="fr-FR"/>
              </w:rPr>
            </w:pPr>
            <w:r w:rsidRPr="006538AB">
              <w:rPr>
                <w:rFonts w:eastAsia="Calibri"/>
                <w:lang w:val="fr-FR"/>
              </w:rPr>
              <w:t xml:space="preserve">Cinquante (50) leaders communautaires ont été sensibilisés dans le </w:t>
            </w:r>
            <w:r w:rsidR="00D047C1">
              <w:rPr>
                <w:rFonts w:eastAsia="Calibri"/>
                <w:lang w:val="fr-FR"/>
              </w:rPr>
              <w:t>N</w:t>
            </w:r>
            <w:r w:rsidRPr="006538AB">
              <w:rPr>
                <w:rFonts w:eastAsia="Calibri"/>
                <w:lang w:val="fr-FR"/>
              </w:rPr>
              <w:t>ord-</w:t>
            </w:r>
            <w:r w:rsidR="00D047C1">
              <w:rPr>
                <w:rFonts w:eastAsia="Calibri"/>
                <w:lang w:val="fr-FR"/>
              </w:rPr>
              <w:t>E</w:t>
            </w:r>
            <w:r w:rsidRPr="006538AB">
              <w:rPr>
                <w:rFonts w:eastAsia="Calibri"/>
                <w:lang w:val="fr-FR"/>
              </w:rPr>
              <w:t>st au risque sismique</w:t>
            </w:r>
          </w:p>
          <w:p w:rsidR="00066055" w:rsidRPr="006538AB" w:rsidRDefault="00066055" w:rsidP="00984F8E">
            <w:pPr>
              <w:jc w:val="both"/>
              <w:rPr>
                <w:lang w:val="fr-FR"/>
              </w:rPr>
            </w:pPr>
            <w:r w:rsidRPr="006538AB">
              <w:rPr>
                <w:lang w:val="fr-FR"/>
              </w:rPr>
              <w:t xml:space="preserve"> </w:t>
            </w:r>
          </w:p>
        </w:tc>
        <w:tc>
          <w:tcPr>
            <w:tcW w:w="1530" w:type="dxa"/>
          </w:tcPr>
          <w:p w:rsidR="00066055" w:rsidRPr="006538AB" w:rsidRDefault="00066055" w:rsidP="00984F8E">
            <w:pPr>
              <w:jc w:val="center"/>
              <w:rPr>
                <w:lang w:val="fr-FR"/>
              </w:rPr>
            </w:pPr>
          </w:p>
          <w:p w:rsidR="00066055" w:rsidRPr="006538AB" w:rsidRDefault="00066055" w:rsidP="00984F8E">
            <w:pPr>
              <w:jc w:val="center"/>
              <w:rPr>
                <w:lang w:val="fr-FR"/>
              </w:rPr>
            </w:pPr>
          </w:p>
          <w:p w:rsidR="00066055" w:rsidRPr="006538AB" w:rsidRDefault="00066055" w:rsidP="00984F8E">
            <w:pPr>
              <w:jc w:val="center"/>
              <w:rPr>
                <w:lang w:val="fr-FR"/>
              </w:rPr>
            </w:pPr>
          </w:p>
          <w:p w:rsidR="00066055" w:rsidRPr="006538AB" w:rsidRDefault="00066055" w:rsidP="00984F8E">
            <w:pPr>
              <w:jc w:val="center"/>
              <w:rPr>
                <w:lang w:val="fr-FR"/>
              </w:rPr>
            </w:pPr>
            <w:r w:rsidRPr="006538AB">
              <w:rPr>
                <w:lang w:val="fr-FR"/>
              </w:rPr>
              <w:t>70%</w:t>
            </w:r>
          </w:p>
        </w:tc>
      </w:tr>
      <w:tr w:rsidR="00066055" w:rsidRPr="006538AB" w:rsidTr="00984F8E">
        <w:tc>
          <w:tcPr>
            <w:tcW w:w="2808" w:type="dxa"/>
          </w:tcPr>
          <w:p w:rsidR="00066055" w:rsidRPr="006538AB" w:rsidRDefault="00066055" w:rsidP="00984F8E">
            <w:pPr>
              <w:jc w:val="both"/>
              <w:rPr>
                <w:lang w:val="fr-FR"/>
              </w:rPr>
            </w:pPr>
            <w:r w:rsidRPr="006538AB">
              <w:rPr>
                <w:lang w:val="fr-FR"/>
              </w:rPr>
              <w:lastRenderedPageBreak/>
              <w:t>Les écoles et hôpitaux « pilotes » (deux par grande ville) sont identifiés et des actions de sensibilisation y sont engagées.</w:t>
            </w:r>
          </w:p>
        </w:tc>
        <w:tc>
          <w:tcPr>
            <w:tcW w:w="6210" w:type="dxa"/>
          </w:tcPr>
          <w:p w:rsidR="00066055" w:rsidRPr="006538AB" w:rsidRDefault="00066055" w:rsidP="00984F8E">
            <w:pPr>
              <w:jc w:val="both"/>
              <w:rPr>
                <w:lang w:val="fr-FR"/>
              </w:rPr>
            </w:pPr>
          </w:p>
          <w:p w:rsidR="00066055" w:rsidRPr="006538AB" w:rsidRDefault="00066055" w:rsidP="00984F8E">
            <w:pPr>
              <w:jc w:val="both"/>
              <w:rPr>
                <w:lang w:val="fr-FR"/>
              </w:rPr>
            </w:pPr>
            <w:r w:rsidRPr="006538AB">
              <w:rPr>
                <w:lang w:val="fr-FR"/>
              </w:rPr>
              <w:t xml:space="preserve">Les activités de </w:t>
            </w:r>
            <w:r w:rsidR="00F652CE" w:rsidRPr="006538AB">
              <w:rPr>
                <w:lang w:val="fr-FR"/>
              </w:rPr>
              <w:t>P</w:t>
            </w:r>
            <w:r w:rsidRPr="006538AB">
              <w:rPr>
                <w:lang w:val="fr-FR"/>
              </w:rPr>
              <w:t xml:space="preserve">rotection </w:t>
            </w:r>
            <w:r w:rsidR="00F652CE" w:rsidRPr="006538AB">
              <w:rPr>
                <w:lang w:val="fr-FR"/>
              </w:rPr>
              <w:t>C</w:t>
            </w:r>
            <w:r w:rsidRPr="006538AB">
              <w:rPr>
                <w:lang w:val="fr-FR"/>
              </w:rPr>
              <w:t>ivile</w:t>
            </w:r>
            <w:r w:rsidR="00F652CE" w:rsidRPr="006538AB">
              <w:rPr>
                <w:lang w:val="fr-FR"/>
              </w:rPr>
              <w:t xml:space="preserve"> </w:t>
            </w:r>
            <w:r w:rsidRPr="006538AB">
              <w:rPr>
                <w:lang w:val="fr-FR"/>
              </w:rPr>
              <w:t xml:space="preserve"> ont été réalisées au niveau des écoles primaires et secondaires </w:t>
            </w:r>
            <w:r w:rsidR="00BD3A56" w:rsidRPr="006538AB">
              <w:rPr>
                <w:lang w:val="fr-FR"/>
              </w:rPr>
              <w:t>du Grand Nord</w:t>
            </w:r>
            <w:r w:rsidR="00D047C1">
              <w:rPr>
                <w:lang w:val="fr-FR"/>
              </w:rPr>
              <w:t>.</w:t>
            </w:r>
          </w:p>
          <w:p w:rsidR="00BD3A56" w:rsidRPr="006538AB" w:rsidRDefault="00BD3A56" w:rsidP="00984F8E">
            <w:pPr>
              <w:jc w:val="both"/>
              <w:rPr>
                <w:lang w:val="fr-FR"/>
              </w:rPr>
            </w:pPr>
            <w:r w:rsidRPr="006538AB">
              <w:rPr>
                <w:lang w:val="fr-FR"/>
              </w:rPr>
              <w:t xml:space="preserve">Mise en place du programme de formation du personnel enseignant </w:t>
            </w:r>
            <w:r w:rsidR="00066055" w:rsidRPr="006538AB">
              <w:rPr>
                <w:lang w:val="fr-FR"/>
              </w:rPr>
              <w:t xml:space="preserve"> avec le Concours de la cellule d’urgence de la Direction Générale du Ministère de</w:t>
            </w:r>
            <w:r w:rsidR="00D5209E" w:rsidRPr="006538AB">
              <w:rPr>
                <w:lang w:val="fr-FR"/>
              </w:rPr>
              <w:t xml:space="preserve"> </w:t>
            </w:r>
            <w:r w:rsidR="00066055" w:rsidRPr="006538AB">
              <w:rPr>
                <w:lang w:val="fr-FR"/>
              </w:rPr>
              <w:t xml:space="preserve">l’Education Nationale et </w:t>
            </w:r>
            <w:r w:rsidR="00D047C1">
              <w:rPr>
                <w:lang w:val="fr-FR"/>
              </w:rPr>
              <w:t xml:space="preserve">de </w:t>
            </w:r>
            <w:r w:rsidR="00066055" w:rsidRPr="006538AB">
              <w:rPr>
                <w:lang w:val="fr-FR"/>
              </w:rPr>
              <w:t>la Formation Professionnelle</w:t>
            </w:r>
            <w:r w:rsidR="00D047C1">
              <w:rPr>
                <w:lang w:val="fr-FR"/>
              </w:rPr>
              <w:t>,</w:t>
            </w:r>
            <w:r w:rsidRPr="006538AB">
              <w:rPr>
                <w:lang w:val="fr-FR"/>
              </w:rPr>
              <w:t xml:space="preserve"> </w:t>
            </w:r>
          </w:p>
          <w:p w:rsidR="00066055" w:rsidRPr="006538AB" w:rsidRDefault="00BD3A56" w:rsidP="00984F8E">
            <w:pPr>
              <w:jc w:val="both"/>
              <w:rPr>
                <w:lang w:val="fr-FR"/>
              </w:rPr>
            </w:pPr>
            <w:r w:rsidRPr="006538AB">
              <w:rPr>
                <w:lang w:val="fr-FR"/>
              </w:rPr>
              <w:t>Appui technique de l’U</w:t>
            </w:r>
            <w:r w:rsidR="00D047C1">
              <w:rPr>
                <w:lang w:val="fr-FR"/>
              </w:rPr>
              <w:t>NESCO</w:t>
            </w:r>
            <w:r w:rsidRPr="006538AB">
              <w:rPr>
                <w:lang w:val="fr-FR"/>
              </w:rPr>
              <w:t xml:space="preserve"> pour réviser le manuel scolaire en intégrant les risques sismiques </w:t>
            </w:r>
            <w:r w:rsidR="00066055" w:rsidRPr="006538AB">
              <w:rPr>
                <w:lang w:val="fr-FR"/>
              </w:rPr>
              <w:t xml:space="preserve">  </w:t>
            </w:r>
          </w:p>
        </w:tc>
        <w:tc>
          <w:tcPr>
            <w:tcW w:w="1530" w:type="dxa"/>
          </w:tcPr>
          <w:p w:rsidR="00066055" w:rsidRPr="006538AB" w:rsidRDefault="00BD3A56" w:rsidP="00984F8E">
            <w:pPr>
              <w:jc w:val="center"/>
              <w:rPr>
                <w:lang w:val="fr-FR"/>
              </w:rPr>
            </w:pPr>
            <w:r w:rsidRPr="006538AB">
              <w:rPr>
                <w:lang w:val="fr-FR"/>
              </w:rPr>
              <w:t>3</w:t>
            </w:r>
            <w:r w:rsidR="00066055" w:rsidRPr="006538AB">
              <w:rPr>
                <w:lang w:val="fr-FR"/>
              </w:rPr>
              <w:t>5%</w:t>
            </w:r>
          </w:p>
        </w:tc>
      </w:tr>
    </w:tbl>
    <w:p w:rsidR="00066055" w:rsidRDefault="00066055" w:rsidP="00066055">
      <w:pPr>
        <w:jc w:val="both"/>
        <w:rPr>
          <w:b/>
          <w:lang w:val="fr-FR"/>
        </w:rPr>
      </w:pPr>
    </w:p>
    <w:p w:rsidR="002E2767" w:rsidRPr="006538AB" w:rsidRDefault="002E2767" w:rsidP="00066055">
      <w:pPr>
        <w:jc w:val="both"/>
        <w:rPr>
          <w:b/>
          <w:lang w:val="fr-FR"/>
        </w:rPr>
      </w:pPr>
    </w:p>
    <w:p w:rsidR="00066055" w:rsidRPr="006538AB" w:rsidRDefault="00066055" w:rsidP="00066055">
      <w:pPr>
        <w:jc w:val="both"/>
        <w:rPr>
          <w:b/>
          <w:lang w:val="fr-FR"/>
        </w:rPr>
      </w:pPr>
      <w:r w:rsidRPr="006538AB">
        <w:rPr>
          <w:b/>
          <w:lang w:val="fr-FR"/>
        </w:rPr>
        <w:t>Produit 6 </w:t>
      </w:r>
      <w:r w:rsidRPr="006538AB">
        <w:rPr>
          <w:b/>
          <w:i/>
          <w:lang w:val="fr-FR"/>
        </w:rPr>
        <w:t xml:space="preserve">: </w:t>
      </w:r>
      <w:r w:rsidRPr="006538AB">
        <w:rPr>
          <w:i/>
          <w:color w:val="000000"/>
          <w:lang w:val="fr-FR"/>
        </w:rPr>
        <w:t xml:space="preserve">les capacités des organismes de réponse aux désastres sont </w:t>
      </w:r>
      <w:r w:rsidR="00F652CE" w:rsidRPr="006538AB">
        <w:rPr>
          <w:color w:val="000000"/>
          <w:lang w:val="fr-FR"/>
        </w:rPr>
        <w:t>r</w:t>
      </w:r>
      <w:r w:rsidR="00F652CE" w:rsidRPr="006538AB">
        <w:rPr>
          <w:i/>
          <w:color w:val="000000"/>
          <w:lang w:val="fr-FR"/>
        </w:rPr>
        <w:t>enforcées</w:t>
      </w:r>
      <w:r w:rsidR="00F652CE" w:rsidRPr="006538AB">
        <w:rPr>
          <w:color w:val="000000"/>
          <w:lang w:val="fr-FR"/>
        </w:rPr>
        <w:t> </w:t>
      </w:r>
      <w:r w:rsidRPr="006538AB">
        <w:rPr>
          <w:color w:val="000000"/>
          <w:lang w:val="fr-FR"/>
        </w:rPr>
        <w:t>:</w:t>
      </w:r>
    </w:p>
    <w:p w:rsidR="00066055" w:rsidRPr="006538AB"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 xml:space="preserve">Des scénarios sismiques sont définis pour les trois chefs-lieux des départements du </w:t>
      </w:r>
      <w:r w:rsidR="00D047C1">
        <w:rPr>
          <w:color w:val="000000"/>
          <w:lang w:val="fr-FR"/>
        </w:rPr>
        <w:t>G</w:t>
      </w:r>
      <w:r w:rsidRPr="006538AB">
        <w:rPr>
          <w:color w:val="000000"/>
          <w:lang w:val="fr-FR"/>
        </w:rPr>
        <w:t xml:space="preserve">rand </w:t>
      </w:r>
      <w:r w:rsidR="00D047C1">
        <w:rPr>
          <w:color w:val="000000"/>
          <w:lang w:val="fr-FR"/>
        </w:rPr>
        <w:t>N</w:t>
      </w:r>
      <w:r w:rsidRPr="006538AB">
        <w:rPr>
          <w:color w:val="000000"/>
          <w:lang w:val="fr-FR"/>
        </w:rPr>
        <w:t>ord ;</w:t>
      </w:r>
    </w:p>
    <w:p w:rsidR="00066055" w:rsidRPr="006538AB" w:rsidRDefault="00066055" w:rsidP="00066055">
      <w:pPr>
        <w:pStyle w:val="ListParagraph"/>
        <w:numPr>
          <w:ilvl w:val="1"/>
          <w:numId w:val="19"/>
        </w:numPr>
        <w:spacing w:after="200" w:line="276" w:lineRule="auto"/>
        <w:ind w:left="360"/>
        <w:jc w:val="both"/>
        <w:rPr>
          <w:color w:val="000000"/>
          <w:lang w:val="fr-FR"/>
        </w:rPr>
      </w:pPr>
      <w:r w:rsidRPr="006538AB">
        <w:rPr>
          <w:color w:val="000000"/>
          <w:lang w:val="fr-FR"/>
        </w:rPr>
        <w:t>Une stratégie d’inclusion des séismes dans les plans de contingence est élaborée.</w:t>
      </w:r>
    </w:p>
    <w:p w:rsidR="00F652CE" w:rsidRPr="006538AB" w:rsidRDefault="00066055" w:rsidP="00066055">
      <w:pPr>
        <w:pStyle w:val="ListParagraph"/>
        <w:spacing w:before="240" w:after="120"/>
        <w:ind w:left="360" w:firstLine="360"/>
        <w:contextualSpacing w:val="0"/>
        <w:jc w:val="both"/>
        <w:rPr>
          <w:b/>
          <w:color w:val="000000"/>
          <w:lang w:val="fr-FR"/>
        </w:rPr>
      </w:pPr>
      <w:r w:rsidRPr="006538AB">
        <w:rPr>
          <w:b/>
          <w:color w:val="000000"/>
          <w:lang w:val="fr-FR"/>
        </w:rPr>
        <w:t xml:space="preserve"> </w:t>
      </w:r>
    </w:p>
    <w:p w:rsidR="00066055" w:rsidRPr="006538AB" w:rsidRDefault="00066055" w:rsidP="00066055">
      <w:pPr>
        <w:pStyle w:val="ListParagraph"/>
        <w:spacing w:before="240" w:after="120"/>
        <w:ind w:left="360" w:firstLine="360"/>
        <w:contextualSpacing w:val="0"/>
        <w:jc w:val="both"/>
        <w:rPr>
          <w:b/>
          <w:i/>
          <w:u w:val="single"/>
          <w:lang w:val="fr-FR"/>
        </w:rPr>
      </w:pPr>
      <w:r w:rsidRPr="006538AB">
        <w:rPr>
          <w:b/>
          <w:i/>
          <w:u w:val="single"/>
          <w:lang w:val="fr-FR"/>
        </w:rPr>
        <w:t>Résultats obtenus dans le Nord par rapport au produit # 6</w:t>
      </w:r>
    </w:p>
    <w:p w:rsidR="00F652CE" w:rsidRPr="006538AB" w:rsidRDefault="00F652CE" w:rsidP="00066055">
      <w:pPr>
        <w:pStyle w:val="ListParagraph"/>
        <w:spacing w:before="240" w:after="120"/>
        <w:ind w:left="360" w:firstLine="360"/>
        <w:contextualSpacing w:val="0"/>
        <w:jc w:val="both"/>
        <w:rPr>
          <w:b/>
          <w:i/>
          <w:u w:val="single"/>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6210"/>
        <w:gridCol w:w="1530"/>
      </w:tblGrid>
      <w:tr w:rsidR="00066055" w:rsidRPr="006538AB" w:rsidTr="00984F8E">
        <w:tc>
          <w:tcPr>
            <w:tcW w:w="2808" w:type="dxa"/>
          </w:tcPr>
          <w:p w:rsidR="00066055" w:rsidRPr="006538AB" w:rsidRDefault="00066055" w:rsidP="00984F8E">
            <w:pPr>
              <w:pStyle w:val="ListParagraph"/>
              <w:ind w:left="360"/>
              <w:jc w:val="center"/>
              <w:rPr>
                <w:b/>
                <w:i/>
                <w:lang w:val="fr-FR"/>
              </w:rPr>
            </w:pPr>
            <w:r w:rsidRPr="006538AB">
              <w:rPr>
                <w:b/>
                <w:i/>
                <w:lang w:val="fr-FR"/>
              </w:rPr>
              <w:t>Items</w:t>
            </w:r>
          </w:p>
        </w:tc>
        <w:tc>
          <w:tcPr>
            <w:tcW w:w="6210" w:type="dxa"/>
          </w:tcPr>
          <w:p w:rsidR="00066055" w:rsidRPr="006538AB" w:rsidRDefault="00066055" w:rsidP="00984F8E">
            <w:pPr>
              <w:pStyle w:val="ListParagraph"/>
              <w:ind w:left="360"/>
              <w:jc w:val="center"/>
              <w:rPr>
                <w:b/>
                <w:i/>
                <w:lang w:val="fr-FR"/>
              </w:rPr>
            </w:pPr>
            <w:r w:rsidRPr="006538AB">
              <w:rPr>
                <w:b/>
                <w:i/>
                <w:lang w:val="fr-FR"/>
              </w:rPr>
              <w:t>Etat d’avancement</w:t>
            </w:r>
          </w:p>
        </w:tc>
        <w:tc>
          <w:tcPr>
            <w:tcW w:w="1530" w:type="dxa"/>
          </w:tcPr>
          <w:p w:rsidR="00066055" w:rsidRPr="006538AB" w:rsidRDefault="00066055" w:rsidP="00984F8E">
            <w:pPr>
              <w:rPr>
                <w:b/>
                <w:i/>
                <w:lang w:val="fr-FR"/>
              </w:rPr>
            </w:pPr>
            <w:r w:rsidRPr="006538AB">
              <w:rPr>
                <w:b/>
                <w:i/>
                <w:lang w:val="fr-FR"/>
              </w:rPr>
              <w:t>Pourcentage</w:t>
            </w:r>
          </w:p>
        </w:tc>
      </w:tr>
      <w:tr w:rsidR="00066055" w:rsidRPr="006538AB" w:rsidTr="00984F8E">
        <w:tc>
          <w:tcPr>
            <w:tcW w:w="2808" w:type="dxa"/>
          </w:tcPr>
          <w:p w:rsidR="00066055" w:rsidRPr="006538AB" w:rsidRDefault="00066055" w:rsidP="00984F8E">
            <w:pPr>
              <w:jc w:val="both"/>
              <w:rPr>
                <w:lang w:val="fr-FR"/>
              </w:rPr>
            </w:pPr>
            <w:r w:rsidRPr="006538AB">
              <w:rPr>
                <w:lang w:val="fr-FR"/>
              </w:rPr>
              <w:t>Des scénarios</w:t>
            </w:r>
            <w:r w:rsidR="00BD3A56" w:rsidRPr="006538AB">
              <w:rPr>
                <w:lang w:val="fr-FR"/>
              </w:rPr>
              <w:t xml:space="preserve"> de perte</w:t>
            </w:r>
            <w:r w:rsidRPr="006538AB">
              <w:rPr>
                <w:lang w:val="fr-FR"/>
              </w:rPr>
              <w:t xml:space="preserve"> sismiques sont définis pour les trois chefs-lieux des départements du grand nord.</w:t>
            </w:r>
          </w:p>
        </w:tc>
        <w:tc>
          <w:tcPr>
            <w:tcW w:w="6210" w:type="dxa"/>
          </w:tcPr>
          <w:p w:rsidR="00066055" w:rsidRPr="00F601EA" w:rsidRDefault="00066055" w:rsidP="00984F8E">
            <w:pPr>
              <w:pStyle w:val="ListParagraph"/>
              <w:ind w:left="0"/>
              <w:jc w:val="both"/>
              <w:rPr>
                <w:highlight w:val="yellow"/>
                <w:lang w:val="fr-FR"/>
              </w:rPr>
            </w:pPr>
          </w:p>
          <w:p w:rsidR="00066055" w:rsidRPr="00B633F4" w:rsidRDefault="002E2767" w:rsidP="00984F8E">
            <w:pPr>
              <w:pStyle w:val="ListParagraph"/>
              <w:ind w:left="0"/>
              <w:jc w:val="both"/>
              <w:rPr>
                <w:lang w:val="fr-FR"/>
              </w:rPr>
            </w:pPr>
            <w:r w:rsidRPr="00B633F4">
              <w:rPr>
                <w:lang w:val="fr-FR"/>
              </w:rPr>
              <w:t>Le r</w:t>
            </w:r>
            <w:r w:rsidR="006A0A23" w:rsidRPr="00B633F4">
              <w:rPr>
                <w:lang w:val="fr-FR"/>
              </w:rPr>
              <w:t>apport su</w:t>
            </w:r>
            <w:r w:rsidRPr="00B633F4">
              <w:rPr>
                <w:lang w:val="fr-FR"/>
              </w:rPr>
              <w:t>r l</w:t>
            </w:r>
            <w:r w:rsidR="00066055" w:rsidRPr="00B633F4">
              <w:rPr>
                <w:lang w:val="fr-FR"/>
              </w:rPr>
              <w:t>a recherche bibliographi</w:t>
            </w:r>
            <w:r w:rsidR="00B633F4" w:rsidRPr="00B633F4">
              <w:rPr>
                <w:lang w:val="fr-FR"/>
              </w:rPr>
              <w:t>qu</w:t>
            </w:r>
            <w:r w:rsidR="00066055" w:rsidRPr="00B633F4">
              <w:rPr>
                <w:lang w:val="fr-FR"/>
              </w:rPr>
              <w:t xml:space="preserve">e </w:t>
            </w:r>
            <w:r w:rsidR="00B633F4" w:rsidRPr="00B633F4">
              <w:rPr>
                <w:lang w:val="fr-FR"/>
              </w:rPr>
              <w:t>en ce qui concerne</w:t>
            </w:r>
            <w:r w:rsidR="006A0A23" w:rsidRPr="00B633F4">
              <w:rPr>
                <w:lang w:val="fr-FR"/>
              </w:rPr>
              <w:t xml:space="preserve"> la réponse au séisme de</w:t>
            </w:r>
            <w:r w:rsidR="00066055" w:rsidRPr="00B633F4">
              <w:rPr>
                <w:lang w:val="fr-FR"/>
              </w:rPr>
              <w:t xml:space="preserve"> 2010 est disponible.</w:t>
            </w:r>
          </w:p>
          <w:p w:rsidR="00066055" w:rsidRPr="00F601EA" w:rsidRDefault="00066055" w:rsidP="006A0A23">
            <w:pPr>
              <w:pStyle w:val="ListParagraph"/>
              <w:ind w:left="0"/>
              <w:jc w:val="both"/>
              <w:rPr>
                <w:highlight w:val="yellow"/>
                <w:lang w:val="fr-FR"/>
              </w:rPr>
            </w:pPr>
            <w:r w:rsidRPr="00B633F4">
              <w:rPr>
                <w:lang w:val="fr-FR"/>
              </w:rPr>
              <w:t xml:space="preserve">RFP-UNDP-HAI-14-016 : </w:t>
            </w:r>
            <w:r w:rsidR="00B633F4" w:rsidRPr="00B633F4">
              <w:rPr>
                <w:lang w:val="fr-FR"/>
              </w:rPr>
              <w:t>Loss Estimate in the North</w:t>
            </w:r>
            <w:r w:rsidRPr="00B633F4">
              <w:rPr>
                <w:lang w:val="fr-FR"/>
              </w:rPr>
              <w:t xml:space="preserve"> of </w:t>
            </w:r>
            <w:r w:rsidR="00B633F4" w:rsidRPr="00B633F4">
              <w:rPr>
                <w:lang w:val="fr-FR"/>
              </w:rPr>
              <w:t>Hai</w:t>
            </w:r>
            <w:r w:rsidR="00A54D2C" w:rsidRPr="00B633F4">
              <w:rPr>
                <w:lang w:val="fr-FR"/>
              </w:rPr>
              <w:t>ti</w:t>
            </w:r>
            <w:r w:rsidRPr="00B633F4">
              <w:rPr>
                <w:lang w:val="fr-FR"/>
              </w:rPr>
              <w:t xml:space="preserve"> </w:t>
            </w:r>
            <w:r w:rsidR="00BD3A56" w:rsidRPr="00B633F4">
              <w:rPr>
                <w:lang w:val="fr-FR"/>
              </w:rPr>
              <w:t xml:space="preserve">: Livraison du premier rapport sur </w:t>
            </w:r>
            <w:r w:rsidR="000D3562" w:rsidRPr="00B633F4">
              <w:rPr>
                <w:lang w:val="fr-FR"/>
              </w:rPr>
              <w:t xml:space="preserve"> les aléas </w:t>
            </w:r>
            <w:r w:rsidR="006A0A23" w:rsidRPr="00B633F4">
              <w:rPr>
                <w:lang w:val="fr-FR"/>
              </w:rPr>
              <w:t>et risques.</w:t>
            </w:r>
          </w:p>
        </w:tc>
        <w:tc>
          <w:tcPr>
            <w:tcW w:w="1530" w:type="dxa"/>
          </w:tcPr>
          <w:p w:rsidR="00066055" w:rsidRPr="006538AB" w:rsidRDefault="00FF0C61" w:rsidP="00984F8E">
            <w:pPr>
              <w:jc w:val="center"/>
              <w:rPr>
                <w:lang w:val="fr-FR"/>
              </w:rPr>
            </w:pPr>
            <w:r w:rsidRPr="006538AB">
              <w:rPr>
                <w:lang w:val="fr-FR"/>
              </w:rPr>
              <w:t>3</w:t>
            </w:r>
            <w:r w:rsidR="000D3562" w:rsidRPr="006538AB">
              <w:rPr>
                <w:lang w:val="fr-FR"/>
              </w:rPr>
              <w:t>5</w:t>
            </w:r>
            <w:r w:rsidR="00066055" w:rsidRPr="006538AB">
              <w:rPr>
                <w:lang w:val="fr-FR"/>
              </w:rPr>
              <w:t>%</w:t>
            </w:r>
          </w:p>
        </w:tc>
      </w:tr>
      <w:tr w:rsidR="00066055" w:rsidRPr="006538AB" w:rsidTr="00984F8E">
        <w:tc>
          <w:tcPr>
            <w:tcW w:w="2808" w:type="dxa"/>
          </w:tcPr>
          <w:p w:rsidR="00066055" w:rsidRPr="006538AB" w:rsidRDefault="00066055" w:rsidP="00984F8E">
            <w:pPr>
              <w:jc w:val="both"/>
              <w:rPr>
                <w:lang w:val="fr-FR"/>
              </w:rPr>
            </w:pPr>
            <w:r w:rsidRPr="006538AB">
              <w:rPr>
                <w:lang w:val="fr-FR"/>
              </w:rPr>
              <w:t>Une stratégie d’inclusion des séismes dans les plans de contingence est élaborée.</w:t>
            </w:r>
          </w:p>
        </w:tc>
        <w:tc>
          <w:tcPr>
            <w:tcW w:w="6210" w:type="dxa"/>
          </w:tcPr>
          <w:p w:rsidR="00066055" w:rsidRPr="006538AB" w:rsidRDefault="000D3562" w:rsidP="00984F8E">
            <w:pPr>
              <w:jc w:val="both"/>
              <w:rPr>
                <w:spacing w:val="-2"/>
                <w:lang w:val="fr-FR"/>
              </w:rPr>
            </w:pPr>
            <w:r w:rsidRPr="006538AB">
              <w:rPr>
                <w:spacing w:val="-2"/>
                <w:lang w:val="fr-FR"/>
              </w:rPr>
              <w:t xml:space="preserve">Livraison de trois plans de contingence sismiques  pour les trois </w:t>
            </w:r>
            <w:r w:rsidR="00FF0C61" w:rsidRPr="006538AB">
              <w:rPr>
                <w:spacing w:val="-2"/>
                <w:lang w:val="fr-FR"/>
              </w:rPr>
              <w:t>départements</w:t>
            </w:r>
            <w:r w:rsidRPr="006538AB">
              <w:rPr>
                <w:spacing w:val="-2"/>
                <w:lang w:val="fr-FR"/>
              </w:rPr>
              <w:t>.</w:t>
            </w:r>
          </w:p>
          <w:p w:rsidR="000D3562" w:rsidRPr="006538AB" w:rsidRDefault="000D3562" w:rsidP="00984F8E">
            <w:pPr>
              <w:jc w:val="both"/>
              <w:rPr>
                <w:spacing w:val="-2"/>
                <w:lang w:val="fr-FR"/>
              </w:rPr>
            </w:pPr>
            <w:r w:rsidRPr="006538AB">
              <w:rPr>
                <w:spacing w:val="-2"/>
                <w:lang w:val="fr-FR"/>
              </w:rPr>
              <w:t>Organisation de 2 SIMEX sismique sur table dans le Nord et Nord</w:t>
            </w:r>
            <w:r w:rsidR="00F24AC5">
              <w:rPr>
                <w:spacing w:val="-2"/>
                <w:lang w:val="fr-FR"/>
              </w:rPr>
              <w:t>-</w:t>
            </w:r>
            <w:r w:rsidRPr="006538AB">
              <w:rPr>
                <w:spacing w:val="-2"/>
                <w:lang w:val="fr-FR"/>
              </w:rPr>
              <w:t>Est.</w:t>
            </w:r>
          </w:p>
        </w:tc>
        <w:tc>
          <w:tcPr>
            <w:tcW w:w="1530" w:type="dxa"/>
          </w:tcPr>
          <w:p w:rsidR="00066055" w:rsidRPr="006538AB" w:rsidRDefault="00FF0C61" w:rsidP="00984F8E">
            <w:pPr>
              <w:jc w:val="center"/>
              <w:rPr>
                <w:lang w:val="fr-FR"/>
              </w:rPr>
            </w:pPr>
            <w:r w:rsidRPr="006538AB">
              <w:rPr>
                <w:lang w:val="fr-FR"/>
              </w:rPr>
              <w:t>85</w:t>
            </w:r>
            <w:r w:rsidR="00066055" w:rsidRPr="006538AB">
              <w:rPr>
                <w:lang w:val="fr-FR"/>
              </w:rPr>
              <w:t>%</w:t>
            </w:r>
          </w:p>
        </w:tc>
      </w:tr>
    </w:tbl>
    <w:p w:rsidR="00066055" w:rsidRPr="006538AB" w:rsidRDefault="00066055" w:rsidP="00066055">
      <w:pPr>
        <w:pStyle w:val="BodyText2"/>
        <w:ind w:left="360"/>
        <w:rPr>
          <w:rFonts w:ascii="Times New Roman" w:hAnsi="Times New Roman" w:cs="Times New Roman"/>
          <w:sz w:val="24"/>
          <w:szCs w:val="24"/>
          <w:lang w:val="fr-FR"/>
        </w:rPr>
      </w:pPr>
    </w:p>
    <w:p w:rsidR="00066055" w:rsidRPr="006538AB" w:rsidRDefault="00066055" w:rsidP="00066055">
      <w:pPr>
        <w:pStyle w:val="BodyText2"/>
        <w:ind w:left="360"/>
        <w:rPr>
          <w:rFonts w:ascii="Times New Roman" w:hAnsi="Times New Roman" w:cs="Times New Roman"/>
          <w:sz w:val="24"/>
          <w:szCs w:val="24"/>
          <w:lang w:val="fr-FR"/>
        </w:rPr>
      </w:pPr>
    </w:p>
    <w:p w:rsidR="00066055" w:rsidRPr="006538AB" w:rsidRDefault="00066055" w:rsidP="00066055">
      <w:pPr>
        <w:pStyle w:val="BodyText2"/>
        <w:ind w:left="360"/>
        <w:rPr>
          <w:rFonts w:ascii="Times New Roman" w:hAnsi="Times New Roman" w:cs="Times New Roman"/>
          <w:sz w:val="24"/>
          <w:szCs w:val="24"/>
          <w:lang w:val="fr-FR"/>
        </w:rPr>
      </w:pPr>
    </w:p>
    <w:p w:rsidR="00D2347D" w:rsidRDefault="00C12C2A">
      <w:pPr>
        <w:pStyle w:val="BodyText2"/>
        <w:rPr>
          <w:rFonts w:ascii="Times New Roman" w:hAnsi="Times New Roman" w:cs="Times New Roman"/>
          <w:b/>
          <w:i/>
          <w:sz w:val="24"/>
          <w:szCs w:val="24"/>
          <w:u w:val="single"/>
          <w:lang w:val="fr-FR"/>
        </w:rPr>
      </w:pPr>
      <w:r w:rsidRPr="00C12C2A">
        <w:rPr>
          <w:rFonts w:ascii="Times New Roman" w:hAnsi="Times New Roman" w:cs="Times New Roman"/>
          <w:b/>
          <w:i/>
          <w:sz w:val="24"/>
          <w:szCs w:val="24"/>
          <w:u w:val="single"/>
          <w:lang w:val="fr-FR"/>
        </w:rPr>
        <w:t xml:space="preserve">Retards dans la </w:t>
      </w:r>
      <w:r w:rsidR="00F24AC5">
        <w:rPr>
          <w:rFonts w:ascii="Times New Roman" w:hAnsi="Times New Roman" w:cs="Times New Roman"/>
          <w:b/>
          <w:i/>
          <w:sz w:val="24"/>
          <w:szCs w:val="24"/>
          <w:u w:val="single"/>
          <w:lang w:val="fr-FR"/>
        </w:rPr>
        <w:t>m</w:t>
      </w:r>
      <w:r w:rsidRPr="00C12C2A">
        <w:rPr>
          <w:rFonts w:ascii="Times New Roman" w:hAnsi="Times New Roman" w:cs="Times New Roman"/>
          <w:b/>
          <w:i/>
          <w:sz w:val="24"/>
          <w:szCs w:val="24"/>
          <w:u w:val="single"/>
          <w:lang w:val="fr-FR"/>
        </w:rPr>
        <w:t xml:space="preserve">ise en œuvre </w:t>
      </w:r>
    </w:p>
    <w:p w:rsidR="00955848" w:rsidRPr="006538AB" w:rsidRDefault="00E611FB" w:rsidP="00955848">
      <w:pPr>
        <w:spacing w:after="200" w:line="276" w:lineRule="auto"/>
        <w:jc w:val="both"/>
        <w:rPr>
          <w:rFonts w:eastAsia="Calibri"/>
          <w:lang w:val="fr-FR"/>
        </w:rPr>
      </w:pPr>
      <w:r w:rsidRPr="006538AB">
        <w:rPr>
          <w:lang w:val="fr-FR"/>
        </w:rPr>
        <w:t>Programmé pour démarrer le 15 juillet 2011, selon le document initial, le Projet Plan Nord n’a pu être lancé opérationnellement que huit (8) mois plus tard.</w:t>
      </w:r>
      <w:r w:rsidR="00955848" w:rsidRPr="006538AB">
        <w:rPr>
          <w:rFonts w:eastAsia="Calibri"/>
          <w:lang w:val="fr-FR"/>
        </w:rPr>
        <w:t xml:space="preserve"> </w:t>
      </w:r>
    </w:p>
    <w:p w:rsidR="00955848" w:rsidRPr="006538AB" w:rsidRDefault="00955848" w:rsidP="00955848">
      <w:pPr>
        <w:spacing w:after="200" w:line="276" w:lineRule="auto"/>
        <w:jc w:val="both"/>
        <w:rPr>
          <w:rFonts w:eastAsia="Calibri"/>
          <w:lang w:val="fr-FR"/>
        </w:rPr>
      </w:pPr>
      <w:r w:rsidRPr="006538AB">
        <w:rPr>
          <w:rFonts w:eastAsia="Calibri"/>
          <w:lang w:val="fr-FR"/>
        </w:rPr>
        <w:t>En effet</w:t>
      </w:r>
      <w:r w:rsidR="00F24AC5">
        <w:rPr>
          <w:rFonts w:eastAsia="Calibri"/>
          <w:lang w:val="fr-FR"/>
        </w:rPr>
        <w:t>,</w:t>
      </w:r>
      <w:r w:rsidRPr="006538AB">
        <w:rPr>
          <w:rFonts w:eastAsia="Calibri"/>
          <w:lang w:val="fr-FR"/>
        </w:rPr>
        <w:t xml:space="preserve"> </w:t>
      </w:r>
      <w:r w:rsidR="00F24AC5">
        <w:rPr>
          <w:rFonts w:eastAsia="Calibri"/>
          <w:lang w:val="fr-FR"/>
        </w:rPr>
        <w:t>i</w:t>
      </w:r>
      <w:r w:rsidRPr="006538AB">
        <w:rPr>
          <w:rFonts w:eastAsia="Calibri"/>
          <w:lang w:val="fr-FR"/>
        </w:rPr>
        <w:t xml:space="preserve">l s’est trouvé qu’en réalité le recrutement des experts  nationaux  s’est montré très difficile car ils sont rares dans le pays. Et ceux qui sont spécialisés </w:t>
      </w:r>
      <w:r w:rsidR="00F652CE" w:rsidRPr="006538AB">
        <w:rPr>
          <w:rFonts w:eastAsia="Calibri"/>
          <w:lang w:val="fr-FR"/>
        </w:rPr>
        <w:t xml:space="preserve"> dans les domaines liés à la mise en œuvre du projet</w:t>
      </w:r>
      <w:r w:rsidRPr="006538AB">
        <w:rPr>
          <w:rFonts w:eastAsia="Calibri"/>
          <w:lang w:val="fr-FR"/>
        </w:rPr>
        <w:t xml:space="preserve"> préfèrent travailler à l’étranger.</w:t>
      </w:r>
    </w:p>
    <w:p w:rsidR="00E611FB" w:rsidRPr="006538AB" w:rsidRDefault="00955848" w:rsidP="00955848">
      <w:pPr>
        <w:jc w:val="both"/>
        <w:rPr>
          <w:lang w:val="fr-FR"/>
        </w:rPr>
      </w:pPr>
      <w:r w:rsidRPr="006538AB">
        <w:rPr>
          <w:rFonts w:eastAsia="Calibri"/>
          <w:lang w:val="fr-FR"/>
        </w:rPr>
        <w:t>A cela, il faudrait ajouter le recrutement des experts internationaux.  Ils sont rares et très chers.  Il a fallu attendre plusieurs mois pour finaliser le  recrutement d’une organisation internationale qui devait exécuter les activités prévues pour  les piliers 2 à 4,  soit 60% de toutes les activités hautement techniques du projet</w:t>
      </w:r>
      <w:r w:rsidR="00F24AC5">
        <w:rPr>
          <w:rFonts w:eastAsia="Calibri"/>
          <w:lang w:val="fr-FR"/>
        </w:rPr>
        <w:t>.</w:t>
      </w:r>
    </w:p>
    <w:p w:rsidR="00E611FB" w:rsidRDefault="00A96690" w:rsidP="00E611FB">
      <w:pPr>
        <w:jc w:val="both"/>
        <w:rPr>
          <w:lang w:val="fr-FR"/>
        </w:rPr>
      </w:pPr>
      <w:r>
        <w:rPr>
          <w:lang w:val="fr-FR"/>
        </w:rPr>
        <w:lastRenderedPageBreak/>
        <w:t>Pour ces raisons</w:t>
      </w:r>
      <w:r w:rsidR="00E611FB" w:rsidRPr="006538AB">
        <w:rPr>
          <w:lang w:val="fr-FR"/>
        </w:rPr>
        <w:t xml:space="preserve">, certaines  </w:t>
      </w:r>
      <w:r w:rsidR="00EB6366" w:rsidRPr="006538AB">
        <w:rPr>
          <w:lang w:val="fr-FR"/>
        </w:rPr>
        <w:t>activités,</w:t>
      </w:r>
      <w:r w:rsidR="00E611FB" w:rsidRPr="006538AB">
        <w:rPr>
          <w:lang w:val="fr-FR"/>
        </w:rPr>
        <w:t xml:space="preserve"> principalement celles des axes III et IV, prévues pour se tenir dans la phase  initiale n’ont pas pu être  exécutées et cela a engendré  un grand </w:t>
      </w:r>
      <w:r>
        <w:rPr>
          <w:lang w:val="fr-FR"/>
        </w:rPr>
        <w:t xml:space="preserve">retard </w:t>
      </w:r>
      <w:r w:rsidR="00E611FB" w:rsidRPr="006538AB">
        <w:rPr>
          <w:lang w:val="fr-FR"/>
        </w:rPr>
        <w:t>et a  nécessité  une extension pour les compléter.</w:t>
      </w:r>
    </w:p>
    <w:p w:rsidR="00F601EA" w:rsidRPr="006538AB" w:rsidRDefault="00F601EA" w:rsidP="00E611FB">
      <w:pPr>
        <w:jc w:val="both"/>
        <w:rPr>
          <w:lang w:val="fr-FR"/>
        </w:rPr>
      </w:pPr>
    </w:p>
    <w:p w:rsidR="00066055" w:rsidRPr="006538AB" w:rsidRDefault="00955848" w:rsidP="00955848">
      <w:pPr>
        <w:pStyle w:val="BodyText2"/>
        <w:rPr>
          <w:rFonts w:ascii="Times New Roman" w:hAnsi="Times New Roman" w:cs="Times New Roman"/>
          <w:sz w:val="24"/>
          <w:szCs w:val="24"/>
          <w:lang w:val="fr-FR"/>
        </w:rPr>
      </w:pPr>
      <w:r w:rsidRPr="006538AB">
        <w:rPr>
          <w:rFonts w:ascii="Times New Roman" w:hAnsi="Times New Roman" w:cs="Times New Roman"/>
          <w:sz w:val="24"/>
          <w:szCs w:val="24"/>
          <w:lang w:val="fr-FR"/>
        </w:rPr>
        <w:t>A ce jour , tous les problèmes  techniques sont résolus et le projet avait modifié  sa stratégie en lançant des appels d’offres simultanés . Des prestataires de service sont opérationnels et nous restons confiant</w:t>
      </w:r>
      <w:r w:rsidR="00EB6366" w:rsidRPr="006538AB">
        <w:rPr>
          <w:rFonts w:ascii="Times New Roman" w:hAnsi="Times New Roman" w:cs="Times New Roman"/>
          <w:sz w:val="24"/>
          <w:szCs w:val="24"/>
          <w:lang w:val="fr-FR"/>
        </w:rPr>
        <w:t>s</w:t>
      </w:r>
      <w:r w:rsidRPr="006538AB">
        <w:rPr>
          <w:rFonts w:ascii="Times New Roman" w:hAnsi="Times New Roman" w:cs="Times New Roman"/>
          <w:sz w:val="24"/>
          <w:szCs w:val="24"/>
          <w:lang w:val="fr-FR"/>
        </w:rPr>
        <w:t xml:space="preserve"> que les activités majeures vont être complétées dans les limites prescrites par le comit</w:t>
      </w:r>
      <w:r w:rsidR="00A96690">
        <w:rPr>
          <w:rFonts w:ascii="Times New Roman" w:hAnsi="Times New Roman" w:cs="Times New Roman"/>
          <w:sz w:val="24"/>
          <w:szCs w:val="24"/>
          <w:lang w:val="fr-FR"/>
        </w:rPr>
        <w:t>é</w:t>
      </w:r>
      <w:r w:rsidRPr="006538AB">
        <w:rPr>
          <w:rFonts w:ascii="Times New Roman" w:hAnsi="Times New Roman" w:cs="Times New Roman"/>
          <w:sz w:val="24"/>
          <w:szCs w:val="24"/>
          <w:lang w:val="fr-FR"/>
        </w:rPr>
        <w:t xml:space="preserve"> de Pilotage.</w:t>
      </w:r>
    </w:p>
    <w:p w:rsidR="003E2682" w:rsidRPr="006538AB" w:rsidRDefault="003E2682" w:rsidP="003E2682">
      <w:pPr>
        <w:pStyle w:val="BodyText"/>
        <w:jc w:val="both"/>
        <w:rPr>
          <w:rFonts w:ascii="Times New Roman" w:hAnsi="Times New Roman"/>
          <w:sz w:val="24"/>
          <w:szCs w:val="24"/>
          <w:lang w:val="fr-FR"/>
        </w:rPr>
      </w:pPr>
    </w:p>
    <w:p w:rsidR="003E2682" w:rsidRPr="006538AB" w:rsidRDefault="003E2682" w:rsidP="003E2682">
      <w:pPr>
        <w:pStyle w:val="BodyText"/>
        <w:tabs>
          <w:tab w:val="left" w:pos="360"/>
        </w:tabs>
        <w:ind w:left="720"/>
        <w:jc w:val="both"/>
        <w:rPr>
          <w:rFonts w:ascii="Times New Roman" w:hAnsi="Times New Roman"/>
          <w:bCs/>
          <w:sz w:val="24"/>
          <w:szCs w:val="24"/>
          <w:lang w:val="fr-FR"/>
        </w:rPr>
      </w:pPr>
    </w:p>
    <w:p w:rsidR="00F7765F" w:rsidRPr="006538AB" w:rsidRDefault="00F601EA" w:rsidP="00955848">
      <w:pPr>
        <w:pStyle w:val="BodyText2"/>
        <w:rPr>
          <w:rFonts w:ascii="Times New Roman" w:hAnsi="Times New Roman" w:cs="Times New Roman"/>
          <w:b/>
          <w:sz w:val="24"/>
          <w:szCs w:val="24"/>
          <w:lang w:val="fr-FR"/>
        </w:rPr>
      </w:pPr>
      <w:r>
        <w:rPr>
          <w:rFonts w:ascii="Times New Roman" w:hAnsi="Times New Roman" w:cs="Times New Roman"/>
          <w:b/>
          <w:sz w:val="24"/>
          <w:szCs w:val="24"/>
          <w:lang w:val="fr-FR"/>
        </w:rPr>
        <w:t>Evaluation qualitative</w:t>
      </w:r>
    </w:p>
    <w:p w:rsidR="00F7765F" w:rsidRPr="006538AB" w:rsidRDefault="00F7765F" w:rsidP="00F7765F">
      <w:pPr>
        <w:pStyle w:val="BodyText2"/>
        <w:numPr>
          <w:ilvl w:val="0"/>
          <w:numId w:val="15"/>
        </w:numPr>
        <w:rPr>
          <w:rFonts w:ascii="Times New Roman" w:hAnsi="Times New Roman" w:cs="Times New Roman"/>
          <w:sz w:val="24"/>
          <w:szCs w:val="24"/>
          <w:lang w:val="fr-FR"/>
        </w:rPr>
      </w:pPr>
      <w:r w:rsidRPr="006538AB">
        <w:rPr>
          <w:rFonts w:ascii="Times New Roman" w:hAnsi="Times New Roman" w:cs="Times New Roman"/>
          <w:sz w:val="24"/>
          <w:szCs w:val="24"/>
          <w:lang w:val="fr-FR"/>
        </w:rPr>
        <w:t>Les cartes de micro</w:t>
      </w:r>
      <w:r w:rsidR="00A96690">
        <w:rPr>
          <w:rFonts w:ascii="Times New Roman" w:hAnsi="Times New Roman" w:cs="Times New Roman"/>
          <w:sz w:val="24"/>
          <w:szCs w:val="24"/>
          <w:lang w:val="fr-FR"/>
        </w:rPr>
        <w:t>-</w:t>
      </w:r>
      <w:r w:rsidRPr="006538AB">
        <w:rPr>
          <w:rFonts w:ascii="Times New Roman" w:hAnsi="Times New Roman" w:cs="Times New Roman"/>
          <w:sz w:val="24"/>
          <w:szCs w:val="24"/>
          <w:lang w:val="fr-FR"/>
        </w:rPr>
        <w:t xml:space="preserve">zonage sismiques  produites vont permettre aux autorités locales d’orienter leur politique d’urbanisme et d’être plus attentifs </w:t>
      </w:r>
      <w:r w:rsidR="007D3BB9" w:rsidRPr="006538AB">
        <w:rPr>
          <w:rFonts w:ascii="Times New Roman" w:hAnsi="Times New Roman" w:cs="Times New Roman"/>
          <w:sz w:val="24"/>
          <w:szCs w:val="24"/>
          <w:lang w:val="fr-FR"/>
        </w:rPr>
        <w:t xml:space="preserve"> aux</w:t>
      </w:r>
      <w:r w:rsidRPr="006538AB">
        <w:rPr>
          <w:rFonts w:ascii="Times New Roman" w:hAnsi="Times New Roman" w:cs="Times New Roman"/>
          <w:sz w:val="24"/>
          <w:szCs w:val="24"/>
          <w:lang w:val="fr-FR"/>
        </w:rPr>
        <w:t xml:space="preserve"> phénomènes de  glissement de terrain, </w:t>
      </w:r>
      <w:r w:rsidR="00A96690">
        <w:rPr>
          <w:rFonts w:ascii="Times New Roman" w:hAnsi="Times New Roman" w:cs="Times New Roman"/>
          <w:sz w:val="24"/>
          <w:szCs w:val="24"/>
          <w:lang w:val="fr-FR"/>
        </w:rPr>
        <w:t xml:space="preserve">de </w:t>
      </w:r>
      <w:r w:rsidRPr="006538AB">
        <w:rPr>
          <w:rFonts w:ascii="Times New Roman" w:hAnsi="Times New Roman" w:cs="Times New Roman"/>
          <w:sz w:val="24"/>
          <w:szCs w:val="24"/>
          <w:lang w:val="fr-FR"/>
        </w:rPr>
        <w:t xml:space="preserve">chute de blocs, </w:t>
      </w:r>
      <w:r w:rsidR="00A96690">
        <w:rPr>
          <w:rFonts w:ascii="Times New Roman" w:hAnsi="Times New Roman" w:cs="Times New Roman"/>
          <w:sz w:val="24"/>
          <w:szCs w:val="24"/>
          <w:lang w:val="fr-FR"/>
        </w:rPr>
        <w:t xml:space="preserve">de </w:t>
      </w:r>
      <w:r w:rsidRPr="006538AB">
        <w:rPr>
          <w:rFonts w:ascii="Times New Roman" w:hAnsi="Times New Roman" w:cs="Times New Roman"/>
          <w:sz w:val="24"/>
          <w:szCs w:val="24"/>
          <w:lang w:val="fr-FR"/>
        </w:rPr>
        <w:t xml:space="preserve">liquéfaction et </w:t>
      </w:r>
      <w:r w:rsidR="00A96690">
        <w:rPr>
          <w:rFonts w:ascii="Times New Roman" w:hAnsi="Times New Roman" w:cs="Times New Roman"/>
          <w:sz w:val="24"/>
          <w:szCs w:val="24"/>
          <w:lang w:val="fr-FR"/>
        </w:rPr>
        <w:t>d</w:t>
      </w:r>
      <w:r w:rsidRPr="006538AB">
        <w:rPr>
          <w:rFonts w:ascii="Times New Roman" w:hAnsi="Times New Roman" w:cs="Times New Roman"/>
          <w:sz w:val="24"/>
          <w:szCs w:val="24"/>
          <w:lang w:val="fr-FR"/>
        </w:rPr>
        <w:t xml:space="preserve">es effets de site topographiques  </w:t>
      </w:r>
      <w:r w:rsidR="007D3BB9" w:rsidRPr="006538AB">
        <w:rPr>
          <w:rFonts w:ascii="Times New Roman" w:hAnsi="Times New Roman" w:cs="Times New Roman"/>
          <w:sz w:val="24"/>
          <w:szCs w:val="24"/>
          <w:lang w:val="fr-FR"/>
        </w:rPr>
        <w:t xml:space="preserve">qui </w:t>
      </w:r>
      <w:r w:rsidRPr="006538AB">
        <w:rPr>
          <w:rFonts w:ascii="Times New Roman" w:hAnsi="Times New Roman" w:cs="Times New Roman"/>
          <w:sz w:val="24"/>
          <w:szCs w:val="24"/>
          <w:lang w:val="fr-FR"/>
        </w:rPr>
        <w:t xml:space="preserve">ont été observés sur plusieurs points dans les grandes </w:t>
      </w:r>
      <w:r w:rsidR="007D3BB9" w:rsidRPr="006538AB">
        <w:rPr>
          <w:rFonts w:ascii="Times New Roman" w:hAnsi="Times New Roman" w:cs="Times New Roman"/>
          <w:sz w:val="24"/>
          <w:szCs w:val="24"/>
          <w:lang w:val="fr-FR"/>
        </w:rPr>
        <w:t xml:space="preserve"> villes et zones</w:t>
      </w:r>
      <w:r w:rsidRPr="006538AB">
        <w:rPr>
          <w:rFonts w:ascii="Times New Roman" w:hAnsi="Times New Roman" w:cs="Times New Roman"/>
          <w:sz w:val="24"/>
          <w:szCs w:val="24"/>
          <w:lang w:val="fr-FR"/>
        </w:rPr>
        <w:t xml:space="preserve"> ciblées. Ces informations finales</w:t>
      </w:r>
      <w:r w:rsidR="00A96690">
        <w:rPr>
          <w:rFonts w:ascii="Times New Roman" w:hAnsi="Times New Roman" w:cs="Times New Roman"/>
          <w:sz w:val="24"/>
          <w:szCs w:val="24"/>
          <w:lang w:val="fr-FR"/>
        </w:rPr>
        <w:t>,</w:t>
      </w:r>
      <w:r w:rsidRPr="006538AB">
        <w:rPr>
          <w:rFonts w:ascii="Times New Roman" w:hAnsi="Times New Roman" w:cs="Times New Roman"/>
          <w:sz w:val="24"/>
          <w:szCs w:val="24"/>
          <w:lang w:val="fr-FR"/>
        </w:rPr>
        <w:t xml:space="preserve">  dont les détails sont contenus dans les rapports finaux fournis par  </w:t>
      </w:r>
      <w:r w:rsidR="007D3BB9" w:rsidRPr="006538AB">
        <w:rPr>
          <w:rFonts w:ascii="Times New Roman" w:hAnsi="Times New Roman" w:cs="Times New Roman"/>
          <w:sz w:val="24"/>
          <w:szCs w:val="24"/>
          <w:lang w:val="fr-FR"/>
        </w:rPr>
        <w:t xml:space="preserve">le </w:t>
      </w:r>
      <w:r w:rsidRPr="006538AB">
        <w:rPr>
          <w:rFonts w:ascii="Times New Roman" w:hAnsi="Times New Roman" w:cs="Times New Roman"/>
          <w:sz w:val="24"/>
          <w:szCs w:val="24"/>
          <w:lang w:val="fr-FR"/>
        </w:rPr>
        <w:t xml:space="preserve"> BRGM</w:t>
      </w:r>
      <w:r w:rsidR="00A96690">
        <w:rPr>
          <w:rFonts w:ascii="Times New Roman" w:hAnsi="Times New Roman" w:cs="Times New Roman"/>
          <w:sz w:val="24"/>
          <w:szCs w:val="24"/>
          <w:lang w:val="fr-FR"/>
        </w:rPr>
        <w:t>,</w:t>
      </w:r>
      <w:r w:rsidRPr="006538AB">
        <w:rPr>
          <w:rFonts w:ascii="Times New Roman" w:hAnsi="Times New Roman" w:cs="Times New Roman"/>
          <w:sz w:val="24"/>
          <w:szCs w:val="24"/>
          <w:lang w:val="fr-FR"/>
        </w:rPr>
        <w:t xml:space="preserve"> nous démontrent que le danger est réel dans les grandes villes du </w:t>
      </w:r>
      <w:r w:rsidR="00A96690">
        <w:rPr>
          <w:rFonts w:ascii="Times New Roman" w:hAnsi="Times New Roman" w:cs="Times New Roman"/>
          <w:sz w:val="24"/>
          <w:szCs w:val="24"/>
          <w:lang w:val="fr-FR"/>
        </w:rPr>
        <w:t xml:space="preserve">Grand </w:t>
      </w:r>
      <w:r w:rsidRPr="006538AB">
        <w:rPr>
          <w:rFonts w:ascii="Times New Roman" w:hAnsi="Times New Roman" w:cs="Times New Roman"/>
          <w:sz w:val="24"/>
          <w:szCs w:val="24"/>
          <w:lang w:val="fr-FR"/>
        </w:rPr>
        <w:t xml:space="preserve">Nord et les autorités devraient prendre des mesures drastiques. </w:t>
      </w:r>
    </w:p>
    <w:p w:rsidR="00F7765F" w:rsidRPr="006538AB" w:rsidRDefault="00F7765F" w:rsidP="00F7765F">
      <w:pPr>
        <w:pStyle w:val="BodyText2"/>
        <w:numPr>
          <w:ilvl w:val="0"/>
          <w:numId w:val="15"/>
        </w:numPr>
        <w:rPr>
          <w:rFonts w:ascii="Times New Roman" w:hAnsi="Times New Roman" w:cs="Times New Roman"/>
          <w:sz w:val="24"/>
          <w:szCs w:val="24"/>
          <w:lang w:val="fr-FR"/>
        </w:rPr>
      </w:pPr>
      <w:r w:rsidRPr="006538AB">
        <w:rPr>
          <w:rFonts w:ascii="Times New Roman" w:hAnsi="Times New Roman" w:cs="Times New Roman"/>
          <w:sz w:val="24"/>
          <w:szCs w:val="24"/>
          <w:lang w:val="fr-FR"/>
        </w:rPr>
        <w:t xml:space="preserve">Les comportements de la population et surtout ceux  des élèves et </w:t>
      </w:r>
      <w:r w:rsidR="00A96690">
        <w:rPr>
          <w:rFonts w:ascii="Times New Roman" w:hAnsi="Times New Roman" w:cs="Times New Roman"/>
          <w:sz w:val="24"/>
          <w:szCs w:val="24"/>
          <w:lang w:val="fr-FR"/>
        </w:rPr>
        <w:t xml:space="preserve">des </w:t>
      </w:r>
      <w:r w:rsidRPr="006538AB">
        <w:rPr>
          <w:rFonts w:ascii="Times New Roman" w:hAnsi="Times New Roman" w:cs="Times New Roman"/>
          <w:sz w:val="24"/>
          <w:szCs w:val="24"/>
          <w:lang w:val="fr-FR"/>
        </w:rPr>
        <w:t xml:space="preserve">professeurs ont </w:t>
      </w:r>
      <w:r w:rsidR="007D3BB9" w:rsidRPr="006538AB">
        <w:rPr>
          <w:rFonts w:ascii="Times New Roman" w:hAnsi="Times New Roman" w:cs="Times New Roman"/>
          <w:sz w:val="24"/>
          <w:szCs w:val="24"/>
          <w:lang w:val="fr-FR"/>
        </w:rPr>
        <w:t xml:space="preserve">été modifiés </w:t>
      </w:r>
      <w:r w:rsidRPr="006538AB">
        <w:rPr>
          <w:rFonts w:ascii="Times New Roman" w:hAnsi="Times New Roman" w:cs="Times New Roman"/>
          <w:sz w:val="24"/>
          <w:szCs w:val="24"/>
          <w:lang w:val="fr-FR"/>
        </w:rPr>
        <w:t>grâce aux ateliers et séminaires de formation que le projet a organisés dans les trois départements</w:t>
      </w:r>
    </w:p>
    <w:p w:rsidR="00F7765F" w:rsidRPr="006538AB" w:rsidRDefault="00F7765F" w:rsidP="00F7765F">
      <w:pPr>
        <w:pStyle w:val="BodyText2"/>
        <w:numPr>
          <w:ilvl w:val="0"/>
          <w:numId w:val="15"/>
        </w:numPr>
        <w:rPr>
          <w:rFonts w:ascii="Times New Roman" w:hAnsi="Times New Roman" w:cs="Times New Roman"/>
          <w:sz w:val="24"/>
          <w:szCs w:val="24"/>
          <w:lang w:val="fr-FR"/>
        </w:rPr>
      </w:pPr>
      <w:r w:rsidRPr="006538AB">
        <w:rPr>
          <w:rFonts w:ascii="Times New Roman" w:hAnsi="Times New Roman" w:cs="Times New Roman"/>
          <w:sz w:val="24"/>
          <w:szCs w:val="24"/>
          <w:lang w:val="fr-FR"/>
        </w:rPr>
        <w:t xml:space="preserve">Les </w:t>
      </w:r>
      <w:r w:rsidR="00A96690">
        <w:rPr>
          <w:rFonts w:ascii="Times New Roman" w:hAnsi="Times New Roman" w:cs="Times New Roman"/>
          <w:sz w:val="24"/>
          <w:szCs w:val="24"/>
          <w:lang w:val="fr-FR"/>
        </w:rPr>
        <w:t>a</w:t>
      </w:r>
      <w:r w:rsidRPr="006538AB">
        <w:rPr>
          <w:rFonts w:ascii="Times New Roman" w:hAnsi="Times New Roman" w:cs="Times New Roman"/>
          <w:sz w:val="24"/>
          <w:szCs w:val="24"/>
          <w:lang w:val="fr-FR"/>
        </w:rPr>
        <w:t>teliers de restitution des travaux de micro</w:t>
      </w:r>
      <w:r w:rsidR="00A96690">
        <w:rPr>
          <w:rFonts w:ascii="Times New Roman" w:hAnsi="Times New Roman" w:cs="Times New Roman"/>
          <w:sz w:val="24"/>
          <w:szCs w:val="24"/>
          <w:lang w:val="fr-FR"/>
        </w:rPr>
        <w:t>-</w:t>
      </w:r>
      <w:r w:rsidRPr="006538AB">
        <w:rPr>
          <w:rFonts w:ascii="Times New Roman" w:hAnsi="Times New Roman" w:cs="Times New Roman"/>
          <w:sz w:val="24"/>
          <w:szCs w:val="24"/>
          <w:lang w:val="fr-FR"/>
        </w:rPr>
        <w:t>zonage sismique consistaient à faire comprendre aux autorités que les travaux dans ce domaine ont été achevés et les sensibiliser vis-à-vis de leurs responsabilités par rapport à la mise en application des recommandations</w:t>
      </w:r>
      <w:r w:rsidR="00A96690">
        <w:rPr>
          <w:rFonts w:ascii="Times New Roman" w:hAnsi="Times New Roman" w:cs="Times New Roman"/>
          <w:sz w:val="24"/>
          <w:szCs w:val="24"/>
          <w:lang w:val="fr-FR"/>
        </w:rPr>
        <w:t>.</w:t>
      </w:r>
      <w:r w:rsidRPr="006538AB">
        <w:rPr>
          <w:rFonts w:ascii="Times New Roman" w:hAnsi="Times New Roman" w:cs="Times New Roman"/>
          <w:sz w:val="24"/>
          <w:szCs w:val="24"/>
          <w:lang w:val="fr-FR"/>
        </w:rPr>
        <w:t xml:space="preserve"> </w:t>
      </w:r>
    </w:p>
    <w:p w:rsidR="00F7765F" w:rsidRPr="006538AB" w:rsidRDefault="00F7765F" w:rsidP="00F7765F">
      <w:pPr>
        <w:pStyle w:val="BodyText2"/>
        <w:numPr>
          <w:ilvl w:val="0"/>
          <w:numId w:val="15"/>
        </w:numPr>
        <w:rPr>
          <w:rFonts w:ascii="Times New Roman" w:hAnsi="Times New Roman" w:cs="Times New Roman"/>
          <w:sz w:val="24"/>
          <w:szCs w:val="24"/>
          <w:lang w:val="fr-FR"/>
        </w:rPr>
      </w:pPr>
      <w:r w:rsidRPr="006538AB">
        <w:rPr>
          <w:rFonts w:ascii="Times New Roman" w:hAnsi="Times New Roman" w:cs="Times New Roman"/>
          <w:sz w:val="24"/>
          <w:szCs w:val="24"/>
          <w:lang w:val="fr-FR"/>
        </w:rPr>
        <w:t xml:space="preserve">Semaine </w:t>
      </w:r>
      <w:r w:rsidR="006617CB" w:rsidRPr="006538AB">
        <w:rPr>
          <w:rFonts w:ascii="Times New Roman" w:hAnsi="Times New Roman" w:cs="Times New Roman"/>
          <w:sz w:val="24"/>
          <w:szCs w:val="24"/>
          <w:lang w:val="fr-FR"/>
        </w:rPr>
        <w:t>de sensibilisation au niveau des trois départements</w:t>
      </w:r>
      <w:r w:rsidRPr="006538AB">
        <w:rPr>
          <w:rFonts w:ascii="Times New Roman" w:hAnsi="Times New Roman" w:cs="Times New Roman"/>
          <w:sz w:val="24"/>
          <w:szCs w:val="24"/>
          <w:lang w:val="fr-FR"/>
        </w:rPr>
        <w:t xml:space="preserve"> aux fins d’informer les élèves sur le potentiel du risque et sur les comportements à tenir avant, pendant et après un tremblement de terre. Il était aussi question de  leur inculquer des notions  de premier secours pour pouvoir aider les éventuelles victimes lors d’une catastrophe</w:t>
      </w:r>
      <w:r w:rsidR="00A96690">
        <w:rPr>
          <w:rFonts w:ascii="Times New Roman" w:hAnsi="Times New Roman" w:cs="Times New Roman"/>
          <w:sz w:val="24"/>
          <w:szCs w:val="24"/>
          <w:lang w:val="fr-FR"/>
        </w:rPr>
        <w:t>,</w:t>
      </w:r>
      <w:r w:rsidRPr="006538AB">
        <w:rPr>
          <w:rFonts w:ascii="Times New Roman" w:hAnsi="Times New Roman" w:cs="Times New Roman"/>
          <w:sz w:val="24"/>
          <w:szCs w:val="24"/>
          <w:lang w:val="fr-FR"/>
        </w:rPr>
        <w:t xml:space="preserve"> notamment un tremblement de terre.</w:t>
      </w:r>
    </w:p>
    <w:p w:rsidR="00F7765F" w:rsidRPr="006538AB" w:rsidRDefault="00F7765F" w:rsidP="00F7765F">
      <w:pPr>
        <w:pStyle w:val="BodyText2"/>
        <w:numPr>
          <w:ilvl w:val="0"/>
          <w:numId w:val="15"/>
        </w:numPr>
        <w:rPr>
          <w:rFonts w:ascii="Times New Roman" w:hAnsi="Times New Roman" w:cs="Times New Roman"/>
          <w:sz w:val="24"/>
          <w:szCs w:val="24"/>
          <w:lang w:val="fr-FR"/>
        </w:rPr>
      </w:pPr>
      <w:r w:rsidRPr="006538AB">
        <w:rPr>
          <w:rFonts w:ascii="Times New Roman" w:hAnsi="Times New Roman" w:cs="Times New Roman"/>
          <w:sz w:val="24"/>
          <w:szCs w:val="24"/>
          <w:lang w:val="fr-FR"/>
        </w:rPr>
        <w:t>Devoir de mémoire  pour le grand public suite aux activités du 7 mai 2014 dans le Nord-</w:t>
      </w:r>
      <w:r w:rsidR="00A96690">
        <w:rPr>
          <w:rFonts w:ascii="Times New Roman" w:hAnsi="Times New Roman" w:cs="Times New Roman"/>
          <w:sz w:val="24"/>
          <w:szCs w:val="24"/>
          <w:lang w:val="fr-FR"/>
        </w:rPr>
        <w:t>E</w:t>
      </w:r>
      <w:r w:rsidRPr="006538AB">
        <w:rPr>
          <w:rFonts w:ascii="Times New Roman" w:hAnsi="Times New Roman" w:cs="Times New Roman"/>
          <w:sz w:val="24"/>
          <w:szCs w:val="24"/>
          <w:lang w:val="fr-FR"/>
        </w:rPr>
        <w:t xml:space="preserve">st. Les élèves venant de plusieurs écoles de la ville </w:t>
      </w:r>
      <w:r w:rsidR="00A96690">
        <w:rPr>
          <w:rFonts w:ascii="Times New Roman" w:hAnsi="Times New Roman" w:cs="Times New Roman"/>
          <w:sz w:val="24"/>
          <w:szCs w:val="24"/>
          <w:lang w:val="fr-FR"/>
        </w:rPr>
        <w:t xml:space="preserve">de Fort-Liberté </w:t>
      </w:r>
      <w:r w:rsidRPr="006538AB">
        <w:rPr>
          <w:rFonts w:ascii="Times New Roman" w:hAnsi="Times New Roman" w:cs="Times New Roman"/>
          <w:sz w:val="24"/>
          <w:szCs w:val="24"/>
          <w:lang w:val="fr-FR"/>
        </w:rPr>
        <w:t xml:space="preserve">sillonnaient les rues de la ville en vue </w:t>
      </w:r>
      <w:r w:rsidR="00A96690">
        <w:rPr>
          <w:rFonts w:ascii="Times New Roman" w:hAnsi="Times New Roman" w:cs="Times New Roman"/>
          <w:sz w:val="24"/>
          <w:szCs w:val="24"/>
          <w:lang w:val="fr-FR"/>
        </w:rPr>
        <w:t xml:space="preserve">de </w:t>
      </w:r>
      <w:r w:rsidRPr="006538AB">
        <w:rPr>
          <w:rFonts w:ascii="Times New Roman" w:hAnsi="Times New Roman" w:cs="Times New Roman"/>
          <w:sz w:val="24"/>
          <w:szCs w:val="24"/>
          <w:lang w:val="fr-FR"/>
        </w:rPr>
        <w:t>permettre à la population de se rappeler des événements du 7 mai 1842</w:t>
      </w:r>
      <w:r w:rsidR="00A96690">
        <w:rPr>
          <w:rFonts w:ascii="Times New Roman" w:hAnsi="Times New Roman" w:cs="Times New Roman"/>
          <w:sz w:val="24"/>
          <w:szCs w:val="24"/>
          <w:lang w:val="fr-FR"/>
        </w:rPr>
        <w:t>.</w:t>
      </w:r>
    </w:p>
    <w:p w:rsidR="00F7765F" w:rsidRPr="006538AB" w:rsidRDefault="00F7765F" w:rsidP="00F7765F">
      <w:pPr>
        <w:pStyle w:val="BodyText2"/>
        <w:numPr>
          <w:ilvl w:val="0"/>
          <w:numId w:val="15"/>
        </w:numPr>
        <w:rPr>
          <w:rFonts w:ascii="Times New Roman" w:hAnsi="Times New Roman" w:cs="Times New Roman"/>
          <w:sz w:val="24"/>
          <w:szCs w:val="24"/>
          <w:lang w:val="fr-FR"/>
        </w:rPr>
      </w:pPr>
      <w:r w:rsidRPr="006538AB">
        <w:rPr>
          <w:rFonts w:ascii="Times New Roman" w:eastAsia="Batang" w:hAnsi="Times New Roman" w:cs="Times New Roman"/>
          <w:sz w:val="24"/>
          <w:szCs w:val="24"/>
          <w:lang w:val="fr-FR"/>
        </w:rPr>
        <w:t>Par la réalisation des activités de</w:t>
      </w:r>
      <w:r w:rsidR="00A96690">
        <w:rPr>
          <w:rFonts w:ascii="Times New Roman" w:eastAsia="Batang" w:hAnsi="Times New Roman" w:cs="Times New Roman"/>
          <w:sz w:val="24"/>
          <w:szCs w:val="24"/>
          <w:lang w:val="fr-FR"/>
        </w:rPr>
        <w:t>s</w:t>
      </w:r>
      <w:r w:rsidRPr="006538AB">
        <w:rPr>
          <w:rFonts w:ascii="Times New Roman" w:eastAsia="Batang" w:hAnsi="Times New Roman" w:cs="Times New Roman"/>
          <w:sz w:val="24"/>
          <w:szCs w:val="24"/>
          <w:lang w:val="fr-FR"/>
        </w:rPr>
        <w:t xml:space="preserve"> Vendredi de la Protection Civile pour les jeunes et </w:t>
      </w:r>
      <w:r w:rsidR="00A96690">
        <w:rPr>
          <w:rFonts w:ascii="Times New Roman" w:eastAsia="Batang" w:hAnsi="Times New Roman" w:cs="Times New Roman"/>
          <w:sz w:val="24"/>
          <w:szCs w:val="24"/>
          <w:lang w:val="fr-FR"/>
        </w:rPr>
        <w:t>d</w:t>
      </w:r>
      <w:r w:rsidRPr="006538AB">
        <w:rPr>
          <w:rFonts w:ascii="Times New Roman" w:eastAsia="Batang" w:hAnsi="Times New Roman" w:cs="Times New Roman"/>
          <w:sz w:val="24"/>
          <w:szCs w:val="24"/>
          <w:lang w:val="fr-FR"/>
        </w:rPr>
        <w:t xml:space="preserve">es grandes journées de formation dans les écoles, on croit qu'on continue à doter les écoliers et la population en générale  d'un maximum de connaissances sur la faille </w:t>
      </w:r>
      <w:r w:rsidR="00955848" w:rsidRPr="006538AB">
        <w:rPr>
          <w:rFonts w:ascii="Times New Roman" w:eastAsia="Batang" w:hAnsi="Times New Roman" w:cs="Times New Roman"/>
          <w:sz w:val="24"/>
          <w:szCs w:val="24"/>
          <w:lang w:val="fr-FR"/>
        </w:rPr>
        <w:t>septentrionale</w:t>
      </w:r>
      <w:r w:rsidRPr="006538AB">
        <w:rPr>
          <w:rFonts w:ascii="Times New Roman" w:eastAsia="Batang" w:hAnsi="Times New Roman" w:cs="Times New Roman"/>
          <w:sz w:val="24"/>
          <w:szCs w:val="24"/>
          <w:lang w:val="fr-FR"/>
        </w:rPr>
        <w:t xml:space="preserve">  sismique qui représente un danger imminent pour tout le </w:t>
      </w:r>
      <w:r w:rsidR="00A96690">
        <w:rPr>
          <w:rFonts w:ascii="Times New Roman" w:eastAsia="Batang" w:hAnsi="Times New Roman" w:cs="Times New Roman"/>
          <w:sz w:val="24"/>
          <w:szCs w:val="24"/>
          <w:lang w:val="fr-FR"/>
        </w:rPr>
        <w:t>G</w:t>
      </w:r>
      <w:r w:rsidRPr="006538AB">
        <w:rPr>
          <w:rFonts w:ascii="Times New Roman" w:eastAsia="Batang" w:hAnsi="Times New Roman" w:cs="Times New Roman"/>
          <w:sz w:val="24"/>
          <w:szCs w:val="24"/>
          <w:lang w:val="fr-FR"/>
        </w:rPr>
        <w:t>rand Nord et les rendre</w:t>
      </w:r>
      <w:r w:rsidR="00A96690">
        <w:rPr>
          <w:rFonts w:ascii="Times New Roman" w:eastAsia="Batang" w:hAnsi="Times New Roman" w:cs="Times New Roman"/>
          <w:sz w:val="24"/>
          <w:szCs w:val="24"/>
          <w:lang w:val="fr-FR"/>
        </w:rPr>
        <w:t>,</w:t>
      </w:r>
      <w:r w:rsidRPr="006538AB">
        <w:rPr>
          <w:rFonts w:ascii="Times New Roman" w:eastAsia="Batang" w:hAnsi="Times New Roman" w:cs="Times New Roman"/>
          <w:sz w:val="24"/>
          <w:szCs w:val="24"/>
          <w:lang w:val="fr-FR"/>
        </w:rPr>
        <w:t xml:space="preserve"> pour ainsi dire</w:t>
      </w:r>
      <w:r w:rsidR="00A96690">
        <w:rPr>
          <w:rFonts w:ascii="Times New Roman" w:eastAsia="Batang" w:hAnsi="Times New Roman" w:cs="Times New Roman"/>
          <w:sz w:val="24"/>
          <w:szCs w:val="24"/>
          <w:lang w:val="fr-FR"/>
        </w:rPr>
        <w:t>,</w:t>
      </w:r>
      <w:r w:rsidRPr="006538AB">
        <w:rPr>
          <w:rFonts w:ascii="Times New Roman" w:eastAsia="Batang" w:hAnsi="Times New Roman" w:cs="Times New Roman"/>
          <w:sz w:val="24"/>
          <w:szCs w:val="24"/>
          <w:lang w:val="fr-FR"/>
        </w:rPr>
        <w:t xml:space="preserve"> plus résilients face à la menace sismique</w:t>
      </w:r>
      <w:r w:rsidR="00A96690">
        <w:rPr>
          <w:rFonts w:ascii="Times New Roman" w:eastAsia="Batang" w:hAnsi="Times New Roman" w:cs="Times New Roman"/>
          <w:sz w:val="24"/>
          <w:szCs w:val="24"/>
          <w:lang w:val="fr-FR"/>
        </w:rPr>
        <w:t>.</w:t>
      </w:r>
    </w:p>
    <w:p w:rsidR="00F7765F" w:rsidRPr="006538AB" w:rsidRDefault="00F7765F" w:rsidP="00F7765F">
      <w:pPr>
        <w:pStyle w:val="BodyText2"/>
        <w:numPr>
          <w:ilvl w:val="0"/>
          <w:numId w:val="15"/>
        </w:numPr>
        <w:rPr>
          <w:rFonts w:ascii="Times New Roman" w:hAnsi="Times New Roman" w:cs="Times New Roman"/>
          <w:sz w:val="24"/>
          <w:szCs w:val="24"/>
          <w:lang w:val="fr-FR"/>
        </w:rPr>
      </w:pPr>
      <w:r w:rsidRPr="006538AB">
        <w:rPr>
          <w:rFonts w:ascii="Times New Roman" w:eastAsia="Batang" w:hAnsi="Times New Roman" w:cs="Times New Roman"/>
          <w:sz w:val="24"/>
          <w:szCs w:val="24"/>
          <w:lang w:val="fr-FR"/>
        </w:rPr>
        <w:t>Des ateliers de sensibilisation dans le Nord</w:t>
      </w:r>
      <w:r w:rsidR="00A96690">
        <w:rPr>
          <w:rFonts w:ascii="Times New Roman" w:eastAsia="Batang" w:hAnsi="Times New Roman" w:cs="Times New Roman"/>
          <w:sz w:val="24"/>
          <w:szCs w:val="24"/>
          <w:lang w:val="fr-FR"/>
        </w:rPr>
        <w:t>-O</w:t>
      </w:r>
      <w:r w:rsidRPr="006538AB">
        <w:rPr>
          <w:rFonts w:ascii="Times New Roman" w:eastAsia="Batang" w:hAnsi="Times New Roman" w:cs="Times New Roman"/>
          <w:sz w:val="24"/>
          <w:szCs w:val="24"/>
          <w:lang w:val="fr-FR"/>
        </w:rPr>
        <w:t>uest et surtout les activités de sensibilisation porte</w:t>
      </w:r>
      <w:r w:rsidR="00A96690">
        <w:rPr>
          <w:rFonts w:ascii="Times New Roman" w:eastAsia="Batang" w:hAnsi="Times New Roman" w:cs="Times New Roman"/>
          <w:sz w:val="24"/>
          <w:szCs w:val="24"/>
          <w:lang w:val="fr-FR"/>
        </w:rPr>
        <w:t>-à-</w:t>
      </w:r>
      <w:r w:rsidRPr="006538AB">
        <w:rPr>
          <w:rFonts w:ascii="Times New Roman" w:eastAsia="Batang" w:hAnsi="Times New Roman" w:cs="Times New Roman"/>
          <w:sz w:val="24"/>
          <w:szCs w:val="24"/>
          <w:lang w:val="fr-FR"/>
        </w:rPr>
        <w:t>porte conduite</w:t>
      </w:r>
      <w:r w:rsidR="00A96690">
        <w:rPr>
          <w:rFonts w:ascii="Times New Roman" w:eastAsia="Batang" w:hAnsi="Times New Roman" w:cs="Times New Roman"/>
          <w:sz w:val="24"/>
          <w:szCs w:val="24"/>
          <w:lang w:val="fr-FR"/>
        </w:rPr>
        <w:t>s</w:t>
      </w:r>
      <w:r w:rsidRPr="006538AB">
        <w:rPr>
          <w:rFonts w:ascii="Times New Roman" w:eastAsia="Batang" w:hAnsi="Times New Roman" w:cs="Times New Roman"/>
          <w:sz w:val="24"/>
          <w:szCs w:val="24"/>
          <w:lang w:val="fr-FR"/>
        </w:rPr>
        <w:t xml:space="preserve"> dans les villes littorales du Nord</w:t>
      </w:r>
      <w:r w:rsidR="00A96690">
        <w:rPr>
          <w:rFonts w:ascii="Times New Roman" w:eastAsia="Batang" w:hAnsi="Times New Roman" w:cs="Times New Roman"/>
          <w:sz w:val="24"/>
          <w:szCs w:val="24"/>
          <w:lang w:val="fr-FR"/>
        </w:rPr>
        <w:t>-</w:t>
      </w:r>
      <w:r w:rsidRPr="006538AB">
        <w:rPr>
          <w:rFonts w:ascii="Times New Roman" w:eastAsia="Batang" w:hAnsi="Times New Roman" w:cs="Times New Roman"/>
          <w:sz w:val="24"/>
          <w:szCs w:val="24"/>
          <w:lang w:val="fr-FR"/>
        </w:rPr>
        <w:t>Ouest (Port</w:t>
      </w:r>
      <w:r w:rsidR="00A96690">
        <w:rPr>
          <w:rFonts w:ascii="Times New Roman" w:eastAsia="Batang" w:hAnsi="Times New Roman" w:cs="Times New Roman"/>
          <w:sz w:val="24"/>
          <w:szCs w:val="24"/>
          <w:lang w:val="fr-FR"/>
        </w:rPr>
        <w:t>-</w:t>
      </w:r>
      <w:r w:rsidRPr="006538AB">
        <w:rPr>
          <w:rFonts w:ascii="Times New Roman" w:eastAsia="Batang" w:hAnsi="Times New Roman" w:cs="Times New Roman"/>
          <w:sz w:val="24"/>
          <w:szCs w:val="24"/>
          <w:lang w:val="fr-FR"/>
        </w:rPr>
        <w:t>de</w:t>
      </w:r>
      <w:r w:rsidR="00A96690">
        <w:rPr>
          <w:rFonts w:ascii="Times New Roman" w:eastAsia="Batang" w:hAnsi="Times New Roman" w:cs="Times New Roman"/>
          <w:sz w:val="24"/>
          <w:szCs w:val="24"/>
          <w:lang w:val="fr-FR"/>
        </w:rPr>
        <w:t>-</w:t>
      </w:r>
      <w:r w:rsidRPr="006538AB">
        <w:rPr>
          <w:rFonts w:ascii="Times New Roman" w:eastAsia="Batang" w:hAnsi="Times New Roman" w:cs="Times New Roman"/>
          <w:sz w:val="24"/>
          <w:szCs w:val="24"/>
          <w:lang w:val="fr-FR"/>
        </w:rPr>
        <w:t>Paix, J</w:t>
      </w:r>
      <w:r w:rsidR="007D3BB9" w:rsidRPr="006538AB">
        <w:rPr>
          <w:rFonts w:ascii="Times New Roman" w:eastAsia="Batang" w:hAnsi="Times New Roman" w:cs="Times New Roman"/>
          <w:sz w:val="24"/>
          <w:szCs w:val="24"/>
          <w:lang w:val="fr-FR"/>
        </w:rPr>
        <w:t>e</w:t>
      </w:r>
      <w:r w:rsidRPr="006538AB">
        <w:rPr>
          <w:rFonts w:ascii="Times New Roman" w:eastAsia="Batang" w:hAnsi="Times New Roman" w:cs="Times New Roman"/>
          <w:sz w:val="24"/>
          <w:szCs w:val="24"/>
          <w:lang w:val="fr-FR"/>
        </w:rPr>
        <w:t xml:space="preserve">an </w:t>
      </w:r>
      <w:r w:rsidR="007D3BB9" w:rsidRPr="006538AB">
        <w:rPr>
          <w:rFonts w:ascii="Times New Roman" w:eastAsia="Batang" w:hAnsi="Times New Roman" w:cs="Times New Roman"/>
          <w:sz w:val="24"/>
          <w:szCs w:val="24"/>
          <w:lang w:val="fr-FR"/>
        </w:rPr>
        <w:t>R</w:t>
      </w:r>
      <w:r w:rsidRPr="006538AB">
        <w:rPr>
          <w:rFonts w:ascii="Times New Roman" w:eastAsia="Batang" w:hAnsi="Times New Roman" w:cs="Times New Roman"/>
          <w:sz w:val="24"/>
          <w:szCs w:val="24"/>
          <w:lang w:val="fr-FR"/>
        </w:rPr>
        <w:t>abel, Saint</w:t>
      </w:r>
      <w:r w:rsidR="00A96690">
        <w:rPr>
          <w:rFonts w:ascii="Times New Roman" w:eastAsia="Batang" w:hAnsi="Times New Roman" w:cs="Times New Roman"/>
          <w:sz w:val="24"/>
          <w:szCs w:val="24"/>
          <w:lang w:val="fr-FR"/>
        </w:rPr>
        <w:t>-</w:t>
      </w:r>
      <w:r w:rsidRPr="006538AB">
        <w:rPr>
          <w:rFonts w:ascii="Times New Roman" w:eastAsia="Batang" w:hAnsi="Times New Roman" w:cs="Times New Roman"/>
          <w:sz w:val="24"/>
          <w:szCs w:val="24"/>
          <w:lang w:val="fr-FR"/>
        </w:rPr>
        <w:t>Louis</w:t>
      </w:r>
      <w:r w:rsidR="00A96690">
        <w:rPr>
          <w:rFonts w:ascii="Times New Roman" w:eastAsia="Batang" w:hAnsi="Times New Roman" w:cs="Times New Roman"/>
          <w:sz w:val="24"/>
          <w:szCs w:val="24"/>
          <w:lang w:val="fr-FR"/>
        </w:rPr>
        <w:t>-</w:t>
      </w:r>
      <w:r w:rsidRPr="006538AB">
        <w:rPr>
          <w:rFonts w:ascii="Times New Roman" w:eastAsia="Batang" w:hAnsi="Times New Roman" w:cs="Times New Roman"/>
          <w:sz w:val="24"/>
          <w:szCs w:val="24"/>
          <w:lang w:val="fr-FR"/>
        </w:rPr>
        <w:t>du</w:t>
      </w:r>
      <w:r w:rsidR="00A96690">
        <w:rPr>
          <w:rFonts w:ascii="Times New Roman" w:eastAsia="Batang" w:hAnsi="Times New Roman" w:cs="Times New Roman"/>
          <w:sz w:val="24"/>
          <w:szCs w:val="24"/>
          <w:lang w:val="fr-FR"/>
        </w:rPr>
        <w:t>-</w:t>
      </w:r>
      <w:r w:rsidRPr="006538AB">
        <w:rPr>
          <w:rFonts w:ascii="Times New Roman" w:eastAsia="Batang" w:hAnsi="Times New Roman" w:cs="Times New Roman"/>
          <w:sz w:val="24"/>
          <w:szCs w:val="24"/>
          <w:lang w:val="fr-FR"/>
        </w:rPr>
        <w:t>Nord) ont permis de porter le message sur la prévention des risques sismiques au sein même de la famille</w:t>
      </w:r>
    </w:p>
    <w:p w:rsidR="007D3BB9" w:rsidRPr="006538AB" w:rsidRDefault="007D3BB9" w:rsidP="00F7765F">
      <w:pPr>
        <w:pStyle w:val="BodyText2"/>
        <w:numPr>
          <w:ilvl w:val="0"/>
          <w:numId w:val="15"/>
        </w:numPr>
        <w:rPr>
          <w:rFonts w:ascii="Times New Roman" w:hAnsi="Times New Roman" w:cs="Times New Roman"/>
          <w:sz w:val="24"/>
          <w:szCs w:val="24"/>
          <w:lang w:val="fr-FR"/>
        </w:rPr>
      </w:pPr>
      <w:r w:rsidRPr="006538AB">
        <w:rPr>
          <w:rFonts w:ascii="Times New Roman" w:eastAsia="Batang" w:hAnsi="Times New Roman" w:cs="Times New Roman"/>
          <w:sz w:val="24"/>
          <w:szCs w:val="24"/>
          <w:lang w:val="fr-FR"/>
        </w:rPr>
        <w:t>Les stands infos, les émissions-radio organisés ou réalisés pour le grand public dans les quartiers à fort risque conscientisent les populations sur la menace et déterminent chez elles de nouveaux comportements.</w:t>
      </w:r>
    </w:p>
    <w:p w:rsidR="00F7765F" w:rsidRPr="006538AB" w:rsidRDefault="00F7765F" w:rsidP="009748FE">
      <w:pPr>
        <w:pStyle w:val="BodyText2"/>
        <w:ind w:left="360"/>
        <w:rPr>
          <w:rFonts w:ascii="Times New Roman" w:hAnsi="Times New Roman" w:cs="Times New Roman"/>
          <w:sz w:val="24"/>
          <w:szCs w:val="24"/>
          <w:lang w:val="fr-FR"/>
        </w:rPr>
      </w:pPr>
    </w:p>
    <w:p w:rsidR="00F7765F" w:rsidRPr="006538AB" w:rsidRDefault="00F7765F" w:rsidP="00F7765F">
      <w:pPr>
        <w:pStyle w:val="BodyText2"/>
        <w:ind w:left="360"/>
        <w:rPr>
          <w:rFonts w:ascii="Times New Roman" w:hAnsi="Times New Roman" w:cs="Times New Roman"/>
          <w:sz w:val="24"/>
          <w:szCs w:val="24"/>
          <w:lang w:val="fr-FR"/>
        </w:rPr>
      </w:pPr>
      <w:r w:rsidRPr="006538AB">
        <w:rPr>
          <w:rFonts w:ascii="Times New Roman" w:hAnsi="Times New Roman" w:cs="Times New Roman"/>
          <w:sz w:val="24"/>
          <w:szCs w:val="24"/>
          <w:lang w:val="fr-FR"/>
        </w:rPr>
        <w:t xml:space="preserve"> </w:t>
      </w:r>
    </w:p>
    <w:p w:rsidR="00F7765F" w:rsidRPr="006538AB" w:rsidRDefault="00F7765F" w:rsidP="003E2682">
      <w:pPr>
        <w:pStyle w:val="BodyText"/>
        <w:tabs>
          <w:tab w:val="left" w:pos="360"/>
        </w:tabs>
        <w:ind w:left="720"/>
        <w:jc w:val="both"/>
        <w:rPr>
          <w:rFonts w:ascii="Times New Roman" w:hAnsi="Times New Roman"/>
          <w:bCs/>
          <w:sz w:val="24"/>
          <w:szCs w:val="24"/>
          <w:lang w:val="fr-FR"/>
        </w:rPr>
        <w:sectPr w:rsidR="00F7765F" w:rsidRPr="006538AB" w:rsidSect="003E2682">
          <w:footerReference w:type="default" r:id="rId11"/>
          <w:footerReference w:type="first" r:id="rId12"/>
          <w:pgSz w:w="12240" w:h="15840" w:code="1"/>
          <w:pgMar w:top="540" w:right="990" w:bottom="851" w:left="806" w:header="720" w:footer="418" w:gutter="0"/>
          <w:cols w:space="720"/>
          <w:docGrid w:linePitch="360"/>
        </w:sectPr>
      </w:pPr>
    </w:p>
    <w:p w:rsidR="003E2682" w:rsidRPr="006538AB" w:rsidRDefault="00FD2390" w:rsidP="00E629AA">
      <w:pPr>
        <w:pStyle w:val="BodyText"/>
        <w:tabs>
          <w:tab w:val="left" w:pos="360"/>
        </w:tabs>
        <w:ind w:left="720"/>
        <w:jc w:val="both"/>
        <w:rPr>
          <w:rFonts w:ascii="Times New Roman" w:hAnsi="Times New Roman"/>
          <w:bCs/>
          <w:sz w:val="24"/>
          <w:szCs w:val="24"/>
          <w:lang w:val="fr-FR"/>
        </w:rPr>
      </w:pPr>
      <w:r>
        <w:rPr>
          <w:rFonts w:ascii="Times New Roman" w:hAnsi="Times New Roman"/>
          <w:noProof/>
          <w:sz w:val="24"/>
          <w:szCs w:val="24"/>
        </w:rPr>
        <w:lastRenderedPageBreak/>
        <mc:AlternateContent>
          <mc:Choice Requires="wps">
            <w:drawing>
              <wp:anchor distT="0" distB="0" distL="114300" distR="114300" simplePos="0" relativeHeight="251655680" behindDoc="0" locked="0" layoutInCell="1" allowOverlap="1">
                <wp:simplePos x="0" y="0"/>
                <wp:positionH relativeFrom="column">
                  <wp:posOffset>-533400</wp:posOffset>
                </wp:positionH>
                <wp:positionV relativeFrom="paragraph">
                  <wp:posOffset>-228600</wp:posOffset>
                </wp:positionV>
                <wp:extent cx="9446260" cy="291465"/>
                <wp:effectExtent l="9525" t="9525" r="12065" b="133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A96690" w:rsidRPr="00E3532D" w:rsidRDefault="00A96690" w:rsidP="003E2682">
                            <w:pPr>
                              <w:jc w:val="center"/>
                              <w:rPr>
                                <w:b/>
                                <w:lang w:val="fr-FR"/>
                              </w:rPr>
                            </w:pPr>
                            <w:r>
                              <w:rPr>
                                <w:b/>
                                <w:lang w:val="fr-FR"/>
                              </w:rPr>
                              <w:t>ii) É</w:t>
                            </w:r>
                            <w:r w:rsidRPr="00E3532D">
                              <w:rPr>
                                <w:b/>
                                <w:lang w:val="fr-FR"/>
                              </w:rPr>
                              <w:t>valuation</w:t>
                            </w:r>
                            <w:r>
                              <w:rPr>
                                <w:b/>
                                <w:lang w:val="fr-FR"/>
                              </w:rPr>
                              <w:t xml:space="preserve"> axée sur les </w:t>
                            </w:r>
                            <w:r w:rsidRPr="00E3532D">
                              <w:rPr>
                                <w:b/>
                                <w:lang w:val="fr-FR"/>
                              </w:rPr>
                              <w:t>Indicateurs de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2pt;margin-top:-18pt;width:743.8pt;height:2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" fillcolor="#f2f2f2" strokecolor="#d8d8d8">
                <v:textbox>
                  <w:txbxContent>
                    <w:p w:rsidR="00A96690" w:rsidRPr="00E3532D" w:rsidRDefault="00A96690" w:rsidP="003E2682">
                      <w:pPr>
                        <w:jc w:val="center"/>
                        <w:rPr>
                          <w:b/>
                          <w:lang w:val="fr-FR"/>
                        </w:rPr>
                      </w:pPr>
                      <w:r>
                        <w:rPr>
                          <w:b/>
                          <w:lang w:val="fr-FR"/>
                        </w:rPr>
                        <w:t>ii) É</w:t>
                      </w:r>
                      <w:r w:rsidRPr="00E3532D">
                        <w:rPr>
                          <w:b/>
                          <w:lang w:val="fr-FR"/>
                        </w:rPr>
                        <w:t>valuation</w:t>
                      </w:r>
                      <w:r>
                        <w:rPr>
                          <w:b/>
                          <w:lang w:val="fr-FR"/>
                        </w:rPr>
                        <w:t xml:space="preserve"> axée sur les </w:t>
                      </w:r>
                      <w:r w:rsidRPr="00E3532D">
                        <w:rPr>
                          <w:b/>
                          <w:lang w:val="fr-FR"/>
                        </w:rPr>
                        <w:t>Indicateurs de Performance:</w:t>
                      </w:r>
                    </w:p>
                  </w:txbxContent>
                </v:textbox>
              </v:shape>
            </w:pict>
          </mc:Fallback>
        </mc:AlternateContent>
      </w:r>
    </w:p>
    <w:p w:rsidR="003E2682" w:rsidRPr="006538AB" w:rsidRDefault="003E2682" w:rsidP="003E2682">
      <w:pPr>
        <w:pStyle w:val="BodyText"/>
        <w:jc w:val="both"/>
        <w:rPr>
          <w:rFonts w:ascii="Times New Roman" w:hAnsi="Times New Roman"/>
          <w:bCs/>
          <w:sz w:val="24"/>
          <w:szCs w:val="24"/>
          <w:lang w:val="fr-FR"/>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4015"/>
        <w:gridCol w:w="3690"/>
        <w:gridCol w:w="3150"/>
      </w:tblGrid>
      <w:tr w:rsidR="003E2682" w:rsidRPr="006538AB" w:rsidTr="007D3BB9">
        <w:tc>
          <w:tcPr>
            <w:tcW w:w="4265" w:type="dxa"/>
            <w:tcBorders>
              <w:bottom w:val="single" w:sz="4" w:space="0" w:color="000000"/>
            </w:tcBorders>
            <w:shd w:val="clear" w:color="auto" w:fill="auto"/>
          </w:tcPr>
          <w:p w:rsidR="003E2682" w:rsidRPr="006538AB" w:rsidRDefault="003E2682" w:rsidP="003E2682">
            <w:pPr>
              <w:pStyle w:val="BodyText"/>
              <w:jc w:val="both"/>
              <w:rPr>
                <w:rFonts w:ascii="Times New Roman" w:hAnsi="Times New Roman"/>
                <w:bCs/>
                <w:sz w:val="24"/>
                <w:szCs w:val="24"/>
                <w:lang w:val="fr-FR"/>
              </w:rPr>
            </w:pPr>
          </w:p>
        </w:tc>
        <w:tc>
          <w:tcPr>
            <w:tcW w:w="4015" w:type="dxa"/>
            <w:tcBorders>
              <w:bottom w:val="single" w:sz="4" w:space="0" w:color="000000"/>
            </w:tcBorders>
            <w:shd w:val="clear" w:color="auto" w:fill="auto"/>
          </w:tcPr>
          <w:p w:rsidR="003E2682" w:rsidRPr="006538AB" w:rsidRDefault="003E2682" w:rsidP="003E2682">
            <w:pPr>
              <w:jc w:val="center"/>
              <w:rPr>
                <w:b/>
                <w:lang w:val="fr-FR"/>
              </w:rPr>
            </w:pPr>
            <w:r w:rsidRPr="006538AB">
              <w:rPr>
                <w:b/>
                <w:lang w:val="fr-FR"/>
              </w:rPr>
              <w:t>Indicateurs</w:t>
            </w:r>
            <w:r w:rsidRPr="006538AB">
              <w:rPr>
                <w:b/>
                <w:u w:val="single"/>
                <w:lang w:val="fr-FR"/>
              </w:rPr>
              <w:t xml:space="preserve"> atteints</w:t>
            </w:r>
            <w:r w:rsidRPr="006538AB">
              <w:rPr>
                <w:b/>
                <w:lang w:val="fr-FR"/>
              </w:rPr>
              <w:t xml:space="preserve"> </w:t>
            </w:r>
          </w:p>
        </w:tc>
        <w:tc>
          <w:tcPr>
            <w:tcW w:w="3690" w:type="dxa"/>
            <w:tcBorders>
              <w:bottom w:val="single" w:sz="4" w:space="0" w:color="000000"/>
            </w:tcBorders>
            <w:shd w:val="clear" w:color="auto" w:fill="auto"/>
          </w:tcPr>
          <w:p w:rsidR="003E2682" w:rsidRPr="006538AB" w:rsidRDefault="003E2682" w:rsidP="003E2682">
            <w:pPr>
              <w:jc w:val="center"/>
              <w:rPr>
                <w:b/>
                <w:lang w:val="fr-FR"/>
              </w:rPr>
            </w:pPr>
            <w:r w:rsidRPr="006538AB">
              <w:rPr>
                <w:b/>
                <w:lang w:val="fr-FR"/>
              </w:rPr>
              <w:t>Raisons d’éventuel(s) écart(s)</w:t>
            </w:r>
          </w:p>
        </w:tc>
        <w:tc>
          <w:tcPr>
            <w:tcW w:w="3150" w:type="dxa"/>
            <w:tcBorders>
              <w:bottom w:val="single" w:sz="4" w:space="0" w:color="000000"/>
            </w:tcBorders>
            <w:shd w:val="clear" w:color="auto" w:fill="auto"/>
          </w:tcPr>
          <w:p w:rsidR="003E2682" w:rsidRPr="006538AB" w:rsidRDefault="003E2682" w:rsidP="003E2682">
            <w:pPr>
              <w:jc w:val="center"/>
              <w:rPr>
                <w:b/>
                <w:lang w:val="fr-FR"/>
              </w:rPr>
            </w:pPr>
            <w:r w:rsidRPr="006538AB">
              <w:rPr>
                <w:b/>
                <w:lang w:val="fr-FR"/>
              </w:rPr>
              <w:t>Source de vérification</w:t>
            </w:r>
          </w:p>
        </w:tc>
      </w:tr>
      <w:tr w:rsidR="003E2682" w:rsidRPr="006538AB" w:rsidTr="007D3BB9">
        <w:tc>
          <w:tcPr>
            <w:tcW w:w="4265" w:type="dxa"/>
            <w:shd w:val="pct15" w:color="auto" w:fill="auto"/>
          </w:tcPr>
          <w:p w:rsidR="003E2682" w:rsidRPr="006538AB" w:rsidRDefault="003E2682" w:rsidP="003E2682">
            <w:pPr>
              <w:rPr>
                <w:b/>
                <w:lang w:val="fr-FR"/>
              </w:rPr>
            </w:pPr>
            <w:r w:rsidRPr="006538AB">
              <w:rPr>
                <w:b/>
                <w:lang w:val="fr-FR"/>
              </w:rPr>
              <w:t>Résultat 1</w:t>
            </w:r>
            <w:r w:rsidRPr="006538AB">
              <w:rPr>
                <w:rStyle w:val="FootnoteReference"/>
                <w:b/>
                <w:lang w:val="fr-FR"/>
              </w:rPr>
              <w:footnoteReference w:id="8"/>
            </w:r>
          </w:p>
          <w:p w:rsidR="003E2682" w:rsidRPr="006538AB" w:rsidRDefault="003E2682" w:rsidP="003E2682">
            <w:pPr>
              <w:rPr>
                <w:b/>
                <w:lang w:val="fr-FR"/>
              </w:rPr>
            </w:pPr>
            <w:r w:rsidRPr="006538AB">
              <w:rPr>
                <w:b/>
                <w:lang w:val="fr-FR"/>
              </w:rPr>
              <w:t>Indicateur:</w:t>
            </w:r>
          </w:p>
          <w:p w:rsidR="003E2682" w:rsidRPr="006538AB" w:rsidRDefault="003E2682" w:rsidP="003E2682">
            <w:pPr>
              <w:rPr>
                <w:b/>
                <w:lang w:val="fr-FR"/>
              </w:rPr>
            </w:pPr>
            <w:r w:rsidRPr="006538AB">
              <w:rPr>
                <w:b/>
                <w:lang w:val="fr-FR"/>
              </w:rPr>
              <w:t>Indicateur de référence:</w:t>
            </w:r>
          </w:p>
          <w:p w:rsidR="003E2682" w:rsidRPr="006538AB" w:rsidRDefault="003E2682" w:rsidP="003E2682">
            <w:pPr>
              <w:rPr>
                <w:b/>
                <w:lang w:val="fr-FR"/>
              </w:rPr>
            </w:pPr>
            <w:r w:rsidRPr="006538AB">
              <w:rPr>
                <w:b/>
                <w:lang w:val="fr-FR"/>
              </w:rPr>
              <w:t>Indicateur cible:</w:t>
            </w:r>
          </w:p>
          <w:p w:rsidR="003E2682" w:rsidRPr="006538AB" w:rsidRDefault="003E2682" w:rsidP="003E2682">
            <w:pPr>
              <w:pStyle w:val="BodyText"/>
              <w:jc w:val="both"/>
              <w:rPr>
                <w:rFonts w:ascii="Times New Roman" w:hAnsi="Times New Roman"/>
                <w:bCs/>
                <w:sz w:val="24"/>
                <w:szCs w:val="24"/>
                <w:lang w:val="fr-FR"/>
              </w:rPr>
            </w:pPr>
          </w:p>
        </w:tc>
        <w:tc>
          <w:tcPr>
            <w:tcW w:w="4015" w:type="dxa"/>
            <w:shd w:val="pct15" w:color="auto" w:fill="auto"/>
          </w:tcPr>
          <w:p w:rsidR="003E2682" w:rsidRPr="006538AB" w:rsidRDefault="003E2682" w:rsidP="003E2682">
            <w:pPr>
              <w:pStyle w:val="BodyText"/>
              <w:jc w:val="both"/>
              <w:rPr>
                <w:rFonts w:ascii="Times New Roman" w:hAnsi="Times New Roman"/>
                <w:bCs/>
                <w:sz w:val="24"/>
                <w:szCs w:val="24"/>
                <w:lang w:val="fr-FR"/>
              </w:rPr>
            </w:pPr>
          </w:p>
        </w:tc>
        <w:tc>
          <w:tcPr>
            <w:tcW w:w="3690" w:type="dxa"/>
            <w:shd w:val="pct15" w:color="auto" w:fill="auto"/>
          </w:tcPr>
          <w:p w:rsidR="003E2682" w:rsidRPr="006538AB" w:rsidRDefault="003E2682" w:rsidP="003E2682">
            <w:pPr>
              <w:pStyle w:val="BodyText"/>
              <w:jc w:val="both"/>
              <w:rPr>
                <w:rFonts w:ascii="Times New Roman" w:hAnsi="Times New Roman"/>
                <w:bCs/>
                <w:sz w:val="24"/>
                <w:szCs w:val="24"/>
                <w:lang w:val="fr-FR"/>
              </w:rPr>
            </w:pPr>
          </w:p>
        </w:tc>
        <w:tc>
          <w:tcPr>
            <w:tcW w:w="3150" w:type="dxa"/>
            <w:shd w:val="pct15" w:color="auto" w:fill="auto"/>
          </w:tcPr>
          <w:p w:rsidR="003E2682" w:rsidRPr="006538AB" w:rsidRDefault="003E2682" w:rsidP="003E2682">
            <w:pPr>
              <w:pStyle w:val="BodyText"/>
              <w:jc w:val="both"/>
              <w:rPr>
                <w:rFonts w:ascii="Times New Roman" w:hAnsi="Times New Roman"/>
                <w:bCs/>
                <w:sz w:val="24"/>
                <w:szCs w:val="24"/>
                <w:lang w:val="fr-FR"/>
              </w:rPr>
            </w:pPr>
          </w:p>
        </w:tc>
      </w:tr>
      <w:tr w:rsidR="003E2682" w:rsidRPr="002E2767" w:rsidTr="007D3BB9">
        <w:trPr>
          <w:trHeight w:val="1470"/>
        </w:trPr>
        <w:tc>
          <w:tcPr>
            <w:tcW w:w="4265" w:type="dxa"/>
            <w:vMerge w:val="restart"/>
            <w:shd w:val="clear" w:color="auto" w:fill="auto"/>
          </w:tcPr>
          <w:p w:rsidR="003E2682" w:rsidRPr="006538AB" w:rsidRDefault="003E2682" w:rsidP="003E2682">
            <w:pPr>
              <w:rPr>
                <w:b/>
                <w:lang w:val="fr-FR"/>
              </w:rPr>
            </w:pPr>
            <w:r w:rsidRPr="006538AB">
              <w:rPr>
                <w:b/>
                <w:lang w:val="fr-FR"/>
              </w:rPr>
              <w:t>Produit 1.1</w:t>
            </w:r>
            <w:r w:rsidR="009748FE" w:rsidRPr="006538AB">
              <w:rPr>
                <w:color w:val="000000"/>
                <w:lang w:val="fr-FR"/>
              </w:rPr>
              <w:t xml:space="preserve"> Une concertation et un diagnostic sont engagés avec l’ensemble des acteurs locaux</w:t>
            </w:r>
          </w:p>
          <w:p w:rsidR="009748FE" w:rsidRPr="006538AB" w:rsidRDefault="009748FE" w:rsidP="003E2682">
            <w:pPr>
              <w:rPr>
                <w:b/>
                <w:lang w:val="fr-FR"/>
              </w:rPr>
            </w:pPr>
          </w:p>
          <w:p w:rsidR="003E2682" w:rsidRPr="006538AB" w:rsidRDefault="003E2682" w:rsidP="003E2682">
            <w:pPr>
              <w:rPr>
                <w:b/>
                <w:lang w:val="fr-FR"/>
              </w:rPr>
            </w:pPr>
            <w:r w:rsidRPr="006538AB">
              <w:rPr>
                <w:b/>
                <w:lang w:val="fr-FR"/>
              </w:rPr>
              <w:t>Indicateur  1.1.1</w:t>
            </w:r>
          </w:p>
          <w:p w:rsidR="003E2682" w:rsidRPr="006538AB" w:rsidRDefault="003E2682" w:rsidP="003E2682">
            <w:pPr>
              <w:rPr>
                <w:b/>
                <w:lang w:val="fr-FR"/>
              </w:rPr>
            </w:pPr>
            <w:r w:rsidRPr="006538AB">
              <w:rPr>
                <w:b/>
                <w:lang w:val="fr-FR"/>
              </w:rPr>
              <w:t>Indicateur de référence:</w:t>
            </w:r>
            <w:r w:rsidR="009748FE" w:rsidRPr="006538AB">
              <w:rPr>
                <w:lang w:val="fr-FR"/>
              </w:rPr>
              <w:t xml:space="preserve"> </w:t>
            </w:r>
            <w:r w:rsidR="009748FE" w:rsidRPr="006538AB">
              <w:rPr>
                <w:color w:val="000000"/>
                <w:lang w:val="fr-FR"/>
              </w:rPr>
              <w:t xml:space="preserve"> nombre de staffs recrutés et nombre de réunions avec autorités locales</w:t>
            </w:r>
          </w:p>
          <w:p w:rsidR="003E2682" w:rsidRPr="006538AB" w:rsidRDefault="003E2682" w:rsidP="003E2682">
            <w:pPr>
              <w:rPr>
                <w:b/>
                <w:lang w:val="fr-FR"/>
              </w:rPr>
            </w:pPr>
            <w:r w:rsidRPr="006538AB">
              <w:rPr>
                <w:b/>
                <w:lang w:val="fr-FR"/>
              </w:rPr>
              <w:t>Indicateur cible:</w:t>
            </w:r>
            <w:r w:rsidR="009748FE" w:rsidRPr="006538AB">
              <w:rPr>
                <w:color w:val="000000"/>
                <w:lang w:val="fr-FR"/>
              </w:rPr>
              <w:t xml:space="preserve"> L'équipe de projet est recrutée, formée et opérationnelle</w:t>
            </w:r>
          </w:p>
          <w:p w:rsidR="003E2682" w:rsidRPr="006538AB" w:rsidRDefault="003E2682" w:rsidP="003E2682">
            <w:pPr>
              <w:rPr>
                <w:lang w:val="fr-FR"/>
              </w:rPr>
            </w:pPr>
          </w:p>
          <w:p w:rsidR="003E2682" w:rsidRPr="006538AB" w:rsidRDefault="003E2682" w:rsidP="003E2682">
            <w:pPr>
              <w:rPr>
                <w:lang w:val="fr-FR"/>
              </w:rPr>
            </w:pPr>
          </w:p>
          <w:p w:rsidR="003E2682" w:rsidRPr="006538AB" w:rsidRDefault="003E2682" w:rsidP="003E2682">
            <w:pPr>
              <w:rPr>
                <w:b/>
                <w:lang w:val="fr-FR"/>
              </w:rPr>
            </w:pPr>
          </w:p>
          <w:p w:rsidR="003E2682" w:rsidRPr="006538AB" w:rsidRDefault="003E2682" w:rsidP="003E2682">
            <w:pPr>
              <w:rPr>
                <w:b/>
                <w:lang w:val="fr-FR"/>
              </w:rPr>
            </w:pPr>
            <w:r w:rsidRPr="006538AB">
              <w:rPr>
                <w:b/>
                <w:lang w:val="fr-FR"/>
              </w:rPr>
              <w:t>Indicateur 1.1.2</w:t>
            </w:r>
          </w:p>
          <w:p w:rsidR="003E2682" w:rsidRPr="006538AB" w:rsidRDefault="003E2682" w:rsidP="003E2682">
            <w:pPr>
              <w:rPr>
                <w:lang w:val="fr-FR"/>
              </w:rPr>
            </w:pPr>
            <w:r w:rsidRPr="006538AB">
              <w:rPr>
                <w:b/>
                <w:lang w:val="fr-FR"/>
              </w:rPr>
              <w:t>Indicateur de référence:</w:t>
            </w:r>
            <w:r w:rsidR="00526E37" w:rsidRPr="006538AB">
              <w:rPr>
                <w:b/>
                <w:lang w:val="fr-FR"/>
              </w:rPr>
              <w:t xml:space="preserve"> </w:t>
            </w:r>
            <w:r w:rsidR="00526E37" w:rsidRPr="006538AB">
              <w:rPr>
                <w:lang w:val="fr-FR"/>
              </w:rPr>
              <w:t>rapports avec comites sismiques</w:t>
            </w:r>
          </w:p>
          <w:p w:rsidR="003E2682" w:rsidRPr="006538AB" w:rsidRDefault="003E2682" w:rsidP="003E2682">
            <w:pPr>
              <w:rPr>
                <w:lang w:val="fr-FR"/>
              </w:rPr>
            </w:pPr>
            <w:r w:rsidRPr="006538AB">
              <w:rPr>
                <w:b/>
                <w:lang w:val="fr-FR"/>
              </w:rPr>
              <w:t>Indicateur cible</w:t>
            </w:r>
            <w:r w:rsidRPr="006538AB">
              <w:rPr>
                <w:lang w:val="fr-FR"/>
              </w:rPr>
              <w:t>:</w:t>
            </w:r>
            <w:r w:rsidR="00526E37" w:rsidRPr="006538AB">
              <w:rPr>
                <w:lang w:val="fr-FR"/>
              </w:rPr>
              <w:t xml:space="preserve"> Nombre de comit</w:t>
            </w:r>
            <w:r w:rsidR="00A96690">
              <w:rPr>
                <w:lang w:val="fr-FR"/>
              </w:rPr>
              <w:t>é</w:t>
            </w:r>
            <w:r w:rsidR="00526E37" w:rsidRPr="006538AB">
              <w:rPr>
                <w:lang w:val="fr-FR"/>
              </w:rPr>
              <w:t xml:space="preserve"> sismiques crées au niveau local</w:t>
            </w:r>
          </w:p>
          <w:p w:rsidR="003E2682" w:rsidRPr="006538AB" w:rsidRDefault="003E2682" w:rsidP="003E2682">
            <w:pPr>
              <w:pStyle w:val="BodyText"/>
              <w:jc w:val="both"/>
              <w:rPr>
                <w:rFonts w:ascii="Times New Roman" w:hAnsi="Times New Roman"/>
                <w:bCs/>
                <w:sz w:val="24"/>
                <w:szCs w:val="24"/>
                <w:lang w:val="fr-FR"/>
              </w:rPr>
            </w:pPr>
          </w:p>
          <w:p w:rsidR="003E2682" w:rsidRPr="006538AB" w:rsidRDefault="003E2682" w:rsidP="003E2682">
            <w:pPr>
              <w:pStyle w:val="BodyText"/>
              <w:jc w:val="both"/>
              <w:rPr>
                <w:rFonts w:ascii="Times New Roman" w:hAnsi="Times New Roman"/>
                <w:bCs/>
                <w:sz w:val="24"/>
                <w:szCs w:val="24"/>
                <w:lang w:val="fr-FR"/>
              </w:rPr>
            </w:pPr>
          </w:p>
        </w:tc>
        <w:tc>
          <w:tcPr>
            <w:tcW w:w="4015" w:type="dxa"/>
            <w:shd w:val="clear" w:color="auto" w:fill="auto"/>
          </w:tcPr>
          <w:p w:rsidR="009748FE" w:rsidRPr="006538AB" w:rsidRDefault="009748FE" w:rsidP="009748FE">
            <w:pPr>
              <w:rPr>
                <w:lang w:val="fr-FR"/>
              </w:rPr>
            </w:pPr>
            <w:r w:rsidRPr="006538AB">
              <w:rPr>
                <w:lang w:val="fr-FR"/>
              </w:rPr>
              <w:t>1 staff international</w:t>
            </w:r>
          </w:p>
          <w:p w:rsidR="003E2682" w:rsidRPr="006538AB" w:rsidRDefault="009748FE" w:rsidP="007D3BB9">
            <w:pPr>
              <w:pStyle w:val="BodyText"/>
              <w:jc w:val="both"/>
              <w:rPr>
                <w:rFonts w:ascii="Times New Roman" w:hAnsi="Times New Roman"/>
                <w:bCs/>
                <w:sz w:val="24"/>
                <w:szCs w:val="24"/>
                <w:lang w:val="fr-FR"/>
              </w:rPr>
            </w:pPr>
            <w:r w:rsidRPr="006538AB">
              <w:rPr>
                <w:rFonts w:ascii="Times New Roman" w:hAnsi="Times New Roman"/>
                <w:sz w:val="24"/>
                <w:szCs w:val="24"/>
                <w:lang w:val="fr-FR"/>
              </w:rPr>
              <w:t>1</w:t>
            </w:r>
            <w:r w:rsidR="007D3BB9" w:rsidRPr="006538AB">
              <w:rPr>
                <w:rFonts w:ascii="Times New Roman" w:hAnsi="Times New Roman"/>
                <w:sz w:val="24"/>
                <w:szCs w:val="24"/>
                <w:lang w:val="fr-FR"/>
              </w:rPr>
              <w:t>3</w:t>
            </w:r>
            <w:r w:rsidRPr="006538AB">
              <w:rPr>
                <w:rFonts w:ascii="Times New Roman" w:hAnsi="Times New Roman"/>
                <w:sz w:val="24"/>
                <w:szCs w:val="24"/>
                <w:lang w:val="fr-FR"/>
              </w:rPr>
              <w:t xml:space="preserve"> </w:t>
            </w:r>
            <w:r w:rsidR="00A96690">
              <w:rPr>
                <w:rFonts w:ascii="Times New Roman" w:hAnsi="Times New Roman"/>
                <w:sz w:val="24"/>
                <w:szCs w:val="24"/>
                <w:lang w:val="fr-FR"/>
              </w:rPr>
              <w:t>s</w:t>
            </w:r>
            <w:r w:rsidRPr="006538AB">
              <w:rPr>
                <w:rFonts w:ascii="Times New Roman" w:hAnsi="Times New Roman"/>
                <w:sz w:val="24"/>
                <w:szCs w:val="24"/>
                <w:lang w:val="fr-FR"/>
              </w:rPr>
              <w:t xml:space="preserve">taffs nationaux </w:t>
            </w:r>
            <w:r w:rsidR="00B64438" w:rsidRPr="006538AB">
              <w:rPr>
                <w:rFonts w:ascii="Times New Roman" w:hAnsi="Times New Roman"/>
                <w:sz w:val="24"/>
                <w:szCs w:val="24"/>
                <w:lang w:val="fr-FR"/>
              </w:rPr>
              <w:t>(3</w:t>
            </w:r>
            <w:r w:rsidRPr="006538AB">
              <w:rPr>
                <w:rFonts w:ascii="Times New Roman" w:hAnsi="Times New Roman"/>
                <w:sz w:val="24"/>
                <w:szCs w:val="24"/>
                <w:lang w:val="fr-FR"/>
              </w:rPr>
              <w:t xml:space="preserve"> conseillers techniques, 2 </w:t>
            </w:r>
            <w:r w:rsidR="007D3BB9" w:rsidRPr="006538AB">
              <w:rPr>
                <w:rFonts w:ascii="Times New Roman" w:hAnsi="Times New Roman"/>
                <w:sz w:val="24"/>
                <w:szCs w:val="24"/>
                <w:lang w:val="fr-FR"/>
              </w:rPr>
              <w:t xml:space="preserve">assistants </w:t>
            </w:r>
            <w:r w:rsidRPr="006538AB">
              <w:rPr>
                <w:rFonts w:ascii="Times New Roman" w:hAnsi="Times New Roman"/>
                <w:sz w:val="24"/>
                <w:szCs w:val="24"/>
                <w:lang w:val="fr-FR"/>
              </w:rPr>
              <w:t>admin</w:t>
            </w:r>
            <w:r w:rsidR="007D3BB9" w:rsidRPr="006538AB">
              <w:rPr>
                <w:rFonts w:ascii="Times New Roman" w:hAnsi="Times New Roman"/>
                <w:sz w:val="24"/>
                <w:szCs w:val="24"/>
                <w:lang w:val="fr-FR"/>
              </w:rPr>
              <w:t>istratifs, 1 Chargé de communication</w:t>
            </w:r>
            <w:r w:rsidR="00A96690">
              <w:rPr>
                <w:rFonts w:ascii="Times New Roman" w:hAnsi="Times New Roman"/>
                <w:sz w:val="24"/>
                <w:szCs w:val="24"/>
                <w:lang w:val="fr-FR"/>
              </w:rPr>
              <w:t>,</w:t>
            </w:r>
            <w:r w:rsidRPr="006538AB">
              <w:rPr>
                <w:rFonts w:ascii="Times New Roman" w:hAnsi="Times New Roman"/>
                <w:sz w:val="24"/>
                <w:szCs w:val="24"/>
                <w:lang w:val="fr-FR"/>
              </w:rPr>
              <w:t xml:space="preserve"> 4 </w:t>
            </w:r>
            <w:r w:rsidR="00B64438" w:rsidRPr="006538AB">
              <w:rPr>
                <w:rFonts w:ascii="Times New Roman" w:hAnsi="Times New Roman"/>
                <w:sz w:val="24"/>
                <w:szCs w:val="24"/>
                <w:lang w:val="fr-FR"/>
              </w:rPr>
              <w:t>chauffeurs</w:t>
            </w:r>
            <w:r w:rsidR="00A96690">
              <w:rPr>
                <w:rFonts w:ascii="Times New Roman" w:hAnsi="Times New Roman"/>
                <w:sz w:val="24"/>
                <w:szCs w:val="24"/>
                <w:lang w:val="fr-FR"/>
              </w:rPr>
              <w:t xml:space="preserve"> et</w:t>
            </w:r>
            <w:r w:rsidR="00B64438" w:rsidRPr="006538AB">
              <w:rPr>
                <w:rFonts w:ascii="Times New Roman" w:hAnsi="Times New Roman"/>
                <w:sz w:val="24"/>
                <w:szCs w:val="24"/>
                <w:lang w:val="fr-FR"/>
              </w:rPr>
              <w:t xml:space="preserve"> </w:t>
            </w:r>
            <w:r w:rsidRPr="006538AB">
              <w:rPr>
                <w:rFonts w:ascii="Times New Roman" w:hAnsi="Times New Roman"/>
                <w:sz w:val="24"/>
                <w:szCs w:val="24"/>
                <w:lang w:val="fr-FR"/>
              </w:rPr>
              <w:t>3 gardiens recrutés et opérationnel</w:t>
            </w:r>
            <w:r w:rsidR="00A96690">
              <w:rPr>
                <w:rFonts w:ascii="Times New Roman" w:hAnsi="Times New Roman"/>
                <w:sz w:val="24"/>
                <w:szCs w:val="24"/>
                <w:lang w:val="fr-FR"/>
              </w:rPr>
              <w:t>s</w:t>
            </w:r>
          </w:p>
        </w:tc>
        <w:tc>
          <w:tcPr>
            <w:tcW w:w="3690" w:type="dxa"/>
            <w:shd w:val="clear" w:color="auto" w:fill="auto"/>
          </w:tcPr>
          <w:p w:rsidR="003E2682" w:rsidRPr="006538AB" w:rsidRDefault="00526E37" w:rsidP="003E2682">
            <w:pPr>
              <w:pStyle w:val="BodyText"/>
              <w:jc w:val="both"/>
              <w:rPr>
                <w:rFonts w:ascii="Times New Roman" w:hAnsi="Times New Roman"/>
                <w:bCs/>
                <w:sz w:val="24"/>
                <w:szCs w:val="24"/>
                <w:lang w:val="fr-FR"/>
              </w:rPr>
            </w:pPr>
            <w:r w:rsidRPr="006538AB">
              <w:rPr>
                <w:rFonts w:ascii="Times New Roman" w:hAnsi="Times New Roman"/>
                <w:bCs/>
                <w:sz w:val="24"/>
                <w:szCs w:val="24"/>
                <w:lang w:val="fr-FR"/>
              </w:rPr>
              <w:t>N/A</w:t>
            </w:r>
          </w:p>
        </w:tc>
        <w:tc>
          <w:tcPr>
            <w:tcW w:w="3150" w:type="dxa"/>
            <w:shd w:val="clear" w:color="auto" w:fill="auto"/>
          </w:tcPr>
          <w:p w:rsidR="003E2682" w:rsidRPr="006538AB" w:rsidRDefault="00526E37" w:rsidP="003E2682">
            <w:pPr>
              <w:pStyle w:val="BodyText"/>
              <w:jc w:val="both"/>
              <w:rPr>
                <w:rFonts w:ascii="Times New Roman" w:hAnsi="Times New Roman"/>
                <w:bCs/>
                <w:sz w:val="24"/>
                <w:szCs w:val="24"/>
                <w:lang w:val="fr-FR"/>
              </w:rPr>
            </w:pPr>
            <w:r w:rsidRPr="006538AB">
              <w:rPr>
                <w:rFonts w:ascii="Times New Roman" w:hAnsi="Times New Roman"/>
                <w:bCs/>
                <w:sz w:val="24"/>
                <w:szCs w:val="24"/>
                <w:lang w:val="fr-FR"/>
              </w:rPr>
              <w:t>Rapports trimestriels au FRH et rapports mensuels soumis au gouvernement</w:t>
            </w:r>
            <w:r w:rsidR="00A96690">
              <w:rPr>
                <w:rFonts w:ascii="Times New Roman" w:hAnsi="Times New Roman"/>
                <w:bCs/>
                <w:sz w:val="24"/>
                <w:szCs w:val="24"/>
                <w:lang w:val="fr-FR"/>
              </w:rPr>
              <w:t xml:space="preserve"> </w:t>
            </w:r>
            <w:r w:rsidRPr="006538AB">
              <w:rPr>
                <w:rFonts w:ascii="Times New Roman" w:hAnsi="Times New Roman"/>
                <w:bCs/>
                <w:sz w:val="24"/>
                <w:szCs w:val="24"/>
                <w:lang w:val="fr-FR"/>
              </w:rPr>
              <w:t>(DPC)</w:t>
            </w:r>
          </w:p>
        </w:tc>
      </w:tr>
      <w:tr w:rsidR="003E2682" w:rsidRPr="002E2767" w:rsidTr="007D3BB9">
        <w:tc>
          <w:tcPr>
            <w:tcW w:w="4265" w:type="dxa"/>
            <w:vMerge/>
            <w:shd w:val="clear" w:color="auto" w:fill="auto"/>
          </w:tcPr>
          <w:p w:rsidR="003E2682" w:rsidRPr="006538AB" w:rsidRDefault="003E2682" w:rsidP="003E2682">
            <w:pPr>
              <w:pStyle w:val="BodyText"/>
              <w:jc w:val="both"/>
              <w:rPr>
                <w:rFonts w:ascii="Times New Roman" w:hAnsi="Times New Roman"/>
                <w:bCs/>
                <w:sz w:val="24"/>
                <w:szCs w:val="24"/>
                <w:lang w:val="fr-FR"/>
              </w:rPr>
            </w:pPr>
          </w:p>
        </w:tc>
        <w:tc>
          <w:tcPr>
            <w:tcW w:w="4015" w:type="dxa"/>
            <w:shd w:val="clear" w:color="auto" w:fill="auto"/>
          </w:tcPr>
          <w:p w:rsidR="003E2682" w:rsidRPr="006538AB" w:rsidRDefault="00526E37" w:rsidP="00526E37">
            <w:pPr>
              <w:pStyle w:val="BodyText"/>
              <w:numPr>
                <w:ilvl w:val="0"/>
                <w:numId w:val="23"/>
              </w:numPr>
              <w:jc w:val="both"/>
              <w:rPr>
                <w:rFonts w:ascii="Times New Roman" w:hAnsi="Times New Roman"/>
                <w:bCs/>
                <w:sz w:val="24"/>
                <w:szCs w:val="24"/>
                <w:lang w:val="fr-FR"/>
              </w:rPr>
            </w:pPr>
            <w:r w:rsidRPr="006538AB">
              <w:rPr>
                <w:rFonts w:ascii="Times New Roman" w:hAnsi="Times New Roman"/>
                <w:bCs/>
                <w:sz w:val="24"/>
                <w:szCs w:val="24"/>
                <w:lang w:val="fr-FR"/>
              </w:rPr>
              <w:t>Quatre comit</w:t>
            </w:r>
            <w:r w:rsidR="00A96690">
              <w:rPr>
                <w:rFonts w:ascii="Times New Roman" w:hAnsi="Times New Roman"/>
                <w:bCs/>
                <w:sz w:val="24"/>
                <w:szCs w:val="24"/>
                <w:lang w:val="fr-FR"/>
              </w:rPr>
              <w:t>é</w:t>
            </w:r>
            <w:r w:rsidRPr="006538AB">
              <w:rPr>
                <w:rFonts w:ascii="Times New Roman" w:hAnsi="Times New Roman"/>
                <w:bCs/>
                <w:sz w:val="24"/>
                <w:szCs w:val="24"/>
                <w:lang w:val="fr-FR"/>
              </w:rPr>
              <w:t xml:space="preserve">s sismiques </w:t>
            </w:r>
            <w:r w:rsidR="00B64438" w:rsidRPr="006538AB">
              <w:rPr>
                <w:rFonts w:ascii="Times New Roman" w:hAnsi="Times New Roman"/>
                <w:bCs/>
                <w:sz w:val="24"/>
                <w:szCs w:val="24"/>
                <w:lang w:val="fr-FR"/>
              </w:rPr>
              <w:t>créés</w:t>
            </w:r>
            <w:r w:rsidRPr="006538AB">
              <w:rPr>
                <w:rFonts w:ascii="Times New Roman" w:hAnsi="Times New Roman"/>
                <w:bCs/>
                <w:sz w:val="24"/>
                <w:szCs w:val="24"/>
                <w:lang w:val="fr-FR"/>
              </w:rPr>
              <w:t xml:space="preserve"> dans chaque ville.</w:t>
            </w:r>
          </w:p>
          <w:p w:rsidR="00526E37" w:rsidRPr="006538AB" w:rsidRDefault="00526E37" w:rsidP="00526E37">
            <w:pPr>
              <w:pStyle w:val="BodyText"/>
              <w:numPr>
                <w:ilvl w:val="0"/>
                <w:numId w:val="23"/>
              </w:numPr>
              <w:jc w:val="both"/>
              <w:rPr>
                <w:rFonts w:ascii="Times New Roman" w:hAnsi="Times New Roman"/>
                <w:bCs/>
                <w:sz w:val="24"/>
                <w:szCs w:val="24"/>
                <w:lang w:val="fr-FR"/>
              </w:rPr>
            </w:pPr>
            <w:r w:rsidRPr="006538AB">
              <w:rPr>
                <w:rFonts w:ascii="Times New Roman" w:hAnsi="Times New Roman"/>
                <w:bCs/>
                <w:sz w:val="24"/>
                <w:szCs w:val="24"/>
                <w:lang w:val="fr-FR"/>
              </w:rPr>
              <w:t xml:space="preserve">3 ateliers de renforcement de capacité </w:t>
            </w:r>
            <w:r w:rsidR="00B64438" w:rsidRPr="006538AB">
              <w:rPr>
                <w:rFonts w:ascii="Times New Roman" w:hAnsi="Times New Roman"/>
                <w:bCs/>
                <w:sz w:val="24"/>
                <w:szCs w:val="24"/>
                <w:lang w:val="fr-FR"/>
              </w:rPr>
              <w:t>organisés.</w:t>
            </w:r>
          </w:p>
        </w:tc>
        <w:tc>
          <w:tcPr>
            <w:tcW w:w="3690" w:type="dxa"/>
            <w:shd w:val="clear" w:color="auto" w:fill="auto"/>
          </w:tcPr>
          <w:p w:rsidR="003E2682" w:rsidRPr="006538AB" w:rsidRDefault="003E2682" w:rsidP="003E2682">
            <w:pPr>
              <w:pStyle w:val="BodyText"/>
              <w:jc w:val="both"/>
              <w:rPr>
                <w:rFonts w:ascii="Times New Roman" w:hAnsi="Times New Roman"/>
                <w:bCs/>
                <w:sz w:val="24"/>
                <w:szCs w:val="24"/>
                <w:lang w:val="fr-FR"/>
              </w:rPr>
            </w:pPr>
          </w:p>
        </w:tc>
        <w:tc>
          <w:tcPr>
            <w:tcW w:w="3150" w:type="dxa"/>
            <w:shd w:val="clear" w:color="auto" w:fill="auto"/>
          </w:tcPr>
          <w:p w:rsidR="003E2682" w:rsidRPr="006538AB" w:rsidRDefault="00526E37" w:rsidP="003E2682">
            <w:pPr>
              <w:pStyle w:val="BodyText"/>
              <w:jc w:val="both"/>
              <w:rPr>
                <w:rFonts w:ascii="Times New Roman" w:hAnsi="Times New Roman"/>
                <w:bCs/>
                <w:sz w:val="24"/>
                <w:szCs w:val="24"/>
                <w:lang w:val="fr-FR"/>
              </w:rPr>
            </w:pPr>
            <w:r w:rsidRPr="006538AB">
              <w:rPr>
                <w:rFonts w:ascii="Times New Roman" w:hAnsi="Times New Roman"/>
                <w:bCs/>
                <w:sz w:val="24"/>
                <w:szCs w:val="24"/>
                <w:lang w:val="fr-FR"/>
              </w:rPr>
              <w:t>Rapports trimestriels au FRH et rapports mensuels soumis au gouvernement</w:t>
            </w:r>
            <w:r w:rsidR="00A96690">
              <w:rPr>
                <w:rFonts w:ascii="Times New Roman" w:hAnsi="Times New Roman"/>
                <w:bCs/>
                <w:sz w:val="24"/>
                <w:szCs w:val="24"/>
                <w:lang w:val="fr-FR"/>
              </w:rPr>
              <w:t xml:space="preserve"> </w:t>
            </w:r>
            <w:r w:rsidRPr="006538AB">
              <w:rPr>
                <w:rFonts w:ascii="Times New Roman" w:hAnsi="Times New Roman"/>
                <w:bCs/>
                <w:sz w:val="24"/>
                <w:szCs w:val="24"/>
                <w:lang w:val="fr-FR"/>
              </w:rPr>
              <w:t>(DPC</w:t>
            </w:r>
            <w:r w:rsidR="00A96690">
              <w:rPr>
                <w:rFonts w:ascii="Times New Roman" w:hAnsi="Times New Roman"/>
                <w:bCs/>
                <w:sz w:val="24"/>
                <w:szCs w:val="24"/>
                <w:lang w:val="fr-FR"/>
              </w:rPr>
              <w:t>)</w:t>
            </w:r>
          </w:p>
        </w:tc>
      </w:tr>
      <w:tr w:rsidR="003E2682" w:rsidRPr="002E2767" w:rsidTr="007D3BB9">
        <w:trPr>
          <w:trHeight w:val="2046"/>
        </w:trPr>
        <w:tc>
          <w:tcPr>
            <w:tcW w:w="4265" w:type="dxa"/>
            <w:vMerge w:val="restart"/>
            <w:shd w:val="clear" w:color="auto" w:fill="auto"/>
          </w:tcPr>
          <w:p w:rsidR="00526E37" w:rsidRPr="006538AB" w:rsidRDefault="003E2682" w:rsidP="00526E37">
            <w:pPr>
              <w:rPr>
                <w:lang w:val="fr-FR"/>
              </w:rPr>
            </w:pPr>
            <w:r w:rsidRPr="006538AB">
              <w:rPr>
                <w:b/>
                <w:lang w:val="fr-FR"/>
              </w:rPr>
              <w:lastRenderedPageBreak/>
              <w:t>Produit 1.2</w:t>
            </w:r>
            <w:r w:rsidRPr="006538AB">
              <w:rPr>
                <w:lang w:val="fr-FR"/>
              </w:rPr>
              <w:t xml:space="preserve"> </w:t>
            </w:r>
            <w:r w:rsidR="00526E37" w:rsidRPr="006538AB">
              <w:rPr>
                <w:color w:val="000000"/>
                <w:lang w:val="fr-FR"/>
              </w:rPr>
              <w:t>Le risque sismique est quantifié par l'évaluation de  sols  et la classification du bâti et des infrastructures</w:t>
            </w:r>
          </w:p>
          <w:p w:rsidR="00526E37" w:rsidRPr="006538AB" w:rsidRDefault="00526E37" w:rsidP="00526E37">
            <w:pPr>
              <w:rPr>
                <w:b/>
                <w:lang w:val="fr-FR"/>
              </w:rPr>
            </w:pPr>
          </w:p>
          <w:p w:rsidR="003E2682" w:rsidRPr="006538AB" w:rsidRDefault="003E2682" w:rsidP="003E2682">
            <w:pPr>
              <w:rPr>
                <w:lang w:val="fr-FR"/>
              </w:rPr>
            </w:pPr>
          </w:p>
          <w:p w:rsidR="003E2682" w:rsidRPr="006538AB" w:rsidRDefault="003E2682" w:rsidP="003E2682">
            <w:pPr>
              <w:rPr>
                <w:b/>
                <w:lang w:val="fr-FR"/>
              </w:rPr>
            </w:pPr>
            <w:r w:rsidRPr="006538AB">
              <w:rPr>
                <w:b/>
                <w:lang w:val="fr-FR"/>
              </w:rPr>
              <w:t>Indicateur  1.2.1</w:t>
            </w:r>
          </w:p>
          <w:p w:rsidR="00526E37" w:rsidRPr="006538AB" w:rsidRDefault="003E2682" w:rsidP="00526E37">
            <w:pPr>
              <w:jc w:val="both"/>
              <w:rPr>
                <w:lang w:val="fr-FR"/>
              </w:rPr>
            </w:pPr>
            <w:r w:rsidRPr="006538AB">
              <w:rPr>
                <w:b/>
                <w:lang w:val="fr-FR"/>
              </w:rPr>
              <w:t>Indicateur de référence:</w:t>
            </w:r>
            <w:r w:rsidR="00526E37" w:rsidRPr="006538AB">
              <w:rPr>
                <w:lang w:val="fr-FR"/>
              </w:rPr>
              <w:t xml:space="preserve"> </w:t>
            </w:r>
            <w:r w:rsidR="00526E37" w:rsidRPr="006538AB">
              <w:rPr>
                <w:spacing w:val="-2"/>
                <w:lang w:val="fr-FR"/>
              </w:rPr>
              <w:t>La carte de micro</w:t>
            </w:r>
            <w:r w:rsidR="00A96690">
              <w:rPr>
                <w:spacing w:val="-2"/>
                <w:lang w:val="fr-FR"/>
              </w:rPr>
              <w:t>-</w:t>
            </w:r>
            <w:r w:rsidR="00526E37" w:rsidRPr="006538AB">
              <w:rPr>
                <w:spacing w:val="-2"/>
                <w:lang w:val="fr-FR"/>
              </w:rPr>
              <w:t>zonage sismique (format SIG) et un rapport associé sont disponibles pour chacune des agglomérations étudiées (Cap</w:t>
            </w:r>
            <w:r w:rsidR="00A96690">
              <w:rPr>
                <w:spacing w:val="-2"/>
                <w:lang w:val="fr-FR"/>
              </w:rPr>
              <w:t>-</w:t>
            </w:r>
            <w:r w:rsidR="00526E37" w:rsidRPr="006538AB">
              <w:rPr>
                <w:spacing w:val="-2"/>
                <w:lang w:val="fr-FR"/>
              </w:rPr>
              <w:t>Ha</w:t>
            </w:r>
            <w:r w:rsidR="00A96690">
              <w:rPr>
                <w:spacing w:val="-2"/>
                <w:lang w:val="fr-FR"/>
              </w:rPr>
              <w:t>ï</w:t>
            </w:r>
            <w:r w:rsidR="00526E37" w:rsidRPr="006538AB">
              <w:rPr>
                <w:spacing w:val="-2"/>
                <w:lang w:val="fr-FR"/>
              </w:rPr>
              <w:t>tien</w:t>
            </w:r>
            <w:r w:rsidR="00A96690">
              <w:rPr>
                <w:spacing w:val="-2"/>
                <w:lang w:val="fr-FR"/>
              </w:rPr>
              <w:t>,</w:t>
            </w:r>
            <w:r w:rsidR="00526E37" w:rsidRPr="006538AB">
              <w:rPr>
                <w:spacing w:val="-2"/>
                <w:lang w:val="fr-FR"/>
              </w:rPr>
              <w:t xml:space="preserve"> Fort-Liberté et Ouanaminthe</w:t>
            </w:r>
            <w:r w:rsidR="00F77858" w:rsidRPr="006538AB">
              <w:rPr>
                <w:spacing w:val="-2"/>
                <w:lang w:val="fr-FR"/>
              </w:rPr>
              <w:t>/ No bâtiments évalués</w:t>
            </w:r>
            <w:r w:rsidR="00526E37" w:rsidRPr="006538AB">
              <w:rPr>
                <w:spacing w:val="-2"/>
                <w:lang w:val="fr-FR"/>
              </w:rPr>
              <w:t xml:space="preserve"> </w:t>
            </w:r>
          </w:p>
          <w:p w:rsidR="003E2682" w:rsidRPr="006538AB" w:rsidRDefault="003E2682" w:rsidP="003E2682">
            <w:pPr>
              <w:rPr>
                <w:b/>
                <w:lang w:val="fr-FR"/>
              </w:rPr>
            </w:pPr>
          </w:p>
          <w:p w:rsidR="003E2682" w:rsidRPr="006538AB" w:rsidRDefault="003E2682" w:rsidP="003E2682">
            <w:pPr>
              <w:rPr>
                <w:lang w:val="fr-FR"/>
              </w:rPr>
            </w:pPr>
            <w:r w:rsidRPr="006538AB">
              <w:rPr>
                <w:b/>
                <w:lang w:val="fr-FR"/>
              </w:rPr>
              <w:t>Indicateur cible:</w:t>
            </w:r>
            <w:r w:rsidR="00F33093" w:rsidRPr="006538AB">
              <w:rPr>
                <w:b/>
                <w:lang w:val="fr-FR"/>
              </w:rPr>
              <w:t xml:space="preserve"> </w:t>
            </w:r>
            <w:r w:rsidR="00526E37" w:rsidRPr="006538AB">
              <w:rPr>
                <w:lang w:val="fr-FR"/>
              </w:rPr>
              <w:t xml:space="preserve">Rapport final de </w:t>
            </w:r>
            <w:r w:rsidR="00A96690">
              <w:rPr>
                <w:lang w:val="fr-FR"/>
              </w:rPr>
              <w:t>m</w:t>
            </w:r>
            <w:r w:rsidR="00526E37" w:rsidRPr="006538AB">
              <w:rPr>
                <w:lang w:val="fr-FR"/>
              </w:rPr>
              <w:t>icro</w:t>
            </w:r>
            <w:r w:rsidR="00A96690">
              <w:rPr>
                <w:lang w:val="fr-FR"/>
              </w:rPr>
              <w:t>-</w:t>
            </w:r>
            <w:r w:rsidR="00526E37" w:rsidRPr="006538AB">
              <w:rPr>
                <w:lang w:val="fr-FR"/>
              </w:rPr>
              <w:t>zonage sismique pour les villes d</w:t>
            </w:r>
            <w:r w:rsidR="00A96690">
              <w:rPr>
                <w:lang w:val="fr-FR"/>
              </w:rPr>
              <w:t>u</w:t>
            </w:r>
            <w:r w:rsidR="00526E37" w:rsidRPr="006538AB">
              <w:rPr>
                <w:lang w:val="fr-FR"/>
              </w:rPr>
              <w:t xml:space="preserve"> </w:t>
            </w:r>
            <w:r w:rsidR="00A96690">
              <w:rPr>
                <w:lang w:val="fr-FR"/>
              </w:rPr>
              <w:t>C</w:t>
            </w:r>
            <w:r w:rsidR="00526E37" w:rsidRPr="006538AB">
              <w:rPr>
                <w:lang w:val="fr-FR"/>
              </w:rPr>
              <w:t>ap</w:t>
            </w:r>
            <w:r w:rsidR="00A96690">
              <w:rPr>
                <w:lang w:val="fr-FR"/>
              </w:rPr>
              <w:t>-</w:t>
            </w:r>
            <w:r w:rsidR="00526E37" w:rsidRPr="006538AB">
              <w:rPr>
                <w:lang w:val="fr-FR"/>
              </w:rPr>
              <w:t>Ha</w:t>
            </w:r>
            <w:r w:rsidR="00A96690">
              <w:rPr>
                <w:lang w:val="fr-FR"/>
              </w:rPr>
              <w:t>ï</w:t>
            </w:r>
            <w:r w:rsidR="00526E37" w:rsidRPr="006538AB">
              <w:rPr>
                <w:lang w:val="fr-FR"/>
              </w:rPr>
              <w:t>tien</w:t>
            </w:r>
            <w:r w:rsidR="00A96690">
              <w:rPr>
                <w:lang w:val="fr-FR"/>
              </w:rPr>
              <w:t>,</w:t>
            </w:r>
            <w:r w:rsidR="00526E37" w:rsidRPr="006538AB">
              <w:rPr>
                <w:lang w:val="fr-FR"/>
              </w:rPr>
              <w:t xml:space="preserve"> </w:t>
            </w:r>
            <w:r w:rsidR="00A96690">
              <w:rPr>
                <w:lang w:val="fr-FR"/>
              </w:rPr>
              <w:t xml:space="preserve">de </w:t>
            </w:r>
            <w:r w:rsidR="00526E37" w:rsidRPr="006538AB">
              <w:rPr>
                <w:lang w:val="fr-FR"/>
              </w:rPr>
              <w:t>Fort</w:t>
            </w:r>
            <w:r w:rsidR="00A96690">
              <w:rPr>
                <w:lang w:val="fr-FR"/>
              </w:rPr>
              <w:t>-L</w:t>
            </w:r>
            <w:r w:rsidR="00526E37" w:rsidRPr="006538AB">
              <w:rPr>
                <w:lang w:val="fr-FR"/>
              </w:rPr>
              <w:t xml:space="preserve">iberté et </w:t>
            </w:r>
            <w:r w:rsidR="00A96690">
              <w:rPr>
                <w:lang w:val="fr-FR"/>
              </w:rPr>
              <w:t xml:space="preserve">de </w:t>
            </w:r>
            <w:r w:rsidR="000F2E2B" w:rsidRPr="006538AB">
              <w:rPr>
                <w:lang w:val="fr-FR"/>
              </w:rPr>
              <w:t>Ouanaminthe</w:t>
            </w:r>
          </w:p>
          <w:p w:rsidR="003E2682" w:rsidRPr="006538AB" w:rsidRDefault="003E2682" w:rsidP="003E2682">
            <w:pPr>
              <w:rPr>
                <w:lang w:val="fr-FR"/>
              </w:rPr>
            </w:pPr>
          </w:p>
          <w:p w:rsidR="00F77858" w:rsidRPr="006538AB" w:rsidRDefault="00F77858" w:rsidP="003E2682">
            <w:pPr>
              <w:rPr>
                <w:b/>
                <w:lang w:val="fr-FR"/>
              </w:rPr>
            </w:pPr>
            <w:r w:rsidRPr="006538AB">
              <w:rPr>
                <w:b/>
                <w:lang w:val="fr-FR"/>
              </w:rPr>
              <w:t>Indicateur 1.2.2</w:t>
            </w:r>
          </w:p>
          <w:p w:rsidR="003E2682" w:rsidRPr="006538AB" w:rsidRDefault="00F77858" w:rsidP="003E2682">
            <w:pPr>
              <w:rPr>
                <w:b/>
                <w:lang w:val="fr-FR"/>
              </w:rPr>
            </w:pPr>
            <w:r w:rsidRPr="006538AB">
              <w:rPr>
                <w:lang w:val="fr-FR"/>
              </w:rPr>
              <w:t xml:space="preserve"> Nombre </w:t>
            </w:r>
            <w:r w:rsidR="001F52C4">
              <w:rPr>
                <w:lang w:val="fr-FR"/>
              </w:rPr>
              <w:t xml:space="preserve">de </w:t>
            </w:r>
            <w:r w:rsidRPr="006538AB">
              <w:rPr>
                <w:lang w:val="fr-FR"/>
              </w:rPr>
              <w:t>bâtis et Infrastructures évalués</w:t>
            </w:r>
          </w:p>
          <w:p w:rsidR="003E2682" w:rsidRPr="006538AB" w:rsidRDefault="003E2682" w:rsidP="003E2682">
            <w:pPr>
              <w:rPr>
                <w:b/>
                <w:lang w:val="fr-FR"/>
              </w:rPr>
            </w:pPr>
          </w:p>
          <w:p w:rsidR="003E2682" w:rsidRPr="006538AB" w:rsidRDefault="003E2682" w:rsidP="003E2682">
            <w:pPr>
              <w:pStyle w:val="BodyText"/>
              <w:jc w:val="both"/>
              <w:rPr>
                <w:rFonts w:ascii="Times New Roman" w:hAnsi="Times New Roman"/>
                <w:bCs/>
                <w:sz w:val="24"/>
                <w:szCs w:val="24"/>
                <w:lang w:val="fr-FR"/>
              </w:rPr>
            </w:pPr>
          </w:p>
          <w:p w:rsidR="003E2682" w:rsidRPr="006538AB" w:rsidRDefault="003E2682" w:rsidP="003E2682">
            <w:pPr>
              <w:pStyle w:val="BodyText"/>
              <w:jc w:val="both"/>
              <w:rPr>
                <w:rFonts w:ascii="Times New Roman" w:hAnsi="Times New Roman"/>
                <w:bCs/>
                <w:sz w:val="24"/>
                <w:szCs w:val="24"/>
                <w:lang w:val="fr-FR"/>
              </w:rPr>
            </w:pPr>
          </w:p>
          <w:p w:rsidR="003E2682" w:rsidRPr="006538AB" w:rsidRDefault="003E2682" w:rsidP="003E2682">
            <w:pPr>
              <w:pStyle w:val="BodyText"/>
              <w:jc w:val="both"/>
              <w:rPr>
                <w:rFonts w:ascii="Times New Roman" w:hAnsi="Times New Roman"/>
                <w:bCs/>
                <w:sz w:val="24"/>
                <w:szCs w:val="24"/>
                <w:lang w:val="fr-FR"/>
              </w:rPr>
            </w:pPr>
          </w:p>
        </w:tc>
        <w:tc>
          <w:tcPr>
            <w:tcW w:w="4015" w:type="dxa"/>
            <w:shd w:val="clear" w:color="auto" w:fill="auto"/>
          </w:tcPr>
          <w:p w:rsidR="003E2682" w:rsidRPr="006538AB" w:rsidRDefault="00501F72" w:rsidP="00501F72">
            <w:pPr>
              <w:pStyle w:val="BodyText"/>
              <w:numPr>
                <w:ilvl w:val="0"/>
                <w:numId w:val="23"/>
              </w:numPr>
              <w:jc w:val="both"/>
              <w:rPr>
                <w:rFonts w:ascii="Times New Roman" w:hAnsi="Times New Roman"/>
                <w:bCs/>
                <w:sz w:val="24"/>
                <w:szCs w:val="24"/>
                <w:lang w:val="fr-FR"/>
              </w:rPr>
            </w:pPr>
            <w:r w:rsidRPr="006538AB">
              <w:rPr>
                <w:rFonts w:ascii="Times New Roman" w:hAnsi="Times New Roman"/>
                <w:bCs/>
                <w:sz w:val="24"/>
                <w:szCs w:val="24"/>
                <w:lang w:val="fr-FR"/>
              </w:rPr>
              <w:t>Rapport final 1 et cartographies format SIG pour la ville du Cap</w:t>
            </w:r>
          </w:p>
          <w:p w:rsidR="00501F72" w:rsidRPr="006538AB" w:rsidRDefault="00501F72" w:rsidP="00501F72">
            <w:pPr>
              <w:pStyle w:val="BodyText"/>
              <w:numPr>
                <w:ilvl w:val="0"/>
                <w:numId w:val="23"/>
              </w:numPr>
              <w:jc w:val="both"/>
              <w:rPr>
                <w:rFonts w:ascii="Times New Roman" w:hAnsi="Times New Roman"/>
                <w:bCs/>
                <w:sz w:val="24"/>
                <w:szCs w:val="24"/>
                <w:lang w:val="fr-FR"/>
              </w:rPr>
            </w:pPr>
            <w:r w:rsidRPr="006538AB">
              <w:rPr>
                <w:rFonts w:ascii="Times New Roman" w:hAnsi="Times New Roman"/>
                <w:bCs/>
                <w:sz w:val="24"/>
                <w:szCs w:val="24"/>
                <w:lang w:val="fr-FR"/>
              </w:rPr>
              <w:t>Rapport final 2  et cartographies sismiques pour les villes de Fort –</w:t>
            </w:r>
            <w:r w:rsidR="007D3BB9" w:rsidRPr="006538AB">
              <w:rPr>
                <w:rFonts w:ascii="Times New Roman" w:hAnsi="Times New Roman"/>
                <w:bCs/>
                <w:sz w:val="24"/>
                <w:szCs w:val="24"/>
                <w:lang w:val="fr-FR"/>
              </w:rPr>
              <w:t>Liberté</w:t>
            </w:r>
            <w:r w:rsidR="006617CB" w:rsidRPr="006538AB">
              <w:rPr>
                <w:rFonts w:ascii="Times New Roman" w:hAnsi="Times New Roman"/>
                <w:bCs/>
                <w:sz w:val="24"/>
                <w:szCs w:val="24"/>
                <w:lang w:val="fr-FR"/>
              </w:rPr>
              <w:t xml:space="preserve"> </w:t>
            </w:r>
            <w:r w:rsidRPr="006538AB">
              <w:rPr>
                <w:rFonts w:ascii="Times New Roman" w:hAnsi="Times New Roman"/>
                <w:bCs/>
                <w:sz w:val="24"/>
                <w:szCs w:val="24"/>
                <w:lang w:val="fr-FR"/>
              </w:rPr>
              <w:t>et Ouanami</w:t>
            </w:r>
            <w:r w:rsidR="007D3BB9" w:rsidRPr="006538AB">
              <w:rPr>
                <w:rFonts w:ascii="Times New Roman" w:hAnsi="Times New Roman"/>
                <w:bCs/>
                <w:sz w:val="24"/>
                <w:szCs w:val="24"/>
                <w:lang w:val="fr-FR"/>
              </w:rPr>
              <w:t>n</w:t>
            </w:r>
            <w:r w:rsidRPr="006538AB">
              <w:rPr>
                <w:rFonts w:ascii="Times New Roman" w:hAnsi="Times New Roman"/>
                <w:bCs/>
                <w:sz w:val="24"/>
                <w:szCs w:val="24"/>
                <w:lang w:val="fr-FR"/>
              </w:rPr>
              <w:t xml:space="preserve">the </w:t>
            </w:r>
          </w:p>
        </w:tc>
        <w:tc>
          <w:tcPr>
            <w:tcW w:w="3690" w:type="dxa"/>
            <w:shd w:val="clear" w:color="auto" w:fill="auto"/>
          </w:tcPr>
          <w:p w:rsidR="003E2682" w:rsidRPr="006538AB" w:rsidRDefault="00501F72" w:rsidP="003E2682">
            <w:pPr>
              <w:pStyle w:val="BodyText"/>
              <w:jc w:val="both"/>
              <w:rPr>
                <w:rFonts w:ascii="Times New Roman" w:hAnsi="Times New Roman"/>
                <w:bCs/>
                <w:sz w:val="24"/>
                <w:szCs w:val="24"/>
                <w:lang w:val="fr-FR"/>
              </w:rPr>
            </w:pPr>
            <w:r w:rsidRPr="006538AB">
              <w:rPr>
                <w:rFonts w:ascii="Times New Roman" w:hAnsi="Times New Roman"/>
                <w:bCs/>
                <w:sz w:val="24"/>
                <w:szCs w:val="24"/>
                <w:lang w:val="fr-FR"/>
              </w:rPr>
              <w:t xml:space="preserve">Retard dans la soumission et l’approbation des rapports finaux par le comite de pilotage sismique </w:t>
            </w:r>
          </w:p>
        </w:tc>
        <w:tc>
          <w:tcPr>
            <w:tcW w:w="3150" w:type="dxa"/>
            <w:shd w:val="clear" w:color="auto" w:fill="auto"/>
          </w:tcPr>
          <w:p w:rsidR="003E2682" w:rsidRPr="006538AB" w:rsidRDefault="00501F72" w:rsidP="003E2682">
            <w:pPr>
              <w:pStyle w:val="BodyText"/>
              <w:jc w:val="both"/>
              <w:rPr>
                <w:rFonts w:ascii="Times New Roman" w:hAnsi="Times New Roman"/>
                <w:bCs/>
                <w:sz w:val="24"/>
                <w:szCs w:val="24"/>
                <w:lang w:val="fr-FR"/>
              </w:rPr>
            </w:pPr>
            <w:r w:rsidRPr="006538AB">
              <w:rPr>
                <w:rFonts w:ascii="Times New Roman" w:hAnsi="Times New Roman"/>
                <w:bCs/>
                <w:sz w:val="24"/>
                <w:szCs w:val="24"/>
                <w:lang w:val="fr-FR"/>
              </w:rPr>
              <w:t>_ version électronique et version papier</w:t>
            </w:r>
            <w:r w:rsidR="007D3BB9" w:rsidRPr="006538AB">
              <w:rPr>
                <w:rFonts w:ascii="Times New Roman" w:hAnsi="Times New Roman"/>
                <w:bCs/>
                <w:sz w:val="24"/>
                <w:szCs w:val="24"/>
                <w:lang w:val="fr-FR"/>
              </w:rPr>
              <w:t xml:space="preserve"> </w:t>
            </w:r>
            <w:r w:rsidRPr="006538AB">
              <w:rPr>
                <w:rFonts w:ascii="Times New Roman" w:hAnsi="Times New Roman"/>
                <w:bCs/>
                <w:sz w:val="24"/>
                <w:szCs w:val="24"/>
                <w:lang w:val="fr-FR"/>
              </w:rPr>
              <w:t>(coffrets)  livrées au PNUD</w:t>
            </w:r>
          </w:p>
          <w:p w:rsidR="00501F72" w:rsidRPr="006538AB" w:rsidRDefault="00501F72" w:rsidP="003E2682">
            <w:pPr>
              <w:pStyle w:val="BodyText"/>
              <w:jc w:val="both"/>
              <w:rPr>
                <w:rFonts w:ascii="Times New Roman" w:hAnsi="Times New Roman"/>
                <w:bCs/>
                <w:sz w:val="24"/>
                <w:szCs w:val="24"/>
                <w:lang w:val="fr-FR"/>
              </w:rPr>
            </w:pPr>
            <w:r w:rsidRPr="006538AB">
              <w:rPr>
                <w:rFonts w:ascii="Times New Roman" w:hAnsi="Times New Roman"/>
                <w:bCs/>
                <w:sz w:val="24"/>
                <w:szCs w:val="24"/>
                <w:lang w:val="fr-FR"/>
              </w:rPr>
              <w:t xml:space="preserve">-Bons de livraison de BRGM </w:t>
            </w:r>
            <w:r w:rsidR="007D3BB9" w:rsidRPr="006538AB">
              <w:rPr>
                <w:rFonts w:ascii="Times New Roman" w:hAnsi="Times New Roman"/>
                <w:bCs/>
                <w:sz w:val="24"/>
                <w:szCs w:val="24"/>
                <w:lang w:val="fr-FR"/>
              </w:rPr>
              <w:t>signés</w:t>
            </w:r>
            <w:r w:rsidRPr="006538AB">
              <w:rPr>
                <w:rFonts w:ascii="Times New Roman" w:hAnsi="Times New Roman"/>
                <w:bCs/>
                <w:sz w:val="24"/>
                <w:szCs w:val="24"/>
                <w:lang w:val="fr-FR"/>
              </w:rPr>
              <w:t xml:space="preserve"> par le PNUD.</w:t>
            </w:r>
          </w:p>
        </w:tc>
      </w:tr>
      <w:tr w:rsidR="003E2682" w:rsidRPr="002E2767" w:rsidTr="007D3BB9">
        <w:tc>
          <w:tcPr>
            <w:tcW w:w="4265" w:type="dxa"/>
            <w:vMerge/>
            <w:shd w:val="clear" w:color="auto" w:fill="auto"/>
          </w:tcPr>
          <w:p w:rsidR="003E2682" w:rsidRPr="006538AB" w:rsidRDefault="003E2682" w:rsidP="003E2682">
            <w:pPr>
              <w:pStyle w:val="BodyText"/>
              <w:jc w:val="both"/>
              <w:rPr>
                <w:rFonts w:ascii="Times New Roman" w:hAnsi="Times New Roman"/>
                <w:bCs/>
                <w:sz w:val="24"/>
                <w:szCs w:val="24"/>
                <w:lang w:val="fr-FR"/>
              </w:rPr>
            </w:pPr>
          </w:p>
        </w:tc>
        <w:tc>
          <w:tcPr>
            <w:tcW w:w="4015" w:type="dxa"/>
            <w:shd w:val="clear" w:color="auto" w:fill="auto"/>
          </w:tcPr>
          <w:p w:rsidR="00F77858" w:rsidRPr="006538AB" w:rsidRDefault="00F77858" w:rsidP="003E2682">
            <w:pPr>
              <w:pStyle w:val="BodyText"/>
              <w:jc w:val="both"/>
              <w:rPr>
                <w:rFonts w:ascii="Times New Roman" w:hAnsi="Times New Roman"/>
                <w:bCs/>
                <w:sz w:val="24"/>
                <w:szCs w:val="24"/>
                <w:lang w:val="fr-FR"/>
              </w:rPr>
            </w:pPr>
          </w:p>
          <w:p w:rsidR="00F77858" w:rsidRPr="006538AB" w:rsidRDefault="00F77858" w:rsidP="003E2682">
            <w:pPr>
              <w:pStyle w:val="BodyText"/>
              <w:jc w:val="both"/>
              <w:rPr>
                <w:rFonts w:ascii="Times New Roman" w:hAnsi="Times New Roman"/>
                <w:bCs/>
                <w:sz w:val="24"/>
                <w:szCs w:val="24"/>
                <w:lang w:val="fr-FR"/>
              </w:rPr>
            </w:pPr>
          </w:p>
          <w:p w:rsidR="00F77858" w:rsidRPr="006538AB" w:rsidRDefault="00F77858" w:rsidP="003E2682">
            <w:pPr>
              <w:pStyle w:val="BodyText"/>
              <w:jc w:val="both"/>
              <w:rPr>
                <w:rFonts w:ascii="Times New Roman" w:hAnsi="Times New Roman"/>
                <w:bCs/>
                <w:sz w:val="24"/>
                <w:szCs w:val="24"/>
                <w:lang w:val="fr-FR"/>
              </w:rPr>
            </w:pPr>
          </w:p>
          <w:p w:rsidR="00F77858" w:rsidRPr="006538AB" w:rsidRDefault="00F77858" w:rsidP="003E2682">
            <w:pPr>
              <w:pStyle w:val="BodyText"/>
              <w:jc w:val="both"/>
              <w:rPr>
                <w:rFonts w:ascii="Times New Roman" w:hAnsi="Times New Roman"/>
                <w:bCs/>
                <w:sz w:val="24"/>
                <w:szCs w:val="24"/>
                <w:lang w:val="fr-FR"/>
              </w:rPr>
            </w:pPr>
          </w:p>
          <w:p w:rsidR="00F77858" w:rsidRPr="006538AB" w:rsidRDefault="00F77858" w:rsidP="003E2682">
            <w:pPr>
              <w:pStyle w:val="BodyText"/>
              <w:jc w:val="both"/>
              <w:rPr>
                <w:rFonts w:ascii="Times New Roman" w:hAnsi="Times New Roman"/>
                <w:bCs/>
                <w:sz w:val="24"/>
                <w:szCs w:val="24"/>
                <w:lang w:val="fr-FR"/>
              </w:rPr>
            </w:pPr>
          </w:p>
          <w:p w:rsidR="00F77858" w:rsidRPr="006538AB" w:rsidRDefault="00F77858" w:rsidP="003E2682">
            <w:pPr>
              <w:pStyle w:val="BodyText"/>
              <w:jc w:val="both"/>
              <w:rPr>
                <w:rFonts w:ascii="Times New Roman" w:hAnsi="Times New Roman"/>
                <w:bCs/>
                <w:sz w:val="24"/>
                <w:szCs w:val="24"/>
                <w:lang w:val="fr-FR"/>
              </w:rPr>
            </w:pPr>
          </w:p>
          <w:p w:rsidR="00F77858" w:rsidRPr="006538AB" w:rsidRDefault="00F77858" w:rsidP="003E2682">
            <w:pPr>
              <w:pStyle w:val="BodyText"/>
              <w:jc w:val="both"/>
              <w:rPr>
                <w:rFonts w:ascii="Times New Roman" w:hAnsi="Times New Roman"/>
                <w:bCs/>
                <w:sz w:val="24"/>
                <w:szCs w:val="24"/>
                <w:lang w:val="fr-FR"/>
              </w:rPr>
            </w:pPr>
          </w:p>
          <w:p w:rsidR="003E2682" w:rsidRPr="006538AB" w:rsidRDefault="00F77858" w:rsidP="003E2682">
            <w:pPr>
              <w:pStyle w:val="BodyText"/>
              <w:jc w:val="both"/>
              <w:rPr>
                <w:rFonts w:ascii="Times New Roman" w:hAnsi="Times New Roman"/>
                <w:bCs/>
                <w:sz w:val="24"/>
                <w:szCs w:val="24"/>
                <w:lang w:val="fr-FR"/>
              </w:rPr>
            </w:pPr>
            <w:r w:rsidRPr="006538AB">
              <w:rPr>
                <w:rFonts w:ascii="Times New Roman" w:hAnsi="Times New Roman"/>
                <w:bCs/>
                <w:sz w:val="24"/>
                <w:szCs w:val="24"/>
                <w:lang w:val="fr-FR"/>
              </w:rPr>
              <w:t>11 bâtiments publiques évalu</w:t>
            </w:r>
            <w:r w:rsidR="000F2E2B" w:rsidRPr="006538AB">
              <w:rPr>
                <w:rFonts w:ascii="Times New Roman" w:hAnsi="Times New Roman"/>
                <w:bCs/>
                <w:sz w:val="24"/>
                <w:szCs w:val="24"/>
                <w:lang w:val="fr-FR"/>
              </w:rPr>
              <w:t>é</w:t>
            </w:r>
            <w:r w:rsidRPr="006538AB">
              <w:rPr>
                <w:rFonts w:ascii="Times New Roman" w:hAnsi="Times New Roman"/>
                <w:bCs/>
                <w:sz w:val="24"/>
                <w:szCs w:val="24"/>
                <w:lang w:val="fr-FR"/>
              </w:rPr>
              <w:t>s dans les trois départements</w:t>
            </w:r>
          </w:p>
        </w:tc>
        <w:tc>
          <w:tcPr>
            <w:tcW w:w="3690" w:type="dxa"/>
            <w:shd w:val="clear" w:color="auto" w:fill="auto"/>
          </w:tcPr>
          <w:p w:rsidR="003E2682" w:rsidRPr="006538AB" w:rsidRDefault="003E2682" w:rsidP="003E2682">
            <w:pPr>
              <w:pStyle w:val="BodyText"/>
              <w:jc w:val="both"/>
              <w:rPr>
                <w:rFonts w:ascii="Times New Roman" w:hAnsi="Times New Roman"/>
                <w:bCs/>
                <w:sz w:val="24"/>
                <w:szCs w:val="24"/>
                <w:lang w:val="fr-FR"/>
              </w:rPr>
            </w:pPr>
          </w:p>
          <w:p w:rsidR="00F77858" w:rsidRPr="006538AB" w:rsidRDefault="00F77858" w:rsidP="003E2682">
            <w:pPr>
              <w:pStyle w:val="BodyText"/>
              <w:jc w:val="both"/>
              <w:rPr>
                <w:rFonts w:ascii="Times New Roman" w:hAnsi="Times New Roman"/>
                <w:bCs/>
                <w:sz w:val="24"/>
                <w:szCs w:val="24"/>
                <w:lang w:val="fr-FR"/>
              </w:rPr>
            </w:pPr>
          </w:p>
          <w:p w:rsidR="00F77858" w:rsidRPr="006538AB" w:rsidRDefault="00F77858" w:rsidP="003E2682">
            <w:pPr>
              <w:pStyle w:val="BodyText"/>
              <w:jc w:val="both"/>
              <w:rPr>
                <w:rFonts w:ascii="Times New Roman" w:hAnsi="Times New Roman"/>
                <w:bCs/>
                <w:sz w:val="24"/>
                <w:szCs w:val="24"/>
                <w:lang w:val="fr-FR"/>
              </w:rPr>
            </w:pPr>
          </w:p>
          <w:p w:rsidR="00F77858" w:rsidRPr="006538AB" w:rsidRDefault="00F77858" w:rsidP="003E2682">
            <w:pPr>
              <w:pStyle w:val="BodyText"/>
              <w:jc w:val="both"/>
              <w:rPr>
                <w:rFonts w:ascii="Times New Roman" w:hAnsi="Times New Roman"/>
                <w:bCs/>
                <w:sz w:val="24"/>
                <w:szCs w:val="24"/>
                <w:lang w:val="fr-FR"/>
              </w:rPr>
            </w:pPr>
          </w:p>
          <w:p w:rsidR="00F77858" w:rsidRPr="006538AB" w:rsidRDefault="00F77858" w:rsidP="003E2682">
            <w:pPr>
              <w:pStyle w:val="BodyText"/>
              <w:jc w:val="both"/>
              <w:rPr>
                <w:rFonts w:ascii="Times New Roman" w:hAnsi="Times New Roman"/>
                <w:bCs/>
                <w:sz w:val="24"/>
                <w:szCs w:val="24"/>
                <w:lang w:val="fr-FR"/>
              </w:rPr>
            </w:pPr>
          </w:p>
          <w:p w:rsidR="00F77858" w:rsidRPr="006538AB" w:rsidRDefault="00F77858" w:rsidP="003E2682">
            <w:pPr>
              <w:pStyle w:val="BodyText"/>
              <w:jc w:val="both"/>
              <w:rPr>
                <w:rFonts w:ascii="Times New Roman" w:hAnsi="Times New Roman"/>
                <w:bCs/>
                <w:sz w:val="24"/>
                <w:szCs w:val="24"/>
                <w:lang w:val="fr-FR"/>
              </w:rPr>
            </w:pPr>
          </w:p>
          <w:p w:rsidR="00F77858" w:rsidRPr="006538AB" w:rsidRDefault="00F77858" w:rsidP="003E2682">
            <w:pPr>
              <w:pStyle w:val="BodyText"/>
              <w:jc w:val="both"/>
              <w:rPr>
                <w:rFonts w:ascii="Times New Roman" w:hAnsi="Times New Roman"/>
                <w:bCs/>
                <w:sz w:val="24"/>
                <w:szCs w:val="24"/>
                <w:lang w:val="fr-FR"/>
              </w:rPr>
            </w:pPr>
          </w:p>
          <w:p w:rsidR="00F77858" w:rsidRPr="006538AB" w:rsidRDefault="00F77858" w:rsidP="001F52C4">
            <w:pPr>
              <w:pStyle w:val="BodyText"/>
              <w:jc w:val="both"/>
              <w:rPr>
                <w:rFonts w:ascii="Times New Roman" w:hAnsi="Times New Roman"/>
                <w:bCs/>
                <w:sz w:val="24"/>
                <w:szCs w:val="24"/>
                <w:lang w:val="fr-FR"/>
              </w:rPr>
            </w:pPr>
            <w:r w:rsidRPr="006538AB">
              <w:rPr>
                <w:rFonts w:ascii="Times New Roman" w:hAnsi="Times New Roman"/>
                <w:bCs/>
                <w:sz w:val="24"/>
                <w:szCs w:val="24"/>
                <w:lang w:val="fr-FR"/>
              </w:rPr>
              <w:t xml:space="preserve">Il reste encore 4 bâtiments  </w:t>
            </w:r>
            <w:r w:rsidR="001F52C4">
              <w:rPr>
                <w:rFonts w:ascii="Times New Roman" w:hAnsi="Times New Roman"/>
                <w:bCs/>
                <w:sz w:val="24"/>
                <w:szCs w:val="24"/>
                <w:lang w:val="fr-FR"/>
              </w:rPr>
              <w:t>à</w:t>
            </w:r>
            <w:r w:rsidR="001F52C4" w:rsidRPr="006538AB">
              <w:rPr>
                <w:rFonts w:ascii="Times New Roman" w:hAnsi="Times New Roman"/>
                <w:bCs/>
                <w:sz w:val="24"/>
                <w:szCs w:val="24"/>
                <w:lang w:val="fr-FR"/>
              </w:rPr>
              <w:t xml:space="preserve"> </w:t>
            </w:r>
            <w:r w:rsidRPr="006538AB">
              <w:rPr>
                <w:rFonts w:ascii="Times New Roman" w:hAnsi="Times New Roman"/>
                <w:bCs/>
                <w:sz w:val="24"/>
                <w:szCs w:val="24"/>
                <w:lang w:val="fr-FR"/>
              </w:rPr>
              <w:t>évaluer pour la ville d</w:t>
            </w:r>
            <w:r w:rsidR="001F52C4">
              <w:rPr>
                <w:rFonts w:ascii="Times New Roman" w:hAnsi="Times New Roman"/>
                <w:bCs/>
                <w:sz w:val="24"/>
                <w:szCs w:val="24"/>
                <w:lang w:val="fr-FR"/>
              </w:rPr>
              <w:t xml:space="preserve">e </w:t>
            </w:r>
            <w:r w:rsidR="000F2E2B" w:rsidRPr="006538AB">
              <w:rPr>
                <w:rFonts w:ascii="Times New Roman" w:hAnsi="Times New Roman"/>
                <w:bCs/>
                <w:sz w:val="24"/>
                <w:szCs w:val="24"/>
                <w:lang w:val="fr-FR"/>
              </w:rPr>
              <w:t>Ouanaminthe</w:t>
            </w:r>
            <w:r w:rsidRPr="006538AB">
              <w:rPr>
                <w:rFonts w:ascii="Times New Roman" w:hAnsi="Times New Roman"/>
                <w:bCs/>
                <w:sz w:val="24"/>
                <w:szCs w:val="24"/>
                <w:lang w:val="fr-FR"/>
              </w:rPr>
              <w:t>.</w:t>
            </w:r>
          </w:p>
        </w:tc>
        <w:tc>
          <w:tcPr>
            <w:tcW w:w="3150" w:type="dxa"/>
            <w:shd w:val="clear" w:color="auto" w:fill="auto"/>
          </w:tcPr>
          <w:p w:rsidR="003E2682" w:rsidRPr="006538AB" w:rsidRDefault="00F77858" w:rsidP="003E2682">
            <w:pPr>
              <w:pStyle w:val="BodyText"/>
              <w:jc w:val="both"/>
              <w:rPr>
                <w:rFonts w:ascii="Times New Roman" w:hAnsi="Times New Roman"/>
                <w:bCs/>
                <w:sz w:val="24"/>
                <w:szCs w:val="24"/>
                <w:lang w:val="fr-FR"/>
              </w:rPr>
            </w:pPr>
            <w:r w:rsidRPr="006538AB">
              <w:rPr>
                <w:rFonts w:ascii="Times New Roman" w:hAnsi="Times New Roman"/>
                <w:bCs/>
                <w:sz w:val="24"/>
                <w:szCs w:val="24"/>
                <w:lang w:val="fr-FR"/>
              </w:rPr>
              <w:t>Rapport I de RFP -15 sur la vulnérabilité de bâtiments soumis par BRGM-SOCOTEC</w:t>
            </w:r>
          </w:p>
        </w:tc>
      </w:tr>
      <w:tr w:rsidR="00DD3B96" w:rsidRPr="006538AB" w:rsidTr="007D3BB9">
        <w:trPr>
          <w:trHeight w:val="1353"/>
        </w:trPr>
        <w:tc>
          <w:tcPr>
            <w:tcW w:w="4265" w:type="dxa"/>
            <w:vMerge w:val="restart"/>
            <w:shd w:val="clear" w:color="auto" w:fill="auto"/>
          </w:tcPr>
          <w:p w:rsidR="00DD3B96" w:rsidRPr="006538AB" w:rsidRDefault="00DD3B96" w:rsidP="00BE1D36">
            <w:pPr>
              <w:rPr>
                <w:lang w:val="fr-FR"/>
              </w:rPr>
            </w:pPr>
            <w:r w:rsidRPr="006538AB">
              <w:rPr>
                <w:b/>
                <w:lang w:val="fr-FR"/>
              </w:rPr>
              <w:t>Produit 1.</w:t>
            </w:r>
            <w:r w:rsidR="00F33093" w:rsidRPr="006538AB">
              <w:rPr>
                <w:b/>
                <w:lang w:val="fr-FR"/>
              </w:rPr>
              <w:t>3</w:t>
            </w:r>
            <w:r w:rsidRPr="006538AB">
              <w:rPr>
                <w:lang w:val="fr-FR"/>
              </w:rPr>
              <w:t xml:space="preserve"> </w:t>
            </w:r>
          </w:p>
          <w:p w:rsidR="00517ABE" w:rsidRPr="006538AB" w:rsidRDefault="00517ABE" w:rsidP="00517ABE">
            <w:pPr>
              <w:shd w:val="clear" w:color="auto" w:fill="FFFFFF"/>
              <w:rPr>
                <w:bCs/>
                <w:lang w:val="fr-FR"/>
              </w:rPr>
            </w:pPr>
            <w:r w:rsidRPr="006538AB">
              <w:rPr>
                <w:color w:val="000000"/>
                <w:lang w:val="fr-FR"/>
              </w:rPr>
              <w:t>Le risque sismique est réduit par des actions de prévention et de mitigation</w:t>
            </w:r>
          </w:p>
          <w:p w:rsidR="00DD3B96" w:rsidRPr="006538AB" w:rsidRDefault="00DD3B96" w:rsidP="00BE1D36">
            <w:pPr>
              <w:rPr>
                <w:b/>
                <w:lang w:val="fr-FR"/>
              </w:rPr>
            </w:pPr>
          </w:p>
          <w:p w:rsidR="00DD3B96" w:rsidRPr="006538AB" w:rsidRDefault="00DD3B96" w:rsidP="00BE1D36">
            <w:pPr>
              <w:rPr>
                <w:lang w:val="fr-FR"/>
              </w:rPr>
            </w:pPr>
          </w:p>
          <w:p w:rsidR="00DD3B96" w:rsidRPr="006538AB" w:rsidRDefault="00517ABE" w:rsidP="00BE1D36">
            <w:pPr>
              <w:rPr>
                <w:b/>
                <w:lang w:val="fr-FR"/>
              </w:rPr>
            </w:pPr>
            <w:r w:rsidRPr="006538AB">
              <w:rPr>
                <w:b/>
                <w:lang w:val="fr-FR"/>
              </w:rPr>
              <w:t>Indicateur  1.3</w:t>
            </w:r>
            <w:r w:rsidR="00DD3B96" w:rsidRPr="006538AB">
              <w:rPr>
                <w:b/>
                <w:lang w:val="fr-FR"/>
              </w:rPr>
              <w:t>.1</w:t>
            </w:r>
          </w:p>
          <w:p w:rsidR="00DD3B96" w:rsidRPr="006538AB" w:rsidRDefault="00DD3B96" w:rsidP="00517ABE">
            <w:pPr>
              <w:jc w:val="both"/>
              <w:rPr>
                <w:b/>
                <w:lang w:val="fr-FR"/>
              </w:rPr>
            </w:pPr>
            <w:r w:rsidRPr="006538AB">
              <w:rPr>
                <w:b/>
                <w:lang w:val="fr-FR"/>
              </w:rPr>
              <w:t>Indicateur de référence:</w:t>
            </w:r>
            <w:r w:rsidRPr="006538AB">
              <w:rPr>
                <w:spacing w:val="-2"/>
                <w:lang w:val="fr-FR"/>
              </w:rPr>
              <w:t xml:space="preserve"> </w:t>
            </w:r>
            <w:r w:rsidR="00517ABE" w:rsidRPr="006538AB">
              <w:rPr>
                <w:lang w:val="fr-FR"/>
              </w:rPr>
              <w:t>Plans d’action  séisme  développés</w:t>
            </w:r>
          </w:p>
          <w:p w:rsidR="00DD3B96" w:rsidRPr="006538AB" w:rsidRDefault="00DD3B96" w:rsidP="00517ABE">
            <w:pPr>
              <w:rPr>
                <w:lang w:val="fr-FR"/>
              </w:rPr>
            </w:pPr>
            <w:r w:rsidRPr="006538AB">
              <w:rPr>
                <w:b/>
                <w:lang w:val="fr-FR"/>
              </w:rPr>
              <w:t>Indicateur cible</w:t>
            </w:r>
            <w:r w:rsidR="00517ABE" w:rsidRPr="006538AB">
              <w:rPr>
                <w:b/>
                <w:lang w:val="fr-FR"/>
              </w:rPr>
              <w:t>:</w:t>
            </w:r>
            <w:r w:rsidR="001F52C4">
              <w:rPr>
                <w:b/>
                <w:lang w:val="fr-FR"/>
              </w:rPr>
              <w:t xml:space="preserve"> </w:t>
            </w:r>
            <w:r w:rsidR="006C69D9" w:rsidRPr="006538AB">
              <w:rPr>
                <w:lang w:val="fr-FR"/>
              </w:rPr>
              <w:t xml:space="preserve">Nombre de construction qui respectent les normes sismiques. </w:t>
            </w:r>
          </w:p>
          <w:p w:rsidR="00DD3B96" w:rsidRPr="006538AB" w:rsidRDefault="00DD3B96" w:rsidP="00BE1D36">
            <w:pPr>
              <w:rPr>
                <w:lang w:val="fr-FR"/>
              </w:rPr>
            </w:pPr>
          </w:p>
          <w:p w:rsidR="00DD3B96" w:rsidRPr="006538AB" w:rsidRDefault="00DD3B96" w:rsidP="00BE1D36">
            <w:pPr>
              <w:pStyle w:val="BodyText"/>
              <w:jc w:val="both"/>
              <w:rPr>
                <w:rFonts w:ascii="Times New Roman" w:hAnsi="Times New Roman"/>
                <w:bCs/>
                <w:sz w:val="24"/>
                <w:szCs w:val="24"/>
                <w:lang w:val="fr-FR"/>
              </w:rPr>
            </w:pPr>
          </w:p>
          <w:p w:rsidR="00DD3B96" w:rsidRPr="006538AB" w:rsidRDefault="00DD3B96" w:rsidP="00BE1D36">
            <w:pPr>
              <w:pStyle w:val="BodyText"/>
              <w:jc w:val="both"/>
              <w:rPr>
                <w:rFonts w:ascii="Times New Roman" w:hAnsi="Times New Roman"/>
                <w:bCs/>
                <w:sz w:val="24"/>
                <w:szCs w:val="24"/>
                <w:lang w:val="fr-FR"/>
              </w:rPr>
            </w:pPr>
          </w:p>
        </w:tc>
        <w:tc>
          <w:tcPr>
            <w:tcW w:w="4015" w:type="dxa"/>
            <w:shd w:val="clear" w:color="auto" w:fill="auto"/>
          </w:tcPr>
          <w:p w:rsidR="00DD3B96" w:rsidRPr="006538AB" w:rsidRDefault="006C69D9" w:rsidP="006C69D9">
            <w:pPr>
              <w:pStyle w:val="BodyText"/>
              <w:ind w:left="720"/>
              <w:jc w:val="both"/>
              <w:rPr>
                <w:rFonts w:ascii="Times New Roman" w:hAnsi="Times New Roman"/>
                <w:bCs/>
                <w:sz w:val="24"/>
                <w:szCs w:val="24"/>
                <w:lang w:val="fr-FR"/>
              </w:rPr>
            </w:pPr>
            <w:r w:rsidRPr="006538AB">
              <w:rPr>
                <w:rFonts w:ascii="Times New Roman" w:hAnsi="Times New Roman"/>
                <w:bCs/>
                <w:sz w:val="24"/>
                <w:szCs w:val="24"/>
                <w:lang w:val="fr-FR"/>
              </w:rPr>
              <w:lastRenderedPageBreak/>
              <w:t xml:space="preserve">Rapport 1 sur les études d’évaluation de pertes disponibles </w:t>
            </w:r>
          </w:p>
        </w:tc>
        <w:tc>
          <w:tcPr>
            <w:tcW w:w="3690" w:type="dxa"/>
            <w:shd w:val="clear" w:color="auto" w:fill="auto"/>
          </w:tcPr>
          <w:p w:rsidR="00DD3B96" w:rsidRPr="006538AB" w:rsidRDefault="006C69D9" w:rsidP="00BE1D36">
            <w:pPr>
              <w:pStyle w:val="BodyText"/>
              <w:jc w:val="both"/>
              <w:rPr>
                <w:rFonts w:ascii="Times New Roman" w:hAnsi="Times New Roman"/>
                <w:bCs/>
                <w:sz w:val="24"/>
                <w:szCs w:val="24"/>
                <w:lang w:val="fr-FR"/>
              </w:rPr>
            </w:pPr>
            <w:r w:rsidRPr="006538AB">
              <w:rPr>
                <w:rFonts w:ascii="Times New Roman" w:hAnsi="Times New Roman"/>
                <w:bCs/>
                <w:sz w:val="24"/>
                <w:szCs w:val="24"/>
                <w:lang w:val="fr-FR"/>
              </w:rPr>
              <w:t xml:space="preserve">Le retard accumulé lors de recrutement des experts </w:t>
            </w:r>
            <w:r w:rsidR="00146E6A" w:rsidRPr="006538AB">
              <w:rPr>
                <w:rFonts w:ascii="Times New Roman" w:hAnsi="Times New Roman"/>
                <w:bCs/>
                <w:sz w:val="24"/>
                <w:szCs w:val="24"/>
                <w:lang w:val="fr-FR"/>
              </w:rPr>
              <w:t>internationaux</w:t>
            </w:r>
            <w:r w:rsidRPr="006538AB">
              <w:rPr>
                <w:rFonts w:ascii="Times New Roman" w:hAnsi="Times New Roman"/>
                <w:bCs/>
                <w:sz w:val="24"/>
                <w:szCs w:val="24"/>
                <w:lang w:val="fr-FR"/>
              </w:rPr>
              <w:t xml:space="preserve"> </w:t>
            </w:r>
          </w:p>
        </w:tc>
        <w:tc>
          <w:tcPr>
            <w:tcW w:w="3150" w:type="dxa"/>
            <w:shd w:val="clear" w:color="auto" w:fill="auto"/>
          </w:tcPr>
          <w:p w:rsidR="00DD3B96" w:rsidRPr="006538AB" w:rsidRDefault="00AA7ECA" w:rsidP="00BE1D36">
            <w:pPr>
              <w:pStyle w:val="BodyText"/>
              <w:jc w:val="both"/>
              <w:rPr>
                <w:rFonts w:ascii="Times New Roman" w:hAnsi="Times New Roman"/>
                <w:bCs/>
                <w:sz w:val="24"/>
                <w:szCs w:val="24"/>
                <w:lang w:val="fr-FR"/>
              </w:rPr>
            </w:pPr>
            <w:r>
              <w:rPr>
                <w:rFonts w:ascii="Times New Roman" w:hAnsi="Times New Roman"/>
                <w:bCs/>
                <w:sz w:val="24"/>
                <w:szCs w:val="24"/>
                <w:lang w:val="fr-FR"/>
              </w:rPr>
              <w:t>Rapport #</w:t>
            </w:r>
            <w:r w:rsidR="006C69D9" w:rsidRPr="006538AB">
              <w:rPr>
                <w:rFonts w:ascii="Times New Roman" w:hAnsi="Times New Roman"/>
                <w:bCs/>
                <w:sz w:val="24"/>
                <w:szCs w:val="24"/>
                <w:lang w:val="fr-FR"/>
              </w:rPr>
              <w:t xml:space="preserve"> 1 de Miyamoto</w:t>
            </w:r>
          </w:p>
        </w:tc>
      </w:tr>
      <w:tr w:rsidR="00DD3B96" w:rsidRPr="002E2767" w:rsidTr="007D3BB9">
        <w:tc>
          <w:tcPr>
            <w:tcW w:w="4265" w:type="dxa"/>
            <w:vMerge/>
            <w:shd w:val="clear" w:color="auto" w:fill="auto"/>
          </w:tcPr>
          <w:p w:rsidR="00DD3B96" w:rsidRPr="006538AB" w:rsidRDefault="00DD3B96" w:rsidP="00BE1D36">
            <w:pPr>
              <w:pStyle w:val="BodyText"/>
              <w:jc w:val="both"/>
              <w:rPr>
                <w:rFonts w:ascii="Times New Roman" w:hAnsi="Times New Roman"/>
                <w:bCs/>
                <w:sz w:val="24"/>
                <w:szCs w:val="24"/>
                <w:lang w:val="fr-FR"/>
              </w:rPr>
            </w:pPr>
          </w:p>
        </w:tc>
        <w:tc>
          <w:tcPr>
            <w:tcW w:w="4015" w:type="dxa"/>
            <w:shd w:val="clear" w:color="auto" w:fill="auto"/>
          </w:tcPr>
          <w:p w:rsidR="00DD3B96" w:rsidRPr="006538AB" w:rsidRDefault="006C69D9" w:rsidP="00BE1D36">
            <w:pPr>
              <w:pStyle w:val="BodyText"/>
              <w:jc w:val="both"/>
              <w:rPr>
                <w:rFonts w:ascii="Times New Roman" w:hAnsi="Times New Roman"/>
                <w:bCs/>
                <w:sz w:val="24"/>
                <w:szCs w:val="24"/>
                <w:lang w:val="fr-FR"/>
              </w:rPr>
            </w:pPr>
            <w:r w:rsidRPr="006538AB">
              <w:rPr>
                <w:rFonts w:ascii="Times New Roman" w:hAnsi="Times New Roman"/>
                <w:bCs/>
                <w:sz w:val="24"/>
                <w:szCs w:val="24"/>
                <w:lang w:val="fr-FR"/>
              </w:rPr>
              <w:t>Cartographie de risques disponible</w:t>
            </w:r>
          </w:p>
        </w:tc>
        <w:tc>
          <w:tcPr>
            <w:tcW w:w="3690" w:type="dxa"/>
            <w:shd w:val="clear" w:color="auto" w:fill="auto"/>
          </w:tcPr>
          <w:p w:rsidR="00DD3B96" w:rsidRPr="006538AB" w:rsidRDefault="00DD3B96" w:rsidP="00BE1D36">
            <w:pPr>
              <w:pStyle w:val="BodyText"/>
              <w:jc w:val="both"/>
              <w:rPr>
                <w:rFonts w:ascii="Times New Roman" w:hAnsi="Times New Roman"/>
                <w:bCs/>
                <w:sz w:val="24"/>
                <w:szCs w:val="24"/>
                <w:lang w:val="fr-FR"/>
              </w:rPr>
            </w:pPr>
          </w:p>
        </w:tc>
        <w:tc>
          <w:tcPr>
            <w:tcW w:w="3150" w:type="dxa"/>
            <w:shd w:val="clear" w:color="auto" w:fill="auto"/>
          </w:tcPr>
          <w:p w:rsidR="006C69D9" w:rsidRPr="006538AB" w:rsidRDefault="006C69D9" w:rsidP="006C69D9">
            <w:pPr>
              <w:rPr>
                <w:lang w:val="fr-FR"/>
              </w:rPr>
            </w:pPr>
            <w:r w:rsidRPr="006538AB">
              <w:rPr>
                <w:lang w:val="fr-FR"/>
              </w:rPr>
              <w:t>Rapports mairies</w:t>
            </w:r>
            <w:r w:rsidR="001F52C4">
              <w:rPr>
                <w:lang w:val="fr-FR"/>
              </w:rPr>
              <w:t xml:space="preserve"> </w:t>
            </w:r>
            <w:r w:rsidRPr="006538AB">
              <w:rPr>
                <w:lang w:val="fr-FR"/>
              </w:rPr>
              <w:t>et départements/rapports conseillers techniques.</w:t>
            </w:r>
          </w:p>
          <w:p w:rsidR="006C69D9" w:rsidRPr="006538AB" w:rsidRDefault="006C69D9" w:rsidP="006C69D9">
            <w:pPr>
              <w:rPr>
                <w:lang w:val="fr-FR"/>
              </w:rPr>
            </w:pPr>
          </w:p>
          <w:p w:rsidR="00DD3B96" w:rsidRPr="006538AB" w:rsidRDefault="00DD3B96" w:rsidP="00BE1D36">
            <w:pPr>
              <w:pStyle w:val="BodyText"/>
              <w:jc w:val="both"/>
              <w:rPr>
                <w:rFonts w:ascii="Times New Roman" w:hAnsi="Times New Roman"/>
                <w:bCs/>
                <w:sz w:val="24"/>
                <w:szCs w:val="24"/>
                <w:lang w:val="fr-FR"/>
              </w:rPr>
            </w:pPr>
          </w:p>
        </w:tc>
      </w:tr>
    </w:tbl>
    <w:p w:rsidR="00DD3B96" w:rsidRPr="006538AB" w:rsidRDefault="00DD3B96" w:rsidP="00DD3B96">
      <w:pPr>
        <w:pStyle w:val="BodyText"/>
        <w:tabs>
          <w:tab w:val="left" w:pos="360"/>
        </w:tabs>
        <w:ind w:left="720"/>
        <w:jc w:val="both"/>
        <w:rPr>
          <w:rFonts w:ascii="Times New Roman" w:hAnsi="Times New Roman"/>
          <w:sz w:val="24"/>
          <w:szCs w:val="24"/>
          <w:lang w:val="fr-FR"/>
        </w:rPr>
      </w:pPr>
    </w:p>
    <w:p w:rsidR="00DD3B96" w:rsidRPr="006538AB" w:rsidRDefault="00DD3B96" w:rsidP="00DD3B96">
      <w:pPr>
        <w:pStyle w:val="BodyText"/>
        <w:jc w:val="both"/>
        <w:rPr>
          <w:rFonts w:ascii="Times New Roman" w:hAnsi="Times New Roman"/>
          <w:sz w:val="24"/>
          <w:szCs w:val="24"/>
          <w:lang w:val="fr-FR"/>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5"/>
        <w:gridCol w:w="3745"/>
        <w:gridCol w:w="3960"/>
        <w:gridCol w:w="3150"/>
      </w:tblGrid>
      <w:tr w:rsidR="00DD3B96" w:rsidRPr="002E2767" w:rsidTr="00BE1D36">
        <w:trPr>
          <w:trHeight w:val="1353"/>
        </w:trPr>
        <w:tc>
          <w:tcPr>
            <w:tcW w:w="4265" w:type="dxa"/>
            <w:vMerge w:val="restart"/>
            <w:shd w:val="clear" w:color="auto" w:fill="auto"/>
          </w:tcPr>
          <w:p w:rsidR="006C69D9" w:rsidRPr="006538AB" w:rsidRDefault="00DD3B96" w:rsidP="006C69D9">
            <w:pPr>
              <w:rPr>
                <w:color w:val="000000"/>
                <w:lang w:val="fr-FR"/>
              </w:rPr>
            </w:pPr>
            <w:r w:rsidRPr="006538AB">
              <w:rPr>
                <w:b/>
                <w:lang w:val="fr-FR"/>
              </w:rPr>
              <w:t>Produit 1.</w:t>
            </w:r>
            <w:r w:rsidR="006C69D9" w:rsidRPr="006538AB">
              <w:rPr>
                <w:b/>
                <w:lang w:val="fr-FR"/>
              </w:rPr>
              <w:t>4</w:t>
            </w:r>
            <w:r w:rsidRPr="006538AB">
              <w:rPr>
                <w:lang w:val="fr-FR"/>
              </w:rPr>
              <w:t xml:space="preserve"> </w:t>
            </w:r>
            <w:r w:rsidR="006C69D9" w:rsidRPr="006538AB">
              <w:rPr>
                <w:color w:val="000000"/>
                <w:lang w:val="fr-FR"/>
              </w:rPr>
              <w:t>La chaîne de la construction est formée aux pratiques parasismiques</w:t>
            </w:r>
          </w:p>
          <w:p w:rsidR="00DD3B96" w:rsidRPr="006538AB" w:rsidRDefault="006C69D9" w:rsidP="00BE1D36">
            <w:pPr>
              <w:rPr>
                <w:b/>
                <w:lang w:val="fr-FR"/>
              </w:rPr>
            </w:pPr>
            <w:r w:rsidRPr="006538AB">
              <w:rPr>
                <w:b/>
                <w:lang w:val="fr-FR"/>
              </w:rPr>
              <w:t>Indicateur  1.4</w:t>
            </w:r>
            <w:r w:rsidR="00DD3B96" w:rsidRPr="006538AB">
              <w:rPr>
                <w:b/>
                <w:lang w:val="fr-FR"/>
              </w:rPr>
              <w:t>.1</w:t>
            </w:r>
          </w:p>
          <w:p w:rsidR="00DD3B96" w:rsidRPr="006538AB" w:rsidRDefault="00DD3B96" w:rsidP="00BE1D36">
            <w:pPr>
              <w:jc w:val="both"/>
              <w:rPr>
                <w:lang w:val="fr-FR"/>
              </w:rPr>
            </w:pPr>
            <w:r w:rsidRPr="006538AB">
              <w:rPr>
                <w:b/>
                <w:lang w:val="fr-FR"/>
              </w:rPr>
              <w:t>Indicateur de référence:</w:t>
            </w:r>
            <w:r w:rsidRPr="006538AB">
              <w:rPr>
                <w:lang w:val="fr-FR"/>
              </w:rPr>
              <w:t xml:space="preserve"> </w:t>
            </w:r>
            <w:r w:rsidR="00D436F4" w:rsidRPr="006538AB">
              <w:rPr>
                <w:lang w:val="fr-FR"/>
              </w:rPr>
              <w:t xml:space="preserve">60 ingénieurs et 200 </w:t>
            </w:r>
            <w:r w:rsidR="000F2E2B" w:rsidRPr="006538AB">
              <w:rPr>
                <w:lang w:val="fr-FR"/>
              </w:rPr>
              <w:t xml:space="preserve">maçons  </w:t>
            </w:r>
            <w:r w:rsidR="00D436F4" w:rsidRPr="006538AB">
              <w:rPr>
                <w:lang w:val="fr-FR"/>
              </w:rPr>
              <w:t>sont form</w:t>
            </w:r>
            <w:r w:rsidR="000F2E2B" w:rsidRPr="006538AB">
              <w:rPr>
                <w:lang w:val="fr-FR"/>
              </w:rPr>
              <w:t>é</w:t>
            </w:r>
            <w:r w:rsidR="00D436F4" w:rsidRPr="006538AB">
              <w:rPr>
                <w:lang w:val="fr-FR"/>
              </w:rPr>
              <w:t>s dans des constructions parasismiques .</w:t>
            </w:r>
          </w:p>
          <w:p w:rsidR="00DD3B96" w:rsidRPr="006538AB" w:rsidRDefault="00DD3B96" w:rsidP="00BE1D36">
            <w:pPr>
              <w:rPr>
                <w:b/>
                <w:lang w:val="fr-FR"/>
              </w:rPr>
            </w:pPr>
          </w:p>
          <w:p w:rsidR="00DD3B96" w:rsidRPr="006538AB" w:rsidRDefault="00DD3B96" w:rsidP="00BE1D36">
            <w:pPr>
              <w:rPr>
                <w:lang w:val="fr-FR"/>
              </w:rPr>
            </w:pPr>
            <w:r w:rsidRPr="006538AB">
              <w:rPr>
                <w:b/>
                <w:lang w:val="fr-FR"/>
              </w:rPr>
              <w:t>Indicateur cible:</w:t>
            </w:r>
            <w:r w:rsidR="00517ABE" w:rsidRPr="006538AB">
              <w:rPr>
                <w:b/>
                <w:lang w:val="fr-FR"/>
              </w:rPr>
              <w:t xml:space="preserve"> </w:t>
            </w:r>
            <w:r w:rsidR="00D436F4" w:rsidRPr="006538AB">
              <w:rPr>
                <w:lang w:val="fr-FR"/>
              </w:rPr>
              <w:t>nombre de bâtiments publiques restaur</w:t>
            </w:r>
            <w:r w:rsidR="000F2E2B" w:rsidRPr="006538AB">
              <w:rPr>
                <w:lang w:val="fr-FR"/>
              </w:rPr>
              <w:t>é</w:t>
            </w:r>
            <w:r w:rsidR="00D436F4" w:rsidRPr="006538AB">
              <w:rPr>
                <w:lang w:val="fr-FR"/>
              </w:rPr>
              <w:t xml:space="preserve">s et nombre de nouveaux bâtiments </w:t>
            </w:r>
          </w:p>
          <w:p w:rsidR="00DD3B96" w:rsidRPr="006538AB" w:rsidRDefault="00DD3B96" w:rsidP="00BE1D36">
            <w:pPr>
              <w:rPr>
                <w:lang w:val="fr-FR"/>
              </w:rPr>
            </w:pPr>
          </w:p>
          <w:p w:rsidR="00DD3B96" w:rsidRPr="006538AB" w:rsidRDefault="00DD3B96" w:rsidP="00BE1D36">
            <w:pPr>
              <w:rPr>
                <w:lang w:val="fr-FR"/>
              </w:rPr>
            </w:pPr>
          </w:p>
          <w:p w:rsidR="00DD3B96" w:rsidRPr="006538AB" w:rsidRDefault="00DD3B96" w:rsidP="00BE1D36">
            <w:pPr>
              <w:pStyle w:val="BodyText"/>
              <w:jc w:val="both"/>
              <w:rPr>
                <w:rFonts w:ascii="Times New Roman" w:hAnsi="Times New Roman"/>
                <w:bCs/>
                <w:sz w:val="24"/>
                <w:szCs w:val="24"/>
                <w:lang w:val="fr-FR"/>
              </w:rPr>
            </w:pPr>
          </w:p>
          <w:p w:rsidR="00DD3B96" w:rsidRPr="006538AB" w:rsidRDefault="00DD3B96" w:rsidP="00BE1D36">
            <w:pPr>
              <w:pStyle w:val="BodyText"/>
              <w:jc w:val="both"/>
              <w:rPr>
                <w:rFonts w:ascii="Times New Roman" w:hAnsi="Times New Roman"/>
                <w:bCs/>
                <w:sz w:val="24"/>
                <w:szCs w:val="24"/>
                <w:lang w:val="fr-FR"/>
              </w:rPr>
            </w:pPr>
          </w:p>
          <w:p w:rsidR="00DD3B96" w:rsidRPr="006538AB" w:rsidRDefault="00DD3B96" w:rsidP="00BE1D36">
            <w:pPr>
              <w:pStyle w:val="BodyText"/>
              <w:jc w:val="both"/>
              <w:rPr>
                <w:rFonts w:ascii="Times New Roman" w:hAnsi="Times New Roman"/>
                <w:bCs/>
                <w:sz w:val="24"/>
                <w:szCs w:val="24"/>
                <w:lang w:val="fr-FR"/>
              </w:rPr>
            </w:pPr>
          </w:p>
        </w:tc>
        <w:tc>
          <w:tcPr>
            <w:tcW w:w="3745" w:type="dxa"/>
            <w:shd w:val="clear" w:color="auto" w:fill="auto"/>
          </w:tcPr>
          <w:p w:rsidR="00DD3B96" w:rsidRPr="006538AB" w:rsidRDefault="00D436F4" w:rsidP="00BE1D36">
            <w:pPr>
              <w:pStyle w:val="BodyText"/>
              <w:numPr>
                <w:ilvl w:val="0"/>
                <w:numId w:val="23"/>
              </w:numPr>
              <w:jc w:val="both"/>
              <w:rPr>
                <w:rFonts w:ascii="Times New Roman" w:hAnsi="Times New Roman"/>
                <w:bCs/>
                <w:sz w:val="24"/>
                <w:szCs w:val="24"/>
                <w:lang w:val="fr-FR"/>
              </w:rPr>
            </w:pPr>
            <w:r w:rsidRPr="006538AB">
              <w:rPr>
                <w:rFonts w:ascii="Times New Roman" w:hAnsi="Times New Roman"/>
                <w:bCs/>
                <w:sz w:val="24"/>
                <w:szCs w:val="24"/>
                <w:lang w:val="fr-FR"/>
              </w:rPr>
              <w:t xml:space="preserve">25 ingénieurs formés sur les techniques d’évaluation des bâtiments </w:t>
            </w:r>
            <w:r w:rsidR="00DD3B96" w:rsidRPr="006538AB">
              <w:rPr>
                <w:rFonts w:ascii="Times New Roman" w:hAnsi="Times New Roman"/>
                <w:bCs/>
                <w:sz w:val="24"/>
                <w:szCs w:val="24"/>
                <w:lang w:val="fr-FR"/>
              </w:rPr>
              <w:t xml:space="preserve"> </w:t>
            </w:r>
          </w:p>
        </w:tc>
        <w:tc>
          <w:tcPr>
            <w:tcW w:w="3960" w:type="dxa"/>
            <w:shd w:val="clear" w:color="auto" w:fill="auto"/>
          </w:tcPr>
          <w:p w:rsidR="00DD3B96" w:rsidRPr="006538AB" w:rsidRDefault="00DD3B96" w:rsidP="00BE1D36">
            <w:pPr>
              <w:pStyle w:val="BodyText"/>
              <w:jc w:val="both"/>
              <w:rPr>
                <w:rFonts w:ascii="Times New Roman" w:hAnsi="Times New Roman"/>
                <w:bCs/>
                <w:sz w:val="24"/>
                <w:szCs w:val="24"/>
                <w:lang w:val="fr-FR"/>
              </w:rPr>
            </w:pPr>
            <w:r w:rsidRPr="006538AB">
              <w:rPr>
                <w:rFonts w:ascii="Times New Roman" w:hAnsi="Times New Roman"/>
                <w:bCs/>
                <w:sz w:val="24"/>
                <w:szCs w:val="24"/>
                <w:lang w:val="fr-FR"/>
              </w:rPr>
              <w:t xml:space="preserve">Retard dans la soumission et l’approbation des rapports finaux par le comite de pilotage sismique </w:t>
            </w:r>
          </w:p>
        </w:tc>
        <w:tc>
          <w:tcPr>
            <w:tcW w:w="3150" w:type="dxa"/>
            <w:shd w:val="clear" w:color="auto" w:fill="auto"/>
          </w:tcPr>
          <w:p w:rsidR="00DD3B96" w:rsidRPr="006538AB" w:rsidRDefault="00F601EA" w:rsidP="00BE1D36">
            <w:pPr>
              <w:pStyle w:val="BodyText"/>
              <w:jc w:val="both"/>
              <w:rPr>
                <w:rFonts w:ascii="Times New Roman" w:hAnsi="Times New Roman"/>
                <w:bCs/>
                <w:sz w:val="24"/>
                <w:szCs w:val="24"/>
                <w:lang w:val="fr-FR"/>
              </w:rPr>
            </w:pPr>
            <w:r>
              <w:rPr>
                <w:rFonts w:ascii="Times New Roman" w:hAnsi="Times New Roman"/>
                <w:bCs/>
                <w:sz w:val="24"/>
                <w:szCs w:val="24"/>
                <w:lang w:val="fr-FR"/>
              </w:rPr>
              <w:t>-Version électronique et version papier (</w:t>
            </w:r>
            <w:r w:rsidR="00DD3B96" w:rsidRPr="006538AB">
              <w:rPr>
                <w:rFonts w:ascii="Times New Roman" w:hAnsi="Times New Roman"/>
                <w:bCs/>
                <w:sz w:val="24"/>
                <w:szCs w:val="24"/>
                <w:lang w:val="fr-FR"/>
              </w:rPr>
              <w:t>coffrets)  livrées au PNUD</w:t>
            </w:r>
          </w:p>
          <w:p w:rsidR="00DD3B96" w:rsidRPr="006538AB" w:rsidRDefault="00DD3B96" w:rsidP="00BE1D36">
            <w:pPr>
              <w:pStyle w:val="BodyText"/>
              <w:jc w:val="both"/>
              <w:rPr>
                <w:rFonts w:ascii="Times New Roman" w:hAnsi="Times New Roman"/>
                <w:bCs/>
                <w:sz w:val="24"/>
                <w:szCs w:val="24"/>
                <w:lang w:val="fr-FR"/>
              </w:rPr>
            </w:pPr>
            <w:r w:rsidRPr="006538AB">
              <w:rPr>
                <w:rFonts w:ascii="Times New Roman" w:hAnsi="Times New Roman"/>
                <w:bCs/>
                <w:sz w:val="24"/>
                <w:szCs w:val="24"/>
                <w:lang w:val="fr-FR"/>
              </w:rPr>
              <w:t xml:space="preserve">-Bons de livraison de BRGM </w:t>
            </w:r>
            <w:r w:rsidR="00D436F4" w:rsidRPr="006538AB">
              <w:rPr>
                <w:rFonts w:ascii="Times New Roman" w:hAnsi="Times New Roman"/>
                <w:bCs/>
                <w:sz w:val="24"/>
                <w:szCs w:val="24"/>
                <w:lang w:val="fr-FR"/>
              </w:rPr>
              <w:t>signés</w:t>
            </w:r>
            <w:r w:rsidRPr="006538AB">
              <w:rPr>
                <w:rFonts w:ascii="Times New Roman" w:hAnsi="Times New Roman"/>
                <w:bCs/>
                <w:sz w:val="24"/>
                <w:szCs w:val="24"/>
                <w:lang w:val="fr-FR"/>
              </w:rPr>
              <w:t xml:space="preserve"> par le PNUD.</w:t>
            </w:r>
          </w:p>
        </w:tc>
      </w:tr>
      <w:tr w:rsidR="00DD3B96" w:rsidRPr="002E2767" w:rsidTr="00BE1D36">
        <w:tc>
          <w:tcPr>
            <w:tcW w:w="4265" w:type="dxa"/>
            <w:vMerge/>
            <w:shd w:val="clear" w:color="auto" w:fill="auto"/>
          </w:tcPr>
          <w:p w:rsidR="00DD3B96" w:rsidRPr="006538AB" w:rsidRDefault="00DD3B96" w:rsidP="00BE1D36">
            <w:pPr>
              <w:pStyle w:val="BodyText"/>
              <w:jc w:val="both"/>
              <w:rPr>
                <w:rFonts w:ascii="Times New Roman" w:hAnsi="Times New Roman"/>
                <w:bCs/>
                <w:sz w:val="24"/>
                <w:szCs w:val="24"/>
                <w:lang w:val="fr-FR"/>
              </w:rPr>
            </w:pPr>
          </w:p>
        </w:tc>
        <w:tc>
          <w:tcPr>
            <w:tcW w:w="3745" w:type="dxa"/>
            <w:shd w:val="clear" w:color="auto" w:fill="auto"/>
          </w:tcPr>
          <w:p w:rsidR="00DD3B96" w:rsidRPr="006538AB" w:rsidRDefault="00146E6A" w:rsidP="00146E6A">
            <w:pPr>
              <w:pStyle w:val="BodyText"/>
              <w:numPr>
                <w:ilvl w:val="0"/>
                <w:numId w:val="23"/>
              </w:numPr>
              <w:jc w:val="both"/>
              <w:rPr>
                <w:rFonts w:ascii="Times New Roman" w:hAnsi="Times New Roman"/>
                <w:bCs/>
                <w:sz w:val="24"/>
                <w:szCs w:val="24"/>
                <w:lang w:val="fr-FR"/>
              </w:rPr>
            </w:pPr>
            <w:r w:rsidRPr="006538AB">
              <w:rPr>
                <w:rFonts w:ascii="Times New Roman" w:hAnsi="Times New Roman"/>
                <w:bCs/>
                <w:sz w:val="24"/>
                <w:szCs w:val="24"/>
                <w:lang w:val="fr-FR"/>
              </w:rPr>
              <w:t xml:space="preserve">25 </w:t>
            </w:r>
            <w:r w:rsidR="001F52C4">
              <w:rPr>
                <w:rFonts w:ascii="Times New Roman" w:hAnsi="Times New Roman"/>
                <w:bCs/>
                <w:sz w:val="24"/>
                <w:szCs w:val="24"/>
                <w:lang w:val="fr-FR"/>
              </w:rPr>
              <w:t>c</w:t>
            </w:r>
            <w:r w:rsidRPr="006538AB">
              <w:rPr>
                <w:rFonts w:ascii="Times New Roman" w:hAnsi="Times New Roman"/>
                <w:bCs/>
                <w:sz w:val="24"/>
                <w:szCs w:val="24"/>
                <w:lang w:val="fr-FR"/>
              </w:rPr>
              <w:t>ontrema</w:t>
            </w:r>
            <w:r w:rsidR="001F52C4">
              <w:rPr>
                <w:rFonts w:ascii="Times New Roman" w:hAnsi="Times New Roman"/>
                <w:bCs/>
                <w:sz w:val="24"/>
                <w:szCs w:val="24"/>
                <w:lang w:val="fr-FR"/>
              </w:rPr>
              <w:t>î</w:t>
            </w:r>
            <w:r w:rsidRPr="006538AB">
              <w:rPr>
                <w:rFonts w:ascii="Times New Roman" w:hAnsi="Times New Roman"/>
                <w:bCs/>
                <w:sz w:val="24"/>
                <w:szCs w:val="24"/>
                <w:lang w:val="fr-FR"/>
              </w:rPr>
              <w:t xml:space="preserve">tres formés dans les techniques de formation des formateurs  </w:t>
            </w:r>
          </w:p>
        </w:tc>
        <w:tc>
          <w:tcPr>
            <w:tcW w:w="3960" w:type="dxa"/>
            <w:shd w:val="clear" w:color="auto" w:fill="auto"/>
          </w:tcPr>
          <w:p w:rsidR="00DD3B96" w:rsidRPr="006538AB" w:rsidRDefault="00146E6A" w:rsidP="00BE1D36">
            <w:pPr>
              <w:pStyle w:val="BodyText"/>
              <w:jc w:val="both"/>
              <w:rPr>
                <w:rFonts w:ascii="Times New Roman" w:hAnsi="Times New Roman"/>
                <w:bCs/>
                <w:sz w:val="24"/>
                <w:szCs w:val="24"/>
                <w:lang w:val="fr-FR"/>
              </w:rPr>
            </w:pPr>
            <w:r w:rsidRPr="006538AB">
              <w:rPr>
                <w:rFonts w:ascii="Times New Roman" w:hAnsi="Times New Roman"/>
                <w:bCs/>
                <w:sz w:val="24"/>
                <w:szCs w:val="24"/>
                <w:lang w:val="fr-FR"/>
              </w:rPr>
              <w:t>N/A</w:t>
            </w:r>
          </w:p>
        </w:tc>
        <w:tc>
          <w:tcPr>
            <w:tcW w:w="3150" w:type="dxa"/>
            <w:shd w:val="clear" w:color="auto" w:fill="auto"/>
          </w:tcPr>
          <w:p w:rsidR="00DD3B96" w:rsidRPr="006538AB" w:rsidRDefault="00146E6A" w:rsidP="001F52C4">
            <w:pPr>
              <w:pStyle w:val="BodyText"/>
              <w:jc w:val="both"/>
              <w:rPr>
                <w:rFonts w:ascii="Times New Roman" w:hAnsi="Times New Roman"/>
                <w:bCs/>
                <w:sz w:val="24"/>
                <w:szCs w:val="24"/>
                <w:lang w:val="fr-FR"/>
              </w:rPr>
            </w:pPr>
            <w:r w:rsidRPr="006538AB">
              <w:rPr>
                <w:rFonts w:ascii="Times New Roman" w:hAnsi="Times New Roman"/>
                <w:bCs/>
                <w:sz w:val="24"/>
                <w:szCs w:val="24"/>
                <w:lang w:val="fr-FR"/>
              </w:rPr>
              <w:t>Rapports de formation soumis par l’INFP</w:t>
            </w:r>
            <w:r w:rsidR="000F2E2B" w:rsidRPr="006538AB">
              <w:rPr>
                <w:rFonts w:ascii="Times New Roman" w:hAnsi="Times New Roman"/>
                <w:bCs/>
                <w:sz w:val="24"/>
                <w:szCs w:val="24"/>
                <w:lang w:val="fr-FR"/>
              </w:rPr>
              <w:t xml:space="preserve"> </w:t>
            </w:r>
            <w:r w:rsidRPr="006538AB">
              <w:rPr>
                <w:rFonts w:ascii="Times New Roman" w:hAnsi="Times New Roman"/>
                <w:bCs/>
                <w:sz w:val="24"/>
                <w:szCs w:val="24"/>
                <w:lang w:val="fr-FR"/>
              </w:rPr>
              <w:t xml:space="preserve">(Institut National </w:t>
            </w:r>
            <w:r w:rsidR="001F52C4">
              <w:rPr>
                <w:rFonts w:ascii="Times New Roman" w:hAnsi="Times New Roman"/>
                <w:bCs/>
                <w:sz w:val="24"/>
                <w:szCs w:val="24"/>
                <w:lang w:val="fr-FR"/>
              </w:rPr>
              <w:t>de</w:t>
            </w:r>
            <w:r w:rsidR="000F2E2B" w:rsidRPr="006538AB">
              <w:rPr>
                <w:rFonts w:ascii="Times New Roman" w:hAnsi="Times New Roman"/>
                <w:bCs/>
                <w:sz w:val="24"/>
                <w:szCs w:val="24"/>
                <w:lang w:val="fr-FR"/>
              </w:rPr>
              <w:t xml:space="preserve"> </w:t>
            </w:r>
            <w:r w:rsidRPr="006538AB">
              <w:rPr>
                <w:rFonts w:ascii="Times New Roman" w:hAnsi="Times New Roman"/>
                <w:bCs/>
                <w:sz w:val="24"/>
                <w:szCs w:val="24"/>
                <w:lang w:val="fr-FR"/>
              </w:rPr>
              <w:t>Formation Professionnelle)</w:t>
            </w:r>
          </w:p>
        </w:tc>
      </w:tr>
      <w:tr w:rsidR="00146E6A" w:rsidRPr="002E2767" w:rsidTr="00BE1D36">
        <w:trPr>
          <w:trHeight w:val="1353"/>
        </w:trPr>
        <w:tc>
          <w:tcPr>
            <w:tcW w:w="4265" w:type="dxa"/>
            <w:vMerge w:val="restart"/>
            <w:shd w:val="clear" w:color="auto" w:fill="auto"/>
          </w:tcPr>
          <w:p w:rsidR="00146E6A" w:rsidRPr="006538AB" w:rsidRDefault="00146E6A" w:rsidP="00BE1D36">
            <w:pPr>
              <w:rPr>
                <w:color w:val="000000"/>
                <w:lang w:val="fr-FR"/>
              </w:rPr>
            </w:pPr>
            <w:r w:rsidRPr="006538AB">
              <w:rPr>
                <w:b/>
                <w:lang w:val="fr-FR"/>
              </w:rPr>
              <w:t>Produit 1.5</w:t>
            </w:r>
            <w:r w:rsidRPr="006538AB">
              <w:rPr>
                <w:lang w:val="fr-FR"/>
              </w:rPr>
              <w:t xml:space="preserve"> </w:t>
            </w:r>
          </w:p>
          <w:p w:rsidR="00846DF3" w:rsidRPr="006538AB" w:rsidRDefault="00846DF3" w:rsidP="00846DF3">
            <w:pPr>
              <w:rPr>
                <w:bCs/>
                <w:lang w:val="fr-FR"/>
              </w:rPr>
            </w:pPr>
            <w:r w:rsidRPr="006538AB">
              <w:rPr>
                <w:color w:val="000000"/>
                <w:lang w:val="fr-FR"/>
              </w:rPr>
              <w:t>Le grand public, le milieu scolaire et hospitalier sont informés et préparés face à la menace sismique</w:t>
            </w:r>
          </w:p>
          <w:p w:rsidR="00146E6A" w:rsidRPr="006538AB" w:rsidRDefault="00146E6A" w:rsidP="00BE1D36">
            <w:pPr>
              <w:rPr>
                <w:lang w:val="fr-FR"/>
              </w:rPr>
            </w:pPr>
          </w:p>
          <w:p w:rsidR="00146E6A" w:rsidRPr="006538AB" w:rsidRDefault="00146E6A" w:rsidP="00BE1D36">
            <w:pPr>
              <w:rPr>
                <w:b/>
                <w:lang w:val="fr-FR"/>
              </w:rPr>
            </w:pPr>
          </w:p>
          <w:p w:rsidR="00146E6A" w:rsidRPr="006538AB" w:rsidRDefault="00146E6A" w:rsidP="00BE1D36">
            <w:pPr>
              <w:rPr>
                <w:lang w:val="fr-FR"/>
              </w:rPr>
            </w:pPr>
          </w:p>
          <w:p w:rsidR="00146E6A" w:rsidRPr="006538AB" w:rsidRDefault="00146E6A" w:rsidP="00BE1D36">
            <w:pPr>
              <w:rPr>
                <w:b/>
                <w:lang w:val="fr-FR"/>
              </w:rPr>
            </w:pPr>
            <w:r w:rsidRPr="006538AB">
              <w:rPr>
                <w:b/>
                <w:lang w:val="fr-FR"/>
              </w:rPr>
              <w:t>Indicateur  1.4.1</w:t>
            </w:r>
          </w:p>
          <w:p w:rsidR="00146E6A" w:rsidRPr="006538AB" w:rsidRDefault="00146E6A" w:rsidP="00BE1D36">
            <w:pPr>
              <w:jc w:val="both"/>
              <w:rPr>
                <w:lang w:val="fr-FR"/>
              </w:rPr>
            </w:pPr>
            <w:r w:rsidRPr="006538AB">
              <w:rPr>
                <w:b/>
                <w:lang w:val="fr-FR"/>
              </w:rPr>
              <w:t>Indicateur de référence:</w:t>
            </w:r>
            <w:r w:rsidRPr="006538AB">
              <w:rPr>
                <w:lang w:val="fr-FR"/>
              </w:rPr>
              <w:t xml:space="preserve"> </w:t>
            </w:r>
            <w:r w:rsidR="00846DF3" w:rsidRPr="006538AB">
              <w:rPr>
                <w:lang w:val="fr-FR"/>
              </w:rPr>
              <w:t xml:space="preserve">Nombre des autorités locales impliquées dans le </w:t>
            </w:r>
            <w:r w:rsidR="00B64438" w:rsidRPr="006538AB">
              <w:rPr>
                <w:lang w:val="fr-FR"/>
              </w:rPr>
              <w:t>programme.</w:t>
            </w:r>
          </w:p>
          <w:p w:rsidR="00146E6A" w:rsidRPr="006538AB" w:rsidRDefault="00146E6A" w:rsidP="00BE1D36">
            <w:pPr>
              <w:rPr>
                <w:b/>
                <w:lang w:val="fr-FR"/>
              </w:rPr>
            </w:pPr>
          </w:p>
          <w:p w:rsidR="00146E6A" w:rsidRPr="006538AB" w:rsidRDefault="00146E6A" w:rsidP="00BE1D36">
            <w:pPr>
              <w:rPr>
                <w:lang w:val="fr-FR"/>
              </w:rPr>
            </w:pPr>
            <w:r w:rsidRPr="006538AB">
              <w:rPr>
                <w:b/>
                <w:lang w:val="fr-FR"/>
              </w:rPr>
              <w:t xml:space="preserve">Indicateur cible: </w:t>
            </w:r>
            <w:r w:rsidR="00846DF3" w:rsidRPr="006538AB">
              <w:rPr>
                <w:lang w:val="fr-FR"/>
              </w:rPr>
              <w:t xml:space="preserve">Plans de contingence sismiques produits pour les trois départements et correctement </w:t>
            </w:r>
            <w:r w:rsidR="00B64438" w:rsidRPr="006538AB">
              <w:rPr>
                <w:lang w:val="fr-FR"/>
              </w:rPr>
              <w:t>utilisés.</w:t>
            </w:r>
          </w:p>
          <w:p w:rsidR="00146E6A" w:rsidRPr="006538AB" w:rsidRDefault="00146E6A" w:rsidP="00BE1D36">
            <w:pPr>
              <w:rPr>
                <w:lang w:val="fr-FR"/>
              </w:rPr>
            </w:pPr>
          </w:p>
          <w:p w:rsidR="00146E6A" w:rsidRPr="006538AB" w:rsidRDefault="00146E6A" w:rsidP="00BE1D36">
            <w:pPr>
              <w:rPr>
                <w:lang w:val="fr-FR"/>
              </w:rPr>
            </w:pPr>
          </w:p>
          <w:p w:rsidR="00146E6A" w:rsidRPr="006538AB" w:rsidRDefault="00146E6A" w:rsidP="00BE1D36">
            <w:pPr>
              <w:pStyle w:val="BodyText"/>
              <w:jc w:val="both"/>
              <w:rPr>
                <w:rFonts w:ascii="Times New Roman" w:hAnsi="Times New Roman"/>
                <w:bCs/>
                <w:sz w:val="24"/>
                <w:szCs w:val="24"/>
                <w:lang w:val="fr-FR"/>
              </w:rPr>
            </w:pPr>
          </w:p>
          <w:p w:rsidR="00146E6A" w:rsidRPr="006538AB" w:rsidRDefault="00146E6A" w:rsidP="00BE1D36">
            <w:pPr>
              <w:pStyle w:val="BodyText"/>
              <w:jc w:val="both"/>
              <w:rPr>
                <w:rFonts w:ascii="Times New Roman" w:hAnsi="Times New Roman"/>
                <w:bCs/>
                <w:sz w:val="24"/>
                <w:szCs w:val="24"/>
                <w:lang w:val="fr-FR"/>
              </w:rPr>
            </w:pPr>
          </w:p>
          <w:p w:rsidR="00146E6A" w:rsidRPr="006538AB" w:rsidRDefault="00146E6A" w:rsidP="00BE1D36">
            <w:pPr>
              <w:pStyle w:val="BodyText"/>
              <w:jc w:val="both"/>
              <w:rPr>
                <w:rFonts w:ascii="Times New Roman" w:hAnsi="Times New Roman"/>
                <w:bCs/>
                <w:sz w:val="24"/>
                <w:szCs w:val="24"/>
                <w:lang w:val="fr-FR"/>
              </w:rPr>
            </w:pPr>
          </w:p>
        </w:tc>
        <w:tc>
          <w:tcPr>
            <w:tcW w:w="3745" w:type="dxa"/>
            <w:shd w:val="clear" w:color="auto" w:fill="auto"/>
          </w:tcPr>
          <w:p w:rsidR="00146E6A" w:rsidRPr="006538AB" w:rsidRDefault="009A0328" w:rsidP="00BE1D36">
            <w:pPr>
              <w:pStyle w:val="BodyText"/>
              <w:numPr>
                <w:ilvl w:val="0"/>
                <w:numId w:val="23"/>
              </w:numPr>
              <w:jc w:val="both"/>
              <w:rPr>
                <w:rFonts w:ascii="Times New Roman" w:hAnsi="Times New Roman"/>
                <w:bCs/>
                <w:sz w:val="24"/>
                <w:szCs w:val="24"/>
                <w:lang w:val="fr-FR"/>
              </w:rPr>
            </w:pPr>
            <w:r w:rsidRPr="006538AB">
              <w:rPr>
                <w:rFonts w:ascii="Times New Roman" w:hAnsi="Times New Roman"/>
                <w:bCs/>
                <w:sz w:val="24"/>
                <w:szCs w:val="24"/>
                <w:lang w:val="fr-FR"/>
              </w:rPr>
              <w:t xml:space="preserve">Plus de 12.000 </w:t>
            </w:r>
            <w:r w:rsidR="00B64438" w:rsidRPr="006538AB">
              <w:rPr>
                <w:rFonts w:ascii="Times New Roman" w:hAnsi="Times New Roman"/>
                <w:bCs/>
                <w:sz w:val="24"/>
                <w:szCs w:val="24"/>
                <w:lang w:val="fr-FR"/>
              </w:rPr>
              <w:t>élèves, 60 professeurs, 70</w:t>
            </w:r>
            <w:r w:rsidRPr="006538AB">
              <w:rPr>
                <w:rFonts w:ascii="Times New Roman" w:hAnsi="Times New Roman"/>
                <w:bCs/>
                <w:sz w:val="24"/>
                <w:szCs w:val="24"/>
                <w:lang w:val="fr-FR"/>
              </w:rPr>
              <w:t xml:space="preserve"> Maires </w:t>
            </w:r>
            <w:r w:rsidR="00B64438" w:rsidRPr="006538AB">
              <w:rPr>
                <w:rFonts w:ascii="Times New Roman" w:hAnsi="Times New Roman"/>
                <w:bCs/>
                <w:sz w:val="24"/>
                <w:szCs w:val="24"/>
                <w:lang w:val="fr-FR"/>
              </w:rPr>
              <w:t>sensibilisés</w:t>
            </w:r>
            <w:r w:rsidRPr="006538AB">
              <w:rPr>
                <w:rFonts w:ascii="Times New Roman" w:hAnsi="Times New Roman"/>
                <w:bCs/>
                <w:sz w:val="24"/>
                <w:szCs w:val="24"/>
                <w:lang w:val="fr-FR"/>
              </w:rPr>
              <w:t xml:space="preserve"> par rapport à la menace sismique, formés en premiers secours et gestion du risque sismique</w:t>
            </w:r>
            <w:r w:rsidR="00146E6A" w:rsidRPr="006538AB">
              <w:rPr>
                <w:rFonts w:ascii="Times New Roman" w:hAnsi="Times New Roman"/>
                <w:bCs/>
                <w:sz w:val="24"/>
                <w:szCs w:val="24"/>
                <w:lang w:val="fr-FR"/>
              </w:rPr>
              <w:t xml:space="preserve">  </w:t>
            </w:r>
          </w:p>
        </w:tc>
        <w:tc>
          <w:tcPr>
            <w:tcW w:w="3960" w:type="dxa"/>
            <w:shd w:val="clear" w:color="auto" w:fill="auto"/>
          </w:tcPr>
          <w:p w:rsidR="00146E6A" w:rsidRPr="006538AB" w:rsidRDefault="00146E6A" w:rsidP="00BE1D36">
            <w:pPr>
              <w:pStyle w:val="BodyText"/>
              <w:jc w:val="both"/>
              <w:rPr>
                <w:rFonts w:ascii="Times New Roman" w:hAnsi="Times New Roman"/>
                <w:bCs/>
                <w:sz w:val="24"/>
                <w:szCs w:val="24"/>
                <w:lang w:val="fr-FR"/>
              </w:rPr>
            </w:pPr>
            <w:r w:rsidRPr="006538AB">
              <w:rPr>
                <w:rFonts w:ascii="Times New Roman" w:hAnsi="Times New Roman"/>
                <w:bCs/>
                <w:sz w:val="24"/>
                <w:szCs w:val="24"/>
                <w:lang w:val="fr-FR"/>
              </w:rPr>
              <w:t>Retard dans la soumission et l’approbation d</w:t>
            </w:r>
            <w:r w:rsidR="00B64438" w:rsidRPr="006538AB">
              <w:rPr>
                <w:rFonts w:ascii="Times New Roman" w:hAnsi="Times New Roman"/>
                <w:bCs/>
                <w:sz w:val="24"/>
                <w:szCs w:val="24"/>
                <w:lang w:val="fr-FR"/>
              </w:rPr>
              <w:t>es rapports finaux par le comité</w:t>
            </w:r>
            <w:r w:rsidRPr="006538AB">
              <w:rPr>
                <w:rFonts w:ascii="Times New Roman" w:hAnsi="Times New Roman"/>
                <w:bCs/>
                <w:sz w:val="24"/>
                <w:szCs w:val="24"/>
                <w:lang w:val="fr-FR"/>
              </w:rPr>
              <w:t xml:space="preserve"> de pilotage sismique </w:t>
            </w:r>
          </w:p>
        </w:tc>
        <w:tc>
          <w:tcPr>
            <w:tcW w:w="3150" w:type="dxa"/>
            <w:shd w:val="clear" w:color="auto" w:fill="auto"/>
          </w:tcPr>
          <w:p w:rsidR="00146E6A" w:rsidRPr="006538AB" w:rsidRDefault="00146E6A" w:rsidP="00BE1D36">
            <w:pPr>
              <w:pStyle w:val="BodyText"/>
              <w:jc w:val="both"/>
              <w:rPr>
                <w:rFonts w:ascii="Times New Roman" w:hAnsi="Times New Roman"/>
                <w:bCs/>
                <w:sz w:val="24"/>
                <w:szCs w:val="24"/>
                <w:lang w:val="fr-FR"/>
              </w:rPr>
            </w:pPr>
            <w:r w:rsidRPr="006538AB">
              <w:rPr>
                <w:rFonts w:ascii="Times New Roman" w:hAnsi="Times New Roman"/>
                <w:bCs/>
                <w:sz w:val="24"/>
                <w:szCs w:val="24"/>
                <w:lang w:val="fr-FR"/>
              </w:rPr>
              <w:t xml:space="preserve">_ version électronique et version </w:t>
            </w:r>
            <w:r w:rsidR="00B64438" w:rsidRPr="006538AB">
              <w:rPr>
                <w:rFonts w:ascii="Times New Roman" w:hAnsi="Times New Roman"/>
                <w:bCs/>
                <w:sz w:val="24"/>
                <w:szCs w:val="24"/>
                <w:lang w:val="fr-FR"/>
              </w:rPr>
              <w:t>papier (coffrets</w:t>
            </w:r>
            <w:r w:rsidRPr="006538AB">
              <w:rPr>
                <w:rFonts w:ascii="Times New Roman" w:hAnsi="Times New Roman"/>
                <w:bCs/>
                <w:sz w:val="24"/>
                <w:szCs w:val="24"/>
                <w:lang w:val="fr-FR"/>
              </w:rPr>
              <w:t>)  livrées au PNUD</w:t>
            </w:r>
          </w:p>
          <w:p w:rsidR="00146E6A" w:rsidRPr="006538AB" w:rsidRDefault="00146E6A" w:rsidP="00BE1D36">
            <w:pPr>
              <w:pStyle w:val="BodyText"/>
              <w:jc w:val="both"/>
              <w:rPr>
                <w:rFonts w:ascii="Times New Roman" w:hAnsi="Times New Roman"/>
                <w:bCs/>
                <w:sz w:val="24"/>
                <w:szCs w:val="24"/>
                <w:lang w:val="fr-FR"/>
              </w:rPr>
            </w:pPr>
            <w:r w:rsidRPr="006538AB">
              <w:rPr>
                <w:rFonts w:ascii="Times New Roman" w:hAnsi="Times New Roman"/>
                <w:bCs/>
                <w:sz w:val="24"/>
                <w:szCs w:val="24"/>
                <w:lang w:val="fr-FR"/>
              </w:rPr>
              <w:t>-Bons de livraison de BRGM signés par le PNUD.</w:t>
            </w:r>
          </w:p>
        </w:tc>
      </w:tr>
      <w:tr w:rsidR="00146E6A" w:rsidRPr="002E2767" w:rsidTr="00BE1D36">
        <w:tc>
          <w:tcPr>
            <w:tcW w:w="4265" w:type="dxa"/>
            <w:vMerge/>
            <w:shd w:val="clear" w:color="auto" w:fill="auto"/>
          </w:tcPr>
          <w:p w:rsidR="00146E6A" w:rsidRPr="006538AB" w:rsidRDefault="00146E6A" w:rsidP="00BE1D36">
            <w:pPr>
              <w:pStyle w:val="BodyText"/>
              <w:jc w:val="both"/>
              <w:rPr>
                <w:rFonts w:ascii="Times New Roman" w:hAnsi="Times New Roman"/>
                <w:bCs/>
                <w:sz w:val="24"/>
                <w:szCs w:val="24"/>
                <w:lang w:val="fr-FR"/>
              </w:rPr>
            </w:pPr>
          </w:p>
        </w:tc>
        <w:tc>
          <w:tcPr>
            <w:tcW w:w="3745" w:type="dxa"/>
            <w:shd w:val="clear" w:color="auto" w:fill="auto"/>
          </w:tcPr>
          <w:p w:rsidR="00846DF3" w:rsidRPr="006538AB" w:rsidRDefault="00846DF3" w:rsidP="00BE1D36">
            <w:pPr>
              <w:pStyle w:val="BodyText"/>
              <w:numPr>
                <w:ilvl w:val="0"/>
                <w:numId w:val="23"/>
              </w:numPr>
              <w:jc w:val="both"/>
              <w:rPr>
                <w:rFonts w:ascii="Times New Roman" w:hAnsi="Times New Roman"/>
                <w:bCs/>
                <w:sz w:val="24"/>
                <w:szCs w:val="24"/>
                <w:lang w:val="fr-FR"/>
              </w:rPr>
            </w:pPr>
            <w:r w:rsidRPr="006538AB">
              <w:rPr>
                <w:rFonts w:ascii="Times New Roman" w:hAnsi="Times New Roman"/>
                <w:bCs/>
                <w:sz w:val="24"/>
                <w:szCs w:val="24"/>
                <w:lang w:val="fr-FR"/>
              </w:rPr>
              <w:t>Trois plans de contingence sismique disponibles</w:t>
            </w:r>
          </w:p>
          <w:p w:rsidR="00146E6A" w:rsidRPr="006538AB" w:rsidRDefault="00846DF3" w:rsidP="00BE1D36">
            <w:pPr>
              <w:pStyle w:val="BodyText"/>
              <w:numPr>
                <w:ilvl w:val="0"/>
                <w:numId w:val="23"/>
              </w:numPr>
              <w:jc w:val="both"/>
              <w:rPr>
                <w:rFonts w:ascii="Times New Roman" w:hAnsi="Times New Roman"/>
                <w:bCs/>
                <w:sz w:val="24"/>
                <w:szCs w:val="24"/>
                <w:lang w:val="fr-FR"/>
              </w:rPr>
            </w:pPr>
            <w:r w:rsidRPr="006538AB">
              <w:rPr>
                <w:rFonts w:ascii="Times New Roman" w:hAnsi="Times New Roman"/>
                <w:bCs/>
                <w:sz w:val="24"/>
                <w:szCs w:val="24"/>
                <w:lang w:val="fr-FR"/>
              </w:rPr>
              <w:t>Nombre d’ateliers de sensibilisation.</w:t>
            </w:r>
            <w:r w:rsidR="00146E6A" w:rsidRPr="006538AB">
              <w:rPr>
                <w:rFonts w:ascii="Times New Roman" w:hAnsi="Times New Roman"/>
                <w:bCs/>
                <w:sz w:val="24"/>
                <w:szCs w:val="24"/>
                <w:lang w:val="fr-FR"/>
              </w:rPr>
              <w:t xml:space="preserve"> </w:t>
            </w:r>
          </w:p>
          <w:p w:rsidR="00846DF3" w:rsidRPr="006538AB" w:rsidRDefault="00846DF3" w:rsidP="001F52C4">
            <w:pPr>
              <w:pStyle w:val="BodyText"/>
              <w:numPr>
                <w:ilvl w:val="0"/>
                <w:numId w:val="23"/>
              </w:numPr>
              <w:jc w:val="both"/>
              <w:rPr>
                <w:rFonts w:ascii="Times New Roman" w:hAnsi="Times New Roman"/>
                <w:bCs/>
                <w:sz w:val="24"/>
                <w:szCs w:val="24"/>
                <w:lang w:val="fr-FR"/>
              </w:rPr>
            </w:pPr>
            <w:r w:rsidRPr="006538AB">
              <w:rPr>
                <w:rFonts w:ascii="Times New Roman" w:hAnsi="Times New Roman"/>
                <w:bCs/>
                <w:sz w:val="24"/>
                <w:szCs w:val="24"/>
                <w:lang w:val="fr-FR"/>
              </w:rPr>
              <w:t xml:space="preserve">Deux </w:t>
            </w:r>
            <w:r w:rsidR="001F52C4">
              <w:rPr>
                <w:rFonts w:ascii="Times New Roman" w:hAnsi="Times New Roman"/>
                <w:bCs/>
                <w:sz w:val="24"/>
                <w:szCs w:val="24"/>
                <w:lang w:val="fr-FR"/>
              </w:rPr>
              <w:t xml:space="preserve">SIMEX </w:t>
            </w:r>
            <w:r w:rsidRPr="006538AB">
              <w:rPr>
                <w:rFonts w:ascii="Times New Roman" w:hAnsi="Times New Roman"/>
                <w:bCs/>
                <w:sz w:val="24"/>
                <w:szCs w:val="24"/>
                <w:lang w:val="fr-FR"/>
              </w:rPr>
              <w:t>sur table.</w:t>
            </w:r>
          </w:p>
        </w:tc>
        <w:tc>
          <w:tcPr>
            <w:tcW w:w="3960" w:type="dxa"/>
            <w:shd w:val="clear" w:color="auto" w:fill="auto"/>
          </w:tcPr>
          <w:p w:rsidR="00146E6A" w:rsidRPr="006538AB" w:rsidRDefault="00146E6A" w:rsidP="00BE1D36">
            <w:pPr>
              <w:pStyle w:val="BodyText"/>
              <w:jc w:val="both"/>
              <w:rPr>
                <w:rFonts w:ascii="Times New Roman" w:hAnsi="Times New Roman"/>
                <w:bCs/>
                <w:sz w:val="24"/>
                <w:szCs w:val="24"/>
                <w:lang w:val="fr-FR"/>
              </w:rPr>
            </w:pPr>
            <w:r w:rsidRPr="006538AB">
              <w:rPr>
                <w:rFonts w:ascii="Times New Roman" w:hAnsi="Times New Roman"/>
                <w:bCs/>
                <w:sz w:val="24"/>
                <w:szCs w:val="24"/>
                <w:lang w:val="fr-FR"/>
              </w:rPr>
              <w:t>N/A</w:t>
            </w:r>
          </w:p>
        </w:tc>
        <w:tc>
          <w:tcPr>
            <w:tcW w:w="3150" w:type="dxa"/>
            <w:shd w:val="clear" w:color="auto" w:fill="auto"/>
          </w:tcPr>
          <w:p w:rsidR="00146E6A" w:rsidRPr="006538AB" w:rsidRDefault="00846DF3" w:rsidP="00BE1D36">
            <w:pPr>
              <w:pStyle w:val="BodyText"/>
              <w:jc w:val="both"/>
              <w:rPr>
                <w:rFonts w:ascii="Times New Roman" w:hAnsi="Times New Roman"/>
                <w:bCs/>
                <w:sz w:val="24"/>
                <w:szCs w:val="24"/>
                <w:lang w:val="fr-FR"/>
              </w:rPr>
            </w:pPr>
            <w:r w:rsidRPr="006538AB">
              <w:rPr>
                <w:rFonts w:ascii="Times New Roman" w:hAnsi="Times New Roman"/>
                <w:bCs/>
                <w:sz w:val="24"/>
                <w:szCs w:val="24"/>
                <w:lang w:val="fr-FR"/>
              </w:rPr>
              <w:t>Documents livrés  par les experts internationaux.</w:t>
            </w:r>
          </w:p>
          <w:p w:rsidR="00846DF3" w:rsidRPr="006538AB" w:rsidRDefault="00846DF3" w:rsidP="001F52C4">
            <w:pPr>
              <w:pStyle w:val="BodyText"/>
              <w:jc w:val="both"/>
              <w:rPr>
                <w:rFonts w:ascii="Times New Roman" w:hAnsi="Times New Roman"/>
                <w:bCs/>
                <w:sz w:val="24"/>
                <w:szCs w:val="24"/>
                <w:lang w:val="fr-FR"/>
              </w:rPr>
            </w:pPr>
            <w:r w:rsidRPr="006538AB">
              <w:rPr>
                <w:rFonts w:ascii="Times New Roman" w:hAnsi="Times New Roman"/>
                <w:bCs/>
                <w:sz w:val="24"/>
                <w:szCs w:val="24"/>
                <w:lang w:val="fr-FR"/>
              </w:rPr>
              <w:t xml:space="preserve">Rapports des ateliers de préparation et ateliers </w:t>
            </w:r>
            <w:r w:rsidR="001F52C4">
              <w:rPr>
                <w:rFonts w:ascii="Times New Roman" w:hAnsi="Times New Roman"/>
                <w:bCs/>
                <w:sz w:val="24"/>
                <w:szCs w:val="24"/>
                <w:lang w:val="fr-FR"/>
              </w:rPr>
              <w:t xml:space="preserve">SIMEX </w:t>
            </w:r>
            <w:r w:rsidRPr="006538AB">
              <w:rPr>
                <w:rFonts w:ascii="Times New Roman" w:hAnsi="Times New Roman"/>
                <w:bCs/>
                <w:sz w:val="24"/>
                <w:szCs w:val="24"/>
                <w:lang w:val="fr-FR"/>
              </w:rPr>
              <w:t>dans les trois départements.</w:t>
            </w:r>
          </w:p>
        </w:tc>
      </w:tr>
    </w:tbl>
    <w:p w:rsidR="00146E6A" w:rsidRPr="006538AB" w:rsidRDefault="00146E6A" w:rsidP="00146E6A">
      <w:pPr>
        <w:pStyle w:val="BodyText"/>
        <w:tabs>
          <w:tab w:val="left" w:pos="360"/>
        </w:tabs>
        <w:ind w:left="720"/>
        <w:jc w:val="both"/>
        <w:rPr>
          <w:rFonts w:ascii="Times New Roman" w:hAnsi="Times New Roman"/>
          <w:sz w:val="24"/>
          <w:szCs w:val="24"/>
          <w:lang w:val="fr-FR"/>
        </w:rPr>
      </w:pPr>
    </w:p>
    <w:p w:rsidR="00DD3B96" w:rsidRPr="006538AB" w:rsidRDefault="00DD3B96" w:rsidP="00DD3B96">
      <w:pPr>
        <w:pStyle w:val="BodyText"/>
        <w:tabs>
          <w:tab w:val="left" w:pos="360"/>
        </w:tabs>
        <w:ind w:left="720"/>
        <w:jc w:val="both"/>
        <w:rPr>
          <w:rFonts w:ascii="Times New Roman" w:hAnsi="Times New Roman"/>
          <w:sz w:val="24"/>
          <w:szCs w:val="24"/>
          <w:lang w:val="fr-FR"/>
        </w:rPr>
      </w:pPr>
    </w:p>
    <w:p w:rsidR="003E2682" w:rsidRPr="006538AB" w:rsidRDefault="003E2682" w:rsidP="003E2682">
      <w:pPr>
        <w:pStyle w:val="BodyText"/>
        <w:jc w:val="both"/>
        <w:rPr>
          <w:rFonts w:ascii="Times New Roman" w:hAnsi="Times New Roman"/>
          <w:sz w:val="24"/>
          <w:szCs w:val="24"/>
          <w:lang w:val="fr-FR"/>
        </w:rPr>
        <w:sectPr w:rsidR="003E2682" w:rsidRPr="006538AB" w:rsidSect="003E2682">
          <w:pgSz w:w="15840" w:h="12240" w:orient="landscape" w:code="1"/>
          <w:pgMar w:top="806" w:right="810" w:bottom="810" w:left="1354" w:header="720" w:footer="418" w:gutter="0"/>
          <w:cols w:space="720"/>
          <w:docGrid w:linePitch="360"/>
        </w:sectPr>
      </w:pPr>
    </w:p>
    <w:p w:rsidR="003E2682" w:rsidRPr="006538AB" w:rsidRDefault="003E2682" w:rsidP="003E2682">
      <w:pPr>
        <w:pStyle w:val="BodyText"/>
        <w:ind w:left="360"/>
        <w:jc w:val="both"/>
        <w:rPr>
          <w:rFonts w:ascii="Times New Roman" w:hAnsi="Times New Roman"/>
          <w:b/>
          <w:sz w:val="24"/>
          <w:szCs w:val="24"/>
          <w:lang w:val="fr-FR"/>
        </w:rPr>
      </w:pPr>
      <w:r w:rsidRPr="006538AB">
        <w:rPr>
          <w:rFonts w:ascii="Times New Roman" w:hAnsi="Times New Roman"/>
          <w:b/>
          <w:sz w:val="24"/>
          <w:szCs w:val="24"/>
          <w:lang w:val="fr-FR"/>
        </w:rPr>
        <w:lastRenderedPageBreak/>
        <w:t xml:space="preserve">iii) Une illustration </w:t>
      </w:r>
      <w:r w:rsidR="00E629AA" w:rsidRPr="006538AB">
        <w:rPr>
          <w:rFonts w:ascii="Times New Roman" w:hAnsi="Times New Roman"/>
          <w:b/>
          <w:sz w:val="24"/>
          <w:szCs w:val="24"/>
          <w:lang w:val="fr-FR"/>
        </w:rPr>
        <w:t xml:space="preserve">narrative spécifique: Plans de contingence sismique départementaux </w:t>
      </w:r>
    </w:p>
    <w:p w:rsidR="003E2682" w:rsidRPr="006538AB" w:rsidRDefault="003E2682" w:rsidP="003E2682">
      <w:pPr>
        <w:pStyle w:val="BodyText"/>
        <w:jc w:val="both"/>
        <w:rPr>
          <w:rFonts w:ascii="Times New Roman" w:hAnsi="Times New Roman"/>
          <w:b/>
          <w:sz w:val="24"/>
          <w:szCs w:val="24"/>
          <w:lang w:val="fr-FR"/>
        </w:rPr>
      </w:pPr>
    </w:p>
    <w:p w:rsidR="005725F3" w:rsidRPr="006538AB" w:rsidRDefault="00421884" w:rsidP="002B6B42">
      <w:pPr>
        <w:pStyle w:val="BodyText"/>
        <w:ind w:left="360"/>
        <w:jc w:val="both"/>
        <w:rPr>
          <w:rFonts w:ascii="Times New Roman" w:hAnsi="Times New Roman"/>
          <w:sz w:val="24"/>
          <w:szCs w:val="24"/>
          <w:lang w:val="fr-FR"/>
        </w:rPr>
      </w:pPr>
      <w:r w:rsidRPr="006538AB">
        <w:rPr>
          <w:rFonts w:ascii="Times New Roman" w:hAnsi="Times New Roman"/>
          <w:sz w:val="24"/>
          <w:szCs w:val="24"/>
          <w:lang w:val="fr-FR"/>
        </w:rPr>
        <w:t>Pour une zone exposée aux effets néfastes d’un séisme comme le Grand Nord, il n’</w:t>
      </w:r>
      <w:r w:rsidR="001F52C4">
        <w:rPr>
          <w:rFonts w:ascii="Times New Roman" w:hAnsi="Times New Roman"/>
          <w:sz w:val="24"/>
          <w:szCs w:val="24"/>
          <w:lang w:val="fr-FR"/>
        </w:rPr>
        <w:t xml:space="preserve">y </w:t>
      </w:r>
      <w:r w:rsidRPr="006538AB">
        <w:rPr>
          <w:rFonts w:ascii="Times New Roman" w:hAnsi="Times New Roman"/>
          <w:sz w:val="24"/>
          <w:szCs w:val="24"/>
          <w:lang w:val="fr-FR"/>
        </w:rPr>
        <w:t>a jamais eu de plan de contingence sismique. Gr</w:t>
      </w:r>
      <w:r w:rsidR="001F52C4">
        <w:rPr>
          <w:rFonts w:ascii="Times New Roman" w:hAnsi="Times New Roman"/>
          <w:sz w:val="24"/>
          <w:szCs w:val="24"/>
          <w:lang w:val="fr-FR"/>
        </w:rPr>
        <w:t>â</w:t>
      </w:r>
      <w:r w:rsidRPr="006538AB">
        <w:rPr>
          <w:rFonts w:ascii="Times New Roman" w:hAnsi="Times New Roman"/>
          <w:sz w:val="24"/>
          <w:szCs w:val="24"/>
          <w:lang w:val="fr-FR"/>
        </w:rPr>
        <w:t>ce au projet, cet outil est aujourd’hui disponible au niveau des trois départements concernés</w:t>
      </w:r>
      <w:r w:rsidR="004F3BD1" w:rsidRPr="006538AB">
        <w:rPr>
          <w:rFonts w:ascii="Times New Roman" w:hAnsi="Times New Roman"/>
          <w:sz w:val="24"/>
          <w:szCs w:val="24"/>
          <w:lang w:val="fr-FR"/>
        </w:rPr>
        <w:t>. Ce travail commence à gagner du terrain chez les r</w:t>
      </w:r>
      <w:r w:rsidR="00E629AA" w:rsidRPr="006538AB">
        <w:rPr>
          <w:rFonts w:ascii="Times New Roman" w:hAnsi="Times New Roman"/>
          <w:sz w:val="24"/>
          <w:szCs w:val="24"/>
          <w:lang w:val="fr-FR"/>
        </w:rPr>
        <w:t xml:space="preserve">iverains  avec l’exécution des  </w:t>
      </w:r>
      <w:r w:rsidR="001F52C4">
        <w:rPr>
          <w:rFonts w:ascii="Times New Roman" w:hAnsi="Times New Roman"/>
          <w:sz w:val="24"/>
          <w:szCs w:val="24"/>
          <w:lang w:val="fr-FR"/>
        </w:rPr>
        <w:t xml:space="preserve">SIMEX </w:t>
      </w:r>
      <w:r w:rsidR="00E629AA" w:rsidRPr="006538AB">
        <w:rPr>
          <w:rFonts w:ascii="Times New Roman" w:hAnsi="Times New Roman"/>
          <w:sz w:val="24"/>
          <w:szCs w:val="24"/>
          <w:lang w:val="fr-FR"/>
        </w:rPr>
        <w:t>(Exercices de simulation )</w:t>
      </w:r>
      <w:r w:rsidR="004F3BD1" w:rsidRPr="006538AB">
        <w:rPr>
          <w:rFonts w:ascii="Times New Roman" w:hAnsi="Times New Roman"/>
          <w:sz w:val="24"/>
          <w:szCs w:val="24"/>
          <w:lang w:val="fr-FR"/>
        </w:rPr>
        <w:t xml:space="preserve">  de table au niveau des grandes villes. De là, on sent déjà qu’il y a une sorte d’appropriation  des objectifs fixés par les bénéficiaires finaux du projet.  </w:t>
      </w:r>
      <w:r w:rsidR="006617CB" w:rsidRPr="006538AB">
        <w:rPr>
          <w:rFonts w:ascii="Times New Roman" w:hAnsi="Times New Roman"/>
          <w:sz w:val="24"/>
          <w:szCs w:val="24"/>
          <w:lang w:val="fr-FR"/>
        </w:rPr>
        <w:t xml:space="preserve">Il est prévu aussi d’organiser des </w:t>
      </w:r>
      <w:r w:rsidR="001F52C4">
        <w:rPr>
          <w:rFonts w:ascii="Times New Roman" w:hAnsi="Times New Roman"/>
          <w:sz w:val="24"/>
          <w:szCs w:val="24"/>
          <w:lang w:val="fr-FR"/>
        </w:rPr>
        <w:t>SIMEX</w:t>
      </w:r>
      <w:r w:rsidR="006A0A23">
        <w:rPr>
          <w:rFonts w:ascii="Times New Roman" w:hAnsi="Times New Roman"/>
          <w:sz w:val="24"/>
          <w:szCs w:val="24"/>
          <w:lang w:val="fr-FR"/>
        </w:rPr>
        <w:t xml:space="preserve"> avec les acteurs et le grand public sur terrain(</w:t>
      </w:r>
      <w:r w:rsidR="001F52C4">
        <w:rPr>
          <w:rFonts w:ascii="Times New Roman" w:hAnsi="Times New Roman"/>
          <w:sz w:val="24"/>
          <w:szCs w:val="24"/>
          <w:lang w:val="fr-FR"/>
        </w:rPr>
        <w:t xml:space="preserve"> </w:t>
      </w:r>
      <w:r w:rsidR="006617CB" w:rsidRPr="006538AB">
        <w:rPr>
          <w:rFonts w:ascii="Times New Roman" w:hAnsi="Times New Roman"/>
          <w:sz w:val="24"/>
          <w:szCs w:val="24"/>
          <w:lang w:val="fr-FR"/>
        </w:rPr>
        <w:t xml:space="preserve">grandeur nature </w:t>
      </w:r>
      <w:r w:rsidR="006A0A23">
        <w:rPr>
          <w:rFonts w:ascii="Times New Roman" w:hAnsi="Times New Roman"/>
          <w:sz w:val="24"/>
          <w:szCs w:val="24"/>
          <w:lang w:val="fr-FR"/>
        </w:rPr>
        <w:t>)</w:t>
      </w:r>
      <w:r w:rsidR="006A0A23" w:rsidRPr="006A0A23">
        <w:rPr>
          <w:rFonts w:ascii="Times New Roman" w:hAnsi="Times New Roman"/>
          <w:sz w:val="24"/>
          <w:szCs w:val="24"/>
          <w:lang w:val="fr-FR"/>
        </w:rPr>
        <w:t xml:space="preserve"> au courant de </w:t>
      </w:r>
      <w:r w:rsidR="006617CB" w:rsidRPr="006538AB">
        <w:rPr>
          <w:rFonts w:ascii="Times New Roman" w:hAnsi="Times New Roman"/>
          <w:sz w:val="24"/>
          <w:szCs w:val="24"/>
          <w:lang w:val="fr-FR"/>
        </w:rPr>
        <w:t xml:space="preserve"> cette année, ce</w:t>
      </w:r>
      <w:r w:rsidR="004F3BD1" w:rsidRPr="006538AB">
        <w:rPr>
          <w:rFonts w:ascii="Times New Roman" w:hAnsi="Times New Roman"/>
          <w:sz w:val="24"/>
          <w:szCs w:val="24"/>
          <w:lang w:val="fr-FR"/>
        </w:rPr>
        <w:t xml:space="preserve"> qui va </w:t>
      </w:r>
      <w:r w:rsidR="006617CB" w:rsidRPr="006538AB">
        <w:rPr>
          <w:rFonts w:ascii="Times New Roman" w:hAnsi="Times New Roman"/>
          <w:sz w:val="24"/>
          <w:szCs w:val="24"/>
          <w:lang w:val="fr-FR"/>
        </w:rPr>
        <w:t>permettre de tester</w:t>
      </w:r>
      <w:r w:rsidR="00EE2B9A" w:rsidRPr="006538AB">
        <w:rPr>
          <w:rFonts w:ascii="Times New Roman" w:hAnsi="Times New Roman"/>
          <w:sz w:val="24"/>
          <w:szCs w:val="24"/>
          <w:lang w:val="fr-FR"/>
        </w:rPr>
        <w:t xml:space="preserve"> la capacité </w:t>
      </w:r>
      <w:r w:rsidR="006617CB" w:rsidRPr="006538AB">
        <w:rPr>
          <w:rFonts w:ascii="Times New Roman" w:hAnsi="Times New Roman"/>
          <w:sz w:val="24"/>
          <w:szCs w:val="24"/>
          <w:lang w:val="fr-FR"/>
        </w:rPr>
        <w:t xml:space="preserve">des autorités et des citoyens </w:t>
      </w:r>
      <w:r w:rsidR="00EE2B9A" w:rsidRPr="006538AB">
        <w:rPr>
          <w:rFonts w:ascii="Times New Roman" w:hAnsi="Times New Roman"/>
          <w:sz w:val="24"/>
          <w:szCs w:val="24"/>
          <w:lang w:val="fr-FR"/>
        </w:rPr>
        <w:t>de chaque ville dans ses préparatifs pour mieux se défendre</w:t>
      </w:r>
      <w:r w:rsidR="00024E83" w:rsidRPr="006538AB">
        <w:rPr>
          <w:rFonts w:ascii="Times New Roman" w:hAnsi="Times New Roman"/>
          <w:sz w:val="24"/>
          <w:szCs w:val="24"/>
          <w:lang w:val="fr-FR"/>
        </w:rPr>
        <w:t xml:space="preserve"> si, dans l’éventualité, </w:t>
      </w:r>
      <w:r w:rsidR="006617CB" w:rsidRPr="006538AB">
        <w:rPr>
          <w:rFonts w:ascii="Times New Roman" w:hAnsi="Times New Roman"/>
          <w:sz w:val="24"/>
          <w:szCs w:val="24"/>
          <w:lang w:val="fr-FR"/>
        </w:rPr>
        <w:t xml:space="preserve">un séisme majeur viendrait </w:t>
      </w:r>
      <w:r w:rsidR="00024E83" w:rsidRPr="006538AB">
        <w:rPr>
          <w:rFonts w:ascii="Times New Roman" w:hAnsi="Times New Roman"/>
          <w:sz w:val="24"/>
          <w:szCs w:val="24"/>
          <w:lang w:val="fr-FR"/>
        </w:rPr>
        <w:t>surprendre</w:t>
      </w:r>
      <w:r w:rsidR="006617CB" w:rsidRPr="006538AB">
        <w:rPr>
          <w:rFonts w:ascii="Times New Roman" w:hAnsi="Times New Roman"/>
          <w:sz w:val="24"/>
          <w:szCs w:val="24"/>
          <w:lang w:val="fr-FR"/>
        </w:rPr>
        <w:t xml:space="preserve"> la population</w:t>
      </w:r>
      <w:r w:rsidR="00024E83" w:rsidRPr="006538AB">
        <w:rPr>
          <w:rFonts w:ascii="Times New Roman" w:hAnsi="Times New Roman"/>
          <w:sz w:val="24"/>
          <w:szCs w:val="24"/>
          <w:lang w:val="fr-FR"/>
        </w:rPr>
        <w:t xml:space="preserve">. </w:t>
      </w:r>
    </w:p>
    <w:p w:rsidR="003E2682" w:rsidRPr="006538AB" w:rsidRDefault="005725F3" w:rsidP="003E2682">
      <w:pPr>
        <w:pStyle w:val="BodyText"/>
        <w:jc w:val="both"/>
        <w:rPr>
          <w:rFonts w:ascii="Times New Roman" w:hAnsi="Times New Roman"/>
          <w:sz w:val="24"/>
          <w:szCs w:val="24"/>
          <w:lang w:val="fr-FR"/>
        </w:rPr>
      </w:pPr>
      <w:r w:rsidRPr="006538AB">
        <w:rPr>
          <w:rFonts w:ascii="Times New Roman" w:hAnsi="Times New Roman"/>
          <w:color w:val="000000"/>
          <w:sz w:val="24"/>
          <w:szCs w:val="24"/>
          <w:lang w:val="fr-F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6"/>
      </w:tblGrid>
      <w:tr w:rsidR="003E2682" w:rsidRPr="002E2767">
        <w:tc>
          <w:tcPr>
            <w:tcW w:w="10736" w:type="dxa"/>
            <w:shd w:val="clear" w:color="auto" w:fill="auto"/>
          </w:tcPr>
          <w:p w:rsidR="003E2682" w:rsidRPr="006538AB" w:rsidRDefault="003E2682" w:rsidP="003E2682">
            <w:pPr>
              <w:pStyle w:val="BodyText"/>
              <w:rPr>
                <w:rFonts w:ascii="Times New Roman" w:hAnsi="Times New Roman"/>
                <w:sz w:val="24"/>
                <w:szCs w:val="24"/>
                <w:lang w:val="fr-FR"/>
              </w:rPr>
            </w:pPr>
          </w:p>
          <w:p w:rsidR="00986734" w:rsidRPr="006538AB" w:rsidRDefault="000513B8" w:rsidP="003E2682">
            <w:pPr>
              <w:pStyle w:val="BodyText"/>
              <w:jc w:val="both"/>
              <w:rPr>
                <w:rFonts w:ascii="Times New Roman" w:hAnsi="Times New Roman"/>
                <w:color w:val="000000"/>
                <w:sz w:val="24"/>
                <w:szCs w:val="24"/>
                <w:lang w:val="fr-FR"/>
              </w:rPr>
            </w:pPr>
            <w:r w:rsidRPr="006538AB">
              <w:rPr>
                <w:rFonts w:ascii="Times New Roman" w:hAnsi="Times New Roman"/>
                <w:b/>
                <w:sz w:val="24"/>
                <w:szCs w:val="24"/>
                <w:lang w:val="fr-FR"/>
              </w:rPr>
              <w:t xml:space="preserve"> D</w:t>
            </w:r>
            <w:r w:rsidR="003E2682" w:rsidRPr="006538AB">
              <w:rPr>
                <w:rFonts w:ascii="Times New Roman" w:hAnsi="Times New Roman"/>
                <w:b/>
                <w:sz w:val="24"/>
                <w:szCs w:val="24"/>
                <w:lang w:val="fr-FR"/>
              </w:rPr>
              <w:t>éfi à confronter</w:t>
            </w:r>
            <w:r w:rsidR="003E2682" w:rsidRPr="006538AB">
              <w:rPr>
                <w:rFonts w:ascii="Times New Roman" w:hAnsi="Times New Roman"/>
                <w:sz w:val="24"/>
                <w:szCs w:val="24"/>
                <w:lang w:val="fr-FR"/>
              </w:rPr>
              <w:t xml:space="preserve">: </w:t>
            </w:r>
            <w:r w:rsidR="00033B29" w:rsidRPr="006538AB">
              <w:rPr>
                <w:rFonts w:ascii="Times New Roman" w:hAnsi="Times New Roman"/>
                <w:sz w:val="24"/>
                <w:szCs w:val="24"/>
                <w:lang w:val="fr-FR"/>
              </w:rPr>
              <w:t xml:space="preserve"> </w:t>
            </w:r>
          </w:p>
          <w:p w:rsidR="00986734" w:rsidRPr="006538AB" w:rsidRDefault="00AA1A8C" w:rsidP="003E2682">
            <w:pPr>
              <w:pStyle w:val="BodyText"/>
              <w:jc w:val="both"/>
              <w:rPr>
                <w:rFonts w:ascii="Times New Roman" w:hAnsi="Times New Roman"/>
                <w:color w:val="000000"/>
                <w:sz w:val="24"/>
                <w:szCs w:val="24"/>
                <w:lang w:val="fr-FR"/>
              </w:rPr>
            </w:pPr>
            <w:r w:rsidRPr="006538AB">
              <w:rPr>
                <w:rFonts w:ascii="Times New Roman" w:hAnsi="Times New Roman"/>
                <w:color w:val="000000"/>
                <w:sz w:val="24"/>
                <w:szCs w:val="24"/>
                <w:lang w:val="fr-FR"/>
              </w:rPr>
              <w:t>Le p</w:t>
            </w:r>
            <w:r w:rsidR="000513B8" w:rsidRPr="006538AB">
              <w:rPr>
                <w:rFonts w:ascii="Times New Roman" w:hAnsi="Times New Roman"/>
                <w:color w:val="000000"/>
                <w:sz w:val="24"/>
                <w:szCs w:val="24"/>
                <w:lang w:val="fr-FR"/>
              </w:rPr>
              <w:t xml:space="preserve">lus </w:t>
            </w:r>
            <w:r w:rsidR="001F52C4">
              <w:rPr>
                <w:rFonts w:ascii="Times New Roman" w:hAnsi="Times New Roman"/>
                <w:color w:val="000000"/>
                <w:sz w:val="24"/>
                <w:szCs w:val="24"/>
                <w:lang w:val="fr-FR"/>
              </w:rPr>
              <w:t xml:space="preserve">grand </w:t>
            </w:r>
            <w:r w:rsidR="00024E83" w:rsidRPr="006538AB">
              <w:rPr>
                <w:rFonts w:ascii="Times New Roman" w:hAnsi="Times New Roman"/>
                <w:color w:val="000000"/>
                <w:sz w:val="24"/>
                <w:szCs w:val="24"/>
                <w:lang w:val="fr-FR"/>
              </w:rPr>
              <w:t>défi</w:t>
            </w:r>
            <w:r w:rsidRPr="006538AB">
              <w:rPr>
                <w:rFonts w:ascii="Times New Roman" w:hAnsi="Times New Roman"/>
                <w:color w:val="000000"/>
                <w:sz w:val="24"/>
                <w:szCs w:val="24"/>
                <w:lang w:val="fr-FR"/>
              </w:rPr>
              <w:t xml:space="preserve"> à relever c’est de trouver </w:t>
            </w:r>
            <w:r w:rsidR="00E629AA" w:rsidRPr="006538AB">
              <w:rPr>
                <w:rFonts w:ascii="Times New Roman" w:hAnsi="Times New Roman"/>
                <w:color w:val="000000"/>
                <w:sz w:val="24"/>
                <w:szCs w:val="24"/>
                <w:lang w:val="fr-FR"/>
              </w:rPr>
              <w:t xml:space="preserve">un environnement favorable pour </w:t>
            </w:r>
            <w:r w:rsidR="000513B8" w:rsidRPr="006538AB">
              <w:rPr>
                <w:rFonts w:ascii="Times New Roman" w:hAnsi="Times New Roman"/>
                <w:color w:val="000000"/>
                <w:sz w:val="24"/>
                <w:szCs w:val="24"/>
                <w:lang w:val="fr-FR"/>
              </w:rPr>
              <w:t>accélérer</w:t>
            </w:r>
            <w:r w:rsidR="00E629AA" w:rsidRPr="006538AB">
              <w:rPr>
                <w:rFonts w:ascii="Times New Roman" w:hAnsi="Times New Roman"/>
                <w:color w:val="000000"/>
                <w:sz w:val="24"/>
                <w:szCs w:val="24"/>
                <w:lang w:val="fr-FR"/>
              </w:rPr>
              <w:t xml:space="preserve"> </w:t>
            </w:r>
            <w:r w:rsidR="000513B8" w:rsidRPr="006538AB">
              <w:rPr>
                <w:rFonts w:ascii="Times New Roman" w:hAnsi="Times New Roman"/>
                <w:color w:val="000000"/>
                <w:sz w:val="24"/>
                <w:szCs w:val="24"/>
                <w:lang w:val="fr-FR"/>
              </w:rPr>
              <w:t>les travaux d’analyse de vulnérabilité de</w:t>
            </w:r>
            <w:r w:rsidR="001F52C4">
              <w:rPr>
                <w:rFonts w:ascii="Times New Roman" w:hAnsi="Times New Roman"/>
                <w:color w:val="000000"/>
                <w:sz w:val="24"/>
                <w:szCs w:val="24"/>
                <w:lang w:val="fr-FR"/>
              </w:rPr>
              <w:t>s</w:t>
            </w:r>
            <w:r w:rsidR="000513B8" w:rsidRPr="006538AB">
              <w:rPr>
                <w:rFonts w:ascii="Times New Roman" w:hAnsi="Times New Roman"/>
                <w:color w:val="000000"/>
                <w:sz w:val="24"/>
                <w:szCs w:val="24"/>
                <w:lang w:val="fr-FR"/>
              </w:rPr>
              <w:t xml:space="preserve"> bâtiments et infrastructures</w:t>
            </w:r>
            <w:r w:rsidR="001F52C4">
              <w:rPr>
                <w:rFonts w:ascii="Times New Roman" w:hAnsi="Times New Roman"/>
                <w:color w:val="000000"/>
                <w:sz w:val="24"/>
                <w:szCs w:val="24"/>
                <w:lang w:val="fr-FR"/>
              </w:rPr>
              <w:t>,</w:t>
            </w:r>
            <w:r w:rsidR="000513B8" w:rsidRPr="006538AB">
              <w:rPr>
                <w:rFonts w:ascii="Times New Roman" w:hAnsi="Times New Roman"/>
                <w:color w:val="000000"/>
                <w:sz w:val="24"/>
                <w:szCs w:val="24"/>
                <w:lang w:val="fr-FR"/>
              </w:rPr>
              <w:t xml:space="preserve"> et de procéder aux différentes phases liées aux solutions de renforcement</w:t>
            </w:r>
            <w:r w:rsidR="001F52C4">
              <w:rPr>
                <w:rFonts w:ascii="Times New Roman" w:hAnsi="Times New Roman"/>
                <w:color w:val="000000"/>
                <w:sz w:val="24"/>
                <w:szCs w:val="24"/>
                <w:lang w:val="fr-FR"/>
              </w:rPr>
              <w:t>,</w:t>
            </w:r>
            <w:r w:rsidR="000513B8" w:rsidRPr="006538AB">
              <w:rPr>
                <w:rFonts w:ascii="Times New Roman" w:hAnsi="Times New Roman"/>
                <w:color w:val="000000"/>
                <w:sz w:val="24"/>
                <w:szCs w:val="24"/>
                <w:lang w:val="fr-FR"/>
              </w:rPr>
              <w:t xml:space="preserve"> et de conclure le projet dans le délais prévu. </w:t>
            </w:r>
            <w:r w:rsidRPr="006538AB">
              <w:rPr>
                <w:rFonts w:ascii="Times New Roman" w:hAnsi="Times New Roman"/>
                <w:color w:val="000000"/>
                <w:sz w:val="24"/>
                <w:szCs w:val="24"/>
                <w:lang w:val="fr-FR"/>
              </w:rPr>
              <w:t xml:space="preserve"> </w:t>
            </w:r>
          </w:p>
          <w:p w:rsidR="003E2682" w:rsidRPr="006538AB" w:rsidRDefault="00986734" w:rsidP="003E2682">
            <w:pPr>
              <w:pStyle w:val="BodyText"/>
              <w:jc w:val="both"/>
              <w:rPr>
                <w:rFonts w:ascii="Times New Roman" w:hAnsi="Times New Roman"/>
                <w:sz w:val="24"/>
                <w:szCs w:val="24"/>
                <w:lang w:val="fr-FR"/>
              </w:rPr>
            </w:pPr>
            <w:r w:rsidRPr="006A0A23">
              <w:rPr>
                <w:rFonts w:ascii="Times New Roman" w:hAnsi="Times New Roman"/>
                <w:color w:val="000000"/>
                <w:sz w:val="24"/>
                <w:szCs w:val="24"/>
                <w:lang w:val="fr-FR"/>
              </w:rPr>
              <w:t>.</w:t>
            </w:r>
          </w:p>
          <w:p w:rsidR="00E629AA" w:rsidRPr="006538AB" w:rsidRDefault="003E2682" w:rsidP="003E2682">
            <w:pPr>
              <w:pStyle w:val="BodyText"/>
              <w:jc w:val="both"/>
              <w:rPr>
                <w:rFonts w:ascii="Times New Roman" w:hAnsi="Times New Roman"/>
                <w:sz w:val="24"/>
                <w:szCs w:val="24"/>
                <w:lang w:val="fr-FR"/>
              </w:rPr>
            </w:pPr>
            <w:r w:rsidRPr="006538AB">
              <w:rPr>
                <w:rFonts w:ascii="Times New Roman" w:hAnsi="Times New Roman"/>
                <w:b/>
                <w:sz w:val="24"/>
                <w:szCs w:val="24"/>
                <w:lang w:val="fr-FR"/>
              </w:rPr>
              <w:t>Interventions du programme</w:t>
            </w:r>
            <w:r w:rsidRPr="006538AB">
              <w:rPr>
                <w:rFonts w:ascii="Times New Roman" w:hAnsi="Times New Roman"/>
                <w:sz w:val="24"/>
                <w:szCs w:val="24"/>
                <w:lang w:val="fr-FR"/>
              </w:rPr>
              <w:t>: Comment  était le problème ou défi adressé à travers les interventions du programme?</w:t>
            </w:r>
          </w:p>
          <w:p w:rsidR="003E2682" w:rsidRPr="006538AB" w:rsidRDefault="000513B8" w:rsidP="003E2682">
            <w:pPr>
              <w:pStyle w:val="BodyText"/>
              <w:jc w:val="both"/>
              <w:rPr>
                <w:rFonts w:ascii="Times New Roman" w:hAnsi="Times New Roman"/>
                <w:sz w:val="24"/>
                <w:szCs w:val="24"/>
                <w:lang w:val="fr-FR"/>
              </w:rPr>
            </w:pPr>
            <w:r w:rsidRPr="006538AB">
              <w:rPr>
                <w:rFonts w:ascii="Times New Roman" w:hAnsi="Times New Roman"/>
                <w:sz w:val="24"/>
                <w:szCs w:val="24"/>
                <w:lang w:val="fr-FR"/>
              </w:rPr>
              <w:t xml:space="preserve">Le projet a recruté des firmes d’experts sismiques de renommé mondiale qui exécutent ces travaux d’une manière simultanée et va encore recruter un expert national pour le contrôle de qualité  </w:t>
            </w:r>
          </w:p>
          <w:p w:rsidR="003E2682" w:rsidRPr="006538AB" w:rsidRDefault="003E2682" w:rsidP="003E2682">
            <w:pPr>
              <w:pStyle w:val="BodyText"/>
              <w:jc w:val="both"/>
              <w:rPr>
                <w:rFonts w:ascii="Times New Roman" w:hAnsi="Times New Roman"/>
                <w:sz w:val="24"/>
                <w:szCs w:val="24"/>
                <w:lang w:val="fr-FR"/>
              </w:rPr>
            </w:pPr>
          </w:p>
          <w:p w:rsidR="009417B0" w:rsidRPr="006538AB" w:rsidRDefault="003E2682" w:rsidP="003E2682">
            <w:pPr>
              <w:pStyle w:val="BodyText"/>
              <w:jc w:val="both"/>
              <w:rPr>
                <w:rFonts w:ascii="Times New Roman" w:hAnsi="Times New Roman"/>
                <w:sz w:val="24"/>
                <w:szCs w:val="24"/>
                <w:lang w:val="fr-FR"/>
              </w:rPr>
            </w:pPr>
            <w:r w:rsidRPr="006538AB">
              <w:rPr>
                <w:rFonts w:ascii="Times New Roman" w:hAnsi="Times New Roman"/>
                <w:b/>
                <w:sz w:val="24"/>
                <w:szCs w:val="24"/>
                <w:lang w:val="fr-FR"/>
              </w:rPr>
              <w:t>Résultat (le cas échéant)</w:t>
            </w:r>
            <w:r w:rsidRPr="006538AB">
              <w:rPr>
                <w:rFonts w:ascii="Times New Roman" w:hAnsi="Times New Roman"/>
                <w:sz w:val="24"/>
                <w:szCs w:val="24"/>
                <w:lang w:val="fr-FR"/>
              </w:rPr>
              <w:t xml:space="preserve">: </w:t>
            </w:r>
          </w:p>
          <w:p w:rsidR="009417B0" w:rsidRPr="006538AB" w:rsidRDefault="009417B0" w:rsidP="003E2682">
            <w:pPr>
              <w:pStyle w:val="BodyText"/>
              <w:jc w:val="both"/>
              <w:rPr>
                <w:rFonts w:ascii="Times New Roman" w:hAnsi="Times New Roman"/>
                <w:sz w:val="24"/>
                <w:szCs w:val="24"/>
                <w:lang w:val="fr-FR"/>
              </w:rPr>
            </w:pPr>
            <w:r w:rsidRPr="006538AB">
              <w:rPr>
                <w:rFonts w:ascii="Times New Roman" w:hAnsi="Times New Roman"/>
                <w:sz w:val="24"/>
                <w:szCs w:val="24"/>
                <w:lang w:val="fr-FR"/>
              </w:rPr>
              <w:t>Les résultats sont les suivants :</w:t>
            </w:r>
          </w:p>
          <w:p w:rsidR="009417B0" w:rsidRPr="006538AB" w:rsidRDefault="000513B8" w:rsidP="00024E83">
            <w:pPr>
              <w:pStyle w:val="BodyText"/>
              <w:numPr>
                <w:ilvl w:val="0"/>
                <w:numId w:val="23"/>
              </w:numPr>
              <w:jc w:val="both"/>
              <w:rPr>
                <w:rFonts w:ascii="Times New Roman" w:hAnsi="Times New Roman"/>
                <w:sz w:val="24"/>
                <w:szCs w:val="24"/>
                <w:lang w:val="fr-FR"/>
              </w:rPr>
            </w:pPr>
            <w:r w:rsidRPr="006538AB">
              <w:rPr>
                <w:rFonts w:ascii="Times New Roman" w:hAnsi="Times New Roman"/>
                <w:sz w:val="24"/>
                <w:szCs w:val="24"/>
                <w:lang w:val="fr-FR"/>
              </w:rPr>
              <w:t>Livraison de deux rapports sur l’évaluation  des bâtiments publiques et les infrastructures dans les départements du Grand Nord (Consortium BRGM-SOCOTEC)</w:t>
            </w:r>
          </w:p>
          <w:p w:rsidR="009417B0" w:rsidRPr="006538AB" w:rsidRDefault="000513B8" w:rsidP="00024E83">
            <w:pPr>
              <w:pStyle w:val="BodyText"/>
              <w:numPr>
                <w:ilvl w:val="0"/>
                <w:numId w:val="23"/>
              </w:numPr>
              <w:jc w:val="both"/>
              <w:rPr>
                <w:rFonts w:ascii="Times New Roman" w:hAnsi="Times New Roman"/>
                <w:sz w:val="24"/>
                <w:szCs w:val="24"/>
                <w:lang w:val="fr-FR"/>
              </w:rPr>
            </w:pPr>
            <w:r w:rsidRPr="006538AB">
              <w:rPr>
                <w:rFonts w:ascii="Times New Roman" w:hAnsi="Times New Roman"/>
                <w:sz w:val="24"/>
                <w:szCs w:val="24"/>
                <w:lang w:val="fr-FR"/>
              </w:rPr>
              <w:t>Livraison du rapport 1 sur les estimations de perte et la connaissance de la structure du sol et sa  rigidité par Miyamoto International.</w:t>
            </w:r>
          </w:p>
          <w:p w:rsidR="009417B0" w:rsidRPr="006538AB" w:rsidRDefault="006538AB" w:rsidP="00024E83">
            <w:pPr>
              <w:pStyle w:val="BodyText"/>
              <w:numPr>
                <w:ilvl w:val="0"/>
                <w:numId w:val="23"/>
              </w:numPr>
              <w:jc w:val="both"/>
              <w:rPr>
                <w:rFonts w:ascii="Times New Roman" w:hAnsi="Times New Roman"/>
                <w:sz w:val="24"/>
                <w:szCs w:val="24"/>
                <w:lang w:val="fr-FR"/>
              </w:rPr>
            </w:pPr>
            <w:r w:rsidRPr="006538AB">
              <w:rPr>
                <w:rFonts w:ascii="Times New Roman" w:hAnsi="Times New Roman"/>
                <w:sz w:val="24"/>
                <w:szCs w:val="24"/>
                <w:lang w:val="fr-FR"/>
              </w:rPr>
              <w:t>Livraison des versions finales de trois plans de contingence sismique pour le Grand Nord.</w:t>
            </w:r>
          </w:p>
          <w:p w:rsidR="00DB4199" w:rsidRPr="006538AB" w:rsidRDefault="006538AB" w:rsidP="00024E83">
            <w:pPr>
              <w:pStyle w:val="BodyText"/>
              <w:numPr>
                <w:ilvl w:val="0"/>
                <w:numId w:val="23"/>
              </w:numPr>
              <w:jc w:val="both"/>
              <w:rPr>
                <w:rFonts w:ascii="Times New Roman" w:hAnsi="Times New Roman"/>
                <w:sz w:val="24"/>
                <w:szCs w:val="24"/>
                <w:lang w:val="fr-FR"/>
              </w:rPr>
            </w:pPr>
            <w:r w:rsidRPr="006538AB">
              <w:rPr>
                <w:rFonts w:ascii="Times New Roman" w:hAnsi="Times New Roman"/>
                <w:sz w:val="24"/>
                <w:szCs w:val="24"/>
                <w:lang w:val="fr-FR"/>
              </w:rPr>
              <w:t xml:space="preserve">Les autorités concernées par la gestion de risques et désastres   qui ont </w:t>
            </w:r>
            <w:r w:rsidR="00DB4199" w:rsidRPr="006538AB">
              <w:rPr>
                <w:rFonts w:ascii="Times New Roman" w:hAnsi="Times New Roman"/>
                <w:sz w:val="24"/>
                <w:szCs w:val="24"/>
                <w:lang w:val="fr-FR"/>
              </w:rPr>
              <w:t xml:space="preserve"> </w:t>
            </w:r>
            <w:r w:rsidRPr="006538AB">
              <w:rPr>
                <w:rFonts w:ascii="Times New Roman" w:hAnsi="Times New Roman"/>
                <w:sz w:val="24"/>
                <w:szCs w:val="24"/>
                <w:lang w:val="fr-FR"/>
              </w:rPr>
              <w:t xml:space="preserve">participé </w:t>
            </w:r>
            <w:r w:rsidR="00DB4199" w:rsidRPr="006538AB">
              <w:rPr>
                <w:rFonts w:ascii="Times New Roman" w:hAnsi="Times New Roman"/>
                <w:sz w:val="24"/>
                <w:szCs w:val="24"/>
                <w:lang w:val="fr-FR"/>
              </w:rPr>
              <w:t xml:space="preserve"> à toutes les démo</w:t>
            </w:r>
            <w:r w:rsidRPr="006538AB">
              <w:rPr>
                <w:rFonts w:ascii="Times New Roman" w:hAnsi="Times New Roman"/>
                <w:sz w:val="24"/>
                <w:szCs w:val="24"/>
                <w:lang w:val="fr-FR"/>
              </w:rPr>
              <w:t xml:space="preserve">nstrations à travers les </w:t>
            </w:r>
            <w:r w:rsidR="001F52C4">
              <w:rPr>
                <w:rFonts w:ascii="Times New Roman" w:hAnsi="Times New Roman"/>
                <w:sz w:val="24"/>
                <w:szCs w:val="24"/>
                <w:lang w:val="fr-FR"/>
              </w:rPr>
              <w:t>SIMEX</w:t>
            </w:r>
            <w:r w:rsidR="001F52C4" w:rsidRPr="006538AB">
              <w:rPr>
                <w:rFonts w:ascii="Times New Roman" w:hAnsi="Times New Roman"/>
                <w:sz w:val="24"/>
                <w:szCs w:val="24"/>
                <w:lang w:val="fr-FR"/>
              </w:rPr>
              <w:t xml:space="preserve"> </w:t>
            </w:r>
            <w:r w:rsidRPr="006538AB">
              <w:rPr>
                <w:rFonts w:ascii="Times New Roman" w:hAnsi="Times New Roman"/>
                <w:sz w:val="24"/>
                <w:szCs w:val="24"/>
                <w:lang w:val="fr-FR"/>
              </w:rPr>
              <w:t>sont imbus et capable de s’organiser pour faire face aux catastrophes naturelles.</w:t>
            </w:r>
          </w:p>
          <w:p w:rsidR="00CB7770" w:rsidRPr="006538AB" w:rsidRDefault="00CB7770" w:rsidP="00024E83">
            <w:pPr>
              <w:pStyle w:val="BodyText"/>
              <w:numPr>
                <w:ilvl w:val="0"/>
                <w:numId w:val="23"/>
              </w:numPr>
              <w:jc w:val="both"/>
              <w:rPr>
                <w:rFonts w:ascii="Times New Roman" w:hAnsi="Times New Roman"/>
                <w:sz w:val="24"/>
                <w:szCs w:val="24"/>
                <w:lang w:val="fr-FR"/>
              </w:rPr>
            </w:pPr>
            <w:r w:rsidRPr="006538AB">
              <w:rPr>
                <w:rFonts w:ascii="Times New Roman" w:hAnsi="Times New Roman"/>
                <w:sz w:val="24"/>
                <w:szCs w:val="24"/>
                <w:lang w:val="fr-FR"/>
              </w:rPr>
              <w:t>Une sorte de reflexe vient de na</w:t>
            </w:r>
            <w:r w:rsidR="001F52C4">
              <w:rPr>
                <w:rFonts w:ascii="Times New Roman" w:hAnsi="Times New Roman"/>
                <w:sz w:val="24"/>
                <w:szCs w:val="24"/>
                <w:lang w:val="fr-FR"/>
              </w:rPr>
              <w:t>î</w:t>
            </w:r>
            <w:r w:rsidRPr="006538AB">
              <w:rPr>
                <w:rFonts w:ascii="Times New Roman" w:hAnsi="Times New Roman"/>
                <w:sz w:val="24"/>
                <w:szCs w:val="24"/>
                <w:lang w:val="fr-FR"/>
              </w:rPr>
              <w:t>tre dans le Grand Nord pour ce qui a rapport au séisme et s</w:t>
            </w:r>
            <w:r w:rsidR="006538AB" w:rsidRPr="006538AB">
              <w:rPr>
                <w:rFonts w:ascii="Times New Roman" w:hAnsi="Times New Roman"/>
                <w:sz w:val="24"/>
                <w:szCs w:val="24"/>
                <w:lang w:val="fr-FR"/>
              </w:rPr>
              <w:t>es</w:t>
            </w:r>
            <w:r w:rsidRPr="006538AB">
              <w:rPr>
                <w:rFonts w:ascii="Times New Roman" w:hAnsi="Times New Roman"/>
                <w:sz w:val="24"/>
                <w:szCs w:val="24"/>
                <w:lang w:val="fr-FR"/>
              </w:rPr>
              <w:t xml:space="preserve"> corollaire</w:t>
            </w:r>
            <w:r w:rsidR="006538AB" w:rsidRPr="006538AB">
              <w:rPr>
                <w:rFonts w:ascii="Times New Roman" w:hAnsi="Times New Roman"/>
                <w:sz w:val="24"/>
                <w:szCs w:val="24"/>
                <w:lang w:val="fr-FR"/>
              </w:rPr>
              <w:t>s</w:t>
            </w:r>
            <w:r w:rsidRPr="006538AB">
              <w:rPr>
                <w:rFonts w:ascii="Times New Roman" w:hAnsi="Times New Roman"/>
                <w:sz w:val="24"/>
                <w:szCs w:val="24"/>
                <w:lang w:val="fr-FR"/>
              </w:rPr>
              <w:t>.</w:t>
            </w:r>
          </w:p>
          <w:p w:rsidR="00C028C7" w:rsidRPr="006538AB" w:rsidRDefault="006538AB" w:rsidP="006538AB">
            <w:pPr>
              <w:pStyle w:val="BodyText"/>
              <w:ind w:left="720"/>
              <w:jc w:val="both"/>
              <w:rPr>
                <w:rFonts w:ascii="Times New Roman" w:hAnsi="Times New Roman"/>
                <w:sz w:val="24"/>
                <w:szCs w:val="24"/>
                <w:lang w:val="fr-FR"/>
              </w:rPr>
            </w:pPr>
            <w:r w:rsidRPr="006538AB">
              <w:rPr>
                <w:rFonts w:ascii="Times New Roman" w:hAnsi="Times New Roman"/>
                <w:sz w:val="24"/>
                <w:szCs w:val="24"/>
                <w:lang w:val="fr-FR"/>
              </w:rPr>
              <w:t xml:space="preserve"> </w:t>
            </w:r>
          </w:p>
          <w:p w:rsidR="006538AB" w:rsidRPr="006538AB" w:rsidRDefault="00905EB7" w:rsidP="006538AB">
            <w:pPr>
              <w:pStyle w:val="NormalWeb"/>
              <w:rPr>
                <w:color w:val="000000"/>
                <w:lang w:val="fr-FR"/>
              </w:rPr>
            </w:pPr>
            <w:r w:rsidRPr="006538AB">
              <w:rPr>
                <w:color w:val="000000"/>
                <w:lang w:val="fr-FR"/>
              </w:rPr>
              <w:t xml:space="preserve"> Leçons apprises: Il</w:t>
            </w:r>
            <w:r w:rsidR="00384132" w:rsidRPr="006538AB">
              <w:rPr>
                <w:color w:val="000000"/>
                <w:lang w:val="fr-FR"/>
              </w:rPr>
              <w:t xml:space="preserve"> faudra appuyer la DPC suite au désengagement du projet pour la permettre de prendre en charge les orientations stratégiques et opérationnelles liées à la préparation et l’accompagnement nécessaire à la population en rapport avec le risque sismique</w:t>
            </w:r>
          </w:p>
          <w:p w:rsidR="003E2682" w:rsidRPr="006538AB" w:rsidRDefault="00024E83" w:rsidP="006538AB">
            <w:pPr>
              <w:pStyle w:val="NormalWeb"/>
              <w:rPr>
                <w:lang w:val="fr-FR"/>
              </w:rPr>
            </w:pPr>
            <w:r w:rsidRPr="006538AB">
              <w:rPr>
                <w:lang w:val="fr-FR"/>
              </w:rPr>
              <w:t xml:space="preserve"> Les</w:t>
            </w:r>
            <w:r w:rsidR="00384132" w:rsidRPr="006538AB">
              <w:rPr>
                <w:lang w:val="fr-FR"/>
              </w:rPr>
              <w:t xml:space="preserve"> instances </w:t>
            </w:r>
            <w:r w:rsidR="00C028C7" w:rsidRPr="006538AB">
              <w:rPr>
                <w:lang w:val="fr-FR"/>
              </w:rPr>
              <w:t>régionales</w:t>
            </w:r>
            <w:r w:rsidR="00384132" w:rsidRPr="006538AB">
              <w:rPr>
                <w:lang w:val="fr-FR"/>
              </w:rPr>
              <w:t xml:space="preserve"> de </w:t>
            </w:r>
            <w:r w:rsidR="001F52C4">
              <w:rPr>
                <w:lang w:val="fr-FR"/>
              </w:rPr>
              <w:t>g</w:t>
            </w:r>
            <w:r w:rsidR="00384132" w:rsidRPr="006538AB">
              <w:rPr>
                <w:lang w:val="fr-FR"/>
              </w:rPr>
              <w:t xml:space="preserve">estion de </w:t>
            </w:r>
            <w:r w:rsidR="001F52C4">
              <w:rPr>
                <w:lang w:val="fr-FR"/>
              </w:rPr>
              <w:t>r</w:t>
            </w:r>
            <w:r w:rsidR="00384132" w:rsidRPr="006538AB">
              <w:rPr>
                <w:lang w:val="fr-FR"/>
              </w:rPr>
              <w:t xml:space="preserve">isques et </w:t>
            </w:r>
            <w:r w:rsidR="00C028C7" w:rsidRPr="006538AB">
              <w:rPr>
                <w:lang w:val="fr-FR"/>
              </w:rPr>
              <w:t>désastres</w:t>
            </w:r>
            <w:r w:rsidR="00384132" w:rsidRPr="006538AB">
              <w:rPr>
                <w:lang w:val="fr-FR"/>
              </w:rPr>
              <w:t xml:space="preserve"> doivent </w:t>
            </w:r>
            <w:r w:rsidR="00C028C7" w:rsidRPr="006538AB">
              <w:rPr>
                <w:lang w:val="fr-FR"/>
              </w:rPr>
              <w:t>être</w:t>
            </w:r>
            <w:r w:rsidR="00384132" w:rsidRPr="006538AB">
              <w:rPr>
                <w:lang w:val="fr-FR"/>
              </w:rPr>
              <w:t xml:space="preserve"> </w:t>
            </w:r>
            <w:r w:rsidR="00C028C7" w:rsidRPr="006538AB">
              <w:rPr>
                <w:lang w:val="fr-FR"/>
              </w:rPr>
              <w:t>appuyées</w:t>
            </w:r>
            <w:r w:rsidR="00384132" w:rsidRPr="006538AB">
              <w:rPr>
                <w:lang w:val="fr-FR"/>
              </w:rPr>
              <w:t xml:space="preserve"> non </w:t>
            </w:r>
            <w:r w:rsidR="00C028C7" w:rsidRPr="006538AB">
              <w:rPr>
                <w:lang w:val="fr-FR"/>
              </w:rPr>
              <w:t>seulement</w:t>
            </w:r>
            <w:r w:rsidR="00384132" w:rsidRPr="006538AB">
              <w:rPr>
                <w:lang w:val="fr-FR"/>
              </w:rPr>
              <w:t xml:space="preserve"> pour </w:t>
            </w:r>
            <w:r w:rsidR="00C028C7" w:rsidRPr="006538AB">
              <w:rPr>
                <w:lang w:val="fr-FR"/>
              </w:rPr>
              <w:t>répondre</w:t>
            </w:r>
            <w:r w:rsidR="00384132" w:rsidRPr="006538AB">
              <w:rPr>
                <w:lang w:val="fr-FR"/>
              </w:rPr>
              <w:t xml:space="preserve"> de manière efficace au </w:t>
            </w:r>
            <w:r w:rsidR="00A871DF" w:rsidRPr="006538AB">
              <w:rPr>
                <w:lang w:val="fr-FR"/>
              </w:rPr>
              <w:t>séisme</w:t>
            </w:r>
            <w:r w:rsidR="00384132" w:rsidRPr="006538AB">
              <w:rPr>
                <w:lang w:val="fr-FR"/>
              </w:rPr>
              <w:t xml:space="preserve"> </w:t>
            </w:r>
            <w:r w:rsidR="00C028C7" w:rsidRPr="006538AB">
              <w:rPr>
                <w:lang w:val="fr-FR"/>
              </w:rPr>
              <w:t>éventuel</w:t>
            </w:r>
            <w:r w:rsidR="001F52C4">
              <w:rPr>
                <w:lang w:val="fr-FR"/>
              </w:rPr>
              <w:t>,</w:t>
            </w:r>
            <w:r w:rsidR="00384132" w:rsidRPr="006538AB">
              <w:rPr>
                <w:lang w:val="fr-FR"/>
              </w:rPr>
              <w:t xml:space="preserve"> mais aussi pour </w:t>
            </w:r>
            <w:r w:rsidR="00C028C7" w:rsidRPr="006538AB">
              <w:rPr>
                <w:lang w:val="fr-FR"/>
              </w:rPr>
              <w:t>pérenniser</w:t>
            </w:r>
            <w:r w:rsidR="00384132" w:rsidRPr="006538AB">
              <w:rPr>
                <w:lang w:val="fr-FR"/>
              </w:rPr>
              <w:t xml:space="preserve"> l’ensemble des interventions </w:t>
            </w:r>
            <w:r w:rsidR="00F03F50" w:rsidRPr="006538AB">
              <w:rPr>
                <w:lang w:val="fr-FR"/>
              </w:rPr>
              <w:t>réalisé</w:t>
            </w:r>
            <w:r w:rsidRPr="006538AB">
              <w:rPr>
                <w:lang w:val="fr-FR"/>
              </w:rPr>
              <w:t>e</w:t>
            </w:r>
            <w:r w:rsidR="00F03F50" w:rsidRPr="006538AB">
              <w:rPr>
                <w:lang w:val="fr-FR"/>
              </w:rPr>
              <w:t>s par le projet</w:t>
            </w:r>
          </w:p>
        </w:tc>
      </w:tr>
    </w:tbl>
    <w:p w:rsidR="003E2682" w:rsidRPr="006538AB" w:rsidRDefault="003E2682" w:rsidP="003E2682">
      <w:pPr>
        <w:pStyle w:val="BodyText"/>
        <w:rPr>
          <w:rFonts w:ascii="Times New Roman" w:hAnsi="Times New Roman"/>
          <w:b/>
          <w:sz w:val="24"/>
          <w:szCs w:val="24"/>
          <w:lang w:val="fr-FR"/>
        </w:rPr>
      </w:pPr>
    </w:p>
    <w:p w:rsidR="003E2682" w:rsidRPr="006538AB" w:rsidRDefault="003E2682" w:rsidP="003E2682">
      <w:pPr>
        <w:pStyle w:val="BodyText"/>
        <w:jc w:val="both"/>
        <w:rPr>
          <w:rFonts w:ascii="Times New Roman" w:hAnsi="Times New Roman"/>
          <w:sz w:val="24"/>
          <w:szCs w:val="24"/>
          <w:lang w:val="fr-FR"/>
        </w:rPr>
      </w:pPr>
    </w:p>
    <w:p w:rsidR="003E2682" w:rsidRPr="006538AB" w:rsidRDefault="003E2682" w:rsidP="003E2682">
      <w:pPr>
        <w:pStyle w:val="BodyText"/>
        <w:ind w:firstLine="360"/>
        <w:rPr>
          <w:rFonts w:ascii="Times New Roman" w:hAnsi="Times New Roman"/>
          <w:sz w:val="24"/>
          <w:szCs w:val="24"/>
          <w:lang w:val="fr-FR"/>
        </w:rPr>
      </w:pPr>
    </w:p>
    <w:sectPr w:rsidR="003E2682" w:rsidRPr="006538AB" w:rsidSect="003E2682">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A0" w:rsidRDefault="00674BA0">
      <w:r>
        <w:separator/>
      </w:r>
    </w:p>
  </w:endnote>
  <w:endnote w:type="continuationSeparator" w:id="0">
    <w:p w:rsidR="00674BA0" w:rsidRDefault="006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90" w:rsidRDefault="00A96690">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sidR="00D2347D">
      <w:rPr>
        <w:rFonts w:ascii="Arial" w:hAnsi="Arial" w:cs="Arial"/>
        <w:sz w:val="18"/>
        <w:szCs w:val="18"/>
      </w:rPr>
      <w:fldChar w:fldCharType="begin"/>
    </w:r>
    <w:r>
      <w:rPr>
        <w:rFonts w:ascii="Arial" w:hAnsi="Arial" w:cs="Arial"/>
        <w:sz w:val="18"/>
        <w:szCs w:val="18"/>
      </w:rPr>
      <w:instrText xml:space="preserve"> PAGE   \* MERGEFORMAT </w:instrText>
    </w:r>
    <w:r w:rsidR="00D2347D">
      <w:rPr>
        <w:rFonts w:ascii="Arial" w:hAnsi="Arial" w:cs="Arial"/>
        <w:sz w:val="18"/>
        <w:szCs w:val="18"/>
      </w:rPr>
      <w:fldChar w:fldCharType="separate"/>
    </w:r>
    <w:r w:rsidR="00FD2390">
      <w:rPr>
        <w:rFonts w:ascii="Arial" w:hAnsi="Arial" w:cs="Arial"/>
        <w:noProof/>
        <w:sz w:val="18"/>
        <w:szCs w:val="18"/>
      </w:rPr>
      <w:t>1</w:t>
    </w:r>
    <w:r w:rsidR="00D2347D">
      <w:rPr>
        <w:rFonts w:ascii="Arial" w:hAnsi="Arial" w:cs="Arial"/>
        <w:sz w:val="18"/>
        <w:szCs w:val="18"/>
      </w:rPr>
      <w:fldChar w:fldCharType="end"/>
    </w:r>
    <w:r>
      <w:rPr>
        <w:rFonts w:ascii="Arial" w:hAnsi="Arial" w:cs="Arial"/>
        <w:sz w:val="18"/>
        <w:szCs w:val="18"/>
      </w:rPr>
      <w:t xml:space="preserve"> of </w:t>
    </w:r>
    <w:r w:rsidR="00674BA0">
      <w:fldChar w:fldCharType="begin"/>
    </w:r>
    <w:r w:rsidR="00674BA0">
      <w:instrText xml:space="preserve"> NUMPAGES   \* MERGEFORMAT </w:instrText>
    </w:r>
    <w:r w:rsidR="00674BA0">
      <w:fldChar w:fldCharType="separate"/>
    </w:r>
    <w:r w:rsidR="00FD2390" w:rsidRPr="00FD2390">
      <w:rPr>
        <w:rFonts w:ascii="Arial" w:hAnsi="Arial" w:cs="Arial"/>
        <w:noProof/>
        <w:sz w:val="18"/>
        <w:szCs w:val="18"/>
      </w:rPr>
      <w:t>14</w:t>
    </w:r>
    <w:r w:rsidR="00674BA0">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90" w:rsidRDefault="00A96690">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sidR="00D2347D">
      <w:rPr>
        <w:rFonts w:ascii="Arial" w:hAnsi="Arial" w:cs="Arial"/>
        <w:sz w:val="18"/>
        <w:szCs w:val="18"/>
      </w:rPr>
      <w:fldChar w:fldCharType="begin"/>
    </w:r>
    <w:r>
      <w:rPr>
        <w:rFonts w:ascii="Arial" w:hAnsi="Arial" w:cs="Arial"/>
        <w:sz w:val="18"/>
        <w:szCs w:val="18"/>
      </w:rPr>
      <w:instrText xml:space="preserve"> PAGE   \* MERGEFORMAT </w:instrText>
    </w:r>
    <w:r w:rsidR="00D2347D">
      <w:rPr>
        <w:rFonts w:ascii="Arial" w:hAnsi="Arial" w:cs="Arial"/>
        <w:sz w:val="18"/>
        <w:szCs w:val="18"/>
      </w:rPr>
      <w:fldChar w:fldCharType="separate"/>
    </w:r>
    <w:r>
      <w:rPr>
        <w:rFonts w:ascii="Arial" w:hAnsi="Arial" w:cs="Arial"/>
        <w:noProof/>
        <w:sz w:val="18"/>
        <w:szCs w:val="18"/>
      </w:rPr>
      <w:t>5</w:t>
    </w:r>
    <w:r w:rsidR="00D2347D">
      <w:rPr>
        <w:rFonts w:ascii="Arial" w:hAnsi="Arial" w:cs="Arial"/>
        <w:sz w:val="18"/>
        <w:szCs w:val="18"/>
      </w:rPr>
      <w:fldChar w:fldCharType="end"/>
    </w:r>
    <w:r>
      <w:rPr>
        <w:rFonts w:ascii="Arial" w:hAnsi="Arial" w:cs="Arial"/>
        <w:sz w:val="18"/>
        <w:szCs w:val="18"/>
      </w:rPr>
      <w:t xml:space="preserve"> of </w:t>
    </w:r>
    <w:r w:rsidR="00674BA0">
      <w:fldChar w:fldCharType="begin"/>
    </w:r>
    <w:r w:rsidR="00674BA0">
      <w:instrText xml:space="preserve"> NUMPAGES   \* MERGEFORMAT </w:instrText>
    </w:r>
    <w:r w:rsidR="00674BA0">
      <w:fldChar w:fldCharType="separate"/>
    </w:r>
    <w:r w:rsidRPr="00E3532D">
      <w:rPr>
        <w:rFonts w:ascii="Arial" w:hAnsi="Arial" w:cs="Arial"/>
        <w:noProof/>
        <w:sz w:val="18"/>
        <w:szCs w:val="18"/>
      </w:rPr>
      <w:t>9</w:t>
    </w:r>
    <w:r w:rsidR="00674BA0">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A0" w:rsidRDefault="00674BA0">
      <w:r>
        <w:separator/>
      </w:r>
    </w:p>
  </w:footnote>
  <w:footnote w:type="continuationSeparator" w:id="0">
    <w:p w:rsidR="00674BA0" w:rsidRDefault="00674BA0">
      <w:r>
        <w:continuationSeparator/>
      </w:r>
    </w:p>
  </w:footnote>
  <w:footnote w:id="1">
    <w:p w:rsidR="00A96690" w:rsidRPr="00E3532D" w:rsidRDefault="00A96690">
      <w:pPr>
        <w:pStyle w:val="FootnoteText"/>
        <w:rPr>
          <w:lang w:val="fr-FR"/>
        </w:rPr>
      </w:pPr>
      <w:r w:rsidRPr="00E3532D">
        <w:rPr>
          <w:rStyle w:val="FootnoteReference"/>
          <w:lang w:val="fr-FR"/>
        </w:rPr>
        <w:footnoteRef/>
      </w:r>
      <w:r w:rsidRPr="00E3532D">
        <w:rPr>
          <w:lang w:val="fr-FR"/>
        </w:rPr>
        <w:t xml:space="preserve"> Le terme “programme” est utilisé pour les projets, programmes et programmes conjoints.</w:t>
      </w:r>
    </w:p>
  </w:footnote>
  <w:footnote w:id="2">
    <w:p w:rsidR="00A96690" w:rsidRPr="00E3532D" w:rsidRDefault="00A96690" w:rsidP="003E2682">
      <w:pPr>
        <w:pStyle w:val="FootnoteText"/>
        <w:rPr>
          <w:lang w:val="fr-FR"/>
        </w:rPr>
      </w:pPr>
      <w:r w:rsidRPr="00E3532D">
        <w:rPr>
          <w:rStyle w:val="FootnoteReference"/>
          <w:lang w:val="fr-FR"/>
        </w:rPr>
        <w:footnoteRef/>
      </w:r>
      <w:r w:rsidRPr="00E3532D">
        <w:rPr>
          <w:lang w:val="fr-FR"/>
        </w:rPr>
        <w:t xml:space="preserve"> </w:t>
      </w:r>
      <w:r w:rsidRPr="00E3532D">
        <w:rPr>
          <w:bCs/>
          <w:i/>
          <w:iCs/>
          <w:snapToGrid w:val="0"/>
          <w:lang w:val="fr-FR"/>
        </w:rPr>
        <w:t>Résultats Stratégiques</w:t>
      </w:r>
      <w:r w:rsidRPr="00E3532D">
        <w:rPr>
          <w:lang w:val="fr-FR"/>
        </w:rPr>
        <w:t>, tels que formulés dans le Cadre de planification stratégique (de l’ONU) (</w:t>
      </w:r>
      <w:r>
        <w:rPr>
          <w:lang w:val="fr-FR"/>
        </w:rPr>
        <w:t>p. ex.</w:t>
      </w:r>
      <w:r w:rsidRPr="00E3532D">
        <w:rPr>
          <w:lang w:val="fr-FR"/>
        </w:rPr>
        <w:t xml:space="preserve"> UNDAF) ou document du projet; </w:t>
      </w:r>
    </w:p>
  </w:footnote>
  <w:footnote w:id="3">
    <w:p w:rsidR="00A96690" w:rsidRPr="0077492E" w:rsidRDefault="00A96690" w:rsidP="00C12A1A">
      <w:pPr>
        <w:pStyle w:val="FootnoteText"/>
        <w:rPr>
          <w:lang w:val="fr-FR"/>
        </w:rPr>
      </w:pPr>
      <w:r>
        <w:rPr>
          <w:rStyle w:val="FootnoteReference"/>
        </w:rPr>
        <w:footnoteRef/>
      </w:r>
      <w:r w:rsidRPr="0077492E">
        <w:rPr>
          <w:lang w:val="fr-FR"/>
        </w:rPr>
        <w:t xml:space="preserve"> Le </w:t>
      </w:r>
      <w:r w:rsidRPr="00BC1C70">
        <w:rPr>
          <w:lang w:val="fr-FR"/>
        </w:rPr>
        <w:t>numéro</w:t>
      </w:r>
      <w:r w:rsidRPr="0077492E">
        <w:rPr>
          <w:lang w:val="fr-FR"/>
        </w:rPr>
        <w:t xml:space="preserve"> de </w:t>
      </w:r>
      <w:r w:rsidRPr="00BC1C70">
        <w:rPr>
          <w:lang w:val="fr-FR"/>
        </w:rPr>
        <w:t>référence</w:t>
      </w:r>
      <w:r w:rsidRPr="00AA16B8">
        <w:rPr>
          <w:lang w:val="fr-FR"/>
        </w:rPr>
        <w:t xml:space="preserve"> du pro</w:t>
      </w:r>
      <w:r>
        <w:rPr>
          <w:lang w:val="fr-FR"/>
        </w:rPr>
        <w:t>jet</w:t>
      </w:r>
      <w:r w:rsidRPr="0077492E">
        <w:rPr>
          <w:lang w:val="fr-FR"/>
        </w:rPr>
        <w:t xml:space="preserve"> es</w:t>
      </w:r>
      <w:r>
        <w:rPr>
          <w:lang w:val="fr-FR"/>
        </w:rPr>
        <w:t>t</w:t>
      </w:r>
      <w:r w:rsidRPr="0077492E">
        <w:rPr>
          <w:lang w:val="fr-FR"/>
        </w:rPr>
        <w:t xml:space="preserve"> le </w:t>
      </w:r>
      <w:r w:rsidRPr="00BC1C70">
        <w:rPr>
          <w:lang w:val="fr-FR"/>
        </w:rPr>
        <w:t>même</w:t>
      </w:r>
      <w:r w:rsidRPr="0077492E">
        <w:rPr>
          <w:lang w:val="fr-FR"/>
        </w:rPr>
        <w:t xml:space="preserve"> que celui sur le message de notification, aussi appel</w:t>
      </w:r>
      <w:r w:rsidRPr="00BC1C70">
        <w:rPr>
          <w:lang w:val="fr-FR"/>
        </w:rPr>
        <w:t>é</w:t>
      </w:r>
      <w:r w:rsidRPr="0077492E">
        <w:rPr>
          <w:lang w:val="fr-FR"/>
        </w:rPr>
        <w:t xml:space="preserve"> “Project ID” sur le </w:t>
      </w:r>
      <w:hyperlink r:id="rId1" w:history="1">
        <w:r w:rsidRPr="00A92A49">
          <w:rPr>
            <w:rStyle w:val="Hyperlink"/>
            <w:lang w:val="fr-FR"/>
          </w:rPr>
          <w:t>MPTF Office GATEWAY</w:t>
        </w:r>
      </w:hyperlink>
      <w:r w:rsidRPr="0077492E">
        <w:rPr>
          <w:lang w:val="fr-FR"/>
        </w:rPr>
        <w:t>.</w:t>
      </w:r>
    </w:p>
  </w:footnote>
  <w:footnote w:id="4">
    <w:p w:rsidR="00A96690" w:rsidRPr="00E3532D" w:rsidRDefault="00A96690" w:rsidP="003E2682">
      <w:pPr>
        <w:pStyle w:val="FootnoteText"/>
        <w:rPr>
          <w:lang w:val="fr-FR"/>
        </w:rPr>
      </w:pPr>
      <w:r w:rsidRPr="00E3532D">
        <w:rPr>
          <w:rStyle w:val="FootnoteReference"/>
          <w:lang w:val="fr-FR"/>
        </w:rPr>
        <w:footnoteRef/>
      </w:r>
      <w:r w:rsidRPr="00E3532D">
        <w:rPr>
          <w:lang w:val="fr-FR"/>
        </w:rPr>
        <w:t xml:space="preserve"> La contribution du Fonds (MPTF ou Programme Conjoint) correspon</w:t>
      </w:r>
      <w:r>
        <w:rPr>
          <w:lang w:val="fr-FR"/>
        </w:rPr>
        <w:t>d à la quantité transférée aux Organisations P</w:t>
      </w:r>
      <w:r w:rsidRPr="00E3532D">
        <w:rPr>
          <w:lang w:val="fr-FR"/>
        </w:rPr>
        <w:t xml:space="preserve">articipantes des Nations Unies, qui est disponible sur le portail du </w:t>
      </w:r>
      <w:r>
        <w:rPr>
          <w:lang w:val="fr-FR"/>
        </w:rPr>
        <w:t xml:space="preserve">Bureau </w:t>
      </w:r>
      <w:r w:rsidRPr="00E3532D">
        <w:rPr>
          <w:lang w:val="fr-FR"/>
        </w:rPr>
        <w:t>MPTF (</w:t>
      </w:r>
      <w:hyperlink r:id="rId2" w:history="1">
        <w:r w:rsidRPr="00E3532D">
          <w:rPr>
            <w:rStyle w:val="Hyperlink"/>
            <w:lang w:val="fr-FR"/>
          </w:rPr>
          <w:t>MPTF Office GATEWAY</w:t>
        </w:r>
      </w:hyperlink>
      <w:r w:rsidRPr="00E3532D">
        <w:rPr>
          <w:lang w:val="fr-FR"/>
        </w:rPr>
        <w:t xml:space="preserve">) </w:t>
      </w:r>
    </w:p>
  </w:footnote>
  <w:footnote w:id="5">
    <w:p w:rsidR="00A96690" w:rsidRPr="00E3532D" w:rsidRDefault="00A96690" w:rsidP="003E2682">
      <w:pPr>
        <w:pStyle w:val="FootnoteText"/>
        <w:rPr>
          <w:lang w:val="fr-FR"/>
        </w:rPr>
      </w:pPr>
      <w:r w:rsidRPr="00E3532D">
        <w:rPr>
          <w:rStyle w:val="FootnoteReference"/>
          <w:lang w:val="fr-FR"/>
        </w:rPr>
        <w:footnoteRef/>
      </w:r>
      <w:r w:rsidRPr="00E3532D">
        <w:rPr>
          <w:lang w:val="fr-FR"/>
        </w:rPr>
        <w:t xml:space="preserve"> La date de démarrage est la date du premier transfert de fonds du </w:t>
      </w:r>
      <w:r>
        <w:rPr>
          <w:lang w:val="fr-FR"/>
        </w:rPr>
        <w:t xml:space="preserve">Bureau </w:t>
      </w:r>
      <w:r w:rsidRPr="00E3532D">
        <w:rPr>
          <w:lang w:val="fr-FR"/>
        </w:rPr>
        <w:t xml:space="preserve">MPTF en tant qu’Agent Administratif. Cette date est disponible sur le portail du </w:t>
      </w:r>
      <w:r>
        <w:rPr>
          <w:lang w:val="fr-FR"/>
        </w:rPr>
        <w:t xml:space="preserve">Bureau </w:t>
      </w:r>
      <w:r w:rsidRPr="00E3532D">
        <w:rPr>
          <w:lang w:val="fr-FR"/>
        </w:rPr>
        <w:t>MPTF (</w:t>
      </w:r>
      <w:hyperlink r:id="rId3" w:history="1">
        <w:r w:rsidRPr="00E3532D">
          <w:rPr>
            <w:rStyle w:val="Hyperlink"/>
            <w:lang w:val="fr-FR"/>
          </w:rPr>
          <w:t>MPTF Office GATEWAY</w:t>
        </w:r>
      </w:hyperlink>
      <w:r w:rsidRPr="00E3532D">
        <w:rPr>
          <w:lang w:val="fr-FR"/>
        </w:rPr>
        <w:t>)</w:t>
      </w:r>
    </w:p>
  </w:footnote>
  <w:footnote w:id="6">
    <w:p w:rsidR="00A96690" w:rsidRPr="00E3532D" w:rsidRDefault="00A96690" w:rsidP="003E2682">
      <w:pPr>
        <w:pStyle w:val="FootnoteText"/>
        <w:rPr>
          <w:lang w:val="fr-FR"/>
        </w:rPr>
      </w:pPr>
      <w:r w:rsidRPr="00E3532D">
        <w:rPr>
          <w:rStyle w:val="FootnoteReference"/>
          <w:lang w:val="fr-FR"/>
        </w:rPr>
        <w:footnoteRef/>
      </w:r>
      <w:r w:rsidRPr="00E3532D">
        <w:rPr>
          <w:lang w:val="fr-FR"/>
        </w:rPr>
        <w:t xml:space="preserve"> Tel qu’approuvé </w:t>
      </w:r>
      <w:r w:rsidRPr="007A2BD5">
        <w:rPr>
          <w:lang w:val="fr-FR"/>
        </w:rPr>
        <w:t>sur</w:t>
      </w:r>
      <w:r w:rsidRPr="00E3532D">
        <w:rPr>
          <w:lang w:val="fr-FR"/>
        </w:rPr>
        <w:t xml:space="preserve"> le document de projet originale par l’organisme de prise de décisions pertinent/comité de pilotage.</w:t>
      </w:r>
    </w:p>
  </w:footnote>
  <w:footnote w:id="7">
    <w:p w:rsidR="00A96690" w:rsidRPr="00E3532D" w:rsidRDefault="00A96690" w:rsidP="003E2682">
      <w:pPr>
        <w:pStyle w:val="FootnoteText"/>
        <w:rPr>
          <w:lang w:val="fr-FR"/>
        </w:rPr>
      </w:pPr>
      <w:r w:rsidRPr="00E3532D">
        <w:rPr>
          <w:rStyle w:val="FootnoteReference"/>
          <w:lang w:val="fr-FR"/>
        </w:rPr>
        <w:footnoteRef/>
      </w:r>
      <w:r w:rsidRPr="00E3532D">
        <w:rPr>
          <w:lang w:val="fr-FR"/>
        </w:rPr>
        <w:t xml:space="preserve"> Au cas de prolongation du projet, la date de clôture révisée et approuvée doit être reflétée ici. Si la prolongation n’est pas approuvée, la date de clôture actuelle est la même que la date de clôture initiale. La date de clôture est la même que la date de clôture opérationnelle</w:t>
      </w:r>
      <w:r>
        <w:rPr>
          <w:lang w:val="fr-FR"/>
        </w:rPr>
        <w:t>,</w:t>
      </w:r>
      <w:r w:rsidRPr="00E3532D">
        <w:rPr>
          <w:lang w:val="fr-FR"/>
        </w:rPr>
        <w:t xml:space="preserve"> </w:t>
      </w:r>
      <w:r w:rsidRPr="007A2BD5">
        <w:rPr>
          <w:lang w:val="fr-FR"/>
        </w:rPr>
        <w:t xml:space="preserve">qui fait </w:t>
      </w:r>
      <w:r>
        <w:rPr>
          <w:lang w:val="fr-FR"/>
        </w:rPr>
        <w:t xml:space="preserve">référence au moment </w:t>
      </w:r>
      <w:r w:rsidRPr="005E4521">
        <w:rPr>
          <w:lang w:val="fr-FR"/>
        </w:rPr>
        <w:t>où</w:t>
      </w:r>
      <w:r w:rsidRPr="00E3532D">
        <w:rPr>
          <w:lang w:val="fr-FR"/>
        </w:rPr>
        <w:t xml:space="preserve"> toutes les activités du prog</w:t>
      </w:r>
      <w:r>
        <w:rPr>
          <w:lang w:val="fr-FR"/>
        </w:rPr>
        <w:t>ramme ont été complétées par l’Organisation P</w:t>
      </w:r>
      <w:r w:rsidRPr="00E3532D">
        <w:rPr>
          <w:lang w:val="fr-FR"/>
        </w:rPr>
        <w:t xml:space="preserve">articipante responsable. A ce moment, les agences concernées doivent en informer le </w:t>
      </w:r>
      <w:r>
        <w:rPr>
          <w:lang w:val="fr-FR"/>
        </w:rPr>
        <w:t xml:space="preserve">Bureau </w:t>
      </w:r>
      <w:r w:rsidRPr="00E3532D">
        <w:rPr>
          <w:lang w:val="fr-FR"/>
        </w:rPr>
        <w:t xml:space="preserve">MPTF comme convenu dans le MOU. </w:t>
      </w:r>
    </w:p>
  </w:footnote>
  <w:footnote w:id="8">
    <w:p w:rsidR="00A96690" w:rsidRPr="00F94A85" w:rsidRDefault="00A96690" w:rsidP="003E2682">
      <w:pPr>
        <w:pStyle w:val="FootnoteText"/>
        <w:rPr>
          <w:lang w:val="fr-FR"/>
        </w:rPr>
      </w:pPr>
      <w:r w:rsidRPr="00E3532D">
        <w:rPr>
          <w:rStyle w:val="FootnoteReference"/>
          <w:lang w:val="fr-FR"/>
        </w:rPr>
        <w:footnoteRef/>
      </w:r>
      <w:r w:rsidRPr="00E3532D">
        <w:rPr>
          <w:lang w:val="fr-FR"/>
        </w:rPr>
        <w:t xml:space="preserve"> Note: </w:t>
      </w:r>
      <w:r w:rsidRPr="00F94A85">
        <w:rPr>
          <w:lang w:val="fr-FR"/>
        </w:rPr>
        <w:t xml:space="preserve">Les résultats, les </w:t>
      </w:r>
      <w:r w:rsidRPr="003E0D6A">
        <w:rPr>
          <w:lang w:val="fr-FR"/>
        </w:rPr>
        <w:t>produits</w:t>
      </w:r>
      <w:r w:rsidRPr="00F94A85">
        <w:rPr>
          <w:lang w:val="fr-FR"/>
        </w:rPr>
        <w:t xml:space="preserve">, les indicateurs et les cibles devront être présentés </w:t>
      </w:r>
      <w:r w:rsidRPr="00F94A85">
        <w:rPr>
          <w:rFonts w:ascii="Times New Roman Bold" w:hAnsi="Times New Roman Bold"/>
          <w:b/>
          <w:lang w:val="fr-FR"/>
        </w:rPr>
        <w:t>tels qu’ils apparaissent sur</w:t>
      </w:r>
      <w:r>
        <w:rPr>
          <w:rFonts w:ascii="Times New Roman Bold" w:hAnsi="Times New Roman Bold"/>
          <w:b/>
          <w:lang w:val="fr-FR"/>
        </w:rPr>
        <w:t xml:space="preserve"> le document du</w:t>
      </w:r>
      <w:r w:rsidRPr="00F94A85">
        <w:rPr>
          <w:rFonts w:ascii="Times New Roman Bold" w:hAnsi="Times New Roman Bold"/>
          <w:b/>
          <w:lang w:val="fr-FR"/>
        </w:rPr>
        <w:t xml:space="preserve"> projet</w:t>
      </w:r>
      <w:r w:rsidRPr="00F94A85">
        <w:rPr>
          <w:lang w:val="fr-FR"/>
        </w:rPr>
        <w:t xml:space="preserve"> de sorte que vous rendrez compte de vos accomplissements par rapport aux objectifs prévus. Veuillez ajouter des lignes si nécessaires pour les résultats 2, 3, etc.</w:t>
      </w:r>
    </w:p>
    <w:p w:rsidR="00A96690" w:rsidRPr="00E3532D" w:rsidRDefault="00A96690">
      <w:pPr>
        <w:pStyle w:val="FootnoteText"/>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25pt;height:5.25pt" o:bullet="t">
        <v:imagedata r:id="rId1" o:title="bullet"/>
      </v:shape>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F3C93"/>
    <w:multiLevelType w:val="hybridMultilevel"/>
    <w:tmpl w:val="1142811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4">
    <w:nsid w:val="13195478"/>
    <w:multiLevelType w:val="hybridMultilevel"/>
    <w:tmpl w:val="6DF01F68"/>
    <w:lvl w:ilvl="0" w:tplc="0409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3E74516"/>
    <w:multiLevelType w:val="hybridMultilevel"/>
    <w:tmpl w:val="4258981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196C77"/>
    <w:multiLevelType w:val="hybridMultilevel"/>
    <w:tmpl w:val="A564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E27E4"/>
    <w:multiLevelType w:val="hybridMultilevel"/>
    <w:tmpl w:val="03A2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104009"/>
    <w:multiLevelType w:val="hybridMultilevel"/>
    <w:tmpl w:val="B34E4E2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576616"/>
    <w:multiLevelType w:val="hybridMultilevel"/>
    <w:tmpl w:val="4A9CC0E8"/>
    <w:lvl w:ilvl="0" w:tplc="6316B6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35521D"/>
    <w:multiLevelType w:val="hybridMultilevel"/>
    <w:tmpl w:val="371CBB12"/>
    <w:lvl w:ilvl="0" w:tplc="92C2AB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343DC9"/>
    <w:multiLevelType w:val="hybridMultilevel"/>
    <w:tmpl w:val="FDB469A4"/>
    <w:lvl w:ilvl="0" w:tplc="58D20B0C">
      <w:start w:val="1"/>
      <w:numFmt w:val="bullet"/>
      <w:lvlText w:val=""/>
      <w:lvlJc w:val="left"/>
      <w:pPr>
        <w:tabs>
          <w:tab w:val="num" w:pos="720"/>
        </w:tabs>
        <w:ind w:left="720" w:hanging="360"/>
      </w:pPr>
      <w:rPr>
        <w:rFonts w:ascii="Wingdings 2" w:hAnsi="Wingdings 2" w:hint="default"/>
      </w:rPr>
    </w:lvl>
    <w:lvl w:ilvl="1" w:tplc="25FEC622" w:tentative="1">
      <w:start w:val="1"/>
      <w:numFmt w:val="bullet"/>
      <w:lvlText w:val=""/>
      <w:lvlJc w:val="left"/>
      <w:pPr>
        <w:tabs>
          <w:tab w:val="num" w:pos="1440"/>
        </w:tabs>
        <w:ind w:left="1440" w:hanging="360"/>
      </w:pPr>
      <w:rPr>
        <w:rFonts w:ascii="Wingdings 2" w:hAnsi="Wingdings 2" w:hint="default"/>
      </w:rPr>
    </w:lvl>
    <w:lvl w:ilvl="2" w:tplc="780A86AC" w:tentative="1">
      <w:start w:val="1"/>
      <w:numFmt w:val="bullet"/>
      <w:lvlText w:val=""/>
      <w:lvlJc w:val="left"/>
      <w:pPr>
        <w:tabs>
          <w:tab w:val="num" w:pos="2160"/>
        </w:tabs>
        <w:ind w:left="2160" w:hanging="360"/>
      </w:pPr>
      <w:rPr>
        <w:rFonts w:ascii="Wingdings 2" w:hAnsi="Wingdings 2" w:hint="default"/>
      </w:rPr>
    </w:lvl>
    <w:lvl w:ilvl="3" w:tplc="040450C4" w:tentative="1">
      <w:start w:val="1"/>
      <w:numFmt w:val="bullet"/>
      <w:lvlText w:val=""/>
      <w:lvlJc w:val="left"/>
      <w:pPr>
        <w:tabs>
          <w:tab w:val="num" w:pos="2880"/>
        </w:tabs>
        <w:ind w:left="2880" w:hanging="360"/>
      </w:pPr>
      <w:rPr>
        <w:rFonts w:ascii="Wingdings 2" w:hAnsi="Wingdings 2" w:hint="default"/>
      </w:rPr>
    </w:lvl>
    <w:lvl w:ilvl="4" w:tplc="D31EBFA8" w:tentative="1">
      <w:start w:val="1"/>
      <w:numFmt w:val="bullet"/>
      <w:lvlText w:val=""/>
      <w:lvlJc w:val="left"/>
      <w:pPr>
        <w:tabs>
          <w:tab w:val="num" w:pos="3600"/>
        </w:tabs>
        <w:ind w:left="3600" w:hanging="360"/>
      </w:pPr>
      <w:rPr>
        <w:rFonts w:ascii="Wingdings 2" w:hAnsi="Wingdings 2" w:hint="default"/>
      </w:rPr>
    </w:lvl>
    <w:lvl w:ilvl="5" w:tplc="4A6A27F0" w:tentative="1">
      <w:start w:val="1"/>
      <w:numFmt w:val="bullet"/>
      <w:lvlText w:val=""/>
      <w:lvlJc w:val="left"/>
      <w:pPr>
        <w:tabs>
          <w:tab w:val="num" w:pos="4320"/>
        </w:tabs>
        <w:ind w:left="4320" w:hanging="360"/>
      </w:pPr>
      <w:rPr>
        <w:rFonts w:ascii="Wingdings 2" w:hAnsi="Wingdings 2" w:hint="default"/>
      </w:rPr>
    </w:lvl>
    <w:lvl w:ilvl="6" w:tplc="7828267A" w:tentative="1">
      <w:start w:val="1"/>
      <w:numFmt w:val="bullet"/>
      <w:lvlText w:val=""/>
      <w:lvlJc w:val="left"/>
      <w:pPr>
        <w:tabs>
          <w:tab w:val="num" w:pos="5040"/>
        </w:tabs>
        <w:ind w:left="5040" w:hanging="360"/>
      </w:pPr>
      <w:rPr>
        <w:rFonts w:ascii="Wingdings 2" w:hAnsi="Wingdings 2" w:hint="default"/>
      </w:rPr>
    </w:lvl>
    <w:lvl w:ilvl="7" w:tplc="69B601B6" w:tentative="1">
      <w:start w:val="1"/>
      <w:numFmt w:val="bullet"/>
      <w:lvlText w:val=""/>
      <w:lvlJc w:val="left"/>
      <w:pPr>
        <w:tabs>
          <w:tab w:val="num" w:pos="5760"/>
        </w:tabs>
        <w:ind w:left="5760" w:hanging="360"/>
      </w:pPr>
      <w:rPr>
        <w:rFonts w:ascii="Wingdings 2" w:hAnsi="Wingdings 2" w:hint="default"/>
      </w:rPr>
    </w:lvl>
    <w:lvl w:ilvl="8" w:tplc="043CEB2C" w:tentative="1">
      <w:start w:val="1"/>
      <w:numFmt w:val="bullet"/>
      <w:lvlText w:val=""/>
      <w:lvlJc w:val="left"/>
      <w:pPr>
        <w:tabs>
          <w:tab w:val="num" w:pos="6480"/>
        </w:tabs>
        <w:ind w:left="6480" w:hanging="360"/>
      </w:pPr>
      <w:rPr>
        <w:rFonts w:ascii="Wingdings 2" w:hAnsi="Wingdings 2" w:hint="default"/>
      </w:rPr>
    </w:lvl>
  </w:abstractNum>
  <w:abstractNum w:abstractNumId="21">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D23F82"/>
    <w:multiLevelType w:val="hybridMultilevel"/>
    <w:tmpl w:val="B49EA156"/>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903C1B"/>
    <w:multiLevelType w:val="hybridMultilevel"/>
    <w:tmpl w:val="BBBA86A2"/>
    <w:lvl w:ilvl="0" w:tplc="A93E4A7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14"/>
  </w:num>
  <w:num w:numId="5">
    <w:abstractNumId w:val="18"/>
  </w:num>
  <w:num w:numId="6">
    <w:abstractNumId w:val="15"/>
  </w:num>
  <w:num w:numId="7">
    <w:abstractNumId w:val="21"/>
  </w:num>
  <w:num w:numId="8">
    <w:abstractNumId w:val="8"/>
  </w:num>
  <w:num w:numId="9">
    <w:abstractNumId w:val="12"/>
  </w:num>
  <w:num w:numId="10">
    <w:abstractNumId w:val="23"/>
  </w:num>
  <w:num w:numId="11">
    <w:abstractNumId w:val="11"/>
  </w:num>
  <w:num w:numId="12">
    <w:abstractNumId w:val="16"/>
  </w:num>
  <w:num w:numId="13">
    <w:abstractNumId w:val="6"/>
  </w:num>
  <w:num w:numId="14">
    <w:abstractNumId w:val="22"/>
  </w:num>
  <w:num w:numId="15">
    <w:abstractNumId w:val="2"/>
  </w:num>
  <w:num w:numId="16">
    <w:abstractNumId w:val="7"/>
  </w:num>
  <w:num w:numId="17">
    <w:abstractNumId w:val="19"/>
  </w:num>
  <w:num w:numId="18">
    <w:abstractNumId w:val="4"/>
  </w:num>
  <w:num w:numId="19">
    <w:abstractNumId w:val="1"/>
  </w:num>
  <w:num w:numId="20">
    <w:abstractNumId w:val="9"/>
  </w:num>
  <w:num w:numId="21">
    <w:abstractNumId w:val="17"/>
  </w:num>
  <w:num w:numId="22">
    <w:abstractNumId w:val="10"/>
  </w:num>
  <w:num w:numId="23">
    <w:abstractNumId w:val="24"/>
  </w:num>
  <w:num w:numId="24">
    <w:abstractNumId w:val="20"/>
  </w:num>
  <w:num w:numId="25">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C2"/>
    <w:rsid w:val="00024E83"/>
    <w:rsid w:val="00033B29"/>
    <w:rsid w:val="000513B8"/>
    <w:rsid w:val="00065A6E"/>
    <w:rsid w:val="00066055"/>
    <w:rsid w:val="00075626"/>
    <w:rsid w:val="0009081D"/>
    <w:rsid w:val="00094268"/>
    <w:rsid w:val="000B23DD"/>
    <w:rsid w:val="000B50D9"/>
    <w:rsid w:val="000D3562"/>
    <w:rsid w:val="000F2DFE"/>
    <w:rsid w:val="000F2E2B"/>
    <w:rsid w:val="001417F5"/>
    <w:rsid w:val="00146E6A"/>
    <w:rsid w:val="00180164"/>
    <w:rsid w:val="001A12CA"/>
    <w:rsid w:val="001F52C4"/>
    <w:rsid w:val="00210271"/>
    <w:rsid w:val="0024231C"/>
    <w:rsid w:val="0028345A"/>
    <w:rsid w:val="002A132C"/>
    <w:rsid w:val="002B6B42"/>
    <w:rsid w:val="002E2767"/>
    <w:rsid w:val="00302CB7"/>
    <w:rsid w:val="00375049"/>
    <w:rsid w:val="00384132"/>
    <w:rsid w:val="003A4EAC"/>
    <w:rsid w:val="003A5CFE"/>
    <w:rsid w:val="003E2682"/>
    <w:rsid w:val="003E6AE4"/>
    <w:rsid w:val="00421884"/>
    <w:rsid w:val="0044227A"/>
    <w:rsid w:val="00474630"/>
    <w:rsid w:val="00480174"/>
    <w:rsid w:val="004A4D37"/>
    <w:rsid w:val="004C5F80"/>
    <w:rsid w:val="004F00D7"/>
    <w:rsid w:val="004F3BD1"/>
    <w:rsid w:val="00501F72"/>
    <w:rsid w:val="0050788B"/>
    <w:rsid w:val="00514BA9"/>
    <w:rsid w:val="00517ABE"/>
    <w:rsid w:val="00526E37"/>
    <w:rsid w:val="005430EE"/>
    <w:rsid w:val="00567435"/>
    <w:rsid w:val="005725F3"/>
    <w:rsid w:val="00573B11"/>
    <w:rsid w:val="00607205"/>
    <w:rsid w:val="00621402"/>
    <w:rsid w:val="006538AB"/>
    <w:rsid w:val="006617CB"/>
    <w:rsid w:val="00674BA0"/>
    <w:rsid w:val="006938E7"/>
    <w:rsid w:val="006A0A23"/>
    <w:rsid w:val="006C69D9"/>
    <w:rsid w:val="00735442"/>
    <w:rsid w:val="007370BC"/>
    <w:rsid w:val="007B4162"/>
    <w:rsid w:val="007B6800"/>
    <w:rsid w:val="007C2678"/>
    <w:rsid w:val="007D3BB9"/>
    <w:rsid w:val="007D58B2"/>
    <w:rsid w:val="00846DF3"/>
    <w:rsid w:val="008859B3"/>
    <w:rsid w:val="008C70AA"/>
    <w:rsid w:val="008F2AC2"/>
    <w:rsid w:val="00905EB7"/>
    <w:rsid w:val="009417B0"/>
    <w:rsid w:val="00955848"/>
    <w:rsid w:val="00967039"/>
    <w:rsid w:val="009748FE"/>
    <w:rsid w:val="00984F8E"/>
    <w:rsid w:val="00986734"/>
    <w:rsid w:val="009A0328"/>
    <w:rsid w:val="009A4119"/>
    <w:rsid w:val="009C200C"/>
    <w:rsid w:val="00A15FCB"/>
    <w:rsid w:val="00A54D2C"/>
    <w:rsid w:val="00A57456"/>
    <w:rsid w:val="00A57532"/>
    <w:rsid w:val="00A74454"/>
    <w:rsid w:val="00A871DF"/>
    <w:rsid w:val="00A96690"/>
    <w:rsid w:val="00AA1A8C"/>
    <w:rsid w:val="00AA7ECA"/>
    <w:rsid w:val="00AB6747"/>
    <w:rsid w:val="00AD6899"/>
    <w:rsid w:val="00B633F4"/>
    <w:rsid w:val="00B64438"/>
    <w:rsid w:val="00BA7662"/>
    <w:rsid w:val="00BD3A56"/>
    <w:rsid w:val="00BE1D36"/>
    <w:rsid w:val="00BE39DA"/>
    <w:rsid w:val="00C028C7"/>
    <w:rsid w:val="00C03853"/>
    <w:rsid w:val="00C12A1A"/>
    <w:rsid w:val="00C12C2A"/>
    <w:rsid w:val="00C23C9F"/>
    <w:rsid w:val="00C256F4"/>
    <w:rsid w:val="00C660CF"/>
    <w:rsid w:val="00C7597F"/>
    <w:rsid w:val="00C76468"/>
    <w:rsid w:val="00CB510F"/>
    <w:rsid w:val="00CB7770"/>
    <w:rsid w:val="00CD5A40"/>
    <w:rsid w:val="00CE2E3A"/>
    <w:rsid w:val="00D047C1"/>
    <w:rsid w:val="00D2347D"/>
    <w:rsid w:val="00D43031"/>
    <w:rsid w:val="00D436F4"/>
    <w:rsid w:val="00D43A3C"/>
    <w:rsid w:val="00D47DF4"/>
    <w:rsid w:val="00D5209E"/>
    <w:rsid w:val="00D53D4E"/>
    <w:rsid w:val="00D54730"/>
    <w:rsid w:val="00D6659A"/>
    <w:rsid w:val="00DA44E0"/>
    <w:rsid w:val="00DB4199"/>
    <w:rsid w:val="00DC470D"/>
    <w:rsid w:val="00DD3B96"/>
    <w:rsid w:val="00E368DC"/>
    <w:rsid w:val="00E43C83"/>
    <w:rsid w:val="00E611FB"/>
    <w:rsid w:val="00E629AA"/>
    <w:rsid w:val="00E67015"/>
    <w:rsid w:val="00EB48EB"/>
    <w:rsid w:val="00EB6366"/>
    <w:rsid w:val="00EC2C16"/>
    <w:rsid w:val="00ED58F0"/>
    <w:rsid w:val="00EE2B9A"/>
    <w:rsid w:val="00F03F50"/>
    <w:rsid w:val="00F24AC5"/>
    <w:rsid w:val="00F33093"/>
    <w:rsid w:val="00F601EA"/>
    <w:rsid w:val="00F652CE"/>
    <w:rsid w:val="00F7765F"/>
    <w:rsid w:val="00F77858"/>
    <w:rsid w:val="00F976CB"/>
    <w:rsid w:val="00FB032F"/>
    <w:rsid w:val="00FB4B6C"/>
    <w:rsid w:val="00FD2390"/>
    <w:rsid w:val="00FE03FA"/>
    <w:rsid w:val="00FF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rPr>
  </w:style>
  <w:style w:type="paragraph" w:styleId="Heading2">
    <w:name w:val="heading 2"/>
    <w:basedOn w:val="Normal"/>
    <w:next w:val="Normal"/>
    <w:link w:val="Heading2Char"/>
    <w:qFormat/>
    <w:rsid w:val="00E72340"/>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customStyle="1" w:styleId="MediumGrid1-Accent21">
    <w:name w:val="Medium Grid 1 - Accent 21"/>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customStyle="1" w:styleId="TOCHeading1">
    <w:name w:val="TOC Heading1"/>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customStyle="1" w:styleId="BodyTextChar">
    <w:name w:val="Body Text Char"/>
    <w:link w:val="BodyText"/>
    <w:rsid w:val="007D58B2"/>
    <w:rPr>
      <w:rFonts w:ascii="Arial" w:hAnsi="Arial" w:cs="Arial"/>
    </w:rPr>
  </w:style>
  <w:style w:type="paragraph" w:styleId="ListParagraph">
    <w:name w:val="List Paragraph"/>
    <w:basedOn w:val="Normal"/>
    <w:uiPriority w:val="34"/>
    <w:qFormat/>
    <w:rsid w:val="007D58B2"/>
    <w:pPr>
      <w:ind w:left="720"/>
      <w:contextualSpacing/>
    </w:pPr>
  </w:style>
  <w:style w:type="character" w:customStyle="1" w:styleId="hps">
    <w:name w:val="hps"/>
    <w:basedOn w:val="DefaultParagraphFont"/>
    <w:rsid w:val="00066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rPr>
  </w:style>
  <w:style w:type="paragraph" w:styleId="Heading2">
    <w:name w:val="heading 2"/>
    <w:basedOn w:val="Normal"/>
    <w:next w:val="Normal"/>
    <w:link w:val="Heading2Char"/>
    <w:qFormat/>
    <w:rsid w:val="00E72340"/>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customStyle="1" w:styleId="MediumGrid1-Accent21">
    <w:name w:val="Medium Grid 1 - Accent 21"/>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customStyle="1" w:styleId="TOCHeading1">
    <w:name w:val="TOC Heading1"/>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customStyle="1" w:styleId="BodyTextChar">
    <w:name w:val="Body Text Char"/>
    <w:link w:val="BodyText"/>
    <w:rsid w:val="007D58B2"/>
    <w:rPr>
      <w:rFonts w:ascii="Arial" w:hAnsi="Arial" w:cs="Arial"/>
    </w:rPr>
  </w:style>
  <w:style w:type="paragraph" w:styleId="ListParagraph">
    <w:name w:val="List Paragraph"/>
    <w:basedOn w:val="Normal"/>
    <w:uiPriority w:val="34"/>
    <w:qFormat/>
    <w:rsid w:val="007D58B2"/>
    <w:pPr>
      <w:ind w:left="720"/>
      <w:contextualSpacing/>
    </w:pPr>
  </w:style>
  <w:style w:type="character" w:customStyle="1" w:styleId="hps">
    <w:name w:val="hps"/>
    <w:basedOn w:val="DefaultParagraphFont"/>
    <w:rsid w:val="0006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532426775">
      <w:bodyDiv w:val="1"/>
      <w:marLeft w:val="0"/>
      <w:marRight w:val="0"/>
      <w:marTop w:val="0"/>
      <w:marBottom w:val="0"/>
      <w:divBdr>
        <w:top w:val="none" w:sz="0" w:space="0" w:color="auto"/>
        <w:left w:val="none" w:sz="0" w:space="0" w:color="auto"/>
        <w:bottom w:val="none" w:sz="0" w:space="0" w:color="auto"/>
        <w:right w:val="none" w:sz="0" w:space="0" w:color="auto"/>
      </w:divBdr>
    </w:div>
    <w:div w:id="1103497024">
      <w:bodyDiv w:val="1"/>
      <w:marLeft w:val="0"/>
      <w:marRight w:val="0"/>
      <w:marTop w:val="0"/>
      <w:marBottom w:val="0"/>
      <w:divBdr>
        <w:top w:val="none" w:sz="0" w:space="0" w:color="auto"/>
        <w:left w:val="none" w:sz="0" w:space="0" w:color="auto"/>
        <w:bottom w:val="none" w:sz="0" w:space="0" w:color="auto"/>
        <w:right w:val="none" w:sz="0" w:space="0" w:color="auto"/>
      </w:divBdr>
      <w:divsChild>
        <w:div w:id="57629343">
          <w:marLeft w:val="432"/>
          <w:marRight w:val="0"/>
          <w:marTop w:val="106"/>
          <w:marBottom w:val="0"/>
          <w:divBdr>
            <w:top w:val="none" w:sz="0" w:space="0" w:color="auto"/>
            <w:left w:val="none" w:sz="0" w:space="0" w:color="auto"/>
            <w:bottom w:val="none" w:sz="0" w:space="0" w:color="auto"/>
            <w:right w:val="none" w:sz="0" w:space="0" w:color="auto"/>
          </w:divBdr>
        </w:div>
        <w:div w:id="885528636">
          <w:marLeft w:val="432"/>
          <w:marRight w:val="0"/>
          <w:marTop w:val="106"/>
          <w:marBottom w:val="0"/>
          <w:divBdr>
            <w:top w:val="none" w:sz="0" w:space="0" w:color="auto"/>
            <w:left w:val="none" w:sz="0" w:space="0" w:color="auto"/>
            <w:bottom w:val="none" w:sz="0" w:space="0" w:color="auto"/>
            <w:right w:val="none" w:sz="0" w:space="0" w:color="auto"/>
          </w:divBdr>
        </w:div>
        <w:div w:id="1025864061">
          <w:marLeft w:val="432"/>
          <w:marRight w:val="0"/>
          <w:marTop w:val="106"/>
          <w:marBottom w:val="0"/>
          <w:divBdr>
            <w:top w:val="none" w:sz="0" w:space="0" w:color="auto"/>
            <w:left w:val="none" w:sz="0" w:space="0" w:color="auto"/>
            <w:bottom w:val="none" w:sz="0" w:space="0" w:color="auto"/>
            <w:right w:val="none" w:sz="0" w:space="0" w:color="auto"/>
          </w:divBdr>
        </w:div>
        <w:div w:id="1275408057">
          <w:marLeft w:val="432"/>
          <w:marRight w:val="0"/>
          <w:marTop w:val="134"/>
          <w:marBottom w:val="0"/>
          <w:divBdr>
            <w:top w:val="none" w:sz="0" w:space="0" w:color="auto"/>
            <w:left w:val="none" w:sz="0" w:space="0" w:color="auto"/>
            <w:bottom w:val="none" w:sz="0" w:space="0" w:color="auto"/>
            <w:right w:val="none" w:sz="0" w:space="0" w:color="auto"/>
          </w:divBdr>
        </w:div>
        <w:div w:id="1912346277">
          <w:marLeft w:val="432"/>
          <w:marRight w:val="0"/>
          <w:marTop w:val="106"/>
          <w:marBottom w:val="0"/>
          <w:divBdr>
            <w:top w:val="none" w:sz="0" w:space="0" w:color="auto"/>
            <w:left w:val="none" w:sz="0" w:space="0" w:color="auto"/>
            <w:bottom w:val="none" w:sz="0" w:space="0" w:color="auto"/>
            <w:right w:val="none" w:sz="0" w:space="0" w:color="auto"/>
          </w:divBdr>
        </w:div>
      </w:divsChild>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25253614">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0BF1F-FE6D-4950-A047-DE83895F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4415</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29528</CharactersWithSpaces>
  <SharedDoc>false</SharedDoc>
  <HLinks>
    <vt:vector size="18" baseType="variant">
      <vt:variant>
        <vt:i4>655430</vt:i4>
      </vt:variant>
      <vt:variant>
        <vt:i4>6</vt:i4>
      </vt:variant>
      <vt:variant>
        <vt:i4>0</vt:i4>
      </vt:variant>
      <vt:variant>
        <vt:i4>5</vt:i4>
      </vt:variant>
      <vt:variant>
        <vt:lpwstr>http://mdtf.undp.org/</vt:lpwstr>
      </vt:variant>
      <vt:variant>
        <vt:lpwstr/>
      </vt: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Emmanuel Calixte</cp:lastModifiedBy>
  <cp:revision>2</cp:revision>
  <cp:lastPrinted>2012-12-12T15:09:00Z</cp:lastPrinted>
  <dcterms:created xsi:type="dcterms:W3CDTF">2015-03-18T20:26:00Z</dcterms:created>
  <dcterms:modified xsi:type="dcterms:W3CDTF">2015-03-18T20:26:00Z</dcterms:modified>
</cp:coreProperties>
</file>