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6B3" w:rsidRPr="000C66B3" w:rsidRDefault="000C66B3" w:rsidP="000C66B3">
      <w:pPr>
        <w:spacing w:after="0" w:line="240" w:lineRule="auto"/>
        <w:jc w:val="center"/>
        <w:outlineLvl w:val="0"/>
        <w:rPr>
          <w:rFonts w:ascii="Times New Roman" w:hAnsi="Times New Roman"/>
          <w:b/>
          <w:sz w:val="24"/>
          <w:szCs w:val="24"/>
          <w:lang w:val="fr-FR"/>
        </w:rPr>
      </w:pPr>
      <w:r w:rsidRPr="000C66B3">
        <w:rPr>
          <w:rFonts w:ascii="Times New Roman" w:hAnsi="Times New Roman"/>
          <w:b/>
          <w:sz w:val="24"/>
          <w:szCs w:val="24"/>
          <w:lang w:val="fr-FR"/>
        </w:rPr>
        <w:t>FONDS DE RECONSTRUCTION D’HAITI</w:t>
      </w:r>
    </w:p>
    <w:p w:rsidR="000C66B3" w:rsidRPr="000C66B3" w:rsidRDefault="000C66B3" w:rsidP="000C66B3">
      <w:pPr>
        <w:spacing w:after="0" w:line="240" w:lineRule="auto"/>
        <w:jc w:val="center"/>
        <w:outlineLvl w:val="0"/>
        <w:rPr>
          <w:rFonts w:ascii="Times New Roman" w:hAnsi="Times New Roman"/>
          <w:b/>
          <w:sz w:val="24"/>
          <w:szCs w:val="24"/>
          <w:lang w:val="fr-FR"/>
        </w:rPr>
      </w:pPr>
    </w:p>
    <w:p w:rsidR="000C66B3" w:rsidRPr="000C66B3" w:rsidRDefault="000C66B3" w:rsidP="000C66B3">
      <w:pPr>
        <w:spacing w:after="0" w:line="240" w:lineRule="auto"/>
        <w:jc w:val="center"/>
        <w:outlineLvl w:val="0"/>
        <w:rPr>
          <w:rFonts w:ascii="Times New Roman" w:hAnsi="Times New Roman"/>
          <w:b/>
          <w:sz w:val="24"/>
          <w:szCs w:val="24"/>
          <w:lang w:val="fr-FR"/>
        </w:rPr>
      </w:pPr>
      <w:r w:rsidRPr="000C66B3">
        <w:rPr>
          <w:rFonts w:ascii="Times New Roman" w:hAnsi="Times New Roman"/>
          <w:b/>
          <w:sz w:val="24"/>
          <w:szCs w:val="24"/>
          <w:lang w:val="fr-FR"/>
        </w:rPr>
        <w:t>MIS</w:t>
      </w:r>
      <w:r w:rsidR="00F45F27">
        <w:rPr>
          <w:rFonts w:ascii="Times New Roman" w:hAnsi="Times New Roman"/>
          <w:b/>
          <w:sz w:val="24"/>
          <w:szCs w:val="24"/>
          <w:lang w:val="fr-FR"/>
        </w:rPr>
        <w:t xml:space="preserve">E A JOUR DU STATUT EN DATE DU </w:t>
      </w:r>
      <w:r w:rsidR="009C77BC">
        <w:rPr>
          <w:rFonts w:ascii="Times New Roman" w:hAnsi="Times New Roman"/>
          <w:b/>
          <w:sz w:val="24"/>
          <w:szCs w:val="24"/>
          <w:lang w:val="fr-FR"/>
        </w:rPr>
        <w:t>20</w:t>
      </w:r>
      <w:r w:rsidR="004A72F3">
        <w:rPr>
          <w:rFonts w:ascii="Times New Roman" w:hAnsi="Times New Roman"/>
          <w:b/>
          <w:sz w:val="24"/>
          <w:szCs w:val="24"/>
          <w:lang w:val="fr-FR"/>
        </w:rPr>
        <w:t xml:space="preserve"> Décembre </w:t>
      </w:r>
      <w:r w:rsidRPr="000C66B3">
        <w:rPr>
          <w:rFonts w:ascii="Times New Roman" w:hAnsi="Times New Roman"/>
          <w:b/>
          <w:sz w:val="24"/>
          <w:szCs w:val="24"/>
          <w:lang w:val="fr-FR"/>
        </w:rPr>
        <w:t xml:space="preserve"> 2013</w:t>
      </w:r>
    </w:p>
    <w:p w:rsidR="000C66B3" w:rsidRPr="000C66B3" w:rsidRDefault="000C66B3" w:rsidP="000C66B3">
      <w:pPr>
        <w:spacing w:after="0" w:line="240" w:lineRule="auto"/>
        <w:jc w:val="center"/>
        <w:outlineLvl w:val="0"/>
        <w:rPr>
          <w:rFonts w:ascii="Times New Roman" w:hAnsi="Times New Roman"/>
          <w:b/>
          <w:sz w:val="24"/>
          <w:szCs w:val="24"/>
          <w:lang w:val="fr-F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890"/>
        <w:gridCol w:w="360"/>
        <w:gridCol w:w="540"/>
        <w:gridCol w:w="110"/>
        <w:gridCol w:w="610"/>
        <w:gridCol w:w="1530"/>
        <w:gridCol w:w="180"/>
        <w:gridCol w:w="1080"/>
        <w:gridCol w:w="1890"/>
      </w:tblGrid>
      <w:tr w:rsidR="000C66B3" w:rsidRPr="009C77BC" w:rsidTr="000C66B3">
        <w:trPr>
          <w:trHeight w:val="345"/>
        </w:trPr>
        <w:tc>
          <w:tcPr>
            <w:tcW w:w="1728" w:type="dxa"/>
            <w:shd w:val="clear" w:color="auto" w:fill="DBE5F1"/>
            <w:vAlign w:val="center"/>
          </w:tcPr>
          <w:p w:rsidR="000C66B3" w:rsidRPr="00E34E8F" w:rsidRDefault="000C66B3" w:rsidP="000C66B3">
            <w:pPr>
              <w:spacing w:after="0" w:line="240" w:lineRule="auto"/>
              <w:rPr>
                <w:rFonts w:ascii="Times New Roman" w:hAnsi="Times New Roman"/>
                <w:b/>
                <w:snapToGrid w:val="0"/>
                <w:sz w:val="24"/>
                <w:szCs w:val="24"/>
                <w:lang w:val="fr-FR"/>
              </w:rPr>
            </w:pPr>
            <w:r w:rsidRPr="00E34E8F">
              <w:rPr>
                <w:rFonts w:ascii="Times New Roman" w:hAnsi="Times New Roman"/>
                <w:b/>
                <w:sz w:val="24"/>
                <w:szCs w:val="24"/>
                <w:lang w:val="fr-FR"/>
              </w:rPr>
              <w:t>Titre du Projet:</w:t>
            </w:r>
          </w:p>
        </w:tc>
        <w:tc>
          <w:tcPr>
            <w:tcW w:w="8190" w:type="dxa"/>
            <w:gridSpan w:val="9"/>
            <w:vAlign w:val="center"/>
          </w:tcPr>
          <w:p w:rsidR="000C66B3" w:rsidRPr="00E34E8F" w:rsidRDefault="000C66B3" w:rsidP="000C66B3">
            <w:pPr>
              <w:spacing w:after="0" w:line="240" w:lineRule="auto"/>
              <w:jc w:val="center"/>
              <w:rPr>
                <w:rFonts w:ascii="Times New Roman" w:hAnsi="Times New Roman"/>
                <w:b/>
                <w:snapToGrid w:val="0"/>
                <w:sz w:val="24"/>
                <w:szCs w:val="24"/>
                <w:lang w:val="fr-FR"/>
              </w:rPr>
            </w:pPr>
            <w:r w:rsidRPr="00E34E8F">
              <w:rPr>
                <w:rFonts w:ascii="Times New Roman" w:hAnsi="Times New Roman"/>
                <w:b/>
                <w:sz w:val="24"/>
                <w:szCs w:val="24"/>
                <w:lang w:val="fr-FR"/>
              </w:rPr>
              <w:t>UNDG/HRF –  6 : Plan de Prévention Séisme Grand Nord d’Haïti</w:t>
            </w:r>
          </w:p>
          <w:p w:rsidR="0047535E" w:rsidRPr="006B23CB" w:rsidRDefault="00A84BE3" w:rsidP="0047535E">
            <w:pPr>
              <w:spacing w:after="0" w:line="240" w:lineRule="auto"/>
              <w:jc w:val="center"/>
              <w:rPr>
                <w:rFonts w:ascii="Times New Roman" w:hAnsi="Times New Roman"/>
                <w:bCs/>
                <w:snapToGrid w:val="0"/>
                <w:sz w:val="24"/>
                <w:szCs w:val="24"/>
                <w:lang w:val="fr-FR"/>
              </w:rPr>
            </w:pPr>
            <w:hyperlink r:id="rId8" w:history="1">
              <w:r w:rsidR="0047535E" w:rsidRPr="00E67DA4">
                <w:rPr>
                  <w:rStyle w:val="Hyperlink"/>
                  <w:szCs w:val="24"/>
                  <w:lang w:val="fr-FR"/>
                </w:rPr>
                <w:t>http://mdtf.undp.org/factsheet/project/00079112</w:t>
              </w:r>
            </w:hyperlink>
          </w:p>
        </w:tc>
      </w:tr>
      <w:tr w:rsidR="000C66B3" w:rsidRPr="00E34E8F" w:rsidTr="000C66B3">
        <w:trPr>
          <w:trHeight w:val="557"/>
        </w:trPr>
        <w:tc>
          <w:tcPr>
            <w:tcW w:w="1728" w:type="dxa"/>
            <w:tcBorders>
              <w:bottom w:val="single" w:sz="4" w:space="0" w:color="auto"/>
            </w:tcBorders>
            <w:shd w:val="clear" w:color="auto" w:fill="DBE5F1"/>
            <w:vAlign w:val="center"/>
          </w:tcPr>
          <w:p w:rsidR="000C66B3" w:rsidRPr="00E34E8F" w:rsidRDefault="000C66B3" w:rsidP="000C66B3">
            <w:pPr>
              <w:spacing w:after="0" w:line="240" w:lineRule="auto"/>
              <w:rPr>
                <w:rFonts w:ascii="Times New Roman" w:hAnsi="Times New Roman"/>
                <w:snapToGrid w:val="0"/>
                <w:sz w:val="24"/>
                <w:szCs w:val="24"/>
                <w:lang w:val="fr-FR"/>
              </w:rPr>
            </w:pPr>
            <w:r w:rsidRPr="00E34E8F">
              <w:rPr>
                <w:rFonts w:ascii="Times New Roman" w:hAnsi="Times New Roman"/>
                <w:b/>
                <w:sz w:val="24"/>
                <w:szCs w:val="24"/>
                <w:lang w:val="fr-FR"/>
              </w:rPr>
              <w:t>Entité Partenaire:</w:t>
            </w:r>
          </w:p>
        </w:tc>
        <w:tc>
          <w:tcPr>
            <w:tcW w:w="2250" w:type="dxa"/>
            <w:gridSpan w:val="2"/>
            <w:vAlign w:val="center"/>
          </w:tcPr>
          <w:p w:rsidR="000C66B3" w:rsidRPr="00E34E8F" w:rsidRDefault="000C66B3" w:rsidP="000C66B3">
            <w:pPr>
              <w:spacing w:after="0" w:line="240" w:lineRule="auto"/>
              <w:rPr>
                <w:rFonts w:ascii="Times New Roman" w:hAnsi="Times New Roman"/>
                <w:snapToGrid w:val="0"/>
                <w:sz w:val="24"/>
                <w:szCs w:val="24"/>
                <w:lang w:val="fr-FR"/>
              </w:rPr>
            </w:pPr>
            <w:r w:rsidRPr="00E34E8F">
              <w:rPr>
                <w:rFonts w:ascii="Times New Roman" w:hAnsi="Times New Roman"/>
                <w:sz w:val="24"/>
                <w:szCs w:val="24"/>
                <w:lang w:val="fr-FR"/>
              </w:rPr>
              <w:t xml:space="preserve">Nations Unies </w:t>
            </w:r>
          </w:p>
        </w:tc>
        <w:tc>
          <w:tcPr>
            <w:tcW w:w="2970" w:type="dxa"/>
            <w:gridSpan w:val="5"/>
            <w:shd w:val="clear" w:color="auto" w:fill="DBE5F1"/>
            <w:vAlign w:val="center"/>
          </w:tcPr>
          <w:p w:rsidR="000C66B3" w:rsidRPr="00E34E8F" w:rsidRDefault="000C66B3" w:rsidP="000C66B3">
            <w:pPr>
              <w:spacing w:after="0" w:line="240" w:lineRule="auto"/>
              <w:rPr>
                <w:rFonts w:ascii="Times New Roman" w:hAnsi="Times New Roman"/>
                <w:snapToGrid w:val="0"/>
                <w:sz w:val="24"/>
                <w:szCs w:val="24"/>
                <w:lang w:val="fr-FR"/>
              </w:rPr>
            </w:pPr>
            <w:r w:rsidRPr="00E34E8F">
              <w:rPr>
                <w:rFonts w:ascii="Times New Roman" w:hAnsi="Times New Roman"/>
                <w:b/>
                <w:sz w:val="24"/>
                <w:szCs w:val="24"/>
                <w:lang w:val="fr-FR"/>
              </w:rPr>
              <w:t>Numéro de la Note Conceptuelle de la CIRH:</w:t>
            </w:r>
          </w:p>
        </w:tc>
        <w:tc>
          <w:tcPr>
            <w:tcW w:w="2970" w:type="dxa"/>
            <w:gridSpan w:val="2"/>
            <w:vAlign w:val="center"/>
          </w:tcPr>
          <w:p w:rsidR="000C66B3" w:rsidRPr="00E34E8F" w:rsidRDefault="000C66B3" w:rsidP="000C66B3">
            <w:pPr>
              <w:spacing w:after="0" w:line="240" w:lineRule="auto"/>
              <w:rPr>
                <w:rFonts w:ascii="Times New Roman" w:hAnsi="Times New Roman"/>
                <w:snapToGrid w:val="0"/>
                <w:sz w:val="24"/>
                <w:szCs w:val="24"/>
                <w:lang w:val="fr-FR"/>
              </w:rPr>
            </w:pPr>
            <w:r w:rsidRPr="00E34E8F">
              <w:rPr>
                <w:rFonts w:ascii="Times New Roman" w:hAnsi="Times New Roman"/>
                <w:sz w:val="24"/>
                <w:szCs w:val="24"/>
              </w:rPr>
              <w:t>CN000408</w:t>
            </w:r>
          </w:p>
        </w:tc>
      </w:tr>
      <w:tr w:rsidR="000C66B3" w:rsidRPr="009C77BC" w:rsidTr="000C66B3">
        <w:trPr>
          <w:trHeight w:val="548"/>
        </w:trPr>
        <w:tc>
          <w:tcPr>
            <w:tcW w:w="1728" w:type="dxa"/>
            <w:shd w:val="clear" w:color="auto" w:fill="DBE5F1"/>
            <w:vAlign w:val="center"/>
          </w:tcPr>
          <w:p w:rsidR="000C66B3" w:rsidRPr="00E34E8F" w:rsidRDefault="000C66B3" w:rsidP="000C66B3">
            <w:pPr>
              <w:spacing w:after="0" w:line="240" w:lineRule="auto"/>
              <w:rPr>
                <w:rFonts w:ascii="Times New Roman" w:hAnsi="Times New Roman"/>
                <w:bCs/>
                <w:snapToGrid w:val="0"/>
                <w:sz w:val="24"/>
                <w:szCs w:val="24"/>
                <w:lang w:val="fr-FR"/>
              </w:rPr>
            </w:pPr>
            <w:r w:rsidRPr="00E34E8F">
              <w:rPr>
                <w:rFonts w:ascii="Times New Roman" w:hAnsi="Times New Roman"/>
                <w:b/>
                <w:sz w:val="24"/>
                <w:szCs w:val="24"/>
                <w:lang w:val="fr-FR"/>
              </w:rPr>
              <w:t xml:space="preserve">Objectif de Développement du Projet: </w:t>
            </w:r>
          </w:p>
        </w:tc>
        <w:tc>
          <w:tcPr>
            <w:tcW w:w="8190" w:type="dxa"/>
            <w:gridSpan w:val="9"/>
            <w:vAlign w:val="center"/>
          </w:tcPr>
          <w:p w:rsidR="000C66B3" w:rsidRPr="00E34E8F" w:rsidRDefault="000C66B3" w:rsidP="00D75692">
            <w:pPr>
              <w:spacing w:after="0" w:line="240" w:lineRule="auto"/>
              <w:jc w:val="both"/>
              <w:rPr>
                <w:rFonts w:ascii="Times New Roman" w:hAnsi="Times New Roman"/>
                <w:snapToGrid w:val="0"/>
                <w:sz w:val="24"/>
                <w:szCs w:val="24"/>
                <w:lang w:val="fr-FR"/>
              </w:rPr>
            </w:pPr>
            <w:r w:rsidRPr="00E34E8F">
              <w:rPr>
                <w:rFonts w:ascii="Times New Roman" w:hAnsi="Times New Roman"/>
                <w:sz w:val="24"/>
                <w:szCs w:val="24"/>
                <w:lang w:val="fr-FR"/>
              </w:rPr>
              <w:t xml:space="preserve">L’objectif général de ce projet est de réduire la vulnérabilité des départements du </w:t>
            </w:r>
            <w:r w:rsidR="00D75692" w:rsidRPr="00E34E8F">
              <w:rPr>
                <w:rFonts w:ascii="Times New Roman" w:hAnsi="Times New Roman"/>
                <w:sz w:val="24"/>
                <w:szCs w:val="24"/>
                <w:lang w:val="fr-FR"/>
              </w:rPr>
              <w:t>Nord-est</w:t>
            </w:r>
            <w:r w:rsidRPr="00E34E8F">
              <w:rPr>
                <w:rFonts w:ascii="Times New Roman" w:hAnsi="Times New Roman"/>
                <w:sz w:val="24"/>
                <w:szCs w:val="24"/>
                <w:lang w:val="fr-FR"/>
              </w:rPr>
              <w:t xml:space="preserve">, Nord, et Nord-Ouest face à la menace sismique en renforçant la résilience des infrastructures et des populations dans le but de minimiser les pertes humaines </w:t>
            </w:r>
            <w:r w:rsidR="00D75692">
              <w:rPr>
                <w:rFonts w:ascii="Times New Roman" w:hAnsi="Times New Roman"/>
                <w:sz w:val="24"/>
                <w:szCs w:val="24"/>
                <w:lang w:val="fr-FR"/>
              </w:rPr>
              <w:t xml:space="preserve">et économiques </w:t>
            </w:r>
            <w:r w:rsidRPr="00E34E8F">
              <w:rPr>
                <w:rFonts w:ascii="Times New Roman" w:hAnsi="Times New Roman"/>
                <w:sz w:val="24"/>
                <w:szCs w:val="24"/>
                <w:lang w:val="fr-FR"/>
              </w:rPr>
              <w:t>lors d’événements futurs.</w:t>
            </w:r>
          </w:p>
        </w:tc>
      </w:tr>
      <w:tr w:rsidR="000C66B3" w:rsidRPr="0047535E" w:rsidTr="000C66B3">
        <w:trPr>
          <w:trHeight w:val="345"/>
        </w:trPr>
        <w:tc>
          <w:tcPr>
            <w:tcW w:w="1728" w:type="dxa"/>
            <w:shd w:val="clear" w:color="auto" w:fill="DBE5F1"/>
            <w:vAlign w:val="center"/>
          </w:tcPr>
          <w:p w:rsidR="000C66B3" w:rsidRPr="00E34E8F" w:rsidRDefault="000C66B3" w:rsidP="000C66B3">
            <w:pPr>
              <w:spacing w:after="0" w:line="240" w:lineRule="auto"/>
              <w:rPr>
                <w:rFonts w:ascii="Times New Roman" w:hAnsi="Times New Roman"/>
                <w:snapToGrid w:val="0"/>
                <w:sz w:val="24"/>
                <w:szCs w:val="24"/>
                <w:lang w:val="fr-FR"/>
              </w:rPr>
            </w:pPr>
            <w:r w:rsidRPr="00E34E8F">
              <w:rPr>
                <w:rFonts w:ascii="Times New Roman" w:hAnsi="Times New Roman"/>
                <w:b/>
                <w:sz w:val="24"/>
                <w:szCs w:val="24"/>
                <w:lang w:val="fr-FR"/>
              </w:rPr>
              <w:t>Secteur du PARDH</w:t>
            </w:r>
            <w:r w:rsidRPr="00E34E8F">
              <w:rPr>
                <w:rStyle w:val="FootnoteReference"/>
                <w:rFonts w:ascii="Times New Roman" w:hAnsi="Times New Roman"/>
                <w:b/>
                <w:sz w:val="24"/>
                <w:szCs w:val="24"/>
                <w:lang w:val="fr-FR"/>
              </w:rPr>
              <w:footnoteReference w:id="1"/>
            </w:r>
            <w:r w:rsidRPr="00E34E8F">
              <w:rPr>
                <w:rFonts w:ascii="Times New Roman" w:hAnsi="Times New Roman"/>
                <w:b/>
                <w:sz w:val="24"/>
                <w:szCs w:val="24"/>
                <w:lang w:val="fr-FR"/>
              </w:rPr>
              <w:t xml:space="preserve">: </w:t>
            </w:r>
          </w:p>
        </w:tc>
        <w:tc>
          <w:tcPr>
            <w:tcW w:w="2900" w:type="dxa"/>
            <w:gridSpan w:val="4"/>
            <w:shd w:val="clear" w:color="auto" w:fill="auto"/>
            <w:vAlign w:val="center"/>
          </w:tcPr>
          <w:p w:rsidR="000C66B3" w:rsidRPr="00E34E8F" w:rsidRDefault="000C66B3" w:rsidP="000C66B3">
            <w:pPr>
              <w:spacing w:after="0" w:line="240" w:lineRule="auto"/>
              <w:rPr>
                <w:rFonts w:ascii="Times New Roman" w:hAnsi="Times New Roman"/>
                <w:snapToGrid w:val="0"/>
                <w:sz w:val="24"/>
                <w:szCs w:val="24"/>
                <w:lang w:val="fr-FR"/>
              </w:rPr>
            </w:pPr>
            <w:r w:rsidRPr="00E34E8F">
              <w:rPr>
                <w:rFonts w:ascii="Times New Roman" w:hAnsi="Times New Roman"/>
                <w:sz w:val="24"/>
                <w:szCs w:val="24"/>
                <w:lang w:val="fr-FR"/>
              </w:rPr>
              <w:t>Réduction des Risques</w:t>
            </w:r>
          </w:p>
        </w:tc>
        <w:tc>
          <w:tcPr>
            <w:tcW w:w="2320" w:type="dxa"/>
            <w:gridSpan w:val="3"/>
            <w:shd w:val="clear" w:color="auto" w:fill="DBE5F1"/>
            <w:vAlign w:val="center"/>
          </w:tcPr>
          <w:p w:rsidR="000C66B3" w:rsidRPr="00E34E8F" w:rsidRDefault="000C66B3" w:rsidP="000C66B3">
            <w:pPr>
              <w:spacing w:after="0" w:line="240" w:lineRule="auto"/>
              <w:rPr>
                <w:rFonts w:ascii="Times New Roman" w:hAnsi="Times New Roman"/>
                <w:b/>
                <w:snapToGrid w:val="0"/>
                <w:sz w:val="24"/>
                <w:szCs w:val="24"/>
                <w:lang w:val="fr-FR"/>
              </w:rPr>
            </w:pPr>
            <w:r w:rsidRPr="00E34E8F">
              <w:rPr>
                <w:rFonts w:ascii="Times New Roman" w:hAnsi="Times New Roman"/>
                <w:b/>
                <w:sz w:val="24"/>
                <w:szCs w:val="24"/>
                <w:lang w:val="fr-FR"/>
              </w:rPr>
              <w:t>Secteur de la CIRH:</w:t>
            </w:r>
          </w:p>
        </w:tc>
        <w:tc>
          <w:tcPr>
            <w:tcW w:w="2970" w:type="dxa"/>
            <w:gridSpan w:val="2"/>
            <w:shd w:val="clear" w:color="auto" w:fill="auto"/>
            <w:vAlign w:val="center"/>
          </w:tcPr>
          <w:p w:rsidR="000C66B3" w:rsidRPr="00E34E8F" w:rsidRDefault="00A97B4D" w:rsidP="000C66B3">
            <w:pPr>
              <w:spacing w:after="0" w:line="240" w:lineRule="auto"/>
              <w:rPr>
                <w:rFonts w:ascii="Times New Roman" w:hAnsi="Times New Roman"/>
                <w:snapToGrid w:val="0"/>
                <w:sz w:val="24"/>
                <w:szCs w:val="24"/>
                <w:lang w:val="fr-FR"/>
              </w:rPr>
            </w:pPr>
            <w:r>
              <w:rPr>
                <w:rFonts w:ascii="Times New Roman" w:hAnsi="Times New Roman"/>
                <w:sz w:val="24"/>
                <w:szCs w:val="24"/>
                <w:lang w:val="fr-FR"/>
              </w:rPr>
              <w:t>N/A</w:t>
            </w:r>
          </w:p>
        </w:tc>
      </w:tr>
      <w:tr w:rsidR="000C66B3" w:rsidRPr="009C77BC" w:rsidTr="000C66B3">
        <w:trPr>
          <w:trHeight w:val="548"/>
        </w:trPr>
        <w:tc>
          <w:tcPr>
            <w:tcW w:w="1728" w:type="dxa"/>
            <w:tcBorders>
              <w:bottom w:val="single" w:sz="4" w:space="0" w:color="auto"/>
            </w:tcBorders>
            <w:shd w:val="clear" w:color="auto" w:fill="DBE5F1"/>
            <w:vAlign w:val="center"/>
          </w:tcPr>
          <w:p w:rsidR="000C66B3" w:rsidRPr="00E34E8F" w:rsidRDefault="000C66B3" w:rsidP="000C66B3">
            <w:pPr>
              <w:spacing w:after="0" w:line="240" w:lineRule="auto"/>
              <w:rPr>
                <w:rFonts w:ascii="Times New Roman" w:hAnsi="Times New Roman"/>
                <w:b/>
                <w:snapToGrid w:val="0"/>
                <w:sz w:val="24"/>
                <w:szCs w:val="24"/>
                <w:lang w:val="fr-FR"/>
              </w:rPr>
            </w:pPr>
            <w:r w:rsidRPr="00E34E8F">
              <w:rPr>
                <w:rFonts w:ascii="Times New Roman" w:hAnsi="Times New Roman"/>
                <w:b/>
                <w:sz w:val="24"/>
                <w:szCs w:val="24"/>
                <w:lang w:val="fr-FR"/>
              </w:rPr>
              <w:t>Agence(s) en Charge</w:t>
            </w:r>
            <w:r w:rsidRPr="00E34E8F">
              <w:rPr>
                <w:rStyle w:val="FootnoteReference"/>
                <w:rFonts w:ascii="Times New Roman" w:hAnsi="Times New Roman"/>
                <w:b/>
                <w:sz w:val="24"/>
                <w:szCs w:val="24"/>
                <w:lang w:val="fr-FR"/>
              </w:rPr>
              <w:footnoteReference w:id="2"/>
            </w:r>
            <w:r w:rsidRPr="00E34E8F">
              <w:rPr>
                <w:rFonts w:ascii="Times New Roman" w:hAnsi="Times New Roman"/>
                <w:b/>
                <w:sz w:val="24"/>
                <w:szCs w:val="24"/>
                <w:lang w:val="fr-FR"/>
              </w:rPr>
              <w:t>:</w:t>
            </w:r>
          </w:p>
        </w:tc>
        <w:tc>
          <w:tcPr>
            <w:tcW w:w="8190" w:type="dxa"/>
            <w:gridSpan w:val="9"/>
            <w:shd w:val="clear" w:color="auto" w:fill="auto"/>
            <w:vAlign w:val="center"/>
          </w:tcPr>
          <w:p w:rsidR="000C66B3" w:rsidRPr="00E34E8F" w:rsidRDefault="000C66B3" w:rsidP="000C66B3">
            <w:pPr>
              <w:spacing w:after="0" w:line="240" w:lineRule="auto"/>
              <w:rPr>
                <w:rFonts w:ascii="Times New Roman" w:hAnsi="Times New Roman"/>
                <w:b/>
                <w:snapToGrid w:val="0"/>
                <w:sz w:val="24"/>
                <w:szCs w:val="24"/>
                <w:lang w:val="fr-FR"/>
              </w:rPr>
            </w:pPr>
            <w:r w:rsidRPr="00E34E8F">
              <w:rPr>
                <w:rFonts w:ascii="Times New Roman" w:hAnsi="Times New Roman"/>
                <w:b/>
                <w:sz w:val="24"/>
                <w:szCs w:val="24"/>
                <w:lang w:val="fr-FR"/>
              </w:rPr>
              <w:t xml:space="preserve">PNUD </w:t>
            </w:r>
            <w:r w:rsidRPr="00E34E8F">
              <w:rPr>
                <w:rFonts w:ascii="Times New Roman" w:hAnsi="Times New Roman"/>
                <w:sz w:val="24"/>
                <w:szCs w:val="24"/>
                <w:lang w:val="fr-FR"/>
              </w:rPr>
              <w:t xml:space="preserve">(partenaire gouvernemental principal: Ministère de l’Intérieur et des Collectivités Territoriales) </w:t>
            </w:r>
          </w:p>
        </w:tc>
      </w:tr>
      <w:tr w:rsidR="000C66B3" w:rsidRPr="00E34E8F" w:rsidTr="000C66B3">
        <w:trPr>
          <w:trHeight w:val="1250"/>
        </w:trPr>
        <w:tc>
          <w:tcPr>
            <w:tcW w:w="1728" w:type="dxa"/>
            <w:shd w:val="clear" w:color="auto" w:fill="DBE5F1"/>
            <w:vAlign w:val="center"/>
          </w:tcPr>
          <w:p w:rsidR="000C66B3" w:rsidRPr="00E34E8F" w:rsidRDefault="000C66B3" w:rsidP="000C66B3">
            <w:pPr>
              <w:spacing w:after="0" w:line="240" w:lineRule="auto"/>
              <w:rPr>
                <w:rFonts w:ascii="Times New Roman" w:hAnsi="Times New Roman"/>
                <w:b/>
                <w:snapToGrid w:val="0"/>
                <w:sz w:val="24"/>
                <w:szCs w:val="24"/>
                <w:lang w:val="fr-FR"/>
              </w:rPr>
            </w:pPr>
            <w:r w:rsidRPr="00E34E8F">
              <w:rPr>
                <w:rFonts w:ascii="Times New Roman" w:hAnsi="Times New Roman"/>
                <w:b/>
                <w:sz w:val="24"/>
                <w:szCs w:val="24"/>
                <w:lang w:val="fr-FR"/>
              </w:rPr>
              <w:t xml:space="preserve">Coût Total du Projet (US$ millions): </w:t>
            </w:r>
          </w:p>
        </w:tc>
        <w:tc>
          <w:tcPr>
            <w:tcW w:w="1890" w:type="dxa"/>
            <w:vAlign w:val="center"/>
          </w:tcPr>
          <w:p w:rsidR="000C66B3" w:rsidRPr="00E34E8F" w:rsidRDefault="000C66B3" w:rsidP="000C66B3">
            <w:pPr>
              <w:spacing w:after="0" w:line="240" w:lineRule="auto"/>
              <w:rPr>
                <w:rFonts w:ascii="Times New Roman" w:hAnsi="Times New Roman"/>
                <w:snapToGrid w:val="0"/>
                <w:sz w:val="24"/>
                <w:szCs w:val="24"/>
              </w:rPr>
            </w:pPr>
            <w:r w:rsidRPr="00E34E8F">
              <w:rPr>
                <w:rFonts w:ascii="Times New Roman" w:hAnsi="Times New Roman"/>
                <w:sz w:val="24"/>
                <w:szCs w:val="24"/>
              </w:rPr>
              <w:t>USD9.96million</w:t>
            </w:r>
          </w:p>
        </w:tc>
        <w:tc>
          <w:tcPr>
            <w:tcW w:w="1620" w:type="dxa"/>
            <w:gridSpan w:val="4"/>
            <w:shd w:val="clear" w:color="auto" w:fill="DBE5F1"/>
            <w:vAlign w:val="center"/>
          </w:tcPr>
          <w:p w:rsidR="000C66B3" w:rsidRPr="00E34E8F" w:rsidRDefault="000C66B3" w:rsidP="000C66B3">
            <w:pPr>
              <w:spacing w:after="0" w:line="240" w:lineRule="auto"/>
              <w:rPr>
                <w:rFonts w:ascii="Times New Roman" w:hAnsi="Times New Roman"/>
                <w:b/>
                <w:snapToGrid w:val="0"/>
                <w:sz w:val="24"/>
                <w:szCs w:val="24"/>
                <w:lang w:val="fr-FR"/>
              </w:rPr>
            </w:pPr>
            <w:r w:rsidRPr="00E34E8F">
              <w:rPr>
                <w:rFonts w:ascii="Times New Roman" w:hAnsi="Times New Roman"/>
                <w:b/>
                <w:sz w:val="24"/>
                <w:szCs w:val="24"/>
                <w:lang w:val="fr-FR"/>
              </w:rPr>
              <w:t>Montant Total Approuvé de Subvention du FRH (US$ millions):</w:t>
            </w:r>
          </w:p>
        </w:tc>
        <w:tc>
          <w:tcPr>
            <w:tcW w:w="1530" w:type="dxa"/>
            <w:vAlign w:val="center"/>
          </w:tcPr>
          <w:p w:rsidR="000C66B3" w:rsidRPr="00E34E8F" w:rsidRDefault="000C66B3" w:rsidP="000C66B3">
            <w:pPr>
              <w:spacing w:after="0" w:line="240" w:lineRule="auto"/>
              <w:rPr>
                <w:rFonts w:ascii="Times New Roman" w:hAnsi="Times New Roman"/>
                <w:snapToGrid w:val="0"/>
                <w:sz w:val="24"/>
                <w:szCs w:val="24"/>
                <w:lang w:val="fr-FR"/>
              </w:rPr>
            </w:pPr>
            <w:r w:rsidRPr="00E34E8F">
              <w:rPr>
                <w:rFonts w:ascii="Times New Roman" w:hAnsi="Times New Roman"/>
                <w:sz w:val="24"/>
                <w:szCs w:val="24"/>
              </w:rPr>
              <w:t>USD9.96 million</w:t>
            </w:r>
          </w:p>
        </w:tc>
        <w:tc>
          <w:tcPr>
            <w:tcW w:w="1260" w:type="dxa"/>
            <w:gridSpan w:val="2"/>
            <w:shd w:val="clear" w:color="auto" w:fill="DBE5F1"/>
            <w:vAlign w:val="center"/>
          </w:tcPr>
          <w:p w:rsidR="000C66B3" w:rsidRPr="00E34E8F" w:rsidRDefault="000C66B3" w:rsidP="000C66B3">
            <w:pPr>
              <w:spacing w:after="0" w:line="240" w:lineRule="auto"/>
              <w:rPr>
                <w:rFonts w:ascii="Times New Roman" w:hAnsi="Times New Roman"/>
                <w:snapToGrid w:val="0"/>
                <w:sz w:val="24"/>
                <w:szCs w:val="24"/>
                <w:lang w:val="fr-FR"/>
              </w:rPr>
            </w:pPr>
            <w:r w:rsidRPr="00E34E8F">
              <w:rPr>
                <w:rFonts w:ascii="Times New Roman" w:hAnsi="Times New Roman"/>
                <w:b/>
                <w:sz w:val="24"/>
                <w:szCs w:val="24"/>
                <w:lang w:val="fr-FR"/>
              </w:rPr>
              <w:t>Montant Total des Fonds du FRH transférés à l’Entité Partenaire (US$ millions):</w:t>
            </w:r>
          </w:p>
        </w:tc>
        <w:tc>
          <w:tcPr>
            <w:tcW w:w="1890" w:type="dxa"/>
            <w:vAlign w:val="center"/>
          </w:tcPr>
          <w:p w:rsidR="000C66B3" w:rsidRPr="00E34E8F" w:rsidRDefault="000C66B3" w:rsidP="000C66B3">
            <w:pPr>
              <w:spacing w:after="0" w:line="240" w:lineRule="auto"/>
              <w:rPr>
                <w:rFonts w:ascii="Times New Roman" w:hAnsi="Times New Roman"/>
                <w:snapToGrid w:val="0"/>
                <w:sz w:val="24"/>
                <w:szCs w:val="24"/>
                <w:lang w:val="fr-FR"/>
              </w:rPr>
            </w:pPr>
            <w:r w:rsidRPr="00E34E8F">
              <w:rPr>
                <w:rFonts w:ascii="Times New Roman" w:hAnsi="Times New Roman"/>
                <w:sz w:val="24"/>
                <w:szCs w:val="24"/>
                <w:lang w:val="fr-FR"/>
              </w:rPr>
              <w:t>USD9.96 million</w:t>
            </w:r>
          </w:p>
        </w:tc>
      </w:tr>
      <w:tr w:rsidR="000C66B3" w:rsidRPr="00E34E8F" w:rsidTr="000C66B3">
        <w:trPr>
          <w:trHeight w:val="620"/>
        </w:trPr>
        <w:tc>
          <w:tcPr>
            <w:tcW w:w="1728" w:type="dxa"/>
            <w:shd w:val="clear" w:color="auto" w:fill="DBE5F1"/>
            <w:vAlign w:val="center"/>
          </w:tcPr>
          <w:p w:rsidR="000C66B3" w:rsidRPr="00E34E8F" w:rsidRDefault="000C66B3" w:rsidP="000C66B3">
            <w:pPr>
              <w:spacing w:after="0" w:line="240" w:lineRule="auto"/>
              <w:rPr>
                <w:rFonts w:ascii="Times New Roman" w:hAnsi="Times New Roman"/>
                <w:b/>
                <w:snapToGrid w:val="0"/>
                <w:sz w:val="24"/>
                <w:szCs w:val="24"/>
                <w:lang w:val="fr-FR"/>
              </w:rPr>
            </w:pPr>
            <w:r w:rsidRPr="00E34E8F">
              <w:rPr>
                <w:rFonts w:ascii="Times New Roman" w:hAnsi="Times New Roman"/>
                <w:b/>
                <w:sz w:val="24"/>
                <w:szCs w:val="24"/>
                <w:lang w:val="fr-FR"/>
              </w:rPr>
              <w:t xml:space="preserve">Autres Bailleurs de Fonds (indiquer le montant par bailleur): </w:t>
            </w:r>
          </w:p>
        </w:tc>
        <w:tc>
          <w:tcPr>
            <w:tcW w:w="8190" w:type="dxa"/>
            <w:gridSpan w:val="9"/>
            <w:vAlign w:val="center"/>
          </w:tcPr>
          <w:p w:rsidR="000C66B3" w:rsidRPr="00E34E8F" w:rsidRDefault="000C66B3" w:rsidP="000C66B3">
            <w:pPr>
              <w:spacing w:after="0" w:line="240" w:lineRule="auto"/>
              <w:rPr>
                <w:rFonts w:ascii="Times New Roman" w:hAnsi="Times New Roman"/>
                <w:snapToGrid w:val="0"/>
                <w:sz w:val="24"/>
                <w:szCs w:val="24"/>
                <w:lang w:val="fr-FR"/>
              </w:rPr>
            </w:pPr>
            <w:r w:rsidRPr="00E34E8F">
              <w:rPr>
                <w:rFonts w:ascii="Times New Roman" w:hAnsi="Times New Roman"/>
                <w:sz w:val="24"/>
                <w:szCs w:val="24"/>
                <w:lang w:val="fr-FR"/>
              </w:rPr>
              <w:t>N/A</w:t>
            </w:r>
          </w:p>
        </w:tc>
      </w:tr>
      <w:tr w:rsidR="000C66B3" w:rsidRPr="00E34E8F" w:rsidTr="000C66B3">
        <w:trPr>
          <w:trHeight w:val="800"/>
        </w:trPr>
        <w:tc>
          <w:tcPr>
            <w:tcW w:w="1728" w:type="dxa"/>
            <w:shd w:val="clear" w:color="auto" w:fill="DBE5F1"/>
            <w:vAlign w:val="center"/>
          </w:tcPr>
          <w:p w:rsidR="000C66B3" w:rsidRPr="00E34E8F" w:rsidRDefault="000C66B3" w:rsidP="000C66B3">
            <w:pPr>
              <w:spacing w:after="0" w:line="240" w:lineRule="auto"/>
              <w:rPr>
                <w:rFonts w:ascii="Times New Roman" w:hAnsi="Times New Roman"/>
                <w:b/>
                <w:snapToGrid w:val="0"/>
                <w:sz w:val="24"/>
                <w:szCs w:val="24"/>
                <w:lang w:val="fr-FR"/>
              </w:rPr>
            </w:pPr>
            <w:r w:rsidRPr="00E34E8F">
              <w:rPr>
                <w:rFonts w:ascii="Times New Roman" w:hAnsi="Times New Roman"/>
                <w:b/>
                <w:sz w:val="24"/>
                <w:szCs w:val="24"/>
                <w:lang w:val="fr-FR"/>
              </w:rPr>
              <w:t xml:space="preserve">Fonds du Projet décaissés (US$ millions): </w:t>
            </w:r>
          </w:p>
        </w:tc>
        <w:tc>
          <w:tcPr>
            <w:tcW w:w="2790" w:type="dxa"/>
            <w:gridSpan w:val="3"/>
            <w:vAlign w:val="center"/>
          </w:tcPr>
          <w:p w:rsidR="000C66B3" w:rsidRPr="00173A50" w:rsidRDefault="000C66B3" w:rsidP="000C66B3">
            <w:pPr>
              <w:spacing w:after="0" w:line="240" w:lineRule="auto"/>
              <w:rPr>
                <w:rFonts w:ascii="Times New Roman" w:hAnsi="Times New Roman"/>
                <w:snapToGrid w:val="0"/>
                <w:color w:val="000000"/>
                <w:sz w:val="24"/>
                <w:szCs w:val="24"/>
                <w:lang w:val="fr-FR"/>
              </w:rPr>
            </w:pPr>
            <w:r w:rsidRPr="00173A50">
              <w:rPr>
                <w:rFonts w:ascii="Times New Roman" w:hAnsi="Times New Roman"/>
                <w:sz w:val="24"/>
                <w:szCs w:val="24"/>
                <w:lang w:val="fr-FR"/>
              </w:rPr>
              <w:t>USD</w:t>
            </w:r>
            <w:r w:rsidRPr="00173A50">
              <w:rPr>
                <w:rFonts w:ascii="Times New Roman" w:eastAsia="Arial Unicode MS" w:hAnsi="Times New Roman"/>
                <w:sz w:val="24"/>
                <w:szCs w:val="24"/>
                <w:lang w:val="fr-FR"/>
              </w:rPr>
              <w:t xml:space="preserve"> </w:t>
            </w:r>
            <w:r w:rsidR="00D24AB1" w:rsidRPr="00173A50">
              <w:rPr>
                <w:rFonts w:ascii="Times New Roman" w:eastAsia="Arial Unicode MS" w:hAnsi="Times New Roman"/>
                <w:sz w:val="24"/>
                <w:szCs w:val="24"/>
                <w:lang w:val="fr-FR"/>
              </w:rPr>
              <w:t>4</w:t>
            </w:r>
            <w:proofErr w:type="gramStart"/>
            <w:r w:rsidR="00D24AB1" w:rsidRPr="00173A50">
              <w:rPr>
                <w:rFonts w:ascii="Times New Roman" w:eastAsia="Arial Unicode MS" w:hAnsi="Times New Roman"/>
                <w:sz w:val="24"/>
                <w:szCs w:val="24"/>
                <w:lang w:val="fr-FR"/>
              </w:rPr>
              <w:t>,098</w:t>
            </w:r>
            <w:r w:rsidR="00173A50" w:rsidRPr="00173A50">
              <w:rPr>
                <w:rFonts w:ascii="Times New Roman" w:eastAsia="Arial Unicode MS" w:hAnsi="Times New Roman"/>
                <w:sz w:val="24"/>
                <w:szCs w:val="24"/>
                <w:lang w:val="fr-FR"/>
              </w:rPr>
              <w:t>,</w:t>
            </w:r>
            <w:r w:rsidR="00D24AB1" w:rsidRPr="00173A50">
              <w:rPr>
                <w:rFonts w:ascii="Times New Roman" w:eastAsia="Arial Unicode MS" w:hAnsi="Times New Roman"/>
                <w:sz w:val="24"/>
                <w:szCs w:val="24"/>
                <w:lang w:val="fr-FR"/>
              </w:rPr>
              <w:t>955.24</w:t>
            </w:r>
            <w:proofErr w:type="gramEnd"/>
          </w:p>
        </w:tc>
        <w:tc>
          <w:tcPr>
            <w:tcW w:w="2430" w:type="dxa"/>
            <w:gridSpan w:val="4"/>
            <w:shd w:val="clear" w:color="auto" w:fill="DBE5F1"/>
            <w:vAlign w:val="center"/>
          </w:tcPr>
          <w:p w:rsidR="000C66B3" w:rsidRPr="00173A50" w:rsidRDefault="000C66B3" w:rsidP="000C66B3">
            <w:pPr>
              <w:spacing w:after="0" w:line="240" w:lineRule="auto"/>
              <w:rPr>
                <w:rFonts w:ascii="Times New Roman" w:hAnsi="Times New Roman"/>
                <w:b/>
                <w:snapToGrid w:val="0"/>
                <w:sz w:val="24"/>
                <w:szCs w:val="24"/>
                <w:lang w:val="fr-FR"/>
              </w:rPr>
            </w:pPr>
            <w:r w:rsidRPr="00173A50">
              <w:rPr>
                <w:rFonts w:ascii="Times New Roman" w:hAnsi="Times New Roman"/>
                <w:b/>
                <w:sz w:val="24"/>
                <w:szCs w:val="24"/>
                <w:lang w:val="fr-FR"/>
              </w:rPr>
              <w:t xml:space="preserve">Pourcentage du Décaissement par rapport au coût total du projet: </w:t>
            </w:r>
          </w:p>
        </w:tc>
        <w:tc>
          <w:tcPr>
            <w:tcW w:w="2970" w:type="dxa"/>
            <w:gridSpan w:val="2"/>
            <w:vAlign w:val="center"/>
          </w:tcPr>
          <w:p w:rsidR="000C66B3" w:rsidRPr="00173A50" w:rsidRDefault="00173A50" w:rsidP="000C66B3">
            <w:pPr>
              <w:spacing w:after="0" w:line="240" w:lineRule="auto"/>
              <w:rPr>
                <w:rFonts w:ascii="Times New Roman" w:hAnsi="Times New Roman"/>
                <w:snapToGrid w:val="0"/>
                <w:sz w:val="24"/>
                <w:szCs w:val="24"/>
                <w:lang w:val="fr-FR"/>
              </w:rPr>
            </w:pPr>
            <w:r w:rsidRPr="00173A50">
              <w:rPr>
                <w:rFonts w:ascii="Times New Roman" w:hAnsi="Times New Roman"/>
                <w:snapToGrid w:val="0"/>
                <w:sz w:val="24"/>
                <w:szCs w:val="24"/>
                <w:lang w:val="fr-FR"/>
              </w:rPr>
              <w:t>42</w:t>
            </w:r>
            <w:r w:rsidR="00D24AB1" w:rsidRPr="00173A50">
              <w:rPr>
                <w:rFonts w:ascii="Times New Roman" w:hAnsi="Times New Roman"/>
                <w:snapToGrid w:val="0"/>
                <w:sz w:val="24"/>
                <w:szCs w:val="24"/>
                <w:lang w:val="fr-FR"/>
              </w:rPr>
              <w:t>,15%</w:t>
            </w:r>
            <w:bookmarkStart w:id="0" w:name="_GoBack"/>
            <w:bookmarkEnd w:id="0"/>
          </w:p>
        </w:tc>
      </w:tr>
      <w:tr w:rsidR="000C66B3" w:rsidRPr="00E34E8F" w:rsidTr="000C66B3">
        <w:trPr>
          <w:trHeight w:val="548"/>
        </w:trPr>
        <w:tc>
          <w:tcPr>
            <w:tcW w:w="1728" w:type="dxa"/>
            <w:shd w:val="clear" w:color="auto" w:fill="DBE5F1"/>
            <w:vAlign w:val="center"/>
          </w:tcPr>
          <w:p w:rsidR="000C66B3" w:rsidRPr="00E34E8F" w:rsidRDefault="000C66B3" w:rsidP="000C66B3">
            <w:pPr>
              <w:spacing w:after="0" w:line="240" w:lineRule="auto"/>
              <w:rPr>
                <w:rFonts w:ascii="Times New Roman" w:hAnsi="Times New Roman"/>
                <w:b/>
                <w:snapToGrid w:val="0"/>
                <w:sz w:val="24"/>
                <w:szCs w:val="24"/>
                <w:lang w:val="fr-FR"/>
              </w:rPr>
            </w:pPr>
            <w:r w:rsidRPr="00E34E8F">
              <w:rPr>
                <w:rFonts w:ascii="Times New Roman" w:hAnsi="Times New Roman"/>
                <w:b/>
                <w:sz w:val="24"/>
                <w:szCs w:val="24"/>
                <w:lang w:val="fr-FR"/>
              </w:rPr>
              <w:t>Fonds du FRH décaissés (US$ millions):</w:t>
            </w:r>
          </w:p>
        </w:tc>
        <w:tc>
          <w:tcPr>
            <w:tcW w:w="2790" w:type="dxa"/>
            <w:gridSpan w:val="3"/>
            <w:vAlign w:val="center"/>
          </w:tcPr>
          <w:p w:rsidR="000C66B3" w:rsidRPr="00173A50" w:rsidRDefault="000C66B3" w:rsidP="00704236">
            <w:pPr>
              <w:spacing w:after="0" w:line="240" w:lineRule="auto"/>
              <w:rPr>
                <w:rFonts w:ascii="Times New Roman" w:hAnsi="Times New Roman"/>
                <w:snapToGrid w:val="0"/>
                <w:sz w:val="24"/>
                <w:szCs w:val="24"/>
                <w:lang w:val="fr-FR"/>
              </w:rPr>
            </w:pPr>
            <w:r w:rsidRPr="00173A50">
              <w:rPr>
                <w:rFonts w:ascii="Times New Roman" w:hAnsi="Times New Roman"/>
                <w:sz w:val="24"/>
                <w:szCs w:val="24"/>
                <w:lang w:val="fr-FR"/>
              </w:rPr>
              <w:t xml:space="preserve">USD </w:t>
            </w:r>
            <w:r w:rsidR="00D24AB1" w:rsidRPr="00173A50">
              <w:rPr>
                <w:rFonts w:ascii="Times New Roman" w:eastAsia="Arial Unicode MS" w:hAnsi="Times New Roman"/>
                <w:sz w:val="24"/>
                <w:szCs w:val="24"/>
              </w:rPr>
              <w:t>4</w:t>
            </w:r>
            <w:proofErr w:type="gramStart"/>
            <w:r w:rsidR="00D24AB1" w:rsidRPr="00173A50">
              <w:rPr>
                <w:rFonts w:ascii="Times New Roman" w:eastAsia="Arial Unicode MS" w:hAnsi="Times New Roman"/>
                <w:sz w:val="24"/>
                <w:szCs w:val="24"/>
              </w:rPr>
              <w:t>,098</w:t>
            </w:r>
            <w:r w:rsidR="00173A50" w:rsidRPr="00173A50">
              <w:rPr>
                <w:rFonts w:ascii="Times New Roman" w:eastAsia="Arial Unicode MS" w:hAnsi="Times New Roman"/>
                <w:sz w:val="24"/>
                <w:szCs w:val="24"/>
              </w:rPr>
              <w:t>,</w:t>
            </w:r>
            <w:r w:rsidR="00D24AB1" w:rsidRPr="00173A50">
              <w:rPr>
                <w:rFonts w:ascii="Times New Roman" w:eastAsia="Arial Unicode MS" w:hAnsi="Times New Roman"/>
                <w:sz w:val="24"/>
                <w:szCs w:val="24"/>
              </w:rPr>
              <w:t>995.24</w:t>
            </w:r>
            <w:proofErr w:type="gramEnd"/>
          </w:p>
          <w:p w:rsidR="000C66B3" w:rsidRPr="00173A50" w:rsidRDefault="000C66B3" w:rsidP="000C66B3">
            <w:pPr>
              <w:spacing w:after="0" w:line="240" w:lineRule="auto"/>
              <w:rPr>
                <w:rFonts w:ascii="Times New Roman" w:hAnsi="Times New Roman"/>
                <w:sz w:val="24"/>
                <w:szCs w:val="24"/>
                <w:lang w:val="fr-FR"/>
              </w:rPr>
            </w:pPr>
            <w:r w:rsidRPr="00173A50">
              <w:rPr>
                <w:rFonts w:ascii="Times New Roman" w:hAnsi="Times New Roman"/>
                <w:sz w:val="24"/>
                <w:szCs w:val="24"/>
                <w:lang w:val="fr-FR"/>
              </w:rPr>
              <w:t xml:space="preserve">  </w:t>
            </w:r>
          </w:p>
          <w:p w:rsidR="000C66B3" w:rsidRPr="00173A50" w:rsidRDefault="000C66B3" w:rsidP="000C66B3">
            <w:pPr>
              <w:spacing w:after="0" w:line="240" w:lineRule="auto"/>
              <w:rPr>
                <w:rFonts w:ascii="Times New Roman" w:hAnsi="Times New Roman"/>
                <w:snapToGrid w:val="0"/>
                <w:color w:val="000000"/>
                <w:sz w:val="24"/>
                <w:szCs w:val="24"/>
                <w:lang w:val="fr-FR"/>
              </w:rPr>
            </w:pPr>
          </w:p>
        </w:tc>
        <w:tc>
          <w:tcPr>
            <w:tcW w:w="2430" w:type="dxa"/>
            <w:gridSpan w:val="4"/>
            <w:shd w:val="clear" w:color="auto" w:fill="DBE5F1"/>
            <w:vAlign w:val="center"/>
          </w:tcPr>
          <w:p w:rsidR="000C66B3" w:rsidRPr="00173A50" w:rsidRDefault="000C66B3" w:rsidP="000C66B3">
            <w:pPr>
              <w:spacing w:after="0" w:line="240" w:lineRule="auto"/>
              <w:rPr>
                <w:rFonts w:ascii="Times New Roman" w:hAnsi="Times New Roman"/>
                <w:snapToGrid w:val="0"/>
                <w:sz w:val="24"/>
                <w:szCs w:val="24"/>
                <w:lang w:val="fr-FR"/>
              </w:rPr>
            </w:pPr>
            <w:r w:rsidRPr="00173A50">
              <w:rPr>
                <w:rFonts w:ascii="Times New Roman" w:hAnsi="Times New Roman"/>
                <w:b/>
                <w:sz w:val="24"/>
                <w:szCs w:val="24"/>
                <w:lang w:val="fr-FR"/>
              </w:rPr>
              <w:t>Pourcentage des fonds du FRH décaissés par rapport au montant approuvé de la subvention du FRH</w:t>
            </w:r>
            <w:r w:rsidRPr="00173A50">
              <w:rPr>
                <w:rStyle w:val="FootnoteReference"/>
                <w:rFonts w:ascii="Times New Roman" w:hAnsi="Times New Roman"/>
                <w:b/>
                <w:sz w:val="24"/>
                <w:szCs w:val="24"/>
                <w:lang w:val="fr-FR"/>
              </w:rPr>
              <w:footnoteReference w:id="3"/>
            </w:r>
            <w:r w:rsidRPr="00173A50">
              <w:rPr>
                <w:rFonts w:ascii="Times New Roman" w:hAnsi="Times New Roman"/>
                <w:b/>
                <w:sz w:val="24"/>
                <w:szCs w:val="24"/>
                <w:lang w:val="fr-FR"/>
              </w:rPr>
              <w:t>:</w:t>
            </w:r>
          </w:p>
        </w:tc>
        <w:tc>
          <w:tcPr>
            <w:tcW w:w="2970" w:type="dxa"/>
            <w:gridSpan w:val="2"/>
            <w:vAlign w:val="center"/>
          </w:tcPr>
          <w:p w:rsidR="000C66B3" w:rsidRPr="00173A50" w:rsidRDefault="00173A50" w:rsidP="000C66B3">
            <w:pPr>
              <w:spacing w:after="0" w:line="240" w:lineRule="auto"/>
              <w:rPr>
                <w:rFonts w:ascii="Times New Roman" w:hAnsi="Times New Roman"/>
                <w:snapToGrid w:val="0"/>
                <w:sz w:val="24"/>
                <w:szCs w:val="24"/>
                <w:lang w:val="fr-FR"/>
              </w:rPr>
            </w:pPr>
            <w:r w:rsidRPr="00173A50">
              <w:rPr>
                <w:rFonts w:ascii="Times New Roman" w:hAnsi="Times New Roman"/>
                <w:snapToGrid w:val="0"/>
                <w:sz w:val="24"/>
                <w:szCs w:val="24"/>
                <w:lang w:val="fr-FR"/>
              </w:rPr>
              <w:t>42,15</w:t>
            </w:r>
            <w:r w:rsidR="00D24AB1" w:rsidRPr="00173A50">
              <w:rPr>
                <w:rFonts w:ascii="Times New Roman" w:hAnsi="Times New Roman"/>
                <w:snapToGrid w:val="0"/>
                <w:sz w:val="24"/>
                <w:szCs w:val="24"/>
                <w:lang w:val="fr-FR"/>
              </w:rPr>
              <w:t>%</w:t>
            </w:r>
          </w:p>
        </w:tc>
      </w:tr>
      <w:tr w:rsidR="000C66B3" w:rsidRPr="00E34E8F" w:rsidTr="000C66B3">
        <w:trPr>
          <w:trHeight w:val="530"/>
        </w:trPr>
        <w:tc>
          <w:tcPr>
            <w:tcW w:w="1728" w:type="dxa"/>
            <w:shd w:val="clear" w:color="auto" w:fill="DBE5F1"/>
            <w:vAlign w:val="center"/>
          </w:tcPr>
          <w:p w:rsidR="000C66B3" w:rsidRPr="00E34E8F" w:rsidRDefault="000C66B3" w:rsidP="000C66B3">
            <w:pPr>
              <w:spacing w:after="0" w:line="240" w:lineRule="auto"/>
              <w:rPr>
                <w:rFonts w:ascii="Times New Roman" w:hAnsi="Times New Roman"/>
                <w:b/>
                <w:snapToGrid w:val="0"/>
                <w:sz w:val="24"/>
                <w:szCs w:val="24"/>
                <w:lang w:val="fr-FR"/>
              </w:rPr>
            </w:pPr>
            <w:r w:rsidRPr="00E34E8F">
              <w:rPr>
                <w:rFonts w:ascii="Times New Roman" w:hAnsi="Times New Roman"/>
                <w:b/>
                <w:sz w:val="24"/>
                <w:szCs w:val="24"/>
                <w:lang w:val="fr-FR"/>
              </w:rPr>
              <w:lastRenderedPageBreak/>
              <w:t>Date d’Approbation Finale du CP du FRH:</w:t>
            </w:r>
          </w:p>
        </w:tc>
        <w:tc>
          <w:tcPr>
            <w:tcW w:w="2790" w:type="dxa"/>
            <w:gridSpan w:val="3"/>
            <w:vAlign w:val="center"/>
          </w:tcPr>
          <w:p w:rsidR="000C66B3" w:rsidRPr="00E34E8F" w:rsidRDefault="000C66B3" w:rsidP="000C66B3">
            <w:pPr>
              <w:spacing w:after="0" w:line="240" w:lineRule="auto"/>
              <w:rPr>
                <w:rFonts w:ascii="Times New Roman" w:hAnsi="Times New Roman"/>
                <w:snapToGrid w:val="0"/>
                <w:sz w:val="24"/>
                <w:szCs w:val="24"/>
                <w:lang w:val="fr-FR"/>
              </w:rPr>
            </w:pPr>
            <w:r w:rsidRPr="00E34E8F">
              <w:rPr>
                <w:rFonts w:ascii="Times New Roman" w:hAnsi="Times New Roman"/>
                <w:sz w:val="24"/>
                <w:szCs w:val="24"/>
              </w:rPr>
              <w:t>26 Mai 2011</w:t>
            </w:r>
          </w:p>
        </w:tc>
        <w:tc>
          <w:tcPr>
            <w:tcW w:w="2430" w:type="dxa"/>
            <w:gridSpan w:val="4"/>
            <w:shd w:val="clear" w:color="auto" w:fill="DBE5F1"/>
            <w:vAlign w:val="center"/>
          </w:tcPr>
          <w:p w:rsidR="000C66B3" w:rsidRPr="00E34E8F" w:rsidRDefault="000C66B3" w:rsidP="000C66B3">
            <w:pPr>
              <w:spacing w:after="0" w:line="240" w:lineRule="auto"/>
              <w:rPr>
                <w:rFonts w:ascii="Times New Roman" w:hAnsi="Times New Roman"/>
                <w:b/>
                <w:snapToGrid w:val="0"/>
                <w:sz w:val="24"/>
                <w:szCs w:val="24"/>
                <w:lang w:val="fr-FR"/>
              </w:rPr>
            </w:pPr>
            <w:r w:rsidRPr="00E34E8F">
              <w:rPr>
                <w:rFonts w:ascii="Times New Roman" w:hAnsi="Times New Roman"/>
                <w:b/>
                <w:sz w:val="24"/>
                <w:szCs w:val="24"/>
                <w:lang w:val="fr-FR"/>
              </w:rPr>
              <w:t>Date Effective du Projet</w:t>
            </w:r>
            <w:r w:rsidRPr="00E34E8F">
              <w:rPr>
                <w:rStyle w:val="FootnoteReference"/>
                <w:rFonts w:ascii="Times New Roman" w:hAnsi="Times New Roman"/>
                <w:b/>
                <w:sz w:val="24"/>
                <w:szCs w:val="24"/>
                <w:lang w:val="fr-FR"/>
              </w:rPr>
              <w:footnoteReference w:id="4"/>
            </w:r>
            <w:r w:rsidRPr="00E34E8F">
              <w:rPr>
                <w:rFonts w:ascii="Times New Roman" w:hAnsi="Times New Roman"/>
                <w:b/>
                <w:sz w:val="24"/>
                <w:szCs w:val="24"/>
                <w:lang w:val="fr-FR"/>
              </w:rPr>
              <w:t xml:space="preserve">: </w:t>
            </w:r>
          </w:p>
        </w:tc>
        <w:tc>
          <w:tcPr>
            <w:tcW w:w="2970" w:type="dxa"/>
            <w:gridSpan w:val="2"/>
            <w:vAlign w:val="center"/>
          </w:tcPr>
          <w:p w:rsidR="000C66B3" w:rsidRPr="00E34E8F" w:rsidRDefault="000C66B3" w:rsidP="000C66B3">
            <w:pPr>
              <w:spacing w:after="0" w:line="240" w:lineRule="auto"/>
              <w:rPr>
                <w:rFonts w:ascii="Times New Roman" w:hAnsi="Times New Roman"/>
                <w:snapToGrid w:val="0"/>
                <w:sz w:val="24"/>
                <w:szCs w:val="24"/>
                <w:lang w:val="fr-FR"/>
              </w:rPr>
            </w:pPr>
            <w:r w:rsidRPr="00E34E8F">
              <w:rPr>
                <w:rFonts w:ascii="Times New Roman" w:hAnsi="Times New Roman"/>
                <w:sz w:val="24"/>
                <w:szCs w:val="24"/>
              </w:rPr>
              <w:t xml:space="preserve">9 </w:t>
            </w:r>
            <w:proofErr w:type="spellStart"/>
            <w:r w:rsidRPr="00E34E8F">
              <w:rPr>
                <w:rFonts w:ascii="Times New Roman" w:hAnsi="Times New Roman"/>
                <w:sz w:val="24"/>
                <w:szCs w:val="24"/>
              </w:rPr>
              <w:t>Juin</w:t>
            </w:r>
            <w:proofErr w:type="spellEnd"/>
            <w:r w:rsidRPr="00E34E8F">
              <w:rPr>
                <w:rFonts w:ascii="Times New Roman" w:hAnsi="Times New Roman"/>
                <w:sz w:val="24"/>
                <w:szCs w:val="24"/>
              </w:rPr>
              <w:t xml:space="preserve"> 2011</w:t>
            </w:r>
          </w:p>
        </w:tc>
      </w:tr>
      <w:tr w:rsidR="000C66B3" w:rsidRPr="00E34E8F" w:rsidTr="000C66B3">
        <w:trPr>
          <w:trHeight w:val="548"/>
        </w:trPr>
        <w:tc>
          <w:tcPr>
            <w:tcW w:w="1728" w:type="dxa"/>
            <w:shd w:val="clear" w:color="auto" w:fill="DBE5F1"/>
            <w:vAlign w:val="center"/>
          </w:tcPr>
          <w:p w:rsidR="000C66B3" w:rsidRPr="00E34E8F" w:rsidRDefault="000C66B3" w:rsidP="000C66B3">
            <w:pPr>
              <w:spacing w:after="0" w:line="240" w:lineRule="auto"/>
              <w:rPr>
                <w:rFonts w:ascii="Times New Roman" w:hAnsi="Times New Roman"/>
                <w:b/>
                <w:snapToGrid w:val="0"/>
                <w:sz w:val="24"/>
                <w:szCs w:val="24"/>
                <w:lang w:val="fr-FR"/>
              </w:rPr>
            </w:pPr>
            <w:r w:rsidRPr="00E34E8F">
              <w:rPr>
                <w:rFonts w:ascii="Times New Roman" w:hAnsi="Times New Roman"/>
                <w:b/>
                <w:sz w:val="24"/>
                <w:szCs w:val="24"/>
                <w:lang w:val="fr-FR"/>
              </w:rPr>
              <w:t>Durée Prévue du Projet:</w:t>
            </w:r>
          </w:p>
        </w:tc>
        <w:tc>
          <w:tcPr>
            <w:tcW w:w="2790" w:type="dxa"/>
            <w:gridSpan w:val="3"/>
            <w:vAlign w:val="center"/>
          </w:tcPr>
          <w:p w:rsidR="000C66B3" w:rsidRPr="00E34E8F" w:rsidRDefault="000C66B3" w:rsidP="000C66B3">
            <w:pPr>
              <w:spacing w:after="0" w:line="240" w:lineRule="auto"/>
              <w:rPr>
                <w:rFonts w:ascii="Times New Roman" w:hAnsi="Times New Roman"/>
                <w:snapToGrid w:val="0"/>
                <w:sz w:val="24"/>
                <w:szCs w:val="24"/>
                <w:lang w:val="fr-FR"/>
              </w:rPr>
            </w:pPr>
            <w:r w:rsidRPr="00E34E8F">
              <w:rPr>
                <w:rFonts w:ascii="Times New Roman" w:hAnsi="Times New Roman"/>
                <w:sz w:val="24"/>
                <w:szCs w:val="24"/>
              </w:rPr>
              <w:t xml:space="preserve">3 </w:t>
            </w:r>
            <w:proofErr w:type="spellStart"/>
            <w:r w:rsidRPr="00E34E8F">
              <w:rPr>
                <w:rFonts w:ascii="Times New Roman" w:hAnsi="Times New Roman"/>
                <w:sz w:val="24"/>
                <w:szCs w:val="24"/>
              </w:rPr>
              <w:t>ans</w:t>
            </w:r>
            <w:proofErr w:type="spellEnd"/>
          </w:p>
        </w:tc>
        <w:tc>
          <w:tcPr>
            <w:tcW w:w="2430" w:type="dxa"/>
            <w:gridSpan w:val="4"/>
            <w:shd w:val="clear" w:color="auto" w:fill="DBE5F1"/>
            <w:vAlign w:val="center"/>
          </w:tcPr>
          <w:p w:rsidR="000C66B3" w:rsidRPr="00E34E8F" w:rsidRDefault="000C66B3" w:rsidP="000C66B3">
            <w:pPr>
              <w:spacing w:after="0" w:line="240" w:lineRule="auto"/>
              <w:rPr>
                <w:rFonts w:ascii="Times New Roman" w:hAnsi="Times New Roman"/>
                <w:snapToGrid w:val="0"/>
                <w:sz w:val="24"/>
                <w:szCs w:val="24"/>
                <w:lang w:val="fr-FR"/>
              </w:rPr>
            </w:pPr>
            <w:r w:rsidRPr="00E34E8F">
              <w:rPr>
                <w:rFonts w:ascii="Times New Roman" w:hAnsi="Times New Roman"/>
                <w:b/>
                <w:sz w:val="24"/>
                <w:szCs w:val="24"/>
                <w:lang w:val="fr-FR"/>
              </w:rPr>
              <w:t xml:space="preserve">Date de Clôture Envisagée du Projet : </w:t>
            </w:r>
            <w:r w:rsidRPr="00E34E8F">
              <w:rPr>
                <w:rFonts w:ascii="Times New Roman" w:hAnsi="Times New Roman"/>
                <w:b/>
                <w:sz w:val="24"/>
                <w:szCs w:val="24"/>
                <w:shd w:val="clear" w:color="auto" w:fill="E6E6E6"/>
                <w:lang w:val="fr-FR"/>
              </w:rPr>
              <w:t xml:space="preserve"> </w:t>
            </w:r>
            <w:r w:rsidRPr="00E34E8F">
              <w:rPr>
                <w:rFonts w:ascii="Times New Roman" w:hAnsi="Times New Roman"/>
                <w:b/>
                <w:sz w:val="24"/>
                <w:szCs w:val="24"/>
                <w:lang w:val="fr-FR"/>
              </w:rPr>
              <w:t xml:space="preserve"> </w:t>
            </w:r>
          </w:p>
        </w:tc>
        <w:tc>
          <w:tcPr>
            <w:tcW w:w="2970" w:type="dxa"/>
            <w:gridSpan w:val="2"/>
            <w:vAlign w:val="center"/>
          </w:tcPr>
          <w:p w:rsidR="000C66B3" w:rsidRPr="00E34E8F" w:rsidRDefault="000C66B3" w:rsidP="000C66B3">
            <w:pPr>
              <w:spacing w:after="0" w:line="240" w:lineRule="auto"/>
              <w:rPr>
                <w:rFonts w:ascii="Times New Roman" w:hAnsi="Times New Roman"/>
                <w:snapToGrid w:val="0"/>
                <w:sz w:val="24"/>
                <w:szCs w:val="24"/>
                <w:lang w:val="fr-FR"/>
              </w:rPr>
            </w:pPr>
            <w:r w:rsidRPr="00E34E8F">
              <w:rPr>
                <w:rFonts w:ascii="Times New Roman" w:hAnsi="Times New Roman"/>
                <w:sz w:val="24"/>
                <w:szCs w:val="24"/>
                <w:lang w:val="fr-FR"/>
              </w:rPr>
              <w:t>Juillet</w:t>
            </w:r>
            <w:r w:rsidRPr="00E34E8F">
              <w:rPr>
                <w:rFonts w:ascii="Times New Roman" w:hAnsi="Times New Roman"/>
                <w:sz w:val="24"/>
                <w:szCs w:val="24"/>
              </w:rPr>
              <w:t xml:space="preserve"> 2014</w:t>
            </w:r>
          </w:p>
        </w:tc>
      </w:tr>
    </w:tbl>
    <w:p w:rsidR="000C66B3" w:rsidRPr="000C66B3" w:rsidRDefault="000C66B3" w:rsidP="000C66B3">
      <w:pPr>
        <w:spacing w:after="0" w:line="240" w:lineRule="auto"/>
        <w:rPr>
          <w:rFonts w:ascii="Times New Roman" w:hAnsi="Times New Roman"/>
          <w:sz w:val="24"/>
          <w:szCs w:val="24"/>
          <w:lang w:val="fr-FR"/>
        </w:rPr>
      </w:pPr>
    </w:p>
    <w:p w:rsidR="000C66B3" w:rsidRPr="000C66B3" w:rsidRDefault="000C66B3" w:rsidP="000C66B3">
      <w:pPr>
        <w:spacing w:after="0" w:line="240" w:lineRule="auto"/>
        <w:rPr>
          <w:rFonts w:ascii="Times New Roman" w:hAnsi="Times New Roman"/>
          <w:sz w:val="24"/>
          <w:szCs w:val="24"/>
          <w:lang w:val="fr-F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534"/>
      </w:tblGrid>
      <w:tr w:rsidR="000C66B3" w:rsidRPr="009C77BC" w:rsidTr="000C66B3">
        <w:trPr>
          <w:trHeight w:val="728"/>
        </w:trPr>
        <w:tc>
          <w:tcPr>
            <w:tcW w:w="3192" w:type="dxa"/>
            <w:shd w:val="clear" w:color="auto" w:fill="DBE5F1"/>
            <w:vAlign w:val="center"/>
          </w:tcPr>
          <w:p w:rsidR="000C66B3" w:rsidRPr="00E34E8F" w:rsidRDefault="000C66B3" w:rsidP="000C66B3">
            <w:pPr>
              <w:spacing w:after="0" w:line="240" w:lineRule="auto"/>
              <w:jc w:val="center"/>
              <w:rPr>
                <w:rFonts w:ascii="Times New Roman" w:hAnsi="Times New Roman"/>
                <w:b/>
                <w:snapToGrid w:val="0"/>
                <w:color w:val="000000"/>
                <w:sz w:val="24"/>
                <w:szCs w:val="24"/>
                <w:lang w:val="fr-FR"/>
              </w:rPr>
            </w:pPr>
            <w:r w:rsidRPr="00E34E8F">
              <w:rPr>
                <w:rFonts w:ascii="Times New Roman" w:hAnsi="Times New Roman"/>
                <w:b/>
                <w:color w:val="000000"/>
                <w:sz w:val="24"/>
                <w:szCs w:val="24"/>
                <w:lang w:val="fr-FR"/>
              </w:rPr>
              <w:t>Agence assurant la Mise en Œuvre:</w:t>
            </w:r>
          </w:p>
        </w:tc>
        <w:tc>
          <w:tcPr>
            <w:tcW w:w="3192" w:type="dxa"/>
            <w:shd w:val="clear" w:color="auto" w:fill="DBE5F1"/>
            <w:vAlign w:val="center"/>
          </w:tcPr>
          <w:p w:rsidR="000C66B3" w:rsidRPr="00E34E8F" w:rsidRDefault="000C66B3" w:rsidP="000C66B3">
            <w:pPr>
              <w:spacing w:after="0" w:line="240" w:lineRule="auto"/>
              <w:jc w:val="center"/>
              <w:rPr>
                <w:rFonts w:ascii="Times New Roman" w:hAnsi="Times New Roman"/>
                <w:b/>
                <w:snapToGrid w:val="0"/>
                <w:color w:val="000000"/>
                <w:sz w:val="24"/>
                <w:szCs w:val="24"/>
                <w:lang w:val="fr-FR"/>
              </w:rPr>
            </w:pPr>
            <w:r w:rsidRPr="00E34E8F">
              <w:rPr>
                <w:rFonts w:ascii="Times New Roman" w:hAnsi="Times New Roman"/>
                <w:b/>
                <w:color w:val="000000"/>
                <w:sz w:val="24"/>
                <w:szCs w:val="24"/>
                <w:lang w:val="fr-FR"/>
              </w:rPr>
              <w:t>Type d’Organisation (Locale/ONG Internationale, Agence Gouvernementale, etc.):</w:t>
            </w:r>
          </w:p>
        </w:tc>
        <w:tc>
          <w:tcPr>
            <w:tcW w:w="3534" w:type="dxa"/>
            <w:shd w:val="clear" w:color="auto" w:fill="DBE5F1"/>
            <w:vAlign w:val="center"/>
          </w:tcPr>
          <w:p w:rsidR="000C66B3" w:rsidRPr="00E34E8F" w:rsidRDefault="000C66B3" w:rsidP="000C66B3">
            <w:pPr>
              <w:spacing w:after="0" w:line="240" w:lineRule="auto"/>
              <w:jc w:val="center"/>
              <w:rPr>
                <w:rFonts w:ascii="Times New Roman" w:hAnsi="Times New Roman"/>
                <w:b/>
                <w:snapToGrid w:val="0"/>
                <w:sz w:val="24"/>
                <w:szCs w:val="24"/>
                <w:lang w:val="fr-FR"/>
              </w:rPr>
            </w:pPr>
            <w:r w:rsidRPr="00E34E8F">
              <w:rPr>
                <w:rFonts w:ascii="Times New Roman" w:hAnsi="Times New Roman"/>
                <w:b/>
                <w:sz w:val="24"/>
                <w:szCs w:val="24"/>
                <w:lang w:val="fr-FR"/>
              </w:rPr>
              <w:t>Financement total du projet acheminé par le biais de l’Agence assurant la Mise en Œuvre (Budgétisé ou Réel):</w:t>
            </w:r>
          </w:p>
        </w:tc>
      </w:tr>
      <w:tr w:rsidR="000C66B3" w:rsidRPr="00E34E8F" w:rsidTr="000C66B3">
        <w:trPr>
          <w:trHeight w:val="675"/>
        </w:trPr>
        <w:tc>
          <w:tcPr>
            <w:tcW w:w="3192" w:type="dxa"/>
          </w:tcPr>
          <w:p w:rsidR="000C66B3" w:rsidRPr="00E34E8F" w:rsidRDefault="000C66B3" w:rsidP="000C66B3">
            <w:pPr>
              <w:spacing w:after="0" w:line="240" w:lineRule="auto"/>
              <w:rPr>
                <w:rFonts w:ascii="Times New Roman" w:hAnsi="Times New Roman"/>
                <w:snapToGrid w:val="0"/>
                <w:sz w:val="24"/>
                <w:szCs w:val="24"/>
                <w:lang w:val="fr-CA"/>
              </w:rPr>
            </w:pPr>
            <w:r w:rsidRPr="00E34E8F">
              <w:rPr>
                <w:rFonts w:ascii="Times New Roman" w:hAnsi="Times New Roman"/>
                <w:sz w:val="24"/>
                <w:szCs w:val="24"/>
                <w:lang w:val="fr-CA"/>
              </w:rPr>
              <w:t>* BRGM : Bureau de Recherches Géologiques et Minières (France)</w:t>
            </w:r>
          </w:p>
          <w:p w:rsidR="000C66B3" w:rsidRPr="00E34E8F" w:rsidRDefault="000C66B3" w:rsidP="000C66B3">
            <w:pPr>
              <w:spacing w:after="0" w:line="240" w:lineRule="auto"/>
              <w:rPr>
                <w:rFonts w:ascii="Times New Roman" w:hAnsi="Times New Roman"/>
                <w:sz w:val="24"/>
                <w:szCs w:val="24"/>
                <w:lang w:val="fr-CA"/>
              </w:rPr>
            </w:pPr>
          </w:p>
          <w:p w:rsidR="000C66B3" w:rsidRPr="00E34E8F" w:rsidRDefault="000C66B3" w:rsidP="000C66B3">
            <w:pPr>
              <w:spacing w:after="0" w:line="240" w:lineRule="auto"/>
              <w:rPr>
                <w:rFonts w:ascii="Times New Roman" w:hAnsi="Times New Roman"/>
                <w:snapToGrid w:val="0"/>
                <w:sz w:val="24"/>
                <w:szCs w:val="24"/>
                <w:lang w:val="fr-CA"/>
              </w:rPr>
            </w:pPr>
            <w:r w:rsidRPr="00E34E8F">
              <w:rPr>
                <w:rFonts w:ascii="Times New Roman" w:hAnsi="Times New Roman"/>
                <w:sz w:val="24"/>
                <w:szCs w:val="24"/>
                <w:lang w:val="fr-CA"/>
              </w:rPr>
              <w:t>* Bureau des Mines et de l’Énergie (BME) (</w:t>
            </w:r>
            <w:proofErr w:type="spellStart"/>
            <w:r w:rsidRPr="00E34E8F">
              <w:rPr>
                <w:rFonts w:ascii="Times New Roman" w:hAnsi="Times New Roman"/>
                <w:sz w:val="24"/>
                <w:szCs w:val="24"/>
                <w:lang w:val="fr-CA"/>
              </w:rPr>
              <w:t>Haiti</w:t>
            </w:r>
            <w:proofErr w:type="spellEnd"/>
            <w:r w:rsidRPr="00E34E8F">
              <w:rPr>
                <w:rFonts w:ascii="Times New Roman" w:hAnsi="Times New Roman"/>
                <w:sz w:val="24"/>
                <w:szCs w:val="24"/>
                <w:lang w:val="fr-CA"/>
              </w:rPr>
              <w:t xml:space="preserve">) et </w:t>
            </w:r>
          </w:p>
          <w:p w:rsidR="000C66B3" w:rsidRPr="00E34E8F" w:rsidRDefault="000C66B3" w:rsidP="000C66B3">
            <w:pPr>
              <w:spacing w:after="0" w:line="240" w:lineRule="auto"/>
              <w:rPr>
                <w:rFonts w:ascii="Times New Roman" w:hAnsi="Times New Roman"/>
                <w:snapToGrid w:val="0"/>
                <w:color w:val="000000"/>
                <w:sz w:val="24"/>
                <w:szCs w:val="24"/>
                <w:highlight w:val="yellow"/>
                <w:lang w:val="fr-FR"/>
              </w:rPr>
            </w:pPr>
            <w:r w:rsidRPr="00E34E8F">
              <w:rPr>
                <w:rFonts w:ascii="Times New Roman" w:hAnsi="Times New Roman"/>
                <w:sz w:val="24"/>
                <w:szCs w:val="24"/>
                <w:lang w:val="fr-CA"/>
              </w:rPr>
              <w:t>Laboratoire National du Bâtiment et des Travaux Publics (LNBTP)</w:t>
            </w:r>
          </w:p>
        </w:tc>
        <w:tc>
          <w:tcPr>
            <w:tcW w:w="3192" w:type="dxa"/>
          </w:tcPr>
          <w:p w:rsidR="000C66B3" w:rsidRPr="00E34E8F" w:rsidRDefault="000C66B3" w:rsidP="000C66B3">
            <w:pPr>
              <w:spacing w:after="0" w:line="240" w:lineRule="auto"/>
              <w:rPr>
                <w:rFonts w:ascii="Times New Roman" w:hAnsi="Times New Roman"/>
                <w:snapToGrid w:val="0"/>
                <w:color w:val="000000"/>
                <w:sz w:val="24"/>
                <w:szCs w:val="24"/>
                <w:lang w:val="fr-FR"/>
              </w:rPr>
            </w:pPr>
            <w:r w:rsidRPr="00E34E8F">
              <w:rPr>
                <w:rFonts w:ascii="Times New Roman" w:hAnsi="Times New Roman"/>
                <w:color w:val="000000"/>
                <w:sz w:val="24"/>
                <w:szCs w:val="24"/>
                <w:lang w:val="fr-FR"/>
              </w:rPr>
              <w:t>* Institut de Recherche (Français)</w:t>
            </w:r>
          </w:p>
          <w:p w:rsidR="000C66B3" w:rsidRPr="00E34E8F" w:rsidRDefault="000C66B3" w:rsidP="000C66B3">
            <w:pPr>
              <w:spacing w:after="0" w:line="240" w:lineRule="auto"/>
              <w:rPr>
                <w:rFonts w:ascii="Times New Roman" w:hAnsi="Times New Roman"/>
                <w:color w:val="000000"/>
                <w:sz w:val="24"/>
                <w:szCs w:val="24"/>
                <w:lang w:val="fr-FR"/>
              </w:rPr>
            </w:pPr>
          </w:p>
          <w:p w:rsidR="000C66B3" w:rsidRPr="00E34E8F" w:rsidRDefault="000C66B3" w:rsidP="000C66B3">
            <w:pPr>
              <w:spacing w:after="0" w:line="240" w:lineRule="auto"/>
              <w:rPr>
                <w:rFonts w:ascii="Times New Roman" w:hAnsi="Times New Roman"/>
                <w:color w:val="000000"/>
                <w:sz w:val="24"/>
                <w:szCs w:val="24"/>
                <w:lang w:val="fr-FR"/>
              </w:rPr>
            </w:pPr>
          </w:p>
          <w:p w:rsidR="000C66B3" w:rsidRPr="00E34E8F" w:rsidRDefault="000C66B3" w:rsidP="000C66B3">
            <w:pPr>
              <w:spacing w:after="0" w:line="240" w:lineRule="auto"/>
              <w:rPr>
                <w:rFonts w:ascii="Times New Roman" w:hAnsi="Times New Roman"/>
                <w:snapToGrid w:val="0"/>
                <w:color w:val="000000"/>
                <w:sz w:val="24"/>
                <w:szCs w:val="24"/>
                <w:highlight w:val="yellow"/>
                <w:lang w:val="fr-FR"/>
              </w:rPr>
            </w:pPr>
            <w:r w:rsidRPr="00E34E8F">
              <w:rPr>
                <w:rFonts w:ascii="Times New Roman" w:hAnsi="Times New Roman"/>
                <w:color w:val="000000"/>
                <w:sz w:val="24"/>
                <w:szCs w:val="24"/>
                <w:lang w:val="fr-FR"/>
              </w:rPr>
              <w:t>* Gouvernement  d’Haïti</w:t>
            </w:r>
          </w:p>
        </w:tc>
        <w:tc>
          <w:tcPr>
            <w:tcW w:w="3534" w:type="dxa"/>
          </w:tcPr>
          <w:p w:rsidR="000C66B3" w:rsidRPr="00E34E8F" w:rsidRDefault="000C66B3" w:rsidP="000C66B3">
            <w:pPr>
              <w:spacing w:after="0" w:line="240" w:lineRule="auto"/>
              <w:rPr>
                <w:rFonts w:ascii="Times New Roman" w:hAnsi="Times New Roman"/>
                <w:snapToGrid w:val="0"/>
                <w:sz w:val="24"/>
                <w:szCs w:val="24"/>
                <w:lang w:val="fr-FR"/>
              </w:rPr>
            </w:pPr>
            <w:r w:rsidRPr="00E34E8F">
              <w:rPr>
                <w:rFonts w:ascii="Times New Roman" w:hAnsi="Times New Roman"/>
                <w:sz w:val="24"/>
                <w:szCs w:val="24"/>
                <w:lang w:val="fr-FR"/>
              </w:rPr>
              <w:t>USD 1.1million</w:t>
            </w:r>
          </w:p>
        </w:tc>
      </w:tr>
      <w:tr w:rsidR="000C66B3" w:rsidRPr="00E34E8F" w:rsidTr="000C66B3">
        <w:trPr>
          <w:trHeight w:val="675"/>
        </w:trPr>
        <w:tc>
          <w:tcPr>
            <w:tcW w:w="3192" w:type="dxa"/>
          </w:tcPr>
          <w:p w:rsidR="000C66B3" w:rsidRPr="00E34E8F" w:rsidRDefault="000C66B3" w:rsidP="000C66B3">
            <w:pPr>
              <w:spacing w:after="0" w:line="240" w:lineRule="auto"/>
              <w:rPr>
                <w:rFonts w:ascii="Times New Roman" w:hAnsi="Times New Roman"/>
                <w:snapToGrid w:val="0"/>
                <w:color w:val="000000"/>
                <w:sz w:val="24"/>
                <w:szCs w:val="24"/>
                <w:highlight w:val="yellow"/>
              </w:rPr>
            </w:pPr>
            <w:r w:rsidRPr="00E34E8F">
              <w:rPr>
                <w:rFonts w:ascii="Times New Roman" w:hAnsi="Times New Roman"/>
                <w:sz w:val="24"/>
                <w:szCs w:val="24"/>
              </w:rPr>
              <w:t>GHI (</w:t>
            </w:r>
            <w:proofErr w:type="spellStart"/>
            <w:r w:rsidRPr="00E34E8F">
              <w:rPr>
                <w:rFonts w:ascii="Times New Roman" w:hAnsi="Times New Roman"/>
                <w:sz w:val="24"/>
                <w:szCs w:val="24"/>
              </w:rPr>
              <w:t>GeoHazard</w:t>
            </w:r>
            <w:proofErr w:type="spellEnd"/>
            <w:r w:rsidRPr="00E34E8F">
              <w:rPr>
                <w:rFonts w:ascii="Times New Roman" w:hAnsi="Times New Roman"/>
                <w:sz w:val="24"/>
                <w:szCs w:val="24"/>
              </w:rPr>
              <w:t xml:space="preserve"> International)</w:t>
            </w:r>
          </w:p>
        </w:tc>
        <w:tc>
          <w:tcPr>
            <w:tcW w:w="3192" w:type="dxa"/>
          </w:tcPr>
          <w:p w:rsidR="000C66B3" w:rsidRPr="00E34E8F" w:rsidRDefault="000C66B3" w:rsidP="000C66B3">
            <w:pPr>
              <w:spacing w:after="0" w:line="240" w:lineRule="auto"/>
              <w:rPr>
                <w:rFonts w:ascii="Times New Roman" w:hAnsi="Times New Roman"/>
                <w:snapToGrid w:val="0"/>
                <w:color w:val="000000"/>
                <w:sz w:val="24"/>
                <w:szCs w:val="24"/>
              </w:rPr>
            </w:pPr>
            <w:r w:rsidRPr="00E34E8F">
              <w:rPr>
                <w:rFonts w:ascii="Times New Roman" w:hAnsi="Times New Roman"/>
                <w:color w:val="000000"/>
                <w:sz w:val="24"/>
                <w:szCs w:val="24"/>
              </w:rPr>
              <w:t xml:space="preserve">ONG </w:t>
            </w:r>
            <w:proofErr w:type="spellStart"/>
            <w:r w:rsidRPr="00E34E8F">
              <w:rPr>
                <w:rFonts w:ascii="Times New Roman" w:hAnsi="Times New Roman"/>
                <w:color w:val="000000"/>
                <w:sz w:val="24"/>
                <w:szCs w:val="24"/>
              </w:rPr>
              <w:t>Américaine</w:t>
            </w:r>
            <w:proofErr w:type="spellEnd"/>
          </w:p>
        </w:tc>
        <w:tc>
          <w:tcPr>
            <w:tcW w:w="3534" w:type="dxa"/>
          </w:tcPr>
          <w:p w:rsidR="000C66B3" w:rsidRPr="00E34E8F" w:rsidRDefault="000C66B3" w:rsidP="000C66B3">
            <w:pPr>
              <w:spacing w:after="0" w:line="240" w:lineRule="auto"/>
              <w:rPr>
                <w:rFonts w:ascii="Times New Roman" w:hAnsi="Times New Roman"/>
                <w:snapToGrid w:val="0"/>
                <w:sz w:val="24"/>
                <w:szCs w:val="24"/>
                <w:lang w:val="fr-FR"/>
              </w:rPr>
            </w:pPr>
            <w:r w:rsidRPr="00E34E8F">
              <w:rPr>
                <w:rFonts w:ascii="Times New Roman" w:hAnsi="Times New Roman"/>
                <w:sz w:val="24"/>
                <w:szCs w:val="24"/>
                <w:lang w:val="fr-FR"/>
              </w:rPr>
              <w:t>USD 4,762,638.00</w:t>
            </w:r>
          </w:p>
        </w:tc>
      </w:tr>
      <w:tr w:rsidR="000C66B3" w:rsidRPr="00E34E8F" w:rsidTr="000C66B3">
        <w:trPr>
          <w:trHeight w:val="675"/>
        </w:trPr>
        <w:tc>
          <w:tcPr>
            <w:tcW w:w="3192" w:type="dxa"/>
          </w:tcPr>
          <w:p w:rsidR="000C66B3" w:rsidRPr="00E34E8F" w:rsidRDefault="000C66B3" w:rsidP="000C66B3">
            <w:pPr>
              <w:spacing w:after="0" w:line="240" w:lineRule="auto"/>
              <w:rPr>
                <w:rFonts w:ascii="Times New Roman" w:hAnsi="Times New Roman"/>
                <w:snapToGrid w:val="0"/>
                <w:sz w:val="24"/>
                <w:szCs w:val="24"/>
                <w:lang w:val="fr-FR"/>
              </w:rPr>
            </w:pPr>
            <w:r w:rsidRPr="00E34E8F">
              <w:rPr>
                <w:rFonts w:ascii="Times New Roman" w:hAnsi="Times New Roman"/>
                <w:color w:val="000000"/>
                <w:sz w:val="24"/>
                <w:szCs w:val="24"/>
                <w:lang w:val="fr-FR"/>
              </w:rPr>
              <w:t xml:space="preserve">MENFP: </w:t>
            </w:r>
            <w:r w:rsidRPr="00E34E8F">
              <w:rPr>
                <w:rFonts w:ascii="Times New Roman" w:hAnsi="Times New Roman"/>
                <w:sz w:val="24"/>
                <w:szCs w:val="24"/>
                <w:lang w:val="fr-FR"/>
              </w:rPr>
              <w:t>Ministère de l’Education Nationale et de la Formation Professionnelle</w:t>
            </w:r>
          </w:p>
          <w:p w:rsidR="000C66B3" w:rsidRPr="00E34E8F" w:rsidRDefault="000C66B3" w:rsidP="000C66B3">
            <w:pPr>
              <w:spacing w:after="0" w:line="240" w:lineRule="auto"/>
              <w:rPr>
                <w:rFonts w:ascii="Times New Roman" w:hAnsi="Times New Roman"/>
                <w:snapToGrid w:val="0"/>
                <w:color w:val="000000"/>
                <w:sz w:val="24"/>
                <w:szCs w:val="24"/>
                <w:lang w:val="fr-FR"/>
              </w:rPr>
            </w:pPr>
          </w:p>
        </w:tc>
        <w:tc>
          <w:tcPr>
            <w:tcW w:w="3192" w:type="dxa"/>
          </w:tcPr>
          <w:p w:rsidR="000C66B3" w:rsidRPr="00E34E8F" w:rsidRDefault="000C66B3" w:rsidP="000C66B3">
            <w:pPr>
              <w:spacing w:after="0" w:line="240" w:lineRule="auto"/>
              <w:rPr>
                <w:rFonts w:ascii="Times New Roman" w:hAnsi="Times New Roman"/>
                <w:snapToGrid w:val="0"/>
                <w:color w:val="000000"/>
                <w:sz w:val="24"/>
                <w:szCs w:val="24"/>
                <w:highlight w:val="yellow"/>
                <w:lang w:val="fr-FR"/>
              </w:rPr>
            </w:pPr>
            <w:r w:rsidRPr="00E34E8F">
              <w:rPr>
                <w:rFonts w:ascii="Times New Roman" w:hAnsi="Times New Roman"/>
                <w:sz w:val="24"/>
                <w:szCs w:val="24"/>
                <w:lang w:val="fr-FR"/>
              </w:rPr>
              <w:t xml:space="preserve">Ministère </w:t>
            </w:r>
            <w:r w:rsidRPr="00E34E8F">
              <w:rPr>
                <w:rFonts w:ascii="Times New Roman" w:hAnsi="Times New Roman"/>
                <w:color w:val="000000"/>
                <w:sz w:val="24"/>
                <w:szCs w:val="24"/>
                <w:lang w:val="fr-FR"/>
              </w:rPr>
              <w:t>(Haïti)</w:t>
            </w:r>
          </w:p>
        </w:tc>
        <w:tc>
          <w:tcPr>
            <w:tcW w:w="3534" w:type="dxa"/>
          </w:tcPr>
          <w:p w:rsidR="000C66B3" w:rsidRPr="00E34E8F" w:rsidRDefault="000C66B3" w:rsidP="000C66B3">
            <w:pPr>
              <w:spacing w:after="0" w:line="240" w:lineRule="auto"/>
              <w:rPr>
                <w:rFonts w:ascii="Times New Roman" w:hAnsi="Times New Roman"/>
                <w:snapToGrid w:val="0"/>
                <w:sz w:val="24"/>
                <w:szCs w:val="24"/>
                <w:lang w:val="fr-FR"/>
              </w:rPr>
            </w:pPr>
            <w:r w:rsidRPr="00E34E8F">
              <w:rPr>
                <w:rFonts w:ascii="Times New Roman" w:hAnsi="Times New Roman"/>
                <w:sz w:val="24"/>
                <w:szCs w:val="24"/>
                <w:lang w:val="fr-FR"/>
              </w:rPr>
              <w:t xml:space="preserve">A confirmer </w:t>
            </w:r>
          </w:p>
        </w:tc>
      </w:tr>
      <w:tr w:rsidR="000C66B3" w:rsidRPr="00E34E8F" w:rsidTr="000C66B3">
        <w:trPr>
          <w:trHeight w:val="675"/>
        </w:trPr>
        <w:tc>
          <w:tcPr>
            <w:tcW w:w="3192" w:type="dxa"/>
          </w:tcPr>
          <w:p w:rsidR="000C66B3" w:rsidRPr="00E34E8F" w:rsidRDefault="000C66B3" w:rsidP="000C66B3">
            <w:pPr>
              <w:spacing w:after="0" w:line="240" w:lineRule="auto"/>
              <w:rPr>
                <w:rFonts w:ascii="Times New Roman" w:hAnsi="Times New Roman"/>
                <w:snapToGrid w:val="0"/>
                <w:color w:val="000000"/>
                <w:sz w:val="24"/>
                <w:szCs w:val="24"/>
                <w:lang w:val="fr-FR"/>
              </w:rPr>
            </w:pPr>
            <w:r w:rsidRPr="00E34E8F">
              <w:rPr>
                <w:rFonts w:ascii="Times New Roman" w:hAnsi="Times New Roman"/>
                <w:sz w:val="24"/>
                <w:szCs w:val="24"/>
                <w:lang w:val="fr-FR"/>
              </w:rPr>
              <w:t>MICT : Ministère de l’Intérieur et des Collectivités Territoriales</w:t>
            </w:r>
          </w:p>
        </w:tc>
        <w:tc>
          <w:tcPr>
            <w:tcW w:w="3192" w:type="dxa"/>
          </w:tcPr>
          <w:p w:rsidR="000C66B3" w:rsidRPr="00E34E8F" w:rsidRDefault="000C66B3" w:rsidP="000C66B3">
            <w:pPr>
              <w:spacing w:after="0" w:line="240" w:lineRule="auto"/>
              <w:rPr>
                <w:rFonts w:ascii="Times New Roman" w:hAnsi="Times New Roman"/>
                <w:snapToGrid w:val="0"/>
                <w:color w:val="000000"/>
                <w:sz w:val="24"/>
                <w:szCs w:val="24"/>
              </w:rPr>
            </w:pPr>
            <w:r w:rsidRPr="00E34E8F">
              <w:rPr>
                <w:rFonts w:ascii="Times New Roman" w:hAnsi="Times New Roman"/>
                <w:sz w:val="24"/>
                <w:szCs w:val="24"/>
                <w:lang w:val="fr-FR"/>
              </w:rPr>
              <w:t xml:space="preserve">Ministère </w:t>
            </w:r>
            <w:r w:rsidRPr="00E34E8F">
              <w:rPr>
                <w:rFonts w:ascii="Times New Roman" w:hAnsi="Times New Roman"/>
                <w:color w:val="000000"/>
                <w:sz w:val="24"/>
                <w:szCs w:val="24"/>
              </w:rPr>
              <w:t xml:space="preserve"> (Haiti)</w:t>
            </w:r>
          </w:p>
        </w:tc>
        <w:tc>
          <w:tcPr>
            <w:tcW w:w="3534" w:type="dxa"/>
          </w:tcPr>
          <w:p w:rsidR="000C66B3" w:rsidRPr="00E34E8F" w:rsidRDefault="000C66B3" w:rsidP="000C66B3">
            <w:pPr>
              <w:spacing w:after="0" w:line="240" w:lineRule="auto"/>
              <w:rPr>
                <w:rFonts w:ascii="Times New Roman" w:hAnsi="Times New Roman"/>
                <w:snapToGrid w:val="0"/>
                <w:sz w:val="24"/>
                <w:szCs w:val="24"/>
              </w:rPr>
            </w:pPr>
            <w:r w:rsidRPr="00E34E8F">
              <w:rPr>
                <w:rFonts w:ascii="Times New Roman" w:hAnsi="Times New Roman"/>
                <w:sz w:val="24"/>
                <w:szCs w:val="24"/>
              </w:rPr>
              <w:t xml:space="preserve">A confirmer </w:t>
            </w:r>
          </w:p>
        </w:tc>
      </w:tr>
      <w:tr w:rsidR="000C66B3" w:rsidRPr="00E34E8F" w:rsidTr="000C66B3">
        <w:trPr>
          <w:trHeight w:val="675"/>
        </w:trPr>
        <w:tc>
          <w:tcPr>
            <w:tcW w:w="3192" w:type="dxa"/>
          </w:tcPr>
          <w:p w:rsidR="000C66B3" w:rsidRPr="00E34E8F" w:rsidRDefault="000C66B3" w:rsidP="000C66B3">
            <w:pPr>
              <w:spacing w:after="0" w:line="240" w:lineRule="auto"/>
              <w:rPr>
                <w:rFonts w:ascii="Times New Roman" w:hAnsi="Times New Roman"/>
                <w:snapToGrid w:val="0"/>
                <w:sz w:val="24"/>
                <w:szCs w:val="24"/>
                <w:lang w:val="fr-FR"/>
              </w:rPr>
            </w:pPr>
            <w:r w:rsidRPr="00E34E8F">
              <w:rPr>
                <w:rFonts w:ascii="Times New Roman" w:hAnsi="Times New Roman"/>
                <w:sz w:val="24"/>
                <w:szCs w:val="24"/>
                <w:lang w:val="fr-FR"/>
              </w:rPr>
              <w:t>MTPTC : Ministère des Travaux Publics, des Transports et des Communications (Laboratoire Nationale du  Bâtiment et de Travaux Publiques (LNBTP) ; Bureau des Mines et de l’Énergie (BME) (Haïti))</w:t>
            </w:r>
          </w:p>
          <w:p w:rsidR="000C66B3" w:rsidRPr="00E34E8F" w:rsidRDefault="000C66B3" w:rsidP="000C66B3">
            <w:pPr>
              <w:spacing w:after="0" w:line="240" w:lineRule="auto"/>
              <w:rPr>
                <w:rFonts w:ascii="Times New Roman" w:hAnsi="Times New Roman"/>
                <w:snapToGrid w:val="0"/>
                <w:sz w:val="24"/>
                <w:szCs w:val="24"/>
                <w:lang w:val="fr-FR"/>
              </w:rPr>
            </w:pPr>
          </w:p>
        </w:tc>
        <w:tc>
          <w:tcPr>
            <w:tcW w:w="3192" w:type="dxa"/>
          </w:tcPr>
          <w:p w:rsidR="000C66B3" w:rsidRPr="00E34E8F" w:rsidRDefault="000C66B3" w:rsidP="000C66B3">
            <w:pPr>
              <w:spacing w:after="0" w:line="240" w:lineRule="auto"/>
              <w:rPr>
                <w:rFonts w:ascii="Times New Roman" w:hAnsi="Times New Roman"/>
                <w:snapToGrid w:val="0"/>
                <w:color w:val="000000"/>
                <w:sz w:val="24"/>
                <w:szCs w:val="24"/>
              </w:rPr>
            </w:pPr>
            <w:r w:rsidRPr="00E34E8F">
              <w:rPr>
                <w:rFonts w:ascii="Times New Roman" w:hAnsi="Times New Roman"/>
                <w:sz w:val="24"/>
                <w:szCs w:val="24"/>
                <w:lang w:val="fr-FR"/>
              </w:rPr>
              <w:t xml:space="preserve">Ministère </w:t>
            </w:r>
            <w:r w:rsidRPr="00E34E8F">
              <w:rPr>
                <w:rFonts w:ascii="Times New Roman" w:hAnsi="Times New Roman"/>
                <w:color w:val="000000"/>
                <w:sz w:val="24"/>
                <w:szCs w:val="24"/>
              </w:rPr>
              <w:t>(Haiti)</w:t>
            </w:r>
          </w:p>
        </w:tc>
        <w:tc>
          <w:tcPr>
            <w:tcW w:w="3534" w:type="dxa"/>
          </w:tcPr>
          <w:p w:rsidR="000C66B3" w:rsidRPr="00E34E8F" w:rsidRDefault="000C66B3" w:rsidP="000C66B3">
            <w:pPr>
              <w:spacing w:after="0" w:line="240" w:lineRule="auto"/>
              <w:rPr>
                <w:rFonts w:ascii="Times New Roman" w:hAnsi="Times New Roman"/>
                <w:snapToGrid w:val="0"/>
                <w:sz w:val="24"/>
                <w:szCs w:val="24"/>
              </w:rPr>
            </w:pPr>
            <w:r w:rsidRPr="00E34E8F">
              <w:rPr>
                <w:rFonts w:ascii="Times New Roman" w:hAnsi="Times New Roman"/>
                <w:sz w:val="24"/>
                <w:szCs w:val="24"/>
              </w:rPr>
              <w:t xml:space="preserve">A confirmer </w:t>
            </w:r>
          </w:p>
        </w:tc>
      </w:tr>
      <w:tr w:rsidR="000C66B3" w:rsidRPr="00E34E8F" w:rsidTr="000C66B3">
        <w:trPr>
          <w:trHeight w:val="675"/>
        </w:trPr>
        <w:tc>
          <w:tcPr>
            <w:tcW w:w="3192" w:type="dxa"/>
          </w:tcPr>
          <w:p w:rsidR="000C66B3" w:rsidRPr="000C66B3" w:rsidRDefault="000C66B3" w:rsidP="000C66B3">
            <w:pPr>
              <w:pStyle w:val="BodyText"/>
              <w:widowControl/>
              <w:spacing w:after="0"/>
              <w:rPr>
                <w:bCs/>
                <w:iCs/>
                <w:color w:val="000000"/>
                <w:szCs w:val="24"/>
                <w:lang w:val="fr-FR"/>
              </w:rPr>
            </w:pPr>
            <w:r w:rsidRPr="000C66B3">
              <w:rPr>
                <w:szCs w:val="24"/>
                <w:lang w:val="fr-FR"/>
              </w:rPr>
              <w:t>Délégations et Grandes Villes du Nord</w:t>
            </w:r>
          </w:p>
          <w:p w:rsidR="000C66B3" w:rsidRPr="00E34E8F" w:rsidRDefault="000C66B3" w:rsidP="000C66B3">
            <w:pPr>
              <w:spacing w:after="0" w:line="240" w:lineRule="auto"/>
              <w:rPr>
                <w:rFonts w:ascii="Times New Roman" w:hAnsi="Times New Roman"/>
                <w:snapToGrid w:val="0"/>
                <w:sz w:val="24"/>
                <w:szCs w:val="24"/>
                <w:lang w:val="fr-FR"/>
              </w:rPr>
            </w:pPr>
          </w:p>
        </w:tc>
        <w:tc>
          <w:tcPr>
            <w:tcW w:w="3192" w:type="dxa"/>
          </w:tcPr>
          <w:p w:rsidR="000C66B3" w:rsidRPr="00E34E8F" w:rsidRDefault="000C66B3" w:rsidP="000C66B3">
            <w:pPr>
              <w:spacing w:after="0" w:line="240" w:lineRule="auto"/>
              <w:rPr>
                <w:rFonts w:ascii="Times New Roman" w:hAnsi="Times New Roman"/>
                <w:snapToGrid w:val="0"/>
                <w:color w:val="000000"/>
                <w:sz w:val="24"/>
                <w:szCs w:val="24"/>
                <w:highlight w:val="yellow"/>
                <w:lang w:val="fr-FR"/>
              </w:rPr>
            </w:pPr>
            <w:r w:rsidRPr="00E34E8F">
              <w:rPr>
                <w:rFonts w:ascii="Times New Roman" w:hAnsi="Times New Roman"/>
                <w:color w:val="000000"/>
                <w:sz w:val="24"/>
                <w:szCs w:val="24"/>
              </w:rPr>
              <w:t xml:space="preserve">Institutions </w:t>
            </w:r>
            <w:proofErr w:type="spellStart"/>
            <w:r w:rsidR="007444C7" w:rsidRPr="00E34E8F">
              <w:rPr>
                <w:rFonts w:ascii="Times New Roman" w:hAnsi="Times New Roman"/>
                <w:color w:val="000000"/>
                <w:sz w:val="24"/>
                <w:szCs w:val="24"/>
              </w:rPr>
              <w:t>national</w:t>
            </w:r>
            <w:r w:rsidR="007444C7">
              <w:rPr>
                <w:rFonts w:ascii="Times New Roman" w:hAnsi="Times New Roman"/>
                <w:color w:val="000000"/>
                <w:sz w:val="24"/>
                <w:szCs w:val="24"/>
              </w:rPr>
              <w:t>e</w:t>
            </w:r>
            <w:r w:rsidR="007444C7" w:rsidRPr="00E34E8F">
              <w:rPr>
                <w:rFonts w:ascii="Times New Roman" w:hAnsi="Times New Roman"/>
                <w:color w:val="000000"/>
                <w:sz w:val="24"/>
                <w:szCs w:val="24"/>
              </w:rPr>
              <w:t>s</w:t>
            </w:r>
            <w:proofErr w:type="spellEnd"/>
            <w:r w:rsidRPr="00E34E8F">
              <w:rPr>
                <w:rFonts w:ascii="Times New Roman" w:hAnsi="Times New Roman"/>
                <w:color w:val="000000"/>
                <w:sz w:val="24"/>
                <w:szCs w:val="24"/>
                <w:highlight w:val="yellow"/>
                <w:lang w:val="fr-FR"/>
              </w:rPr>
              <w:t xml:space="preserve"> </w:t>
            </w:r>
          </w:p>
        </w:tc>
        <w:tc>
          <w:tcPr>
            <w:tcW w:w="3534" w:type="dxa"/>
          </w:tcPr>
          <w:p w:rsidR="000C66B3" w:rsidRPr="00E34E8F" w:rsidRDefault="000C66B3" w:rsidP="000C66B3">
            <w:pPr>
              <w:spacing w:after="0" w:line="240" w:lineRule="auto"/>
              <w:rPr>
                <w:rFonts w:ascii="Times New Roman" w:hAnsi="Times New Roman"/>
                <w:snapToGrid w:val="0"/>
                <w:sz w:val="24"/>
                <w:szCs w:val="24"/>
              </w:rPr>
            </w:pPr>
            <w:r w:rsidRPr="00E34E8F">
              <w:rPr>
                <w:rFonts w:ascii="Times New Roman" w:hAnsi="Times New Roman"/>
                <w:sz w:val="24"/>
                <w:szCs w:val="24"/>
              </w:rPr>
              <w:t xml:space="preserve">A confirmer </w:t>
            </w:r>
          </w:p>
        </w:tc>
      </w:tr>
      <w:tr w:rsidR="000C66B3" w:rsidRPr="00E34E8F" w:rsidTr="000C66B3">
        <w:trPr>
          <w:trHeight w:val="675"/>
        </w:trPr>
        <w:tc>
          <w:tcPr>
            <w:tcW w:w="3192" w:type="dxa"/>
          </w:tcPr>
          <w:p w:rsidR="000C66B3" w:rsidRPr="00E34E8F" w:rsidRDefault="000C66B3" w:rsidP="000C66B3">
            <w:pPr>
              <w:spacing w:after="0" w:line="240" w:lineRule="auto"/>
              <w:rPr>
                <w:rFonts w:ascii="Times New Roman" w:hAnsi="Times New Roman"/>
                <w:snapToGrid w:val="0"/>
                <w:sz w:val="24"/>
                <w:szCs w:val="24"/>
                <w:lang w:val="fr-FR"/>
              </w:rPr>
            </w:pPr>
            <w:r w:rsidRPr="00E34E8F">
              <w:rPr>
                <w:rFonts w:ascii="Times New Roman" w:hAnsi="Times New Roman"/>
                <w:sz w:val="24"/>
                <w:szCs w:val="24"/>
                <w:lang w:val="fr-FR"/>
              </w:rPr>
              <w:lastRenderedPageBreak/>
              <w:t>CNIGS: Centre National d’Information Géo</w:t>
            </w:r>
            <w:r w:rsidR="008D6E5B">
              <w:rPr>
                <w:rFonts w:ascii="Times New Roman" w:hAnsi="Times New Roman"/>
                <w:sz w:val="24"/>
                <w:szCs w:val="24"/>
                <w:lang w:val="fr-FR"/>
              </w:rPr>
              <w:t xml:space="preserve"> </w:t>
            </w:r>
            <w:r w:rsidRPr="00E34E8F">
              <w:rPr>
                <w:rFonts w:ascii="Times New Roman" w:hAnsi="Times New Roman"/>
                <w:sz w:val="24"/>
                <w:szCs w:val="24"/>
                <w:lang w:val="fr-FR"/>
              </w:rPr>
              <w:t>Spatiale</w:t>
            </w:r>
          </w:p>
        </w:tc>
        <w:tc>
          <w:tcPr>
            <w:tcW w:w="3192" w:type="dxa"/>
          </w:tcPr>
          <w:p w:rsidR="000C66B3" w:rsidRPr="00E34E8F" w:rsidRDefault="000C66B3" w:rsidP="000C66B3">
            <w:pPr>
              <w:spacing w:after="0" w:line="240" w:lineRule="auto"/>
              <w:rPr>
                <w:rFonts w:ascii="Times New Roman" w:hAnsi="Times New Roman"/>
                <w:snapToGrid w:val="0"/>
                <w:color w:val="000000"/>
                <w:sz w:val="24"/>
                <w:szCs w:val="24"/>
              </w:rPr>
            </w:pPr>
            <w:r w:rsidRPr="00E34E8F">
              <w:rPr>
                <w:rFonts w:ascii="Times New Roman" w:hAnsi="Times New Roman"/>
                <w:color w:val="000000"/>
                <w:sz w:val="24"/>
                <w:szCs w:val="24"/>
              </w:rPr>
              <w:t xml:space="preserve">Institution </w:t>
            </w:r>
            <w:proofErr w:type="spellStart"/>
            <w:r w:rsidRPr="00E34E8F">
              <w:rPr>
                <w:rFonts w:ascii="Times New Roman" w:hAnsi="Times New Roman"/>
                <w:color w:val="000000"/>
                <w:sz w:val="24"/>
                <w:szCs w:val="24"/>
              </w:rPr>
              <w:t>nationale</w:t>
            </w:r>
            <w:proofErr w:type="spellEnd"/>
            <w:r w:rsidRPr="00E34E8F">
              <w:rPr>
                <w:rFonts w:ascii="Times New Roman" w:hAnsi="Times New Roman"/>
                <w:color w:val="000000"/>
                <w:sz w:val="24"/>
                <w:szCs w:val="24"/>
              </w:rPr>
              <w:t xml:space="preserve">  (Haiti)</w:t>
            </w:r>
          </w:p>
        </w:tc>
        <w:tc>
          <w:tcPr>
            <w:tcW w:w="3534" w:type="dxa"/>
          </w:tcPr>
          <w:p w:rsidR="000C66B3" w:rsidRPr="00E34E8F" w:rsidRDefault="000C66B3" w:rsidP="000C66B3">
            <w:pPr>
              <w:spacing w:after="0" w:line="240" w:lineRule="auto"/>
              <w:rPr>
                <w:rFonts w:ascii="Times New Roman" w:hAnsi="Times New Roman"/>
                <w:snapToGrid w:val="0"/>
                <w:sz w:val="24"/>
                <w:szCs w:val="24"/>
              </w:rPr>
            </w:pPr>
            <w:r w:rsidRPr="00E34E8F">
              <w:rPr>
                <w:rFonts w:ascii="Times New Roman" w:hAnsi="Times New Roman"/>
                <w:sz w:val="24"/>
                <w:szCs w:val="24"/>
              </w:rPr>
              <w:t xml:space="preserve">A confirmer </w:t>
            </w:r>
          </w:p>
        </w:tc>
      </w:tr>
      <w:tr w:rsidR="000C66B3" w:rsidRPr="00E34E8F" w:rsidTr="000C66B3">
        <w:trPr>
          <w:trHeight w:val="675"/>
        </w:trPr>
        <w:tc>
          <w:tcPr>
            <w:tcW w:w="3192" w:type="dxa"/>
          </w:tcPr>
          <w:p w:rsidR="000C66B3" w:rsidRPr="00E34E8F" w:rsidRDefault="000C66B3" w:rsidP="000C66B3">
            <w:pPr>
              <w:spacing w:after="0" w:line="240" w:lineRule="auto"/>
              <w:jc w:val="both"/>
              <w:rPr>
                <w:rFonts w:ascii="Times New Roman" w:hAnsi="Times New Roman"/>
                <w:snapToGrid w:val="0"/>
                <w:sz w:val="24"/>
                <w:szCs w:val="24"/>
              </w:rPr>
            </w:pPr>
          </w:p>
        </w:tc>
        <w:tc>
          <w:tcPr>
            <w:tcW w:w="3192" w:type="dxa"/>
          </w:tcPr>
          <w:p w:rsidR="000C66B3" w:rsidRPr="00E34E8F" w:rsidRDefault="000C66B3" w:rsidP="000C66B3">
            <w:pPr>
              <w:spacing w:after="0" w:line="240" w:lineRule="auto"/>
              <w:rPr>
                <w:rFonts w:ascii="Times New Roman" w:hAnsi="Times New Roman"/>
                <w:snapToGrid w:val="0"/>
                <w:color w:val="000000"/>
                <w:sz w:val="24"/>
                <w:szCs w:val="24"/>
              </w:rPr>
            </w:pPr>
            <w:proofErr w:type="spellStart"/>
            <w:r w:rsidRPr="00E34E8F">
              <w:rPr>
                <w:rFonts w:ascii="Times New Roman" w:hAnsi="Times New Roman"/>
                <w:color w:val="000000"/>
                <w:sz w:val="24"/>
                <w:szCs w:val="24"/>
              </w:rPr>
              <w:t>Secteur</w:t>
            </w:r>
            <w:proofErr w:type="spellEnd"/>
            <w:r w:rsidRPr="00E34E8F">
              <w:rPr>
                <w:rFonts w:ascii="Times New Roman" w:hAnsi="Times New Roman"/>
                <w:color w:val="000000"/>
                <w:sz w:val="24"/>
                <w:szCs w:val="24"/>
              </w:rPr>
              <w:t xml:space="preserve"> </w:t>
            </w:r>
            <w:proofErr w:type="spellStart"/>
            <w:r w:rsidRPr="00E34E8F">
              <w:rPr>
                <w:rFonts w:ascii="Times New Roman" w:hAnsi="Times New Roman"/>
                <w:color w:val="000000"/>
                <w:sz w:val="24"/>
                <w:szCs w:val="24"/>
              </w:rPr>
              <w:t>Privé</w:t>
            </w:r>
            <w:proofErr w:type="spellEnd"/>
          </w:p>
        </w:tc>
        <w:tc>
          <w:tcPr>
            <w:tcW w:w="3534" w:type="dxa"/>
          </w:tcPr>
          <w:p w:rsidR="000C66B3" w:rsidRPr="00E34E8F" w:rsidRDefault="000C66B3" w:rsidP="000C66B3">
            <w:pPr>
              <w:spacing w:after="0" w:line="240" w:lineRule="auto"/>
              <w:rPr>
                <w:rFonts w:ascii="Times New Roman" w:hAnsi="Times New Roman"/>
                <w:snapToGrid w:val="0"/>
                <w:sz w:val="24"/>
                <w:szCs w:val="24"/>
              </w:rPr>
            </w:pPr>
            <w:r w:rsidRPr="00E34E8F">
              <w:rPr>
                <w:rFonts w:ascii="Times New Roman" w:hAnsi="Times New Roman"/>
                <w:sz w:val="24"/>
                <w:szCs w:val="24"/>
              </w:rPr>
              <w:t xml:space="preserve">A confirmer </w:t>
            </w:r>
          </w:p>
        </w:tc>
      </w:tr>
    </w:tbl>
    <w:p w:rsidR="000C66B3" w:rsidRPr="000C66B3" w:rsidRDefault="000C66B3" w:rsidP="000C66B3">
      <w:pPr>
        <w:spacing w:after="0" w:line="240" w:lineRule="auto"/>
        <w:rPr>
          <w:rFonts w:ascii="Times New Roman" w:hAnsi="Times New Roman"/>
          <w:sz w:val="24"/>
          <w:szCs w:val="24"/>
          <w:lang w:val="fr-FR"/>
        </w:rPr>
      </w:pPr>
    </w:p>
    <w:p w:rsidR="000C66B3" w:rsidRPr="000C66B3" w:rsidRDefault="000C66B3" w:rsidP="000C66B3">
      <w:pPr>
        <w:spacing w:after="0" w:line="240" w:lineRule="auto"/>
        <w:rPr>
          <w:rFonts w:ascii="Times New Roman" w:hAnsi="Times New Roman"/>
          <w:sz w:val="24"/>
          <w:szCs w:val="24"/>
          <w:lang w:val="fr-F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5925"/>
        <w:gridCol w:w="1649"/>
      </w:tblGrid>
      <w:tr w:rsidR="000C66B3" w:rsidRPr="009C77BC" w:rsidTr="005007EA">
        <w:trPr>
          <w:trHeight w:val="418"/>
          <w:tblHeader/>
        </w:trPr>
        <w:tc>
          <w:tcPr>
            <w:tcW w:w="2718" w:type="dxa"/>
            <w:shd w:val="clear" w:color="auto" w:fill="DBE5F1"/>
            <w:vAlign w:val="center"/>
          </w:tcPr>
          <w:p w:rsidR="000C66B3" w:rsidRPr="00E34E8F" w:rsidRDefault="000C66B3" w:rsidP="000C66B3">
            <w:pPr>
              <w:spacing w:after="0" w:line="240" w:lineRule="auto"/>
              <w:jc w:val="center"/>
              <w:rPr>
                <w:rFonts w:ascii="Times New Roman" w:hAnsi="Times New Roman"/>
                <w:b/>
                <w:snapToGrid w:val="0"/>
                <w:color w:val="000000"/>
                <w:sz w:val="24"/>
                <w:szCs w:val="24"/>
                <w:lang w:val="fr-FR"/>
              </w:rPr>
            </w:pPr>
            <w:r w:rsidRPr="00E34E8F">
              <w:rPr>
                <w:rFonts w:ascii="Times New Roman" w:hAnsi="Times New Roman"/>
                <w:b/>
                <w:color w:val="000000"/>
                <w:sz w:val="24"/>
                <w:szCs w:val="24"/>
                <w:lang w:val="fr-FR"/>
              </w:rPr>
              <w:t>Indicateurs Quantitatifs de Résultats (y compris le but):</w:t>
            </w:r>
          </w:p>
        </w:tc>
        <w:tc>
          <w:tcPr>
            <w:tcW w:w="5400" w:type="dxa"/>
            <w:shd w:val="clear" w:color="auto" w:fill="DBE5F1"/>
            <w:vAlign w:val="center"/>
          </w:tcPr>
          <w:p w:rsidR="000C66B3" w:rsidRPr="00E34E8F" w:rsidRDefault="000C66B3" w:rsidP="000C66B3">
            <w:pPr>
              <w:spacing w:after="0" w:line="240" w:lineRule="auto"/>
              <w:jc w:val="center"/>
              <w:rPr>
                <w:rFonts w:ascii="Times New Roman" w:hAnsi="Times New Roman"/>
                <w:b/>
                <w:snapToGrid w:val="0"/>
                <w:color w:val="000000"/>
                <w:sz w:val="24"/>
                <w:szCs w:val="24"/>
                <w:lang w:val="fr-FR"/>
              </w:rPr>
            </w:pPr>
            <w:r w:rsidRPr="00E34E8F">
              <w:rPr>
                <w:rFonts w:ascii="Times New Roman" w:hAnsi="Times New Roman"/>
                <w:b/>
                <w:color w:val="000000"/>
                <w:sz w:val="24"/>
                <w:szCs w:val="24"/>
                <w:lang w:val="fr-FR"/>
              </w:rPr>
              <w:t>Progrès:</w:t>
            </w:r>
          </w:p>
        </w:tc>
        <w:tc>
          <w:tcPr>
            <w:tcW w:w="1800" w:type="dxa"/>
            <w:shd w:val="clear" w:color="auto" w:fill="DBE5F1"/>
            <w:vAlign w:val="center"/>
          </w:tcPr>
          <w:p w:rsidR="000C66B3" w:rsidRPr="00E34E8F" w:rsidRDefault="000C66B3" w:rsidP="000C66B3">
            <w:pPr>
              <w:spacing w:after="0" w:line="240" w:lineRule="auto"/>
              <w:jc w:val="center"/>
              <w:rPr>
                <w:rFonts w:ascii="Times New Roman" w:hAnsi="Times New Roman"/>
                <w:b/>
                <w:snapToGrid w:val="0"/>
                <w:sz w:val="24"/>
                <w:szCs w:val="24"/>
                <w:lang w:val="fr-FR"/>
              </w:rPr>
            </w:pPr>
            <w:r w:rsidRPr="00E34E8F">
              <w:rPr>
                <w:rFonts w:ascii="Times New Roman" w:hAnsi="Times New Roman"/>
                <w:b/>
                <w:sz w:val="24"/>
                <w:szCs w:val="24"/>
                <w:lang w:val="fr-FR"/>
              </w:rPr>
              <w:t>Pourcentage de ce qui a été planifié:</w:t>
            </w:r>
          </w:p>
        </w:tc>
      </w:tr>
      <w:tr w:rsidR="000C66B3" w:rsidRPr="00E34E8F" w:rsidTr="005007EA">
        <w:trPr>
          <w:trHeight w:val="675"/>
        </w:trPr>
        <w:tc>
          <w:tcPr>
            <w:tcW w:w="2718" w:type="dxa"/>
          </w:tcPr>
          <w:p w:rsidR="000C66B3" w:rsidRPr="000C66B3" w:rsidRDefault="000C66B3" w:rsidP="005007EA">
            <w:pPr>
              <w:pStyle w:val="ListParagraph"/>
              <w:widowControl/>
              <w:numPr>
                <w:ilvl w:val="0"/>
                <w:numId w:val="1"/>
              </w:numPr>
              <w:jc w:val="both"/>
              <w:rPr>
                <w:spacing w:val="-2"/>
                <w:szCs w:val="24"/>
                <w:lang w:val="fr-FR"/>
              </w:rPr>
            </w:pPr>
            <w:r w:rsidRPr="000C66B3">
              <w:rPr>
                <w:spacing w:val="-2"/>
                <w:szCs w:val="24"/>
                <w:lang w:val="fr-FR"/>
              </w:rPr>
              <w:t>Un comité de conseil « risque sismique » est créé et fonctionne dans chacune des capitales des trois départements du grand nord. Il inclut des professionnels haïtiens représentant le gouvernement local, les professionnels de la construction, les équipes de réponse aux désastres, etc.</w:t>
            </w:r>
          </w:p>
          <w:p w:rsidR="000C66B3" w:rsidRPr="00E34E8F" w:rsidRDefault="000C66B3" w:rsidP="000C66B3">
            <w:pPr>
              <w:spacing w:after="0" w:line="240" w:lineRule="auto"/>
              <w:ind w:left="307"/>
              <w:rPr>
                <w:rFonts w:ascii="Times New Roman" w:hAnsi="Times New Roman"/>
                <w:snapToGrid w:val="0"/>
                <w:sz w:val="24"/>
                <w:szCs w:val="24"/>
                <w:lang w:val="fr-FR"/>
              </w:rPr>
            </w:pPr>
          </w:p>
        </w:tc>
        <w:tc>
          <w:tcPr>
            <w:tcW w:w="5400" w:type="dxa"/>
            <w:vAlign w:val="center"/>
          </w:tcPr>
          <w:p w:rsidR="000C66B3" w:rsidRPr="00E34E8F" w:rsidRDefault="000C66B3" w:rsidP="000C66B3">
            <w:pPr>
              <w:spacing w:after="0" w:line="240" w:lineRule="auto"/>
              <w:jc w:val="both"/>
              <w:rPr>
                <w:rFonts w:ascii="Times New Roman" w:hAnsi="Times New Roman"/>
                <w:spacing w:val="-2"/>
                <w:sz w:val="24"/>
                <w:szCs w:val="24"/>
                <w:lang w:val="fr-FR"/>
              </w:rPr>
            </w:pPr>
            <w:r w:rsidRPr="00E34E8F">
              <w:rPr>
                <w:rFonts w:ascii="Times New Roman" w:hAnsi="Times New Roman"/>
                <w:spacing w:val="-2"/>
                <w:sz w:val="24"/>
                <w:szCs w:val="24"/>
                <w:lang w:val="fr-FR"/>
              </w:rPr>
              <w:t>* Le</w:t>
            </w:r>
            <w:r w:rsidR="00F903D4">
              <w:rPr>
                <w:rFonts w:ascii="Times New Roman" w:hAnsi="Times New Roman"/>
                <w:spacing w:val="-2"/>
                <w:sz w:val="24"/>
                <w:szCs w:val="24"/>
                <w:lang w:val="fr-FR"/>
              </w:rPr>
              <w:t>s</w:t>
            </w:r>
            <w:r w:rsidRPr="00E34E8F">
              <w:rPr>
                <w:rFonts w:ascii="Times New Roman" w:hAnsi="Times New Roman"/>
                <w:spacing w:val="-2"/>
                <w:sz w:val="24"/>
                <w:szCs w:val="24"/>
                <w:lang w:val="fr-FR"/>
              </w:rPr>
              <w:t xml:space="preserve"> comité</w:t>
            </w:r>
            <w:r w:rsidR="00F903D4">
              <w:rPr>
                <w:rFonts w:ascii="Times New Roman" w:hAnsi="Times New Roman"/>
                <w:spacing w:val="-2"/>
                <w:sz w:val="24"/>
                <w:szCs w:val="24"/>
                <w:lang w:val="fr-FR"/>
              </w:rPr>
              <w:t>s</w:t>
            </w:r>
            <w:r w:rsidRPr="00E34E8F">
              <w:rPr>
                <w:rFonts w:ascii="Times New Roman" w:hAnsi="Times New Roman"/>
                <w:spacing w:val="-2"/>
                <w:sz w:val="24"/>
                <w:szCs w:val="24"/>
                <w:lang w:val="fr-FR"/>
              </w:rPr>
              <w:t xml:space="preserve"> de conseil </w:t>
            </w:r>
            <w:r w:rsidR="00F903D4">
              <w:rPr>
                <w:rFonts w:ascii="Times New Roman" w:hAnsi="Times New Roman"/>
                <w:spacing w:val="-2"/>
                <w:sz w:val="24"/>
                <w:szCs w:val="24"/>
                <w:lang w:val="fr-FR"/>
              </w:rPr>
              <w:t>sont</w:t>
            </w:r>
            <w:r w:rsidRPr="00E34E8F">
              <w:rPr>
                <w:rFonts w:ascii="Times New Roman" w:hAnsi="Times New Roman"/>
                <w:spacing w:val="-2"/>
                <w:sz w:val="24"/>
                <w:szCs w:val="24"/>
                <w:lang w:val="fr-FR"/>
              </w:rPr>
              <w:t xml:space="preserve"> constitué</w:t>
            </w:r>
            <w:r w:rsidR="00F903D4">
              <w:rPr>
                <w:rFonts w:ascii="Times New Roman" w:hAnsi="Times New Roman"/>
                <w:spacing w:val="-2"/>
                <w:sz w:val="24"/>
                <w:szCs w:val="24"/>
                <w:lang w:val="fr-FR"/>
              </w:rPr>
              <w:t>s</w:t>
            </w:r>
            <w:r w:rsidRPr="00E34E8F">
              <w:rPr>
                <w:rFonts w:ascii="Times New Roman" w:hAnsi="Times New Roman"/>
                <w:spacing w:val="-2"/>
                <w:sz w:val="24"/>
                <w:szCs w:val="24"/>
                <w:lang w:val="fr-FR"/>
              </w:rPr>
              <w:t xml:space="preserve"> et fonctionnel</w:t>
            </w:r>
            <w:r w:rsidR="00F903D4">
              <w:rPr>
                <w:rFonts w:ascii="Times New Roman" w:hAnsi="Times New Roman"/>
                <w:spacing w:val="-2"/>
                <w:sz w:val="24"/>
                <w:szCs w:val="24"/>
                <w:lang w:val="fr-FR"/>
              </w:rPr>
              <w:t>s</w:t>
            </w:r>
            <w:r w:rsidRPr="00E34E8F">
              <w:rPr>
                <w:rFonts w:ascii="Times New Roman" w:hAnsi="Times New Roman"/>
                <w:spacing w:val="-2"/>
                <w:sz w:val="24"/>
                <w:szCs w:val="24"/>
                <w:lang w:val="fr-FR"/>
              </w:rPr>
              <w:t xml:space="preserve"> depuis le mois de mars 2013, </w:t>
            </w:r>
            <w:r w:rsidR="00F903D4">
              <w:rPr>
                <w:rFonts w:ascii="Times New Roman" w:hAnsi="Times New Roman"/>
                <w:spacing w:val="-2"/>
                <w:sz w:val="24"/>
                <w:szCs w:val="24"/>
                <w:lang w:val="fr-FR"/>
              </w:rPr>
              <w:t xml:space="preserve">dans les villes de </w:t>
            </w:r>
            <w:r w:rsidRPr="00E34E8F">
              <w:rPr>
                <w:rFonts w:ascii="Times New Roman" w:hAnsi="Times New Roman"/>
                <w:spacing w:val="-2"/>
                <w:sz w:val="24"/>
                <w:szCs w:val="24"/>
                <w:lang w:val="fr-FR"/>
              </w:rPr>
              <w:t xml:space="preserve"> Fort-Liberté, Cap-Haitien et Port-de-Paix.  Le Projet s’est vu dans le besoin, en fonction de l’intérêt et de la préoccupation des Autorités Locales et Gouvernementales du </w:t>
            </w:r>
            <w:proofErr w:type="spellStart"/>
            <w:r w:rsidRPr="00E34E8F">
              <w:rPr>
                <w:rFonts w:ascii="Times New Roman" w:hAnsi="Times New Roman"/>
                <w:spacing w:val="-2"/>
                <w:sz w:val="24"/>
                <w:szCs w:val="24"/>
                <w:lang w:val="fr-FR"/>
              </w:rPr>
              <w:t>Nord’Est</w:t>
            </w:r>
            <w:proofErr w:type="spellEnd"/>
            <w:r w:rsidR="00BB70E9">
              <w:rPr>
                <w:rFonts w:ascii="Times New Roman" w:hAnsi="Times New Roman"/>
                <w:spacing w:val="-2"/>
                <w:sz w:val="24"/>
                <w:szCs w:val="24"/>
                <w:lang w:val="fr-FR"/>
              </w:rPr>
              <w:t>,</w:t>
            </w:r>
            <w:r w:rsidRPr="00E34E8F">
              <w:rPr>
                <w:rFonts w:ascii="Times New Roman" w:hAnsi="Times New Roman"/>
                <w:spacing w:val="-2"/>
                <w:sz w:val="24"/>
                <w:szCs w:val="24"/>
                <w:lang w:val="fr-FR"/>
              </w:rPr>
              <w:t xml:space="preserve"> de créer un quatrième comité de conseil rég</w:t>
            </w:r>
            <w:r w:rsidR="001F6F25" w:rsidRPr="00E34E8F">
              <w:rPr>
                <w:rFonts w:ascii="Times New Roman" w:hAnsi="Times New Roman"/>
                <w:spacing w:val="-2"/>
                <w:sz w:val="24"/>
                <w:szCs w:val="24"/>
                <w:lang w:val="fr-FR"/>
              </w:rPr>
              <w:t xml:space="preserve">ional au niveau de </w:t>
            </w:r>
            <w:proofErr w:type="spellStart"/>
            <w:r w:rsidR="001F6F25" w:rsidRPr="00E34E8F">
              <w:rPr>
                <w:rFonts w:ascii="Times New Roman" w:hAnsi="Times New Roman"/>
                <w:spacing w:val="-2"/>
                <w:sz w:val="24"/>
                <w:szCs w:val="24"/>
                <w:lang w:val="fr-FR"/>
              </w:rPr>
              <w:t>Ouanaminthe</w:t>
            </w:r>
            <w:proofErr w:type="spellEnd"/>
            <w:r w:rsidRPr="00E34E8F">
              <w:rPr>
                <w:rFonts w:ascii="Times New Roman" w:hAnsi="Times New Roman"/>
                <w:spacing w:val="-2"/>
                <w:sz w:val="24"/>
                <w:szCs w:val="24"/>
                <w:lang w:val="fr-FR"/>
              </w:rPr>
              <w:t>.</w:t>
            </w:r>
          </w:p>
          <w:p w:rsidR="000C66B3" w:rsidRPr="00E34E8F" w:rsidRDefault="000C66B3" w:rsidP="000C66B3">
            <w:pPr>
              <w:spacing w:after="0" w:line="240" w:lineRule="auto"/>
              <w:jc w:val="both"/>
              <w:rPr>
                <w:rFonts w:ascii="Times New Roman" w:hAnsi="Times New Roman"/>
                <w:spacing w:val="-2"/>
                <w:sz w:val="24"/>
                <w:szCs w:val="24"/>
                <w:lang w:val="fr-FR"/>
              </w:rPr>
            </w:pPr>
          </w:p>
          <w:p w:rsidR="000C66B3" w:rsidRPr="00E34E8F" w:rsidRDefault="000C66B3" w:rsidP="001F6F25">
            <w:pPr>
              <w:spacing w:after="0" w:line="240" w:lineRule="auto"/>
              <w:jc w:val="both"/>
              <w:rPr>
                <w:rFonts w:ascii="Times New Roman" w:hAnsi="Times New Roman"/>
                <w:spacing w:val="-2"/>
                <w:sz w:val="24"/>
                <w:szCs w:val="24"/>
                <w:lang w:val="fr-FR"/>
              </w:rPr>
            </w:pPr>
            <w:r w:rsidRPr="00E34E8F">
              <w:rPr>
                <w:rFonts w:ascii="Times New Roman" w:hAnsi="Times New Roman"/>
                <w:spacing w:val="-2"/>
                <w:sz w:val="24"/>
                <w:szCs w:val="24"/>
                <w:lang w:val="fr-FR"/>
              </w:rPr>
              <w:t xml:space="preserve">* </w:t>
            </w:r>
            <w:r w:rsidR="001F6F25" w:rsidRPr="00E34E8F">
              <w:rPr>
                <w:rFonts w:ascii="Times New Roman" w:hAnsi="Times New Roman"/>
                <w:spacing w:val="-2"/>
                <w:sz w:val="24"/>
                <w:szCs w:val="24"/>
                <w:lang w:val="fr-FR"/>
              </w:rPr>
              <w:t>Le Comité</w:t>
            </w:r>
            <w:r w:rsidR="00F903D4">
              <w:rPr>
                <w:rFonts w:ascii="Times New Roman" w:hAnsi="Times New Roman"/>
                <w:spacing w:val="-2"/>
                <w:sz w:val="24"/>
                <w:szCs w:val="24"/>
                <w:lang w:val="fr-FR"/>
              </w:rPr>
              <w:t xml:space="preserve"> de Pilotage </w:t>
            </w:r>
            <w:r w:rsidR="001F6F25" w:rsidRPr="00E34E8F">
              <w:rPr>
                <w:rFonts w:ascii="Times New Roman" w:hAnsi="Times New Roman"/>
                <w:spacing w:val="-2"/>
                <w:sz w:val="24"/>
                <w:szCs w:val="24"/>
                <w:lang w:val="fr-FR"/>
              </w:rPr>
              <w:t xml:space="preserve"> national a également été mis sur pied avec l’appui des différents services ministériels concernés, des </w:t>
            </w:r>
            <w:proofErr w:type="spellStart"/>
            <w:r w:rsidR="001F6F25" w:rsidRPr="00E34E8F">
              <w:rPr>
                <w:rFonts w:ascii="Times New Roman" w:hAnsi="Times New Roman"/>
                <w:spacing w:val="-2"/>
                <w:sz w:val="24"/>
                <w:szCs w:val="24"/>
                <w:lang w:val="fr-FR"/>
              </w:rPr>
              <w:t>ONGs</w:t>
            </w:r>
            <w:proofErr w:type="spellEnd"/>
            <w:r w:rsidR="001F6F25" w:rsidRPr="00E34E8F">
              <w:rPr>
                <w:rFonts w:ascii="Times New Roman" w:hAnsi="Times New Roman"/>
                <w:spacing w:val="-2"/>
                <w:sz w:val="24"/>
                <w:szCs w:val="24"/>
                <w:lang w:val="fr-FR"/>
              </w:rPr>
              <w:t xml:space="preserve"> et des représentants de la société civile.</w:t>
            </w:r>
            <w:r w:rsidRPr="00E34E8F">
              <w:rPr>
                <w:rFonts w:ascii="Times New Roman" w:hAnsi="Times New Roman"/>
                <w:spacing w:val="-2"/>
                <w:sz w:val="24"/>
                <w:szCs w:val="24"/>
                <w:lang w:val="fr-FR"/>
              </w:rPr>
              <w:t xml:space="preserve">  </w:t>
            </w:r>
          </w:p>
          <w:p w:rsidR="001F6F25" w:rsidRPr="00E34E8F" w:rsidRDefault="001F6F25" w:rsidP="001F6F25">
            <w:pPr>
              <w:spacing w:after="0" w:line="240" w:lineRule="auto"/>
              <w:jc w:val="both"/>
              <w:rPr>
                <w:rFonts w:ascii="Times New Roman" w:hAnsi="Times New Roman"/>
                <w:spacing w:val="-2"/>
                <w:sz w:val="24"/>
                <w:szCs w:val="24"/>
                <w:lang w:val="fr-FR"/>
              </w:rPr>
            </w:pPr>
          </w:p>
          <w:p w:rsidR="001F6F25" w:rsidRPr="00E34E8F" w:rsidRDefault="001F6F25" w:rsidP="005007EA">
            <w:pPr>
              <w:spacing w:after="0" w:line="240" w:lineRule="auto"/>
              <w:jc w:val="both"/>
              <w:rPr>
                <w:rFonts w:ascii="Times New Roman" w:hAnsi="Times New Roman"/>
                <w:snapToGrid w:val="0"/>
                <w:spacing w:val="-2"/>
                <w:sz w:val="24"/>
                <w:szCs w:val="24"/>
                <w:lang w:val="fr-FR"/>
              </w:rPr>
            </w:pPr>
            <w:r w:rsidRPr="00E34E8F">
              <w:rPr>
                <w:rFonts w:ascii="Times New Roman" w:hAnsi="Times New Roman"/>
                <w:spacing w:val="-2"/>
                <w:sz w:val="24"/>
                <w:szCs w:val="24"/>
                <w:lang w:val="fr-FR"/>
              </w:rPr>
              <w:t xml:space="preserve">* </w:t>
            </w:r>
            <w:r w:rsidR="00F903D4">
              <w:rPr>
                <w:rFonts w:ascii="Times New Roman" w:hAnsi="Times New Roman"/>
                <w:spacing w:val="-2"/>
                <w:sz w:val="24"/>
                <w:szCs w:val="24"/>
                <w:lang w:val="fr-FR"/>
              </w:rPr>
              <w:t xml:space="preserve">Des </w:t>
            </w:r>
            <w:r w:rsidRPr="00E34E8F">
              <w:rPr>
                <w:rFonts w:ascii="Times New Roman" w:hAnsi="Times New Roman"/>
                <w:spacing w:val="-2"/>
                <w:sz w:val="24"/>
                <w:szCs w:val="24"/>
                <w:lang w:val="fr-FR"/>
              </w:rPr>
              <w:t xml:space="preserve"> réunion</w:t>
            </w:r>
            <w:r w:rsidR="008D6E5B">
              <w:rPr>
                <w:rFonts w:ascii="Times New Roman" w:hAnsi="Times New Roman"/>
                <w:spacing w:val="-2"/>
                <w:sz w:val="24"/>
                <w:szCs w:val="24"/>
                <w:lang w:val="fr-FR"/>
              </w:rPr>
              <w:t>s</w:t>
            </w:r>
            <w:r w:rsidRPr="00E34E8F">
              <w:rPr>
                <w:rFonts w:ascii="Times New Roman" w:hAnsi="Times New Roman"/>
                <w:spacing w:val="-2"/>
                <w:sz w:val="24"/>
                <w:szCs w:val="24"/>
                <w:lang w:val="fr-FR"/>
              </w:rPr>
              <w:t xml:space="preserve"> trimestrielle</w:t>
            </w:r>
            <w:r w:rsidR="00F903D4">
              <w:rPr>
                <w:rFonts w:ascii="Times New Roman" w:hAnsi="Times New Roman"/>
                <w:spacing w:val="-2"/>
                <w:sz w:val="24"/>
                <w:szCs w:val="24"/>
                <w:lang w:val="fr-FR"/>
              </w:rPr>
              <w:t>s</w:t>
            </w:r>
            <w:r w:rsidRPr="00E34E8F">
              <w:rPr>
                <w:rFonts w:ascii="Times New Roman" w:hAnsi="Times New Roman"/>
                <w:spacing w:val="-2"/>
                <w:sz w:val="24"/>
                <w:szCs w:val="24"/>
                <w:lang w:val="fr-FR"/>
              </w:rPr>
              <w:t xml:space="preserve">  organisée</w:t>
            </w:r>
            <w:r w:rsidR="00F903D4">
              <w:rPr>
                <w:rFonts w:ascii="Times New Roman" w:hAnsi="Times New Roman"/>
                <w:spacing w:val="-2"/>
                <w:sz w:val="24"/>
                <w:szCs w:val="24"/>
                <w:lang w:val="fr-FR"/>
              </w:rPr>
              <w:t>s</w:t>
            </w:r>
            <w:r w:rsidRPr="00E34E8F">
              <w:rPr>
                <w:rFonts w:ascii="Times New Roman" w:hAnsi="Times New Roman"/>
                <w:spacing w:val="-2"/>
                <w:sz w:val="24"/>
                <w:szCs w:val="24"/>
                <w:lang w:val="fr-FR"/>
              </w:rPr>
              <w:t xml:space="preserve"> dans chaque département et la dernière a eu pour objectif de présenter les </w:t>
            </w:r>
            <w:r w:rsidR="00F903D4">
              <w:rPr>
                <w:rFonts w:ascii="Times New Roman" w:hAnsi="Times New Roman"/>
                <w:spacing w:val="-2"/>
                <w:sz w:val="24"/>
                <w:szCs w:val="24"/>
                <w:lang w:val="fr-FR"/>
              </w:rPr>
              <w:t xml:space="preserve"> activités d’évaluation de </w:t>
            </w:r>
            <w:r w:rsidR="008D6E5B">
              <w:rPr>
                <w:rFonts w:ascii="Times New Roman" w:hAnsi="Times New Roman"/>
                <w:spacing w:val="-2"/>
                <w:sz w:val="24"/>
                <w:szCs w:val="24"/>
                <w:lang w:val="fr-FR"/>
              </w:rPr>
              <w:t>bâtiments</w:t>
            </w:r>
            <w:r w:rsidR="00F903D4">
              <w:rPr>
                <w:rFonts w:ascii="Times New Roman" w:hAnsi="Times New Roman"/>
                <w:spacing w:val="-2"/>
                <w:sz w:val="24"/>
                <w:szCs w:val="24"/>
                <w:lang w:val="fr-FR"/>
              </w:rPr>
              <w:t xml:space="preserve"> publics  dans les trois départements et le rapport sur l’évaluation des  infrastructures publiques</w:t>
            </w:r>
          </w:p>
        </w:tc>
        <w:tc>
          <w:tcPr>
            <w:tcW w:w="1800" w:type="dxa"/>
            <w:vAlign w:val="center"/>
          </w:tcPr>
          <w:p w:rsidR="000C66B3" w:rsidRPr="00E34E8F" w:rsidRDefault="000C66B3" w:rsidP="000C66B3">
            <w:pPr>
              <w:spacing w:after="0" w:line="240" w:lineRule="auto"/>
              <w:jc w:val="center"/>
              <w:rPr>
                <w:rFonts w:ascii="Times New Roman" w:hAnsi="Times New Roman"/>
                <w:snapToGrid w:val="0"/>
                <w:spacing w:val="-2"/>
                <w:sz w:val="24"/>
                <w:szCs w:val="24"/>
                <w:lang w:val="fr-FR"/>
              </w:rPr>
            </w:pPr>
            <w:r w:rsidRPr="00E34E8F">
              <w:rPr>
                <w:rFonts w:ascii="Times New Roman" w:hAnsi="Times New Roman"/>
                <w:sz w:val="24"/>
                <w:szCs w:val="24"/>
                <w:lang w:val="fr-FR"/>
              </w:rPr>
              <w:t>100</w:t>
            </w:r>
            <w:r w:rsidR="008044E6" w:rsidRPr="00E34E8F">
              <w:rPr>
                <w:rFonts w:ascii="Times New Roman" w:hAnsi="Times New Roman"/>
                <w:sz w:val="24"/>
                <w:szCs w:val="24"/>
                <w:lang w:val="fr-FR"/>
              </w:rPr>
              <w:t xml:space="preserve"> </w:t>
            </w:r>
            <w:r w:rsidRPr="00E34E8F">
              <w:rPr>
                <w:rFonts w:ascii="Times New Roman" w:hAnsi="Times New Roman"/>
                <w:sz w:val="24"/>
                <w:szCs w:val="24"/>
                <w:lang w:val="fr-FR"/>
              </w:rPr>
              <w:t>%</w:t>
            </w:r>
          </w:p>
        </w:tc>
      </w:tr>
      <w:tr w:rsidR="000C66B3" w:rsidRPr="00E34E8F" w:rsidTr="008044E6">
        <w:trPr>
          <w:trHeight w:val="1223"/>
        </w:trPr>
        <w:tc>
          <w:tcPr>
            <w:tcW w:w="2718" w:type="dxa"/>
          </w:tcPr>
          <w:p w:rsidR="000C66B3" w:rsidRPr="000C66B3" w:rsidRDefault="000C66B3" w:rsidP="000C66B3">
            <w:pPr>
              <w:pStyle w:val="ListParagraph"/>
              <w:widowControl/>
              <w:numPr>
                <w:ilvl w:val="0"/>
                <w:numId w:val="1"/>
              </w:numPr>
              <w:rPr>
                <w:spacing w:val="-2"/>
                <w:szCs w:val="24"/>
                <w:lang w:val="fr-FR"/>
              </w:rPr>
            </w:pPr>
            <w:r w:rsidRPr="000C66B3">
              <w:rPr>
                <w:spacing w:val="-2"/>
                <w:szCs w:val="24"/>
                <w:lang w:val="fr-FR"/>
              </w:rPr>
              <w:t>Le micro zonage sismique des 4 grandes villes du grand nord est réalisé.</w:t>
            </w:r>
          </w:p>
          <w:p w:rsidR="000C66B3" w:rsidRPr="00E34E8F" w:rsidRDefault="000C66B3" w:rsidP="000C66B3">
            <w:pPr>
              <w:spacing w:after="0" w:line="240" w:lineRule="auto"/>
              <w:ind w:left="307"/>
              <w:rPr>
                <w:rFonts w:ascii="Times New Roman" w:hAnsi="Times New Roman"/>
                <w:snapToGrid w:val="0"/>
                <w:spacing w:val="-2"/>
                <w:sz w:val="24"/>
                <w:szCs w:val="24"/>
                <w:highlight w:val="yellow"/>
                <w:lang w:val="fr-FR"/>
              </w:rPr>
            </w:pPr>
          </w:p>
        </w:tc>
        <w:tc>
          <w:tcPr>
            <w:tcW w:w="5400" w:type="dxa"/>
            <w:vAlign w:val="center"/>
          </w:tcPr>
          <w:p w:rsidR="005007EA" w:rsidRDefault="005007EA" w:rsidP="005007EA">
            <w:pPr>
              <w:pStyle w:val="BodyText2"/>
              <w:spacing w:after="0" w:line="240" w:lineRule="auto"/>
              <w:jc w:val="both"/>
              <w:rPr>
                <w:snapToGrid w:val="0"/>
                <w:spacing w:val="-2"/>
                <w:lang w:val="fr-FR"/>
              </w:rPr>
            </w:pPr>
            <w:r>
              <w:rPr>
                <w:snapToGrid w:val="0"/>
                <w:spacing w:val="-2"/>
                <w:lang w:val="fr-FR"/>
              </w:rPr>
              <w:t xml:space="preserve">* </w:t>
            </w:r>
            <w:r w:rsidR="000C66B3" w:rsidRPr="000C66B3">
              <w:rPr>
                <w:snapToGrid w:val="0"/>
                <w:spacing w:val="-2"/>
                <w:lang w:val="fr-FR"/>
              </w:rPr>
              <w:t xml:space="preserve">Poursuite des travaux </w:t>
            </w:r>
            <w:r w:rsidR="007B1762">
              <w:rPr>
                <w:snapToGrid w:val="0"/>
                <w:spacing w:val="-2"/>
                <w:lang w:val="fr-FR"/>
              </w:rPr>
              <w:t xml:space="preserve"> de sondage </w:t>
            </w:r>
            <w:r>
              <w:rPr>
                <w:snapToGrid w:val="0"/>
                <w:spacing w:val="-2"/>
                <w:lang w:val="fr-FR"/>
              </w:rPr>
              <w:t>géo</w:t>
            </w:r>
            <w:r w:rsidR="000C66B3" w:rsidRPr="000C66B3">
              <w:rPr>
                <w:snapToGrid w:val="0"/>
                <w:spacing w:val="-2"/>
                <w:lang w:val="fr-FR"/>
              </w:rPr>
              <w:t>techniques au niveau de Cap</w:t>
            </w:r>
            <w:r>
              <w:rPr>
                <w:snapToGrid w:val="0"/>
                <w:spacing w:val="-2"/>
                <w:lang w:val="fr-FR"/>
              </w:rPr>
              <w:t xml:space="preserve">-Haitien et de </w:t>
            </w:r>
            <w:proofErr w:type="spellStart"/>
            <w:r>
              <w:rPr>
                <w:snapToGrid w:val="0"/>
                <w:spacing w:val="-2"/>
                <w:lang w:val="fr-FR"/>
              </w:rPr>
              <w:t>Ouanaminthe</w:t>
            </w:r>
            <w:proofErr w:type="spellEnd"/>
            <w:r>
              <w:rPr>
                <w:snapToGrid w:val="0"/>
                <w:spacing w:val="-2"/>
                <w:lang w:val="fr-FR"/>
              </w:rPr>
              <w:t xml:space="preserve">, </w:t>
            </w:r>
            <w:r w:rsidR="000C66B3" w:rsidRPr="000C66B3">
              <w:rPr>
                <w:snapToGrid w:val="0"/>
                <w:spacing w:val="-2"/>
                <w:lang w:val="fr-FR"/>
              </w:rPr>
              <w:t xml:space="preserve">notamment </w:t>
            </w:r>
            <w:r>
              <w:rPr>
                <w:snapToGrid w:val="0"/>
                <w:spacing w:val="-2"/>
                <w:lang w:val="fr-FR"/>
              </w:rPr>
              <w:t>par de</w:t>
            </w:r>
            <w:r w:rsidR="000C66B3" w:rsidRPr="000C66B3">
              <w:rPr>
                <w:snapToGrid w:val="0"/>
                <w:spacing w:val="-2"/>
                <w:lang w:val="fr-FR"/>
              </w:rPr>
              <w:t>s essais</w:t>
            </w:r>
            <w:r>
              <w:rPr>
                <w:snapToGrid w:val="0"/>
                <w:spacing w:val="-2"/>
                <w:lang w:val="fr-FR"/>
              </w:rPr>
              <w:t>, des prélèvements et des mesures</w:t>
            </w:r>
            <w:r w:rsidR="000C66B3" w:rsidRPr="000C66B3">
              <w:rPr>
                <w:snapToGrid w:val="0"/>
                <w:spacing w:val="-2"/>
                <w:lang w:val="fr-FR"/>
              </w:rPr>
              <w:t xml:space="preserve"> </w:t>
            </w:r>
            <w:r>
              <w:rPr>
                <w:snapToGrid w:val="0"/>
                <w:spacing w:val="-2"/>
                <w:lang w:val="fr-FR"/>
              </w:rPr>
              <w:t>sur les sites retenus</w:t>
            </w:r>
            <w:r w:rsidR="000C66B3" w:rsidRPr="000C66B3">
              <w:rPr>
                <w:snapToGrid w:val="0"/>
                <w:spacing w:val="-2"/>
                <w:lang w:val="fr-FR"/>
              </w:rPr>
              <w:t xml:space="preserve">. </w:t>
            </w:r>
            <w:r w:rsidR="006608C3">
              <w:rPr>
                <w:snapToGrid w:val="0"/>
                <w:spacing w:val="-2"/>
                <w:lang w:val="fr-FR"/>
              </w:rPr>
              <w:t>(16 sites au total)</w:t>
            </w:r>
          </w:p>
          <w:p w:rsidR="00F903D4" w:rsidRPr="00D24AB1" w:rsidRDefault="005007EA" w:rsidP="00F903D4">
            <w:pPr>
              <w:pStyle w:val="BodyText2"/>
              <w:spacing w:after="0" w:line="240" w:lineRule="auto"/>
              <w:jc w:val="both"/>
              <w:rPr>
                <w:snapToGrid w:val="0"/>
                <w:spacing w:val="-2"/>
                <w:lang w:val="fr-FR"/>
              </w:rPr>
            </w:pPr>
            <w:r w:rsidRPr="00D24AB1">
              <w:rPr>
                <w:snapToGrid w:val="0"/>
                <w:spacing w:val="-2"/>
                <w:lang w:val="fr-FR"/>
              </w:rPr>
              <w:t xml:space="preserve">* </w:t>
            </w:r>
            <w:r w:rsidR="00F903D4" w:rsidRPr="00D24AB1">
              <w:rPr>
                <w:snapToGrid w:val="0"/>
                <w:spacing w:val="-2"/>
                <w:lang w:val="fr-FR"/>
              </w:rPr>
              <w:t>Collecte de données et géo référencement.  Lesquels travaux sont totalement effectués au niveau des 4 villes.</w:t>
            </w:r>
          </w:p>
          <w:p w:rsidR="00F903D4" w:rsidRPr="00D24AB1" w:rsidRDefault="00F903D4" w:rsidP="00F903D4">
            <w:pPr>
              <w:pStyle w:val="BodyText2"/>
              <w:spacing w:after="0" w:line="240" w:lineRule="auto"/>
              <w:jc w:val="both"/>
              <w:rPr>
                <w:snapToGrid w:val="0"/>
                <w:spacing w:val="-2"/>
                <w:lang w:val="fr-FR"/>
              </w:rPr>
            </w:pPr>
            <w:r w:rsidRPr="00D24AB1">
              <w:rPr>
                <w:snapToGrid w:val="0"/>
                <w:spacing w:val="-2"/>
                <w:lang w:val="fr-FR"/>
              </w:rPr>
              <w:t xml:space="preserve">* Cartographie géologique, le quel travail est complètement effectué au niveau des 4 villes. </w:t>
            </w:r>
          </w:p>
          <w:p w:rsidR="00F903D4" w:rsidRPr="00D24AB1" w:rsidRDefault="00F903D4" w:rsidP="00F903D4">
            <w:pPr>
              <w:pStyle w:val="BodyText2"/>
              <w:spacing w:after="0" w:line="240" w:lineRule="auto"/>
              <w:jc w:val="both"/>
              <w:rPr>
                <w:snapToGrid w:val="0"/>
                <w:spacing w:val="-2"/>
                <w:lang w:val="fr-FR"/>
              </w:rPr>
            </w:pPr>
            <w:r w:rsidRPr="00D24AB1">
              <w:rPr>
                <w:snapToGrid w:val="0"/>
                <w:spacing w:val="-2"/>
                <w:lang w:val="fr-FR"/>
              </w:rPr>
              <w:t xml:space="preserve">* Estimation de la profondeur moyenne de la nappe phréatique au niveau de </w:t>
            </w:r>
            <w:proofErr w:type="spellStart"/>
            <w:r w:rsidRPr="00D24AB1">
              <w:rPr>
                <w:snapToGrid w:val="0"/>
                <w:spacing w:val="-2"/>
                <w:lang w:val="fr-FR"/>
              </w:rPr>
              <w:t>Ouanaminthe</w:t>
            </w:r>
            <w:proofErr w:type="spellEnd"/>
            <w:r w:rsidRPr="00D24AB1">
              <w:rPr>
                <w:snapToGrid w:val="0"/>
                <w:spacing w:val="-2"/>
                <w:lang w:val="fr-FR"/>
              </w:rPr>
              <w:t>, afin de compléter les données visant à déterminer le risque à la liquéfaction des sols.</w:t>
            </w:r>
          </w:p>
          <w:p w:rsidR="000C66B3" w:rsidRPr="00D24AB1" w:rsidRDefault="00F903D4" w:rsidP="00F903D4">
            <w:pPr>
              <w:pStyle w:val="BodyText2"/>
              <w:spacing w:after="0" w:line="240" w:lineRule="auto"/>
              <w:jc w:val="both"/>
              <w:rPr>
                <w:snapToGrid w:val="0"/>
                <w:spacing w:val="-2"/>
                <w:lang w:val="fr-FR"/>
              </w:rPr>
            </w:pPr>
            <w:r w:rsidRPr="00D24AB1">
              <w:rPr>
                <w:snapToGrid w:val="0"/>
                <w:spacing w:val="-2"/>
                <w:lang w:val="fr-FR"/>
              </w:rPr>
              <w:t xml:space="preserve">* </w:t>
            </w:r>
            <w:r w:rsidR="006B23CB" w:rsidRPr="00D24AB1">
              <w:rPr>
                <w:snapToGrid w:val="0"/>
                <w:spacing w:val="-2"/>
                <w:lang w:val="fr-FR"/>
              </w:rPr>
              <w:t>Cartographie de mouvement de terrain</w:t>
            </w:r>
          </w:p>
          <w:p w:rsidR="008044E6" w:rsidRDefault="008044E6" w:rsidP="005007EA">
            <w:pPr>
              <w:pStyle w:val="BodyText2"/>
              <w:spacing w:after="0" w:line="240" w:lineRule="auto"/>
              <w:jc w:val="both"/>
              <w:rPr>
                <w:snapToGrid w:val="0"/>
                <w:spacing w:val="-2"/>
                <w:lang w:val="fr-FR"/>
              </w:rPr>
            </w:pPr>
            <w:r>
              <w:rPr>
                <w:snapToGrid w:val="0"/>
                <w:spacing w:val="-2"/>
                <w:lang w:val="fr-FR"/>
              </w:rPr>
              <w:t xml:space="preserve">* </w:t>
            </w:r>
            <w:r w:rsidR="006B23CB">
              <w:rPr>
                <w:snapToGrid w:val="0"/>
                <w:spacing w:val="-2"/>
                <w:lang w:val="fr-FR"/>
              </w:rPr>
              <w:t>Zonage géotechnique (interprétation géotechnique et géophysique)</w:t>
            </w:r>
          </w:p>
          <w:p w:rsidR="000C66B3" w:rsidRPr="000C66B3" w:rsidRDefault="008044E6" w:rsidP="005007EA">
            <w:pPr>
              <w:pStyle w:val="BodyText2"/>
              <w:spacing w:after="0" w:line="240" w:lineRule="auto"/>
              <w:jc w:val="both"/>
              <w:rPr>
                <w:snapToGrid w:val="0"/>
                <w:spacing w:val="-2"/>
                <w:lang w:val="fr-FR"/>
              </w:rPr>
            </w:pPr>
            <w:r>
              <w:rPr>
                <w:snapToGrid w:val="0"/>
                <w:spacing w:val="-2"/>
                <w:lang w:val="fr-FR"/>
              </w:rPr>
              <w:lastRenderedPageBreak/>
              <w:t xml:space="preserve">* CPT (Corne de Pénétration Test) qui permet de déceler la réaction au cisaillement du sous-sol, proche des rivières (4 à </w:t>
            </w:r>
            <w:proofErr w:type="spellStart"/>
            <w:r>
              <w:rPr>
                <w:snapToGrid w:val="0"/>
                <w:spacing w:val="-2"/>
                <w:lang w:val="fr-FR"/>
              </w:rPr>
              <w:t>Ouanaminthe</w:t>
            </w:r>
            <w:proofErr w:type="spellEnd"/>
            <w:r>
              <w:rPr>
                <w:snapToGrid w:val="0"/>
                <w:spacing w:val="-2"/>
                <w:lang w:val="fr-FR"/>
              </w:rPr>
              <w:t xml:space="preserve"> et</w:t>
            </w:r>
            <w:r w:rsidR="006608C3">
              <w:rPr>
                <w:snapToGrid w:val="0"/>
                <w:spacing w:val="-2"/>
                <w:lang w:val="fr-FR"/>
              </w:rPr>
              <w:t xml:space="preserve"> 5 au </w:t>
            </w:r>
            <w:r w:rsidR="008D6E5B">
              <w:rPr>
                <w:snapToGrid w:val="0"/>
                <w:spacing w:val="-2"/>
                <w:lang w:val="fr-FR"/>
              </w:rPr>
              <w:t>C</w:t>
            </w:r>
            <w:r w:rsidR="006608C3">
              <w:rPr>
                <w:snapToGrid w:val="0"/>
                <w:spacing w:val="-2"/>
                <w:lang w:val="fr-FR"/>
              </w:rPr>
              <w:t>ap</w:t>
            </w:r>
            <w:r w:rsidRPr="008044E6">
              <w:rPr>
                <w:snapToGrid w:val="0"/>
                <w:spacing w:val="-2"/>
                <w:lang w:val="fr-FR"/>
              </w:rPr>
              <w:t>)</w:t>
            </w:r>
            <w:r>
              <w:rPr>
                <w:snapToGrid w:val="0"/>
                <w:spacing w:val="-2"/>
                <w:lang w:val="fr-FR"/>
              </w:rPr>
              <w:t xml:space="preserve"> </w:t>
            </w:r>
          </w:p>
          <w:p w:rsidR="000C66B3" w:rsidRPr="000C66B3" w:rsidRDefault="008044E6" w:rsidP="008044E6">
            <w:pPr>
              <w:pStyle w:val="BodyText2"/>
              <w:spacing w:after="0" w:line="240" w:lineRule="auto"/>
              <w:jc w:val="both"/>
              <w:rPr>
                <w:snapToGrid w:val="0"/>
                <w:spacing w:val="-2"/>
                <w:lang w:val="fr-FR"/>
              </w:rPr>
            </w:pPr>
            <w:r>
              <w:rPr>
                <w:snapToGrid w:val="0"/>
                <w:spacing w:val="-2"/>
                <w:lang w:val="fr-FR"/>
              </w:rPr>
              <w:t xml:space="preserve">* </w:t>
            </w:r>
            <w:r w:rsidR="000C66B3" w:rsidRPr="000C66B3">
              <w:rPr>
                <w:snapToGrid w:val="0"/>
                <w:spacing w:val="-2"/>
                <w:lang w:val="fr-FR"/>
              </w:rPr>
              <w:t>Ce</w:t>
            </w:r>
            <w:r w:rsidR="008D6E5B">
              <w:rPr>
                <w:snapToGrid w:val="0"/>
                <w:spacing w:val="-2"/>
                <w:lang w:val="fr-FR"/>
              </w:rPr>
              <w:t>t</w:t>
            </w:r>
            <w:r w:rsidR="006B23CB">
              <w:rPr>
                <w:snapToGrid w:val="0"/>
                <w:spacing w:val="-2"/>
                <w:lang w:val="fr-FR"/>
              </w:rPr>
              <w:t xml:space="preserve"> ensemble de </w:t>
            </w:r>
            <w:r w:rsidR="000C66B3" w:rsidRPr="000C66B3">
              <w:rPr>
                <w:snapToGrid w:val="0"/>
                <w:spacing w:val="-2"/>
                <w:lang w:val="fr-FR"/>
              </w:rPr>
              <w:t xml:space="preserve"> travail est mis en place par des experts du BRGM (Bureau de Recherches Géologiques et Minières – Français), en étroite collaboration avec les experts nationaux du Bureau des Mines et de l’Energie (BME) et du Laboratoire National du Bâtiment et des Travaux Publics (LNBTP). </w:t>
            </w:r>
          </w:p>
        </w:tc>
        <w:tc>
          <w:tcPr>
            <w:tcW w:w="1800" w:type="dxa"/>
            <w:vAlign w:val="center"/>
          </w:tcPr>
          <w:p w:rsidR="006B23CB" w:rsidRPr="00173A50" w:rsidRDefault="006B23CB" w:rsidP="006B23CB">
            <w:pPr>
              <w:rPr>
                <w:lang w:val="fr-FR"/>
              </w:rPr>
            </w:pPr>
            <w:r w:rsidRPr="00173A50">
              <w:rPr>
                <w:lang w:val="fr-FR"/>
              </w:rPr>
              <w:lastRenderedPageBreak/>
              <w:t xml:space="preserve">Cap </w:t>
            </w:r>
            <w:proofErr w:type="spellStart"/>
            <w:r w:rsidRPr="00173A50">
              <w:rPr>
                <w:lang w:val="fr-FR"/>
              </w:rPr>
              <w:t>Haitien</w:t>
            </w:r>
            <w:proofErr w:type="spellEnd"/>
            <w:r w:rsidRPr="00173A50">
              <w:rPr>
                <w:lang w:val="fr-FR"/>
              </w:rPr>
              <w:t xml:space="preserve"> 80 %</w:t>
            </w:r>
          </w:p>
          <w:p w:rsidR="006B23CB" w:rsidRPr="00173A50" w:rsidRDefault="006B23CB" w:rsidP="006B23CB">
            <w:pPr>
              <w:rPr>
                <w:lang w:val="fr-FR"/>
              </w:rPr>
            </w:pPr>
            <w:proofErr w:type="spellStart"/>
            <w:r w:rsidRPr="00173A50">
              <w:rPr>
                <w:lang w:val="fr-FR"/>
              </w:rPr>
              <w:t>Ouanaminthe</w:t>
            </w:r>
            <w:proofErr w:type="spellEnd"/>
            <w:r w:rsidRPr="00173A50">
              <w:rPr>
                <w:lang w:val="fr-FR"/>
              </w:rPr>
              <w:t xml:space="preserve"> 80 %</w:t>
            </w:r>
          </w:p>
          <w:p w:rsidR="006B23CB" w:rsidRPr="00173A50" w:rsidRDefault="006B23CB" w:rsidP="006B23CB">
            <w:pPr>
              <w:rPr>
                <w:lang w:val="fr-FR"/>
              </w:rPr>
            </w:pPr>
            <w:r w:rsidRPr="00173A50">
              <w:rPr>
                <w:lang w:val="fr-FR"/>
              </w:rPr>
              <w:t>Fort Liberté 33 %</w:t>
            </w:r>
          </w:p>
          <w:p w:rsidR="006B23CB" w:rsidRPr="00173A50" w:rsidRDefault="006B23CB" w:rsidP="006B23CB">
            <w:pPr>
              <w:rPr>
                <w:lang w:val="fr-FR"/>
              </w:rPr>
            </w:pPr>
            <w:r w:rsidRPr="00173A50">
              <w:rPr>
                <w:lang w:val="fr-FR"/>
              </w:rPr>
              <w:t xml:space="preserve">(ou FL + </w:t>
            </w:r>
            <w:proofErr w:type="spellStart"/>
            <w:r w:rsidRPr="00173A50">
              <w:rPr>
                <w:lang w:val="fr-FR"/>
              </w:rPr>
              <w:t>Oua</w:t>
            </w:r>
            <w:proofErr w:type="spellEnd"/>
            <w:r w:rsidRPr="00173A50">
              <w:rPr>
                <w:lang w:val="fr-FR"/>
              </w:rPr>
              <w:t>. = 55 %)</w:t>
            </w:r>
          </w:p>
          <w:p w:rsidR="006B23CB" w:rsidRPr="00173A50" w:rsidRDefault="006B23CB" w:rsidP="006B23CB">
            <w:pPr>
              <w:rPr>
                <w:lang w:val="fr-FR"/>
              </w:rPr>
            </w:pPr>
            <w:r w:rsidRPr="00173A50">
              <w:rPr>
                <w:lang w:val="fr-FR"/>
              </w:rPr>
              <w:t>Port-de-Paix 33 %</w:t>
            </w:r>
          </w:p>
          <w:p w:rsidR="000C66B3" w:rsidRPr="00E34E8F" w:rsidRDefault="006B23CB" w:rsidP="008044E6">
            <w:pPr>
              <w:spacing w:after="0" w:line="240" w:lineRule="auto"/>
              <w:jc w:val="center"/>
              <w:rPr>
                <w:rFonts w:ascii="Times New Roman" w:hAnsi="Times New Roman"/>
                <w:snapToGrid w:val="0"/>
                <w:spacing w:val="-2"/>
                <w:sz w:val="24"/>
                <w:szCs w:val="24"/>
                <w:highlight w:val="yellow"/>
                <w:lang w:val="fr-FR"/>
              </w:rPr>
            </w:pPr>
            <w:r>
              <w:rPr>
                <w:rFonts w:ascii="Times New Roman" w:hAnsi="Times New Roman"/>
                <w:snapToGrid w:val="0"/>
                <w:spacing w:val="-2"/>
                <w:sz w:val="24"/>
                <w:szCs w:val="24"/>
                <w:lang w:val="fr-FR"/>
              </w:rPr>
              <w:t>Moyenne</w:t>
            </w:r>
            <w:r w:rsidR="000C66B3" w:rsidRPr="00E34E8F">
              <w:rPr>
                <w:rFonts w:ascii="Times New Roman" w:hAnsi="Times New Roman"/>
                <w:snapToGrid w:val="0"/>
                <w:spacing w:val="-2"/>
                <w:sz w:val="24"/>
                <w:szCs w:val="24"/>
                <w:lang w:val="fr-FR"/>
              </w:rPr>
              <w:t xml:space="preserve"> </w:t>
            </w:r>
            <w:r w:rsidR="006608C3" w:rsidRPr="00E34E8F">
              <w:rPr>
                <w:rFonts w:ascii="Times New Roman" w:hAnsi="Times New Roman"/>
                <w:snapToGrid w:val="0"/>
                <w:spacing w:val="-2"/>
                <w:sz w:val="24"/>
                <w:szCs w:val="24"/>
                <w:lang w:val="fr-FR"/>
              </w:rPr>
              <w:t>6</w:t>
            </w:r>
            <w:r>
              <w:rPr>
                <w:rFonts w:ascii="Times New Roman" w:hAnsi="Times New Roman"/>
                <w:snapToGrid w:val="0"/>
                <w:spacing w:val="-2"/>
                <w:sz w:val="24"/>
                <w:szCs w:val="24"/>
                <w:lang w:val="fr-FR"/>
              </w:rPr>
              <w:t>7</w:t>
            </w:r>
            <w:r w:rsidR="008044E6" w:rsidRPr="00E34E8F">
              <w:rPr>
                <w:rFonts w:ascii="Times New Roman" w:hAnsi="Times New Roman"/>
                <w:snapToGrid w:val="0"/>
                <w:spacing w:val="-2"/>
                <w:sz w:val="24"/>
                <w:szCs w:val="24"/>
                <w:lang w:val="fr-FR"/>
              </w:rPr>
              <w:t xml:space="preserve"> </w:t>
            </w:r>
            <w:r w:rsidR="000C66B3" w:rsidRPr="00E34E8F">
              <w:rPr>
                <w:rFonts w:ascii="Times New Roman" w:hAnsi="Times New Roman"/>
                <w:snapToGrid w:val="0"/>
                <w:spacing w:val="-2"/>
                <w:sz w:val="24"/>
                <w:szCs w:val="24"/>
                <w:lang w:val="fr-FR"/>
              </w:rPr>
              <w:lastRenderedPageBreak/>
              <w:t>%</w:t>
            </w:r>
          </w:p>
        </w:tc>
      </w:tr>
      <w:tr w:rsidR="000C66B3" w:rsidRPr="00E34E8F" w:rsidTr="008044E6">
        <w:trPr>
          <w:trHeight w:val="4877"/>
        </w:trPr>
        <w:tc>
          <w:tcPr>
            <w:tcW w:w="2718" w:type="dxa"/>
          </w:tcPr>
          <w:p w:rsidR="000C66B3" w:rsidRPr="00E34E8F" w:rsidRDefault="000C66B3" w:rsidP="000C66B3">
            <w:pPr>
              <w:spacing w:after="0" w:line="240" w:lineRule="auto"/>
              <w:ind w:left="307" w:hanging="307"/>
              <w:rPr>
                <w:rFonts w:ascii="Times New Roman" w:hAnsi="Times New Roman"/>
                <w:snapToGrid w:val="0"/>
                <w:spacing w:val="-2"/>
                <w:sz w:val="24"/>
                <w:szCs w:val="24"/>
                <w:lang w:val="fr-FR"/>
              </w:rPr>
            </w:pPr>
          </w:p>
          <w:p w:rsidR="000C66B3" w:rsidRPr="00E34E8F" w:rsidRDefault="000C66B3" w:rsidP="000C66B3">
            <w:pPr>
              <w:numPr>
                <w:ilvl w:val="0"/>
                <w:numId w:val="1"/>
              </w:numPr>
              <w:spacing w:after="0" w:line="240" w:lineRule="auto"/>
              <w:ind w:left="307" w:hanging="307"/>
              <w:rPr>
                <w:rFonts w:ascii="Times New Roman" w:hAnsi="Times New Roman"/>
                <w:snapToGrid w:val="0"/>
                <w:spacing w:val="-2"/>
                <w:sz w:val="24"/>
                <w:szCs w:val="24"/>
                <w:lang w:val="fr-FR"/>
              </w:rPr>
            </w:pPr>
            <w:r w:rsidRPr="00E34E8F">
              <w:rPr>
                <w:rFonts w:ascii="Times New Roman" w:hAnsi="Times New Roman"/>
                <w:snapToGrid w:val="0"/>
                <w:spacing w:val="-2"/>
                <w:sz w:val="24"/>
                <w:szCs w:val="24"/>
                <w:lang w:val="fr-FR"/>
              </w:rPr>
              <w:t>Au moins 50% du bâ</w:t>
            </w:r>
            <w:r w:rsidR="008044E6" w:rsidRPr="00E34E8F">
              <w:rPr>
                <w:rFonts w:ascii="Times New Roman" w:hAnsi="Times New Roman"/>
                <w:snapToGrid w:val="0"/>
                <w:spacing w:val="-2"/>
                <w:sz w:val="24"/>
                <w:szCs w:val="24"/>
                <w:lang w:val="fr-FR"/>
              </w:rPr>
              <w:t>t</w:t>
            </w:r>
            <w:r w:rsidRPr="00E34E8F">
              <w:rPr>
                <w:rFonts w:ascii="Times New Roman" w:hAnsi="Times New Roman"/>
                <w:snapToGrid w:val="0"/>
                <w:spacing w:val="-2"/>
                <w:sz w:val="24"/>
                <w:szCs w:val="24"/>
                <w:lang w:val="fr-FR"/>
              </w:rPr>
              <w:t>i des 4 principales villes du grand nord est évalué et classé.</w:t>
            </w:r>
          </w:p>
          <w:p w:rsidR="000C66B3" w:rsidRPr="00E34E8F" w:rsidRDefault="000C66B3" w:rsidP="000C66B3">
            <w:pPr>
              <w:spacing w:after="0" w:line="240" w:lineRule="auto"/>
              <w:ind w:left="307" w:hanging="307"/>
              <w:rPr>
                <w:rFonts w:ascii="Times New Roman" w:hAnsi="Times New Roman"/>
                <w:snapToGrid w:val="0"/>
                <w:spacing w:val="-2"/>
                <w:sz w:val="24"/>
                <w:szCs w:val="24"/>
                <w:lang w:val="fr-FR"/>
              </w:rPr>
            </w:pPr>
          </w:p>
          <w:p w:rsidR="000C66B3" w:rsidRPr="00E34E8F" w:rsidRDefault="000C66B3" w:rsidP="000C66B3">
            <w:pPr>
              <w:numPr>
                <w:ilvl w:val="0"/>
                <w:numId w:val="1"/>
              </w:numPr>
              <w:spacing w:after="0" w:line="240" w:lineRule="auto"/>
              <w:ind w:left="307" w:hanging="307"/>
              <w:rPr>
                <w:rFonts w:ascii="Times New Roman" w:hAnsi="Times New Roman"/>
                <w:snapToGrid w:val="0"/>
                <w:spacing w:val="-2"/>
                <w:sz w:val="24"/>
                <w:szCs w:val="24"/>
                <w:lang w:val="fr-FR"/>
              </w:rPr>
            </w:pPr>
            <w:r w:rsidRPr="00E34E8F">
              <w:rPr>
                <w:rFonts w:ascii="Times New Roman" w:hAnsi="Times New Roman"/>
                <w:snapToGrid w:val="0"/>
                <w:spacing w:val="-2"/>
                <w:sz w:val="24"/>
                <w:szCs w:val="24"/>
                <w:lang w:val="fr-FR"/>
              </w:rPr>
              <w:t>Au moins 6 bâtiments à fort enjeu sont renforcés.</w:t>
            </w:r>
          </w:p>
          <w:p w:rsidR="000C66B3" w:rsidRPr="00E34E8F" w:rsidRDefault="000C66B3" w:rsidP="000C66B3">
            <w:pPr>
              <w:spacing w:after="0" w:line="240" w:lineRule="auto"/>
              <w:ind w:left="307" w:hanging="307"/>
              <w:rPr>
                <w:rFonts w:ascii="Times New Roman" w:hAnsi="Times New Roman"/>
                <w:snapToGrid w:val="0"/>
                <w:spacing w:val="-2"/>
                <w:sz w:val="24"/>
                <w:szCs w:val="24"/>
                <w:lang w:val="fr-FR"/>
              </w:rPr>
            </w:pPr>
          </w:p>
          <w:p w:rsidR="000C66B3" w:rsidRPr="00E34E8F" w:rsidRDefault="000C66B3" w:rsidP="000C66B3">
            <w:pPr>
              <w:numPr>
                <w:ilvl w:val="0"/>
                <w:numId w:val="1"/>
              </w:numPr>
              <w:spacing w:after="0" w:line="240" w:lineRule="auto"/>
              <w:ind w:left="307" w:hanging="307"/>
              <w:rPr>
                <w:rFonts w:ascii="Times New Roman" w:hAnsi="Times New Roman"/>
                <w:snapToGrid w:val="0"/>
                <w:spacing w:val="-2"/>
                <w:sz w:val="24"/>
                <w:szCs w:val="24"/>
                <w:lang w:val="fr-FR"/>
              </w:rPr>
            </w:pPr>
            <w:r w:rsidRPr="00E34E8F">
              <w:rPr>
                <w:rFonts w:ascii="Times New Roman" w:hAnsi="Times New Roman"/>
                <w:snapToGrid w:val="0"/>
                <w:spacing w:val="-2"/>
                <w:sz w:val="24"/>
                <w:szCs w:val="24"/>
                <w:lang w:val="fr-FR"/>
              </w:rPr>
              <w:t>Au moins 100 maçons, 30 ingénieurs du secteur public et 30 ingénieurs et architectes du secteur privé sont formés et certifiés à la construction parasismique.</w:t>
            </w:r>
          </w:p>
          <w:p w:rsidR="000C66B3" w:rsidRPr="00E34E8F" w:rsidRDefault="000C66B3" w:rsidP="000C66B3">
            <w:pPr>
              <w:spacing w:after="0" w:line="240" w:lineRule="auto"/>
              <w:ind w:left="307" w:hanging="307"/>
              <w:rPr>
                <w:rFonts w:ascii="Times New Roman" w:hAnsi="Times New Roman"/>
                <w:snapToGrid w:val="0"/>
                <w:spacing w:val="-2"/>
                <w:sz w:val="24"/>
                <w:szCs w:val="24"/>
                <w:lang w:val="fr-FR"/>
              </w:rPr>
            </w:pPr>
          </w:p>
          <w:p w:rsidR="000C66B3" w:rsidRPr="00E34E8F" w:rsidRDefault="000C66B3" w:rsidP="000C66B3">
            <w:pPr>
              <w:numPr>
                <w:ilvl w:val="0"/>
                <w:numId w:val="1"/>
              </w:numPr>
              <w:spacing w:after="0" w:line="240" w:lineRule="auto"/>
              <w:ind w:left="307" w:hanging="307"/>
              <w:rPr>
                <w:rFonts w:ascii="Times New Roman" w:hAnsi="Times New Roman"/>
                <w:snapToGrid w:val="0"/>
                <w:spacing w:val="-2"/>
                <w:sz w:val="24"/>
                <w:szCs w:val="24"/>
                <w:lang w:val="fr-FR"/>
              </w:rPr>
            </w:pPr>
            <w:r w:rsidRPr="00E34E8F">
              <w:rPr>
                <w:rFonts w:ascii="Times New Roman" w:hAnsi="Times New Roman"/>
                <w:snapToGrid w:val="0"/>
                <w:spacing w:val="-2"/>
                <w:sz w:val="24"/>
                <w:szCs w:val="24"/>
                <w:lang w:val="fr-FR"/>
              </w:rPr>
              <w:t xml:space="preserve">Au moins 3 écoles et 3 hôpitaux servent de démonstrateur pour la réduction du risque sismique et au moins 50% des écoles et des hôpitaux intègrent la menace </w:t>
            </w:r>
            <w:r w:rsidRPr="00E34E8F">
              <w:rPr>
                <w:rFonts w:ascii="Times New Roman" w:hAnsi="Times New Roman"/>
                <w:snapToGrid w:val="0"/>
                <w:spacing w:val="-2"/>
                <w:sz w:val="24"/>
                <w:szCs w:val="24"/>
                <w:lang w:val="fr-FR"/>
              </w:rPr>
              <w:lastRenderedPageBreak/>
              <w:t>sismique dans leurs pratiques de préparation.</w:t>
            </w:r>
          </w:p>
          <w:p w:rsidR="000C66B3" w:rsidRDefault="000C66B3" w:rsidP="000C66B3">
            <w:pPr>
              <w:pStyle w:val="ListParagraph"/>
              <w:rPr>
                <w:spacing w:val="-2"/>
                <w:szCs w:val="24"/>
                <w:lang w:val="fr-FR"/>
              </w:rPr>
            </w:pPr>
          </w:p>
          <w:p w:rsidR="007B1762" w:rsidRDefault="007B1762" w:rsidP="000C66B3">
            <w:pPr>
              <w:pStyle w:val="ListParagraph"/>
              <w:rPr>
                <w:spacing w:val="-2"/>
                <w:szCs w:val="24"/>
                <w:lang w:val="fr-FR"/>
              </w:rPr>
            </w:pPr>
          </w:p>
          <w:p w:rsidR="007B1762" w:rsidRDefault="007B1762" w:rsidP="000C66B3">
            <w:pPr>
              <w:pStyle w:val="ListParagraph"/>
              <w:rPr>
                <w:spacing w:val="-2"/>
                <w:szCs w:val="24"/>
                <w:lang w:val="fr-FR"/>
              </w:rPr>
            </w:pPr>
          </w:p>
          <w:p w:rsidR="007B1762" w:rsidRDefault="007B1762" w:rsidP="000C66B3">
            <w:pPr>
              <w:pStyle w:val="ListParagraph"/>
              <w:rPr>
                <w:spacing w:val="-2"/>
                <w:szCs w:val="24"/>
                <w:lang w:val="fr-FR"/>
              </w:rPr>
            </w:pPr>
          </w:p>
          <w:p w:rsidR="007B1762" w:rsidRDefault="007B1762" w:rsidP="000C66B3">
            <w:pPr>
              <w:pStyle w:val="ListParagraph"/>
              <w:rPr>
                <w:spacing w:val="-2"/>
                <w:szCs w:val="24"/>
                <w:lang w:val="fr-FR"/>
              </w:rPr>
            </w:pPr>
          </w:p>
          <w:p w:rsidR="007B1762" w:rsidRDefault="007B1762" w:rsidP="000C66B3">
            <w:pPr>
              <w:pStyle w:val="ListParagraph"/>
              <w:rPr>
                <w:spacing w:val="-2"/>
                <w:szCs w:val="24"/>
                <w:lang w:val="fr-FR"/>
              </w:rPr>
            </w:pPr>
          </w:p>
          <w:p w:rsidR="007B1762" w:rsidRDefault="007B1762" w:rsidP="000C66B3">
            <w:pPr>
              <w:pStyle w:val="ListParagraph"/>
              <w:rPr>
                <w:spacing w:val="-2"/>
                <w:szCs w:val="24"/>
                <w:lang w:val="fr-FR"/>
              </w:rPr>
            </w:pPr>
          </w:p>
          <w:p w:rsidR="007B1762" w:rsidRPr="000C66B3" w:rsidRDefault="007B1762" w:rsidP="000C66B3">
            <w:pPr>
              <w:pStyle w:val="ListParagraph"/>
              <w:rPr>
                <w:spacing w:val="-2"/>
                <w:szCs w:val="24"/>
                <w:lang w:val="fr-FR"/>
              </w:rPr>
            </w:pPr>
          </w:p>
          <w:p w:rsidR="000C66B3" w:rsidRPr="00E34E8F" w:rsidRDefault="000C66B3" w:rsidP="000C66B3">
            <w:pPr>
              <w:numPr>
                <w:ilvl w:val="0"/>
                <w:numId w:val="1"/>
              </w:numPr>
              <w:spacing w:after="0" w:line="240" w:lineRule="auto"/>
              <w:ind w:left="307" w:hanging="307"/>
              <w:rPr>
                <w:rFonts w:ascii="Times New Roman" w:hAnsi="Times New Roman"/>
                <w:snapToGrid w:val="0"/>
                <w:spacing w:val="-2"/>
                <w:sz w:val="24"/>
                <w:szCs w:val="24"/>
                <w:lang w:val="fr-FR"/>
              </w:rPr>
            </w:pPr>
            <w:r w:rsidRPr="00E34E8F">
              <w:rPr>
                <w:rFonts w:ascii="Times New Roman" w:hAnsi="Times New Roman"/>
                <w:snapToGrid w:val="0"/>
                <w:spacing w:val="-2"/>
                <w:sz w:val="24"/>
                <w:szCs w:val="24"/>
                <w:lang w:val="fr-FR"/>
              </w:rPr>
              <w:t xml:space="preserve">Sensibilisation, information  du grand public sur les phénomènes de tremblement de terres et mesures de mitigation. </w:t>
            </w:r>
          </w:p>
          <w:p w:rsidR="000C66B3" w:rsidRPr="00E34E8F" w:rsidRDefault="000C66B3" w:rsidP="000C66B3">
            <w:pPr>
              <w:spacing w:after="0" w:line="240" w:lineRule="auto"/>
              <w:ind w:left="307"/>
              <w:rPr>
                <w:rFonts w:ascii="Times New Roman" w:hAnsi="Times New Roman"/>
                <w:snapToGrid w:val="0"/>
                <w:spacing w:val="-2"/>
                <w:sz w:val="24"/>
                <w:szCs w:val="24"/>
                <w:lang w:val="fr-FR"/>
              </w:rPr>
            </w:pPr>
          </w:p>
        </w:tc>
        <w:tc>
          <w:tcPr>
            <w:tcW w:w="5400" w:type="dxa"/>
            <w:vAlign w:val="center"/>
          </w:tcPr>
          <w:p w:rsidR="00671C86" w:rsidRPr="00E34E8F" w:rsidRDefault="008044E6" w:rsidP="000C66B3">
            <w:pPr>
              <w:spacing w:after="0" w:line="240" w:lineRule="auto"/>
              <w:jc w:val="both"/>
              <w:rPr>
                <w:rFonts w:ascii="Times New Roman" w:hAnsi="Times New Roman"/>
                <w:color w:val="000000"/>
                <w:sz w:val="24"/>
                <w:szCs w:val="24"/>
                <w:lang w:val="fr-FR"/>
              </w:rPr>
            </w:pPr>
            <w:r w:rsidRPr="00E34E8F">
              <w:rPr>
                <w:rFonts w:ascii="Times New Roman" w:hAnsi="Times New Roman"/>
                <w:color w:val="000000"/>
                <w:sz w:val="24"/>
                <w:szCs w:val="24"/>
                <w:lang w:val="fr-FR"/>
              </w:rPr>
              <w:lastRenderedPageBreak/>
              <w:t xml:space="preserve">* </w:t>
            </w:r>
            <w:r w:rsidR="000C66B3" w:rsidRPr="00E34E8F">
              <w:rPr>
                <w:rFonts w:ascii="Times New Roman" w:hAnsi="Times New Roman"/>
                <w:color w:val="000000"/>
                <w:sz w:val="24"/>
                <w:szCs w:val="24"/>
                <w:lang w:val="fr-FR"/>
              </w:rPr>
              <w:t>GHI a commencé</w:t>
            </w:r>
            <w:r w:rsidR="002F14A5" w:rsidRPr="00E34E8F">
              <w:rPr>
                <w:rFonts w:ascii="Times New Roman" w:hAnsi="Times New Roman"/>
                <w:color w:val="000000"/>
                <w:sz w:val="24"/>
                <w:szCs w:val="24"/>
                <w:lang w:val="fr-FR"/>
              </w:rPr>
              <w:t xml:space="preserve"> avec la formation</w:t>
            </w:r>
            <w:r w:rsidR="000C66B3" w:rsidRPr="00E34E8F">
              <w:rPr>
                <w:rFonts w:ascii="Times New Roman" w:hAnsi="Times New Roman"/>
                <w:color w:val="000000"/>
                <w:sz w:val="24"/>
                <w:szCs w:val="24"/>
                <w:lang w:val="fr-FR"/>
              </w:rPr>
              <w:t xml:space="preserve"> </w:t>
            </w:r>
            <w:r w:rsidR="002F14A5" w:rsidRPr="00E34E8F">
              <w:rPr>
                <w:rFonts w:ascii="Times New Roman" w:hAnsi="Times New Roman"/>
                <w:color w:val="000000"/>
                <w:sz w:val="24"/>
                <w:szCs w:val="24"/>
                <w:lang w:val="fr-FR"/>
              </w:rPr>
              <w:t>sur l’introduction à l’évaluation sismique des bâtiments pour</w:t>
            </w:r>
            <w:r w:rsidR="000C66B3" w:rsidRPr="00E34E8F">
              <w:rPr>
                <w:rFonts w:ascii="Times New Roman" w:hAnsi="Times New Roman"/>
                <w:color w:val="000000"/>
                <w:sz w:val="24"/>
                <w:szCs w:val="24"/>
                <w:lang w:val="fr-FR"/>
              </w:rPr>
              <w:t xml:space="preserve"> des ingénieurs</w:t>
            </w:r>
            <w:r w:rsidR="002F14A5" w:rsidRPr="00E34E8F">
              <w:rPr>
                <w:rFonts w:ascii="Times New Roman" w:hAnsi="Times New Roman"/>
                <w:color w:val="000000"/>
                <w:sz w:val="24"/>
                <w:szCs w:val="24"/>
                <w:lang w:val="fr-FR"/>
              </w:rPr>
              <w:t xml:space="preserve"> des secteurs publics et privés, à </w:t>
            </w:r>
            <w:r w:rsidRPr="00E34E8F">
              <w:rPr>
                <w:rFonts w:ascii="Times New Roman" w:hAnsi="Times New Roman"/>
                <w:color w:val="000000"/>
                <w:sz w:val="24"/>
                <w:szCs w:val="24"/>
                <w:lang w:val="fr-FR"/>
              </w:rPr>
              <w:t>C</w:t>
            </w:r>
            <w:r w:rsidR="000C66B3" w:rsidRPr="00E34E8F">
              <w:rPr>
                <w:rFonts w:ascii="Times New Roman" w:hAnsi="Times New Roman"/>
                <w:color w:val="000000"/>
                <w:sz w:val="24"/>
                <w:szCs w:val="24"/>
                <w:lang w:val="fr-FR"/>
              </w:rPr>
              <w:t>ap</w:t>
            </w:r>
            <w:r w:rsidRPr="00E34E8F">
              <w:rPr>
                <w:rFonts w:ascii="Times New Roman" w:hAnsi="Times New Roman"/>
                <w:color w:val="000000"/>
                <w:sz w:val="24"/>
                <w:szCs w:val="24"/>
                <w:lang w:val="fr-FR"/>
              </w:rPr>
              <w:t>-Haitien</w:t>
            </w:r>
            <w:r w:rsidR="002F14A5" w:rsidRPr="00E34E8F">
              <w:rPr>
                <w:rFonts w:ascii="Times New Roman" w:hAnsi="Times New Roman"/>
                <w:color w:val="000000"/>
                <w:sz w:val="24"/>
                <w:szCs w:val="24"/>
                <w:lang w:val="fr-FR"/>
              </w:rPr>
              <w:t>/</w:t>
            </w:r>
            <w:r w:rsidRPr="00E34E8F">
              <w:rPr>
                <w:rFonts w:ascii="Times New Roman" w:hAnsi="Times New Roman"/>
                <w:color w:val="000000"/>
                <w:sz w:val="24"/>
                <w:szCs w:val="24"/>
                <w:lang w:val="fr-FR"/>
              </w:rPr>
              <w:t>le Nord, Port-de-Paix</w:t>
            </w:r>
            <w:r w:rsidR="002F14A5" w:rsidRPr="00E34E8F">
              <w:rPr>
                <w:rFonts w:ascii="Times New Roman" w:hAnsi="Times New Roman"/>
                <w:color w:val="000000"/>
                <w:sz w:val="24"/>
                <w:szCs w:val="24"/>
                <w:lang w:val="fr-FR"/>
              </w:rPr>
              <w:t>/</w:t>
            </w:r>
            <w:r w:rsidRPr="00E34E8F">
              <w:rPr>
                <w:rFonts w:ascii="Times New Roman" w:hAnsi="Times New Roman"/>
                <w:color w:val="000000"/>
                <w:sz w:val="24"/>
                <w:szCs w:val="24"/>
                <w:lang w:val="fr-FR"/>
              </w:rPr>
              <w:t xml:space="preserve">le </w:t>
            </w:r>
            <w:proofErr w:type="spellStart"/>
            <w:r w:rsidRPr="00E34E8F">
              <w:rPr>
                <w:rFonts w:ascii="Times New Roman" w:hAnsi="Times New Roman"/>
                <w:color w:val="000000"/>
                <w:sz w:val="24"/>
                <w:szCs w:val="24"/>
                <w:lang w:val="fr-FR"/>
              </w:rPr>
              <w:t>Nord’Ouest</w:t>
            </w:r>
            <w:proofErr w:type="spellEnd"/>
            <w:r w:rsidRPr="00E34E8F">
              <w:rPr>
                <w:rFonts w:ascii="Times New Roman" w:hAnsi="Times New Roman"/>
                <w:color w:val="000000"/>
                <w:sz w:val="24"/>
                <w:szCs w:val="24"/>
                <w:lang w:val="fr-FR"/>
              </w:rPr>
              <w:t xml:space="preserve"> et Fort-Liberté</w:t>
            </w:r>
            <w:r w:rsidR="002F14A5" w:rsidRPr="00E34E8F">
              <w:rPr>
                <w:rFonts w:ascii="Times New Roman" w:hAnsi="Times New Roman"/>
                <w:color w:val="000000"/>
                <w:sz w:val="24"/>
                <w:szCs w:val="24"/>
                <w:lang w:val="fr-FR"/>
              </w:rPr>
              <w:t>/</w:t>
            </w:r>
            <w:r w:rsidRPr="00E34E8F">
              <w:rPr>
                <w:rFonts w:ascii="Times New Roman" w:hAnsi="Times New Roman"/>
                <w:color w:val="000000"/>
                <w:sz w:val="24"/>
                <w:szCs w:val="24"/>
                <w:lang w:val="fr-FR"/>
              </w:rPr>
              <w:t xml:space="preserve">le </w:t>
            </w:r>
            <w:proofErr w:type="spellStart"/>
            <w:r w:rsidRPr="00E34E8F">
              <w:rPr>
                <w:rFonts w:ascii="Times New Roman" w:hAnsi="Times New Roman"/>
                <w:color w:val="000000"/>
                <w:sz w:val="24"/>
                <w:szCs w:val="24"/>
                <w:lang w:val="fr-FR"/>
              </w:rPr>
              <w:t>Nord’Est</w:t>
            </w:r>
            <w:proofErr w:type="spellEnd"/>
            <w:r w:rsidR="002F14A5" w:rsidRPr="00E34E8F">
              <w:rPr>
                <w:rFonts w:ascii="Times New Roman" w:hAnsi="Times New Roman"/>
                <w:color w:val="000000"/>
                <w:sz w:val="24"/>
                <w:szCs w:val="24"/>
                <w:lang w:val="fr-FR"/>
              </w:rPr>
              <w:t xml:space="preserve"> (</w:t>
            </w:r>
            <w:r w:rsidR="002F14A5" w:rsidRPr="00E34E8F">
              <w:rPr>
                <w:rFonts w:ascii="Times New Roman" w:hAnsi="Times New Roman"/>
                <w:sz w:val="24"/>
                <w:szCs w:val="24"/>
                <w:lang w:val="fr-FR"/>
              </w:rPr>
              <w:t xml:space="preserve">Au total </w:t>
            </w:r>
            <w:r w:rsidR="009B1EF8" w:rsidRPr="00E34E8F">
              <w:rPr>
                <w:rFonts w:ascii="Times New Roman" w:hAnsi="Times New Roman"/>
                <w:sz w:val="24"/>
                <w:szCs w:val="24"/>
                <w:lang w:val="fr-FR"/>
              </w:rPr>
              <w:t>17</w:t>
            </w:r>
            <w:r w:rsidR="002F14A5" w:rsidRPr="00E34E8F">
              <w:rPr>
                <w:rFonts w:ascii="Times New Roman" w:hAnsi="Times New Roman"/>
                <w:sz w:val="24"/>
                <w:szCs w:val="24"/>
                <w:lang w:val="fr-FR"/>
              </w:rPr>
              <w:t xml:space="preserve"> Ingénieurs ont été formés à Fort-Liberté</w:t>
            </w:r>
            <w:r w:rsidR="007B1762" w:rsidRPr="00E34E8F">
              <w:rPr>
                <w:rFonts w:ascii="Times New Roman" w:hAnsi="Times New Roman"/>
                <w:sz w:val="24"/>
                <w:szCs w:val="24"/>
                <w:lang w:val="fr-FR"/>
              </w:rPr>
              <w:t>, 07</w:t>
            </w:r>
            <w:r w:rsidR="002F14A5" w:rsidRPr="00E34E8F">
              <w:rPr>
                <w:rFonts w:ascii="Times New Roman" w:hAnsi="Times New Roman"/>
                <w:sz w:val="24"/>
                <w:szCs w:val="24"/>
                <w:lang w:val="fr-FR"/>
              </w:rPr>
              <w:t xml:space="preserve"> à Cap-Haitien</w:t>
            </w:r>
            <w:r w:rsidR="002F14A5" w:rsidRPr="00E34E8F">
              <w:rPr>
                <w:rFonts w:ascii="Times New Roman" w:hAnsi="Times New Roman"/>
                <w:color w:val="FF0000"/>
                <w:sz w:val="24"/>
                <w:szCs w:val="24"/>
                <w:lang w:val="fr-FR"/>
              </w:rPr>
              <w:t xml:space="preserve"> </w:t>
            </w:r>
            <w:r w:rsidR="002F14A5" w:rsidRPr="00E34E8F">
              <w:rPr>
                <w:rFonts w:ascii="Times New Roman" w:hAnsi="Times New Roman"/>
                <w:sz w:val="24"/>
                <w:szCs w:val="24"/>
                <w:lang w:val="fr-FR"/>
              </w:rPr>
              <w:t xml:space="preserve">et </w:t>
            </w:r>
            <w:r w:rsidR="009B1EF8" w:rsidRPr="00E34E8F">
              <w:rPr>
                <w:rFonts w:ascii="Times New Roman" w:hAnsi="Times New Roman"/>
                <w:sz w:val="24"/>
                <w:szCs w:val="24"/>
                <w:lang w:val="fr-FR"/>
              </w:rPr>
              <w:t>1</w:t>
            </w:r>
            <w:r w:rsidR="00BB70E9">
              <w:rPr>
                <w:rFonts w:ascii="Times New Roman" w:hAnsi="Times New Roman"/>
                <w:sz w:val="24"/>
                <w:szCs w:val="24"/>
                <w:lang w:val="fr-FR"/>
              </w:rPr>
              <w:t>3</w:t>
            </w:r>
            <w:r w:rsidR="002F14A5" w:rsidRPr="00E34E8F">
              <w:rPr>
                <w:rFonts w:ascii="Times New Roman" w:hAnsi="Times New Roman"/>
                <w:sz w:val="24"/>
                <w:szCs w:val="24"/>
                <w:lang w:val="fr-FR"/>
              </w:rPr>
              <w:t xml:space="preserve"> à Port-de-Paix)</w:t>
            </w:r>
            <w:r w:rsidRPr="00E34E8F">
              <w:rPr>
                <w:rFonts w:ascii="Times New Roman" w:hAnsi="Times New Roman"/>
                <w:sz w:val="24"/>
                <w:szCs w:val="24"/>
                <w:lang w:val="fr-FR"/>
              </w:rPr>
              <w:t>.</w:t>
            </w:r>
            <w:r w:rsidR="000C66B3" w:rsidRPr="00E34E8F">
              <w:rPr>
                <w:rFonts w:ascii="Times New Roman" w:hAnsi="Times New Roman"/>
                <w:sz w:val="24"/>
                <w:szCs w:val="24"/>
                <w:lang w:val="fr-FR"/>
              </w:rPr>
              <w:t xml:space="preserve"> </w:t>
            </w:r>
          </w:p>
          <w:p w:rsidR="00622BAE" w:rsidRDefault="009B1EF8" w:rsidP="00671C86">
            <w:pPr>
              <w:spacing w:after="0" w:line="240" w:lineRule="auto"/>
              <w:jc w:val="both"/>
              <w:rPr>
                <w:rFonts w:ascii="Times New Roman" w:hAnsi="Times New Roman"/>
                <w:color w:val="000000"/>
                <w:sz w:val="24"/>
                <w:szCs w:val="24"/>
                <w:lang w:val="fr-FR"/>
              </w:rPr>
            </w:pPr>
            <w:r w:rsidRPr="00E34E8F">
              <w:rPr>
                <w:rFonts w:ascii="Times New Roman" w:hAnsi="Times New Roman"/>
                <w:color w:val="000000"/>
                <w:sz w:val="24"/>
                <w:szCs w:val="24"/>
                <w:lang w:val="fr-FR"/>
              </w:rPr>
              <w:t>*</w:t>
            </w:r>
            <w:r w:rsidR="006B23CB">
              <w:rPr>
                <w:rFonts w:ascii="Times New Roman" w:hAnsi="Times New Roman"/>
                <w:color w:val="000000"/>
                <w:sz w:val="24"/>
                <w:szCs w:val="24"/>
                <w:lang w:val="fr-FR"/>
              </w:rPr>
              <w:t xml:space="preserve"> Rapport  (version anglaise et française</w:t>
            </w:r>
            <w:r w:rsidR="00622BAE">
              <w:rPr>
                <w:rFonts w:ascii="Times New Roman" w:hAnsi="Times New Roman"/>
                <w:color w:val="000000"/>
                <w:sz w:val="24"/>
                <w:szCs w:val="24"/>
                <w:lang w:val="fr-FR"/>
              </w:rPr>
              <w:t>)</w:t>
            </w:r>
            <w:r w:rsidR="006B23CB">
              <w:rPr>
                <w:rFonts w:ascii="Times New Roman" w:hAnsi="Times New Roman"/>
                <w:color w:val="000000"/>
                <w:sz w:val="24"/>
                <w:szCs w:val="24"/>
                <w:lang w:val="fr-FR"/>
              </w:rPr>
              <w:t xml:space="preserve"> sur l’évaluation de 9 </w:t>
            </w:r>
            <w:r w:rsidR="00F15837">
              <w:rPr>
                <w:rFonts w:ascii="Times New Roman" w:hAnsi="Times New Roman"/>
                <w:color w:val="000000"/>
                <w:sz w:val="24"/>
                <w:szCs w:val="24"/>
                <w:lang w:val="fr-FR"/>
              </w:rPr>
              <w:t>bâtiments publics dans les trois départements et recommandations pour les travaux de</w:t>
            </w:r>
            <w:r w:rsidR="00622BAE">
              <w:rPr>
                <w:rFonts w:ascii="Times New Roman" w:hAnsi="Times New Roman"/>
                <w:color w:val="000000"/>
                <w:sz w:val="24"/>
                <w:szCs w:val="24"/>
                <w:lang w:val="fr-FR"/>
              </w:rPr>
              <w:t xml:space="preserve"> renforcement</w:t>
            </w:r>
          </w:p>
          <w:p w:rsidR="00622BAE" w:rsidRDefault="00622BAE" w:rsidP="00671C86">
            <w:pPr>
              <w:spacing w:after="0" w:line="240" w:lineRule="auto"/>
              <w:jc w:val="both"/>
              <w:rPr>
                <w:rFonts w:ascii="Times New Roman" w:hAnsi="Times New Roman"/>
                <w:color w:val="000000"/>
                <w:sz w:val="24"/>
                <w:szCs w:val="24"/>
                <w:lang w:val="fr-FR"/>
              </w:rPr>
            </w:pPr>
            <w:r w:rsidRPr="00E34E8F">
              <w:rPr>
                <w:rFonts w:ascii="Times New Roman" w:hAnsi="Times New Roman"/>
                <w:color w:val="000000"/>
                <w:sz w:val="24"/>
                <w:szCs w:val="24"/>
                <w:lang w:val="fr-FR"/>
              </w:rPr>
              <w:t>*</w:t>
            </w:r>
            <w:r>
              <w:rPr>
                <w:rFonts w:ascii="Times New Roman" w:hAnsi="Times New Roman"/>
                <w:color w:val="000000"/>
                <w:sz w:val="24"/>
                <w:szCs w:val="24"/>
                <w:lang w:val="fr-FR"/>
              </w:rPr>
              <w:t xml:space="preserve">Identification des bâtiments publiques pour le renforcement  et étude sur la typologie des </w:t>
            </w:r>
            <w:r w:rsidR="008D6E5B">
              <w:rPr>
                <w:rFonts w:ascii="Times New Roman" w:hAnsi="Times New Roman"/>
                <w:color w:val="000000"/>
                <w:sz w:val="24"/>
                <w:szCs w:val="24"/>
                <w:lang w:val="fr-FR"/>
              </w:rPr>
              <w:t>bâtiments</w:t>
            </w:r>
            <w:r>
              <w:rPr>
                <w:rFonts w:ascii="Times New Roman" w:hAnsi="Times New Roman"/>
                <w:color w:val="000000"/>
                <w:sz w:val="24"/>
                <w:szCs w:val="24"/>
                <w:lang w:val="fr-FR"/>
              </w:rPr>
              <w:t xml:space="preserve"> publiques </w:t>
            </w:r>
          </w:p>
          <w:p w:rsidR="000C66B3" w:rsidRPr="00E34E8F" w:rsidRDefault="00622BAE" w:rsidP="00622BAE">
            <w:pPr>
              <w:spacing w:after="0" w:line="240" w:lineRule="auto"/>
              <w:jc w:val="both"/>
              <w:rPr>
                <w:rFonts w:ascii="Times New Roman" w:hAnsi="Times New Roman"/>
                <w:snapToGrid w:val="0"/>
                <w:color w:val="000000"/>
                <w:sz w:val="24"/>
                <w:szCs w:val="24"/>
                <w:lang w:val="fr-FR"/>
              </w:rPr>
            </w:pPr>
            <w:r w:rsidRPr="00E34E8F">
              <w:rPr>
                <w:rFonts w:ascii="Times New Roman" w:hAnsi="Times New Roman"/>
                <w:color w:val="000000"/>
                <w:sz w:val="24"/>
                <w:szCs w:val="24"/>
                <w:lang w:val="fr-FR"/>
              </w:rPr>
              <w:t>*</w:t>
            </w:r>
            <w:r>
              <w:rPr>
                <w:rFonts w:ascii="Times New Roman" w:hAnsi="Times New Roman"/>
                <w:color w:val="000000"/>
                <w:sz w:val="24"/>
                <w:szCs w:val="24"/>
                <w:lang w:val="fr-FR"/>
              </w:rPr>
              <w:t xml:space="preserve"> Travaux de préparation pour l’évaluation de bâtiments publiques dans les trois villes du nord et travaux de préparations de scenarios </w:t>
            </w:r>
          </w:p>
          <w:p w:rsidR="009B1EF8" w:rsidRPr="00E34E8F" w:rsidRDefault="00622BAE" w:rsidP="009B1EF8">
            <w:pPr>
              <w:spacing w:after="0" w:line="240" w:lineRule="auto"/>
              <w:jc w:val="both"/>
              <w:rPr>
                <w:rFonts w:ascii="Times New Roman" w:hAnsi="Times New Roman"/>
                <w:color w:val="000000"/>
                <w:sz w:val="24"/>
                <w:szCs w:val="24"/>
                <w:lang w:val="fr-FR"/>
              </w:rPr>
            </w:pPr>
            <w:r w:rsidRPr="00E34E8F">
              <w:rPr>
                <w:rFonts w:ascii="Times New Roman" w:hAnsi="Times New Roman"/>
                <w:color w:val="000000"/>
                <w:sz w:val="24"/>
                <w:szCs w:val="24"/>
                <w:lang w:val="fr-FR"/>
              </w:rPr>
              <w:t>*</w:t>
            </w:r>
            <w:r>
              <w:rPr>
                <w:rFonts w:ascii="Times New Roman" w:hAnsi="Times New Roman"/>
                <w:color w:val="000000"/>
                <w:sz w:val="24"/>
                <w:szCs w:val="24"/>
                <w:lang w:val="fr-FR"/>
              </w:rPr>
              <w:t xml:space="preserve"> Préparations de </w:t>
            </w:r>
            <w:proofErr w:type="spellStart"/>
            <w:r>
              <w:rPr>
                <w:rFonts w:ascii="Times New Roman" w:hAnsi="Times New Roman"/>
                <w:color w:val="000000"/>
                <w:sz w:val="24"/>
                <w:szCs w:val="24"/>
                <w:lang w:val="fr-FR"/>
              </w:rPr>
              <w:t>TDRs</w:t>
            </w:r>
            <w:proofErr w:type="spellEnd"/>
            <w:r>
              <w:rPr>
                <w:rFonts w:ascii="Times New Roman" w:hAnsi="Times New Roman"/>
                <w:color w:val="000000"/>
                <w:sz w:val="24"/>
                <w:szCs w:val="24"/>
                <w:lang w:val="fr-FR"/>
              </w:rPr>
              <w:t xml:space="preserve"> pour les programmes de formations de la chaine de construction par le sous-traitant.</w:t>
            </w:r>
          </w:p>
          <w:p w:rsidR="00E64CAB" w:rsidRPr="00CD1CA2" w:rsidRDefault="00A84BE3" w:rsidP="00E64CAB">
            <w:pPr>
              <w:spacing w:after="240"/>
              <w:rPr>
                <w:sz w:val="16"/>
                <w:szCs w:val="16"/>
                <w:lang w:val="fr-FR"/>
              </w:rPr>
            </w:pPr>
            <w:hyperlink r:id="rId9" w:tgtFrame="_blank" w:history="1">
              <w:r w:rsidR="00E64CAB" w:rsidRPr="00CD1CA2">
                <w:rPr>
                  <w:rStyle w:val="Hyperlink"/>
                  <w:sz w:val="16"/>
                  <w:szCs w:val="16"/>
                  <w:lang w:val="fr-FR"/>
                </w:rPr>
                <w:t>https://drive.google.com/file/d/0B2q4zwyqvkLtaXd5aWFUWTR6dk0/edit?usp=sharing</w:t>
              </w:r>
            </w:hyperlink>
            <w:r w:rsidR="00E64CAB" w:rsidRPr="00CD1CA2">
              <w:rPr>
                <w:sz w:val="16"/>
                <w:szCs w:val="16"/>
                <w:lang w:val="fr-FR"/>
              </w:rPr>
              <w:t xml:space="preserve">   </w:t>
            </w:r>
          </w:p>
          <w:p w:rsidR="00E64CAB" w:rsidRPr="00CD1CA2" w:rsidRDefault="00E64CAB" w:rsidP="00E64CAB">
            <w:pPr>
              <w:rPr>
                <w:sz w:val="16"/>
                <w:szCs w:val="16"/>
              </w:rPr>
            </w:pPr>
            <w:r w:rsidRPr="00CD1CA2">
              <w:rPr>
                <w:sz w:val="16"/>
                <w:szCs w:val="16"/>
              </w:rPr>
              <w:t>And here is a link to the English version:</w:t>
            </w:r>
          </w:p>
          <w:p w:rsidR="00E64CAB" w:rsidRPr="00CD1CA2" w:rsidRDefault="00E64CAB" w:rsidP="00E64CAB">
            <w:pPr>
              <w:rPr>
                <w:sz w:val="16"/>
                <w:szCs w:val="16"/>
              </w:rPr>
            </w:pPr>
            <w:r w:rsidRPr="00CD1CA2">
              <w:rPr>
                <w:sz w:val="16"/>
                <w:szCs w:val="16"/>
              </w:rPr>
              <w:br/>
            </w:r>
            <w:hyperlink r:id="rId10" w:tgtFrame="_blank" w:history="1">
              <w:r w:rsidRPr="00CD1CA2">
                <w:rPr>
                  <w:rStyle w:val="Hyperlink"/>
                  <w:sz w:val="16"/>
                  <w:szCs w:val="16"/>
                </w:rPr>
                <w:t>https://drive.google.com/file/d/0B2q4zwyqvkLtc0k1OHpjNVBkTkE/edit?usp=sharing</w:t>
              </w:r>
            </w:hyperlink>
          </w:p>
          <w:p w:rsidR="009B1EF8" w:rsidRPr="00E64CAB" w:rsidRDefault="009B1EF8" w:rsidP="009B1EF8">
            <w:pPr>
              <w:spacing w:after="0" w:line="240" w:lineRule="auto"/>
              <w:jc w:val="both"/>
              <w:rPr>
                <w:rFonts w:ascii="Times New Roman" w:hAnsi="Times New Roman"/>
                <w:color w:val="000000"/>
                <w:sz w:val="24"/>
                <w:szCs w:val="24"/>
              </w:rPr>
            </w:pPr>
          </w:p>
          <w:p w:rsidR="009B1EF8" w:rsidRPr="00E64CAB" w:rsidRDefault="009B1EF8" w:rsidP="009B1EF8">
            <w:pPr>
              <w:spacing w:after="0" w:line="240" w:lineRule="auto"/>
              <w:jc w:val="both"/>
              <w:rPr>
                <w:rFonts w:ascii="Times New Roman" w:hAnsi="Times New Roman"/>
                <w:color w:val="000000"/>
                <w:sz w:val="24"/>
                <w:szCs w:val="24"/>
              </w:rPr>
            </w:pPr>
          </w:p>
          <w:p w:rsidR="009B1EF8" w:rsidRPr="00E64CAB" w:rsidRDefault="009B1EF8" w:rsidP="009B1EF8">
            <w:pPr>
              <w:spacing w:after="0" w:line="240" w:lineRule="auto"/>
              <w:jc w:val="both"/>
              <w:rPr>
                <w:rFonts w:ascii="Times New Roman" w:hAnsi="Times New Roman"/>
                <w:color w:val="000000"/>
                <w:sz w:val="24"/>
                <w:szCs w:val="24"/>
              </w:rPr>
            </w:pPr>
          </w:p>
          <w:p w:rsidR="009B1EF8" w:rsidRPr="00E64CAB" w:rsidRDefault="009B1EF8" w:rsidP="009B1EF8">
            <w:pPr>
              <w:spacing w:after="0" w:line="240" w:lineRule="auto"/>
              <w:jc w:val="both"/>
              <w:rPr>
                <w:rFonts w:ascii="Times New Roman" w:hAnsi="Times New Roman"/>
                <w:color w:val="000000"/>
                <w:sz w:val="24"/>
                <w:szCs w:val="24"/>
              </w:rPr>
            </w:pPr>
          </w:p>
          <w:p w:rsidR="009B1EF8" w:rsidRPr="00E64CAB" w:rsidRDefault="009B1EF8" w:rsidP="009B1EF8">
            <w:pPr>
              <w:spacing w:after="0" w:line="240" w:lineRule="auto"/>
              <w:jc w:val="both"/>
              <w:rPr>
                <w:rFonts w:ascii="Times New Roman" w:hAnsi="Times New Roman"/>
                <w:color w:val="000000"/>
                <w:sz w:val="24"/>
                <w:szCs w:val="24"/>
              </w:rPr>
            </w:pPr>
          </w:p>
          <w:p w:rsidR="009B1EF8" w:rsidRPr="00E64CAB" w:rsidRDefault="009B1EF8" w:rsidP="009B1EF8">
            <w:pPr>
              <w:spacing w:after="0" w:line="240" w:lineRule="auto"/>
              <w:jc w:val="both"/>
              <w:rPr>
                <w:rFonts w:ascii="Times New Roman" w:hAnsi="Times New Roman"/>
                <w:color w:val="000000"/>
                <w:sz w:val="24"/>
                <w:szCs w:val="24"/>
              </w:rPr>
            </w:pPr>
          </w:p>
          <w:p w:rsidR="009B1EF8" w:rsidRPr="00E64CAB" w:rsidRDefault="009B1EF8" w:rsidP="009B1EF8">
            <w:pPr>
              <w:spacing w:after="0" w:line="240" w:lineRule="auto"/>
              <w:jc w:val="both"/>
              <w:rPr>
                <w:rFonts w:ascii="Times New Roman" w:hAnsi="Times New Roman"/>
                <w:color w:val="000000"/>
                <w:sz w:val="24"/>
                <w:szCs w:val="24"/>
              </w:rPr>
            </w:pPr>
          </w:p>
          <w:p w:rsidR="009B1EF8" w:rsidRPr="00E64CAB" w:rsidRDefault="009B1EF8" w:rsidP="009B1EF8">
            <w:pPr>
              <w:spacing w:after="0" w:line="240" w:lineRule="auto"/>
              <w:jc w:val="both"/>
              <w:rPr>
                <w:rFonts w:ascii="Times New Roman" w:hAnsi="Times New Roman"/>
                <w:color w:val="000000"/>
                <w:sz w:val="24"/>
                <w:szCs w:val="24"/>
              </w:rPr>
            </w:pPr>
          </w:p>
          <w:p w:rsidR="009B1EF8" w:rsidRPr="00E64CAB" w:rsidRDefault="009B1EF8" w:rsidP="009B1EF8">
            <w:pPr>
              <w:spacing w:after="0" w:line="240" w:lineRule="auto"/>
              <w:jc w:val="both"/>
              <w:rPr>
                <w:rFonts w:ascii="Times New Roman" w:hAnsi="Times New Roman"/>
                <w:color w:val="000000"/>
                <w:sz w:val="24"/>
                <w:szCs w:val="24"/>
              </w:rPr>
            </w:pPr>
          </w:p>
          <w:p w:rsidR="007B1762" w:rsidRPr="00E64CAB" w:rsidRDefault="007B1762" w:rsidP="009B1EF8">
            <w:pPr>
              <w:spacing w:after="0" w:line="240" w:lineRule="auto"/>
              <w:jc w:val="both"/>
              <w:rPr>
                <w:rFonts w:ascii="Times New Roman" w:hAnsi="Times New Roman"/>
                <w:color w:val="000000"/>
                <w:sz w:val="24"/>
                <w:szCs w:val="24"/>
              </w:rPr>
            </w:pPr>
          </w:p>
          <w:p w:rsidR="007B1762" w:rsidRPr="00E64CAB" w:rsidRDefault="007B1762" w:rsidP="009B1EF8">
            <w:pPr>
              <w:spacing w:after="0" w:line="240" w:lineRule="auto"/>
              <w:jc w:val="both"/>
              <w:rPr>
                <w:rFonts w:ascii="Times New Roman" w:hAnsi="Times New Roman"/>
                <w:color w:val="000000"/>
                <w:sz w:val="24"/>
                <w:szCs w:val="24"/>
              </w:rPr>
            </w:pPr>
          </w:p>
          <w:p w:rsidR="007B1762" w:rsidRPr="00E64CAB" w:rsidRDefault="007B1762" w:rsidP="009B1EF8">
            <w:pPr>
              <w:spacing w:after="0" w:line="240" w:lineRule="auto"/>
              <w:jc w:val="both"/>
              <w:rPr>
                <w:rFonts w:ascii="Times New Roman" w:hAnsi="Times New Roman"/>
                <w:color w:val="000000"/>
                <w:sz w:val="24"/>
                <w:szCs w:val="24"/>
              </w:rPr>
            </w:pPr>
          </w:p>
          <w:p w:rsidR="007B1762" w:rsidRPr="00E64CAB" w:rsidRDefault="007B1762" w:rsidP="009B1EF8">
            <w:pPr>
              <w:spacing w:after="0" w:line="240" w:lineRule="auto"/>
              <w:jc w:val="both"/>
              <w:rPr>
                <w:rFonts w:ascii="Times New Roman" w:hAnsi="Times New Roman"/>
                <w:color w:val="000000"/>
                <w:sz w:val="24"/>
                <w:szCs w:val="24"/>
              </w:rPr>
            </w:pPr>
          </w:p>
          <w:p w:rsidR="007B1762" w:rsidRPr="00E64CAB" w:rsidRDefault="007B1762" w:rsidP="009B1EF8">
            <w:pPr>
              <w:spacing w:after="0" w:line="240" w:lineRule="auto"/>
              <w:jc w:val="both"/>
              <w:rPr>
                <w:rFonts w:ascii="Times New Roman" w:hAnsi="Times New Roman"/>
                <w:color w:val="000000"/>
                <w:sz w:val="24"/>
                <w:szCs w:val="24"/>
              </w:rPr>
            </w:pPr>
          </w:p>
          <w:p w:rsidR="007B1762" w:rsidRPr="00E64CAB" w:rsidRDefault="007B1762" w:rsidP="009B1EF8">
            <w:pPr>
              <w:spacing w:after="0" w:line="240" w:lineRule="auto"/>
              <w:jc w:val="both"/>
              <w:rPr>
                <w:rFonts w:ascii="Times New Roman" w:hAnsi="Times New Roman"/>
                <w:color w:val="000000"/>
                <w:sz w:val="24"/>
                <w:szCs w:val="24"/>
              </w:rPr>
            </w:pPr>
          </w:p>
          <w:p w:rsidR="007B1762" w:rsidRPr="00E64CAB" w:rsidRDefault="007B1762" w:rsidP="009B1EF8">
            <w:pPr>
              <w:spacing w:after="0" w:line="240" w:lineRule="auto"/>
              <w:jc w:val="both"/>
              <w:rPr>
                <w:rFonts w:ascii="Times New Roman" w:hAnsi="Times New Roman"/>
                <w:color w:val="000000"/>
                <w:sz w:val="24"/>
                <w:szCs w:val="24"/>
              </w:rPr>
            </w:pPr>
          </w:p>
          <w:p w:rsidR="002C2BC8" w:rsidRDefault="009B1EF8" w:rsidP="002C2BC8">
            <w:pPr>
              <w:pStyle w:val="ListParagraph"/>
              <w:ind w:left="0"/>
              <w:jc w:val="both"/>
              <w:rPr>
                <w:szCs w:val="24"/>
                <w:lang w:val="fr-FR"/>
              </w:rPr>
            </w:pPr>
            <w:r w:rsidRPr="00E34E8F">
              <w:rPr>
                <w:color w:val="000000"/>
                <w:szCs w:val="24"/>
                <w:lang w:val="fr-FR"/>
              </w:rPr>
              <w:t xml:space="preserve">* </w:t>
            </w:r>
            <w:r w:rsidR="000C66B3" w:rsidRPr="00E34E8F">
              <w:rPr>
                <w:szCs w:val="24"/>
                <w:lang w:val="fr-FR"/>
              </w:rPr>
              <w:t>L</w:t>
            </w:r>
            <w:r w:rsidR="002C2BC8">
              <w:rPr>
                <w:szCs w:val="24"/>
                <w:lang w:val="fr-FR"/>
              </w:rPr>
              <w:t xml:space="preserve">es activités de sensibilisation ont été </w:t>
            </w:r>
            <w:r w:rsidR="001E0D38">
              <w:rPr>
                <w:szCs w:val="24"/>
                <w:lang w:val="fr-FR"/>
              </w:rPr>
              <w:t>réalisées</w:t>
            </w:r>
            <w:r w:rsidR="002C2BC8">
              <w:rPr>
                <w:szCs w:val="24"/>
                <w:lang w:val="fr-FR"/>
              </w:rPr>
              <w:t xml:space="preserve"> surtout dans le </w:t>
            </w:r>
            <w:proofErr w:type="spellStart"/>
            <w:r w:rsidR="002C2BC8">
              <w:rPr>
                <w:szCs w:val="24"/>
                <w:lang w:val="fr-FR"/>
              </w:rPr>
              <w:t>Nord Ouest</w:t>
            </w:r>
            <w:proofErr w:type="spellEnd"/>
            <w:r w:rsidR="002C2BC8">
              <w:rPr>
                <w:szCs w:val="24"/>
                <w:lang w:val="fr-FR"/>
              </w:rPr>
              <w:t xml:space="preserve"> </w:t>
            </w:r>
            <w:r w:rsidR="000C66B3" w:rsidRPr="00E34E8F">
              <w:rPr>
                <w:szCs w:val="24"/>
                <w:lang w:val="fr-FR"/>
              </w:rPr>
              <w:t xml:space="preserve"> </w:t>
            </w:r>
            <w:r w:rsidR="002C2BC8">
              <w:rPr>
                <w:szCs w:val="24"/>
                <w:lang w:val="fr-FR"/>
              </w:rPr>
              <w:t xml:space="preserve">( Saint louis du Nord, Jean </w:t>
            </w:r>
            <w:proofErr w:type="spellStart"/>
            <w:r w:rsidR="002C2BC8">
              <w:rPr>
                <w:szCs w:val="24"/>
                <w:lang w:val="fr-FR"/>
              </w:rPr>
              <w:t>Rabel</w:t>
            </w:r>
            <w:proofErr w:type="spellEnd"/>
            <w:r w:rsidR="002C2BC8">
              <w:rPr>
                <w:szCs w:val="24"/>
                <w:lang w:val="fr-FR"/>
              </w:rPr>
              <w:t>,</w:t>
            </w:r>
            <w:r w:rsidR="008D6E5B">
              <w:rPr>
                <w:szCs w:val="24"/>
                <w:lang w:val="fr-FR"/>
              </w:rPr>
              <w:t xml:space="preserve"> </w:t>
            </w:r>
            <w:r w:rsidR="002C2BC8">
              <w:rPr>
                <w:szCs w:val="24"/>
                <w:lang w:val="fr-FR"/>
              </w:rPr>
              <w:t>Mole saint  Nicolas ) pour plus de 330  élèves en classe terminale</w:t>
            </w:r>
            <w:r w:rsidR="008D6E5B">
              <w:rPr>
                <w:szCs w:val="24"/>
                <w:lang w:val="fr-FR"/>
              </w:rPr>
              <w:t>. Ils</w:t>
            </w:r>
            <w:r w:rsidR="002C2BC8">
              <w:rPr>
                <w:szCs w:val="24"/>
                <w:lang w:val="fr-FR"/>
              </w:rPr>
              <w:t xml:space="preserve"> ont pu acquérir des connaissances  sur la problématique sismique et le comportement </w:t>
            </w:r>
            <w:r w:rsidR="002C2BC8">
              <w:rPr>
                <w:spacing w:val="-2"/>
                <w:szCs w:val="24"/>
                <w:lang w:val="fr-FR"/>
              </w:rPr>
              <w:t xml:space="preserve">à adopter avant, pendant et après le </w:t>
            </w:r>
            <w:r w:rsidR="008D6E5B">
              <w:rPr>
                <w:spacing w:val="-2"/>
                <w:szCs w:val="24"/>
                <w:lang w:val="fr-FR"/>
              </w:rPr>
              <w:t>séisme</w:t>
            </w:r>
          </w:p>
          <w:p w:rsidR="002C2BC8" w:rsidRDefault="002C2BC8" w:rsidP="002C2BC8">
            <w:pPr>
              <w:pStyle w:val="ListParagraph"/>
              <w:numPr>
                <w:ilvl w:val="0"/>
                <w:numId w:val="5"/>
              </w:numPr>
              <w:jc w:val="both"/>
              <w:rPr>
                <w:spacing w:val="-2"/>
                <w:szCs w:val="24"/>
                <w:lang w:val="fr-FR"/>
              </w:rPr>
            </w:pPr>
            <w:r>
              <w:rPr>
                <w:spacing w:val="-2"/>
                <w:szCs w:val="24"/>
                <w:lang w:val="fr-FR"/>
              </w:rPr>
              <w:t>Réalisation d'un vendredi de la protection civile à Saint Louis du Nord où les jeunes des deux sexes ont pu acquérir des connaissances sur le transport des blessés, comment circonscrire le feu à  l'aide des extincteurs et de l'eau, Les jeux de corde, etc...</w:t>
            </w:r>
          </w:p>
          <w:p w:rsidR="000C66B3" w:rsidRPr="00E64CAB" w:rsidRDefault="002C2BC8" w:rsidP="009B1EF8">
            <w:pPr>
              <w:pStyle w:val="ListParagraph"/>
              <w:numPr>
                <w:ilvl w:val="0"/>
                <w:numId w:val="5"/>
              </w:numPr>
              <w:jc w:val="both"/>
              <w:rPr>
                <w:spacing w:val="-2"/>
                <w:szCs w:val="24"/>
                <w:lang w:val="fr-FR"/>
              </w:rPr>
            </w:pPr>
            <w:r>
              <w:rPr>
                <w:spacing w:val="-2"/>
                <w:szCs w:val="24"/>
                <w:lang w:val="fr-FR"/>
              </w:rPr>
              <w:t>Formation des cadres et des instituteurs faisant partie de l'ONG ADEMA sur le séisme et ses corollaires</w:t>
            </w:r>
          </w:p>
          <w:p w:rsidR="009B1EF8" w:rsidRPr="00E34E8F" w:rsidRDefault="009B1EF8" w:rsidP="009B1EF8">
            <w:pPr>
              <w:spacing w:after="0" w:line="240" w:lineRule="auto"/>
              <w:jc w:val="both"/>
              <w:rPr>
                <w:rFonts w:ascii="Times New Roman" w:hAnsi="Times New Roman"/>
                <w:sz w:val="24"/>
                <w:szCs w:val="24"/>
                <w:lang w:val="fr-FR"/>
              </w:rPr>
            </w:pPr>
            <w:r w:rsidRPr="00E34E8F">
              <w:rPr>
                <w:rFonts w:ascii="Times New Roman" w:hAnsi="Times New Roman"/>
                <w:sz w:val="24"/>
                <w:szCs w:val="24"/>
                <w:lang w:val="fr-FR"/>
              </w:rPr>
              <w:t xml:space="preserve">* </w:t>
            </w:r>
            <w:r w:rsidR="00E64CAB">
              <w:rPr>
                <w:rFonts w:ascii="Times New Roman" w:hAnsi="Times New Roman"/>
                <w:sz w:val="24"/>
                <w:szCs w:val="24"/>
                <w:lang w:val="fr-FR"/>
              </w:rPr>
              <w:t xml:space="preserve">Présentations des activités du projet aux participants au Forum  de Gestion des Risques et Désastres pour les Départements du Nord et Nord Est réunis au cap  </w:t>
            </w:r>
            <w:r w:rsidRPr="00E34E8F">
              <w:rPr>
                <w:rFonts w:ascii="Times New Roman" w:hAnsi="Times New Roman"/>
                <w:sz w:val="24"/>
                <w:szCs w:val="24"/>
                <w:lang w:val="fr-FR"/>
              </w:rPr>
              <w:t xml:space="preserve"> </w:t>
            </w:r>
          </w:p>
          <w:p w:rsidR="004C708D" w:rsidRPr="00E34E8F" w:rsidRDefault="004C708D" w:rsidP="00E64CAB">
            <w:pPr>
              <w:spacing w:after="0" w:line="240" w:lineRule="auto"/>
              <w:jc w:val="both"/>
              <w:rPr>
                <w:rFonts w:ascii="Times New Roman" w:hAnsi="Times New Roman"/>
                <w:snapToGrid w:val="0"/>
                <w:color w:val="000000"/>
                <w:sz w:val="24"/>
                <w:szCs w:val="24"/>
                <w:lang w:val="fr-FR"/>
              </w:rPr>
            </w:pPr>
          </w:p>
        </w:tc>
        <w:tc>
          <w:tcPr>
            <w:tcW w:w="1800" w:type="dxa"/>
            <w:vAlign w:val="center"/>
          </w:tcPr>
          <w:p w:rsidR="000C66B3" w:rsidRPr="00E34E8F" w:rsidRDefault="000C66B3" w:rsidP="000C66B3">
            <w:pPr>
              <w:spacing w:after="0" w:line="240" w:lineRule="auto"/>
              <w:jc w:val="center"/>
              <w:rPr>
                <w:rFonts w:ascii="Times New Roman" w:hAnsi="Times New Roman"/>
                <w:sz w:val="24"/>
                <w:szCs w:val="24"/>
                <w:lang w:val="fr-FR"/>
              </w:rPr>
            </w:pPr>
          </w:p>
          <w:p w:rsidR="009B1EF8" w:rsidRPr="00E34E8F" w:rsidRDefault="009B1EF8" w:rsidP="000C66B3">
            <w:pPr>
              <w:spacing w:after="0" w:line="240" w:lineRule="auto"/>
              <w:jc w:val="center"/>
              <w:rPr>
                <w:rFonts w:ascii="Times New Roman" w:hAnsi="Times New Roman"/>
                <w:sz w:val="24"/>
                <w:szCs w:val="24"/>
                <w:lang w:val="fr-FR"/>
              </w:rPr>
            </w:pPr>
          </w:p>
          <w:p w:rsidR="009B1EF8" w:rsidRPr="00E34E8F" w:rsidRDefault="009B1EF8" w:rsidP="000C66B3">
            <w:pPr>
              <w:spacing w:after="0" w:line="240" w:lineRule="auto"/>
              <w:jc w:val="center"/>
              <w:rPr>
                <w:rFonts w:ascii="Times New Roman" w:hAnsi="Times New Roman"/>
                <w:sz w:val="24"/>
                <w:szCs w:val="24"/>
                <w:lang w:val="fr-FR"/>
              </w:rPr>
            </w:pPr>
          </w:p>
          <w:p w:rsidR="009B1EF8" w:rsidRPr="00E34E8F" w:rsidRDefault="009B1EF8" w:rsidP="000C66B3">
            <w:pPr>
              <w:spacing w:after="0" w:line="240" w:lineRule="auto"/>
              <w:jc w:val="center"/>
              <w:rPr>
                <w:rFonts w:ascii="Times New Roman" w:hAnsi="Times New Roman"/>
                <w:sz w:val="24"/>
                <w:szCs w:val="24"/>
                <w:lang w:val="fr-FR"/>
              </w:rPr>
            </w:pPr>
          </w:p>
          <w:p w:rsidR="009B1EF8" w:rsidRPr="00E34E8F" w:rsidRDefault="009B1EF8" w:rsidP="000C66B3">
            <w:pPr>
              <w:spacing w:after="0" w:line="240" w:lineRule="auto"/>
              <w:jc w:val="center"/>
              <w:rPr>
                <w:rFonts w:ascii="Times New Roman" w:hAnsi="Times New Roman"/>
                <w:sz w:val="24"/>
                <w:szCs w:val="24"/>
                <w:lang w:val="fr-FR"/>
              </w:rPr>
            </w:pPr>
          </w:p>
          <w:p w:rsidR="009B1EF8" w:rsidRPr="00E34E8F" w:rsidRDefault="009B1EF8" w:rsidP="000C66B3">
            <w:pPr>
              <w:spacing w:after="0" w:line="240" w:lineRule="auto"/>
              <w:jc w:val="center"/>
              <w:rPr>
                <w:rFonts w:ascii="Times New Roman" w:hAnsi="Times New Roman"/>
                <w:sz w:val="24"/>
                <w:szCs w:val="24"/>
                <w:lang w:val="fr-FR"/>
              </w:rPr>
            </w:pPr>
          </w:p>
          <w:p w:rsidR="009B1EF8" w:rsidRPr="00E34E8F" w:rsidRDefault="009B1EF8" w:rsidP="000C66B3">
            <w:pPr>
              <w:spacing w:after="0" w:line="240" w:lineRule="auto"/>
              <w:jc w:val="center"/>
              <w:rPr>
                <w:rFonts w:ascii="Times New Roman" w:hAnsi="Times New Roman"/>
                <w:sz w:val="24"/>
                <w:szCs w:val="24"/>
                <w:lang w:val="fr-FR"/>
              </w:rPr>
            </w:pPr>
          </w:p>
          <w:p w:rsidR="009B1EF8" w:rsidRPr="00E34E8F" w:rsidRDefault="009B1EF8" w:rsidP="000C66B3">
            <w:pPr>
              <w:spacing w:after="0" w:line="240" w:lineRule="auto"/>
              <w:jc w:val="center"/>
              <w:rPr>
                <w:rFonts w:ascii="Times New Roman" w:hAnsi="Times New Roman"/>
                <w:sz w:val="24"/>
                <w:szCs w:val="24"/>
                <w:lang w:val="fr-FR"/>
              </w:rPr>
            </w:pPr>
          </w:p>
          <w:p w:rsidR="009B1EF8" w:rsidRPr="00E34E8F" w:rsidRDefault="009B1EF8" w:rsidP="000C66B3">
            <w:pPr>
              <w:spacing w:after="0" w:line="240" w:lineRule="auto"/>
              <w:jc w:val="center"/>
              <w:rPr>
                <w:rFonts w:ascii="Times New Roman" w:hAnsi="Times New Roman"/>
                <w:sz w:val="24"/>
                <w:szCs w:val="24"/>
                <w:lang w:val="fr-FR"/>
              </w:rPr>
            </w:pPr>
          </w:p>
          <w:p w:rsidR="009B1EF8" w:rsidRPr="00E34E8F" w:rsidRDefault="009B1EF8" w:rsidP="000C66B3">
            <w:pPr>
              <w:spacing w:after="0" w:line="240" w:lineRule="auto"/>
              <w:jc w:val="center"/>
              <w:rPr>
                <w:rFonts w:ascii="Times New Roman" w:hAnsi="Times New Roman"/>
                <w:sz w:val="24"/>
                <w:szCs w:val="24"/>
                <w:lang w:val="fr-FR"/>
              </w:rPr>
            </w:pPr>
          </w:p>
          <w:p w:rsidR="009B1EF8" w:rsidRPr="00E34E8F" w:rsidRDefault="009B1EF8" w:rsidP="000C66B3">
            <w:pPr>
              <w:spacing w:after="0" w:line="240" w:lineRule="auto"/>
              <w:jc w:val="center"/>
              <w:rPr>
                <w:rFonts w:ascii="Times New Roman" w:hAnsi="Times New Roman"/>
                <w:sz w:val="24"/>
                <w:szCs w:val="24"/>
                <w:lang w:val="fr-FR"/>
              </w:rPr>
            </w:pPr>
          </w:p>
          <w:p w:rsidR="009B1EF8" w:rsidRPr="00E34E8F" w:rsidRDefault="009B1EF8" w:rsidP="000C66B3">
            <w:pPr>
              <w:spacing w:after="0" w:line="240" w:lineRule="auto"/>
              <w:jc w:val="center"/>
              <w:rPr>
                <w:rFonts w:ascii="Times New Roman" w:hAnsi="Times New Roman"/>
                <w:sz w:val="24"/>
                <w:szCs w:val="24"/>
                <w:lang w:val="fr-FR"/>
              </w:rPr>
            </w:pPr>
          </w:p>
          <w:p w:rsidR="009B1EF8" w:rsidRPr="00E34E8F" w:rsidRDefault="009B1EF8" w:rsidP="000C66B3">
            <w:pPr>
              <w:spacing w:after="0" w:line="240" w:lineRule="auto"/>
              <w:jc w:val="center"/>
              <w:rPr>
                <w:rFonts w:ascii="Times New Roman" w:hAnsi="Times New Roman"/>
                <w:sz w:val="24"/>
                <w:szCs w:val="24"/>
                <w:lang w:val="fr-FR"/>
              </w:rPr>
            </w:pPr>
          </w:p>
          <w:p w:rsidR="009B1EF8" w:rsidRPr="00E34E8F" w:rsidRDefault="009B1EF8" w:rsidP="000C66B3">
            <w:pPr>
              <w:spacing w:after="0" w:line="240" w:lineRule="auto"/>
              <w:jc w:val="center"/>
              <w:rPr>
                <w:rFonts w:ascii="Times New Roman" w:hAnsi="Times New Roman"/>
                <w:sz w:val="24"/>
                <w:szCs w:val="24"/>
                <w:lang w:val="fr-FR"/>
              </w:rPr>
            </w:pPr>
          </w:p>
          <w:p w:rsidR="000C66B3" w:rsidRPr="00E34E8F" w:rsidRDefault="00622BAE" w:rsidP="000C66B3">
            <w:pPr>
              <w:spacing w:after="0" w:line="240" w:lineRule="auto"/>
              <w:jc w:val="center"/>
              <w:rPr>
                <w:rFonts w:ascii="Times New Roman" w:hAnsi="Times New Roman"/>
                <w:snapToGrid w:val="0"/>
                <w:sz w:val="24"/>
                <w:szCs w:val="24"/>
                <w:lang w:val="fr-FR"/>
              </w:rPr>
            </w:pPr>
            <w:r>
              <w:rPr>
                <w:rFonts w:ascii="Times New Roman" w:hAnsi="Times New Roman"/>
                <w:snapToGrid w:val="0"/>
                <w:sz w:val="24"/>
                <w:szCs w:val="24"/>
                <w:lang w:val="fr-FR"/>
              </w:rPr>
              <w:t>2</w:t>
            </w:r>
            <w:r w:rsidR="004C708D" w:rsidRPr="00E34E8F">
              <w:rPr>
                <w:rFonts w:ascii="Times New Roman" w:hAnsi="Times New Roman"/>
                <w:snapToGrid w:val="0"/>
                <w:sz w:val="24"/>
                <w:szCs w:val="24"/>
                <w:lang w:val="fr-FR"/>
              </w:rPr>
              <w:t>5</w:t>
            </w:r>
            <w:r w:rsidR="009B1EF8" w:rsidRPr="00E34E8F">
              <w:rPr>
                <w:rFonts w:ascii="Times New Roman" w:hAnsi="Times New Roman"/>
                <w:snapToGrid w:val="0"/>
                <w:sz w:val="24"/>
                <w:szCs w:val="24"/>
                <w:lang w:val="fr-FR"/>
              </w:rPr>
              <w:t>%</w:t>
            </w:r>
          </w:p>
          <w:p w:rsidR="000C66B3" w:rsidRPr="00E34E8F" w:rsidRDefault="000C66B3" w:rsidP="000C66B3">
            <w:pPr>
              <w:spacing w:after="0" w:line="240" w:lineRule="auto"/>
              <w:jc w:val="center"/>
              <w:rPr>
                <w:rFonts w:ascii="Times New Roman" w:hAnsi="Times New Roman"/>
                <w:snapToGrid w:val="0"/>
                <w:sz w:val="24"/>
                <w:szCs w:val="24"/>
                <w:lang w:val="fr-FR"/>
              </w:rPr>
            </w:pPr>
          </w:p>
          <w:p w:rsidR="009B1EF8" w:rsidRPr="00E34E8F" w:rsidRDefault="009B1EF8" w:rsidP="000C66B3">
            <w:pPr>
              <w:spacing w:after="0" w:line="240" w:lineRule="auto"/>
              <w:jc w:val="center"/>
              <w:rPr>
                <w:rFonts w:ascii="Times New Roman" w:hAnsi="Times New Roman"/>
                <w:snapToGrid w:val="0"/>
                <w:sz w:val="24"/>
                <w:szCs w:val="24"/>
                <w:lang w:val="fr-FR"/>
              </w:rPr>
            </w:pPr>
          </w:p>
          <w:p w:rsidR="009B1EF8" w:rsidRPr="00E34E8F" w:rsidRDefault="009B1EF8" w:rsidP="000C66B3">
            <w:pPr>
              <w:spacing w:after="0" w:line="240" w:lineRule="auto"/>
              <w:jc w:val="center"/>
              <w:rPr>
                <w:rFonts w:ascii="Times New Roman" w:hAnsi="Times New Roman"/>
                <w:snapToGrid w:val="0"/>
                <w:sz w:val="24"/>
                <w:szCs w:val="24"/>
                <w:lang w:val="fr-FR"/>
              </w:rPr>
            </w:pPr>
          </w:p>
          <w:p w:rsidR="009B1EF8" w:rsidRPr="00E34E8F" w:rsidRDefault="009B1EF8" w:rsidP="000C66B3">
            <w:pPr>
              <w:spacing w:after="0" w:line="240" w:lineRule="auto"/>
              <w:jc w:val="center"/>
              <w:rPr>
                <w:rFonts w:ascii="Times New Roman" w:hAnsi="Times New Roman"/>
                <w:snapToGrid w:val="0"/>
                <w:sz w:val="24"/>
                <w:szCs w:val="24"/>
                <w:lang w:val="fr-FR"/>
              </w:rPr>
            </w:pPr>
          </w:p>
          <w:p w:rsidR="009B1EF8" w:rsidRPr="00E34E8F" w:rsidRDefault="009B1EF8" w:rsidP="000C66B3">
            <w:pPr>
              <w:spacing w:after="0" w:line="240" w:lineRule="auto"/>
              <w:jc w:val="center"/>
              <w:rPr>
                <w:rFonts w:ascii="Times New Roman" w:hAnsi="Times New Roman"/>
                <w:snapToGrid w:val="0"/>
                <w:sz w:val="24"/>
                <w:szCs w:val="24"/>
                <w:lang w:val="fr-FR"/>
              </w:rPr>
            </w:pPr>
          </w:p>
          <w:p w:rsidR="009B1EF8" w:rsidRPr="00E34E8F" w:rsidRDefault="009B1EF8" w:rsidP="000C66B3">
            <w:pPr>
              <w:spacing w:after="0" w:line="240" w:lineRule="auto"/>
              <w:jc w:val="center"/>
              <w:rPr>
                <w:rFonts w:ascii="Times New Roman" w:hAnsi="Times New Roman"/>
                <w:snapToGrid w:val="0"/>
                <w:sz w:val="24"/>
                <w:szCs w:val="24"/>
                <w:lang w:val="fr-FR"/>
              </w:rPr>
            </w:pPr>
          </w:p>
          <w:p w:rsidR="009B1EF8" w:rsidRPr="00E34E8F" w:rsidRDefault="009B1EF8" w:rsidP="000C66B3">
            <w:pPr>
              <w:spacing w:after="0" w:line="240" w:lineRule="auto"/>
              <w:jc w:val="center"/>
              <w:rPr>
                <w:rFonts w:ascii="Times New Roman" w:hAnsi="Times New Roman"/>
                <w:snapToGrid w:val="0"/>
                <w:sz w:val="24"/>
                <w:szCs w:val="24"/>
                <w:lang w:val="fr-FR"/>
              </w:rPr>
            </w:pPr>
          </w:p>
          <w:p w:rsidR="009B1EF8" w:rsidRPr="00E34E8F" w:rsidRDefault="009B1EF8" w:rsidP="000C66B3">
            <w:pPr>
              <w:spacing w:after="0" w:line="240" w:lineRule="auto"/>
              <w:jc w:val="center"/>
              <w:rPr>
                <w:rFonts w:ascii="Times New Roman" w:hAnsi="Times New Roman"/>
                <w:snapToGrid w:val="0"/>
                <w:sz w:val="24"/>
                <w:szCs w:val="24"/>
                <w:lang w:val="fr-FR"/>
              </w:rPr>
            </w:pPr>
          </w:p>
          <w:p w:rsidR="009B1EF8" w:rsidRPr="00E34E8F" w:rsidRDefault="009B1EF8" w:rsidP="000C66B3">
            <w:pPr>
              <w:spacing w:after="0" w:line="240" w:lineRule="auto"/>
              <w:jc w:val="center"/>
              <w:rPr>
                <w:rFonts w:ascii="Times New Roman" w:hAnsi="Times New Roman"/>
                <w:snapToGrid w:val="0"/>
                <w:sz w:val="24"/>
                <w:szCs w:val="24"/>
                <w:lang w:val="fr-FR"/>
              </w:rPr>
            </w:pPr>
          </w:p>
          <w:p w:rsidR="009B1EF8" w:rsidRPr="00E34E8F" w:rsidRDefault="009B1EF8" w:rsidP="000C66B3">
            <w:pPr>
              <w:spacing w:after="0" w:line="240" w:lineRule="auto"/>
              <w:jc w:val="center"/>
              <w:rPr>
                <w:rFonts w:ascii="Times New Roman" w:hAnsi="Times New Roman"/>
                <w:snapToGrid w:val="0"/>
                <w:sz w:val="24"/>
                <w:szCs w:val="24"/>
                <w:lang w:val="fr-FR"/>
              </w:rPr>
            </w:pPr>
          </w:p>
          <w:p w:rsidR="009B1EF8" w:rsidRPr="00E34E8F" w:rsidRDefault="009B1EF8" w:rsidP="000C66B3">
            <w:pPr>
              <w:spacing w:after="0" w:line="240" w:lineRule="auto"/>
              <w:jc w:val="center"/>
              <w:rPr>
                <w:rFonts w:ascii="Times New Roman" w:hAnsi="Times New Roman"/>
                <w:snapToGrid w:val="0"/>
                <w:sz w:val="24"/>
                <w:szCs w:val="24"/>
                <w:lang w:val="fr-FR"/>
              </w:rPr>
            </w:pPr>
          </w:p>
          <w:p w:rsidR="009B1EF8" w:rsidRPr="00E34E8F" w:rsidRDefault="009B1EF8" w:rsidP="000C66B3">
            <w:pPr>
              <w:spacing w:after="0" w:line="240" w:lineRule="auto"/>
              <w:jc w:val="center"/>
              <w:rPr>
                <w:rFonts w:ascii="Times New Roman" w:hAnsi="Times New Roman"/>
                <w:snapToGrid w:val="0"/>
                <w:sz w:val="24"/>
                <w:szCs w:val="24"/>
                <w:lang w:val="fr-FR"/>
              </w:rPr>
            </w:pPr>
          </w:p>
          <w:p w:rsidR="009B1EF8" w:rsidRPr="00E34E8F" w:rsidRDefault="009B1EF8" w:rsidP="000C66B3">
            <w:pPr>
              <w:spacing w:after="0" w:line="240" w:lineRule="auto"/>
              <w:jc w:val="center"/>
              <w:rPr>
                <w:rFonts w:ascii="Times New Roman" w:hAnsi="Times New Roman"/>
                <w:snapToGrid w:val="0"/>
                <w:sz w:val="24"/>
                <w:szCs w:val="24"/>
                <w:lang w:val="fr-FR"/>
              </w:rPr>
            </w:pPr>
          </w:p>
          <w:p w:rsidR="009B1EF8" w:rsidRPr="00E34E8F" w:rsidRDefault="009B1EF8" w:rsidP="000C66B3">
            <w:pPr>
              <w:spacing w:after="0" w:line="240" w:lineRule="auto"/>
              <w:jc w:val="center"/>
              <w:rPr>
                <w:rFonts w:ascii="Times New Roman" w:hAnsi="Times New Roman"/>
                <w:snapToGrid w:val="0"/>
                <w:sz w:val="24"/>
                <w:szCs w:val="24"/>
                <w:lang w:val="fr-FR"/>
              </w:rPr>
            </w:pPr>
          </w:p>
          <w:p w:rsidR="009B1EF8" w:rsidRPr="00E34E8F" w:rsidRDefault="009B1EF8" w:rsidP="000C66B3">
            <w:pPr>
              <w:spacing w:after="0" w:line="240" w:lineRule="auto"/>
              <w:jc w:val="center"/>
              <w:rPr>
                <w:rFonts w:ascii="Times New Roman" w:hAnsi="Times New Roman"/>
                <w:snapToGrid w:val="0"/>
                <w:sz w:val="24"/>
                <w:szCs w:val="24"/>
                <w:lang w:val="fr-FR"/>
              </w:rPr>
            </w:pPr>
          </w:p>
          <w:p w:rsidR="009B1EF8" w:rsidRPr="00E34E8F" w:rsidRDefault="009B1EF8" w:rsidP="000C66B3">
            <w:pPr>
              <w:spacing w:after="0" w:line="240" w:lineRule="auto"/>
              <w:jc w:val="center"/>
              <w:rPr>
                <w:rFonts w:ascii="Times New Roman" w:hAnsi="Times New Roman"/>
                <w:snapToGrid w:val="0"/>
                <w:sz w:val="24"/>
                <w:szCs w:val="24"/>
                <w:lang w:val="fr-FR"/>
              </w:rPr>
            </w:pPr>
          </w:p>
          <w:p w:rsidR="000C66B3" w:rsidRPr="00E34E8F" w:rsidRDefault="000C66B3" w:rsidP="000C66B3">
            <w:pPr>
              <w:spacing w:after="0" w:line="240" w:lineRule="auto"/>
              <w:jc w:val="center"/>
              <w:rPr>
                <w:rFonts w:ascii="Times New Roman" w:hAnsi="Times New Roman"/>
                <w:snapToGrid w:val="0"/>
                <w:sz w:val="24"/>
                <w:szCs w:val="24"/>
                <w:lang w:val="fr-FR"/>
              </w:rPr>
            </w:pPr>
          </w:p>
          <w:p w:rsidR="000C66B3" w:rsidRPr="00E34E8F" w:rsidRDefault="000C66B3" w:rsidP="000C66B3">
            <w:pPr>
              <w:spacing w:after="0" w:line="240" w:lineRule="auto"/>
              <w:jc w:val="center"/>
              <w:rPr>
                <w:rFonts w:ascii="Times New Roman" w:hAnsi="Times New Roman"/>
                <w:snapToGrid w:val="0"/>
                <w:sz w:val="24"/>
                <w:szCs w:val="24"/>
                <w:lang w:val="fr-FR"/>
              </w:rPr>
            </w:pPr>
          </w:p>
          <w:p w:rsidR="000C66B3" w:rsidRPr="00E34E8F" w:rsidRDefault="000C66B3" w:rsidP="000C66B3">
            <w:pPr>
              <w:spacing w:after="0" w:line="240" w:lineRule="auto"/>
              <w:jc w:val="center"/>
              <w:rPr>
                <w:rFonts w:ascii="Times New Roman" w:hAnsi="Times New Roman"/>
                <w:snapToGrid w:val="0"/>
                <w:sz w:val="24"/>
                <w:szCs w:val="24"/>
                <w:lang w:val="fr-FR"/>
              </w:rPr>
            </w:pPr>
          </w:p>
          <w:p w:rsidR="000C66B3" w:rsidRPr="00E34E8F" w:rsidRDefault="000C66B3" w:rsidP="000C66B3">
            <w:pPr>
              <w:spacing w:after="0" w:line="240" w:lineRule="auto"/>
              <w:jc w:val="center"/>
              <w:rPr>
                <w:rFonts w:ascii="Times New Roman" w:hAnsi="Times New Roman"/>
                <w:snapToGrid w:val="0"/>
                <w:sz w:val="24"/>
                <w:szCs w:val="24"/>
                <w:lang w:val="fr-FR"/>
              </w:rPr>
            </w:pPr>
          </w:p>
          <w:p w:rsidR="000C66B3" w:rsidRPr="00E34E8F" w:rsidRDefault="000C66B3" w:rsidP="000C66B3">
            <w:pPr>
              <w:spacing w:after="0" w:line="240" w:lineRule="auto"/>
              <w:jc w:val="center"/>
              <w:rPr>
                <w:rFonts w:ascii="Times New Roman" w:hAnsi="Times New Roman"/>
                <w:snapToGrid w:val="0"/>
                <w:sz w:val="24"/>
                <w:szCs w:val="24"/>
                <w:lang w:val="fr-FR"/>
              </w:rPr>
            </w:pPr>
          </w:p>
          <w:p w:rsidR="000C66B3" w:rsidRPr="00E34E8F" w:rsidRDefault="000C66B3" w:rsidP="000C66B3">
            <w:pPr>
              <w:spacing w:after="0" w:line="240" w:lineRule="auto"/>
              <w:jc w:val="center"/>
              <w:rPr>
                <w:rFonts w:ascii="Times New Roman" w:hAnsi="Times New Roman"/>
                <w:snapToGrid w:val="0"/>
                <w:sz w:val="24"/>
                <w:szCs w:val="24"/>
                <w:lang w:val="fr-FR"/>
              </w:rPr>
            </w:pPr>
          </w:p>
          <w:p w:rsidR="000C66B3" w:rsidRPr="00E34E8F" w:rsidRDefault="000C66B3" w:rsidP="000C66B3">
            <w:pPr>
              <w:spacing w:after="0" w:line="240" w:lineRule="auto"/>
              <w:jc w:val="center"/>
              <w:rPr>
                <w:rFonts w:ascii="Times New Roman" w:hAnsi="Times New Roman"/>
                <w:snapToGrid w:val="0"/>
                <w:sz w:val="24"/>
                <w:szCs w:val="24"/>
                <w:lang w:val="fr-FR"/>
              </w:rPr>
            </w:pPr>
          </w:p>
          <w:p w:rsidR="000C66B3" w:rsidRPr="00E34E8F" w:rsidRDefault="000C66B3" w:rsidP="000C66B3">
            <w:pPr>
              <w:spacing w:after="0" w:line="240" w:lineRule="auto"/>
              <w:jc w:val="center"/>
              <w:rPr>
                <w:rFonts w:ascii="Times New Roman" w:hAnsi="Times New Roman"/>
                <w:snapToGrid w:val="0"/>
                <w:sz w:val="24"/>
                <w:szCs w:val="24"/>
                <w:lang w:val="fr-FR"/>
              </w:rPr>
            </w:pPr>
          </w:p>
          <w:p w:rsidR="000C66B3" w:rsidRPr="00E34E8F" w:rsidRDefault="000C66B3" w:rsidP="000C66B3">
            <w:pPr>
              <w:spacing w:after="0" w:line="240" w:lineRule="auto"/>
              <w:jc w:val="center"/>
              <w:rPr>
                <w:rFonts w:ascii="Times New Roman" w:hAnsi="Times New Roman"/>
                <w:snapToGrid w:val="0"/>
                <w:sz w:val="24"/>
                <w:szCs w:val="24"/>
                <w:lang w:val="fr-FR"/>
              </w:rPr>
            </w:pPr>
            <w:r w:rsidRPr="00E34E8F">
              <w:rPr>
                <w:rFonts w:ascii="Times New Roman" w:hAnsi="Times New Roman"/>
                <w:sz w:val="24"/>
                <w:szCs w:val="24"/>
                <w:lang w:val="fr-FR"/>
              </w:rPr>
              <w:t>65%</w:t>
            </w:r>
          </w:p>
        </w:tc>
      </w:tr>
      <w:tr w:rsidR="000C66B3" w:rsidRPr="00E34E8F" w:rsidTr="008044E6">
        <w:trPr>
          <w:trHeight w:val="2186"/>
        </w:trPr>
        <w:tc>
          <w:tcPr>
            <w:tcW w:w="2718" w:type="dxa"/>
          </w:tcPr>
          <w:p w:rsidR="000C66B3" w:rsidRPr="000C66B3" w:rsidRDefault="000C66B3" w:rsidP="000C66B3">
            <w:pPr>
              <w:pStyle w:val="ListParagraph"/>
              <w:rPr>
                <w:spacing w:val="-2"/>
                <w:szCs w:val="24"/>
                <w:lang w:val="fr-FR"/>
              </w:rPr>
            </w:pPr>
          </w:p>
          <w:p w:rsidR="000C66B3" w:rsidRPr="00E34E8F" w:rsidRDefault="000C66B3" w:rsidP="000C66B3">
            <w:pPr>
              <w:numPr>
                <w:ilvl w:val="0"/>
                <w:numId w:val="1"/>
              </w:numPr>
              <w:spacing w:after="0" w:line="240" w:lineRule="auto"/>
              <w:ind w:left="307" w:hanging="307"/>
              <w:rPr>
                <w:rFonts w:ascii="Times New Roman" w:hAnsi="Times New Roman"/>
                <w:snapToGrid w:val="0"/>
                <w:spacing w:val="-2"/>
                <w:sz w:val="24"/>
                <w:szCs w:val="24"/>
                <w:lang w:val="fr-FR"/>
              </w:rPr>
            </w:pPr>
            <w:r w:rsidRPr="00E34E8F">
              <w:rPr>
                <w:rFonts w:ascii="Times New Roman" w:hAnsi="Times New Roman"/>
                <w:spacing w:val="-2"/>
                <w:sz w:val="24"/>
                <w:szCs w:val="24"/>
                <w:lang w:val="fr-FR"/>
              </w:rPr>
              <w:t>Un plan de contingence est mis en place pour les trois départements du nord et toutes les équipes d’intervention des départements et des comités communaux sont formés à la contingence sismique.</w:t>
            </w:r>
          </w:p>
        </w:tc>
        <w:tc>
          <w:tcPr>
            <w:tcW w:w="5400" w:type="dxa"/>
            <w:vAlign w:val="center"/>
          </w:tcPr>
          <w:p w:rsidR="00175289" w:rsidRPr="00E34E8F" w:rsidRDefault="00E64CAB" w:rsidP="00436704">
            <w:pPr>
              <w:spacing w:after="0" w:line="240" w:lineRule="auto"/>
              <w:jc w:val="both"/>
              <w:rPr>
                <w:rFonts w:ascii="Times New Roman" w:hAnsi="Times New Roman"/>
                <w:spacing w:val="-2"/>
                <w:sz w:val="24"/>
                <w:szCs w:val="24"/>
                <w:lang w:val="fr-FR"/>
              </w:rPr>
            </w:pPr>
            <w:r>
              <w:rPr>
                <w:rFonts w:ascii="Times New Roman" w:hAnsi="Times New Roman"/>
                <w:spacing w:val="-2"/>
                <w:sz w:val="24"/>
                <w:szCs w:val="24"/>
                <w:lang w:val="fr-FR"/>
              </w:rPr>
              <w:t>L’expert en risques sismiques a été recrut</w:t>
            </w:r>
            <w:r w:rsidR="008D6E5B">
              <w:rPr>
                <w:rFonts w:ascii="Times New Roman" w:hAnsi="Times New Roman"/>
                <w:spacing w:val="-2"/>
                <w:sz w:val="24"/>
                <w:szCs w:val="24"/>
                <w:lang w:val="fr-FR"/>
              </w:rPr>
              <w:t>é</w:t>
            </w:r>
            <w:r>
              <w:rPr>
                <w:rFonts w:ascii="Times New Roman" w:hAnsi="Times New Roman"/>
                <w:spacing w:val="-2"/>
                <w:sz w:val="24"/>
                <w:szCs w:val="24"/>
                <w:lang w:val="fr-FR"/>
              </w:rPr>
              <w:t xml:space="preserve"> et a déjà commenc</w:t>
            </w:r>
            <w:r w:rsidR="008D6E5B">
              <w:rPr>
                <w:rFonts w:ascii="Times New Roman" w:hAnsi="Times New Roman"/>
                <w:spacing w:val="-2"/>
                <w:sz w:val="24"/>
                <w:szCs w:val="24"/>
                <w:lang w:val="fr-FR"/>
              </w:rPr>
              <w:t>é</w:t>
            </w:r>
            <w:r>
              <w:rPr>
                <w:rFonts w:ascii="Times New Roman" w:hAnsi="Times New Roman"/>
                <w:spacing w:val="-2"/>
                <w:sz w:val="24"/>
                <w:szCs w:val="24"/>
                <w:lang w:val="fr-FR"/>
              </w:rPr>
              <w:t xml:space="preserve"> son travail de recherche bibliographique </w:t>
            </w:r>
            <w:r w:rsidR="007B1762" w:rsidRPr="00E34E8F">
              <w:rPr>
                <w:rFonts w:ascii="Times New Roman" w:hAnsi="Times New Roman"/>
                <w:spacing w:val="-2"/>
                <w:sz w:val="24"/>
                <w:szCs w:val="24"/>
                <w:lang w:val="fr-FR"/>
              </w:rPr>
              <w:t xml:space="preserve">  </w:t>
            </w:r>
            <w:r w:rsidR="009B1EF8" w:rsidRPr="00E34E8F">
              <w:rPr>
                <w:rFonts w:ascii="Times New Roman" w:hAnsi="Times New Roman"/>
                <w:spacing w:val="-2"/>
                <w:sz w:val="24"/>
                <w:szCs w:val="24"/>
                <w:lang w:val="fr-FR"/>
              </w:rPr>
              <w:t xml:space="preserve"> </w:t>
            </w:r>
          </w:p>
          <w:p w:rsidR="000C66B3" w:rsidRPr="00E34E8F" w:rsidRDefault="00175289" w:rsidP="00436704">
            <w:pPr>
              <w:spacing w:after="0" w:line="240" w:lineRule="auto"/>
              <w:jc w:val="both"/>
              <w:rPr>
                <w:rFonts w:ascii="Times New Roman" w:hAnsi="Times New Roman"/>
                <w:snapToGrid w:val="0"/>
                <w:sz w:val="24"/>
                <w:szCs w:val="24"/>
                <w:lang w:val="fr-FR"/>
              </w:rPr>
            </w:pPr>
            <w:r w:rsidRPr="00E34E8F">
              <w:rPr>
                <w:rFonts w:ascii="Times New Roman" w:hAnsi="Times New Roman"/>
                <w:spacing w:val="-2"/>
                <w:sz w:val="24"/>
                <w:szCs w:val="24"/>
                <w:lang w:val="fr-FR"/>
              </w:rPr>
              <w:t>L’</w:t>
            </w:r>
            <w:r w:rsidR="009B1EF8" w:rsidRPr="00E34E8F">
              <w:rPr>
                <w:rFonts w:ascii="Times New Roman" w:hAnsi="Times New Roman"/>
                <w:spacing w:val="-2"/>
                <w:sz w:val="24"/>
                <w:szCs w:val="24"/>
                <w:lang w:val="fr-FR"/>
              </w:rPr>
              <w:t xml:space="preserve">ébauche du programme de lancement de cette opération a été préparée dans les 3 départements avec l’expertise des 3 </w:t>
            </w:r>
            <w:proofErr w:type="spellStart"/>
            <w:r w:rsidR="009B1EF8" w:rsidRPr="00E34E8F">
              <w:rPr>
                <w:rFonts w:ascii="Times New Roman" w:hAnsi="Times New Roman"/>
                <w:spacing w:val="-2"/>
                <w:sz w:val="24"/>
                <w:szCs w:val="24"/>
                <w:lang w:val="fr-FR"/>
              </w:rPr>
              <w:t>CTPN</w:t>
            </w:r>
            <w:r w:rsidR="007B1762" w:rsidRPr="00E34E8F">
              <w:rPr>
                <w:rFonts w:ascii="Times New Roman" w:hAnsi="Times New Roman"/>
                <w:spacing w:val="-2"/>
                <w:sz w:val="24"/>
                <w:szCs w:val="24"/>
                <w:lang w:val="fr-FR"/>
              </w:rPr>
              <w:t>s</w:t>
            </w:r>
            <w:proofErr w:type="spellEnd"/>
            <w:r w:rsidR="007B1762" w:rsidRPr="00E34E8F">
              <w:rPr>
                <w:rFonts w:ascii="Times New Roman" w:hAnsi="Times New Roman"/>
                <w:spacing w:val="-2"/>
                <w:sz w:val="24"/>
                <w:szCs w:val="24"/>
                <w:lang w:val="fr-FR"/>
              </w:rPr>
              <w:t>.  L</w:t>
            </w:r>
            <w:r w:rsidR="005D0491">
              <w:rPr>
                <w:rFonts w:ascii="Times New Roman" w:hAnsi="Times New Roman"/>
                <w:spacing w:val="-2"/>
                <w:sz w:val="24"/>
                <w:szCs w:val="24"/>
                <w:lang w:val="fr-FR"/>
              </w:rPr>
              <w:t>e lancement des activités de terrain commencera en janvier 2013.</w:t>
            </w:r>
          </w:p>
          <w:p w:rsidR="000C66B3" w:rsidRPr="00E34E8F" w:rsidRDefault="000C66B3" w:rsidP="000C66B3">
            <w:pPr>
              <w:spacing w:after="0" w:line="240" w:lineRule="auto"/>
              <w:ind w:firstLine="75"/>
              <w:rPr>
                <w:rFonts w:ascii="Times New Roman" w:hAnsi="Times New Roman"/>
                <w:snapToGrid w:val="0"/>
                <w:spacing w:val="-2"/>
                <w:sz w:val="24"/>
                <w:szCs w:val="24"/>
                <w:lang w:val="fr-FR"/>
              </w:rPr>
            </w:pPr>
          </w:p>
          <w:p w:rsidR="000C66B3" w:rsidRPr="000C66B3" w:rsidRDefault="000C66B3" w:rsidP="000C66B3">
            <w:pPr>
              <w:pStyle w:val="ListParagraph"/>
              <w:ind w:left="360"/>
              <w:rPr>
                <w:szCs w:val="24"/>
                <w:lang w:val="fr-FR"/>
              </w:rPr>
            </w:pPr>
          </w:p>
        </w:tc>
        <w:tc>
          <w:tcPr>
            <w:tcW w:w="1800" w:type="dxa"/>
            <w:vAlign w:val="center"/>
          </w:tcPr>
          <w:p w:rsidR="000C66B3" w:rsidRPr="00E34E8F" w:rsidRDefault="000C66B3" w:rsidP="000C66B3">
            <w:pPr>
              <w:spacing w:after="0" w:line="240" w:lineRule="auto"/>
              <w:jc w:val="center"/>
              <w:rPr>
                <w:rFonts w:ascii="Times New Roman" w:hAnsi="Times New Roman"/>
                <w:snapToGrid w:val="0"/>
                <w:sz w:val="24"/>
                <w:szCs w:val="24"/>
                <w:lang w:val="fr-FR"/>
              </w:rPr>
            </w:pPr>
            <w:r w:rsidRPr="00E34E8F">
              <w:rPr>
                <w:rFonts w:ascii="Times New Roman" w:hAnsi="Times New Roman"/>
                <w:sz w:val="24"/>
                <w:szCs w:val="24"/>
                <w:lang w:val="fr-FR"/>
              </w:rPr>
              <w:t>10%</w:t>
            </w:r>
          </w:p>
        </w:tc>
      </w:tr>
    </w:tbl>
    <w:p w:rsidR="000C66B3" w:rsidRPr="000C66B3" w:rsidRDefault="000C66B3" w:rsidP="000C66B3">
      <w:pPr>
        <w:spacing w:after="0" w:line="240" w:lineRule="auto"/>
        <w:rPr>
          <w:rFonts w:ascii="Times New Roman" w:hAnsi="Times New Roman"/>
          <w:sz w:val="24"/>
          <w:szCs w:val="24"/>
          <w:lang w:val="fr-FR"/>
        </w:rPr>
      </w:pPr>
    </w:p>
    <w:p w:rsidR="000C66B3" w:rsidRPr="000C66B3" w:rsidRDefault="000C66B3" w:rsidP="000C66B3">
      <w:pPr>
        <w:spacing w:after="0" w:line="240" w:lineRule="auto"/>
        <w:rPr>
          <w:rFonts w:ascii="Times New Roman" w:hAnsi="Times New Roman"/>
          <w:sz w:val="24"/>
          <w:szCs w:val="24"/>
          <w:lang w:val="fr-FR"/>
        </w:rPr>
      </w:pPr>
    </w:p>
    <w:p w:rsidR="000C66B3" w:rsidRPr="000C66B3" w:rsidRDefault="000C66B3" w:rsidP="000C66B3">
      <w:pPr>
        <w:spacing w:after="0" w:line="240" w:lineRule="auto"/>
        <w:rPr>
          <w:rFonts w:ascii="Times New Roman" w:hAnsi="Times New Roman"/>
          <w:sz w:val="24"/>
          <w:szCs w:val="24"/>
          <w:lang w:val="fr-FR"/>
        </w:rPr>
      </w:pPr>
    </w:p>
    <w:p w:rsidR="000C66B3" w:rsidRPr="000C66B3" w:rsidRDefault="000C66B3" w:rsidP="000C66B3">
      <w:pPr>
        <w:spacing w:after="0" w:line="240" w:lineRule="auto"/>
        <w:rPr>
          <w:rFonts w:ascii="Times New Roman" w:hAnsi="Times New Roman"/>
          <w:sz w:val="24"/>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8"/>
      </w:tblGrid>
      <w:tr w:rsidR="000C66B3" w:rsidRPr="009C77BC" w:rsidTr="00671C86">
        <w:trPr>
          <w:trHeight w:val="463"/>
        </w:trPr>
        <w:tc>
          <w:tcPr>
            <w:tcW w:w="9558" w:type="dxa"/>
            <w:shd w:val="clear" w:color="auto" w:fill="DBE5F1"/>
            <w:vAlign w:val="center"/>
          </w:tcPr>
          <w:p w:rsidR="000C66B3" w:rsidRPr="00E34E8F" w:rsidRDefault="000C66B3" w:rsidP="000C66B3">
            <w:pPr>
              <w:spacing w:after="0" w:line="240" w:lineRule="auto"/>
              <w:rPr>
                <w:rFonts w:ascii="Times New Roman" w:hAnsi="Times New Roman"/>
                <w:snapToGrid w:val="0"/>
                <w:color w:val="000000"/>
                <w:sz w:val="24"/>
                <w:szCs w:val="24"/>
                <w:lang w:val="fr-FR"/>
              </w:rPr>
            </w:pPr>
            <w:r w:rsidRPr="00E34E8F">
              <w:rPr>
                <w:rFonts w:ascii="Times New Roman" w:hAnsi="Times New Roman"/>
                <w:b/>
                <w:sz w:val="24"/>
                <w:szCs w:val="24"/>
                <w:lang w:val="fr-FR"/>
              </w:rPr>
              <w:lastRenderedPageBreak/>
              <w:t>Réalisations Qualitatives par rapport aux résultats attendus</w:t>
            </w:r>
            <w:r w:rsidRPr="00E34E8F">
              <w:rPr>
                <w:rStyle w:val="FootnoteReference"/>
                <w:rFonts w:ascii="Times New Roman" w:hAnsi="Times New Roman"/>
                <w:b/>
                <w:sz w:val="24"/>
                <w:szCs w:val="24"/>
                <w:lang w:val="fr-FR"/>
              </w:rPr>
              <w:footnoteReference w:id="5"/>
            </w:r>
            <w:r w:rsidRPr="00E34E8F">
              <w:rPr>
                <w:rFonts w:ascii="Times New Roman" w:hAnsi="Times New Roman"/>
                <w:b/>
                <w:sz w:val="24"/>
                <w:szCs w:val="24"/>
                <w:lang w:val="fr-FR"/>
              </w:rPr>
              <w:t>:</w:t>
            </w:r>
          </w:p>
        </w:tc>
      </w:tr>
      <w:tr w:rsidR="000C66B3" w:rsidRPr="009C77BC" w:rsidTr="00671C86">
        <w:trPr>
          <w:trHeight w:val="2438"/>
        </w:trPr>
        <w:tc>
          <w:tcPr>
            <w:tcW w:w="9558" w:type="dxa"/>
          </w:tcPr>
          <w:p w:rsidR="000C66B3" w:rsidRPr="00E34E8F" w:rsidRDefault="000C66B3" w:rsidP="000C66B3">
            <w:pPr>
              <w:spacing w:after="0" w:line="240" w:lineRule="auto"/>
              <w:rPr>
                <w:rFonts w:ascii="Times New Roman" w:hAnsi="Times New Roman"/>
                <w:snapToGrid w:val="0"/>
                <w:color w:val="000000"/>
                <w:sz w:val="24"/>
                <w:szCs w:val="24"/>
                <w:lang w:val="fr-FR"/>
              </w:rPr>
            </w:pPr>
            <w:r w:rsidRPr="00E34E8F">
              <w:rPr>
                <w:rFonts w:ascii="Times New Roman" w:hAnsi="Times New Roman"/>
                <w:color w:val="000000"/>
                <w:sz w:val="24"/>
                <w:szCs w:val="24"/>
                <w:lang w:val="fr-FR"/>
              </w:rPr>
              <w:t>Les principales réalisations pendant cette période sont :</w:t>
            </w:r>
          </w:p>
          <w:p w:rsidR="000C66B3" w:rsidRPr="00E34E8F" w:rsidRDefault="000C66B3" w:rsidP="000C66B3">
            <w:pPr>
              <w:spacing w:after="0" w:line="240" w:lineRule="auto"/>
              <w:rPr>
                <w:rFonts w:ascii="Times New Roman" w:hAnsi="Times New Roman"/>
                <w:snapToGrid w:val="0"/>
                <w:color w:val="000000"/>
                <w:sz w:val="24"/>
                <w:szCs w:val="24"/>
                <w:lang w:val="fr-FR"/>
              </w:rPr>
            </w:pPr>
          </w:p>
          <w:p w:rsidR="000C66B3" w:rsidRPr="005D0491" w:rsidRDefault="005D0491" w:rsidP="005D0491">
            <w:pPr>
              <w:pStyle w:val="BodyText2"/>
              <w:numPr>
                <w:ilvl w:val="0"/>
                <w:numId w:val="2"/>
              </w:numPr>
              <w:spacing w:after="0" w:line="240" w:lineRule="auto"/>
              <w:jc w:val="both"/>
              <w:rPr>
                <w:lang w:val="fr-FR"/>
              </w:rPr>
            </w:pPr>
            <w:r>
              <w:rPr>
                <w:color w:val="000000"/>
                <w:lang w:val="fr-FR"/>
              </w:rPr>
              <w:t>Cartographie de l’</w:t>
            </w:r>
            <w:r w:rsidR="008D6E5B">
              <w:rPr>
                <w:color w:val="000000"/>
                <w:lang w:val="fr-FR"/>
              </w:rPr>
              <w:t>aléas</w:t>
            </w:r>
            <w:r>
              <w:rPr>
                <w:color w:val="000000"/>
                <w:lang w:val="fr-FR"/>
              </w:rPr>
              <w:t xml:space="preserve"> mouvement de terrain.</w:t>
            </w:r>
          </w:p>
          <w:p w:rsidR="000C66B3" w:rsidRPr="00A13C95" w:rsidRDefault="000C66B3" w:rsidP="000C66B3">
            <w:pPr>
              <w:pStyle w:val="BodyText2"/>
              <w:numPr>
                <w:ilvl w:val="0"/>
                <w:numId w:val="2"/>
              </w:numPr>
              <w:spacing w:after="0" w:line="240" w:lineRule="auto"/>
              <w:jc w:val="both"/>
              <w:rPr>
                <w:lang w:val="fr-FR"/>
              </w:rPr>
            </w:pPr>
            <w:r w:rsidRPr="000C66B3">
              <w:rPr>
                <w:color w:val="000000"/>
                <w:lang w:val="fr-FR"/>
              </w:rPr>
              <w:t>Bonne connaissance des risques sismiques liées  à la nature des sols grâce aux mesures H/V et MASW</w:t>
            </w:r>
            <w:r w:rsidR="005D0491">
              <w:rPr>
                <w:color w:val="000000"/>
                <w:lang w:val="fr-FR"/>
              </w:rPr>
              <w:t xml:space="preserve"> et aux sondages géotechniques (forage)</w:t>
            </w:r>
          </w:p>
          <w:p w:rsidR="00A13C95" w:rsidRPr="000C66B3" w:rsidRDefault="00A13C95" w:rsidP="000C66B3">
            <w:pPr>
              <w:pStyle w:val="BodyText2"/>
              <w:numPr>
                <w:ilvl w:val="0"/>
                <w:numId w:val="2"/>
              </w:numPr>
              <w:spacing w:after="0" w:line="240" w:lineRule="auto"/>
              <w:jc w:val="both"/>
              <w:rPr>
                <w:lang w:val="fr-FR"/>
              </w:rPr>
            </w:pPr>
            <w:r>
              <w:rPr>
                <w:color w:val="000000"/>
                <w:lang w:val="fr-FR"/>
              </w:rPr>
              <w:t xml:space="preserve">Plusieurs forages profonds, des mesures CPT, des profils sismiques ont été réalisés à Cap-Haïtien et </w:t>
            </w:r>
            <w:proofErr w:type="spellStart"/>
            <w:r>
              <w:rPr>
                <w:color w:val="000000"/>
                <w:lang w:val="fr-FR"/>
              </w:rPr>
              <w:t>Ouanaminthe</w:t>
            </w:r>
            <w:proofErr w:type="spellEnd"/>
            <w:r>
              <w:rPr>
                <w:color w:val="000000"/>
                <w:lang w:val="fr-FR"/>
              </w:rPr>
              <w:t>, en vue de consolider le niveau de renseignement sur la nature géologique des terrains et leurs réactions possibles en cas de séismes.</w:t>
            </w:r>
          </w:p>
          <w:p w:rsidR="005D0491" w:rsidRPr="005D0491" w:rsidRDefault="005D0491" w:rsidP="000C66B3">
            <w:pPr>
              <w:pStyle w:val="BodyText2"/>
              <w:numPr>
                <w:ilvl w:val="0"/>
                <w:numId w:val="3"/>
              </w:numPr>
              <w:spacing w:after="0" w:line="240" w:lineRule="auto"/>
              <w:jc w:val="both"/>
              <w:rPr>
                <w:lang w:val="fr-FR"/>
              </w:rPr>
            </w:pPr>
            <w:r>
              <w:rPr>
                <w:color w:val="000000"/>
                <w:lang w:val="fr-FR"/>
              </w:rPr>
              <w:t xml:space="preserve">Rapport technique détaillé  sur l’évaluation rapide de certains bâtiments </w:t>
            </w:r>
            <w:r w:rsidR="00A13C95">
              <w:rPr>
                <w:color w:val="000000"/>
                <w:lang w:val="fr-FR"/>
              </w:rPr>
              <w:t xml:space="preserve"> </w:t>
            </w:r>
            <w:r>
              <w:rPr>
                <w:color w:val="000000"/>
                <w:lang w:val="fr-FR"/>
              </w:rPr>
              <w:t xml:space="preserve">Publiques pour </w:t>
            </w:r>
            <w:r w:rsidR="004A72F3">
              <w:rPr>
                <w:color w:val="000000"/>
                <w:lang w:val="fr-FR"/>
              </w:rPr>
              <w:t>déterminer</w:t>
            </w:r>
            <w:r>
              <w:rPr>
                <w:color w:val="000000"/>
                <w:lang w:val="fr-FR"/>
              </w:rPr>
              <w:t xml:space="preserve"> leur </w:t>
            </w:r>
            <w:r w:rsidR="00D24AB1">
              <w:rPr>
                <w:color w:val="000000"/>
                <w:lang w:val="fr-FR"/>
              </w:rPr>
              <w:t>degré</w:t>
            </w:r>
            <w:r>
              <w:rPr>
                <w:color w:val="000000"/>
                <w:lang w:val="fr-FR"/>
              </w:rPr>
              <w:t xml:space="preserve"> de vulnérabilité</w:t>
            </w:r>
          </w:p>
          <w:p w:rsidR="00175289" w:rsidRPr="00175289" w:rsidRDefault="005D0491" w:rsidP="000C66B3">
            <w:pPr>
              <w:pStyle w:val="BodyText2"/>
              <w:numPr>
                <w:ilvl w:val="0"/>
                <w:numId w:val="3"/>
              </w:numPr>
              <w:spacing w:after="0" w:line="240" w:lineRule="auto"/>
              <w:jc w:val="both"/>
              <w:rPr>
                <w:lang w:val="fr-FR"/>
              </w:rPr>
            </w:pPr>
            <w:r>
              <w:rPr>
                <w:color w:val="000000"/>
                <w:lang w:val="fr-FR"/>
              </w:rPr>
              <w:t xml:space="preserve">Connaissance de degré de </w:t>
            </w:r>
            <w:r w:rsidR="004A72F3">
              <w:rPr>
                <w:color w:val="000000"/>
                <w:lang w:val="fr-FR"/>
              </w:rPr>
              <w:t>vulnérabilité</w:t>
            </w:r>
            <w:r>
              <w:rPr>
                <w:color w:val="000000"/>
                <w:lang w:val="fr-FR"/>
              </w:rPr>
              <w:t xml:space="preserve"> de la </w:t>
            </w:r>
            <w:r w:rsidR="004A72F3">
              <w:rPr>
                <w:color w:val="000000"/>
                <w:lang w:val="fr-FR"/>
              </w:rPr>
              <w:t>délégation</w:t>
            </w:r>
            <w:r>
              <w:rPr>
                <w:color w:val="000000"/>
                <w:lang w:val="fr-FR"/>
              </w:rPr>
              <w:t xml:space="preserve"> du Nord, les quatre bâtiments qui composent l’Hôpital </w:t>
            </w:r>
            <w:r w:rsidR="008D6E5B">
              <w:rPr>
                <w:color w:val="000000"/>
                <w:lang w:val="fr-FR"/>
              </w:rPr>
              <w:t xml:space="preserve">Immaculée Conception </w:t>
            </w:r>
            <w:r>
              <w:rPr>
                <w:color w:val="000000"/>
                <w:lang w:val="fr-FR"/>
              </w:rPr>
              <w:t>de Port de Paix</w:t>
            </w:r>
            <w:r w:rsidR="008D6E5B">
              <w:rPr>
                <w:color w:val="000000"/>
                <w:lang w:val="fr-FR"/>
              </w:rPr>
              <w:t xml:space="preserve"> ; </w:t>
            </w:r>
            <w:r w:rsidR="00D32A86">
              <w:rPr>
                <w:color w:val="000000"/>
                <w:lang w:val="fr-FR"/>
              </w:rPr>
              <w:t>Fort  Libert</w:t>
            </w:r>
            <w:r w:rsidR="008D6E5B">
              <w:rPr>
                <w:color w:val="000000"/>
                <w:lang w:val="fr-FR"/>
              </w:rPr>
              <w:t xml:space="preserve">é </w:t>
            </w:r>
            <w:r w:rsidR="00D32A86">
              <w:rPr>
                <w:color w:val="000000"/>
                <w:lang w:val="fr-FR"/>
              </w:rPr>
              <w:t>( Commissariat, Délégation, nouveau bâtiment de la direction départementale de la santé ; une école nationale;</w:t>
            </w:r>
            <w:r>
              <w:rPr>
                <w:color w:val="000000"/>
                <w:lang w:val="fr-FR"/>
              </w:rPr>
              <w:t xml:space="preserve"> et  propositions pour le renforcement </w:t>
            </w:r>
            <w:r w:rsidR="00A13C95">
              <w:rPr>
                <w:color w:val="000000"/>
                <w:lang w:val="fr-FR"/>
              </w:rPr>
              <w:t xml:space="preserve"> </w:t>
            </w:r>
          </w:p>
          <w:p w:rsidR="000C66B3" w:rsidRPr="004A72F3" w:rsidRDefault="004A72F3" w:rsidP="000C66B3">
            <w:pPr>
              <w:pStyle w:val="BodyText2"/>
              <w:numPr>
                <w:ilvl w:val="0"/>
                <w:numId w:val="3"/>
              </w:numPr>
              <w:spacing w:after="0" w:line="240" w:lineRule="auto"/>
              <w:jc w:val="both"/>
              <w:rPr>
                <w:lang w:val="fr-FR"/>
              </w:rPr>
            </w:pPr>
            <w:r>
              <w:rPr>
                <w:color w:val="000000"/>
                <w:lang w:val="fr-FR"/>
              </w:rPr>
              <w:t>Ce rapport concerne aussi</w:t>
            </w:r>
            <w:r w:rsidR="0032368B">
              <w:rPr>
                <w:color w:val="000000"/>
                <w:lang w:val="fr-FR"/>
              </w:rPr>
              <w:t xml:space="preserve"> </w:t>
            </w:r>
            <w:r w:rsidR="00175289">
              <w:rPr>
                <w:color w:val="000000"/>
                <w:lang w:val="fr-FR"/>
              </w:rPr>
              <w:t>Port de Paix</w:t>
            </w:r>
            <w:r w:rsidR="0032368B">
              <w:rPr>
                <w:color w:val="000000"/>
                <w:lang w:val="fr-FR"/>
              </w:rPr>
              <w:t xml:space="preserve"> </w:t>
            </w:r>
            <w:r w:rsidR="00175289">
              <w:rPr>
                <w:color w:val="000000"/>
                <w:lang w:val="fr-FR"/>
              </w:rPr>
              <w:t>(</w:t>
            </w:r>
            <w:r w:rsidR="0032368B">
              <w:rPr>
                <w:color w:val="000000"/>
                <w:lang w:val="fr-FR"/>
              </w:rPr>
              <w:t>t</w:t>
            </w:r>
            <w:r w:rsidR="00175289">
              <w:rPr>
                <w:color w:val="000000"/>
                <w:lang w:val="fr-FR"/>
              </w:rPr>
              <w:t>rois bâtiments de l’Hôpital général).</w:t>
            </w:r>
          </w:p>
          <w:p w:rsidR="00D32A86" w:rsidRPr="00D32A86" w:rsidRDefault="004A72F3" w:rsidP="000C66B3">
            <w:pPr>
              <w:pStyle w:val="BodyText2"/>
              <w:numPr>
                <w:ilvl w:val="0"/>
                <w:numId w:val="3"/>
              </w:numPr>
              <w:spacing w:after="0" w:line="240" w:lineRule="auto"/>
              <w:jc w:val="both"/>
              <w:rPr>
                <w:lang w:val="fr-FR"/>
              </w:rPr>
            </w:pPr>
            <w:r>
              <w:rPr>
                <w:color w:val="000000"/>
                <w:lang w:val="fr-FR"/>
              </w:rPr>
              <w:t xml:space="preserve">Devoir de mémoire  pour le grand </w:t>
            </w:r>
            <w:r w:rsidR="0032368B">
              <w:rPr>
                <w:color w:val="000000"/>
                <w:lang w:val="fr-FR"/>
              </w:rPr>
              <w:t>public</w:t>
            </w:r>
            <w:r>
              <w:rPr>
                <w:color w:val="000000"/>
                <w:lang w:val="fr-FR"/>
              </w:rPr>
              <w:t xml:space="preserve"> </w:t>
            </w:r>
          </w:p>
          <w:p w:rsidR="004A72F3" w:rsidRPr="00D32A86" w:rsidRDefault="00D32A86" w:rsidP="000C66B3">
            <w:pPr>
              <w:pStyle w:val="BodyText2"/>
              <w:numPr>
                <w:ilvl w:val="0"/>
                <w:numId w:val="3"/>
              </w:numPr>
              <w:spacing w:after="0" w:line="240" w:lineRule="auto"/>
              <w:jc w:val="both"/>
              <w:rPr>
                <w:lang w:val="fr-FR"/>
              </w:rPr>
            </w:pPr>
            <w:r w:rsidRPr="00D32A86">
              <w:rPr>
                <w:rFonts w:eastAsia="Batang" w:cs="Tahoma"/>
                <w:lang w:val="fr-FR"/>
              </w:rPr>
              <w:t>Par la réalisation des Vendredis de la protection civile pour les jeunes et les grandes journées de formation dans les écoles, on croit qu'on continue à doter les écoliers et la population en générale  d'un maximum de connaissance sur la faille sismique qui représente un danger pour tout le grand Nord et les rendre pour ainsi dire plus résilient face à la menace</w:t>
            </w:r>
          </w:p>
          <w:p w:rsidR="000C66B3" w:rsidRPr="000C66B3" w:rsidRDefault="000C66B3" w:rsidP="004A72F3">
            <w:pPr>
              <w:pStyle w:val="BodyText2"/>
              <w:spacing w:after="0" w:line="240" w:lineRule="auto"/>
              <w:ind w:left="360"/>
              <w:jc w:val="both"/>
              <w:rPr>
                <w:lang w:val="fr-FR"/>
              </w:rPr>
            </w:pPr>
            <w:r w:rsidRPr="000C66B3">
              <w:rPr>
                <w:color w:val="000000"/>
                <w:lang w:val="fr-FR"/>
              </w:rPr>
              <w:t xml:space="preserve"> </w:t>
            </w:r>
          </w:p>
          <w:p w:rsidR="000C66B3" w:rsidRPr="000C66B3" w:rsidRDefault="000C66B3" w:rsidP="000C66B3">
            <w:pPr>
              <w:pStyle w:val="BodyText2"/>
              <w:numPr>
                <w:ilvl w:val="0"/>
                <w:numId w:val="3"/>
              </w:numPr>
              <w:spacing w:after="0" w:line="240" w:lineRule="auto"/>
              <w:jc w:val="both"/>
              <w:rPr>
                <w:lang w:val="fr-FR"/>
              </w:rPr>
            </w:pPr>
            <w:r w:rsidRPr="000C66B3">
              <w:rPr>
                <w:color w:val="000000"/>
                <w:lang w:val="fr-FR"/>
              </w:rPr>
              <w:t xml:space="preserve">Un travail de plaidoyer continu a été réalisé, à la fois au niveau national (Ministre de l’Intérieur) mais aussi au niveau départemental.  Le résultat est une reconnaissance/appropriation importante par la nouvelle administration des objectifs du </w:t>
            </w:r>
            <w:r w:rsidR="004A72F3">
              <w:rPr>
                <w:color w:val="000000"/>
                <w:lang w:val="fr-FR"/>
              </w:rPr>
              <w:t xml:space="preserve"> projet et le rappel quotidien sur les risques naturels  qui  existent  pour le </w:t>
            </w:r>
            <w:r w:rsidR="0032368B">
              <w:rPr>
                <w:color w:val="000000"/>
                <w:lang w:val="fr-FR"/>
              </w:rPr>
              <w:t>G</w:t>
            </w:r>
            <w:r w:rsidR="004A72F3">
              <w:rPr>
                <w:color w:val="000000"/>
                <w:lang w:val="fr-FR"/>
              </w:rPr>
              <w:t xml:space="preserve">rand </w:t>
            </w:r>
            <w:r w:rsidR="0032368B">
              <w:rPr>
                <w:color w:val="000000"/>
                <w:lang w:val="fr-FR"/>
              </w:rPr>
              <w:t>N</w:t>
            </w:r>
            <w:r w:rsidR="004A72F3">
              <w:rPr>
                <w:color w:val="000000"/>
                <w:lang w:val="fr-FR"/>
              </w:rPr>
              <w:t>ord</w:t>
            </w:r>
          </w:p>
          <w:p w:rsidR="000C66B3" w:rsidRPr="00175289" w:rsidRDefault="000C66B3" w:rsidP="00175289">
            <w:pPr>
              <w:pStyle w:val="BodyText2"/>
              <w:numPr>
                <w:ilvl w:val="0"/>
                <w:numId w:val="3"/>
              </w:numPr>
              <w:spacing w:after="0" w:line="240" w:lineRule="auto"/>
              <w:jc w:val="both"/>
              <w:rPr>
                <w:color w:val="000000"/>
                <w:lang w:val="fr-FR"/>
              </w:rPr>
            </w:pPr>
            <w:r w:rsidRPr="000C66B3">
              <w:rPr>
                <w:color w:val="000000"/>
                <w:lang w:val="fr-FR"/>
              </w:rPr>
              <w:t xml:space="preserve">Une prise de conscience </w:t>
            </w:r>
            <w:r w:rsidR="00A13C95">
              <w:rPr>
                <w:color w:val="000000"/>
                <w:lang w:val="fr-FR"/>
              </w:rPr>
              <w:t>par rapport à</w:t>
            </w:r>
            <w:r w:rsidRPr="000C66B3">
              <w:rPr>
                <w:color w:val="000000"/>
                <w:lang w:val="fr-FR"/>
              </w:rPr>
              <w:t xml:space="preserve"> l’importance d</w:t>
            </w:r>
            <w:r w:rsidR="00A13C95">
              <w:rPr>
                <w:color w:val="000000"/>
                <w:lang w:val="fr-FR"/>
              </w:rPr>
              <w:t>u</w:t>
            </w:r>
            <w:r w:rsidRPr="000C66B3">
              <w:rPr>
                <w:color w:val="000000"/>
                <w:lang w:val="fr-FR"/>
              </w:rPr>
              <w:t xml:space="preserve"> plan de prévention de séisme</w:t>
            </w:r>
            <w:r w:rsidR="00A13C95">
              <w:rPr>
                <w:color w:val="000000"/>
                <w:lang w:val="fr-FR"/>
              </w:rPr>
              <w:t>s</w:t>
            </w:r>
            <w:r w:rsidRPr="000C66B3">
              <w:rPr>
                <w:color w:val="000000"/>
                <w:lang w:val="fr-FR"/>
              </w:rPr>
              <w:t xml:space="preserve"> est observée au niveau </w:t>
            </w:r>
            <w:r w:rsidR="00A13C95">
              <w:rPr>
                <w:color w:val="000000"/>
                <w:lang w:val="fr-FR"/>
              </w:rPr>
              <w:t xml:space="preserve">de l’administration publique et spécifiquement dans la motivation </w:t>
            </w:r>
            <w:r w:rsidRPr="000C66B3">
              <w:rPr>
                <w:color w:val="000000"/>
                <w:lang w:val="fr-FR"/>
              </w:rPr>
              <w:t>des élus locaux</w:t>
            </w:r>
            <w:r w:rsidR="00A13C95">
              <w:rPr>
                <w:color w:val="000000"/>
                <w:lang w:val="fr-FR"/>
              </w:rPr>
              <w:t xml:space="preserve"> et des Représentants immédiats du Gouvernement</w:t>
            </w:r>
            <w:r w:rsidR="00175289">
              <w:rPr>
                <w:color w:val="000000"/>
                <w:lang w:val="fr-FR"/>
              </w:rPr>
              <w:t xml:space="preserve"> et de DIFID</w:t>
            </w:r>
            <w:r w:rsidRPr="000C66B3">
              <w:rPr>
                <w:color w:val="000000"/>
                <w:lang w:val="fr-FR"/>
              </w:rPr>
              <w:t xml:space="preserve"> </w:t>
            </w:r>
          </w:p>
          <w:p w:rsidR="00B30BAB" w:rsidRDefault="00A13C95" w:rsidP="00A13C95">
            <w:pPr>
              <w:pStyle w:val="BodyText2"/>
              <w:numPr>
                <w:ilvl w:val="0"/>
                <w:numId w:val="3"/>
              </w:numPr>
              <w:spacing w:after="0" w:line="240" w:lineRule="auto"/>
              <w:jc w:val="both"/>
              <w:rPr>
                <w:color w:val="000000"/>
                <w:lang w:val="fr-FR"/>
              </w:rPr>
            </w:pPr>
            <w:r>
              <w:rPr>
                <w:color w:val="000000"/>
                <w:lang w:val="fr-FR"/>
              </w:rPr>
              <w:t xml:space="preserve">En moyenne </w:t>
            </w:r>
            <w:r w:rsidR="00B30BAB">
              <w:rPr>
                <w:color w:val="000000"/>
                <w:lang w:val="fr-FR"/>
              </w:rPr>
              <w:t xml:space="preserve">à travers la zone d’intervention du projet, </w:t>
            </w:r>
            <w:r w:rsidR="00A855F9">
              <w:rPr>
                <w:color w:val="000000"/>
                <w:lang w:val="fr-FR"/>
              </w:rPr>
              <w:t xml:space="preserve">37 d’Ingénieurs sont formés sur  l’évaluation rapide des bâtiments publics  et 9 bâtiments publics évalués </w:t>
            </w:r>
          </w:p>
          <w:p w:rsidR="000C66B3" w:rsidRPr="000C66B3" w:rsidRDefault="000C66B3" w:rsidP="00A855F9">
            <w:pPr>
              <w:pStyle w:val="BodyText2"/>
              <w:spacing w:after="0" w:line="240" w:lineRule="auto"/>
              <w:ind w:left="360"/>
              <w:jc w:val="both"/>
              <w:rPr>
                <w:color w:val="000000"/>
                <w:lang w:val="fr-FR"/>
              </w:rPr>
            </w:pPr>
          </w:p>
        </w:tc>
      </w:tr>
    </w:tbl>
    <w:p w:rsidR="000C66B3" w:rsidRPr="000C66B3" w:rsidRDefault="000C66B3" w:rsidP="000C66B3">
      <w:pPr>
        <w:tabs>
          <w:tab w:val="left" w:pos="-720"/>
        </w:tabs>
        <w:suppressAutoHyphens/>
        <w:spacing w:after="0" w:line="240" w:lineRule="auto"/>
        <w:jc w:val="both"/>
        <w:rPr>
          <w:rFonts w:ascii="Times New Roman" w:hAnsi="Times New Roman"/>
          <w:spacing w:val="-3"/>
          <w:sz w:val="24"/>
          <w:szCs w:val="24"/>
          <w:lang w:val="fr-FR"/>
        </w:rPr>
      </w:pPr>
    </w:p>
    <w:p w:rsidR="000C66B3" w:rsidRPr="000C66B3" w:rsidRDefault="000C66B3" w:rsidP="000C66B3">
      <w:pPr>
        <w:tabs>
          <w:tab w:val="left" w:pos="-720"/>
        </w:tabs>
        <w:suppressAutoHyphens/>
        <w:spacing w:after="0" w:line="240" w:lineRule="auto"/>
        <w:jc w:val="both"/>
        <w:rPr>
          <w:rFonts w:ascii="Times New Roman" w:hAnsi="Times New Roman"/>
          <w:spacing w:val="-3"/>
          <w:sz w:val="24"/>
          <w:szCs w:val="24"/>
          <w:lang w:val="fr-FR"/>
        </w:rPr>
      </w:pPr>
    </w:p>
    <w:p w:rsidR="000C66B3" w:rsidRDefault="000C66B3" w:rsidP="000C66B3">
      <w:pPr>
        <w:tabs>
          <w:tab w:val="left" w:pos="-720"/>
        </w:tabs>
        <w:suppressAutoHyphens/>
        <w:spacing w:after="0" w:line="240" w:lineRule="auto"/>
        <w:jc w:val="both"/>
        <w:rPr>
          <w:rFonts w:ascii="Times New Roman" w:hAnsi="Times New Roman"/>
          <w:spacing w:val="-3"/>
          <w:sz w:val="24"/>
          <w:szCs w:val="24"/>
          <w:lang w:val="fr-FR"/>
        </w:rPr>
      </w:pPr>
    </w:p>
    <w:p w:rsidR="00D32A86" w:rsidRDefault="00D32A86" w:rsidP="000C66B3">
      <w:pPr>
        <w:tabs>
          <w:tab w:val="left" w:pos="-720"/>
        </w:tabs>
        <w:suppressAutoHyphens/>
        <w:spacing w:after="0" w:line="240" w:lineRule="auto"/>
        <w:jc w:val="both"/>
        <w:rPr>
          <w:rFonts w:ascii="Times New Roman" w:hAnsi="Times New Roman"/>
          <w:spacing w:val="-3"/>
          <w:sz w:val="24"/>
          <w:szCs w:val="24"/>
          <w:lang w:val="fr-FR"/>
        </w:rPr>
      </w:pPr>
    </w:p>
    <w:p w:rsidR="00D24AB1" w:rsidRDefault="00D24AB1" w:rsidP="000C66B3">
      <w:pPr>
        <w:tabs>
          <w:tab w:val="left" w:pos="-720"/>
        </w:tabs>
        <w:suppressAutoHyphens/>
        <w:spacing w:after="0" w:line="240" w:lineRule="auto"/>
        <w:jc w:val="both"/>
        <w:rPr>
          <w:rFonts w:ascii="Times New Roman" w:hAnsi="Times New Roman"/>
          <w:spacing w:val="-3"/>
          <w:sz w:val="24"/>
          <w:szCs w:val="24"/>
          <w:lang w:val="fr-FR"/>
        </w:rPr>
      </w:pPr>
    </w:p>
    <w:p w:rsidR="00D24AB1" w:rsidRDefault="00D24AB1" w:rsidP="000C66B3">
      <w:pPr>
        <w:tabs>
          <w:tab w:val="left" w:pos="-720"/>
        </w:tabs>
        <w:suppressAutoHyphens/>
        <w:spacing w:after="0" w:line="240" w:lineRule="auto"/>
        <w:jc w:val="both"/>
        <w:rPr>
          <w:rFonts w:ascii="Times New Roman" w:hAnsi="Times New Roman"/>
          <w:spacing w:val="-3"/>
          <w:sz w:val="24"/>
          <w:szCs w:val="24"/>
          <w:lang w:val="fr-FR"/>
        </w:rPr>
      </w:pPr>
    </w:p>
    <w:p w:rsidR="00D24AB1" w:rsidRPr="000C66B3" w:rsidRDefault="00D24AB1" w:rsidP="000C66B3">
      <w:pPr>
        <w:tabs>
          <w:tab w:val="left" w:pos="-720"/>
        </w:tabs>
        <w:suppressAutoHyphens/>
        <w:spacing w:after="0" w:line="240" w:lineRule="auto"/>
        <w:jc w:val="both"/>
        <w:rPr>
          <w:rFonts w:ascii="Times New Roman" w:hAnsi="Times New Roman"/>
          <w:spacing w:val="-3"/>
          <w:sz w:val="24"/>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8"/>
      </w:tblGrid>
      <w:tr w:rsidR="000C66B3" w:rsidRPr="00E34E8F" w:rsidTr="00671C86">
        <w:trPr>
          <w:trHeight w:val="463"/>
        </w:trPr>
        <w:tc>
          <w:tcPr>
            <w:tcW w:w="9558" w:type="dxa"/>
            <w:shd w:val="clear" w:color="auto" w:fill="DBE5F1"/>
            <w:vAlign w:val="center"/>
          </w:tcPr>
          <w:p w:rsidR="000C66B3" w:rsidRPr="00E34E8F" w:rsidRDefault="000C66B3" w:rsidP="000C66B3">
            <w:pPr>
              <w:spacing w:after="0" w:line="240" w:lineRule="auto"/>
              <w:rPr>
                <w:rFonts w:ascii="Times New Roman" w:hAnsi="Times New Roman"/>
                <w:snapToGrid w:val="0"/>
                <w:sz w:val="24"/>
                <w:szCs w:val="24"/>
                <w:lang w:val="fr-FR"/>
              </w:rPr>
            </w:pPr>
            <w:r w:rsidRPr="00E34E8F">
              <w:rPr>
                <w:rFonts w:ascii="Times New Roman" w:hAnsi="Times New Roman"/>
                <w:b/>
                <w:sz w:val="24"/>
                <w:szCs w:val="24"/>
                <w:lang w:val="fr-FR"/>
              </w:rPr>
              <w:lastRenderedPageBreak/>
              <w:t>Challenges and autres commentaires</w:t>
            </w:r>
            <w:r w:rsidRPr="00E34E8F">
              <w:rPr>
                <w:rStyle w:val="FootnoteReference"/>
                <w:rFonts w:ascii="Times New Roman" w:hAnsi="Times New Roman"/>
                <w:b/>
                <w:sz w:val="24"/>
                <w:szCs w:val="24"/>
                <w:lang w:val="fr-FR"/>
              </w:rPr>
              <w:footnoteReference w:id="6"/>
            </w:r>
            <w:r w:rsidRPr="00E34E8F">
              <w:rPr>
                <w:rFonts w:ascii="Times New Roman" w:hAnsi="Times New Roman"/>
                <w:b/>
                <w:sz w:val="24"/>
                <w:szCs w:val="24"/>
                <w:lang w:val="fr-FR"/>
              </w:rPr>
              <w:t>:</w:t>
            </w:r>
          </w:p>
        </w:tc>
      </w:tr>
      <w:tr w:rsidR="000C66B3" w:rsidRPr="009C77BC" w:rsidTr="00671C86">
        <w:trPr>
          <w:trHeight w:val="1763"/>
        </w:trPr>
        <w:tc>
          <w:tcPr>
            <w:tcW w:w="9558" w:type="dxa"/>
          </w:tcPr>
          <w:p w:rsidR="000C66B3" w:rsidRPr="00E34E8F" w:rsidRDefault="000C66B3" w:rsidP="000C66B3">
            <w:pPr>
              <w:spacing w:after="0" w:line="240" w:lineRule="auto"/>
              <w:rPr>
                <w:rFonts w:ascii="Times New Roman" w:hAnsi="Times New Roman"/>
                <w:sz w:val="24"/>
                <w:szCs w:val="24"/>
                <w:lang w:val="fr-FR"/>
              </w:rPr>
            </w:pPr>
          </w:p>
          <w:p w:rsidR="000C66B3" w:rsidRPr="00E34E8F" w:rsidRDefault="00B30BAB" w:rsidP="00B30BAB">
            <w:pPr>
              <w:spacing w:after="0" w:line="240" w:lineRule="auto"/>
              <w:jc w:val="both"/>
              <w:rPr>
                <w:rFonts w:ascii="Times New Roman" w:hAnsi="Times New Roman"/>
                <w:snapToGrid w:val="0"/>
                <w:sz w:val="24"/>
                <w:szCs w:val="24"/>
                <w:lang w:val="fr-FR"/>
              </w:rPr>
            </w:pPr>
            <w:r w:rsidRPr="00E34E8F">
              <w:rPr>
                <w:rFonts w:ascii="Times New Roman" w:hAnsi="Times New Roman"/>
                <w:sz w:val="24"/>
                <w:szCs w:val="24"/>
                <w:lang w:val="fr-FR"/>
              </w:rPr>
              <w:t xml:space="preserve">* </w:t>
            </w:r>
            <w:r w:rsidR="000C66B3" w:rsidRPr="00E34E8F">
              <w:rPr>
                <w:rFonts w:ascii="Times New Roman" w:hAnsi="Times New Roman"/>
                <w:sz w:val="24"/>
                <w:szCs w:val="24"/>
                <w:lang w:val="fr-FR"/>
              </w:rPr>
              <w:t>Le défi le plus</w:t>
            </w:r>
            <w:r w:rsidR="00A855F9" w:rsidRPr="00E34E8F">
              <w:rPr>
                <w:rFonts w:ascii="Times New Roman" w:hAnsi="Times New Roman"/>
                <w:sz w:val="24"/>
                <w:szCs w:val="24"/>
                <w:lang w:val="fr-FR"/>
              </w:rPr>
              <w:t xml:space="preserve"> important  est d</w:t>
            </w:r>
            <w:r w:rsidR="0027492B" w:rsidRPr="00E34E8F">
              <w:rPr>
                <w:rFonts w:ascii="Times New Roman" w:hAnsi="Times New Roman"/>
                <w:sz w:val="24"/>
                <w:szCs w:val="24"/>
                <w:lang w:val="fr-FR"/>
              </w:rPr>
              <w:t xml:space="preserve">’accélérer les activités </w:t>
            </w:r>
            <w:r w:rsidR="003335D7" w:rsidRPr="00E34E8F">
              <w:rPr>
                <w:rFonts w:ascii="Times New Roman" w:hAnsi="Times New Roman"/>
                <w:sz w:val="24"/>
                <w:szCs w:val="24"/>
                <w:lang w:val="fr-FR"/>
              </w:rPr>
              <w:t>liées</w:t>
            </w:r>
            <w:r w:rsidR="0027492B" w:rsidRPr="00E34E8F">
              <w:rPr>
                <w:rFonts w:ascii="Times New Roman" w:hAnsi="Times New Roman"/>
                <w:sz w:val="24"/>
                <w:szCs w:val="24"/>
                <w:lang w:val="fr-FR"/>
              </w:rPr>
              <w:t xml:space="preserve"> à</w:t>
            </w:r>
            <w:r w:rsidR="00A855F9" w:rsidRPr="00E34E8F">
              <w:rPr>
                <w:rFonts w:ascii="Times New Roman" w:hAnsi="Times New Roman"/>
                <w:sz w:val="24"/>
                <w:szCs w:val="24"/>
                <w:lang w:val="fr-FR"/>
              </w:rPr>
              <w:t xml:space="preserve"> l</w:t>
            </w:r>
            <w:r w:rsidR="0027492B" w:rsidRPr="00E34E8F">
              <w:rPr>
                <w:rFonts w:ascii="Times New Roman" w:hAnsi="Times New Roman"/>
                <w:sz w:val="24"/>
                <w:szCs w:val="24"/>
                <w:lang w:val="fr-FR"/>
              </w:rPr>
              <w:t>’</w:t>
            </w:r>
            <w:r w:rsidR="003335D7" w:rsidRPr="00E34E8F">
              <w:rPr>
                <w:rFonts w:ascii="Times New Roman" w:hAnsi="Times New Roman"/>
                <w:sz w:val="24"/>
                <w:szCs w:val="24"/>
                <w:lang w:val="fr-FR"/>
              </w:rPr>
              <w:t>évaluation</w:t>
            </w:r>
            <w:r w:rsidR="00A855F9" w:rsidRPr="00E34E8F">
              <w:rPr>
                <w:rFonts w:ascii="Times New Roman" w:hAnsi="Times New Roman"/>
                <w:sz w:val="24"/>
                <w:szCs w:val="24"/>
                <w:lang w:val="fr-FR"/>
              </w:rPr>
              <w:t xml:space="preserve"> des bâtiments et infrastructures critiques  </w:t>
            </w:r>
            <w:r w:rsidR="0032368B">
              <w:rPr>
                <w:rFonts w:ascii="Times New Roman" w:hAnsi="Times New Roman"/>
                <w:sz w:val="24"/>
                <w:szCs w:val="24"/>
                <w:lang w:val="fr-FR"/>
              </w:rPr>
              <w:t>(</w:t>
            </w:r>
            <w:r w:rsidR="00A855F9" w:rsidRPr="00E34E8F">
              <w:rPr>
                <w:rFonts w:ascii="Times New Roman" w:hAnsi="Times New Roman"/>
                <w:sz w:val="24"/>
                <w:szCs w:val="24"/>
                <w:lang w:val="fr-FR"/>
              </w:rPr>
              <w:t>port, centrales électriques, châteaux d’eau, ponts,</w:t>
            </w:r>
            <w:r w:rsidR="00173A50">
              <w:rPr>
                <w:rFonts w:ascii="Times New Roman" w:hAnsi="Times New Roman"/>
                <w:sz w:val="24"/>
                <w:szCs w:val="24"/>
                <w:lang w:val="fr-FR"/>
              </w:rPr>
              <w:t xml:space="preserve"> </w:t>
            </w:r>
            <w:r w:rsidR="00A855F9" w:rsidRPr="00E34E8F">
              <w:rPr>
                <w:rFonts w:ascii="Times New Roman" w:hAnsi="Times New Roman"/>
                <w:sz w:val="24"/>
                <w:szCs w:val="24"/>
                <w:lang w:val="fr-FR"/>
              </w:rPr>
              <w:t>usines)</w:t>
            </w:r>
            <w:r w:rsidR="000C66B3" w:rsidRPr="00E34E8F">
              <w:rPr>
                <w:rFonts w:ascii="Times New Roman" w:hAnsi="Times New Roman"/>
                <w:sz w:val="24"/>
                <w:szCs w:val="24"/>
                <w:lang w:val="fr-FR"/>
              </w:rPr>
              <w:t xml:space="preserve">  </w:t>
            </w:r>
          </w:p>
          <w:p w:rsidR="004A72F3" w:rsidRDefault="00A855F9" w:rsidP="004A72F3">
            <w:pPr>
              <w:spacing w:after="0" w:line="240" w:lineRule="auto"/>
              <w:jc w:val="both"/>
              <w:rPr>
                <w:rFonts w:ascii="Times New Roman" w:hAnsi="Times New Roman"/>
                <w:sz w:val="24"/>
                <w:szCs w:val="24"/>
                <w:lang w:val="fr-FR"/>
              </w:rPr>
            </w:pPr>
            <w:r w:rsidRPr="00E34E8F">
              <w:rPr>
                <w:rFonts w:ascii="Times New Roman" w:hAnsi="Times New Roman"/>
                <w:sz w:val="24"/>
                <w:szCs w:val="24"/>
                <w:lang w:val="fr-FR"/>
              </w:rPr>
              <w:t>* les travaux liés au   développement de trois pla</w:t>
            </w:r>
            <w:r w:rsidR="0027492B" w:rsidRPr="00E34E8F">
              <w:rPr>
                <w:rFonts w:ascii="Times New Roman" w:hAnsi="Times New Roman"/>
                <w:sz w:val="24"/>
                <w:szCs w:val="24"/>
                <w:lang w:val="fr-FR"/>
              </w:rPr>
              <w:t>ns de contingences</w:t>
            </w:r>
            <w:r w:rsidR="004A72F3">
              <w:rPr>
                <w:rFonts w:ascii="Times New Roman" w:hAnsi="Times New Roman"/>
                <w:sz w:val="24"/>
                <w:szCs w:val="24"/>
                <w:lang w:val="fr-FR"/>
              </w:rPr>
              <w:t xml:space="preserve"> dont la phase de recherche bibliographique a démarré nécessitent une implication importante des autorités locales </w:t>
            </w:r>
          </w:p>
          <w:p w:rsidR="000C66B3" w:rsidRPr="00E34E8F" w:rsidRDefault="004A72F3" w:rsidP="004A72F3">
            <w:pPr>
              <w:spacing w:after="0" w:line="240" w:lineRule="auto"/>
              <w:jc w:val="both"/>
              <w:rPr>
                <w:rFonts w:ascii="Times New Roman" w:hAnsi="Times New Roman"/>
                <w:snapToGrid w:val="0"/>
                <w:sz w:val="24"/>
                <w:szCs w:val="24"/>
                <w:lang w:val="fr-FR"/>
              </w:rPr>
            </w:pPr>
            <w:r>
              <w:rPr>
                <w:rFonts w:ascii="Times New Roman" w:hAnsi="Times New Roman"/>
                <w:sz w:val="24"/>
                <w:szCs w:val="24"/>
                <w:lang w:val="fr-FR"/>
              </w:rPr>
              <w:t xml:space="preserve"> </w:t>
            </w:r>
            <w:r w:rsidR="0027492B" w:rsidRPr="00E34E8F">
              <w:rPr>
                <w:rFonts w:ascii="Times New Roman" w:hAnsi="Times New Roman"/>
                <w:sz w:val="24"/>
                <w:szCs w:val="24"/>
                <w:lang w:val="fr-FR"/>
              </w:rPr>
              <w:t xml:space="preserve"> </w:t>
            </w:r>
          </w:p>
        </w:tc>
      </w:tr>
    </w:tbl>
    <w:p w:rsidR="000C66B3" w:rsidRPr="000C66B3" w:rsidRDefault="000C66B3" w:rsidP="000C66B3">
      <w:pPr>
        <w:spacing w:after="0" w:line="240" w:lineRule="auto"/>
        <w:rPr>
          <w:rFonts w:ascii="Times New Roman" w:hAnsi="Times New Roman"/>
          <w:sz w:val="24"/>
          <w:szCs w:val="24"/>
          <w:lang w:val="fr-FR"/>
        </w:rPr>
      </w:pPr>
      <w:r w:rsidRPr="000C66B3">
        <w:rPr>
          <w:rFonts w:ascii="Times New Roman" w:hAnsi="Times New Roman"/>
          <w:sz w:val="24"/>
          <w:szCs w:val="24"/>
          <w:lang w:val="fr-FR"/>
        </w:rPr>
        <w:t xml:space="preserve"> </w:t>
      </w:r>
    </w:p>
    <w:p w:rsidR="000C66B3" w:rsidRPr="000C66B3" w:rsidRDefault="000C66B3" w:rsidP="000C66B3">
      <w:pPr>
        <w:spacing w:after="0" w:line="240" w:lineRule="auto"/>
        <w:rPr>
          <w:rFonts w:ascii="Times New Roman" w:hAnsi="Times New Roman"/>
          <w:sz w:val="24"/>
          <w:szCs w:val="24"/>
          <w:lang w:val="fr-FR"/>
        </w:rPr>
      </w:pPr>
    </w:p>
    <w:sectPr w:rsidR="000C66B3" w:rsidRPr="000C66B3" w:rsidSect="00EB72C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BE3" w:rsidRDefault="00A84BE3" w:rsidP="000C66B3">
      <w:pPr>
        <w:spacing w:after="0" w:line="240" w:lineRule="auto"/>
      </w:pPr>
      <w:r>
        <w:separator/>
      </w:r>
    </w:p>
  </w:endnote>
  <w:endnote w:type="continuationSeparator" w:id="0">
    <w:p w:rsidR="00A84BE3" w:rsidRDefault="00A84BE3" w:rsidP="000C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BE3" w:rsidRDefault="00A84BE3" w:rsidP="000C66B3">
      <w:pPr>
        <w:spacing w:after="0" w:line="240" w:lineRule="auto"/>
      </w:pPr>
      <w:r>
        <w:separator/>
      </w:r>
    </w:p>
  </w:footnote>
  <w:footnote w:type="continuationSeparator" w:id="0">
    <w:p w:rsidR="00A84BE3" w:rsidRDefault="00A84BE3" w:rsidP="000C66B3">
      <w:pPr>
        <w:spacing w:after="0" w:line="240" w:lineRule="auto"/>
      </w:pPr>
      <w:r>
        <w:continuationSeparator/>
      </w:r>
    </w:p>
  </w:footnote>
  <w:footnote w:id="1">
    <w:p w:rsidR="004A72F3" w:rsidRPr="00BD31F7" w:rsidRDefault="004A72F3" w:rsidP="000C66B3">
      <w:pPr>
        <w:pStyle w:val="FootnoteText"/>
        <w:rPr>
          <w:lang w:val="fr-FR"/>
        </w:rPr>
      </w:pPr>
      <w:r>
        <w:rPr>
          <w:rStyle w:val="FootnoteReference"/>
        </w:rPr>
        <w:footnoteRef/>
      </w:r>
      <w:r w:rsidRPr="00BD31F7">
        <w:rPr>
          <w:lang w:val="fr-FR"/>
        </w:rPr>
        <w:t xml:space="preserve"> Plan d’Action pour le Relè</w:t>
      </w:r>
      <w:r>
        <w:rPr>
          <w:lang w:val="fr-FR"/>
        </w:rPr>
        <w:t xml:space="preserve">vement et le Développement d’Haïti. </w:t>
      </w:r>
    </w:p>
  </w:footnote>
  <w:footnote w:id="2">
    <w:p w:rsidR="004A72F3" w:rsidRPr="0013779E" w:rsidRDefault="004A72F3" w:rsidP="000C66B3">
      <w:pPr>
        <w:pStyle w:val="FootnoteText"/>
        <w:rPr>
          <w:lang w:val="fr-FR"/>
        </w:rPr>
      </w:pPr>
      <w:r>
        <w:rPr>
          <w:rStyle w:val="FootnoteReference"/>
        </w:rPr>
        <w:footnoteRef/>
      </w:r>
      <w:r w:rsidRPr="00506ED6">
        <w:rPr>
          <w:lang w:val="fr-FR"/>
        </w:rPr>
        <w:t xml:space="preserve"> Agence or Agences </w:t>
      </w:r>
      <w:r>
        <w:rPr>
          <w:lang w:val="fr-FR"/>
        </w:rPr>
        <w:t xml:space="preserve">qui est/sont le(s) bénéficiaire(s) direct(s) de l’Entité Partenaire et qui est/sont responsable(s) de la </w:t>
      </w:r>
      <w:r w:rsidRPr="0013779E">
        <w:rPr>
          <w:lang w:val="fr-FR"/>
        </w:rPr>
        <w:t>supervision de la mise en œuvre du projet.</w:t>
      </w:r>
    </w:p>
  </w:footnote>
  <w:footnote w:id="3">
    <w:p w:rsidR="004A72F3" w:rsidRPr="004148A4" w:rsidRDefault="004A72F3" w:rsidP="000C66B3">
      <w:pPr>
        <w:rPr>
          <w:lang w:val="fr-FR"/>
        </w:rPr>
      </w:pPr>
      <w:r>
        <w:rPr>
          <w:rStyle w:val="FootnoteReference"/>
        </w:rPr>
        <w:footnoteRef/>
      </w:r>
      <w:r w:rsidRPr="004148A4">
        <w:rPr>
          <w:lang w:val="fr-FR"/>
        </w:rPr>
        <w:t xml:space="preserve"> </w:t>
      </w:r>
      <w:r w:rsidRPr="004148A4">
        <w:rPr>
          <w:b/>
          <w:sz w:val="20"/>
          <w:lang w:val="fr-FR"/>
        </w:rPr>
        <w:t>Ce pourcentage inclut les frais de 1% de l’agent administratif, en sus des fonds décaissés.</w:t>
      </w:r>
    </w:p>
  </w:footnote>
  <w:footnote w:id="4">
    <w:p w:rsidR="004A72F3" w:rsidRPr="00506ED6" w:rsidRDefault="004A72F3" w:rsidP="000C66B3">
      <w:pPr>
        <w:pStyle w:val="FootnoteText"/>
        <w:rPr>
          <w:lang w:val="fr-FR"/>
        </w:rPr>
      </w:pPr>
      <w:r w:rsidRPr="0013779E">
        <w:rPr>
          <w:rStyle w:val="FootnoteReference"/>
          <w:lang w:val="fr-FR"/>
        </w:rPr>
        <w:footnoteRef/>
      </w:r>
      <w:r w:rsidRPr="0013779E">
        <w:rPr>
          <w:lang w:val="fr-FR"/>
        </w:rPr>
        <w:t xml:space="preserve"> Date de réalisation de toutes les conditions d’efficacité du projet et du début de la mise en œuvre des activités de projet.</w:t>
      </w:r>
      <w:r w:rsidRPr="00506ED6">
        <w:rPr>
          <w:lang w:val="fr-FR"/>
        </w:rPr>
        <w:t xml:space="preserve"> </w:t>
      </w:r>
    </w:p>
  </w:footnote>
  <w:footnote w:id="5">
    <w:p w:rsidR="004A72F3" w:rsidRPr="00771283" w:rsidRDefault="004A72F3" w:rsidP="000C66B3">
      <w:pPr>
        <w:pStyle w:val="FootnoteText"/>
        <w:rPr>
          <w:lang w:val="fr-FR"/>
        </w:rPr>
      </w:pPr>
      <w:r>
        <w:rPr>
          <w:rStyle w:val="FootnoteReference"/>
        </w:rPr>
        <w:footnoteRef/>
      </w:r>
      <w:r w:rsidRPr="00771283">
        <w:rPr>
          <w:lang w:val="fr-FR"/>
        </w:rPr>
        <w:t xml:space="preserve"> Inclut (i) </w:t>
      </w:r>
      <w:r>
        <w:rPr>
          <w:lang w:val="fr-FR"/>
        </w:rPr>
        <w:t>réalisa</w:t>
      </w:r>
      <w:r w:rsidRPr="00771283">
        <w:rPr>
          <w:lang w:val="fr-FR"/>
        </w:rPr>
        <w:t>tions qualitatives (ii) étapes clés (actuelles ou futures) et (iii) tout changement significatif dans les composantes du projet ou les r</w:t>
      </w:r>
      <w:r>
        <w:rPr>
          <w:lang w:val="fr-FR"/>
        </w:rPr>
        <w:t>éallocations budgétaires</w:t>
      </w:r>
      <w:r w:rsidRPr="00771283">
        <w:rPr>
          <w:lang w:val="fr-FR"/>
        </w:rPr>
        <w:t>.</w:t>
      </w:r>
    </w:p>
  </w:footnote>
  <w:footnote w:id="6">
    <w:p w:rsidR="004A72F3" w:rsidRPr="00771283" w:rsidRDefault="004A72F3" w:rsidP="000C66B3">
      <w:pPr>
        <w:pStyle w:val="FootnoteText"/>
        <w:rPr>
          <w:lang w:val="fr-FR"/>
        </w:rPr>
      </w:pPr>
      <w:r>
        <w:rPr>
          <w:rStyle w:val="FootnoteReference"/>
        </w:rPr>
        <w:footnoteRef/>
      </w:r>
      <w:r w:rsidRPr="00771283">
        <w:rPr>
          <w:lang w:val="fr-FR"/>
        </w:rPr>
        <w:t xml:space="preserve"> Tel qu’applicable inclut (i) les raisons des délais accusés pour le projet</w:t>
      </w:r>
      <w:r>
        <w:rPr>
          <w:lang w:val="fr-FR"/>
        </w:rPr>
        <w:t>, (ii) les challenges de la mise en œuvre, (iii) statut du financement (écarts de financement, nouvelles sources de financement</w:t>
      </w:r>
      <w:r w:rsidRPr="00771283">
        <w:rPr>
          <w:lang w:val="fr-FR"/>
        </w:rPr>
        <w:t xml:space="preserve">, </w:t>
      </w:r>
      <w:r>
        <w:rPr>
          <w:lang w:val="fr-FR"/>
        </w:rPr>
        <w:t>ou changements aux contributions initiales), et (iv) toute autre information pertinente.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2F3" w:rsidRDefault="00A84BE3">
    <w:pPr>
      <w:pStyle w:val="Header"/>
      <w:jc w:val="right"/>
    </w:pPr>
    <w:r>
      <w:fldChar w:fldCharType="begin"/>
    </w:r>
    <w:r>
      <w:instrText>PAGE   \* MERGEFORMAT</w:instrText>
    </w:r>
    <w:r>
      <w:fldChar w:fldCharType="separate"/>
    </w:r>
    <w:r w:rsidR="00173A50" w:rsidRPr="00173A50">
      <w:rPr>
        <w:noProof/>
        <w:lang w:val="fr-FR"/>
      </w:rPr>
      <w:t>1</w:t>
    </w:r>
    <w:r>
      <w:rPr>
        <w:noProof/>
        <w:lang w:val="fr-FR"/>
      </w:rPr>
      <w:fldChar w:fldCharType="end"/>
    </w:r>
  </w:p>
  <w:p w:rsidR="004A72F3" w:rsidRDefault="004A72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D38DE"/>
    <w:multiLevelType w:val="hybridMultilevel"/>
    <w:tmpl w:val="F94A0F0E"/>
    <w:lvl w:ilvl="0" w:tplc="04090001">
      <w:start w:val="1"/>
      <w:numFmt w:val="bullet"/>
      <w:lvlText w:val=""/>
      <w:lvlJc w:val="left"/>
      <w:pPr>
        <w:ind w:left="720" w:hanging="360"/>
      </w:pPr>
      <w:rPr>
        <w:rFonts w:ascii="Symbol" w:hAnsi="Symbol" w:hint="default"/>
      </w:rPr>
    </w:lvl>
    <w:lvl w:ilvl="1" w:tplc="0368F26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A68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22955B52"/>
    <w:multiLevelType w:val="hybridMultilevel"/>
    <w:tmpl w:val="643E38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F0D1A27"/>
    <w:multiLevelType w:val="hybridMultilevel"/>
    <w:tmpl w:val="F5520B58"/>
    <w:lvl w:ilvl="0" w:tplc="EC7CF05E">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B51D7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6B3"/>
    <w:rsid w:val="000536D7"/>
    <w:rsid w:val="00062739"/>
    <w:rsid w:val="000B42E3"/>
    <w:rsid w:val="000C66B3"/>
    <w:rsid w:val="00147F44"/>
    <w:rsid w:val="00172C7E"/>
    <w:rsid w:val="00173A50"/>
    <w:rsid w:val="00175289"/>
    <w:rsid w:val="001D3ECA"/>
    <w:rsid w:val="001E0D38"/>
    <w:rsid w:val="001F6F25"/>
    <w:rsid w:val="00235132"/>
    <w:rsid w:val="0027492B"/>
    <w:rsid w:val="002C2BC8"/>
    <w:rsid w:val="002D0832"/>
    <w:rsid w:val="002F14A5"/>
    <w:rsid w:val="0032368B"/>
    <w:rsid w:val="00323D89"/>
    <w:rsid w:val="003335D7"/>
    <w:rsid w:val="00436704"/>
    <w:rsid w:val="0047535E"/>
    <w:rsid w:val="004A72F3"/>
    <w:rsid w:val="004C0C28"/>
    <w:rsid w:val="004C708D"/>
    <w:rsid w:val="005007EA"/>
    <w:rsid w:val="00504481"/>
    <w:rsid w:val="005D0491"/>
    <w:rsid w:val="005F0769"/>
    <w:rsid w:val="00622BAE"/>
    <w:rsid w:val="006403F8"/>
    <w:rsid w:val="006608C3"/>
    <w:rsid w:val="006624C8"/>
    <w:rsid w:val="00671C86"/>
    <w:rsid w:val="006A3BD3"/>
    <w:rsid w:val="006B23CB"/>
    <w:rsid w:val="006E1153"/>
    <w:rsid w:val="00704236"/>
    <w:rsid w:val="007444C7"/>
    <w:rsid w:val="007A322D"/>
    <w:rsid w:val="007A6DF7"/>
    <w:rsid w:val="007B1762"/>
    <w:rsid w:val="00802400"/>
    <w:rsid w:val="008044E6"/>
    <w:rsid w:val="008C563E"/>
    <w:rsid w:val="008D6E5B"/>
    <w:rsid w:val="008F55CE"/>
    <w:rsid w:val="00915E80"/>
    <w:rsid w:val="00925F0A"/>
    <w:rsid w:val="009661B7"/>
    <w:rsid w:val="009B1EF8"/>
    <w:rsid w:val="009C77BC"/>
    <w:rsid w:val="00A07505"/>
    <w:rsid w:val="00A13C95"/>
    <w:rsid w:val="00A22E64"/>
    <w:rsid w:val="00A47C5F"/>
    <w:rsid w:val="00A76E55"/>
    <w:rsid w:val="00A84BE3"/>
    <w:rsid w:val="00A855F9"/>
    <w:rsid w:val="00A97B4D"/>
    <w:rsid w:val="00AF197E"/>
    <w:rsid w:val="00B11A2C"/>
    <w:rsid w:val="00B30BAB"/>
    <w:rsid w:val="00B61E91"/>
    <w:rsid w:val="00B950FE"/>
    <w:rsid w:val="00BB70E9"/>
    <w:rsid w:val="00BC7C38"/>
    <w:rsid w:val="00D24AB1"/>
    <w:rsid w:val="00D32A86"/>
    <w:rsid w:val="00D75692"/>
    <w:rsid w:val="00DB14DA"/>
    <w:rsid w:val="00DC32F4"/>
    <w:rsid w:val="00E03267"/>
    <w:rsid w:val="00E34E8F"/>
    <w:rsid w:val="00E64CAB"/>
    <w:rsid w:val="00EB72C0"/>
    <w:rsid w:val="00F037EE"/>
    <w:rsid w:val="00F15837"/>
    <w:rsid w:val="00F25589"/>
    <w:rsid w:val="00F26243"/>
    <w:rsid w:val="00F45F27"/>
    <w:rsid w:val="00F90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2C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0C66B3"/>
    <w:rPr>
      <w:vertAlign w:val="superscript"/>
    </w:rPr>
  </w:style>
  <w:style w:type="paragraph" w:styleId="FootnoteText">
    <w:name w:val="footnote text"/>
    <w:basedOn w:val="Normal"/>
    <w:link w:val="FootnoteTextChar"/>
    <w:uiPriority w:val="99"/>
    <w:semiHidden/>
    <w:unhideWhenUsed/>
    <w:rsid w:val="000C66B3"/>
    <w:pPr>
      <w:widowControl w:val="0"/>
      <w:spacing w:after="0" w:line="240" w:lineRule="auto"/>
    </w:pPr>
    <w:rPr>
      <w:rFonts w:ascii="Times New Roman" w:eastAsia="Times New Roman" w:hAnsi="Times New Roman"/>
      <w:snapToGrid w:val="0"/>
      <w:sz w:val="20"/>
      <w:szCs w:val="20"/>
    </w:rPr>
  </w:style>
  <w:style w:type="character" w:customStyle="1" w:styleId="FootnoteTextChar">
    <w:name w:val="Footnote Text Char"/>
    <w:basedOn w:val="DefaultParagraphFont"/>
    <w:link w:val="FootnoteText"/>
    <w:uiPriority w:val="99"/>
    <w:semiHidden/>
    <w:rsid w:val="000C66B3"/>
    <w:rPr>
      <w:rFonts w:ascii="Times New Roman" w:eastAsia="Times New Roman" w:hAnsi="Times New Roman" w:cs="Times New Roman"/>
      <w:snapToGrid w:val="0"/>
      <w:sz w:val="20"/>
      <w:szCs w:val="20"/>
    </w:rPr>
  </w:style>
  <w:style w:type="paragraph" w:styleId="ListParagraph">
    <w:name w:val="List Paragraph"/>
    <w:basedOn w:val="Normal"/>
    <w:uiPriority w:val="34"/>
    <w:qFormat/>
    <w:rsid w:val="000C66B3"/>
    <w:pPr>
      <w:widowControl w:val="0"/>
      <w:spacing w:after="0" w:line="240" w:lineRule="auto"/>
      <w:ind w:left="720"/>
      <w:contextualSpacing/>
    </w:pPr>
    <w:rPr>
      <w:rFonts w:ascii="Times New Roman" w:eastAsia="Times New Roman" w:hAnsi="Times New Roman"/>
      <w:snapToGrid w:val="0"/>
      <w:sz w:val="24"/>
      <w:szCs w:val="20"/>
    </w:rPr>
  </w:style>
  <w:style w:type="paragraph" w:styleId="BodyText2">
    <w:name w:val="Body Text 2"/>
    <w:basedOn w:val="Normal"/>
    <w:link w:val="BodyText2Char"/>
    <w:rsid w:val="000C66B3"/>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0C66B3"/>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0C66B3"/>
    <w:pPr>
      <w:widowControl w:val="0"/>
      <w:spacing w:after="120" w:line="240" w:lineRule="auto"/>
    </w:pPr>
    <w:rPr>
      <w:rFonts w:ascii="Times New Roman" w:eastAsia="Times New Roman" w:hAnsi="Times New Roman"/>
      <w:snapToGrid w:val="0"/>
      <w:sz w:val="24"/>
      <w:szCs w:val="20"/>
    </w:rPr>
  </w:style>
  <w:style w:type="character" w:customStyle="1" w:styleId="BodyTextChar">
    <w:name w:val="Body Text Char"/>
    <w:basedOn w:val="DefaultParagraphFont"/>
    <w:link w:val="BodyText"/>
    <w:uiPriority w:val="99"/>
    <w:semiHidden/>
    <w:rsid w:val="000C66B3"/>
    <w:rPr>
      <w:rFonts w:ascii="Times New Roman" w:eastAsia="Times New Roman" w:hAnsi="Times New Roman" w:cs="Times New Roman"/>
      <w:snapToGrid w:val="0"/>
      <w:sz w:val="24"/>
      <w:szCs w:val="20"/>
    </w:rPr>
  </w:style>
  <w:style w:type="paragraph" w:customStyle="1" w:styleId="Default">
    <w:name w:val="Default"/>
    <w:rsid w:val="000C66B3"/>
    <w:pPr>
      <w:autoSpaceDE w:val="0"/>
      <w:autoSpaceDN w:val="0"/>
      <w:adjustRightInd w:val="0"/>
    </w:pPr>
    <w:rPr>
      <w:rFonts w:cs="Calibri"/>
      <w:color w:val="000000"/>
      <w:sz w:val="24"/>
      <w:szCs w:val="24"/>
    </w:rPr>
  </w:style>
  <w:style w:type="paragraph" w:styleId="Header">
    <w:name w:val="header"/>
    <w:basedOn w:val="Normal"/>
    <w:link w:val="HeaderChar"/>
    <w:uiPriority w:val="99"/>
    <w:unhideWhenUsed/>
    <w:rsid w:val="000C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6B3"/>
  </w:style>
  <w:style w:type="paragraph" w:styleId="Footer">
    <w:name w:val="footer"/>
    <w:basedOn w:val="Normal"/>
    <w:link w:val="FooterChar"/>
    <w:uiPriority w:val="99"/>
    <w:unhideWhenUsed/>
    <w:rsid w:val="000C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6B3"/>
  </w:style>
  <w:style w:type="character" w:styleId="Hyperlink">
    <w:name w:val="Hyperlink"/>
    <w:basedOn w:val="DefaultParagraphFont"/>
    <w:uiPriority w:val="99"/>
    <w:semiHidden/>
    <w:unhideWhenUsed/>
    <w:rsid w:val="0047535E"/>
    <w:rPr>
      <w:color w:val="0000FF"/>
      <w:u w:val="single"/>
    </w:rPr>
  </w:style>
  <w:style w:type="paragraph" w:styleId="BalloonText">
    <w:name w:val="Balloon Text"/>
    <w:basedOn w:val="Normal"/>
    <w:link w:val="BalloonTextChar"/>
    <w:uiPriority w:val="99"/>
    <w:semiHidden/>
    <w:unhideWhenUsed/>
    <w:rsid w:val="00F90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3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2C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0C66B3"/>
    <w:rPr>
      <w:vertAlign w:val="superscript"/>
    </w:rPr>
  </w:style>
  <w:style w:type="paragraph" w:styleId="FootnoteText">
    <w:name w:val="footnote text"/>
    <w:basedOn w:val="Normal"/>
    <w:link w:val="FootnoteTextChar"/>
    <w:uiPriority w:val="99"/>
    <w:semiHidden/>
    <w:unhideWhenUsed/>
    <w:rsid w:val="000C66B3"/>
    <w:pPr>
      <w:widowControl w:val="0"/>
      <w:spacing w:after="0" w:line="240" w:lineRule="auto"/>
    </w:pPr>
    <w:rPr>
      <w:rFonts w:ascii="Times New Roman" w:eastAsia="Times New Roman" w:hAnsi="Times New Roman"/>
      <w:snapToGrid w:val="0"/>
      <w:sz w:val="20"/>
      <w:szCs w:val="20"/>
    </w:rPr>
  </w:style>
  <w:style w:type="character" w:customStyle="1" w:styleId="FootnoteTextChar">
    <w:name w:val="Footnote Text Char"/>
    <w:basedOn w:val="DefaultParagraphFont"/>
    <w:link w:val="FootnoteText"/>
    <w:uiPriority w:val="99"/>
    <w:semiHidden/>
    <w:rsid w:val="000C66B3"/>
    <w:rPr>
      <w:rFonts w:ascii="Times New Roman" w:eastAsia="Times New Roman" w:hAnsi="Times New Roman" w:cs="Times New Roman"/>
      <w:snapToGrid w:val="0"/>
      <w:sz w:val="20"/>
      <w:szCs w:val="20"/>
    </w:rPr>
  </w:style>
  <w:style w:type="paragraph" w:styleId="ListParagraph">
    <w:name w:val="List Paragraph"/>
    <w:basedOn w:val="Normal"/>
    <w:uiPriority w:val="34"/>
    <w:qFormat/>
    <w:rsid w:val="000C66B3"/>
    <w:pPr>
      <w:widowControl w:val="0"/>
      <w:spacing w:after="0" w:line="240" w:lineRule="auto"/>
      <w:ind w:left="720"/>
      <w:contextualSpacing/>
    </w:pPr>
    <w:rPr>
      <w:rFonts w:ascii="Times New Roman" w:eastAsia="Times New Roman" w:hAnsi="Times New Roman"/>
      <w:snapToGrid w:val="0"/>
      <w:sz w:val="24"/>
      <w:szCs w:val="20"/>
    </w:rPr>
  </w:style>
  <w:style w:type="paragraph" w:styleId="BodyText2">
    <w:name w:val="Body Text 2"/>
    <w:basedOn w:val="Normal"/>
    <w:link w:val="BodyText2Char"/>
    <w:rsid w:val="000C66B3"/>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0C66B3"/>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0C66B3"/>
    <w:pPr>
      <w:widowControl w:val="0"/>
      <w:spacing w:after="120" w:line="240" w:lineRule="auto"/>
    </w:pPr>
    <w:rPr>
      <w:rFonts w:ascii="Times New Roman" w:eastAsia="Times New Roman" w:hAnsi="Times New Roman"/>
      <w:snapToGrid w:val="0"/>
      <w:sz w:val="24"/>
      <w:szCs w:val="20"/>
    </w:rPr>
  </w:style>
  <w:style w:type="character" w:customStyle="1" w:styleId="BodyTextChar">
    <w:name w:val="Body Text Char"/>
    <w:basedOn w:val="DefaultParagraphFont"/>
    <w:link w:val="BodyText"/>
    <w:uiPriority w:val="99"/>
    <w:semiHidden/>
    <w:rsid w:val="000C66B3"/>
    <w:rPr>
      <w:rFonts w:ascii="Times New Roman" w:eastAsia="Times New Roman" w:hAnsi="Times New Roman" w:cs="Times New Roman"/>
      <w:snapToGrid w:val="0"/>
      <w:sz w:val="24"/>
      <w:szCs w:val="20"/>
    </w:rPr>
  </w:style>
  <w:style w:type="paragraph" w:customStyle="1" w:styleId="Default">
    <w:name w:val="Default"/>
    <w:rsid w:val="000C66B3"/>
    <w:pPr>
      <w:autoSpaceDE w:val="0"/>
      <w:autoSpaceDN w:val="0"/>
      <w:adjustRightInd w:val="0"/>
    </w:pPr>
    <w:rPr>
      <w:rFonts w:cs="Calibri"/>
      <w:color w:val="000000"/>
      <w:sz w:val="24"/>
      <w:szCs w:val="24"/>
    </w:rPr>
  </w:style>
  <w:style w:type="paragraph" w:styleId="Header">
    <w:name w:val="header"/>
    <w:basedOn w:val="Normal"/>
    <w:link w:val="HeaderChar"/>
    <w:uiPriority w:val="99"/>
    <w:unhideWhenUsed/>
    <w:rsid w:val="000C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6B3"/>
  </w:style>
  <w:style w:type="paragraph" w:styleId="Footer">
    <w:name w:val="footer"/>
    <w:basedOn w:val="Normal"/>
    <w:link w:val="FooterChar"/>
    <w:uiPriority w:val="99"/>
    <w:unhideWhenUsed/>
    <w:rsid w:val="000C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6B3"/>
  </w:style>
  <w:style w:type="character" w:styleId="Hyperlink">
    <w:name w:val="Hyperlink"/>
    <w:basedOn w:val="DefaultParagraphFont"/>
    <w:uiPriority w:val="99"/>
    <w:semiHidden/>
    <w:unhideWhenUsed/>
    <w:rsid w:val="0047535E"/>
    <w:rPr>
      <w:color w:val="0000FF"/>
      <w:u w:val="single"/>
    </w:rPr>
  </w:style>
  <w:style w:type="paragraph" w:styleId="BalloonText">
    <w:name w:val="Balloon Text"/>
    <w:basedOn w:val="Normal"/>
    <w:link w:val="BalloonTextChar"/>
    <w:uiPriority w:val="99"/>
    <w:semiHidden/>
    <w:unhideWhenUsed/>
    <w:rsid w:val="00F90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3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19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dtf.undp.org/factsheet/project/0007911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rive.google.com/file/d/0B2q4zwyqvkLtc0k1OHpjNVBkTkE/edit?usp=sharing" TargetMode="External"/><Relationship Id="rId4" Type="http://schemas.openxmlformats.org/officeDocument/2006/relationships/settings" Target="settings.xml"/><Relationship Id="rId9" Type="http://schemas.openxmlformats.org/officeDocument/2006/relationships/hyperlink" Target="https://drive.google.com/file/d/0B2q4zwyqvkLtaXd5aWFUWTR6dk0/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1685</Words>
  <Characters>9610</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11273</CharactersWithSpaces>
  <SharedDoc>false</SharedDoc>
  <HLinks>
    <vt:vector size="18" baseType="variant">
      <vt:variant>
        <vt:i4>5963857</vt:i4>
      </vt:variant>
      <vt:variant>
        <vt:i4>6</vt:i4>
      </vt:variant>
      <vt:variant>
        <vt:i4>0</vt:i4>
      </vt:variant>
      <vt:variant>
        <vt:i4>5</vt:i4>
      </vt:variant>
      <vt:variant>
        <vt:lpwstr>https://drive.google.com/file/d/0B2q4zwyqvkLtc0k1OHpjNVBkTkE/edit?usp=sharing</vt:lpwstr>
      </vt:variant>
      <vt:variant>
        <vt:lpwstr/>
      </vt:variant>
      <vt:variant>
        <vt:i4>131138</vt:i4>
      </vt:variant>
      <vt:variant>
        <vt:i4>3</vt:i4>
      </vt:variant>
      <vt:variant>
        <vt:i4>0</vt:i4>
      </vt:variant>
      <vt:variant>
        <vt:i4>5</vt:i4>
      </vt:variant>
      <vt:variant>
        <vt:lpwstr>https://drive.google.com/file/d/0B2q4zwyqvkLtaXd5aWFUWTR6dk0/edit?usp=sharing</vt:lpwstr>
      </vt:variant>
      <vt:variant>
        <vt:lpwstr/>
      </vt:variant>
      <vt:variant>
        <vt:i4>7012412</vt:i4>
      </vt:variant>
      <vt:variant>
        <vt:i4>0</vt:i4>
      </vt:variant>
      <vt:variant>
        <vt:i4>0</vt:i4>
      </vt:variant>
      <vt:variant>
        <vt:i4>5</vt:i4>
      </vt:variant>
      <vt:variant>
        <vt:lpwstr>http://mdtf.undp.org/factsheet/project/00079112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Agronome Cauvin</dc:creator>
  <cp:lastModifiedBy>Emmanuel Calixte</cp:lastModifiedBy>
  <cp:revision>2</cp:revision>
  <cp:lastPrinted>2013-10-02T18:47:00Z</cp:lastPrinted>
  <dcterms:created xsi:type="dcterms:W3CDTF">2013-12-24T15:33:00Z</dcterms:created>
  <dcterms:modified xsi:type="dcterms:W3CDTF">2013-12-24T15:33:00Z</dcterms:modified>
</cp:coreProperties>
</file>