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04"/>
        <w:gridCol w:w="4140"/>
        <w:gridCol w:w="1452"/>
      </w:tblGrid>
      <w:tr w:rsidR="003E2682" w:rsidRPr="00E3532D" w:rsidTr="00D128DD">
        <w:trPr>
          <w:trHeight w:val="1156"/>
        </w:trPr>
        <w:tc>
          <w:tcPr>
            <w:tcW w:w="5004" w:type="dxa"/>
            <w:shd w:val="clear" w:color="auto" w:fill="auto"/>
          </w:tcPr>
          <w:p w:rsidR="003E2682" w:rsidRPr="00E3532D" w:rsidRDefault="003E2682" w:rsidP="003E2682">
            <w:pPr>
              <w:jc w:val="right"/>
              <w:rPr>
                <w:sz w:val="28"/>
                <w:szCs w:val="28"/>
                <w:lang w:val="fr-FR"/>
              </w:rPr>
            </w:pPr>
          </w:p>
          <w:tbl>
            <w:tblPr>
              <w:tblW w:w="4756" w:type="dxa"/>
              <w:tblLook w:val="04A0" w:firstRow="1" w:lastRow="0" w:firstColumn="1" w:lastColumn="0" w:noHBand="0" w:noVBand="1"/>
            </w:tblPr>
            <w:tblGrid>
              <w:gridCol w:w="1101"/>
              <w:gridCol w:w="3681"/>
            </w:tblGrid>
            <w:tr w:rsidR="00165847" w:rsidRPr="00B538BD" w:rsidTr="00B538BD">
              <w:trPr>
                <w:trHeight w:val="72"/>
              </w:trPr>
              <w:tc>
                <w:tcPr>
                  <w:tcW w:w="1095" w:type="dxa"/>
                  <w:vMerge w:val="restart"/>
                  <w:shd w:val="clear" w:color="auto" w:fill="auto"/>
                </w:tcPr>
                <w:p w:rsidR="00165847" w:rsidRPr="00B538BD" w:rsidRDefault="00EA24FA" w:rsidP="003E2682">
                  <w:pPr>
                    <w:rPr>
                      <w:lang w:val="fr-FR"/>
                    </w:rPr>
                  </w:pPr>
                  <w:r>
                    <w:rPr>
                      <w:b/>
                      <w:noProof/>
                      <w:color w:val="333399"/>
                    </w:rPr>
                    <w:drawing>
                      <wp:inline distT="0" distB="0" distL="0" distR="0">
                        <wp:extent cx="561975" cy="10572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1057275"/>
                                </a:xfrm>
                                <a:prstGeom prst="rect">
                                  <a:avLst/>
                                </a:prstGeom>
                                <a:noFill/>
                                <a:ln>
                                  <a:noFill/>
                                </a:ln>
                              </pic:spPr>
                            </pic:pic>
                          </a:graphicData>
                        </a:graphic>
                      </wp:inline>
                    </w:drawing>
                  </w:r>
                </w:p>
              </w:tc>
              <w:tc>
                <w:tcPr>
                  <w:tcW w:w="3661" w:type="dxa"/>
                  <w:shd w:val="clear" w:color="auto" w:fill="auto"/>
                </w:tcPr>
                <w:p w:rsidR="00165847" w:rsidRPr="00B538BD" w:rsidRDefault="00EA24FA" w:rsidP="003E2682">
                  <w:pPr>
                    <w:rPr>
                      <w:lang w:val="fr-FR"/>
                    </w:rPr>
                  </w:pPr>
                  <w:r>
                    <w:rPr>
                      <w:noProof/>
                    </w:rPr>
                    <w:drawing>
                      <wp:inline distT="0" distB="0" distL="0" distR="0">
                        <wp:extent cx="2200275"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2475"/>
                                </a:xfrm>
                                <a:prstGeom prst="rect">
                                  <a:avLst/>
                                </a:prstGeom>
                                <a:noFill/>
                                <a:ln>
                                  <a:noFill/>
                                </a:ln>
                              </pic:spPr>
                            </pic:pic>
                          </a:graphicData>
                        </a:graphic>
                      </wp:inline>
                    </w:drawing>
                  </w:r>
                </w:p>
              </w:tc>
            </w:tr>
            <w:tr w:rsidR="00165847" w:rsidRPr="00B538BD" w:rsidTr="00B538BD">
              <w:trPr>
                <w:trHeight w:val="72"/>
              </w:trPr>
              <w:tc>
                <w:tcPr>
                  <w:tcW w:w="1095" w:type="dxa"/>
                  <w:vMerge/>
                  <w:shd w:val="clear" w:color="auto" w:fill="auto"/>
                </w:tcPr>
                <w:p w:rsidR="00165847" w:rsidRPr="00B538BD" w:rsidRDefault="00165847" w:rsidP="003E2682">
                  <w:pPr>
                    <w:rPr>
                      <w:lang w:val="fr-FR"/>
                    </w:rPr>
                  </w:pPr>
                </w:p>
              </w:tc>
              <w:tc>
                <w:tcPr>
                  <w:tcW w:w="3661" w:type="dxa"/>
                  <w:shd w:val="clear" w:color="auto" w:fill="auto"/>
                </w:tcPr>
                <w:p w:rsidR="00165847" w:rsidRPr="00B538BD" w:rsidRDefault="00EA24FA" w:rsidP="003E2682">
                  <w:pPr>
                    <w:rPr>
                      <w:lang w:val="fr-FR"/>
                    </w:rPr>
                  </w:pPr>
                  <w:r>
                    <w:rPr>
                      <w:noProof/>
                    </w:rPr>
                    <w:drawing>
                      <wp:inline distT="0" distB="0" distL="0" distR="0">
                        <wp:extent cx="2143125" cy="504825"/>
                        <wp:effectExtent l="0" t="0" r="0" b="0"/>
                        <wp:docPr id="3" name="Picture 3" descr="UN-Habitat_English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Habitat_English_bl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inline>
                    </w:drawing>
                  </w:r>
                </w:p>
              </w:tc>
            </w:tr>
          </w:tbl>
          <w:p w:rsidR="00950A6F" w:rsidRDefault="00950A6F" w:rsidP="003E2682">
            <w:pPr>
              <w:rPr>
                <w:lang w:val="fr-FR"/>
              </w:rPr>
            </w:pPr>
          </w:p>
          <w:p w:rsidR="00165847" w:rsidRDefault="00165847" w:rsidP="003E2682">
            <w:pPr>
              <w:rPr>
                <w:lang w:val="fr-FR"/>
              </w:rPr>
            </w:pPr>
          </w:p>
          <w:p w:rsidR="003E2682" w:rsidRPr="00E3532D" w:rsidRDefault="003E2682" w:rsidP="003E2682">
            <w:pPr>
              <w:rPr>
                <w:sz w:val="28"/>
                <w:szCs w:val="28"/>
                <w:lang w:val="fr-FR"/>
              </w:rPr>
            </w:pPr>
          </w:p>
        </w:tc>
        <w:tc>
          <w:tcPr>
            <w:tcW w:w="4140" w:type="dxa"/>
            <w:shd w:val="clear" w:color="auto" w:fill="auto"/>
          </w:tcPr>
          <w:p w:rsidR="003E2682" w:rsidRPr="00E3532D" w:rsidRDefault="003E2682" w:rsidP="003E2682">
            <w:pPr>
              <w:jc w:val="right"/>
              <w:rPr>
                <w:noProof/>
                <w:lang w:val="fr-FR"/>
              </w:rPr>
            </w:pPr>
          </w:p>
          <w:p w:rsidR="003E2682" w:rsidRPr="00E3532D" w:rsidRDefault="003E2682" w:rsidP="003E2682">
            <w:pPr>
              <w:jc w:val="right"/>
              <w:rPr>
                <w:noProof/>
                <w:lang w:val="fr-FR"/>
              </w:rPr>
            </w:pPr>
          </w:p>
          <w:p w:rsidR="003E2682" w:rsidRPr="00E3532D" w:rsidRDefault="00EA24FA" w:rsidP="003E2682">
            <w:pPr>
              <w:jc w:val="right"/>
              <w:rPr>
                <w:b/>
                <w:sz w:val="28"/>
                <w:szCs w:val="28"/>
                <w:u w:val="single"/>
                <w:lang w:val="fr-FR"/>
              </w:rPr>
            </w:pPr>
            <w:r>
              <w:rPr>
                <w:noProof/>
              </w:rPr>
              <w:drawing>
                <wp:inline distT="0" distB="0" distL="0" distR="0">
                  <wp:extent cx="1638300" cy="304800"/>
                  <wp:effectExtent l="0" t="0" r="0" b="0"/>
                  <wp:docPr id="4"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inline>
              </w:drawing>
            </w:r>
          </w:p>
        </w:tc>
        <w:tc>
          <w:tcPr>
            <w:tcW w:w="1452" w:type="dxa"/>
            <w:shd w:val="clear" w:color="auto" w:fill="auto"/>
          </w:tcPr>
          <w:p w:rsidR="003E2682" w:rsidRPr="00E3532D" w:rsidRDefault="00EA24FA" w:rsidP="003E2682">
            <w:pPr>
              <w:jc w:val="right"/>
              <w:rPr>
                <w:b/>
                <w:sz w:val="28"/>
                <w:szCs w:val="28"/>
                <w:u w:val="single"/>
                <w:lang w:val="fr-FR"/>
              </w:rPr>
            </w:pPr>
            <w:r>
              <w:rPr>
                <w:b/>
                <w:noProof/>
                <w:color w:val="333399"/>
              </w:rPr>
              <w:drawing>
                <wp:inline distT="0" distB="0" distL="0" distR="0">
                  <wp:extent cx="561975" cy="105727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1057275"/>
                          </a:xfrm>
                          <a:prstGeom prst="rect">
                            <a:avLst/>
                          </a:prstGeom>
                          <a:noFill/>
                          <a:ln>
                            <a:noFill/>
                          </a:ln>
                        </pic:spPr>
                      </pic:pic>
                    </a:graphicData>
                  </a:graphic>
                </wp:inline>
              </w:drawing>
            </w:r>
          </w:p>
        </w:tc>
      </w:tr>
    </w:tbl>
    <w:p w:rsidR="00D128DD" w:rsidRDefault="00D128DD" w:rsidP="00D128D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Pr>
          <w:b/>
          <w:lang w:val="fr-FR"/>
        </w:rPr>
        <w:t>FONDS DE RECONSTRUCTION D’HAITI</w:t>
      </w:r>
    </w:p>
    <w:p w:rsidR="00D128DD" w:rsidRPr="00AE3632" w:rsidRDefault="00D128DD" w:rsidP="00D128D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sidRPr="00AE3632">
        <w:rPr>
          <w:b/>
          <w:lang w:val="fr-FR"/>
        </w:rPr>
        <w:t>PROGRAMME D’APPUI A LA RECONSTRUCTION DU LOGEMENT ET DES QUARTIERS </w:t>
      </w:r>
    </w:p>
    <w:p w:rsidR="003E2682" w:rsidRPr="00E3532D" w:rsidRDefault="003E2682" w:rsidP="003E2682">
      <w:pPr>
        <w:jc w:val="center"/>
        <w:rPr>
          <w:b/>
          <w:bCs/>
          <w:caps/>
          <w:lang w:val="fr-FR"/>
        </w:rPr>
      </w:pPr>
      <w:r w:rsidRPr="00E3532D">
        <w:rPr>
          <w:b/>
          <w:bCs/>
          <w:caps/>
          <w:lang w:val="fr-FR"/>
        </w:rPr>
        <w:t xml:space="preserve">RAPPORT DESCRIPTIF ANNUEL SUR </w:t>
      </w:r>
    </w:p>
    <w:p w:rsidR="003E2682" w:rsidRPr="00E3532D" w:rsidRDefault="003E2682" w:rsidP="003E2682">
      <w:pPr>
        <w:jc w:val="center"/>
        <w:rPr>
          <w:b/>
          <w:bCs/>
          <w:caps/>
          <w:lang w:val="fr-FR"/>
        </w:rPr>
      </w:pPr>
      <w:r w:rsidRPr="00E3532D">
        <w:rPr>
          <w:b/>
          <w:bCs/>
          <w:caps/>
          <w:lang w:val="fr-FR"/>
        </w:rPr>
        <w:t>L’ETAT D’AVANCEMENT DU PROGRAMME</w:t>
      </w:r>
      <w:r w:rsidRPr="00B921F3">
        <w:rPr>
          <w:rStyle w:val="FootnoteReference"/>
          <w:b/>
          <w:bCs/>
          <w:caps/>
          <w:lang w:val="fr-FR"/>
        </w:rPr>
        <w:footnoteReference w:id="1"/>
      </w:r>
      <w:r w:rsidRPr="00B921F3">
        <w:rPr>
          <w:b/>
          <w:bCs/>
          <w:caps/>
          <w:lang w:val="fr-FR"/>
        </w:rPr>
        <w:t xml:space="preserve"> </w:t>
      </w:r>
    </w:p>
    <w:p w:rsidR="003E2682" w:rsidRDefault="003E2682" w:rsidP="003E2682">
      <w:pPr>
        <w:jc w:val="center"/>
        <w:rPr>
          <w:b/>
          <w:bCs/>
          <w:caps/>
          <w:lang w:val="fr-FR"/>
        </w:rPr>
      </w:pPr>
      <w:r w:rsidRPr="00E3532D">
        <w:rPr>
          <w:b/>
          <w:bCs/>
          <w:caps/>
          <w:lang w:val="fr-FR"/>
        </w:rPr>
        <w:t>pERIODe du rappo</w:t>
      </w:r>
      <w:r w:rsidR="00341D9F">
        <w:rPr>
          <w:b/>
          <w:bCs/>
          <w:caps/>
          <w:lang w:val="fr-FR"/>
        </w:rPr>
        <w:t>rt: 1 janvier – 31 Decembre 2014</w:t>
      </w:r>
    </w:p>
    <w:p w:rsidR="00FD05DA" w:rsidRPr="00E3532D" w:rsidRDefault="00FD05DA" w:rsidP="003E2682">
      <w:pPr>
        <w:jc w:val="center"/>
        <w:rPr>
          <w:b/>
          <w:bCs/>
          <w:caps/>
          <w:lang w:val="fr-FR"/>
        </w:rPr>
      </w:pPr>
    </w:p>
    <w:tbl>
      <w:tblPr>
        <w:tblW w:w="10440" w:type="dxa"/>
        <w:tblInd w:w="-72" w:type="dxa"/>
        <w:tblLayout w:type="fixed"/>
        <w:tblLook w:val="01E0" w:firstRow="1" w:lastRow="1" w:firstColumn="1" w:lastColumn="1" w:noHBand="0" w:noVBand="0"/>
      </w:tblPr>
      <w:tblGrid>
        <w:gridCol w:w="5040"/>
        <w:gridCol w:w="360"/>
        <w:gridCol w:w="5040"/>
      </w:tblGrid>
      <w:tr w:rsidR="00FD05DA" w:rsidRPr="004A058E" w:rsidTr="00165525">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FD05DA" w:rsidRPr="0077492E" w:rsidRDefault="00FD05DA" w:rsidP="00165525">
            <w:pPr>
              <w:pStyle w:val="Heading2"/>
              <w:jc w:val="center"/>
              <w:rPr>
                <w:sz w:val="22"/>
                <w:szCs w:val="22"/>
                <w:lang w:val="fr-FR"/>
              </w:rPr>
            </w:pPr>
            <w:r>
              <w:rPr>
                <w:bCs w:val="0"/>
                <w:sz w:val="22"/>
                <w:szCs w:val="22"/>
                <w:lang w:val="fr-FR"/>
              </w:rPr>
              <w:t>Titre</w:t>
            </w:r>
            <w:r w:rsidRPr="00144727">
              <w:rPr>
                <w:bCs w:val="0"/>
                <w:sz w:val="22"/>
                <w:szCs w:val="22"/>
                <w:lang w:val="fr-FR"/>
              </w:rPr>
              <w:t xml:space="preserve"> du Programme &amp; </w:t>
            </w:r>
            <w:r>
              <w:rPr>
                <w:bCs w:val="0"/>
                <w:sz w:val="22"/>
                <w:szCs w:val="22"/>
                <w:lang w:val="fr-FR"/>
              </w:rPr>
              <w:t>R</w:t>
            </w:r>
            <w:r w:rsidRPr="00144727">
              <w:rPr>
                <w:bCs w:val="0"/>
                <w:sz w:val="22"/>
                <w:szCs w:val="22"/>
                <w:lang w:val="fr-FR"/>
              </w:rPr>
              <w:t>éférence</w:t>
            </w:r>
            <w:r>
              <w:rPr>
                <w:bCs w:val="0"/>
                <w:sz w:val="22"/>
                <w:szCs w:val="22"/>
                <w:lang w:val="fr-FR"/>
              </w:rPr>
              <w:t xml:space="preserve"> du projet</w:t>
            </w:r>
          </w:p>
        </w:tc>
        <w:tc>
          <w:tcPr>
            <w:tcW w:w="360" w:type="dxa"/>
            <w:vMerge w:val="restart"/>
            <w:tcBorders>
              <w:left w:val="single" w:sz="4" w:space="0" w:color="auto"/>
              <w:right w:val="single" w:sz="4" w:space="0" w:color="auto"/>
            </w:tcBorders>
            <w:vAlign w:val="center"/>
          </w:tcPr>
          <w:p w:rsidR="00FD05DA" w:rsidRPr="0077492E" w:rsidRDefault="00FD05DA" w:rsidP="00165525">
            <w:pPr>
              <w:jc w:val="center"/>
              <w:rPr>
                <w:lang w:val="fr-FR"/>
              </w:rPr>
            </w:pPr>
          </w:p>
        </w:tc>
        <w:tc>
          <w:tcPr>
            <w:tcW w:w="5040" w:type="dxa"/>
            <w:tcBorders>
              <w:top w:val="single" w:sz="4" w:space="0" w:color="auto"/>
              <w:left w:val="single" w:sz="4" w:space="0" w:color="auto"/>
              <w:right w:val="single" w:sz="4" w:space="0" w:color="auto"/>
            </w:tcBorders>
            <w:shd w:val="clear" w:color="auto" w:fill="F3F3F3"/>
            <w:vAlign w:val="center"/>
          </w:tcPr>
          <w:p w:rsidR="00FD05DA" w:rsidRPr="00F36D77" w:rsidRDefault="00FD05DA" w:rsidP="00165525">
            <w:pPr>
              <w:pStyle w:val="Heading2"/>
              <w:jc w:val="center"/>
              <w:rPr>
                <w:sz w:val="22"/>
                <w:szCs w:val="22"/>
                <w:lang w:val="fr-FR"/>
              </w:rPr>
            </w:pPr>
            <w:r w:rsidRPr="00144727">
              <w:rPr>
                <w:bCs w:val="0"/>
                <w:sz w:val="22"/>
                <w:szCs w:val="22"/>
                <w:lang w:val="fr-FR"/>
              </w:rPr>
              <w:t xml:space="preserve">Pays, Localité, </w:t>
            </w:r>
            <w:r>
              <w:rPr>
                <w:bCs w:val="0"/>
                <w:sz w:val="22"/>
                <w:szCs w:val="22"/>
                <w:lang w:val="fr-FR"/>
              </w:rPr>
              <w:t>Secteur/Thème(s) du P</w:t>
            </w:r>
            <w:r w:rsidRPr="00144727">
              <w:rPr>
                <w:bCs w:val="0"/>
                <w:sz w:val="22"/>
                <w:szCs w:val="22"/>
                <w:lang w:val="fr-FR"/>
              </w:rPr>
              <w:t>rogramme</w:t>
            </w:r>
          </w:p>
        </w:tc>
      </w:tr>
      <w:tr w:rsidR="00FD05DA" w:rsidRPr="004A058E" w:rsidTr="00165525">
        <w:trPr>
          <w:trHeight w:val="1080"/>
        </w:trPr>
        <w:tc>
          <w:tcPr>
            <w:tcW w:w="5040" w:type="dxa"/>
            <w:vMerge w:val="restart"/>
            <w:tcBorders>
              <w:left w:val="single" w:sz="4" w:space="0" w:color="auto"/>
              <w:right w:val="single" w:sz="4" w:space="0" w:color="auto"/>
            </w:tcBorders>
          </w:tcPr>
          <w:p w:rsidR="00FD05DA" w:rsidRPr="00FD05DA" w:rsidRDefault="00FD05DA" w:rsidP="00FD05DA">
            <w:pPr>
              <w:numPr>
                <w:ilvl w:val="0"/>
                <w:numId w:val="15"/>
              </w:numPr>
              <w:rPr>
                <w:sz w:val="22"/>
                <w:szCs w:val="22"/>
                <w:lang w:val="fr-FR"/>
              </w:rPr>
            </w:pPr>
            <w:r w:rsidRPr="00FD05DA">
              <w:rPr>
                <w:sz w:val="22"/>
                <w:szCs w:val="22"/>
                <w:lang w:val="fr-FR"/>
              </w:rPr>
              <w:t>Programme d’appui à la reconstruction du logement et des quartiers </w:t>
            </w:r>
          </w:p>
          <w:p w:rsidR="00FD05DA" w:rsidRPr="00FD05DA" w:rsidRDefault="00FD05DA" w:rsidP="00FD05DA">
            <w:pPr>
              <w:numPr>
                <w:ilvl w:val="0"/>
                <w:numId w:val="15"/>
              </w:numPr>
              <w:rPr>
                <w:sz w:val="22"/>
                <w:szCs w:val="22"/>
                <w:lang w:val="fr-FR"/>
              </w:rPr>
            </w:pPr>
            <w:r w:rsidRPr="00FD05DA">
              <w:rPr>
                <w:sz w:val="22"/>
                <w:szCs w:val="22"/>
                <w:lang w:val="fr-FR"/>
              </w:rPr>
              <w:t xml:space="preserve">Réf. du Programme: </w:t>
            </w:r>
          </w:p>
          <w:p w:rsidR="00FD05DA" w:rsidRPr="00FD05DA" w:rsidRDefault="00FD05DA" w:rsidP="00FD05DA">
            <w:pPr>
              <w:numPr>
                <w:ilvl w:val="0"/>
                <w:numId w:val="15"/>
              </w:numPr>
              <w:rPr>
                <w:i/>
                <w:sz w:val="22"/>
                <w:szCs w:val="22"/>
                <w:lang w:val="fr-FR"/>
              </w:rPr>
            </w:pPr>
            <w:r w:rsidRPr="00FD05DA">
              <w:rPr>
                <w:sz w:val="22"/>
                <w:szCs w:val="22"/>
                <w:lang w:val="fr-FR"/>
              </w:rPr>
              <w:t>Numéro de référence du Projet/MPTF Office:</w:t>
            </w:r>
          </w:p>
          <w:p w:rsidR="00FD05DA" w:rsidRPr="00FD05DA" w:rsidRDefault="00FD05DA" w:rsidP="00165525">
            <w:pPr>
              <w:ind w:left="720"/>
              <w:rPr>
                <w:sz w:val="22"/>
                <w:szCs w:val="22"/>
                <w:lang w:val="fr-FR"/>
              </w:rPr>
            </w:pPr>
            <w:r w:rsidRPr="00FD05DA">
              <w:rPr>
                <w:iCs/>
                <w:sz w:val="22"/>
                <w:szCs w:val="22"/>
                <w:lang w:val="es-ES_tradnl"/>
              </w:rPr>
              <w:t>00079654</w:t>
            </w: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left w:val="single" w:sz="4" w:space="0" w:color="auto"/>
              <w:bottom w:val="single" w:sz="4" w:space="0" w:color="auto"/>
              <w:right w:val="single" w:sz="4" w:space="0" w:color="auto"/>
            </w:tcBorders>
          </w:tcPr>
          <w:p w:rsidR="00FD05DA" w:rsidRPr="00FD05DA" w:rsidRDefault="00FD05DA" w:rsidP="00165525">
            <w:pPr>
              <w:pStyle w:val="BodyText"/>
              <w:rPr>
                <w:rFonts w:ascii="Times New Roman" w:hAnsi="Times New Roman" w:cs="Times New Roman"/>
                <w:i/>
                <w:sz w:val="22"/>
                <w:szCs w:val="22"/>
                <w:lang w:val="fr-FR"/>
              </w:rPr>
            </w:pPr>
            <w:r w:rsidRPr="00FD05DA">
              <w:rPr>
                <w:rFonts w:ascii="Times New Roman" w:hAnsi="Times New Roman" w:cs="Times New Roman"/>
                <w:i/>
                <w:sz w:val="22"/>
                <w:szCs w:val="22"/>
                <w:lang w:val="fr-FR"/>
              </w:rPr>
              <w:t>(le cas échéant)</w:t>
            </w:r>
          </w:p>
          <w:p w:rsidR="00FD05DA" w:rsidRPr="00206EFC" w:rsidRDefault="00206EFC" w:rsidP="00311774">
            <w:pPr>
              <w:pStyle w:val="BodyText"/>
              <w:rPr>
                <w:rFonts w:ascii="Times New Roman" w:hAnsi="Times New Roman" w:cs="Times New Roman"/>
                <w:bCs/>
                <w:i/>
                <w:iCs/>
                <w:sz w:val="22"/>
                <w:szCs w:val="22"/>
                <w:lang w:val="fr-FR"/>
              </w:rPr>
            </w:pPr>
            <w:r w:rsidRPr="00206EFC">
              <w:rPr>
                <w:rFonts w:ascii="Times New Roman" w:hAnsi="Times New Roman" w:cs="Times New Roman"/>
                <w:i/>
                <w:sz w:val="22"/>
                <w:szCs w:val="22"/>
                <w:lang w:val="fr-FR"/>
              </w:rPr>
              <w:t>Pays/Localit</w:t>
            </w:r>
            <w:r w:rsidRPr="00206EFC">
              <w:rPr>
                <w:rFonts w:ascii="Times New Roman" w:hAnsi="Times New Roman" w:cs="Times New Roman"/>
                <w:bCs/>
                <w:i/>
                <w:iCs/>
                <w:sz w:val="22"/>
                <w:szCs w:val="22"/>
                <w:lang w:val="fr-FR"/>
              </w:rPr>
              <w:t xml:space="preserve">é : Haïti, </w:t>
            </w:r>
            <w:r w:rsidRPr="00206EFC">
              <w:rPr>
                <w:rFonts w:ascii="Times New Roman" w:hAnsi="Times New Roman" w:cs="Times New Roman"/>
                <w:i/>
                <w:sz w:val="22"/>
                <w:szCs w:val="22"/>
                <w:lang w:val="fr-FR"/>
              </w:rPr>
              <w:t>Artibonite (Saint-Marc), Nord (Cap-Haïtien), Ouest (Port-au-Prince), Sud (Les Cayes), Sud-Est (Jacmel)</w:t>
            </w:r>
          </w:p>
        </w:tc>
      </w:tr>
      <w:tr w:rsidR="00FD05DA" w:rsidRPr="00FD05DA" w:rsidTr="00165525">
        <w:trPr>
          <w:trHeight w:val="332"/>
        </w:trPr>
        <w:tc>
          <w:tcPr>
            <w:tcW w:w="5040" w:type="dxa"/>
            <w:vMerge/>
            <w:tcBorders>
              <w:left w:val="single" w:sz="4" w:space="0" w:color="auto"/>
              <w:bottom w:val="single" w:sz="4" w:space="0" w:color="auto"/>
              <w:right w:val="single" w:sz="4" w:space="0" w:color="auto"/>
            </w:tcBorders>
          </w:tcPr>
          <w:p w:rsidR="00FD05DA" w:rsidRPr="00FD05DA" w:rsidRDefault="00FD05DA" w:rsidP="00FD05DA">
            <w:pPr>
              <w:numPr>
                <w:ilvl w:val="0"/>
                <w:numId w:val="15"/>
              </w:numPr>
              <w:rPr>
                <w:sz w:val="22"/>
                <w:szCs w:val="22"/>
                <w:lang w:val="fr-FR"/>
              </w:rPr>
            </w:pP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top w:val="single" w:sz="4" w:space="0" w:color="auto"/>
              <w:left w:val="single" w:sz="4" w:space="0" w:color="auto"/>
              <w:bottom w:val="single" w:sz="4" w:space="0" w:color="auto"/>
              <w:right w:val="single" w:sz="4" w:space="0" w:color="auto"/>
            </w:tcBorders>
          </w:tcPr>
          <w:p w:rsidR="00FD05DA" w:rsidRPr="00FD05DA" w:rsidRDefault="00FD05DA" w:rsidP="00165525">
            <w:pPr>
              <w:pStyle w:val="BodyText"/>
              <w:rPr>
                <w:rFonts w:ascii="Times New Roman" w:hAnsi="Times New Roman" w:cs="Times New Roman"/>
                <w:i/>
                <w:sz w:val="22"/>
                <w:szCs w:val="22"/>
                <w:lang w:val="fr-FR"/>
              </w:rPr>
            </w:pPr>
            <w:r w:rsidRPr="00FD05DA">
              <w:rPr>
                <w:rFonts w:ascii="Times New Roman" w:hAnsi="Times New Roman" w:cs="Times New Roman"/>
                <w:bCs/>
                <w:i/>
                <w:iCs/>
                <w:sz w:val="22"/>
                <w:szCs w:val="22"/>
                <w:lang w:val="fr-FR"/>
              </w:rPr>
              <w:t xml:space="preserve">Secteur/Thème(s) : Logement </w:t>
            </w:r>
          </w:p>
        </w:tc>
      </w:tr>
    </w:tbl>
    <w:p w:rsidR="00FD05DA" w:rsidRPr="00FD05DA" w:rsidRDefault="00FD05DA" w:rsidP="003E2682">
      <w:pPr>
        <w:rPr>
          <w:b/>
          <w:bCs/>
          <w:caps/>
          <w:sz w:val="22"/>
          <w:szCs w:val="22"/>
          <w:lang w:val="fr-FR"/>
        </w:rPr>
      </w:pPr>
    </w:p>
    <w:tbl>
      <w:tblPr>
        <w:tblW w:w="10440" w:type="dxa"/>
        <w:tblInd w:w="-72" w:type="dxa"/>
        <w:tblLayout w:type="fixed"/>
        <w:tblLook w:val="01E0" w:firstRow="1" w:lastRow="1" w:firstColumn="1" w:lastColumn="1" w:noHBand="0" w:noVBand="0"/>
      </w:tblPr>
      <w:tblGrid>
        <w:gridCol w:w="5040"/>
        <w:gridCol w:w="360"/>
        <w:gridCol w:w="5040"/>
      </w:tblGrid>
      <w:tr w:rsidR="00FD05DA" w:rsidRPr="004A058E" w:rsidTr="00165525">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FD05DA" w:rsidRPr="00FD05DA" w:rsidRDefault="00FD05DA" w:rsidP="00165525">
            <w:pPr>
              <w:pStyle w:val="H1"/>
              <w:jc w:val="center"/>
              <w:rPr>
                <w:rFonts w:cs="Times New Roman"/>
                <w:sz w:val="22"/>
                <w:szCs w:val="22"/>
              </w:rPr>
            </w:pPr>
            <w:r w:rsidRPr="00FD05DA">
              <w:rPr>
                <w:rFonts w:cs="Times New Roman"/>
                <w:sz w:val="22"/>
                <w:szCs w:val="22"/>
              </w:rPr>
              <w:t xml:space="preserve">Organisations </w:t>
            </w:r>
            <w:proofErr w:type="spellStart"/>
            <w:r w:rsidRPr="00FD05DA">
              <w:rPr>
                <w:rFonts w:cs="Times New Roman"/>
                <w:sz w:val="22"/>
                <w:szCs w:val="22"/>
              </w:rPr>
              <w:t>participantes</w:t>
            </w:r>
            <w:proofErr w:type="spellEnd"/>
          </w:p>
        </w:tc>
        <w:tc>
          <w:tcPr>
            <w:tcW w:w="360" w:type="dxa"/>
            <w:vMerge w:val="restart"/>
            <w:tcBorders>
              <w:left w:val="single" w:sz="4" w:space="0" w:color="auto"/>
              <w:right w:val="single" w:sz="4" w:space="0" w:color="auto"/>
            </w:tcBorders>
            <w:vAlign w:val="center"/>
          </w:tcPr>
          <w:p w:rsidR="00FD05DA" w:rsidRPr="00FD05DA" w:rsidRDefault="00FD05DA" w:rsidP="00165525">
            <w:pPr>
              <w:jc w:val="center"/>
              <w:rPr>
                <w:sz w:val="22"/>
                <w:szCs w:val="22"/>
              </w:rPr>
            </w:pPr>
          </w:p>
        </w:tc>
        <w:tc>
          <w:tcPr>
            <w:tcW w:w="5040" w:type="dxa"/>
            <w:tcBorders>
              <w:top w:val="single" w:sz="4" w:space="0" w:color="auto"/>
              <w:left w:val="single" w:sz="4" w:space="0" w:color="auto"/>
              <w:right w:val="single" w:sz="4" w:space="0" w:color="auto"/>
            </w:tcBorders>
            <w:shd w:val="clear" w:color="auto" w:fill="F3F3F3"/>
            <w:vAlign w:val="center"/>
          </w:tcPr>
          <w:p w:rsidR="00FD05DA" w:rsidRPr="00FD05DA" w:rsidRDefault="00FD05DA" w:rsidP="00165525">
            <w:pPr>
              <w:pStyle w:val="Heading2"/>
              <w:jc w:val="center"/>
              <w:rPr>
                <w:sz w:val="22"/>
                <w:szCs w:val="22"/>
                <w:lang w:val="fr-FR"/>
              </w:rPr>
            </w:pPr>
            <w:r w:rsidRPr="00FD05DA">
              <w:rPr>
                <w:bCs w:val="0"/>
                <w:sz w:val="22"/>
                <w:szCs w:val="22"/>
                <w:lang w:val="fr-FR"/>
              </w:rPr>
              <w:t>Partenaires de mise en œuvre</w:t>
            </w:r>
          </w:p>
        </w:tc>
      </w:tr>
      <w:tr w:rsidR="00FD05DA" w:rsidRPr="00FD05DA" w:rsidTr="00165525">
        <w:trPr>
          <w:trHeight w:val="495"/>
        </w:trPr>
        <w:tc>
          <w:tcPr>
            <w:tcW w:w="5040" w:type="dxa"/>
            <w:tcBorders>
              <w:left w:val="single" w:sz="4" w:space="0" w:color="auto"/>
              <w:bottom w:val="single" w:sz="4" w:space="0" w:color="auto"/>
              <w:right w:val="single" w:sz="4" w:space="0" w:color="auto"/>
            </w:tcBorders>
          </w:tcPr>
          <w:p w:rsidR="00FD05DA" w:rsidRPr="00FD05DA" w:rsidRDefault="00FD05DA" w:rsidP="00FD05DA">
            <w:pPr>
              <w:numPr>
                <w:ilvl w:val="0"/>
                <w:numId w:val="15"/>
              </w:numPr>
              <w:rPr>
                <w:i/>
                <w:sz w:val="22"/>
                <w:szCs w:val="22"/>
                <w:lang w:val="fr-FR"/>
              </w:rPr>
            </w:pPr>
            <w:r w:rsidRPr="00FD05DA">
              <w:rPr>
                <w:sz w:val="22"/>
                <w:szCs w:val="22"/>
                <w:lang w:val="fr-FR"/>
              </w:rPr>
              <w:t>OIM, ONU-Habitat, PNUD, UNFPA</w:t>
            </w: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left w:val="single" w:sz="4" w:space="0" w:color="auto"/>
              <w:bottom w:val="single" w:sz="4" w:space="0" w:color="auto"/>
              <w:right w:val="single" w:sz="4" w:space="0" w:color="auto"/>
            </w:tcBorders>
          </w:tcPr>
          <w:p w:rsidR="00FD05DA" w:rsidRPr="00FD05DA" w:rsidRDefault="00FD05DA" w:rsidP="00FD05DA">
            <w:pPr>
              <w:pStyle w:val="BodyText"/>
              <w:numPr>
                <w:ilvl w:val="0"/>
                <w:numId w:val="7"/>
              </w:numPr>
              <w:spacing w:before="60" w:after="60"/>
              <w:ind w:left="376"/>
              <w:rPr>
                <w:rFonts w:ascii="Times New Roman" w:hAnsi="Times New Roman" w:cs="Times New Roman"/>
                <w:bCs/>
                <w:iCs/>
                <w:color w:val="000000"/>
                <w:sz w:val="22"/>
                <w:szCs w:val="22"/>
              </w:rPr>
            </w:pPr>
            <w:r w:rsidRPr="00FD05DA">
              <w:rPr>
                <w:rFonts w:ascii="Times New Roman" w:hAnsi="Times New Roman" w:cs="Times New Roman"/>
                <w:sz w:val="22"/>
                <w:szCs w:val="22"/>
              </w:rPr>
              <w:t>MPCE, MICT, MTPTC, CNIGS, IHSI</w:t>
            </w:r>
          </w:p>
        </w:tc>
      </w:tr>
    </w:tbl>
    <w:p w:rsidR="00FD05DA" w:rsidRPr="00FD05DA" w:rsidRDefault="00FD05DA" w:rsidP="003E2682">
      <w:pPr>
        <w:rPr>
          <w:b/>
          <w:bCs/>
          <w:caps/>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0"/>
        <w:gridCol w:w="5040"/>
      </w:tblGrid>
      <w:tr w:rsidR="00FD05DA" w:rsidRPr="00FD05DA" w:rsidTr="00165525">
        <w:trPr>
          <w:trHeight w:val="440"/>
        </w:trPr>
        <w:tc>
          <w:tcPr>
            <w:tcW w:w="5040" w:type="dxa"/>
            <w:tcBorders>
              <w:bottom w:val="nil"/>
            </w:tcBorders>
            <w:shd w:val="clear" w:color="auto" w:fill="F2F2F2"/>
            <w:vAlign w:val="center"/>
          </w:tcPr>
          <w:p w:rsidR="00FD05DA" w:rsidRPr="00FD05DA" w:rsidRDefault="00FD05DA" w:rsidP="00165525">
            <w:pPr>
              <w:pStyle w:val="Heading2"/>
              <w:ind w:right="839"/>
              <w:jc w:val="center"/>
              <w:rPr>
                <w:sz w:val="22"/>
                <w:szCs w:val="22"/>
                <w:lang w:val="fr-FR"/>
              </w:rPr>
            </w:pPr>
            <w:r w:rsidRPr="00FD05DA">
              <w:rPr>
                <w:bCs w:val="0"/>
                <w:sz w:val="22"/>
                <w:szCs w:val="22"/>
                <w:lang w:val="fr-FR"/>
              </w:rPr>
              <w:t>Budget du Programme (US$)</w:t>
            </w:r>
          </w:p>
        </w:tc>
        <w:tc>
          <w:tcPr>
            <w:tcW w:w="360" w:type="dxa"/>
            <w:tcBorders>
              <w:top w:val="nil"/>
              <w:bottom w:val="nil"/>
            </w:tcBorders>
            <w:vAlign w:val="center"/>
          </w:tcPr>
          <w:p w:rsidR="00FD05DA" w:rsidRPr="00FD05DA" w:rsidRDefault="00FD05DA" w:rsidP="00165525">
            <w:pPr>
              <w:pStyle w:val="H1"/>
              <w:jc w:val="center"/>
              <w:rPr>
                <w:rFonts w:cs="Times New Roman"/>
                <w:sz w:val="22"/>
                <w:szCs w:val="22"/>
                <w:lang w:val="fr-FR"/>
              </w:rPr>
            </w:pPr>
          </w:p>
        </w:tc>
        <w:tc>
          <w:tcPr>
            <w:tcW w:w="5040" w:type="dxa"/>
            <w:tcBorders>
              <w:bottom w:val="nil"/>
            </w:tcBorders>
            <w:shd w:val="clear" w:color="auto" w:fill="F2F2F2"/>
            <w:vAlign w:val="center"/>
          </w:tcPr>
          <w:p w:rsidR="00FD05DA" w:rsidRPr="00FD05DA" w:rsidRDefault="00FD05DA" w:rsidP="00165525">
            <w:pPr>
              <w:pStyle w:val="Heading2"/>
              <w:ind w:right="839"/>
              <w:jc w:val="right"/>
              <w:rPr>
                <w:sz w:val="22"/>
                <w:szCs w:val="22"/>
              </w:rPr>
            </w:pPr>
            <w:r w:rsidRPr="00FD05DA">
              <w:rPr>
                <w:bCs w:val="0"/>
                <w:sz w:val="22"/>
                <w:szCs w:val="22"/>
                <w:lang w:val="fr-FR"/>
              </w:rPr>
              <w:t>Durée du Programme (mois)</w:t>
            </w:r>
          </w:p>
        </w:tc>
      </w:tr>
      <w:tr w:rsidR="00FD05DA" w:rsidRPr="004A058E" w:rsidTr="00165525">
        <w:trPr>
          <w:trHeight w:val="972"/>
        </w:trPr>
        <w:tc>
          <w:tcPr>
            <w:tcW w:w="5040" w:type="dxa"/>
            <w:vMerge w:val="restart"/>
            <w:tcBorders>
              <w:top w:val="nil"/>
            </w:tcBorders>
            <w:vAlign w:val="center"/>
          </w:tcPr>
          <w:p w:rsidR="00FD05DA" w:rsidRPr="00FD05DA" w:rsidRDefault="00FD05DA" w:rsidP="00165525">
            <w:pPr>
              <w:rPr>
                <w:b/>
                <w:sz w:val="22"/>
                <w:szCs w:val="22"/>
                <w:lang w:val="fr-FR"/>
              </w:rPr>
            </w:pPr>
            <w:r w:rsidRPr="00FD05DA">
              <w:rPr>
                <w:b/>
                <w:sz w:val="22"/>
                <w:szCs w:val="22"/>
                <w:lang w:val="fr-FR"/>
              </w:rPr>
              <w:t xml:space="preserve">Contribution du Fonds: </w:t>
            </w:r>
            <w:r w:rsidRPr="00FD05DA">
              <w:rPr>
                <w:bCs/>
                <w:iCs/>
                <w:sz w:val="22"/>
                <w:szCs w:val="22"/>
                <w:lang w:val="fr-FR"/>
              </w:rPr>
              <w:t xml:space="preserve">US$ </w:t>
            </w:r>
            <w:r w:rsidRPr="00FD05DA">
              <w:rPr>
                <w:color w:val="000000"/>
                <w:sz w:val="22"/>
                <w:szCs w:val="22"/>
                <w:lang w:val="fr-FR"/>
              </w:rPr>
              <w:t>24,67M</w:t>
            </w:r>
          </w:p>
          <w:p w:rsidR="00FD05DA" w:rsidRPr="00FD05DA" w:rsidRDefault="00FD05DA" w:rsidP="00FD05DA">
            <w:pPr>
              <w:pStyle w:val="ListParagraph"/>
              <w:numPr>
                <w:ilvl w:val="0"/>
                <w:numId w:val="16"/>
              </w:numPr>
              <w:rPr>
                <w:sz w:val="22"/>
                <w:szCs w:val="22"/>
                <w:lang w:val="en-GB"/>
              </w:rPr>
            </w:pPr>
            <w:r w:rsidRPr="00FD05DA">
              <w:rPr>
                <w:sz w:val="22"/>
                <w:szCs w:val="22"/>
              </w:rPr>
              <w:t>OIM : US</w:t>
            </w:r>
            <w:r w:rsidRPr="00FD05DA">
              <w:rPr>
                <w:sz w:val="22"/>
                <w:szCs w:val="22"/>
                <w:lang w:val="en-GB"/>
              </w:rPr>
              <w:t>$ 12,585,330</w:t>
            </w:r>
          </w:p>
          <w:p w:rsidR="00FD05DA" w:rsidRPr="00FD05DA" w:rsidRDefault="00FD05DA" w:rsidP="00FD05DA">
            <w:pPr>
              <w:pStyle w:val="ListParagraph"/>
              <w:numPr>
                <w:ilvl w:val="0"/>
                <w:numId w:val="16"/>
              </w:numPr>
              <w:rPr>
                <w:sz w:val="22"/>
                <w:szCs w:val="22"/>
                <w:lang w:val="en-GB"/>
              </w:rPr>
            </w:pPr>
            <w:r w:rsidRPr="00FD05DA">
              <w:rPr>
                <w:sz w:val="22"/>
                <w:szCs w:val="22"/>
              </w:rPr>
              <w:t>ONU-Habitat : US$ 10, 266,140</w:t>
            </w:r>
          </w:p>
          <w:p w:rsidR="00FD05DA" w:rsidRPr="00FD05DA" w:rsidRDefault="00FD05DA" w:rsidP="00FD05DA">
            <w:pPr>
              <w:pStyle w:val="ListParagraph"/>
              <w:numPr>
                <w:ilvl w:val="0"/>
                <w:numId w:val="16"/>
              </w:numPr>
              <w:rPr>
                <w:sz w:val="22"/>
                <w:szCs w:val="22"/>
              </w:rPr>
            </w:pPr>
            <w:r w:rsidRPr="00FD05DA">
              <w:rPr>
                <w:sz w:val="22"/>
                <w:szCs w:val="22"/>
              </w:rPr>
              <w:t>PNUD : US$ 1,486,230</w:t>
            </w:r>
          </w:p>
          <w:p w:rsidR="00FD05DA" w:rsidRPr="00FD05DA" w:rsidRDefault="00FD05DA" w:rsidP="00FD05DA">
            <w:pPr>
              <w:pStyle w:val="ListParagraph"/>
              <w:numPr>
                <w:ilvl w:val="0"/>
                <w:numId w:val="16"/>
              </w:numPr>
              <w:rPr>
                <w:sz w:val="22"/>
                <w:szCs w:val="22"/>
              </w:rPr>
            </w:pPr>
            <w:r w:rsidRPr="00FD05DA">
              <w:rPr>
                <w:sz w:val="22"/>
                <w:szCs w:val="22"/>
              </w:rPr>
              <w:t>UNFPA : US$ 85,600</w:t>
            </w:r>
          </w:p>
          <w:p w:rsidR="00FD05DA" w:rsidRPr="00FD05DA" w:rsidRDefault="00FD05DA" w:rsidP="00165525">
            <w:pPr>
              <w:pStyle w:val="H2"/>
              <w:spacing w:before="120"/>
              <w:rPr>
                <w:rFonts w:cs="Times New Roman"/>
                <w:b w:val="0"/>
                <w:szCs w:val="22"/>
              </w:rPr>
            </w:pPr>
            <w:r w:rsidRPr="00FD05DA">
              <w:rPr>
                <w:rFonts w:cs="Times New Roman"/>
                <w:szCs w:val="22"/>
                <w:lang w:val="fr-FR"/>
              </w:rPr>
              <w:t>Contribution de(s) agence(s):</w:t>
            </w:r>
          </w:p>
          <w:p w:rsidR="00FD05DA" w:rsidRPr="00FD05DA" w:rsidRDefault="00FD05DA" w:rsidP="00FD05DA">
            <w:pPr>
              <w:pStyle w:val="ListParagraph"/>
              <w:numPr>
                <w:ilvl w:val="0"/>
                <w:numId w:val="16"/>
              </w:numPr>
              <w:rPr>
                <w:sz w:val="22"/>
                <w:szCs w:val="22"/>
              </w:rPr>
            </w:pPr>
            <w:r w:rsidRPr="00FD05DA">
              <w:rPr>
                <w:sz w:val="22"/>
                <w:szCs w:val="22"/>
              </w:rPr>
              <w:t>PNUD : US$ 400,000</w:t>
            </w:r>
          </w:p>
          <w:p w:rsidR="00FD05DA" w:rsidRPr="00FD05DA" w:rsidRDefault="00FD05DA" w:rsidP="00165525">
            <w:pPr>
              <w:pStyle w:val="H2"/>
              <w:tabs>
                <w:tab w:val="left" w:pos="2934"/>
              </w:tabs>
              <w:spacing w:before="120"/>
              <w:rPr>
                <w:rFonts w:cs="Times New Roman"/>
                <w:szCs w:val="22"/>
                <w:lang w:val="fr-FR"/>
              </w:rPr>
            </w:pPr>
            <w:r w:rsidRPr="00FD05DA">
              <w:rPr>
                <w:rFonts w:cs="Times New Roman"/>
                <w:szCs w:val="22"/>
                <w:lang w:val="fr-FR"/>
              </w:rPr>
              <w:t xml:space="preserve">Contribution du Gouvernement: </w:t>
            </w:r>
          </w:p>
          <w:p w:rsidR="00FD05DA" w:rsidRPr="00FD05DA" w:rsidRDefault="00FD05DA" w:rsidP="00FD05DA">
            <w:pPr>
              <w:pStyle w:val="H2"/>
              <w:numPr>
                <w:ilvl w:val="0"/>
                <w:numId w:val="8"/>
              </w:numPr>
              <w:spacing w:after="120"/>
              <w:ind w:left="162" w:hanging="162"/>
              <w:rPr>
                <w:rFonts w:cs="Times New Roman"/>
                <w:b w:val="0"/>
                <w:szCs w:val="22"/>
                <w:lang w:val="fr-FR"/>
              </w:rPr>
            </w:pPr>
            <w:r w:rsidRPr="00FD05DA">
              <w:rPr>
                <w:rFonts w:cs="Times New Roman"/>
                <w:b w:val="0"/>
                <w:szCs w:val="22"/>
                <w:lang w:val="fr-FR"/>
              </w:rPr>
              <w:t xml:space="preserve">   MPCE : US</w:t>
            </w:r>
            <w:r w:rsidRPr="00FD05DA">
              <w:rPr>
                <w:rFonts w:cs="Times New Roman"/>
                <w:b w:val="0"/>
                <w:color w:val="000000"/>
                <w:szCs w:val="22"/>
              </w:rPr>
              <w:t xml:space="preserve">$ </w:t>
            </w:r>
            <w:r w:rsidRPr="00FD05DA">
              <w:rPr>
                <w:rFonts w:cs="Times New Roman"/>
                <w:b w:val="0"/>
                <w:bCs w:val="0"/>
                <w:color w:val="000000"/>
                <w:szCs w:val="22"/>
                <w:lang w:val="fr-CA"/>
              </w:rPr>
              <w:t>5, 871,000</w:t>
            </w:r>
          </w:p>
          <w:p w:rsidR="00FD05DA" w:rsidRPr="00FD05DA" w:rsidRDefault="00FD05DA" w:rsidP="00165525">
            <w:pPr>
              <w:pStyle w:val="BodyText"/>
              <w:rPr>
                <w:rFonts w:ascii="Times New Roman" w:hAnsi="Times New Roman" w:cs="Times New Roman"/>
                <w:b/>
                <w:bCs/>
                <w:iCs/>
                <w:sz w:val="22"/>
                <w:szCs w:val="22"/>
                <w:lang w:val="fr-FR"/>
              </w:rPr>
            </w:pPr>
            <w:r w:rsidRPr="00FD05DA">
              <w:rPr>
                <w:rFonts w:ascii="Times New Roman" w:hAnsi="Times New Roman" w:cs="Times New Roman"/>
                <w:b/>
                <w:bCs/>
                <w:iCs/>
                <w:sz w:val="22"/>
                <w:szCs w:val="22"/>
                <w:lang w:val="fr-FR"/>
              </w:rPr>
              <w:t>Autres Contributions [donateur(s)]:</w:t>
            </w:r>
          </w:p>
          <w:p w:rsidR="00FD05DA" w:rsidRPr="00FD05DA" w:rsidRDefault="00FD05DA" w:rsidP="00FD05DA">
            <w:pPr>
              <w:pStyle w:val="H2"/>
              <w:numPr>
                <w:ilvl w:val="0"/>
                <w:numId w:val="8"/>
              </w:numPr>
              <w:spacing w:after="120"/>
              <w:ind w:left="162" w:hanging="162"/>
              <w:rPr>
                <w:rFonts w:cs="Times New Roman"/>
                <w:b w:val="0"/>
                <w:i/>
                <w:szCs w:val="22"/>
                <w:lang w:val="fr-FR"/>
              </w:rPr>
            </w:pPr>
            <w:r w:rsidRPr="00FD05DA">
              <w:rPr>
                <w:rFonts w:cs="Times New Roman"/>
                <w:b w:val="0"/>
                <w:i/>
                <w:szCs w:val="22"/>
                <w:lang w:val="fr-FR"/>
              </w:rPr>
              <w:t>(le cas échéant)</w:t>
            </w:r>
          </w:p>
          <w:p w:rsidR="00FD05DA" w:rsidRPr="00FD05DA" w:rsidRDefault="00FD05DA" w:rsidP="00165525">
            <w:pPr>
              <w:pStyle w:val="H2"/>
              <w:rPr>
                <w:rFonts w:cs="Times New Roman"/>
                <w:color w:val="000000"/>
                <w:szCs w:val="22"/>
                <w:lang w:val="fr-FR"/>
              </w:rPr>
            </w:pPr>
            <w:r w:rsidRPr="00FD05DA">
              <w:rPr>
                <w:rFonts w:cs="Times New Roman"/>
                <w:szCs w:val="22"/>
              </w:rPr>
              <w:t xml:space="preserve">TOTAL: </w:t>
            </w:r>
            <w:r w:rsidRPr="00FD05DA">
              <w:rPr>
                <w:rFonts w:cs="Times New Roman"/>
                <w:bCs w:val="0"/>
                <w:iCs w:val="0"/>
                <w:szCs w:val="22"/>
                <w:lang w:val="fr-FR"/>
              </w:rPr>
              <w:t xml:space="preserve">US$ </w:t>
            </w:r>
            <w:r w:rsidRPr="00FD05DA">
              <w:rPr>
                <w:rFonts w:cs="Times New Roman"/>
                <w:szCs w:val="22"/>
                <w:lang w:val="fr-FR"/>
              </w:rPr>
              <w:t>30,941,000</w:t>
            </w:r>
          </w:p>
        </w:tc>
        <w:tc>
          <w:tcPr>
            <w:tcW w:w="360" w:type="dxa"/>
            <w:tcBorders>
              <w:top w:val="nil"/>
              <w:bottom w:val="nil"/>
            </w:tcBorders>
          </w:tcPr>
          <w:p w:rsidR="00FD05DA" w:rsidRPr="00733AD0" w:rsidRDefault="00FD05DA" w:rsidP="00165525">
            <w:pPr>
              <w:pStyle w:val="BodyText"/>
              <w:spacing w:before="120" w:after="120"/>
              <w:rPr>
                <w:rFonts w:ascii="Times New Roman" w:hAnsi="Times New Roman" w:cs="Times New Roman"/>
                <w:sz w:val="22"/>
                <w:szCs w:val="22"/>
                <w:lang w:val="fr-FR"/>
              </w:rPr>
            </w:pPr>
          </w:p>
        </w:tc>
        <w:tc>
          <w:tcPr>
            <w:tcW w:w="5040" w:type="dxa"/>
            <w:vMerge w:val="restart"/>
            <w:tcBorders>
              <w:top w:val="nil"/>
            </w:tcBorders>
            <w:vAlign w:val="center"/>
          </w:tcPr>
          <w:p w:rsidR="00FD05DA" w:rsidRPr="00733AD0" w:rsidRDefault="00FD05DA" w:rsidP="00165525">
            <w:pPr>
              <w:rPr>
                <w:sz w:val="22"/>
                <w:szCs w:val="22"/>
                <w:lang w:val="fr-FR"/>
              </w:rPr>
            </w:pPr>
            <w:r w:rsidRPr="00733AD0">
              <w:rPr>
                <w:sz w:val="22"/>
                <w:szCs w:val="22"/>
                <w:lang w:val="fr-FR"/>
              </w:rPr>
              <w:t xml:space="preserve">Durée totale (mois): 36 mois </w:t>
            </w:r>
          </w:p>
          <w:p w:rsidR="00FD05DA" w:rsidRPr="00733AD0" w:rsidRDefault="00FD05DA" w:rsidP="00165525">
            <w:pPr>
              <w:pStyle w:val="BodyText"/>
              <w:rPr>
                <w:rFonts w:ascii="Times New Roman" w:hAnsi="Times New Roman" w:cs="Times New Roman"/>
                <w:sz w:val="22"/>
                <w:szCs w:val="22"/>
                <w:lang w:val="fr-FR"/>
              </w:rPr>
            </w:pPr>
          </w:p>
          <w:p w:rsidR="00FD05DA" w:rsidRPr="00733AD0" w:rsidRDefault="00FD05DA" w:rsidP="00165525">
            <w:pPr>
              <w:pStyle w:val="BodyText"/>
              <w:rPr>
                <w:rFonts w:ascii="Times New Roman" w:hAnsi="Times New Roman" w:cs="Times New Roman"/>
                <w:sz w:val="22"/>
                <w:szCs w:val="22"/>
                <w:lang w:val="fr-FR"/>
              </w:rPr>
            </w:pPr>
            <w:r w:rsidRPr="00733AD0">
              <w:rPr>
                <w:rFonts w:ascii="Times New Roman" w:hAnsi="Times New Roman" w:cs="Times New Roman"/>
                <w:sz w:val="22"/>
                <w:szCs w:val="22"/>
                <w:lang w:val="fr-FR"/>
              </w:rPr>
              <w:t>Date de dé</w:t>
            </w:r>
            <w:r w:rsidR="001D2F1A" w:rsidRPr="00733AD0">
              <w:rPr>
                <w:rFonts w:ascii="Times New Roman" w:hAnsi="Times New Roman" w:cs="Times New Roman"/>
                <w:sz w:val="22"/>
                <w:szCs w:val="22"/>
                <w:lang w:val="fr-FR"/>
              </w:rPr>
              <w:t xml:space="preserve">marrage </w:t>
            </w:r>
            <w:r w:rsidRPr="00733AD0">
              <w:rPr>
                <w:rFonts w:ascii="Times New Roman" w:hAnsi="Times New Roman" w:cs="Times New Roman"/>
                <w:sz w:val="22"/>
                <w:szCs w:val="22"/>
                <w:lang w:val="fr-FR"/>
              </w:rPr>
              <w:t>: 01.08.2011</w:t>
            </w:r>
          </w:p>
          <w:p w:rsidR="00FD05DA" w:rsidRPr="00733AD0" w:rsidRDefault="00FD05DA" w:rsidP="00165525">
            <w:pPr>
              <w:rPr>
                <w:sz w:val="22"/>
                <w:szCs w:val="22"/>
                <w:lang w:val="fr-FR"/>
              </w:rPr>
            </w:pPr>
          </w:p>
          <w:p w:rsidR="00FD05DA" w:rsidRPr="00733AD0" w:rsidRDefault="00851CE5" w:rsidP="00165525">
            <w:pPr>
              <w:rPr>
                <w:sz w:val="22"/>
                <w:szCs w:val="22"/>
                <w:lang w:val="fr-FR"/>
              </w:rPr>
            </w:pPr>
            <w:r>
              <w:rPr>
                <w:sz w:val="22"/>
                <w:szCs w:val="22"/>
                <w:lang w:val="fr-FR"/>
              </w:rPr>
              <w:t>Date de clôture: 30.04.2015</w:t>
            </w:r>
          </w:p>
          <w:p w:rsidR="00FD05DA" w:rsidRPr="00733AD0" w:rsidRDefault="00FD05DA" w:rsidP="00165525">
            <w:pPr>
              <w:pStyle w:val="H2"/>
              <w:spacing w:after="120"/>
              <w:rPr>
                <w:rFonts w:cs="Times New Roman"/>
                <w:b w:val="0"/>
                <w:i/>
                <w:szCs w:val="22"/>
                <w:lang w:val="fr-FR"/>
              </w:rPr>
            </w:pPr>
            <w:r w:rsidRPr="00733AD0">
              <w:rPr>
                <w:rFonts w:cs="Times New Roman"/>
                <w:b w:val="0"/>
                <w:i/>
                <w:szCs w:val="22"/>
                <w:lang w:val="fr-FR"/>
              </w:rPr>
              <w:t>(ou date révisée, le cas échéant):</w:t>
            </w:r>
          </w:p>
          <w:p w:rsidR="00FD05DA" w:rsidRPr="00733AD0" w:rsidRDefault="00FD05DA" w:rsidP="00165525">
            <w:pPr>
              <w:rPr>
                <w:sz w:val="22"/>
                <w:szCs w:val="22"/>
                <w:lang w:val="fr-FR"/>
              </w:rPr>
            </w:pPr>
            <w:r w:rsidRPr="00733AD0">
              <w:rPr>
                <w:sz w:val="22"/>
                <w:szCs w:val="22"/>
                <w:lang w:val="fr-FR"/>
              </w:rPr>
              <w:t>Date de clôture opérationnelle:</w:t>
            </w:r>
          </w:p>
          <w:p w:rsidR="00FD05DA" w:rsidRPr="00733AD0" w:rsidRDefault="00FD05DA" w:rsidP="00165525">
            <w:pPr>
              <w:rPr>
                <w:sz w:val="22"/>
                <w:szCs w:val="22"/>
                <w:lang w:val="fr-FR"/>
              </w:rPr>
            </w:pPr>
          </w:p>
          <w:p w:rsidR="00FD05DA" w:rsidRPr="00733AD0" w:rsidRDefault="00FD05DA" w:rsidP="00851CE5">
            <w:pPr>
              <w:rPr>
                <w:sz w:val="22"/>
                <w:szCs w:val="22"/>
                <w:lang w:val="fr-FR"/>
              </w:rPr>
            </w:pPr>
            <w:r w:rsidRPr="00733AD0">
              <w:rPr>
                <w:sz w:val="22"/>
                <w:szCs w:val="22"/>
                <w:lang w:val="fr-FR"/>
              </w:rPr>
              <w:t xml:space="preserve">Date prévisionnelle de clôture financière : </w:t>
            </w:r>
          </w:p>
        </w:tc>
      </w:tr>
      <w:tr w:rsidR="00FD05DA" w:rsidRPr="004A058E" w:rsidTr="00165525">
        <w:trPr>
          <w:trHeight w:val="350"/>
        </w:trPr>
        <w:tc>
          <w:tcPr>
            <w:tcW w:w="5040" w:type="dxa"/>
            <w:vMerge/>
            <w:shd w:val="clear" w:color="auto" w:fill="FFFFFF"/>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spacing w:before="120" w:after="120"/>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r w:rsidR="00FD05DA" w:rsidRPr="004A058E" w:rsidTr="00165525">
        <w:trPr>
          <w:trHeight w:val="350"/>
        </w:trPr>
        <w:tc>
          <w:tcPr>
            <w:tcW w:w="5040" w:type="dxa"/>
            <w:vMerge/>
            <w:shd w:val="clear" w:color="auto" w:fill="FFFFFF"/>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r w:rsidR="00FD05DA" w:rsidRPr="004A058E" w:rsidTr="00165525">
        <w:trPr>
          <w:trHeight w:val="350"/>
        </w:trPr>
        <w:tc>
          <w:tcPr>
            <w:tcW w:w="5040" w:type="dxa"/>
            <w:vMerge/>
            <w:shd w:val="clear" w:color="auto" w:fill="FFFFFF"/>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r w:rsidR="00FD05DA" w:rsidRPr="004A058E" w:rsidTr="00165525">
        <w:trPr>
          <w:trHeight w:val="350"/>
        </w:trPr>
        <w:tc>
          <w:tcPr>
            <w:tcW w:w="5040" w:type="dxa"/>
            <w:vMerge/>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bl>
    <w:p w:rsidR="00FD05DA" w:rsidRPr="00FD05DA" w:rsidRDefault="00FD05DA" w:rsidP="003E2682">
      <w:pPr>
        <w:rPr>
          <w:b/>
          <w:bCs/>
          <w:caps/>
          <w:sz w:val="22"/>
          <w:szCs w:val="22"/>
          <w:lang w:val="fr-FR"/>
        </w:rPr>
      </w:pPr>
    </w:p>
    <w:tbl>
      <w:tblPr>
        <w:tblW w:w="10440" w:type="dxa"/>
        <w:tblInd w:w="-72" w:type="dxa"/>
        <w:tblLayout w:type="fixed"/>
        <w:tblLook w:val="01E0" w:firstRow="1" w:lastRow="1" w:firstColumn="1" w:lastColumn="1" w:noHBand="0" w:noVBand="0"/>
      </w:tblPr>
      <w:tblGrid>
        <w:gridCol w:w="5040"/>
        <w:gridCol w:w="360"/>
        <w:gridCol w:w="5040"/>
      </w:tblGrid>
      <w:tr w:rsidR="00FD05DA" w:rsidRPr="00FD05DA" w:rsidTr="00165525">
        <w:trPr>
          <w:trHeight w:val="377"/>
        </w:trPr>
        <w:tc>
          <w:tcPr>
            <w:tcW w:w="5040" w:type="dxa"/>
            <w:tcBorders>
              <w:top w:val="single" w:sz="4" w:space="0" w:color="auto"/>
              <w:left w:val="single" w:sz="4" w:space="0" w:color="auto"/>
              <w:right w:val="single" w:sz="4" w:space="0" w:color="auto"/>
            </w:tcBorders>
            <w:shd w:val="clear" w:color="auto" w:fill="F3F3F3"/>
          </w:tcPr>
          <w:p w:rsidR="00FD05DA" w:rsidRPr="00FD05DA" w:rsidRDefault="00FD05DA" w:rsidP="00165525">
            <w:pPr>
              <w:pStyle w:val="H1"/>
              <w:ind w:right="-288"/>
              <w:jc w:val="center"/>
              <w:rPr>
                <w:rFonts w:cs="Times New Roman"/>
                <w:sz w:val="22"/>
                <w:szCs w:val="22"/>
                <w:lang w:val="fr-FR"/>
              </w:rPr>
            </w:pPr>
            <w:r w:rsidRPr="00FD05DA">
              <w:rPr>
                <w:rFonts w:cs="Times New Roman"/>
                <w:bCs w:val="0"/>
                <w:iCs/>
                <w:sz w:val="22"/>
                <w:szCs w:val="22"/>
                <w:lang w:val="fr-FR"/>
              </w:rPr>
              <w:t>Evaluation du Programme</w:t>
            </w:r>
          </w:p>
        </w:tc>
        <w:tc>
          <w:tcPr>
            <w:tcW w:w="360" w:type="dxa"/>
            <w:vMerge w:val="restart"/>
            <w:tcBorders>
              <w:left w:val="single" w:sz="4" w:space="0" w:color="auto"/>
              <w:right w:val="single" w:sz="4" w:space="0" w:color="auto"/>
            </w:tcBorders>
          </w:tcPr>
          <w:p w:rsidR="00FD05DA" w:rsidRPr="00FD05DA" w:rsidRDefault="00FD05DA" w:rsidP="00165525">
            <w:pPr>
              <w:rPr>
                <w:sz w:val="22"/>
                <w:szCs w:val="22"/>
                <w:lang w:val="fr-FR"/>
              </w:rPr>
            </w:pPr>
          </w:p>
        </w:tc>
        <w:tc>
          <w:tcPr>
            <w:tcW w:w="5040" w:type="dxa"/>
            <w:tcBorders>
              <w:top w:val="single" w:sz="4" w:space="0" w:color="auto"/>
              <w:left w:val="single" w:sz="4" w:space="0" w:color="auto"/>
              <w:right w:val="single" w:sz="4" w:space="0" w:color="auto"/>
            </w:tcBorders>
            <w:shd w:val="clear" w:color="auto" w:fill="F3F3F3"/>
          </w:tcPr>
          <w:p w:rsidR="00FD05DA" w:rsidRPr="00FD05DA" w:rsidRDefault="00FD05DA" w:rsidP="00165525">
            <w:pPr>
              <w:pStyle w:val="H1"/>
              <w:jc w:val="center"/>
              <w:rPr>
                <w:rFonts w:cs="Times New Roman"/>
                <w:sz w:val="22"/>
                <w:szCs w:val="22"/>
              </w:rPr>
            </w:pPr>
            <w:proofErr w:type="spellStart"/>
            <w:r w:rsidRPr="00FD05DA">
              <w:rPr>
                <w:rFonts w:cs="Times New Roman"/>
                <w:bCs w:val="0"/>
                <w:sz w:val="22"/>
                <w:szCs w:val="22"/>
              </w:rPr>
              <w:t>Soumis</w:t>
            </w:r>
            <w:proofErr w:type="spellEnd"/>
            <w:r w:rsidRPr="00FD05DA">
              <w:rPr>
                <w:rFonts w:cs="Times New Roman"/>
                <w:bCs w:val="0"/>
                <w:sz w:val="22"/>
                <w:szCs w:val="22"/>
              </w:rPr>
              <w:t xml:space="preserve"> par:</w:t>
            </w:r>
          </w:p>
        </w:tc>
      </w:tr>
      <w:tr w:rsidR="00FD05DA" w:rsidRPr="004A058E" w:rsidTr="00165525">
        <w:trPr>
          <w:trHeight w:val="495"/>
        </w:trPr>
        <w:tc>
          <w:tcPr>
            <w:tcW w:w="5040" w:type="dxa"/>
            <w:tcBorders>
              <w:left w:val="single" w:sz="4" w:space="0" w:color="auto"/>
              <w:bottom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r w:rsidRPr="00FD05DA">
              <w:rPr>
                <w:rFonts w:ascii="Times New Roman" w:hAnsi="Times New Roman" w:cs="Times New Roman"/>
                <w:sz w:val="22"/>
                <w:szCs w:val="22"/>
                <w:lang w:val="fr-FR"/>
              </w:rPr>
              <w:t xml:space="preserve">Evaluation  – </w:t>
            </w:r>
            <w:r w:rsidRPr="00FD05DA">
              <w:rPr>
                <w:rFonts w:ascii="Times New Roman" w:hAnsi="Times New Roman" w:cs="Times New Roman"/>
                <w:bCs/>
                <w:i/>
                <w:iCs/>
                <w:sz w:val="22"/>
                <w:szCs w:val="22"/>
                <w:lang w:val="fr-FR"/>
              </w:rPr>
              <w:t xml:space="preserve">(à joindre le cas échéant) </w:t>
            </w:r>
          </w:p>
          <w:p w:rsidR="00FD05DA" w:rsidRPr="00FD05DA" w:rsidRDefault="00EA24FA" w:rsidP="00165525">
            <w:pPr>
              <w:pStyle w:val="BodyText"/>
              <w:rPr>
                <w:rFonts w:ascii="Times New Roman" w:hAnsi="Times New Roman" w:cs="Times New Roman"/>
                <w:sz w:val="22"/>
                <w:szCs w:val="22"/>
                <w:lang w:val="fr-FR"/>
              </w:rPr>
            </w:pPr>
            <w:r>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17145</wp:posOffset>
                      </wp:positionV>
                      <wp:extent cx="90805" cy="90805"/>
                      <wp:effectExtent l="0" t="0" r="4445"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uGQIAADk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"/>
                  </w:pict>
                </mc:Fallback>
              </mc:AlternateContent>
            </w:r>
            <w:r w:rsidR="00FD05DA" w:rsidRPr="00FD05DA">
              <w:rPr>
                <w:rFonts w:ascii="Times New Roman" w:hAnsi="Times New Roman" w:cs="Times New Roman"/>
                <w:sz w:val="22"/>
                <w:szCs w:val="22"/>
                <w:lang w:val="fr-FR"/>
              </w:rPr>
              <w:t xml:space="preserve">     Oui    X    Non    Date : </w:t>
            </w:r>
            <w:proofErr w:type="spellStart"/>
            <w:r w:rsidR="00FD05DA" w:rsidRPr="00FD05DA">
              <w:rPr>
                <w:rFonts w:ascii="Times New Roman" w:hAnsi="Times New Roman" w:cs="Times New Roman"/>
                <w:sz w:val="22"/>
                <w:szCs w:val="22"/>
                <w:lang w:val="fr-FR"/>
              </w:rPr>
              <w:t>dd.mm.yyyy</w:t>
            </w:r>
            <w:proofErr w:type="spellEnd"/>
            <w:r w:rsidR="00FD05DA" w:rsidRPr="00FD05DA">
              <w:rPr>
                <w:rFonts w:ascii="Times New Roman" w:hAnsi="Times New Roman" w:cs="Times New Roman"/>
                <w:sz w:val="22"/>
                <w:szCs w:val="22"/>
                <w:lang w:val="fr-FR"/>
              </w:rPr>
              <w:t>)</w:t>
            </w:r>
          </w:p>
          <w:p w:rsidR="00FD05DA" w:rsidRPr="00FD05DA" w:rsidRDefault="00FD05DA" w:rsidP="00165525">
            <w:pPr>
              <w:pStyle w:val="BodyText"/>
              <w:rPr>
                <w:rFonts w:ascii="Times New Roman" w:hAnsi="Times New Roman" w:cs="Times New Roman"/>
                <w:bCs/>
                <w:i/>
                <w:iCs/>
                <w:sz w:val="22"/>
                <w:szCs w:val="22"/>
                <w:lang w:val="fr-FR"/>
              </w:rPr>
            </w:pPr>
            <w:r w:rsidRPr="00FD05DA">
              <w:rPr>
                <w:rFonts w:ascii="Times New Roman" w:hAnsi="Times New Roman" w:cs="Times New Roman"/>
                <w:sz w:val="22"/>
                <w:szCs w:val="22"/>
                <w:lang w:val="fr-FR"/>
              </w:rPr>
              <w:t xml:space="preserve">Evaluation à mi-parcours </w:t>
            </w:r>
            <w:r w:rsidRPr="00FD05DA">
              <w:rPr>
                <w:rFonts w:ascii="Times New Roman" w:hAnsi="Times New Roman" w:cs="Times New Roman"/>
                <w:bCs/>
                <w:i/>
                <w:iCs/>
                <w:sz w:val="22"/>
                <w:szCs w:val="22"/>
                <w:lang w:val="fr-FR"/>
              </w:rPr>
              <w:t>– (à joindre le cas échéant)</w:t>
            </w:r>
          </w:p>
          <w:p w:rsidR="00FD05DA" w:rsidRPr="00FD05DA" w:rsidRDefault="008744E8" w:rsidP="008744E8">
            <w:pPr>
              <w:pStyle w:val="BodyText"/>
              <w:rPr>
                <w:rFonts w:ascii="Times New Roman" w:hAnsi="Times New Roman" w:cs="Times New Roman"/>
                <w:sz w:val="22"/>
                <w:szCs w:val="22"/>
                <w:lang w:val="fr-FR"/>
              </w:rPr>
            </w:pPr>
            <w:r>
              <w:rPr>
                <w:rFonts w:ascii="Times New Roman" w:hAnsi="Times New Roman" w:cs="Times New Roman"/>
                <w:noProof/>
                <w:sz w:val="22"/>
                <w:szCs w:val="22"/>
              </w:rPr>
              <mc:AlternateContent>
                <mc:Choice Requires="wps">
                  <w:drawing>
                    <wp:anchor distT="0" distB="0" distL="114300" distR="114300" simplePos="0" relativeHeight="251659776" behindDoc="0" locked="0" layoutInCell="1" allowOverlap="1" wp14:anchorId="2AC08C73" wp14:editId="37D8D2BF">
                      <wp:simplePos x="0" y="0"/>
                      <wp:positionH relativeFrom="column">
                        <wp:posOffset>538216</wp:posOffset>
                      </wp:positionH>
                      <wp:positionV relativeFrom="paragraph">
                        <wp:posOffset>13970</wp:posOffset>
                      </wp:positionV>
                      <wp:extent cx="90805" cy="90805"/>
                      <wp:effectExtent l="0" t="0" r="23495" b="2349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4pt;margin-top:1.1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"/>
                  </w:pict>
                </mc:Fallback>
              </mc:AlternateContent>
            </w:r>
            <w:r>
              <w:rPr>
                <w:rFonts w:ascii="Times New Roman" w:hAnsi="Times New Roman" w:cs="Times New Roman"/>
                <w:sz w:val="22"/>
                <w:szCs w:val="22"/>
                <w:lang w:val="fr-FR"/>
              </w:rPr>
              <w:t>X</w:t>
            </w:r>
            <w:r w:rsidR="00FD05DA" w:rsidRPr="00FD05DA">
              <w:rPr>
                <w:rFonts w:ascii="Times New Roman" w:hAnsi="Times New Roman" w:cs="Times New Roman"/>
                <w:sz w:val="22"/>
                <w:szCs w:val="22"/>
                <w:lang w:val="fr-FR"/>
              </w:rPr>
              <w:t xml:space="preserve">    Oui     </w:t>
            </w:r>
            <w:r>
              <w:rPr>
                <w:rFonts w:ascii="Times New Roman" w:hAnsi="Times New Roman" w:cs="Times New Roman"/>
                <w:sz w:val="22"/>
                <w:szCs w:val="22"/>
                <w:lang w:val="fr-FR"/>
              </w:rPr>
              <w:t xml:space="preserve">   Non    Date: _ (10-12-2014</w:t>
            </w:r>
            <w:r w:rsidR="00FD05DA" w:rsidRPr="00FD05DA">
              <w:rPr>
                <w:rFonts w:ascii="Times New Roman" w:hAnsi="Times New Roman" w:cs="Times New Roman"/>
                <w:sz w:val="22"/>
                <w:szCs w:val="22"/>
                <w:lang w:val="fr-FR"/>
              </w:rPr>
              <w:t>):</w:t>
            </w: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left w:val="single" w:sz="4" w:space="0" w:color="auto"/>
              <w:bottom w:val="single" w:sz="4" w:space="0" w:color="auto"/>
              <w:right w:val="single" w:sz="4" w:space="0" w:color="auto"/>
            </w:tcBorders>
          </w:tcPr>
          <w:p w:rsidR="00FD05DA" w:rsidRPr="00FD05DA" w:rsidRDefault="00FD05DA" w:rsidP="00FD05DA">
            <w:pPr>
              <w:numPr>
                <w:ilvl w:val="0"/>
                <w:numId w:val="10"/>
              </w:numPr>
              <w:ind w:left="342"/>
              <w:rPr>
                <w:sz w:val="22"/>
                <w:szCs w:val="22"/>
                <w:lang w:val="fr-FR"/>
              </w:rPr>
            </w:pPr>
            <w:r w:rsidRPr="00FD05DA">
              <w:rPr>
                <w:sz w:val="22"/>
                <w:szCs w:val="22"/>
                <w:lang w:val="fr-FR"/>
              </w:rPr>
              <w:t xml:space="preserve">Nom: </w:t>
            </w:r>
            <w:r w:rsidR="00B95832">
              <w:rPr>
                <w:sz w:val="22"/>
                <w:szCs w:val="22"/>
                <w:lang w:val="fr-FR"/>
              </w:rPr>
              <w:t>Sergio Blanco</w:t>
            </w:r>
          </w:p>
          <w:p w:rsidR="00FD05DA" w:rsidRPr="00FD05DA" w:rsidRDefault="00FD05DA" w:rsidP="00FD05DA">
            <w:pPr>
              <w:numPr>
                <w:ilvl w:val="0"/>
                <w:numId w:val="10"/>
              </w:numPr>
              <w:ind w:left="342"/>
              <w:rPr>
                <w:sz w:val="22"/>
                <w:szCs w:val="22"/>
                <w:lang w:val="fr-FR"/>
              </w:rPr>
            </w:pPr>
            <w:r w:rsidRPr="00FD05DA">
              <w:rPr>
                <w:sz w:val="22"/>
                <w:szCs w:val="22"/>
                <w:lang w:val="fr-FR"/>
              </w:rPr>
              <w:t xml:space="preserve">Titre: </w:t>
            </w:r>
            <w:r w:rsidR="00B95832">
              <w:rPr>
                <w:sz w:val="22"/>
                <w:szCs w:val="22"/>
                <w:lang w:val="fr-FR"/>
              </w:rPr>
              <w:t>Coordonnateur du</w:t>
            </w:r>
            <w:r w:rsidR="00A50B53">
              <w:rPr>
                <w:sz w:val="22"/>
                <w:szCs w:val="22"/>
                <w:lang w:val="fr-FR"/>
              </w:rPr>
              <w:t xml:space="preserve"> Programme</w:t>
            </w:r>
          </w:p>
          <w:p w:rsidR="00FD05DA" w:rsidRPr="00FD05DA" w:rsidRDefault="00A50B53" w:rsidP="00FD05DA">
            <w:pPr>
              <w:numPr>
                <w:ilvl w:val="0"/>
                <w:numId w:val="10"/>
              </w:numPr>
              <w:ind w:left="342"/>
              <w:rPr>
                <w:sz w:val="22"/>
                <w:szCs w:val="22"/>
                <w:lang w:val="fr-FR"/>
              </w:rPr>
            </w:pPr>
            <w:proofErr w:type="spellStart"/>
            <w:r>
              <w:rPr>
                <w:sz w:val="22"/>
                <w:szCs w:val="22"/>
                <w:lang w:val="fr-FR"/>
              </w:rPr>
              <w:t>Org</w:t>
            </w:r>
            <w:proofErr w:type="spellEnd"/>
            <w:r>
              <w:rPr>
                <w:sz w:val="22"/>
                <w:szCs w:val="22"/>
                <w:lang w:val="fr-FR"/>
              </w:rPr>
              <w:t>.</w:t>
            </w:r>
            <w:r w:rsidR="00FD05DA" w:rsidRPr="00FD05DA">
              <w:rPr>
                <w:sz w:val="22"/>
                <w:szCs w:val="22"/>
                <w:lang w:val="fr-FR"/>
              </w:rPr>
              <w:t xml:space="preserve"> participante (“Lead Agency”): </w:t>
            </w:r>
            <w:r>
              <w:rPr>
                <w:sz w:val="22"/>
                <w:szCs w:val="22"/>
                <w:lang w:val="fr-FR"/>
              </w:rPr>
              <w:t>ONU-Habitat</w:t>
            </w:r>
          </w:p>
          <w:p w:rsidR="00FD05DA" w:rsidRPr="00B95832" w:rsidRDefault="00FD05DA" w:rsidP="00B95832">
            <w:pPr>
              <w:pStyle w:val="BodyText"/>
              <w:numPr>
                <w:ilvl w:val="0"/>
                <w:numId w:val="10"/>
              </w:numPr>
              <w:spacing w:after="120"/>
              <w:ind w:left="342"/>
              <w:jc w:val="both"/>
              <w:rPr>
                <w:rFonts w:ascii="Times New Roman" w:hAnsi="Times New Roman" w:cs="Times New Roman"/>
                <w:sz w:val="22"/>
                <w:szCs w:val="22"/>
                <w:lang w:val="pt-BR"/>
              </w:rPr>
            </w:pPr>
            <w:r w:rsidRPr="00B95832">
              <w:rPr>
                <w:rFonts w:ascii="Times New Roman" w:hAnsi="Times New Roman" w:cs="Times New Roman"/>
                <w:sz w:val="22"/>
                <w:szCs w:val="22"/>
                <w:lang w:val="pt-BR"/>
              </w:rPr>
              <w:t>Adre</w:t>
            </w:r>
            <w:r w:rsidR="00A50B53" w:rsidRPr="00B95832">
              <w:rPr>
                <w:rFonts w:ascii="Times New Roman" w:hAnsi="Times New Roman" w:cs="Times New Roman"/>
                <w:sz w:val="22"/>
                <w:szCs w:val="22"/>
                <w:lang w:val="pt-BR"/>
              </w:rPr>
              <w:t xml:space="preserve">sse e-mail: </w:t>
            </w:r>
            <w:r w:rsidR="00B95832" w:rsidRPr="00B95832">
              <w:rPr>
                <w:rFonts w:ascii="Times New Roman" w:hAnsi="Times New Roman" w:cs="Times New Roman"/>
                <w:sz w:val="22"/>
                <w:szCs w:val="22"/>
                <w:lang w:val="pt-BR"/>
              </w:rPr>
              <w:t>sergio.blanco</w:t>
            </w:r>
            <w:r w:rsidR="00A50B53" w:rsidRPr="00B95832">
              <w:rPr>
                <w:rFonts w:ascii="Times New Roman" w:hAnsi="Times New Roman" w:cs="Times New Roman"/>
                <w:sz w:val="22"/>
                <w:szCs w:val="22"/>
                <w:lang w:val="pt-BR"/>
              </w:rPr>
              <w:t>@onuhabitat.org</w:t>
            </w:r>
          </w:p>
        </w:tc>
      </w:tr>
    </w:tbl>
    <w:p w:rsidR="00311774" w:rsidRPr="00040C93" w:rsidRDefault="003E2682" w:rsidP="00EA455F">
      <w:pPr>
        <w:rPr>
          <w:u w:val="single"/>
          <w:lang w:val="fr-FR"/>
        </w:rPr>
      </w:pPr>
      <w:r w:rsidRPr="00072964">
        <w:rPr>
          <w:b/>
          <w:bCs/>
          <w:caps/>
          <w:lang w:val="fr-FR"/>
        </w:rPr>
        <w:br w:type="page"/>
      </w:r>
      <w:bookmarkStart w:id="0" w:name="_Toc249364482"/>
      <w:r w:rsidR="00311774" w:rsidRPr="00040C93">
        <w:rPr>
          <w:u w:val="single"/>
          <w:lang w:val="fr-FR"/>
        </w:rPr>
        <w:lastRenderedPageBreak/>
        <w:t>RAPPORT NARRATIF</w:t>
      </w:r>
    </w:p>
    <w:p w:rsidR="00311774" w:rsidRPr="00040C93" w:rsidRDefault="00311774" w:rsidP="00311774">
      <w:pPr>
        <w:rPr>
          <w:sz w:val="16"/>
          <w:lang w:val="fr-FR"/>
        </w:rPr>
      </w:pPr>
    </w:p>
    <w:p w:rsidR="00560307" w:rsidRPr="008B65E2" w:rsidRDefault="004C14C0" w:rsidP="00560307">
      <w:pPr>
        <w:pStyle w:val="Heading1"/>
        <w:tabs>
          <w:tab w:val="left" w:pos="360"/>
        </w:tabs>
        <w:ind w:left="0"/>
        <w:jc w:val="left"/>
        <w:rPr>
          <w:rFonts w:ascii="Times New Roman" w:hAnsi="Times New Roman"/>
          <w:sz w:val="24"/>
          <w:szCs w:val="24"/>
          <w:lang w:val="fr-FR"/>
        </w:rPr>
      </w:pPr>
      <w:r w:rsidRPr="008B65E2">
        <w:rPr>
          <w:rFonts w:ascii="Times New Roman" w:hAnsi="Times New Roman"/>
          <w:sz w:val="24"/>
          <w:szCs w:val="24"/>
          <w:lang w:val="fr-FR"/>
        </w:rPr>
        <w:t>Résumé</w:t>
      </w:r>
    </w:p>
    <w:p w:rsidR="004C14C0" w:rsidRPr="004C14C0" w:rsidRDefault="004C14C0" w:rsidP="004C14C0">
      <w:pPr>
        <w:rPr>
          <w:lang w:val="fr-FR" w:eastAsia="x-none"/>
        </w:rPr>
      </w:pPr>
    </w:p>
    <w:p w:rsidR="000D7355" w:rsidRPr="000D7355" w:rsidRDefault="000D7355" w:rsidP="00560307">
      <w:pPr>
        <w:jc w:val="both"/>
        <w:rPr>
          <w:lang w:val="fr-FR" w:eastAsia="x-none"/>
        </w:rPr>
      </w:pPr>
      <w:r w:rsidRPr="000D7355">
        <w:rPr>
          <w:lang w:val="fr-FR" w:eastAsia="x-none"/>
        </w:rPr>
        <w:t>Après</w:t>
      </w:r>
      <w:r w:rsidR="00ED0EE2" w:rsidRPr="000D7355">
        <w:rPr>
          <w:lang w:val="fr-FR" w:eastAsia="x-none"/>
        </w:rPr>
        <w:t xml:space="preserve"> </w:t>
      </w:r>
      <w:r w:rsidR="00D01AFA" w:rsidRPr="000D7355">
        <w:rPr>
          <w:lang w:val="fr-FR" w:eastAsia="x-none"/>
        </w:rPr>
        <w:t>une première phase du Programme orientée vers le renforcement de</w:t>
      </w:r>
      <w:r w:rsidR="007B7DE6" w:rsidRPr="000D7355">
        <w:rPr>
          <w:lang w:val="fr-FR" w:eastAsia="x-none"/>
        </w:rPr>
        <w:t>s</w:t>
      </w:r>
      <w:r w:rsidR="00D01AFA" w:rsidRPr="000D7355">
        <w:rPr>
          <w:lang w:val="fr-FR" w:eastAsia="x-none"/>
        </w:rPr>
        <w:t xml:space="preserve"> </w:t>
      </w:r>
      <w:r w:rsidR="007B7DE6" w:rsidRPr="000D7355">
        <w:rPr>
          <w:lang w:val="fr-FR" w:eastAsia="x-none"/>
        </w:rPr>
        <w:t>capacités</w:t>
      </w:r>
      <w:r w:rsidR="00D01AFA" w:rsidRPr="000D7355">
        <w:rPr>
          <w:lang w:val="fr-FR" w:eastAsia="x-none"/>
        </w:rPr>
        <w:t xml:space="preserve"> des </w:t>
      </w:r>
      <w:r w:rsidR="007B7DE6" w:rsidRPr="000D7355">
        <w:rPr>
          <w:lang w:val="fr-FR" w:eastAsia="x-none"/>
        </w:rPr>
        <w:t xml:space="preserve">institutions publiques </w:t>
      </w:r>
      <w:r w:rsidR="00D01AFA" w:rsidRPr="000D7355">
        <w:rPr>
          <w:lang w:val="fr-FR" w:eastAsia="x-none"/>
        </w:rPr>
        <w:t>partenaire</w:t>
      </w:r>
      <w:r w:rsidR="007B7DE6" w:rsidRPr="000D7355">
        <w:rPr>
          <w:lang w:val="fr-FR" w:eastAsia="x-none"/>
        </w:rPr>
        <w:t xml:space="preserve">s </w:t>
      </w:r>
      <w:r w:rsidR="00D01AFA" w:rsidRPr="000D7355">
        <w:rPr>
          <w:lang w:val="fr-FR" w:eastAsia="x-none"/>
        </w:rPr>
        <w:t>et le développement</w:t>
      </w:r>
      <w:r w:rsidR="00ED0EE2" w:rsidRPr="000D7355">
        <w:rPr>
          <w:lang w:val="fr-FR" w:eastAsia="x-none"/>
        </w:rPr>
        <w:t xml:space="preserve"> </w:t>
      </w:r>
      <w:r w:rsidR="00D01AFA" w:rsidRPr="000D7355">
        <w:rPr>
          <w:lang w:val="fr-FR" w:eastAsia="x-none"/>
        </w:rPr>
        <w:t xml:space="preserve">des produits, outils et dispositifs </w:t>
      </w:r>
      <w:r w:rsidR="00ED0EE2" w:rsidRPr="000D7355">
        <w:rPr>
          <w:lang w:val="fr-FR" w:eastAsia="x-none"/>
        </w:rPr>
        <w:t xml:space="preserve">de </w:t>
      </w:r>
      <w:r w:rsidR="00D01AFA" w:rsidRPr="000D7355">
        <w:rPr>
          <w:lang w:val="fr-FR" w:eastAsia="x-none"/>
        </w:rPr>
        <w:t xml:space="preserve">ses quatre </w:t>
      </w:r>
      <w:r w:rsidR="00ED0EE2" w:rsidRPr="000D7355">
        <w:rPr>
          <w:lang w:val="fr-FR" w:eastAsia="x-none"/>
        </w:rPr>
        <w:t>composantes</w:t>
      </w:r>
      <w:r w:rsidR="007B7DE6" w:rsidRPr="000D7355">
        <w:rPr>
          <w:lang w:val="fr-FR" w:eastAsia="x-none"/>
        </w:rPr>
        <w:t xml:space="preserve">, l’année </w:t>
      </w:r>
      <w:r w:rsidR="00ED0EE2" w:rsidRPr="000D7355">
        <w:rPr>
          <w:lang w:val="fr-FR" w:eastAsia="x-none"/>
        </w:rPr>
        <w:t xml:space="preserve">2014 s‘est </w:t>
      </w:r>
      <w:r w:rsidR="007B7DE6" w:rsidRPr="000D7355">
        <w:rPr>
          <w:lang w:val="fr-FR" w:eastAsia="x-none"/>
        </w:rPr>
        <w:t xml:space="preserve">plutôt focalisé </w:t>
      </w:r>
      <w:r w:rsidR="008744E8">
        <w:rPr>
          <w:lang w:val="fr-FR" w:eastAsia="x-none"/>
        </w:rPr>
        <w:t>sur</w:t>
      </w:r>
      <w:r w:rsidR="007B7DE6" w:rsidRPr="000D7355">
        <w:rPr>
          <w:lang w:val="fr-FR" w:eastAsia="x-none"/>
        </w:rPr>
        <w:t xml:space="preserve"> leur opérationnalisation </w:t>
      </w:r>
      <w:r w:rsidR="009F1FEB">
        <w:rPr>
          <w:lang w:val="fr-FR" w:eastAsia="x-none"/>
        </w:rPr>
        <w:t xml:space="preserve">et la création des articulations nécessaires entre eux </w:t>
      </w:r>
      <w:r w:rsidRPr="000D7355">
        <w:rPr>
          <w:lang w:val="fr-FR" w:eastAsia="x-none"/>
        </w:rPr>
        <w:t xml:space="preserve">afin </w:t>
      </w:r>
      <w:r w:rsidRPr="009F1FEB">
        <w:rPr>
          <w:lang w:val="fr-FR" w:eastAsia="x-none"/>
        </w:rPr>
        <w:t>d</w:t>
      </w:r>
      <w:r w:rsidR="009F1FEB">
        <w:rPr>
          <w:lang w:val="fr-FR" w:eastAsia="x-none"/>
        </w:rPr>
        <w:t>e</w:t>
      </w:r>
      <w:r w:rsidRPr="000D7355">
        <w:rPr>
          <w:lang w:val="fr-FR" w:eastAsia="x-none"/>
        </w:rPr>
        <w:t xml:space="preserve"> </w:t>
      </w:r>
      <w:r w:rsidR="009F1FEB">
        <w:rPr>
          <w:lang w:val="fr-FR" w:eastAsia="x-none"/>
        </w:rPr>
        <w:t xml:space="preserve">composer </w:t>
      </w:r>
      <w:r w:rsidRPr="000D7355">
        <w:rPr>
          <w:lang w:val="fr-FR" w:eastAsia="x-none"/>
        </w:rPr>
        <w:t xml:space="preserve">une réponse effective </w:t>
      </w:r>
      <w:r w:rsidR="009F1FEB">
        <w:rPr>
          <w:lang w:val="fr-FR" w:eastAsia="x-none"/>
        </w:rPr>
        <w:t xml:space="preserve">et interinstitutionnelle </w:t>
      </w:r>
      <w:r w:rsidRPr="000D7355">
        <w:rPr>
          <w:lang w:val="fr-FR" w:eastAsia="x-none"/>
        </w:rPr>
        <w:t>aux besoins de la reconstruction et, dans le nouveau contexte de transition vers le développement, de la gestion urbaine et territorial</w:t>
      </w:r>
      <w:r w:rsidR="004A058E">
        <w:rPr>
          <w:lang w:val="fr-FR" w:eastAsia="x-none"/>
        </w:rPr>
        <w:t>e</w:t>
      </w:r>
      <w:r w:rsidRPr="000D7355">
        <w:rPr>
          <w:lang w:val="fr-FR" w:eastAsia="x-none"/>
        </w:rPr>
        <w:t>.</w:t>
      </w:r>
    </w:p>
    <w:p w:rsidR="00ED0EE2" w:rsidRDefault="00ED0EE2" w:rsidP="00560307">
      <w:pPr>
        <w:jc w:val="both"/>
        <w:rPr>
          <w:color w:val="FF0000"/>
          <w:lang w:val="fr-FR" w:eastAsia="x-none"/>
        </w:rPr>
      </w:pPr>
    </w:p>
    <w:p w:rsidR="00DE7C25" w:rsidRDefault="00E949A8" w:rsidP="00560307">
      <w:pPr>
        <w:jc w:val="both"/>
        <w:rPr>
          <w:lang w:val="fr-FR" w:eastAsia="x-none"/>
        </w:rPr>
      </w:pPr>
      <w:r>
        <w:rPr>
          <w:lang w:val="fr-FR" w:eastAsia="x-none"/>
        </w:rPr>
        <w:t>Dans le cadre de la composante 2, et s</w:t>
      </w:r>
      <w:r w:rsidR="00F74593">
        <w:rPr>
          <w:lang w:val="fr-FR" w:eastAsia="x-none"/>
        </w:rPr>
        <w:t xml:space="preserve">uite au travail de développement de la plateforme SILQ </w:t>
      </w:r>
      <w:r w:rsidR="00DE7C25">
        <w:rPr>
          <w:lang w:val="fr-FR" w:eastAsia="x-none"/>
        </w:rPr>
        <w:t>et d’</w:t>
      </w:r>
      <w:r w:rsidR="00D457FE">
        <w:rPr>
          <w:lang w:val="fr-FR" w:eastAsia="x-none"/>
        </w:rPr>
        <w:t>intégration</w:t>
      </w:r>
      <w:r w:rsidR="00DE7C25">
        <w:rPr>
          <w:lang w:val="fr-FR" w:eastAsia="x-none"/>
        </w:rPr>
        <w:t xml:space="preserve"> de </w:t>
      </w:r>
      <w:r w:rsidR="00D457FE">
        <w:rPr>
          <w:lang w:val="fr-FR" w:eastAsia="x-none"/>
        </w:rPr>
        <w:t>données</w:t>
      </w:r>
      <w:r w:rsidR="00DE7C25">
        <w:rPr>
          <w:lang w:val="fr-FR" w:eastAsia="x-none"/>
        </w:rPr>
        <w:t xml:space="preserve"> produits par la composante 1 </w:t>
      </w:r>
      <w:r w:rsidR="00F74593">
        <w:rPr>
          <w:lang w:val="fr-FR" w:eastAsia="x-none"/>
        </w:rPr>
        <w:t>entrepris pendant</w:t>
      </w:r>
      <w:r w:rsidR="00451AC0">
        <w:rPr>
          <w:lang w:val="fr-FR" w:eastAsia="x-none"/>
        </w:rPr>
        <w:t xml:space="preserve"> l’année précèdent, 2014 a </w:t>
      </w:r>
      <w:r w:rsidR="009938D1">
        <w:rPr>
          <w:lang w:val="fr-FR" w:eastAsia="x-none"/>
        </w:rPr>
        <w:t xml:space="preserve">démarré avec sa présentation publique le </w:t>
      </w:r>
      <w:r w:rsidR="00050BA9">
        <w:rPr>
          <w:lang w:val="fr-FR" w:eastAsia="x-none"/>
        </w:rPr>
        <w:t>21</w:t>
      </w:r>
      <w:r w:rsidR="009938D1">
        <w:rPr>
          <w:lang w:val="fr-FR" w:eastAsia="x-none"/>
        </w:rPr>
        <w:t xml:space="preserve"> janvier. </w:t>
      </w:r>
      <w:r w:rsidR="007B7DE6">
        <w:rPr>
          <w:lang w:val="fr-FR" w:eastAsia="x-none"/>
        </w:rPr>
        <w:t>Après</w:t>
      </w:r>
      <w:r w:rsidR="009938D1">
        <w:rPr>
          <w:lang w:val="fr-FR" w:eastAsia="x-none"/>
        </w:rPr>
        <w:t xml:space="preserve"> ce travail </w:t>
      </w:r>
      <w:r w:rsidR="00451AC0">
        <w:rPr>
          <w:lang w:val="fr-FR" w:eastAsia="x-none"/>
        </w:rPr>
        <w:t>plutôt en interne</w:t>
      </w:r>
      <w:r w:rsidR="00F74593">
        <w:rPr>
          <w:lang w:val="fr-FR" w:eastAsia="x-none"/>
        </w:rPr>
        <w:t xml:space="preserve">, </w:t>
      </w:r>
      <w:r w:rsidR="009938D1">
        <w:rPr>
          <w:lang w:val="fr-FR" w:eastAsia="x-none"/>
        </w:rPr>
        <w:t xml:space="preserve">c’était le moment de tester sa capacité de répondre aux besoins d’information des opérateurs de la reconstruction pour leurs </w:t>
      </w:r>
      <w:r w:rsidR="00D457FE">
        <w:rPr>
          <w:lang w:val="fr-FR" w:eastAsia="x-none"/>
        </w:rPr>
        <w:t>interventions</w:t>
      </w:r>
      <w:r w:rsidR="009938D1">
        <w:rPr>
          <w:lang w:val="fr-FR" w:eastAsia="x-none"/>
        </w:rPr>
        <w:t xml:space="preserve">, d’ailleurs de plus en plus orientées vers l’aménagement urbain. </w:t>
      </w:r>
      <w:r w:rsidR="001F5F3C">
        <w:rPr>
          <w:lang w:val="fr-FR" w:eastAsia="x-none"/>
        </w:rPr>
        <w:t xml:space="preserve">A cet effet, toute un </w:t>
      </w:r>
      <w:r w:rsidR="00D457FE">
        <w:rPr>
          <w:lang w:val="fr-FR" w:eastAsia="x-none"/>
        </w:rPr>
        <w:t>série</w:t>
      </w:r>
      <w:r w:rsidR="001F5F3C">
        <w:rPr>
          <w:lang w:val="fr-FR" w:eastAsia="x-none"/>
        </w:rPr>
        <w:t xml:space="preserve"> de rencontres avec les principaux acteurs (</w:t>
      </w:r>
      <w:r w:rsidR="00D457FE">
        <w:rPr>
          <w:lang w:val="fr-FR" w:eastAsia="x-none"/>
        </w:rPr>
        <w:t>institutions publi</w:t>
      </w:r>
      <w:r w:rsidR="001F5F3C">
        <w:rPr>
          <w:lang w:val="fr-FR" w:eastAsia="x-none"/>
        </w:rPr>
        <w:t xml:space="preserve">ques, bailleurs de fonds, ONG </w:t>
      </w:r>
      <w:r w:rsidR="00D457FE">
        <w:rPr>
          <w:lang w:val="fr-FR" w:eastAsia="x-none"/>
        </w:rPr>
        <w:t>internationales</w:t>
      </w:r>
      <w:r w:rsidR="001F5F3C">
        <w:rPr>
          <w:lang w:val="fr-FR" w:eastAsia="x-none"/>
        </w:rPr>
        <w:t xml:space="preserve">, </w:t>
      </w:r>
      <w:r w:rsidR="00D457FE">
        <w:rPr>
          <w:lang w:val="fr-FR" w:eastAsia="x-none"/>
        </w:rPr>
        <w:t>etc.</w:t>
      </w:r>
      <w:r w:rsidR="001F5F3C">
        <w:rPr>
          <w:lang w:val="fr-FR" w:eastAsia="x-none"/>
        </w:rPr>
        <w:t>) on</w:t>
      </w:r>
      <w:r w:rsidR="00D457FE">
        <w:rPr>
          <w:lang w:val="fr-FR" w:eastAsia="x-none"/>
        </w:rPr>
        <w:t>t</w:t>
      </w:r>
      <w:r w:rsidR="001F5F3C">
        <w:rPr>
          <w:lang w:val="fr-FR" w:eastAsia="x-none"/>
        </w:rPr>
        <w:t xml:space="preserve"> été </w:t>
      </w:r>
      <w:r w:rsidR="00D457FE">
        <w:rPr>
          <w:lang w:val="fr-FR" w:eastAsia="x-none"/>
        </w:rPr>
        <w:t>organisées</w:t>
      </w:r>
      <w:r w:rsidR="001F5F3C">
        <w:rPr>
          <w:lang w:val="fr-FR" w:eastAsia="x-none"/>
        </w:rPr>
        <w:t xml:space="preserve"> afin de </w:t>
      </w:r>
      <w:r w:rsidR="00D457FE">
        <w:rPr>
          <w:lang w:val="fr-FR" w:eastAsia="x-none"/>
        </w:rPr>
        <w:t>présenter</w:t>
      </w:r>
      <w:r w:rsidR="001F5F3C">
        <w:rPr>
          <w:lang w:val="fr-FR" w:eastAsia="x-none"/>
        </w:rPr>
        <w:t xml:space="preserve"> l’outil et ses </w:t>
      </w:r>
      <w:r w:rsidR="00D457FE">
        <w:rPr>
          <w:lang w:val="fr-FR" w:eastAsia="x-none"/>
        </w:rPr>
        <w:t>fonctionnalités</w:t>
      </w:r>
      <w:r w:rsidR="001F5F3C">
        <w:rPr>
          <w:lang w:val="fr-FR" w:eastAsia="x-none"/>
        </w:rPr>
        <w:t xml:space="preserve"> ainsi que de les </w:t>
      </w:r>
      <w:r w:rsidR="00D457FE">
        <w:rPr>
          <w:lang w:val="fr-FR" w:eastAsia="x-none"/>
        </w:rPr>
        <w:t>in</w:t>
      </w:r>
      <w:r w:rsidR="008744E8">
        <w:rPr>
          <w:lang w:val="fr-FR" w:eastAsia="x-none"/>
        </w:rPr>
        <w:t>corporer</w:t>
      </w:r>
      <w:r w:rsidR="001F5F3C">
        <w:rPr>
          <w:lang w:val="fr-FR" w:eastAsia="x-none"/>
        </w:rPr>
        <w:t xml:space="preserve"> dans </w:t>
      </w:r>
      <w:r>
        <w:rPr>
          <w:lang w:val="fr-FR" w:eastAsia="x-none"/>
        </w:rPr>
        <w:t>un</w:t>
      </w:r>
      <w:r w:rsidR="001F5F3C">
        <w:rPr>
          <w:lang w:val="fr-FR" w:eastAsia="x-none"/>
        </w:rPr>
        <w:t xml:space="preserve"> </w:t>
      </w:r>
      <w:r w:rsidR="00D457FE">
        <w:rPr>
          <w:lang w:val="fr-FR" w:eastAsia="x-none"/>
        </w:rPr>
        <w:t>réseau</w:t>
      </w:r>
      <w:r w:rsidR="001F5F3C">
        <w:rPr>
          <w:lang w:val="fr-FR" w:eastAsia="x-none"/>
        </w:rPr>
        <w:t xml:space="preserve"> d’utilisateurs et faciliter l</w:t>
      </w:r>
      <w:r w:rsidR="00D457FE">
        <w:rPr>
          <w:lang w:val="fr-FR" w:eastAsia="x-none"/>
        </w:rPr>
        <w:t>’intégration</w:t>
      </w:r>
      <w:r w:rsidR="001F5F3C">
        <w:rPr>
          <w:lang w:val="fr-FR" w:eastAsia="x-none"/>
        </w:rPr>
        <w:t xml:space="preserve"> des </w:t>
      </w:r>
      <w:r w:rsidR="00D457FE">
        <w:rPr>
          <w:lang w:val="fr-FR" w:eastAsia="x-none"/>
        </w:rPr>
        <w:t xml:space="preserve">informations </w:t>
      </w:r>
      <w:r w:rsidR="001F5F3C">
        <w:rPr>
          <w:lang w:val="fr-FR" w:eastAsia="x-none"/>
        </w:rPr>
        <w:t>qu</w:t>
      </w:r>
      <w:r w:rsidR="00D457FE">
        <w:rPr>
          <w:lang w:val="fr-FR" w:eastAsia="x-none"/>
        </w:rPr>
        <w:t>’i</w:t>
      </w:r>
      <w:r w:rsidR="001F5F3C">
        <w:rPr>
          <w:lang w:val="fr-FR" w:eastAsia="x-none"/>
        </w:rPr>
        <w:t xml:space="preserve">ls </w:t>
      </w:r>
      <w:r w:rsidR="00D457FE">
        <w:rPr>
          <w:lang w:val="fr-FR" w:eastAsia="x-none"/>
        </w:rPr>
        <w:t>produisent</w:t>
      </w:r>
      <w:r w:rsidR="001F5F3C">
        <w:rPr>
          <w:lang w:val="fr-FR" w:eastAsia="x-none"/>
        </w:rPr>
        <w:t xml:space="preserve"> dans la </w:t>
      </w:r>
      <w:r w:rsidR="00D457FE">
        <w:rPr>
          <w:lang w:val="fr-FR" w:eastAsia="x-none"/>
        </w:rPr>
        <w:t xml:space="preserve">base de données de la </w:t>
      </w:r>
      <w:r w:rsidR="001F5F3C">
        <w:rPr>
          <w:lang w:val="fr-FR" w:eastAsia="x-none"/>
        </w:rPr>
        <w:t>plateforme.</w:t>
      </w:r>
      <w:r w:rsidR="00EB28DC">
        <w:rPr>
          <w:lang w:val="fr-FR" w:eastAsia="x-none"/>
        </w:rPr>
        <w:t xml:space="preserve"> </w:t>
      </w:r>
      <w:r w:rsidR="009938D1">
        <w:rPr>
          <w:lang w:val="fr-FR" w:eastAsia="x-none"/>
        </w:rPr>
        <w:t xml:space="preserve">Ceci a été accompagné des activités </w:t>
      </w:r>
      <w:r w:rsidR="001F5F3C">
        <w:rPr>
          <w:lang w:val="fr-FR" w:eastAsia="x-none"/>
        </w:rPr>
        <w:t xml:space="preserve">visant </w:t>
      </w:r>
      <w:r w:rsidR="00EB28DC">
        <w:rPr>
          <w:lang w:val="fr-FR" w:eastAsia="x-none"/>
        </w:rPr>
        <w:t>l</w:t>
      </w:r>
      <w:r w:rsidR="00D457FE">
        <w:rPr>
          <w:lang w:val="fr-FR" w:eastAsia="x-none"/>
        </w:rPr>
        <w:t>a</w:t>
      </w:r>
      <w:r w:rsidR="00EB28DC">
        <w:rPr>
          <w:lang w:val="fr-FR" w:eastAsia="x-none"/>
        </w:rPr>
        <w:t xml:space="preserve"> </w:t>
      </w:r>
      <w:r w:rsidR="00D457FE">
        <w:rPr>
          <w:lang w:val="fr-FR" w:eastAsia="x-none"/>
        </w:rPr>
        <w:t>recueille</w:t>
      </w:r>
      <w:r w:rsidR="00EB28DC">
        <w:rPr>
          <w:lang w:val="fr-FR" w:eastAsia="x-none"/>
        </w:rPr>
        <w:t xml:space="preserve"> d</w:t>
      </w:r>
      <w:r w:rsidR="00D457FE">
        <w:rPr>
          <w:lang w:val="fr-FR" w:eastAsia="x-none"/>
        </w:rPr>
        <w:t>’i</w:t>
      </w:r>
      <w:r w:rsidR="00EB28DC">
        <w:rPr>
          <w:lang w:val="fr-FR" w:eastAsia="x-none"/>
        </w:rPr>
        <w:t xml:space="preserve">nformations </w:t>
      </w:r>
      <w:r w:rsidR="00D457FE">
        <w:rPr>
          <w:lang w:val="fr-FR" w:eastAsia="x-none"/>
        </w:rPr>
        <w:t>complémentaires</w:t>
      </w:r>
      <w:r w:rsidR="00EB28DC">
        <w:rPr>
          <w:lang w:val="fr-FR" w:eastAsia="x-none"/>
        </w:rPr>
        <w:t xml:space="preserve"> </w:t>
      </w:r>
      <w:proofErr w:type="spellStart"/>
      <w:r w:rsidR="00DE7C25">
        <w:rPr>
          <w:lang w:val="fr-FR" w:eastAsia="x-none"/>
        </w:rPr>
        <w:t>a</w:t>
      </w:r>
      <w:proofErr w:type="spellEnd"/>
      <w:r w:rsidR="00DE7C25">
        <w:rPr>
          <w:lang w:val="fr-FR" w:eastAsia="x-none"/>
        </w:rPr>
        <w:t xml:space="preserve"> celles obtenus de la composante 1.</w:t>
      </w:r>
    </w:p>
    <w:p w:rsidR="00DE7C25" w:rsidRDefault="00DE7C25" w:rsidP="00560307">
      <w:pPr>
        <w:jc w:val="both"/>
        <w:rPr>
          <w:lang w:val="fr-FR" w:eastAsia="x-none"/>
        </w:rPr>
      </w:pPr>
    </w:p>
    <w:p w:rsidR="009938D1" w:rsidRDefault="00DE7C25" w:rsidP="00560307">
      <w:pPr>
        <w:jc w:val="both"/>
        <w:rPr>
          <w:lang w:val="fr-FR" w:eastAsia="x-none"/>
        </w:rPr>
      </w:pPr>
      <w:r>
        <w:rPr>
          <w:lang w:val="fr-FR" w:eastAsia="x-none"/>
        </w:rPr>
        <w:t xml:space="preserve">Une importante collaboration a été </w:t>
      </w:r>
      <w:r w:rsidR="00050BA9">
        <w:rPr>
          <w:lang w:val="fr-FR" w:eastAsia="x-none"/>
        </w:rPr>
        <w:t>établie</w:t>
      </w:r>
      <w:r>
        <w:rPr>
          <w:lang w:val="fr-FR" w:eastAsia="x-none"/>
        </w:rPr>
        <w:t xml:space="preserve"> avec </w:t>
      </w:r>
      <w:r w:rsidRPr="00050BA9">
        <w:rPr>
          <w:lang w:val="fr-FR" w:eastAsia="x-none"/>
        </w:rPr>
        <w:t>l’</w:t>
      </w:r>
      <w:r w:rsidR="00CF1406" w:rsidRPr="00050BA9">
        <w:rPr>
          <w:lang w:val="fr-FR" w:eastAsia="x-none"/>
        </w:rPr>
        <w:t>U</w:t>
      </w:r>
      <w:r w:rsidR="00CF1406">
        <w:rPr>
          <w:lang w:val="fr-FR" w:eastAsia="x-none"/>
        </w:rPr>
        <w:t xml:space="preserve">nité de </w:t>
      </w:r>
      <w:r w:rsidR="009938D1" w:rsidRPr="00050BA9">
        <w:rPr>
          <w:lang w:val="fr-FR" w:eastAsia="x-none"/>
        </w:rPr>
        <w:t>C</w:t>
      </w:r>
      <w:r w:rsidR="00CF1406">
        <w:rPr>
          <w:lang w:val="fr-FR" w:eastAsia="x-none"/>
        </w:rPr>
        <w:t xml:space="preserve">onstruction de </w:t>
      </w:r>
      <w:r w:rsidR="009938D1" w:rsidRPr="00050BA9">
        <w:rPr>
          <w:lang w:val="fr-FR" w:eastAsia="x-none"/>
        </w:rPr>
        <w:t>L</w:t>
      </w:r>
      <w:r w:rsidR="00CF1406">
        <w:rPr>
          <w:lang w:val="fr-FR" w:eastAsia="x-none"/>
        </w:rPr>
        <w:t xml:space="preserve">ogement et des </w:t>
      </w:r>
      <w:r w:rsidR="00CF1406" w:rsidRPr="00050BA9">
        <w:rPr>
          <w:lang w:val="fr-FR" w:eastAsia="x-none"/>
        </w:rPr>
        <w:t>B</w:t>
      </w:r>
      <w:r w:rsidR="00CF1406">
        <w:rPr>
          <w:lang w:val="fr-FR" w:eastAsia="x-none"/>
        </w:rPr>
        <w:t xml:space="preserve">âtiments </w:t>
      </w:r>
      <w:r w:rsidR="009938D1" w:rsidRPr="00050BA9">
        <w:rPr>
          <w:lang w:val="fr-FR" w:eastAsia="x-none"/>
        </w:rPr>
        <w:t>P</w:t>
      </w:r>
      <w:r w:rsidR="00CF1406">
        <w:rPr>
          <w:lang w:val="fr-FR" w:eastAsia="x-none"/>
        </w:rPr>
        <w:t>ublics (UCLBP)</w:t>
      </w:r>
      <w:r w:rsidRPr="00050BA9">
        <w:rPr>
          <w:lang w:val="fr-FR" w:eastAsia="x-none"/>
        </w:rPr>
        <w:t>,</w:t>
      </w:r>
      <w:r>
        <w:rPr>
          <w:lang w:val="fr-FR" w:eastAsia="x-none"/>
        </w:rPr>
        <w:t xml:space="preserve"> en</w:t>
      </w:r>
      <w:r w:rsidR="00CF1406">
        <w:rPr>
          <w:lang w:val="fr-FR" w:eastAsia="x-none"/>
        </w:rPr>
        <w:t xml:space="preserve"> </w:t>
      </w:r>
      <w:r>
        <w:rPr>
          <w:lang w:val="fr-FR" w:eastAsia="x-none"/>
        </w:rPr>
        <w:t xml:space="preserve">tant qu’institution </w:t>
      </w:r>
      <w:r w:rsidR="00D457FE">
        <w:rPr>
          <w:lang w:val="fr-FR" w:eastAsia="x-none"/>
        </w:rPr>
        <w:t>étatique</w:t>
      </w:r>
      <w:r>
        <w:rPr>
          <w:lang w:val="fr-FR" w:eastAsia="x-none"/>
        </w:rPr>
        <w:t xml:space="preserve"> responsable de la coordination de la reconstruction et du secteur du logement et l´habitat, afin qu’elle puisse </w:t>
      </w:r>
      <w:r w:rsidR="00E949A8">
        <w:rPr>
          <w:lang w:val="fr-FR" w:eastAsia="x-none"/>
        </w:rPr>
        <w:t>se servir du SILQ pour la gestion de l’information dans</w:t>
      </w:r>
      <w:r w:rsidR="008744E8">
        <w:rPr>
          <w:lang w:val="fr-FR" w:eastAsia="x-none"/>
        </w:rPr>
        <w:t xml:space="preserve"> ses</w:t>
      </w:r>
      <w:r w:rsidR="00E949A8">
        <w:rPr>
          <w:lang w:val="fr-FR" w:eastAsia="x-none"/>
        </w:rPr>
        <w:t xml:space="preserve"> domaine</w:t>
      </w:r>
      <w:r w:rsidR="008744E8">
        <w:rPr>
          <w:lang w:val="fr-FR" w:eastAsia="x-none"/>
        </w:rPr>
        <w:t>s</w:t>
      </w:r>
      <w:r w:rsidR="00E949A8">
        <w:rPr>
          <w:lang w:val="fr-FR" w:eastAsia="x-none"/>
        </w:rPr>
        <w:t xml:space="preserve"> de compétence et </w:t>
      </w:r>
      <w:r>
        <w:rPr>
          <w:lang w:val="fr-FR" w:eastAsia="x-none"/>
        </w:rPr>
        <w:t>articuler la relation entre le SILQ et les acteurs</w:t>
      </w:r>
      <w:r w:rsidR="00E949A8">
        <w:rPr>
          <w:lang w:val="fr-FR" w:eastAsia="x-none"/>
        </w:rPr>
        <w:t xml:space="preserve"> du secteur</w:t>
      </w:r>
      <w:r>
        <w:rPr>
          <w:lang w:val="fr-FR" w:eastAsia="x-none"/>
        </w:rPr>
        <w:t>.</w:t>
      </w:r>
    </w:p>
    <w:p w:rsidR="00682D7E" w:rsidRDefault="00682D7E" w:rsidP="00560307">
      <w:pPr>
        <w:jc w:val="both"/>
        <w:rPr>
          <w:lang w:val="fr-FR" w:eastAsia="x-none"/>
        </w:rPr>
      </w:pPr>
    </w:p>
    <w:p w:rsidR="00682D7E" w:rsidRDefault="00682D7E" w:rsidP="00560307">
      <w:pPr>
        <w:jc w:val="both"/>
        <w:rPr>
          <w:lang w:val="fr-FR" w:eastAsia="x-none"/>
        </w:rPr>
      </w:pPr>
      <w:r>
        <w:rPr>
          <w:lang w:val="fr-FR" w:eastAsia="x-none"/>
        </w:rPr>
        <w:t>D’autre part</w:t>
      </w:r>
      <w:r w:rsidR="008744E8">
        <w:rPr>
          <w:lang w:val="fr-FR" w:eastAsia="x-none"/>
        </w:rPr>
        <w:t>,</w:t>
      </w:r>
      <w:r>
        <w:rPr>
          <w:lang w:val="fr-FR" w:eastAsia="x-none"/>
        </w:rPr>
        <w:t xml:space="preserve"> </w:t>
      </w:r>
      <w:r w:rsidR="00046105">
        <w:rPr>
          <w:lang w:val="fr-FR" w:eastAsia="x-none"/>
        </w:rPr>
        <w:t>le CNIGS, en collaboration avec le MICT et la commune de Pétion-Ville, a entrepris la mise en place d’un Système d’Information Communal pilote sur la base du SILQ. Un premier module du système orienté vers la gestion de l’assiette fiscal de la commune a été créé en combinaison avec l’installation d’un logiciel de gestion financière des taxes et le déploiement d’une campagne de mobilisation fiscale</w:t>
      </w:r>
      <w:r w:rsidR="00E9658A">
        <w:rPr>
          <w:lang w:val="fr-FR" w:eastAsia="x-none"/>
        </w:rPr>
        <w:t xml:space="preserve"> dans l</w:t>
      </w:r>
      <w:r w:rsidR="00E949A8">
        <w:rPr>
          <w:lang w:val="fr-FR" w:eastAsia="x-none"/>
        </w:rPr>
        <w:t>e cadre de la composante 3</w:t>
      </w:r>
      <w:r w:rsidR="00E9658A">
        <w:rPr>
          <w:lang w:val="fr-FR" w:eastAsia="x-none"/>
        </w:rPr>
        <w:t xml:space="preserve"> du Programme</w:t>
      </w:r>
      <w:r w:rsidR="00046105">
        <w:rPr>
          <w:lang w:val="fr-FR" w:eastAsia="x-none"/>
        </w:rPr>
        <w:t>.</w:t>
      </w:r>
    </w:p>
    <w:p w:rsidR="00DE7C25" w:rsidRDefault="00DE7C25" w:rsidP="00560307">
      <w:pPr>
        <w:jc w:val="both"/>
        <w:rPr>
          <w:lang w:val="fr-FR" w:eastAsia="x-none"/>
        </w:rPr>
      </w:pPr>
    </w:p>
    <w:p w:rsidR="00E9658A" w:rsidRDefault="00D457FE" w:rsidP="00560307">
      <w:pPr>
        <w:jc w:val="both"/>
        <w:rPr>
          <w:lang w:val="fr-FR" w:eastAsia="x-none"/>
        </w:rPr>
      </w:pPr>
      <w:r>
        <w:rPr>
          <w:lang w:val="fr-FR" w:eastAsia="x-none"/>
        </w:rPr>
        <w:t>Au même temps, 2014 a été l’année de la c</w:t>
      </w:r>
      <w:r w:rsidR="00F00DC7">
        <w:rPr>
          <w:lang w:val="fr-FR" w:eastAsia="x-none"/>
        </w:rPr>
        <w:t xml:space="preserve">onsolidation des </w:t>
      </w:r>
      <w:r w:rsidR="00CF1406">
        <w:rPr>
          <w:lang w:val="fr-FR" w:eastAsia="x-none"/>
        </w:rPr>
        <w:t xml:space="preserve">dispositifs d’appui au sein du </w:t>
      </w:r>
      <w:r w:rsidR="00063E19">
        <w:rPr>
          <w:lang w:val="fr-FR" w:eastAsia="x-none"/>
        </w:rPr>
        <w:t>Ministère de l’Intérieur et de Collectivités Territoriales (MICT) et de communes partici</w:t>
      </w:r>
      <w:r w:rsidR="000D7355">
        <w:rPr>
          <w:lang w:val="fr-FR" w:eastAsia="x-none"/>
        </w:rPr>
        <w:t>pantes au P</w:t>
      </w:r>
      <w:r w:rsidR="00063E19">
        <w:rPr>
          <w:lang w:val="fr-FR" w:eastAsia="x-none"/>
        </w:rPr>
        <w:t>rogramme</w:t>
      </w:r>
      <w:r w:rsidR="001D5BE2">
        <w:rPr>
          <w:lang w:val="fr-FR" w:eastAsia="x-none"/>
        </w:rPr>
        <w:t xml:space="preserve"> </w:t>
      </w:r>
      <w:r w:rsidR="000D7355">
        <w:rPr>
          <w:lang w:val="fr-FR" w:eastAsia="x-none"/>
        </w:rPr>
        <w:t>prévus</w:t>
      </w:r>
      <w:r w:rsidR="001D5BE2">
        <w:rPr>
          <w:lang w:val="fr-FR" w:eastAsia="x-none"/>
        </w:rPr>
        <w:t xml:space="preserve"> dans sa composante 3</w:t>
      </w:r>
      <w:r w:rsidR="00063E19">
        <w:rPr>
          <w:lang w:val="fr-FR" w:eastAsia="x-none"/>
        </w:rPr>
        <w:t xml:space="preserve">. La Cellule de Suivi, Evaluation et Communication est maintenant complément intégrée dans la structure du MICT et, en plus de contribuer </w:t>
      </w:r>
      <w:r w:rsidR="00D45829">
        <w:rPr>
          <w:lang w:val="fr-FR" w:eastAsia="x-none"/>
        </w:rPr>
        <w:t>à</w:t>
      </w:r>
      <w:r w:rsidR="00063E19">
        <w:rPr>
          <w:lang w:val="fr-FR" w:eastAsia="x-none"/>
        </w:rPr>
        <w:t xml:space="preserve"> l’</w:t>
      </w:r>
      <w:r w:rsidR="00D45829">
        <w:rPr>
          <w:lang w:val="fr-FR" w:eastAsia="x-none"/>
        </w:rPr>
        <w:t>opérationnalisation</w:t>
      </w:r>
      <w:r w:rsidR="00063E19">
        <w:rPr>
          <w:lang w:val="fr-FR" w:eastAsia="x-none"/>
        </w:rPr>
        <w:t xml:space="preserve"> des </w:t>
      </w:r>
      <w:r w:rsidR="00D45829">
        <w:rPr>
          <w:lang w:val="fr-FR" w:eastAsia="x-none"/>
        </w:rPr>
        <w:t>activités</w:t>
      </w:r>
      <w:r w:rsidR="00063E19">
        <w:rPr>
          <w:lang w:val="fr-FR" w:eastAsia="x-none"/>
        </w:rPr>
        <w:t xml:space="preserve"> de la composante</w:t>
      </w:r>
      <w:r w:rsidR="00D45829">
        <w:rPr>
          <w:lang w:val="fr-FR" w:eastAsia="x-none"/>
        </w:rPr>
        <w:t>,</w:t>
      </w:r>
      <w:r w:rsidR="00063E19">
        <w:rPr>
          <w:lang w:val="fr-FR" w:eastAsia="x-none"/>
        </w:rPr>
        <w:t xml:space="preserve"> prête un appui transversal </w:t>
      </w:r>
      <w:r w:rsidR="00BC44C2">
        <w:rPr>
          <w:lang w:val="fr-FR" w:eastAsia="x-none"/>
        </w:rPr>
        <w:t>a ses différentes directions</w:t>
      </w:r>
      <w:r w:rsidR="00682D7E">
        <w:rPr>
          <w:lang w:val="fr-FR" w:eastAsia="x-none"/>
        </w:rPr>
        <w:t xml:space="preserve">, particulièrement </w:t>
      </w:r>
      <w:r w:rsidR="00D61EA3">
        <w:rPr>
          <w:lang w:val="fr-FR" w:eastAsia="x-none"/>
        </w:rPr>
        <w:t>à</w:t>
      </w:r>
      <w:r w:rsidR="00682D7E">
        <w:rPr>
          <w:lang w:val="fr-FR" w:eastAsia="x-none"/>
        </w:rPr>
        <w:t xml:space="preserve"> la Direction de Collectivités Territoriales,</w:t>
      </w:r>
      <w:r w:rsidR="00BC44C2">
        <w:rPr>
          <w:lang w:val="fr-FR" w:eastAsia="x-none"/>
        </w:rPr>
        <w:t xml:space="preserve"> sous la tutelle de la Direction Générale.</w:t>
      </w:r>
    </w:p>
    <w:p w:rsidR="00E9658A" w:rsidRDefault="00E9658A" w:rsidP="00560307">
      <w:pPr>
        <w:jc w:val="both"/>
        <w:rPr>
          <w:lang w:val="fr-FR" w:eastAsia="x-none"/>
        </w:rPr>
      </w:pPr>
    </w:p>
    <w:p w:rsidR="00E9658A" w:rsidRDefault="00BC44C2" w:rsidP="00560307">
      <w:pPr>
        <w:jc w:val="both"/>
        <w:rPr>
          <w:lang w:val="fr-FR" w:eastAsia="x-none"/>
        </w:rPr>
      </w:pPr>
      <w:r>
        <w:rPr>
          <w:lang w:val="fr-FR" w:eastAsia="x-none"/>
        </w:rPr>
        <w:t>Les Agences Techniques Locales</w:t>
      </w:r>
      <w:r w:rsidR="00682D7E">
        <w:rPr>
          <w:lang w:val="fr-FR" w:eastAsia="x-none"/>
        </w:rPr>
        <w:t>,</w:t>
      </w:r>
      <w:r w:rsidR="004A058E">
        <w:rPr>
          <w:lang w:val="fr-FR" w:eastAsia="x-none"/>
        </w:rPr>
        <w:t xml:space="preserve"> pour  leur </w:t>
      </w:r>
      <w:bookmarkStart w:id="1" w:name="_GoBack"/>
      <w:bookmarkEnd w:id="1"/>
      <w:r>
        <w:rPr>
          <w:lang w:val="fr-FR" w:eastAsia="x-none"/>
        </w:rPr>
        <w:t>part</w:t>
      </w:r>
      <w:r w:rsidR="00682D7E">
        <w:rPr>
          <w:lang w:val="fr-FR" w:eastAsia="x-none"/>
        </w:rPr>
        <w:t>,</w:t>
      </w:r>
      <w:r w:rsidR="00E368DB">
        <w:rPr>
          <w:lang w:val="fr-FR" w:eastAsia="x-none"/>
        </w:rPr>
        <w:t xml:space="preserve"> ont continué leur travail d’appui à la maitrise d’ouvrage communal. En plus de leur contribution à différents projets au sein de leurs communes, souvent en collaboration avec des partenaires internationaux, elles ont entamé, suite aux diagnostics territoriaux présentés en décembre 2013, l’élaboration d</w:t>
      </w:r>
      <w:r w:rsidR="00046105">
        <w:rPr>
          <w:lang w:val="fr-FR" w:eastAsia="x-none"/>
        </w:rPr>
        <w:t>es Plan Communaux</w:t>
      </w:r>
      <w:r w:rsidR="00E368DB">
        <w:rPr>
          <w:lang w:val="fr-FR" w:eastAsia="x-none"/>
        </w:rPr>
        <w:t xml:space="preserve"> de Développement </w:t>
      </w:r>
      <w:r w:rsidR="00682D7E">
        <w:rPr>
          <w:lang w:val="fr-FR" w:eastAsia="x-none"/>
        </w:rPr>
        <w:t>respectif</w:t>
      </w:r>
      <w:r w:rsidR="00046105">
        <w:rPr>
          <w:lang w:val="fr-FR" w:eastAsia="x-none"/>
        </w:rPr>
        <w:t>s</w:t>
      </w:r>
      <w:r w:rsidR="00682D7E">
        <w:rPr>
          <w:lang w:val="fr-FR" w:eastAsia="x-none"/>
        </w:rPr>
        <w:t>.</w:t>
      </w:r>
      <w:r w:rsidR="00E9658A">
        <w:rPr>
          <w:lang w:val="fr-FR" w:eastAsia="x-none"/>
        </w:rPr>
        <w:t xml:space="preserve"> Cette action est pilotée par le MICT, qui c</w:t>
      </w:r>
      <w:r w:rsidR="00E949A8">
        <w:rPr>
          <w:lang w:val="fr-FR" w:eastAsia="x-none"/>
        </w:rPr>
        <w:t>oordonne</w:t>
      </w:r>
      <w:r w:rsidR="00E9658A">
        <w:rPr>
          <w:lang w:val="fr-FR" w:eastAsia="x-none"/>
        </w:rPr>
        <w:t xml:space="preserve"> l’appui </w:t>
      </w:r>
      <w:r w:rsidR="00E949A8">
        <w:rPr>
          <w:lang w:val="fr-FR" w:eastAsia="x-none"/>
        </w:rPr>
        <w:t>technique</w:t>
      </w:r>
      <w:r w:rsidR="00E9658A">
        <w:rPr>
          <w:lang w:val="fr-FR" w:eastAsia="x-none"/>
        </w:rPr>
        <w:t xml:space="preserve"> </w:t>
      </w:r>
      <w:r w:rsidR="00E949A8">
        <w:rPr>
          <w:lang w:val="fr-FR" w:eastAsia="x-none"/>
        </w:rPr>
        <w:t>fournie aux communes, en collaboration avec le Ministère de Planification et de la Coopération Externe</w:t>
      </w:r>
      <w:r w:rsidR="00CE0424">
        <w:rPr>
          <w:lang w:val="fr-FR" w:eastAsia="x-none"/>
        </w:rPr>
        <w:t xml:space="preserve"> (MPCE)</w:t>
      </w:r>
      <w:r w:rsidR="00E949A8">
        <w:rPr>
          <w:lang w:val="fr-FR" w:eastAsia="x-none"/>
        </w:rPr>
        <w:t>, partenaire du programme à travers sa composante 4 et promoteur de cet outil de planification.</w:t>
      </w:r>
    </w:p>
    <w:p w:rsidR="00E9658A" w:rsidRDefault="00E9658A" w:rsidP="00560307">
      <w:pPr>
        <w:jc w:val="both"/>
        <w:rPr>
          <w:lang w:val="fr-FR" w:eastAsia="x-none"/>
        </w:rPr>
      </w:pPr>
    </w:p>
    <w:p w:rsidR="009A6A3E" w:rsidRDefault="00682D7E" w:rsidP="00560307">
      <w:pPr>
        <w:jc w:val="both"/>
        <w:rPr>
          <w:lang w:val="fr-FR" w:eastAsia="x-none"/>
        </w:rPr>
      </w:pPr>
      <w:r>
        <w:rPr>
          <w:lang w:val="fr-FR" w:eastAsia="x-none"/>
        </w:rPr>
        <w:t xml:space="preserve">Le Centre de Ressources Communautaires de la commune de Delmas a été finalement </w:t>
      </w:r>
      <w:r w:rsidR="00F00C7A" w:rsidRPr="00F00C7A">
        <w:rPr>
          <w:lang w:val="fr-FR" w:eastAsia="x-none"/>
        </w:rPr>
        <w:t xml:space="preserve">opérationnalisé en fin du premier semestre </w:t>
      </w:r>
      <w:r w:rsidR="000D7355">
        <w:rPr>
          <w:lang w:val="fr-FR" w:eastAsia="x-none"/>
        </w:rPr>
        <w:t xml:space="preserve">de </w:t>
      </w:r>
      <w:r w:rsidR="00F00C7A" w:rsidRPr="00F00C7A">
        <w:rPr>
          <w:lang w:val="fr-FR" w:eastAsia="x-none"/>
        </w:rPr>
        <w:t>2014</w:t>
      </w:r>
      <w:r>
        <w:rPr>
          <w:lang w:val="fr-FR" w:eastAsia="x-none"/>
        </w:rPr>
        <w:t xml:space="preserve">, totalisant onze CRC. </w:t>
      </w:r>
      <w:r w:rsidR="00E9658A">
        <w:rPr>
          <w:lang w:val="fr-FR" w:eastAsia="x-none"/>
        </w:rPr>
        <w:t>Les CRC ont mené un travail de dynamisation des p</w:t>
      </w:r>
      <w:r w:rsidR="009A6A3E">
        <w:rPr>
          <w:lang w:val="fr-FR" w:eastAsia="x-none"/>
        </w:rPr>
        <w:t>lateformes communautaires</w:t>
      </w:r>
      <w:r w:rsidR="00E9658A">
        <w:rPr>
          <w:lang w:val="fr-FR" w:eastAsia="x-none"/>
        </w:rPr>
        <w:t xml:space="preserve"> dans les différents quartiers de leurs communes et se sont positionnés comme le canal de communication avec leurs communautés privilégié au sein de mairies.</w:t>
      </w:r>
    </w:p>
    <w:p w:rsidR="00E9658A" w:rsidRDefault="00E9658A" w:rsidP="00560307">
      <w:pPr>
        <w:jc w:val="both"/>
        <w:rPr>
          <w:lang w:val="fr-FR" w:eastAsia="x-none"/>
        </w:rPr>
      </w:pPr>
    </w:p>
    <w:p w:rsidR="00F74593" w:rsidRDefault="001D5BE2" w:rsidP="00560307">
      <w:pPr>
        <w:jc w:val="both"/>
        <w:rPr>
          <w:lang w:val="fr-FR"/>
        </w:rPr>
      </w:pPr>
      <w:r>
        <w:rPr>
          <w:lang w:val="fr-FR" w:eastAsia="x-none"/>
        </w:rPr>
        <w:lastRenderedPageBreak/>
        <w:t xml:space="preserve">Les produits de planification </w:t>
      </w:r>
      <w:r w:rsidR="00B90AE5">
        <w:rPr>
          <w:lang w:val="fr-FR" w:eastAsia="x-none"/>
        </w:rPr>
        <w:t xml:space="preserve">urbaine </w:t>
      </w:r>
      <w:r>
        <w:rPr>
          <w:lang w:val="fr-FR" w:eastAsia="x-none"/>
        </w:rPr>
        <w:t>de la composante 4 ont pu être finalement mis à disposition des communes à la fin de l’année 2014</w:t>
      </w:r>
      <w:r w:rsidR="00B90AE5">
        <w:rPr>
          <w:lang w:val="fr-FR" w:eastAsia="x-none"/>
        </w:rPr>
        <w:t xml:space="preserve"> et des présentations publiques ont pu être organisées dans douze des dix-huit villes touchés. </w:t>
      </w:r>
      <w:r w:rsidR="00CE0424">
        <w:rPr>
          <w:lang w:val="fr-FR" w:eastAsia="x-none"/>
        </w:rPr>
        <w:t>L’appui au MPCE a été poursuivi et d</w:t>
      </w:r>
      <w:r w:rsidR="00B90AE5">
        <w:rPr>
          <w:lang w:val="fr-FR" w:eastAsia="x-none"/>
        </w:rPr>
        <w:t>e</w:t>
      </w:r>
      <w:r w:rsidR="00CE0424">
        <w:rPr>
          <w:lang w:val="fr-FR" w:eastAsia="x-none"/>
        </w:rPr>
        <w:t>ux nouvelles études sur le</w:t>
      </w:r>
      <w:r w:rsidR="00B90AE5">
        <w:rPr>
          <w:lang w:val="fr-FR" w:eastAsia="x-none"/>
        </w:rPr>
        <w:t xml:space="preserve">s outils </w:t>
      </w:r>
      <w:r w:rsidR="00CE0424">
        <w:rPr>
          <w:lang w:val="fr-FR" w:eastAsia="x-none"/>
        </w:rPr>
        <w:t xml:space="preserve">de planification ont été réalisées à son profit. </w:t>
      </w:r>
      <w:r w:rsidR="00CE0424">
        <w:rPr>
          <w:lang w:val="fr-FR"/>
        </w:rPr>
        <w:t>L</w:t>
      </w:r>
      <w:r w:rsidR="00CE0424" w:rsidRPr="00340AA4">
        <w:rPr>
          <w:lang w:val="fr-FR"/>
        </w:rPr>
        <w:t xml:space="preserve">es études de </w:t>
      </w:r>
      <w:proofErr w:type="spellStart"/>
      <w:r w:rsidR="00CE0424" w:rsidRPr="00340AA4">
        <w:rPr>
          <w:lang w:val="fr-FR"/>
        </w:rPr>
        <w:t>microzonage</w:t>
      </w:r>
      <w:proofErr w:type="spellEnd"/>
      <w:r w:rsidR="00CE0424" w:rsidRPr="00340AA4">
        <w:rPr>
          <w:lang w:val="fr-FR"/>
        </w:rPr>
        <w:t xml:space="preserve"> sismique </w:t>
      </w:r>
      <w:r w:rsidR="00CE0424">
        <w:rPr>
          <w:lang w:val="fr-FR"/>
        </w:rPr>
        <w:t xml:space="preserve">ont été </w:t>
      </w:r>
      <w:r w:rsidR="00CE0424" w:rsidRPr="00340AA4">
        <w:rPr>
          <w:lang w:val="fr-FR"/>
        </w:rPr>
        <w:t xml:space="preserve">réalisées pour l’agglomération de Port-au-Prince </w:t>
      </w:r>
      <w:r w:rsidR="00CE0424">
        <w:rPr>
          <w:lang w:val="fr-FR"/>
        </w:rPr>
        <w:t xml:space="preserve">et attendent </w:t>
      </w:r>
      <w:r w:rsidR="00CE0424" w:rsidRPr="00340AA4">
        <w:rPr>
          <w:lang w:val="fr-FR"/>
        </w:rPr>
        <w:t>un atelier de présentation</w:t>
      </w:r>
      <w:r w:rsidR="00D01AFA">
        <w:rPr>
          <w:lang w:val="fr-FR"/>
        </w:rPr>
        <w:t xml:space="preserve">. </w:t>
      </w:r>
    </w:p>
    <w:p w:rsidR="000F6AE5" w:rsidRDefault="000F6AE5" w:rsidP="00560307">
      <w:pPr>
        <w:jc w:val="both"/>
        <w:rPr>
          <w:lang w:val="fr-FR"/>
        </w:rPr>
      </w:pPr>
    </w:p>
    <w:p w:rsidR="000F6AE5" w:rsidRDefault="000F6AE5" w:rsidP="00560307">
      <w:pPr>
        <w:jc w:val="both"/>
        <w:rPr>
          <w:lang w:val="fr-FR" w:eastAsia="x-none"/>
        </w:rPr>
      </w:pPr>
      <w:r>
        <w:rPr>
          <w:lang w:val="fr-FR"/>
        </w:rPr>
        <w:t>Afin de pouvoir réaliser tout ce travail et rattraper les retards accumulés lors de la phase de démarrage et développement des outils proposés par chacune de ses composantes, une demande d’extension de la durée de sa période d’exécution de neuf mois a été introduite auprès du Comité de Pilotage du FRH qui l’a approuvé en date du 11 juillet 2014.</w:t>
      </w:r>
    </w:p>
    <w:p w:rsidR="001812C1" w:rsidRDefault="001812C1" w:rsidP="00560307">
      <w:pPr>
        <w:jc w:val="both"/>
        <w:rPr>
          <w:lang w:val="fr-FR" w:eastAsia="x-none"/>
        </w:rPr>
      </w:pPr>
    </w:p>
    <w:p w:rsidR="00560307" w:rsidRDefault="00560307" w:rsidP="00560307">
      <w:pPr>
        <w:jc w:val="both"/>
        <w:rPr>
          <w:lang w:val="fr-FR" w:eastAsia="x-none"/>
        </w:rPr>
      </w:pPr>
    </w:p>
    <w:p w:rsidR="00311774" w:rsidRPr="00040C93" w:rsidRDefault="00311774" w:rsidP="00311774">
      <w:pPr>
        <w:pStyle w:val="Heading1"/>
        <w:numPr>
          <w:ilvl w:val="0"/>
          <w:numId w:val="1"/>
        </w:numPr>
        <w:tabs>
          <w:tab w:val="clear" w:pos="1080"/>
          <w:tab w:val="left" w:pos="360"/>
        </w:tabs>
        <w:ind w:left="360" w:hanging="360"/>
        <w:jc w:val="left"/>
        <w:rPr>
          <w:rFonts w:ascii="Times New Roman" w:hAnsi="Times New Roman"/>
          <w:sz w:val="24"/>
          <w:szCs w:val="24"/>
          <w:lang w:val="fr-FR"/>
        </w:rPr>
      </w:pPr>
      <w:r w:rsidRPr="00040C93">
        <w:rPr>
          <w:rFonts w:ascii="Times New Roman" w:hAnsi="Times New Roman"/>
          <w:sz w:val="24"/>
          <w:szCs w:val="24"/>
          <w:lang w:val="fr-FR"/>
        </w:rPr>
        <w:t>Objectifs</w:t>
      </w:r>
    </w:p>
    <w:p w:rsidR="00311774" w:rsidRPr="00040C93" w:rsidRDefault="00311774" w:rsidP="00311774">
      <w:pPr>
        <w:pStyle w:val="BodyText"/>
        <w:ind w:left="360"/>
        <w:jc w:val="both"/>
        <w:rPr>
          <w:rFonts w:ascii="Times New Roman" w:hAnsi="Times New Roman"/>
          <w:sz w:val="24"/>
          <w:lang w:val="fr-FR"/>
        </w:rPr>
      </w:pPr>
    </w:p>
    <w:p w:rsidR="00A50B53" w:rsidRPr="00A50B53" w:rsidRDefault="00A50B53" w:rsidP="00A50B53">
      <w:pPr>
        <w:pStyle w:val="BodyText2"/>
        <w:rPr>
          <w:rFonts w:ascii="Times New Roman" w:hAnsi="Times New Roman" w:cs="Times New Roman"/>
          <w:sz w:val="24"/>
          <w:szCs w:val="24"/>
          <w:lang w:val="fr-FR"/>
        </w:rPr>
      </w:pPr>
      <w:r w:rsidRPr="00A50B53">
        <w:rPr>
          <w:rFonts w:ascii="Times New Roman" w:hAnsi="Times New Roman" w:cs="Times New Roman"/>
          <w:sz w:val="24"/>
          <w:szCs w:val="24"/>
          <w:lang w:val="fr-FR"/>
        </w:rPr>
        <w:t>Le Programme d’appui a pour objectif de fournir au gouvernement, à l’entité gouvernementale en charge de la reconstruction et aux partenaires d’appui techniques et financiers les outils de base d’aide à la décision et de coordination pour la reconstruction du logement et des quartiers, et notamment :</w:t>
      </w:r>
    </w:p>
    <w:p w:rsidR="00A50B53" w:rsidRPr="00BF3B6D" w:rsidRDefault="00A50B53" w:rsidP="00A50B53">
      <w:pPr>
        <w:pStyle w:val="FootnoteText"/>
        <w:numPr>
          <w:ilvl w:val="0"/>
          <w:numId w:val="8"/>
        </w:numPr>
        <w:jc w:val="both"/>
        <w:rPr>
          <w:rFonts w:cs="Calibri"/>
          <w:sz w:val="24"/>
          <w:szCs w:val="24"/>
          <w:lang w:val="fr-FR"/>
        </w:rPr>
      </w:pPr>
      <w:r w:rsidRPr="00BF3B6D">
        <w:rPr>
          <w:rFonts w:cs="Calibri"/>
          <w:sz w:val="24"/>
          <w:szCs w:val="24"/>
          <w:lang w:val="fr-FR"/>
        </w:rPr>
        <w:t xml:space="preserve">Fournir des données de base sur les quartiers, les bâtiments, les ménages, le statut d’occupation des logements, ainsi que sur les services sociaux de base et </w:t>
      </w:r>
      <w:r>
        <w:rPr>
          <w:rFonts w:cs="Calibri"/>
          <w:sz w:val="24"/>
          <w:szCs w:val="24"/>
          <w:lang w:val="fr-FR"/>
        </w:rPr>
        <w:t>les</w:t>
      </w:r>
      <w:r w:rsidRPr="00BF3B6D">
        <w:rPr>
          <w:rFonts w:cs="Calibri"/>
          <w:sz w:val="24"/>
          <w:szCs w:val="24"/>
          <w:lang w:val="fr-FR"/>
        </w:rPr>
        <w:t xml:space="preserve"> infrastructures communautaires. </w:t>
      </w:r>
      <w:r w:rsidRPr="005500C5">
        <w:rPr>
          <w:rFonts w:cs="Calibri"/>
          <w:b/>
          <w:i/>
          <w:sz w:val="24"/>
          <w:szCs w:val="24"/>
          <w:lang w:val="fr-FR"/>
        </w:rPr>
        <w:t>(composante 1)</w:t>
      </w:r>
    </w:p>
    <w:p w:rsidR="00A50B53" w:rsidRPr="00BF3B6D" w:rsidRDefault="00A50B53" w:rsidP="00A50B53">
      <w:pPr>
        <w:pStyle w:val="FootnoteText"/>
        <w:numPr>
          <w:ilvl w:val="0"/>
          <w:numId w:val="8"/>
        </w:numPr>
        <w:jc w:val="both"/>
        <w:rPr>
          <w:rFonts w:cs="Calibri"/>
          <w:sz w:val="24"/>
          <w:szCs w:val="24"/>
          <w:lang w:val="fr-FR"/>
        </w:rPr>
      </w:pPr>
      <w:r w:rsidRPr="00BF3B6D">
        <w:rPr>
          <w:rFonts w:cs="Calibri"/>
          <w:sz w:val="24"/>
          <w:szCs w:val="24"/>
          <w:lang w:val="fr-FR"/>
        </w:rPr>
        <w:t>Développer un système d'information géographique sur le logement et les quartiers, comme outil d’information et d’aide à la décision pour le programme de reconstruction et permettant la définition, la mise en œuvre et le suivi des programmes de développement urbains.</w:t>
      </w:r>
      <w:r>
        <w:rPr>
          <w:rFonts w:cs="Calibri"/>
          <w:sz w:val="24"/>
          <w:szCs w:val="24"/>
          <w:lang w:val="fr-FR"/>
        </w:rPr>
        <w:t xml:space="preserve"> </w:t>
      </w:r>
      <w:r w:rsidRPr="005500C5">
        <w:rPr>
          <w:rFonts w:cs="Calibri"/>
          <w:b/>
          <w:i/>
          <w:sz w:val="24"/>
          <w:szCs w:val="24"/>
          <w:lang w:val="fr-FR"/>
        </w:rPr>
        <w:t xml:space="preserve">(composante </w:t>
      </w:r>
      <w:r>
        <w:rPr>
          <w:rFonts w:cs="Calibri"/>
          <w:b/>
          <w:i/>
          <w:sz w:val="24"/>
          <w:szCs w:val="24"/>
          <w:lang w:val="fr-FR"/>
        </w:rPr>
        <w:t>2</w:t>
      </w:r>
      <w:r w:rsidRPr="005500C5">
        <w:rPr>
          <w:rFonts w:cs="Calibri"/>
          <w:b/>
          <w:i/>
          <w:sz w:val="24"/>
          <w:szCs w:val="24"/>
          <w:lang w:val="fr-FR"/>
        </w:rPr>
        <w:t>)</w:t>
      </w:r>
    </w:p>
    <w:p w:rsidR="00A50B53" w:rsidRPr="00434823" w:rsidRDefault="00A50B53" w:rsidP="00A50B53">
      <w:pPr>
        <w:pStyle w:val="ListParagraph"/>
        <w:widowControl w:val="0"/>
        <w:numPr>
          <w:ilvl w:val="0"/>
          <w:numId w:val="8"/>
        </w:numPr>
        <w:autoSpaceDE w:val="0"/>
        <w:autoSpaceDN w:val="0"/>
        <w:adjustRightInd w:val="0"/>
        <w:jc w:val="both"/>
        <w:rPr>
          <w:rFonts w:cs="Calibri"/>
          <w:lang w:val="fr-FR"/>
        </w:rPr>
      </w:pPr>
      <w:r w:rsidRPr="00434823">
        <w:rPr>
          <w:rFonts w:cs="Calibri"/>
          <w:lang w:val="fr-FR"/>
        </w:rPr>
        <w:t>Doter le Ministère de l’Intérieur</w:t>
      </w:r>
      <w:r>
        <w:rPr>
          <w:rFonts w:cs="Calibri"/>
          <w:lang w:val="fr-FR"/>
        </w:rPr>
        <w:t xml:space="preserve"> et </w:t>
      </w:r>
      <w:r w:rsidRPr="00434823">
        <w:rPr>
          <w:rFonts w:cs="Calibri"/>
          <w:lang w:val="fr-FR"/>
        </w:rPr>
        <w:t xml:space="preserve">des Collectivités Territoriales </w:t>
      </w:r>
      <w:r>
        <w:rPr>
          <w:rFonts w:cs="Calibri"/>
          <w:lang w:val="fr-FR"/>
        </w:rPr>
        <w:t>(MICT</w:t>
      </w:r>
      <w:r w:rsidRPr="00434823">
        <w:rPr>
          <w:rFonts w:cs="Calibri"/>
          <w:lang w:val="fr-FR"/>
        </w:rPr>
        <w:t xml:space="preserve">) de moyens humains, techniques et financiers pour assurer un appui aux communes. Renforcer les capacités des communes pour  coordonner, superviser, communiquer, et assurer le contrôle de qualité et le suivi des programmes de reconstruction dans leurs territoires respectifs. Créer au sein des communautés des lieux de formation et d’information et appuyer les communautés dans les projets de retour, reconstruction et relogement. </w:t>
      </w:r>
      <w:r w:rsidRPr="00434823">
        <w:rPr>
          <w:rFonts w:cs="Calibri"/>
          <w:b/>
          <w:i/>
          <w:lang w:val="fr-FR"/>
        </w:rPr>
        <w:t>(composante 3)</w:t>
      </w:r>
    </w:p>
    <w:p w:rsidR="00A50B53" w:rsidRPr="00434823" w:rsidRDefault="00A50B53" w:rsidP="00A50B53">
      <w:pPr>
        <w:pStyle w:val="ListParagraph"/>
        <w:numPr>
          <w:ilvl w:val="0"/>
          <w:numId w:val="8"/>
        </w:numPr>
        <w:tabs>
          <w:tab w:val="left" w:pos="-2520"/>
          <w:tab w:val="left" w:pos="-2190"/>
        </w:tabs>
        <w:autoSpaceDE w:val="0"/>
        <w:autoSpaceDN w:val="0"/>
        <w:adjustRightInd w:val="0"/>
        <w:jc w:val="both"/>
        <w:rPr>
          <w:rFonts w:cs="Calibri"/>
          <w:lang w:val="fr-FR"/>
        </w:rPr>
      </w:pPr>
      <w:r w:rsidRPr="00434823">
        <w:rPr>
          <w:rFonts w:cs="Calibri"/>
          <w:lang w:val="fr-FR"/>
        </w:rPr>
        <w:t>Renforcer les capacités du Ministère de la Planification et de la Coopération  Externe (MPCE) pour orienter, diriger et coordonner la préparation des plans stratégiques de développement régional et urbain et les stratégies de reconstruction y relatives ; et mobiliser et coordonner les acteurs locaux pour l'exécution de projets urbains stratégiques et mieux assurer la gestion du cadre bâti urbain.</w:t>
      </w:r>
      <w:r w:rsidRPr="00434823">
        <w:rPr>
          <w:rFonts w:cs="Calibri"/>
          <w:b/>
          <w:i/>
          <w:lang w:val="fr-FR"/>
        </w:rPr>
        <w:t xml:space="preserve"> (composante 4)</w:t>
      </w:r>
    </w:p>
    <w:p w:rsidR="00A50B53" w:rsidRDefault="00A50B53" w:rsidP="00A50B53">
      <w:pPr>
        <w:pStyle w:val="BodyText"/>
        <w:jc w:val="both"/>
        <w:rPr>
          <w:rFonts w:ascii="Times New Roman" w:hAnsi="Times New Roman"/>
          <w:sz w:val="24"/>
          <w:lang w:val="fr-FR"/>
        </w:rPr>
      </w:pPr>
    </w:p>
    <w:p w:rsidR="005D52A5" w:rsidRDefault="005D52A5" w:rsidP="00311774">
      <w:pPr>
        <w:pStyle w:val="BodyText"/>
        <w:jc w:val="both"/>
        <w:rPr>
          <w:rFonts w:ascii="Times New Roman" w:hAnsi="Times New Roman"/>
          <w:b/>
          <w:sz w:val="24"/>
          <w:lang w:val="fr-FR"/>
        </w:rPr>
      </w:pPr>
      <w:r w:rsidRPr="00040C93">
        <w:rPr>
          <w:rFonts w:ascii="Times New Roman" w:hAnsi="Times New Roman"/>
          <w:b/>
          <w:sz w:val="24"/>
          <w:lang w:val="fr-FR"/>
        </w:rPr>
        <w:t>Principaux résultats attendus :</w:t>
      </w:r>
    </w:p>
    <w:p w:rsidR="00433BE3" w:rsidRPr="00162CE5" w:rsidRDefault="00433BE3" w:rsidP="00EA24FA">
      <w:pPr>
        <w:pStyle w:val="BodyText2"/>
        <w:rPr>
          <w:b/>
          <w:sz w:val="16"/>
          <w:lang w:val="fr-FR"/>
        </w:rPr>
      </w:pPr>
    </w:p>
    <w:p w:rsidR="00433BE3" w:rsidRPr="00433BE3" w:rsidRDefault="00433BE3" w:rsidP="00433BE3">
      <w:pPr>
        <w:pStyle w:val="ListParagraph"/>
        <w:numPr>
          <w:ilvl w:val="0"/>
          <w:numId w:val="17"/>
        </w:numPr>
        <w:tabs>
          <w:tab w:val="left" w:pos="-720"/>
          <w:tab w:val="left" w:pos="720"/>
        </w:tabs>
        <w:suppressAutoHyphens/>
        <w:jc w:val="both"/>
        <w:rPr>
          <w:lang w:val="fr-FR"/>
        </w:rPr>
      </w:pPr>
      <w:r w:rsidRPr="00433BE3">
        <w:rPr>
          <w:spacing w:val="-2"/>
          <w:lang w:val="fr-FR"/>
        </w:rPr>
        <w:t xml:space="preserve">Le dénombrement </w:t>
      </w:r>
      <w:r w:rsidR="00EA24FA">
        <w:rPr>
          <w:spacing w:val="-2"/>
          <w:lang w:val="fr-FR"/>
        </w:rPr>
        <w:t>sera</w:t>
      </w:r>
      <w:r w:rsidRPr="00433BE3">
        <w:rPr>
          <w:spacing w:val="-2"/>
          <w:lang w:val="fr-FR"/>
        </w:rPr>
        <w:t xml:space="preserve"> réalisé et publié sur la base d’une cartographie des zones affectées actualisée. Les d</w:t>
      </w:r>
      <w:r w:rsidRPr="00433BE3">
        <w:rPr>
          <w:lang w:val="fr-FR"/>
        </w:rPr>
        <w:t xml:space="preserve">onnées sur l’emplacement de services de bases et d’infrastructure communautaire sont mises à disposition des partenaires.  L’IHSI bénéficiera de l’amélioration du recensement cartographique par une mise à jour de près de 3,300 des 12,000 Sections d’Enumération (SDE). Un centre de traitement et de capitalisation y sera mis en place ainsi que des mécanismes d’alimentation du système d’information de la reconstruction des logements et des quartiers. </w:t>
      </w:r>
      <w:r w:rsidRPr="00433BE3">
        <w:rPr>
          <w:b/>
          <w:i/>
          <w:lang w:val="fr-FR"/>
        </w:rPr>
        <w:t>(composante 1)</w:t>
      </w:r>
    </w:p>
    <w:p w:rsidR="00433BE3" w:rsidRPr="00433BE3" w:rsidRDefault="00433BE3" w:rsidP="00433BE3">
      <w:pPr>
        <w:pStyle w:val="ListParagraph"/>
        <w:numPr>
          <w:ilvl w:val="0"/>
          <w:numId w:val="17"/>
        </w:numPr>
        <w:tabs>
          <w:tab w:val="left" w:pos="-720"/>
          <w:tab w:val="left" w:pos="720"/>
          <w:tab w:val="left" w:pos="4500"/>
        </w:tabs>
        <w:suppressAutoHyphens/>
        <w:jc w:val="both"/>
        <w:rPr>
          <w:spacing w:val="-2"/>
          <w:lang w:val="fr-FR"/>
        </w:rPr>
      </w:pPr>
      <w:r w:rsidRPr="00433BE3">
        <w:rPr>
          <w:lang w:val="fr-FR"/>
        </w:rPr>
        <w:t>Un système d'information géographique sur le logement et les quartiers en Haïti sera développé à travers l’établissement d’un</w:t>
      </w:r>
      <w:r w:rsidRPr="00433BE3">
        <w:rPr>
          <w:spacing w:val="-2"/>
          <w:lang w:val="fr-FR"/>
        </w:rPr>
        <w:t xml:space="preserve"> réseau d’utilisateurs et de producteurs de données géographiques, le renforcement des capacités des usagers et la mise en place d’une plateforme accessible à tous.</w:t>
      </w:r>
      <w:r w:rsidRPr="00433BE3">
        <w:rPr>
          <w:b/>
          <w:i/>
          <w:lang w:val="fr-FR"/>
        </w:rPr>
        <w:t xml:space="preserve"> (composante 2)</w:t>
      </w:r>
    </w:p>
    <w:p w:rsidR="00433BE3" w:rsidRPr="00433BE3" w:rsidRDefault="00433BE3" w:rsidP="00433BE3">
      <w:pPr>
        <w:pStyle w:val="ListParagraph"/>
        <w:numPr>
          <w:ilvl w:val="0"/>
          <w:numId w:val="17"/>
        </w:numPr>
        <w:tabs>
          <w:tab w:val="left" w:pos="-720"/>
          <w:tab w:val="left" w:pos="720"/>
        </w:tabs>
        <w:suppressAutoHyphens/>
        <w:jc w:val="both"/>
        <w:rPr>
          <w:lang w:val="fr-FR"/>
        </w:rPr>
      </w:pPr>
      <w:r w:rsidRPr="00433BE3">
        <w:rPr>
          <w:lang w:val="fr-CA"/>
        </w:rPr>
        <w:t xml:space="preserve">Le MICT disposera des capacités renforcées de suivi, évaluation et communication sur ses activités d’appui aux collectivités territoriales sur la reconstruction et la planification du développement local. </w:t>
      </w:r>
      <w:r w:rsidRPr="00433BE3">
        <w:rPr>
          <w:lang w:val="fr-FR"/>
        </w:rPr>
        <w:t xml:space="preserve">Les territoires disposeront d’agences techniques locales à l’échelle intercommunale ou communale et de centres de ressources communautaires  au niveau des quartiers pour faciliter la planification, la coordination et l’information sur la reconstruction, le retour et le développement local. Les </w:t>
      </w:r>
      <w:r w:rsidRPr="00433BE3">
        <w:rPr>
          <w:lang w:val="fr-FR"/>
        </w:rPr>
        <w:lastRenderedPageBreak/>
        <w:t xml:space="preserve">collectivités, à travers les agences techniques locales (ATL), disposeront d’un personnel formé pour appuyer techniquement la coordination de la reconstruction et faciliter les démarches de montage de projets  techniques. </w:t>
      </w:r>
      <w:r w:rsidRPr="00433BE3">
        <w:rPr>
          <w:b/>
          <w:i/>
          <w:lang w:val="fr-FR"/>
        </w:rPr>
        <w:t>(composante 3)</w:t>
      </w:r>
    </w:p>
    <w:p w:rsidR="00433BE3" w:rsidRPr="00433BE3" w:rsidRDefault="00433BE3" w:rsidP="00433BE3">
      <w:pPr>
        <w:pStyle w:val="BodyText2"/>
        <w:numPr>
          <w:ilvl w:val="0"/>
          <w:numId w:val="17"/>
        </w:numPr>
        <w:rPr>
          <w:rFonts w:ascii="Times New Roman" w:hAnsi="Times New Roman" w:cs="Times New Roman"/>
          <w:b/>
          <w:sz w:val="24"/>
          <w:szCs w:val="24"/>
          <w:lang w:val="fr-FR"/>
        </w:rPr>
      </w:pPr>
      <w:r w:rsidRPr="00433BE3">
        <w:rPr>
          <w:rFonts w:ascii="Times New Roman" w:hAnsi="Times New Roman" w:cs="Times New Roman"/>
          <w:sz w:val="24"/>
          <w:szCs w:val="24"/>
          <w:lang w:val="fr-FR"/>
        </w:rPr>
        <w:t xml:space="preserve">Les territoires sinistrés par le séisme et les pôles de développement secondaires disposeront de plans stratégiques et de plans d’aménagement et d’urbanisme, cohérents avec le développement durable incluant la gestion des risques sismiques, et formulés avec la participation des acteurs concernés. </w:t>
      </w:r>
      <w:r w:rsidRPr="00433BE3">
        <w:rPr>
          <w:rFonts w:ascii="Times New Roman" w:hAnsi="Times New Roman" w:cs="Times New Roman"/>
          <w:spacing w:val="-2"/>
          <w:sz w:val="24"/>
          <w:szCs w:val="24"/>
          <w:lang w:val="fr-FR"/>
        </w:rPr>
        <w:t xml:space="preserve">Le MPCE disposera de capacités renforcées de conception / élaboration, coordination et de suivi de la planification et de la mise en œuvre des plans et projets en privilégiant une démarche de planification stratégique (communication / participation). </w:t>
      </w:r>
      <w:r w:rsidRPr="00433BE3">
        <w:rPr>
          <w:rFonts w:ascii="Times New Roman" w:hAnsi="Times New Roman" w:cs="Times New Roman"/>
          <w:sz w:val="24"/>
          <w:szCs w:val="24"/>
          <w:lang w:val="fr-FR"/>
        </w:rPr>
        <w:t xml:space="preserve">Les communes sinistrées et des pôles de développement disposeront de capacités pour participer à la planification régionale, préparer les plans communaux, coordonner les projets d’aménagement sur leur territoire et coordonner les plans communautaires de quartier ainsi que pour la mise en œuvre de plans et projets, la mise en application de la réglementation sur l’urbanisme et l’utilisation d’outils de gestion du développement urbain. Le MTPTC disposera de capacités renforcées en matière d’urbanisme opérationnel. </w:t>
      </w:r>
      <w:r w:rsidRPr="00433BE3">
        <w:rPr>
          <w:rFonts w:ascii="Times New Roman" w:hAnsi="Times New Roman" w:cs="Times New Roman"/>
          <w:b/>
          <w:i/>
          <w:sz w:val="24"/>
          <w:szCs w:val="24"/>
          <w:lang w:val="fr-FR"/>
        </w:rPr>
        <w:t>(composante 4)</w:t>
      </w:r>
    </w:p>
    <w:p w:rsidR="00433BE3" w:rsidRPr="008904D6" w:rsidRDefault="00433BE3" w:rsidP="00433BE3">
      <w:pPr>
        <w:pStyle w:val="BodyText2"/>
        <w:ind w:left="360"/>
        <w:rPr>
          <w:sz w:val="16"/>
          <w:szCs w:val="22"/>
          <w:lang w:val="fr-FR"/>
        </w:rPr>
      </w:pPr>
    </w:p>
    <w:p w:rsidR="00433BE3" w:rsidRDefault="00433BE3" w:rsidP="00EA24FA">
      <w:pPr>
        <w:pStyle w:val="ListParagraph"/>
        <w:ind w:left="360" w:hanging="360"/>
        <w:jc w:val="both"/>
        <w:rPr>
          <w:b/>
          <w:lang w:val="fr-FR"/>
        </w:rPr>
      </w:pPr>
      <w:r w:rsidRPr="00F82E7E">
        <w:rPr>
          <w:b/>
          <w:lang w:val="fr-FR"/>
        </w:rPr>
        <w:t xml:space="preserve">Lien entre le </w:t>
      </w:r>
      <w:r w:rsidR="007D2DAA">
        <w:rPr>
          <w:b/>
          <w:lang w:val="fr-FR"/>
        </w:rPr>
        <w:t>Programme</w:t>
      </w:r>
      <w:r w:rsidRPr="00F82E7E">
        <w:rPr>
          <w:b/>
          <w:lang w:val="fr-FR"/>
        </w:rPr>
        <w:t xml:space="preserve"> et le Cadre de planification stratégique de l’ONU</w:t>
      </w:r>
    </w:p>
    <w:p w:rsidR="00433BE3" w:rsidRPr="00D711E0" w:rsidRDefault="00433BE3" w:rsidP="00433BE3">
      <w:pPr>
        <w:pStyle w:val="ListParagraph"/>
        <w:ind w:left="360"/>
        <w:jc w:val="both"/>
        <w:rPr>
          <w:rFonts w:cs="Calibri"/>
          <w:b/>
          <w:sz w:val="16"/>
          <w:lang w:val="fr-FR"/>
        </w:rPr>
      </w:pPr>
      <w:r w:rsidRPr="00F82E7E">
        <w:rPr>
          <w:b/>
          <w:lang w:val="fr-FR"/>
        </w:rPr>
        <w:t> </w:t>
      </w:r>
    </w:p>
    <w:p w:rsidR="00433BE3" w:rsidRPr="00AE0746" w:rsidRDefault="00433BE3" w:rsidP="00EA24FA">
      <w:pPr>
        <w:jc w:val="both"/>
        <w:rPr>
          <w:rFonts w:cs="Calibri"/>
          <w:lang w:val="fr-FR"/>
        </w:rPr>
      </w:pPr>
      <w:r w:rsidRPr="00AE0746">
        <w:rPr>
          <w:rFonts w:cs="Calibri"/>
          <w:lang w:val="fr-FR"/>
        </w:rPr>
        <w:t xml:space="preserve">L’ensemble des composantes contribuent au Cadre Stratégique Intégré des Nations Unies pour les années </w:t>
      </w:r>
      <w:r w:rsidR="0008513D" w:rsidRPr="0008513D">
        <w:rPr>
          <w:rFonts w:cs="Calibri"/>
          <w:lang w:val="fr-FR"/>
        </w:rPr>
        <w:t>2013-2016</w:t>
      </w:r>
      <w:r w:rsidRPr="00AE0746">
        <w:rPr>
          <w:rFonts w:cs="Calibri"/>
          <w:lang w:val="fr-FR"/>
        </w:rPr>
        <w:t xml:space="preserve"> qui tend à </w:t>
      </w:r>
      <w:r w:rsidR="0008513D">
        <w:rPr>
          <w:rFonts w:cs="Calibri"/>
          <w:lang w:val="fr-FR"/>
        </w:rPr>
        <w:t>« </w:t>
      </w:r>
      <w:r w:rsidR="0008513D" w:rsidRPr="0008513D">
        <w:rPr>
          <w:rFonts w:cs="Calibri"/>
          <w:lang w:val="fr-FR"/>
        </w:rPr>
        <w:t>Renforcer le leadership et les capacités du Gouvernement, des autorités locales et des communautés pour planifier et gérer les territoires et les ressources en vue de réduire les risques et d’améliorer les conditions de vie en milieu rural et urbain</w:t>
      </w:r>
      <w:r w:rsidR="0008513D">
        <w:rPr>
          <w:rFonts w:cs="Calibri"/>
          <w:lang w:val="fr-FR"/>
        </w:rPr>
        <w:t> »</w:t>
      </w:r>
      <w:r w:rsidRPr="00AE0746">
        <w:rPr>
          <w:rFonts w:cs="Calibri"/>
          <w:lang w:val="fr-FR"/>
        </w:rPr>
        <w:t xml:space="preserve">. Le </w:t>
      </w:r>
      <w:r w:rsidR="007D2DAA">
        <w:rPr>
          <w:rFonts w:cs="Calibri"/>
          <w:lang w:val="fr-FR"/>
        </w:rPr>
        <w:t>Programme</w:t>
      </w:r>
      <w:r w:rsidRPr="00AE0746">
        <w:rPr>
          <w:rFonts w:cs="Calibri"/>
          <w:lang w:val="fr-FR"/>
        </w:rPr>
        <w:t xml:space="preserve"> contribue notamment aux résultats attendus dans le cadre de la refondation territoriale et de la refondation institutionnelle.  </w:t>
      </w:r>
    </w:p>
    <w:p w:rsidR="00433BE3" w:rsidRPr="009C1A6A" w:rsidRDefault="00433BE3" w:rsidP="00311774">
      <w:pPr>
        <w:pStyle w:val="BodyText"/>
        <w:jc w:val="both"/>
        <w:rPr>
          <w:rFonts w:ascii="Times New Roman" w:hAnsi="Times New Roman"/>
          <w:b/>
          <w:i/>
          <w:sz w:val="24"/>
          <w:szCs w:val="24"/>
          <w:lang w:val="fr-FR"/>
        </w:rPr>
      </w:pPr>
    </w:p>
    <w:p w:rsidR="00311774" w:rsidRPr="009C1A6A" w:rsidRDefault="00311774" w:rsidP="00311774">
      <w:pPr>
        <w:pStyle w:val="BodyText"/>
        <w:ind w:left="720"/>
        <w:jc w:val="both"/>
        <w:rPr>
          <w:rFonts w:ascii="Times New Roman" w:hAnsi="Times New Roman"/>
          <w:color w:val="17365D"/>
          <w:sz w:val="24"/>
          <w:szCs w:val="24"/>
          <w:lang w:val="fr-FR"/>
        </w:rPr>
      </w:pPr>
    </w:p>
    <w:p w:rsidR="00311774" w:rsidRDefault="00311774" w:rsidP="00311774">
      <w:pPr>
        <w:pStyle w:val="Heading1"/>
        <w:numPr>
          <w:ilvl w:val="0"/>
          <w:numId w:val="1"/>
        </w:numPr>
        <w:tabs>
          <w:tab w:val="clear" w:pos="1080"/>
          <w:tab w:val="left" w:pos="360"/>
        </w:tabs>
        <w:ind w:left="360" w:hanging="360"/>
        <w:jc w:val="left"/>
        <w:rPr>
          <w:rFonts w:ascii="Times New Roman" w:hAnsi="Times New Roman"/>
          <w:sz w:val="24"/>
          <w:szCs w:val="24"/>
          <w:lang w:val="fr-FR"/>
        </w:rPr>
      </w:pPr>
      <w:bookmarkStart w:id="2" w:name="_Toc249364484"/>
      <w:r w:rsidRPr="00040C93">
        <w:rPr>
          <w:rFonts w:ascii="Times New Roman" w:hAnsi="Times New Roman"/>
          <w:sz w:val="24"/>
          <w:szCs w:val="24"/>
          <w:lang w:val="fr-FR"/>
        </w:rPr>
        <w:t>R</w:t>
      </w:r>
      <w:bookmarkEnd w:id="2"/>
      <w:r w:rsidR="006C37CB" w:rsidRPr="00040C93">
        <w:rPr>
          <w:rFonts w:ascii="Times New Roman" w:hAnsi="Times New Roman"/>
          <w:sz w:val="24"/>
          <w:szCs w:val="24"/>
          <w:lang w:val="fr-FR"/>
        </w:rPr>
        <w:t>ésultats</w:t>
      </w:r>
      <w:r w:rsidRPr="00040C93">
        <w:rPr>
          <w:rFonts w:ascii="Times New Roman" w:hAnsi="Times New Roman"/>
          <w:sz w:val="24"/>
          <w:szCs w:val="24"/>
          <w:lang w:val="fr-FR"/>
        </w:rPr>
        <w:t xml:space="preserve"> </w:t>
      </w:r>
    </w:p>
    <w:p w:rsidR="009C1A6A" w:rsidRDefault="009C1A6A" w:rsidP="00CB6078">
      <w:pPr>
        <w:rPr>
          <w:lang w:val="fr-FR" w:eastAsia="x-none"/>
        </w:rPr>
      </w:pPr>
    </w:p>
    <w:p w:rsidR="009C1A6A" w:rsidRPr="00E3532D" w:rsidRDefault="009C1A6A" w:rsidP="009C1A6A">
      <w:pPr>
        <w:numPr>
          <w:ilvl w:val="0"/>
          <w:numId w:val="12"/>
        </w:numPr>
        <w:rPr>
          <w:b/>
          <w:lang w:val="fr-FR" w:eastAsia="x-none"/>
        </w:rPr>
      </w:pPr>
      <w:r w:rsidRPr="00E3532D">
        <w:rPr>
          <w:b/>
          <w:lang w:val="fr-FR" w:eastAsia="x-none"/>
        </w:rPr>
        <w:t>Rapport descriptif des résultats</w:t>
      </w:r>
      <w:r w:rsidRPr="00E3532D">
        <w:rPr>
          <w:lang w:val="fr-FR" w:eastAsia="x-none"/>
        </w:rPr>
        <w:t>:</w:t>
      </w:r>
    </w:p>
    <w:p w:rsidR="009C1A6A" w:rsidRPr="00CB6078" w:rsidRDefault="009C1A6A" w:rsidP="00CB6078">
      <w:pPr>
        <w:rPr>
          <w:lang w:val="fr-FR" w:eastAsia="x-none"/>
        </w:rPr>
      </w:pPr>
    </w:p>
    <w:p w:rsidR="007C0CE2" w:rsidRPr="007C0CE2" w:rsidRDefault="007C0CE2" w:rsidP="007C0CE2">
      <w:pPr>
        <w:pStyle w:val="BodyText"/>
        <w:jc w:val="both"/>
        <w:rPr>
          <w:rStyle w:val="hps"/>
          <w:rFonts w:ascii="Times New Roman" w:hAnsi="Times New Roman"/>
          <w:b/>
          <w:sz w:val="24"/>
          <w:szCs w:val="24"/>
          <w:u w:val="single"/>
          <w:lang w:val="fr-FR"/>
        </w:rPr>
      </w:pPr>
      <w:r w:rsidRPr="007C0CE2">
        <w:rPr>
          <w:rStyle w:val="hps"/>
          <w:rFonts w:ascii="Times New Roman" w:hAnsi="Times New Roman"/>
          <w:b/>
          <w:sz w:val="24"/>
          <w:szCs w:val="24"/>
          <w:u w:val="single"/>
          <w:lang w:val="fr-FR"/>
        </w:rPr>
        <w:t>Composante 1</w:t>
      </w:r>
    </w:p>
    <w:p w:rsidR="007C0CE2" w:rsidRDefault="007C0CE2" w:rsidP="007C0CE2">
      <w:pPr>
        <w:pStyle w:val="BodyText"/>
        <w:jc w:val="both"/>
        <w:rPr>
          <w:rFonts w:ascii="Times New Roman" w:hAnsi="Times New Roman" w:cs="Times New Roman"/>
          <w:bCs/>
          <w:sz w:val="24"/>
          <w:szCs w:val="24"/>
          <w:lang w:val="fr-FR"/>
        </w:rPr>
      </w:pPr>
    </w:p>
    <w:p w:rsidR="007B4692" w:rsidRPr="00635359" w:rsidRDefault="00050BA9" w:rsidP="00050BA9">
      <w:pPr>
        <w:pStyle w:val="BodyText"/>
        <w:jc w:val="both"/>
        <w:rPr>
          <w:b/>
          <w:lang w:val="fr-FR" w:eastAsia="x-none"/>
        </w:rPr>
      </w:pPr>
      <w:r>
        <w:rPr>
          <w:rFonts w:ascii="Times New Roman" w:hAnsi="Times New Roman" w:cs="Times New Roman"/>
          <w:bCs/>
          <w:sz w:val="24"/>
          <w:szCs w:val="24"/>
          <w:lang w:val="fr-FR"/>
        </w:rPr>
        <w:t>La composante 1 a pris fin le 31 décembre 2013.</w:t>
      </w:r>
    </w:p>
    <w:p w:rsidR="00481613" w:rsidRDefault="00481613" w:rsidP="00481613">
      <w:pPr>
        <w:pStyle w:val="BodyText"/>
        <w:tabs>
          <w:tab w:val="left" w:pos="360"/>
        </w:tabs>
        <w:jc w:val="both"/>
        <w:rPr>
          <w:rFonts w:ascii="Times New Roman" w:hAnsi="Times New Roman" w:cs="Times New Roman"/>
          <w:bCs/>
          <w:sz w:val="24"/>
          <w:szCs w:val="24"/>
          <w:lang w:val="fr-FR"/>
        </w:rPr>
      </w:pPr>
    </w:p>
    <w:bookmarkEnd w:id="0"/>
    <w:p w:rsidR="007C0CE2" w:rsidRPr="007B4692" w:rsidRDefault="007C0CE2" w:rsidP="007B4692">
      <w:pPr>
        <w:pStyle w:val="BodyText"/>
        <w:jc w:val="both"/>
        <w:rPr>
          <w:rStyle w:val="hps"/>
          <w:rFonts w:ascii="Times New Roman" w:hAnsi="Times New Roman"/>
          <w:b/>
          <w:sz w:val="24"/>
          <w:szCs w:val="24"/>
          <w:u w:val="single"/>
          <w:lang w:val="fr-FR"/>
        </w:rPr>
      </w:pPr>
      <w:r w:rsidRPr="007B4692">
        <w:rPr>
          <w:rStyle w:val="hps"/>
          <w:rFonts w:ascii="Times New Roman" w:hAnsi="Times New Roman"/>
          <w:b/>
          <w:sz w:val="24"/>
          <w:szCs w:val="24"/>
          <w:u w:val="single"/>
          <w:lang w:val="fr-FR"/>
        </w:rPr>
        <w:t>Composante 2</w:t>
      </w:r>
    </w:p>
    <w:p w:rsidR="007C0CE2" w:rsidRDefault="007C0CE2" w:rsidP="00635359">
      <w:pPr>
        <w:pStyle w:val="BodyText"/>
        <w:jc w:val="both"/>
        <w:rPr>
          <w:rStyle w:val="hps"/>
          <w:rFonts w:ascii="Times New Roman" w:hAnsi="Times New Roman"/>
          <w:b/>
          <w:sz w:val="24"/>
          <w:szCs w:val="24"/>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Résultats</w:t>
      </w:r>
    </w:p>
    <w:p w:rsidR="00635359" w:rsidRDefault="00635359" w:rsidP="00095A16">
      <w:pPr>
        <w:pStyle w:val="BodyText"/>
        <w:tabs>
          <w:tab w:val="left" w:pos="0"/>
        </w:tabs>
        <w:jc w:val="both"/>
        <w:rPr>
          <w:rFonts w:ascii="Times New Roman" w:hAnsi="Times New Roman" w:cs="Times New Roman"/>
          <w:b/>
          <w:bCs/>
          <w:sz w:val="24"/>
          <w:szCs w:val="24"/>
          <w:lang w:val="fr-FR"/>
        </w:rPr>
      </w:pPr>
    </w:p>
    <w:p w:rsidR="00A84C90" w:rsidRPr="007B31B6" w:rsidRDefault="00635359" w:rsidP="00A84C90">
      <w:pPr>
        <w:tabs>
          <w:tab w:val="left" w:pos="0"/>
        </w:tabs>
        <w:jc w:val="both"/>
        <w:rPr>
          <w:lang w:val="fr-FR"/>
        </w:rPr>
      </w:pPr>
      <w:r w:rsidRPr="002B351A">
        <w:rPr>
          <w:b/>
          <w:lang w:val="fr-FR" w:eastAsia="fr-FR"/>
        </w:rPr>
        <w:t>Plateforme</w:t>
      </w:r>
      <w:r w:rsidR="00760D2B">
        <w:rPr>
          <w:b/>
          <w:lang w:val="fr-FR" w:eastAsia="fr-FR"/>
        </w:rPr>
        <w:t xml:space="preserve"> SILQ conçue et opérationnelle:</w:t>
      </w:r>
      <w:r>
        <w:rPr>
          <w:b/>
          <w:lang w:val="fr-FR" w:eastAsia="fr-FR"/>
        </w:rPr>
        <w:t xml:space="preserve"> </w:t>
      </w:r>
      <w:r w:rsidR="00A84C90" w:rsidRPr="007B31B6">
        <w:rPr>
          <w:lang w:val="fr-FR" w:eastAsia="fr-FR"/>
        </w:rPr>
        <w:t>La composante 2 a procédé</w:t>
      </w:r>
      <w:r w:rsidR="00A84C90" w:rsidRPr="007B31B6">
        <w:rPr>
          <w:lang w:val="fr-FR"/>
        </w:rPr>
        <w:t xml:space="preserve"> à</w:t>
      </w:r>
      <w:r w:rsidR="00A84C90" w:rsidRPr="007B31B6">
        <w:rPr>
          <w:lang w:val="fr-FR" w:eastAsia="fr-FR"/>
        </w:rPr>
        <w:t xml:space="preserve"> la mise en ligne et au lanc</w:t>
      </w:r>
      <w:r w:rsidR="00050BA9">
        <w:rPr>
          <w:lang w:val="fr-FR" w:eastAsia="fr-FR"/>
        </w:rPr>
        <w:t>ement de la Plateforme SILQ en j</w:t>
      </w:r>
      <w:r w:rsidR="00A84C90" w:rsidRPr="007B31B6">
        <w:rPr>
          <w:lang w:val="fr-FR" w:eastAsia="fr-FR"/>
        </w:rPr>
        <w:t>anvier 2014</w:t>
      </w:r>
      <w:r w:rsidR="00050BA9">
        <w:rPr>
          <w:lang w:val="fr-FR" w:eastAsia="fr-FR"/>
        </w:rPr>
        <w:t>.</w:t>
      </w:r>
      <w:r w:rsidR="00A84C90" w:rsidRPr="007B31B6">
        <w:rPr>
          <w:b/>
          <w:lang w:val="fr-FR" w:eastAsia="fr-FR"/>
        </w:rPr>
        <w:t xml:space="preserve"> </w:t>
      </w:r>
      <w:r w:rsidR="00A84C90" w:rsidRPr="007B31B6">
        <w:rPr>
          <w:lang w:val="fr-FR"/>
        </w:rPr>
        <w:t xml:space="preserve">La plateforme SILQ qui a fait l’objet d’une refonte complète par rapport à sa version initiale a été conçue de manière à être plus ergonomique, </w:t>
      </w:r>
      <w:proofErr w:type="gramStart"/>
      <w:r w:rsidR="00A84C90" w:rsidRPr="007B31B6">
        <w:rPr>
          <w:lang w:val="fr-FR"/>
        </w:rPr>
        <w:t>a</w:t>
      </w:r>
      <w:proofErr w:type="gramEnd"/>
      <w:r w:rsidR="00A84C90" w:rsidRPr="007B31B6">
        <w:rPr>
          <w:lang w:val="fr-FR"/>
        </w:rPr>
        <w:t xml:space="preserve"> pouvoir s’aff</w:t>
      </w:r>
      <w:r w:rsidR="00AA3DFB">
        <w:rPr>
          <w:lang w:val="fr-FR"/>
        </w:rPr>
        <w:t>icher sur des tablettes et des s</w:t>
      </w:r>
      <w:r w:rsidR="00A84C90" w:rsidRPr="007B31B6">
        <w:rPr>
          <w:lang w:val="fr-FR"/>
        </w:rPr>
        <w:t>martphones et surtout de manière à intégrer l’ensemble des résultats des quatre composantes du Programme. En effet sous sa forme actuelle la plateforme SILQ se subdivise en cinq grandes composantes :</w:t>
      </w:r>
    </w:p>
    <w:p w:rsidR="00A84C90" w:rsidRPr="007B31B6" w:rsidRDefault="00A84C90" w:rsidP="00A84C90">
      <w:pPr>
        <w:ind w:left="360"/>
        <w:jc w:val="both"/>
        <w:rPr>
          <w:lang w:val="fr-FR"/>
        </w:rPr>
      </w:pPr>
    </w:p>
    <w:p w:rsidR="00A84C90" w:rsidRPr="007B31B6" w:rsidRDefault="00A84C90" w:rsidP="00A84C90">
      <w:pPr>
        <w:pStyle w:val="BodyText"/>
        <w:numPr>
          <w:ilvl w:val="0"/>
          <w:numId w:val="8"/>
        </w:numPr>
        <w:jc w:val="both"/>
        <w:rPr>
          <w:rFonts w:ascii="Times New Roman" w:hAnsi="Times New Roman" w:cs="Times New Roman"/>
          <w:sz w:val="24"/>
          <w:szCs w:val="24"/>
          <w:lang w:val="fr-FR"/>
        </w:rPr>
      </w:pPr>
      <w:r w:rsidRPr="007B31B6">
        <w:rPr>
          <w:rFonts w:ascii="Times New Roman" w:hAnsi="Times New Roman" w:cs="Times New Roman"/>
          <w:sz w:val="24"/>
          <w:szCs w:val="24"/>
          <w:lang w:val="fr-FR"/>
        </w:rPr>
        <w:t xml:space="preserve">Un site </w:t>
      </w:r>
      <w:r w:rsidR="007B31B6" w:rsidRPr="007B31B6">
        <w:rPr>
          <w:rFonts w:ascii="Times New Roman" w:hAnsi="Times New Roman" w:cs="Times New Roman"/>
          <w:sz w:val="24"/>
          <w:szCs w:val="24"/>
          <w:lang w:val="fr-FR"/>
        </w:rPr>
        <w:t>web</w:t>
      </w:r>
      <w:r w:rsidRPr="007B31B6">
        <w:rPr>
          <w:rFonts w:ascii="Times New Roman" w:hAnsi="Times New Roman" w:cs="Times New Roman"/>
          <w:sz w:val="24"/>
          <w:szCs w:val="24"/>
          <w:lang w:val="fr-FR"/>
        </w:rPr>
        <w:t> : qui informe l’utilisateur en particulier sur la composante 2, ses objectifs, ses acteurs et ses résultats mais en général sur l’ensemble du programme et ses composantes. Ce site d’information constitue également l’interface avec le réseau des utilisateurs et producteurs du SILQ qui</w:t>
      </w:r>
      <w:r w:rsidR="007B31B6" w:rsidRPr="007B31B6">
        <w:rPr>
          <w:rFonts w:ascii="Times New Roman" w:hAnsi="Times New Roman" w:cs="Times New Roman"/>
          <w:sz w:val="24"/>
          <w:szCs w:val="24"/>
          <w:lang w:val="fr-FR"/>
        </w:rPr>
        <w:t>,</w:t>
      </w:r>
      <w:r w:rsidRPr="007B31B6">
        <w:rPr>
          <w:rFonts w:ascii="Times New Roman" w:hAnsi="Times New Roman" w:cs="Times New Roman"/>
          <w:sz w:val="24"/>
          <w:szCs w:val="24"/>
          <w:lang w:val="fr-FR"/>
        </w:rPr>
        <w:t xml:space="preserve"> </w:t>
      </w:r>
      <w:r w:rsidR="007B31B6" w:rsidRPr="007B31B6">
        <w:rPr>
          <w:rFonts w:ascii="Times New Roman" w:hAnsi="Times New Roman" w:cs="Times New Roman"/>
          <w:sz w:val="24"/>
          <w:szCs w:val="24"/>
          <w:lang w:val="fr-FR"/>
        </w:rPr>
        <w:t xml:space="preserve">à </w:t>
      </w:r>
      <w:r w:rsidRPr="007B31B6">
        <w:rPr>
          <w:rFonts w:ascii="Times New Roman" w:hAnsi="Times New Roman" w:cs="Times New Roman"/>
          <w:sz w:val="24"/>
          <w:szCs w:val="24"/>
          <w:lang w:val="fr-FR"/>
        </w:rPr>
        <w:t>travers un formulaire d’inscription en ligne</w:t>
      </w:r>
      <w:r w:rsidR="007B31B6" w:rsidRPr="007B31B6">
        <w:rPr>
          <w:rFonts w:ascii="Times New Roman" w:hAnsi="Times New Roman" w:cs="Times New Roman"/>
          <w:sz w:val="24"/>
          <w:szCs w:val="24"/>
          <w:lang w:val="fr-FR"/>
        </w:rPr>
        <w:t>,</w:t>
      </w:r>
      <w:r w:rsidRPr="007B31B6">
        <w:rPr>
          <w:rFonts w:ascii="Times New Roman" w:hAnsi="Times New Roman" w:cs="Times New Roman"/>
          <w:sz w:val="24"/>
          <w:szCs w:val="24"/>
          <w:lang w:val="fr-FR"/>
        </w:rPr>
        <w:t xml:space="preserve"> peuvent effectuer leurs demandes de partage de données issues des thématiques du SILQ et </w:t>
      </w:r>
      <w:r w:rsidR="007B31B6" w:rsidRPr="007B31B6">
        <w:rPr>
          <w:rFonts w:ascii="Times New Roman" w:hAnsi="Times New Roman" w:cs="Times New Roman"/>
          <w:sz w:val="24"/>
          <w:szCs w:val="24"/>
          <w:lang w:val="fr-FR"/>
        </w:rPr>
        <w:t xml:space="preserve">qui, </w:t>
      </w:r>
      <w:r w:rsidRPr="007B31B6">
        <w:rPr>
          <w:rFonts w:ascii="Times New Roman" w:hAnsi="Times New Roman" w:cs="Times New Roman"/>
          <w:sz w:val="24"/>
          <w:szCs w:val="24"/>
          <w:lang w:val="fr-FR"/>
        </w:rPr>
        <w:t>après validation de l’UCLBP / CNIGS</w:t>
      </w:r>
      <w:r w:rsidR="007B31B6" w:rsidRPr="007B31B6">
        <w:rPr>
          <w:rFonts w:ascii="Times New Roman" w:hAnsi="Times New Roman" w:cs="Times New Roman"/>
          <w:sz w:val="24"/>
          <w:szCs w:val="24"/>
          <w:lang w:val="fr-FR"/>
        </w:rPr>
        <w:t>,</w:t>
      </w:r>
      <w:r w:rsidRPr="007B31B6">
        <w:rPr>
          <w:rFonts w:ascii="Times New Roman" w:hAnsi="Times New Roman" w:cs="Times New Roman"/>
          <w:sz w:val="24"/>
          <w:szCs w:val="24"/>
          <w:lang w:val="fr-FR"/>
        </w:rPr>
        <w:t xml:space="preserve"> pourront faire partie de la base de données des utilisateurs et avoir accès </w:t>
      </w:r>
      <w:r w:rsidR="007B31B6" w:rsidRPr="007B31B6">
        <w:rPr>
          <w:rFonts w:ascii="Times New Roman" w:hAnsi="Times New Roman" w:cs="Times New Roman"/>
          <w:sz w:val="24"/>
          <w:szCs w:val="24"/>
          <w:lang w:val="fr-FR"/>
        </w:rPr>
        <w:t>à</w:t>
      </w:r>
      <w:r w:rsidRPr="007B31B6">
        <w:rPr>
          <w:rFonts w:ascii="Times New Roman" w:hAnsi="Times New Roman" w:cs="Times New Roman"/>
          <w:sz w:val="24"/>
          <w:szCs w:val="24"/>
          <w:lang w:val="fr-FR"/>
        </w:rPr>
        <w:t xml:space="preserve"> l’ensemble des </w:t>
      </w:r>
      <w:r w:rsidR="007B31B6" w:rsidRPr="007B31B6">
        <w:rPr>
          <w:rFonts w:ascii="Times New Roman" w:hAnsi="Times New Roman" w:cs="Times New Roman"/>
          <w:sz w:val="24"/>
          <w:szCs w:val="24"/>
          <w:lang w:val="fr-FR"/>
        </w:rPr>
        <w:t>informations</w:t>
      </w:r>
      <w:r w:rsidRPr="007B31B6">
        <w:rPr>
          <w:rFonts w:ascii="Times New Roman" w:hAnsi="Times New Roman" w:cs="Times New Roman"/>
          <w:sz w:val="24"/>
          <w:szCs w:val="24"/>
          <w:lang w:val="fr-FR"/>
        </w:rPr>
        <w:t xml:space="preserve"> produites</w:t>
      </w:r>
    </w:p>
    <w:p w:rsidR="00A84C90" w:rsidRPr="007B31B6" w:rsidRDefault="00A84C90" w:rsidP="00A84C90">
      <w:pPr>
        <w:pStyle w:val="BodyText"/>
        <w:numPr>
          <w:ilvl w:val="0"/>
          <w:numId w:val="8"/>
        </w:numPr>
        <w:jc w:val="both"/>
        <w:rPr>
          <w:rFonts w:ascii="Times New Roman" w:hAnsi="Times New Roman" w:cs="Times New Roman"/>
          <w:sz w:val="24"/>
          <w:szCs w:val="24"/>
          <w:lang w:val="fr-FR"/>
        </w:rPr>
      </w:pPr>
      <w:r w:rsidRPr="007B31B6">
        <w:rPr>
          <w:rFonts w:ascii="Times New Roman" w:hAnsi="Times New Roman" w:cs="Times New Roman"/>
          <w:sz w:val="24"/>
          <w:szCs w:val="24"/>
          <w:lang w:val="fr-FR"/>
        </w:rPr>
        <w:t xml:space="preserve">Un </w:t>
      </w:r>
      <w:proofErr w:type="spellStart"/>
      <w:r w:rsidRPr="007B31B6">
        <w:rPr>
          <w:rFonts w:ascii="Times New Roman" w:hAnsi="Times New Roman" w:cs="Times New Roman"/>
          <w:sz w:val="24"/>
          <w:szCs w:val="24"/>
          <w:lang w:val="fr-FR"/>
        </w:rPr>
        <w:t>Geoportail</w:t>
      </w:r>
      <w:proofErr w:type="spellEnd"/>
      <w:r w:rsidRPr="007B31B6">
        <w:rPr>
          <w:rFonts w:ascii="Times New Roman" w:hAnsi="Times New Roman" w:cs="Times New Roman"/>
          <w:sz w:val="24"/>
          <w:szCs w:val="24"/>
          <w:lang w:val="fr-FR"/>
        </w:rPr>
        <w:t xml:space="preserve"> qui permet </w:t>
      </w:r>
      <w:r w:rsidRPr="007B31B6">
        <w:rPr>
          <w:lang w:val="fr-FR"/>
        </w:rPr>
        <w:t>à</w:t>
      </w:r>
      <w:r w:rsidRPr="007B31B6">
        <w:rPr>
          <w:rFonts w:ascii="Times New Roman" w:hAnsi="Times New Roman" w:cs="Times New Roman"/>
          <w:sz w:val="24"/>
          <w:szCs w:val="24"/>
          <w:lang w:val="fr-FR"/>
        </w:rPr>
        <w:t xml:space="preserve"> l’utilisateur de visualiser</w:t>
      </w:r>
      <w:r w:rsidR="007B31B6" w:rsidRPr="007B31B6">
        <w:rPr>
          <w:rFonts w:ascii="Times New Roman" w:hAnsi="Times New Roman" w:cs="Times New Roman"/>
          <w:sz w:val="24"/>
          <w:szCs w:val="24"/>
          <w:lang w:val="fr-FR"/>
        </w:rPr>
        <w:t xml:space="preserve"> et</w:t>
      </w:r>
      <w:r w:rsidRPr="007B31B6">
        <w:rPr>
          <w:rFonts w:ascii="Times New Roman" w:hAnsi="Times New Roman" w:cs="Times New Roman"/>
          <w:sz w:val="24"/>
          <w:szCs w:val="24"/>
          <w:lang w:val="fr-FR"/>
        </w:rPr>
        <w:t xml:space="preserve"> d’interroger une carte numérique interactive de l’ensem</w:t>
      </w:r>
      <w:r w:rsidR="00AA3DFB">
        <w:rPr>
          <w:rFonts w:ascii="Times New Roman" w:hAnsi="Times New Roman" w:cs="Times New Roman"/>
          <w:sz w:val="24"/>
          <w:szCs w:val="24"/>
          <w:lang w:val="fr-FR"/>
        </w:rPr>
        <w:t>ble des données produites par les</w:t>
      </w:r>
      <w:r w:rsidRPr="007B31B6">
        <w:rPr>
          <w:rFonts w:ascii="Times New Roman" w:hAnsi="Times New Roman" w:cs="Times New Roman"/>
          <w:sz w:val="24"/>
          <w:szCs w:val="24"/>
          <w:lang w:val="fr-FR"/>
        </w:rPr>
        <w:t xml:space="preserve"> composante</w:t>
      </w:r>
      <w:r w:rsidR="00AA3DFB">
        <w:rPr>
          <w:rFonts w:ascii="Times New Roman" w:hAnsi="Times New Roman" w:cs="Times New Roman"/>
          <w:sz w:val="24"/>
          <w:szCs w:val="24"/>
          <w:lang w:val="fr-FR"/>
        </w:rPr>
        <w:t>s 1 et</w:t>
      </w:r>
      <w:r w:rsidRPr="007B31B6">
        <w:rPr>
          <w:rFonts w:ascii="Times New Roman" w:hAnsi="Times New Roman" w:cs="Times New Roman"/>
          <w:sz w:val="24"/>
          <w:szCs w:val="24"/>
          <w:lang w:val="fr-FR"/>
        </w:rPr>
        <w:t xml:space="preserve"> 2 et par les membres du réseau.</w:t>
      </w:r>
    </w:p>
    <w:p w:rsidR="00A84C90" w:rsidRPr="007B31B6" w:rsidRDefault="00A84C90" w:rsidP="00A84C90">
      <w:pPr>
        <w:pStyle w:val="BodyText"/>
        <w:numPr>
          <w:ilvl w:val="0"/>
          <w:numId w:val="8"/>
        </w:numPr>
        <w:jc w:val="both"/>
        <w:rPr>
          <w:rFonts w:ascii="Times New Roman" w:hAnsi="Times New Roman" w:cs="Times New Roman"/>
          <w:sz w:val="24"/>
          <w:szCs w:val="24"/>
          <w:lang w:val="fr-FR"/>
        </w:rPr>
      </w:pPr>
      <w:r w:rsidRPr="007B31B6">
        <w:rPr>
          <w:rFonts w:ascii="Times New Roman" w:hAnsi="Times New Roman" w:cs="Times New Roman"/>
          <w:sz w:val="24"/>
          <w:szCs w:val="24"/>
          <w:lang w:val="fr-FR"/>
        </w:rPr>
        <w:lastRenderedPageBreak/>
        <w:t xml:space="preserve">Un module de rapport et de statistiques globales par commune et par quartier  qui permet </w:t>
      </w:r>
      <w:r w:rsidR="007B31B6" w:rsidRPr="007B31B6">
        <w:rPr>
          <w:rFonts w:ascii="Times New Roman" w:hAnsi="Times New Roman" w:cs="Times New Roman"/>
          <w:sz w:val="24"/>
          <w:szCs w:val="24"/>
          <w:lang w:val="fr-FR"/>
        </w:rPr>
        <w:t>à</w:t>
      </w:r>
      <w:r w:rsidRPr="007B31B6">
        <w:rPr>
          <w:rFonts w:ascii="Times New Roman" w:hAnsi="Times New Roman" w:cs="Times New Roman"/>
          <w:sz w:val="24"/>
          <w:szCs w:val="24"/>
          <w:lang w:val="fr-FR"/>
        </w:rPr>
        <w:t xml:space="preserve"> tout utilisateur d</w:t>
      </w:r>
      <w:r w:rsidR="00AA3DFB">
        <w:rPr>
          <w:rFonts w:ascii="Times New Roman" w:hAnsi="Times New Roman" w:cs="Times New Roman"/>
          <w:sz w:val="24"/>
          <w:szCs w:val="24"/>
          <w:lang w:val="fr-FR"/>
        </w:rPr>
        <w:t xml:space="preserve">e la plateforme d’accéder aux </w:t>
      </w:r>
      <w:proofErr w:type="gramStart"/>
      <w:r w:rsidRPr="007B31B6">
        <w:rPr>
          <w:rFonts w:ascii="Times New Roman" w:hAnsi="Times New Roman" w:cs="Times New Roman"/>
          <w:sz w:val="24"/>
          <w:szCs w:val="24"/>
          <w:lang w:val="fr-FR"/>
        </w:rPr>
        <w:t>fiche</w:t>
      </w:r>
      <w:r w:rsidR="007B31B6" w:rsidRPr="007B31B6">
        <w:rPr>
          <w:rFonts w:ascii="Times New Roman" w:hAnsi="Times New Roman" w:cs="Times New Roman"/>
          <w:sz w:val="24"/>
          <w:szCs w:val="24"/>
          <w:lang w:val="fr-FR"/>
        </w:rPr>
        <w:t>s</w:t>
      </w:r>
      <w:r w:rsidRPr="007B31B6">
        <w:rPr>
          <w:rFonts w:ascii="Times New Roman" w:hAnsi="Times New Roman" w:cs="Times New Roman"/>
          <w:sz w:val="24"/>
          <w:szCs w:val="24"/>
          <w:lang w:val="fr-FR"/>
        </w:rPr>
        <w:t xml:space="preserve"> commune</w:t>
      </w:r>
      <w:proofErr w:type="gramEnd"/>
      <w:r w:rsidRPr="007B31B6">
        <w:rPr>
          <w:rFonts w:ascii="Times New Roman" w:hAnsi="Times New Roman" w:cs="Times New Roman"/>
          <w:sz w:val="24"/>
          <w:szCs w:val="24"/>
          <w:lang w:val="fr-FR"/>
        </w:rPr>
        <w:t xml:space="preserve"> et quartier de la zone pilote du SILQ. </w:t>
      </w:r>
    </w:p>
    <w:p w:rsidR="00A84C90" w:rsidRPr="007B31B6" w:rsidRDefault="007B31B6" w:rsidP="00A84C90">
      <w:pPr>
        <w:pStyle w:val="BodyText"/>
        <w:numPr>
          <w:ilvl w:val="0"/>
          <w:numId w:val="8"/>
        </w:numPr>
        <w:jc w:val="both"/>
        <w:rPr>
          <w:rFonts w:ascii="Times New Roman" w:hAnsi="Times New Roman" w:cs="Times New Roman"/>
          <w:sz w:val="24"/>
          <w:szCs w:val="24"/>
          <w:lang w:val="fr-FR"/>
        </w:rPr>
      </w:pPr>
      <w:r w:rsidRPr="007B31B6">
        <w:rPr>
          <w:rFonts w:ascii="Times New Roman" w:hAnsi="Times New Roman" w:cs="Times New Roman"/>
          <w:sz w:val="24"/>
          <w:szCs w:val="24"/>
          <w:lang w:val="fr-FR"/>
        </w:rPr>
        <w:t>Un module</w:t>
      </w:r>
      <w:r w:rsidR="00A84C90" w:rsidRPr="007B31B6">
        <w:rPr>
          <w:rFonts w:ascii="Times New Roman" w:hAnsi="Times New Roman" w:cs="Times New Roman"/>
          <w:sz w:val="24"/>
          <w:szCs w:val="24"/>
          <w:lang w:val="fr-FR"/>
        </w:rPr>
        <w:t xml:space="preserve"> « réseau social » qui permet de rendre la plateforme visible sur les réseaux sociaux (twitter,</w:t>
      </w:r>
      <w:r w:rsidRPr="007B31B6">
        <w:rPr>
          <w:rFonts w:ascii="Times New Roman" w:hAnsi="Times New Roman" w:cs="Times New Roman"/>
          <w:sz w:val="24"/>
          <w:szCs w:val="24"/>
          <w:lang w:val="fr-FR"/>
        </w:rPr>
        <w:t xml:space="preserve"> </w:t>
      </w:r>
      <w:proofErr w:type="spellStart"/>
      <w:r w:rsidR="00A84C90" w:rsidRPr="007B31B6">
        <w:rPr>
          <w:rFonts w:ascii="Times New Roman" w:hAnsi="Times New Roman" w:cs="Times New Roman"/>
          <w:sz w:val="24"/>
          <w:szCs w:val="24"/>
          <w:lang w:val="fr-FR"/>
        </w:rPr>
        <w:t>facebook</w:t>
      </w:r>
      <w:proofErr w:type="spellEnd"/>
      <w:r w:rsidR="00A84C90" w:rsidRPr="007B31B6">
        <w:rPr>
          <w:rFonts w:ascii="Times New Roman" w:hAnsi="Times New Roman" w:cs="Times New Roman"/>
          <w:sz w:val="24"/>
          <w:szCs w:val="24"/>
          <w:lang w:val="fr-FR"/>
        </w:rPr>
        <w:t>,</w:t>
      </w:r>
      <w:r w:rsidRPr="007B31B6">
        <w:rPr>
          <w:rFonts w:ascii="Times New Roman" w:hAnsi="Times New Roman" w:cs="Times New Roman"/>
          <w:sz w:val="24"/>
          <w:szCs w:val="24"/>
          <w:lang w:val="fr-FR"/>
        </w:rPr>
        <w:t xml:space="preserve"> etc.</w:t>
      </w:r>
      <w:r w:rsidR="00A84C90" w:rsidRPr="007B31B6">
        <w:rPr>
          <w:rFonts w:ascii="Times New Roman" w:hAnsi="Times New Roman" w:cs="Times New Roman"/>
          <w:sz w:val="24"/>
          <w:szCs w:val="24"/>
          <w:lang w:val="fr-FR"/>
        </w:rPr>
        <w:t xml:space="preserve">) et donner la possibilité aux membres du réseau des utilisateurs et des producteurs de données du SILQ d’avoir accès </w:t>
      </w:r>
      <w:r w:rsidRPr="007B31B6">
        <w:rPr>
          <w:rFonts w:ascii="Times New Roman" w:hAnsi="Times New Roman" w:cs="Times New Roman"/>
          <w:sz w:val="24"/>
          <w:szCs w:val="24"/>
          <w:lang w:val="fr-FR"/>
        </w:rPr>
        <w:t>à</w:t>
      </w:r>
      <w:r w:rsidR="00A84C90" w:rsidRPr="007B31B6">
        <w:rPr>
          <w:rFonts w:ascii="Times New Roman" w:hAnsi="Times New Roman" w:cs="Times New Roman"/>
          <w:sz w:val="24"/>
          <w:szCs w:val="24"/>
          <w:lang w:val="fr-FR"/>
        </w:rPr>
        <w:t xml:space="preserve"> un web forum </w:t>
      </w:r>
      <w:r w:rsidRPr="007B31B6">
        <w:rPr>
          <w:rFonts w:ascii="Times New Roman" w:hAnsi="Times New Roman" w:cs="Times New Roman"/>
          <w:sz w:val="24"/>
          <w:szCs w:val="24"/>
          <w:lang w:val="fr-FR"/>
        </w:rPr>
        <w:t>à travers du</w:t>
      </w:r>
      <w:r w:rsidR="00A84C90" w:rsidRPr="007B31B6">
        <w:rPr>
          <w:rFonts w:ascii="Times New Roman" w:hAnsi="Times New Roman" w:cs="Times New Roman"/>
          <w:sz w:val="24"/>
          <w:szCs w:val="24"/>
          <w:lang w:val="fr-FR"/>
        </w:rPr>
        <w:t>quel ils peuvent uploader des articles traitant de sujets se rapportant aux thématiques du SILQ et également poster des commentaires sur les articles envoyés par d’autres membres</w:t>
      </w:r>
      <w:r w:rsidRPr="007B31B6">
        <w:rPr>
          <w:rFonts w:ascii="Times New Roman" w:hAnsi="Times New Roman" w:cs="Times New Roman"/>
          <w:sz w:val="24"/>
          <w:szCs w:val="24"/>
          <w:lang w:val="fr-FR"/>
        </w:rPr>
        <w:t>.</w:t>
      </w:r>
      <w:r w:rsidR="00A84C90" w:rsidRPr="007B31B6">
        <w:rPr>
          <w:rFonts w:ascii="Times New Roman" w:hAnsi="Times New Roman" w:cs="Times New Roman"/>
          <w:sz w:val="24"/>
          <w:szCs w:val="24"/>
          <w:lang w:val="fr-FR"/>
        </w:rPr>
        <w:t xml:space="preserve"> </w:t>
      </w:r>
    </w:p>
    <w:p w:rsidR="00635359" w:rsidRPr="007B31B6" w:rsidRDefault="00A84C90" w:rsidP="00635359">
      <w:pPr>
        <w:pStyle w:val="BodyText"/>
        <w:numPr>
          <w:ilvl w:val="0"/>
          <w:numId w:val="8"/>
        </w:numPr>
        <w:jc w:val="both"/>
        <w:rPr>
          <w:rFonts w:ascii="Times New Roman" w:hAnsi="Times New Roman" w:cs="Times New Roman"/>
          <w:sz w:val="24"/>
          <w:szCs w:val="24"/>
          <w:lang w:val="fr-FR"/>
        </w:rPr>
      </w:pPr>
      <w:r w:rsidRPr="007B31B6">
        <w:rPr>
          <w:rFonts w:ascii="Times New Roman" w:hAnsi="Times New Roman" w:cs="Times New Roman"/>
          <w:sz w:val="24"/>
          <w:szCs w:val="24"/>
          <w:lang w:val="fr-FR"/>
        </w:rPr>
        <w:t>Enfin</w:t>
      </w:r>
      <w:r w:rsidR="007B31B6" w:rsidRPr="007B31B6">
        <w:rPr>
          <w:rFonts w:ascii="Times New Roman" w:hAnsi="Times New Roman" w:cs="Times New Roman"/>
          <w:sz w:val="24"/>
          <w:szCs w:val="24"/>
          <w:lang w:val="fr-FR"/>
        </w:rPr>
        <w:t>,</w:t>
      </w:r>
      <w:r w:rsidRPr="007B31B6">
        <w:rPr>
          <w:rFonts w:ascii="Times New Roman" w:hAnsi="Times New Roman" w:cs="Times New Roman"/>
          <w:sz w:val="24"/>
          <w:szCs w:val="24"/>
          <w:lang w:val="fr-FR"/>
        </w:rPr>
        <w:t xml:space="preserve"> dans le souci de pouvoir assurer la continuité et la pérennisation .dans l’alimentatio</w:t>
      </w:r>
      <w:r w:rsidR="007B31B6" w:rsidRPr="007B31B6">
        <w:rPr>
          <w:rFonts w:ascii="Times New Roman" w:hAnsi="Times New Roman" w:cs="Times New Roman"/>
          <w:sz w:val="24"/>
          <w:szCs w:val="24"/>
          <w:lang w:val="fr-FR"/>
        </w:rPr>
        <w:t>n de la base de données du SILQ,</w:t>
      </w:r>
      <w:r w:rsidRPr="007B31B6">
        <w:rPr>
          <w:rFonts w:ascii="Times New Roman" w:hAnsi="Times New Roman" w:cs="Times New Roman"/>
          <w:sz w:val="24"/>
          <w:szCs w:val="24"/>
          <w:lang w:val="fr-FR"/>
        </w:rPr>
        <w:t xml:space="preserve"> surtout pour ce qui concerne la thématique « infrastructures communautaires e</w:t>
      </w:r>
      <w:r w:rsidR="007B31B6" w:rsidRPr="007B31B6">
        <w:rPr>
          <w:rFonts w:ascii="Times New Roman" w:hAnsi="Times New Roman" w:cs="Times New Roman"/>
          <w:sz w:val="24"/>
          <w:szCs w:val="24"/>
          <w:lang w:val="fr-FR"/>
        </w:rPr>
        <w:t>t services de base</w:t>
      </w:r>
      <w:r w:rsidRPr="007B31B6">
        <w:rPr>
          <w:rFonts w:ascii="Times New Roman" w:hAnsi="Times New Roman" w:cs="Times New Roman"/>
          <w:sz w:val="24"/>
          <w:szCs w:val="24"/>
          <w:lang w:val="fr-FR"/>
        </w:rPr>
        <w:t xml:space="preserve"> » une application de gestion des enquêtes de terrain (collecte de données) a été ajoutée </w:t>
      </w:r>
      <w:r w:rsidR="007B31B6" w:rsidRPr="007B31B6">
        <w:rPr>
          <w:rFonts w:ascii="Times New Roman" w:hAnsi="Times New Roman" w:cs="Times New Roman"/>
          <w:sz w:val="24"/>
          <w:szCs w:val="24"/>
          <w:lang w:val="fr-FR"/>
        </w:rPr>
        <w:t>à</w:t>
      </w:r>
      <w:r w:rsidRPr="007B31B6">
        <w:rPr>
          <w:rFonts w:ascii="Times New Roman" w:hAnsi="Times New Roman" w:cs="Times New Roman"/>
          <w:sz w:val="24"/>
          <w:szCs w:val="24"/>
          <w:lang w:val="fr-FR"/>
        </w:rPr>
        <w:t xml:space="preserve"> la plateforme SILQ, permettant ainsi aux producteurs de données d’avoir accès via des tablettes, dans le cadre de leurs enquêtes au questionnaire numérique en ligne sur les infrastructures et l’usage du bâti</w:t>
      </w:r>
      <w:r w:rsidR="007B31B6" w:rsidRPr="007B31B6">
        <w:rPr>
          <w:rFonts w:ascii="Times New Roman" w:hAnsi="Times New Roman" w:cs="Times New Roman"/>
          <w:sz w:val="24"/>
          <w:szCs w:val="24"/>
          <w:lang w:val="fr-FR"/>
        </w:rPr>
        <w:t>.</w:t>
      </w:r>
    </w:p>
    <w:p w:rsidR="00A84C90" w:rsidRPr="007B31B6" w:rsidRDefault="00A84C90" w:rsidP="00635359">
      <w:pPr>
        <w:pStyle w:val="BodyText"/>
        <w:jc w:val="both"/>
        <w:rPr>
          <w:rFonts w:ascii="Times New Roman" w:hAnsi="Times New Roman" w:cs="Times New Roman"/>
          <w:sz w:val="24"/>
          <w:szCs w:val="24"/>
          <w:lang w:val="fr-FR"/>
        </w:rPr>
      </w:pPr>
    </w:p>
    <w:p w:rsidR="004A0753" w:rsidRDefault="00635359" w:rsidP="004A0753">
      <w:pPr>
        <w:pStyle w:val="BodyText"/>
        <w:jc w:val="both"/>
        <w:rPr>
          <w:rFonts w:ascii="Times New Roman" w:hAnsi="Times New Roman" w:cs="Times New Roman"/>
          <w:sz w:val="24"/>
          <w:szCs w:val="24"/>
          <w:lang w:val="fr-FR"/>
        </w:rPr>
      </w:pPr>
      <w:r w:rsidRPr="002B351A">
        <w:rPr>
          <w:rFonts w:ascii="Times New Roman" w:hAnsi="Times New Roman" w:cs="Times New Roman"/>
          <w:b/>
          <w:sz w:val="24"/>
          <w:szCs w:val="24"/>
          <w:lang w:val="fr-FR"/>
        </w:rPr>
        <w:t>Renforcement des capacités du CNIGS</w:t>
      </w:r>
      <w:r w:rsidR="00760D2B">
        <w:rPr>
          <w:rFonts w:ascii="Times New Roman" w:hAnsi="Times New Roman" w:cs="Times New Roman"/>
          <w:b/>
          <w:sz w:val="24"/>
          <w:szCs w:val="24"/>
          <w:lang w:val="fr-FR"/>
        </w:rPr>
        <w:t xml:space="preserve"> : </w:t>
      </w:r>
      <w:r w:rsidR="00AA3DFB">
        <w:rPr>
          <w:rFonts w:ascii="Times New Roman" w:hAnsi="Times New Roman" w:cs="Times New Roman"/>
          <w:sz w:val="24"/>
          <w:szCs w:val="24"/>
          <w:lang w:val="fr-FR"/>
        </w:rPr>
        <w:t xml:space="preserve">Ce résultat de la composante </w:t>
      </w:r>
      <w:r w:rsidR="004A0753" w:rsidRPr="004A0753">
        <w:rPr>
          <w:rFonts w:ascii="Times New Roman" w:hAnsi="Times New Roman" w:cs="Times New Roman"/>
          <w:sz w:val="24"/>
          <w:szCs w:val="24"/>
          <w:lang w:val="fr-FR"/>
        </w:rPr>
        <w:t xml:space="preserve">2 concerne deux ressources principales au sein du CNIGS </w:t>
      </w:r>
    </w:p>
    <w:p w:rsidR="008F5F5B" w:rsidRPr="004A0753" w:rsidRDefault="008F5F5B" w:rsidP="004A0753">
      <w:pPr>
        <w:pStyle w:val="BodyText"/>
        <w:jc w:val="both"/>
        <w:rPr>
          <w:rFonts w:ascii="Times New Roman" w:hAnsi="Times New Roman" w:cs="Times New Roman"/>
          <w:sz w:val="24"/>
          <w:szCs w:val="24"/>
          <w:lang w:val="fr-FR"/>
        </w:rPr>
      </w:pPr>
    </w:p>
    <w:p w:rsidR="004A0753" w:rsidRPr="004A0753" w:rsidRDefault="004A0753" w:rsidP="004A0753">
      <w:pPr>
        <w:pStyle w:val="BodyText"/>
        <w:numPr>
          <w:ilvl w:val="0"/>
          <w:numId w:val="49"/>
        </w:numPr>
        <w:jc w:val="both"/>
        <w:rPr>
          <w:rFonts w:ascii="Times New Roman" w:hAnsi="Times New Roman" w:cs="Times New Roman"/>
          <w:sz w:val="24"/>
          <w:szCs w:val="24"/>
          <w:lang w:val="fr-FR"/>
        </w:rPr>
      </w:pPr>
      <w:r w:rsidRPr="004A0753">
        <w:rPr>
          <w:rFonts w:ascii="Times New Roman" w:hAnsi="Times New Roman" w:cs="Times New Roman"/>
          <w:sz w:val="24"/>
          <w:szCs w:val="24"/>
          <w:u w:val="single"/>
          <w:lang w:val="fr-FR"/>
        </w:rPr>
        <w:t>Le renforcement des capacités du personnel technique du CNIGS</w:t>
      </w:r>
      <w:r w:rsidRPr="004A0753">
        <w:rPr>
          <w:rFonts w:ascii="Times New Roman" w:hAnsi="Times New Roman" w:cs="Times New Roman"/>
          <w:sz w:val="24"/>
          <w:szCs w:val="24"/>
          <w:lang w:val="fr-FR"/>
        </w:rPr>
        <w:t xml:space="preserve"> : Toujours dans l’objectif de doter le CNIGS d’un personnel technique bien formé et en mesure de s’approprier complètement et de pouvoir administrer la plateforme SILQ ainsi que de développer des nouveaux modules répondants aux besoins des utilisateurs, une formation s’est tenue en novembre 2014 dans les locaux de Savoir-faire Linux au Canada et portait sur les modules suivants :</w:t>
      </w:r>
    </w:p>
    <w:p w:rsidR="004A0753" w:rsidRPr="004A0753" w:rsidRDefault="004A0753" w:rsidP="004A0753">
      <w:pPr>
        <w:pStyle w:val="BodyText"/>
        <w:numPr>
          <w:ilvl w:val="1"/>
          <w:numId w:val="49"/>
        </w:numPr>
        <w:jc w:val="both"/>
        <w:rPr>
          <w:rFonts w:ascii="Times New Roman" w:hAnsi="Times New Roman" w:cs="Times New Roman"/>
          <w:sz w:val="24"/>
          <w:szCs w:val="24"/>
          <w:lang w:val="fr-FR"/>
        </w:rPr>
      </w:pPr>
      <w:r w:rsidRPr="004A0753">
        <w:rPr>
          <w:rFonts w:ascii="Times New Roman" w:hAnsi="Times New Roman" w:cs="Times New Roman"/>
          <w:sz w:val="24"/>
          <w:szCs w:val="24"/>
          <w:lang w:val="fr-FR"/>
        </w:rPr>
        <w:t xml:space="preserve">Configuration, Administration et déploiement d’un serveur </w:t>
      </w:r>
      <w:proofErr w:type="spellStart"/>
      <w:r w:rsidRPr="004A0753">
        <w:rPr>
          <w:rFonts w:ascii="Times New Roman" w:hAnsi="Times New Roman" w:cs="Times New Roman"/>
          <w:sz w:val="24"/>
          <w:szCs w:val="24"/>
          <w:lang w:val="fr-FR"/>
        </w:rPr>
        <w:t>RedHat</w:t>
      </w:r>
      <w:proofErr w:type="spellEnd"/>
      <w:r w:rsidRPr="004A0753">
        <w:rPr>
          <w:rFonts w:ascii="Times New Roman" w:hAnsi="Times New Roman" w:cs="Times New Roman"/>
          <w:sz w:val="24"/>
          <w:szCs w:val="24"/>
          <w:lang w:val="fr-FR"/>
        </w:rPr>
        <w:t xml:space="preserve"> Linux  (environnement utilisé par la plateforme SILQ)</w:t>
      </w:r>
    </w:p>
    <w:p w:rsidR="004A0753" w:rsidRPr="004A0753" w:rsidRDefault="004A0753" w:rsidP="004A0753">
      <w:pPr>
        <w:pStyle w:val="BodyText"/>
        <w:numPr>
          <w:ilvl w:val="1"/>
          <w:numId w:val="49"/>
        </w:numPr>
        <w:jc w:val="both"/>
        <w:rPr>
          <w:rFonts w:ascii="Times New Roman" w:hAnsi="Times New Roman" w:cs="Times New Roman"/>
          <w:sz w:val="24"/>
          <w:szCs w:val="24"/>
          <w:lang w:val="fr-FR"/>
        </w:rPr>
      </w:pPr>
      <w:r w:rsidRPr="004A0753">
        <w:rPr>
          <w:rFonts w:ascii="Times New Roman" w:hAnsi="Times New Roman" w:cs="Times New Roman"/>
          <w:sz w:val="24"/>
          <w:szCs w:val="24"/>
          <w:lang w:val="fr-FR"/>
        </w:rPr>
        <w:t xml:space="preserve">Technique de Programmation en JavaScript pour la programmation en </w:t>
      </w:r>
      <w:proofErr w:type="spellStart"/>
      <w:r w:rsidRPr="004A0753">
        <w:rPr>
          <w:rFonts w:ascii="Times New Roman" w:hAnsi="Times New Roman" w:cs="Times New Roman"/>
          <w:sz w:val="24"/>
          <w:szCs w:val="24"/>
          <w:lang w:val="fr-FR"/>
        </w:rPr>
        <w:t>webmapping</w:t>
      </w:r>
      <w:proofErr w:type="spellEnd"/>
      <w:r w:rsidRPr="004A0753">
        <w:rPr>
          <w:rFonts w:ascii="Times New Roman" w:hAnsi="Times New Roman" w:cs="Times New Roman"/>
          <w:sz w:val="24"/>
          <w:szCs w:val="24"/>
          <w:lang w:val="fr-FR"/>
        </w:rPr>
        <w:t>.</w:t>
      </w:r>
    </w:p>
    <w:p w:rsidR="004A0753" w:rsidRPr="004A0753" w:rsidRDefault="004A0753" w:rsidP="004A0753">
      <w:pPr>
        <w:pStyle w:val="BodyText"/>
        <w:jc w:val="both"/>
        <w:rPr>
          <w:rFonts w:ascii="Times New Roman" w:hAnsi="Times New Roman" w:cs="Times New Roman"/>
          <w:sz w:val="24"/>
          <w:szCs w:val="24"/>
          <w:lang w:val="fr-FR"/>
        </w:rPr>
      </w:pPr>
      <w:r w:rsidRPr="004A0753">
        <w:rPr>
          <w:rFonts w:ascii="Times New Roman" w:hAnsi="Times New Roman" w:cs="Times New Roman"/>
          <w:sz w:val="24"/>
          <w:szCs w:val="24"/>
          <w:lang w:val="fr-FR"/>
        </w:rPr>
        <w:t xml:space="preserve">             </w:t>
      </w:r>
    </w:p>
    <w:p w:rsidR="004A0753" w:rsidRPr="004A0753" w:rsidRDefault="004A0753" w:rsidP="004A0753">
      <w:pPr>
        <w:pStyle w:val="BodyText"/>
        <w:numPr>
          <w:ilvl w:val="0"/>
          <w:numId w:val="49"/>
        </w:numPr>
        <w:jc w:val="both"/>
        <w:rPr>
          <w:rFonts w:ascii="Times New Roman" w:hAnsi="Times New Roman" w:cs="Times New Roman"/>
          <w:sz w:val="24"/>
          <w:szCs w:val="24"/>
          <w:lang w:val="fr-FR"/>
        </w:rPr>
      </w:pPr>
      <w:r w:rsidRPr="004A0753">
        <w:rPr>
          <w:rFonts w:ascii="Times New Roman" w:hAnsi="Times New Roman" w:cs="Times New Roman"/>
          <w:sz w:val="24"/>
          <w:szCs w:val="24"/>
          <w:u w:val="single"/>
          <w:lang w:val="fr-FR"/>
        </w:rPr>
        <w:t>L’acquisition du matériel technique</w:t>
      </w:r>
      <w:r w:rsidRPr="004A0753">
        <w:rPr>
          <w:rFonts w:ascii="Times New Roman" w:hAnsi="Times New Roman" w:cs="Times New Roman"/>
          <w:sz w:val="24"/>
          <w:szCs w:val="24"/>
          <w:lang w:val="fr-FR"/>
        </w:rPr>
        <w:t xml:space="preserve"> est le second volet du processus de renforcement des capacités du CNIGS. En effet le CNIGS dans le cadre de la composante 2 a procédé à l’acquisition d’un drone </w:t>
      </w:r>
      <w:proofErr w:type="spellStart"/>
      <w:r w:rsidRPr="004A0753">
        <w:rPr>
          <w:rFonts w:ascii="Times New Roman" w:hAnsi="Times New Roman" w:cs="Times New Roman"/>
          <w:sz w:val="24"/>
          <w:szCs w:val="24"/>
          <w:lang w:val="fr-FR"/>
        </w:rPr>
        <w:t>photogrammetrique</w:t>
      </w:r>
      <w:proofErr w:type="spellEnd"/>
      <w:r w:rsidRPr="004A0753">
        <w:rPr>
          <w:rFonts w:ascii="Times New Roman" w:hAnsi="Times New Roman" w:cs="Times New Roman"/>
          <w:sz w:val="24"/>
          <w:szCs w:val="24"/>
          <w:lang w:val="fr-FR"/>
        </w:rPr>
        <w:t xml:space="preserve"> et des équipements de collecte de données tels que les tablettes et les GPS.</w:t>
      </w:r>
    </w:p>
    <w:p w:rsidR="004A0753" w:rsidRPr="001644CC" w:rsidRDefault="004A0753" w:rsidP="004A0753">
      <w:pPr>
        <w:pStyle w:val="BodyText"/>
        <w:ind w:left="780"/>
        <w:jc w:val="both"/>
        <w:rPr>
          <w:rFonts w:ascii="Times New Roman" w:hAnsi="Times New Roman" w:cs="Times New Roman"/>
          <w:color w:val="FF0000"/>
          <w:sz w:val="24"/>
          <w:szCs w:val="24"/>
          <w:lang w:val="fr-FR"/>
        </w:rPr>
      </w:pPr>
    </w:p>
    <w:p w:rsidR="008F5F5B" w:rsidRPr="00614886" w:rsidRDefault="00635359" w:rsidP="00614886">
      <w:pPr>
        <w:pStyle w:val="ListParagraph"/>
        <w:ind w:left="0"/>
        <w:jc w:val="both"/>
        <w:rPr>
          <w:lang w:val="fr-FR"/>
        </w:rPr>
      </w:pPr>
      <w:r w:rsidRPr="00614886">
        <w:rPr>
          <w:b/>
          <w:lang w:val="fr-FR" w:eastAsia="fr-FR"/>
        </w:rPr>
        <w:t>Réseau d’utilisateurs et de producteurs de données géographiques :</w:t>
      </w:r>
      <w:r w:rsidR="00760D2B" w:rsidRPr="00614886">
        <w:rPr>
          <w:b/>
          <w:lang w:val="fr-FR" w:eastAsia="fr-FR"/>
        </w:rPr>
        <w:t xml:space="preserve"> </w:t>
      </w:r>
      <w:r w:rsidR="004A0753" w:rsidRPr="00614886">
        <w:rPr>
          <w:lang w:val="fr-FR"/>
        </w:rPr>
        <w:t>Le 21 janvier 2014 a été la date de lancement du SILQ au grand public, évènement qui a permis de présenter la première version de la plateforme aux partenaires du PARLQ mais également aux ONG, au secteur privé et aux représentants des ministères telles que le MPCE et le MICT. Cette journée de lancement a donné lieu à toute une série d’ateliers techniques de formation et information sur la plateforme et son contenu à grande échelle. Il s’agissait des lors d’identifier, à travers des sessions de présentation du SILQ, les producteurs et les utilisateurs de données afin de les intégrer dans un réseau.</w:t>
      </w:r>
    </w:p>
    <w:p w:rsidR="008F5F5B" w:rsidRPr="00614886" w:rsidRDefault="008F5F5B" w:rsidP="00614886">
      <w:pPr>
        <w:pStyle w:val="ListParagraph"/>
        <w:ind w:left="0"/>
        <w:jc w:val="both"/>
        <w:rPr>
          <w:lang w:val="fr-FR"/>
        </w:rPr>
      </w:pPr>
    </w:p>
    <w:p w:rsidR="004A0753" w:rsidRPr="00614886" w:rsidRDefault="004A0753" w:rsidP="00614886">
      <w:pPr>
        <w:pStyle w:val="ListParagraph"/>
        <w:ind w:left="0"/>
        <w:jc w:val="both"/>
        <w:rPr>
          <w:lang w:val="fr-FR"/>
        </w:rPr>
      </w:pPr>
      <w:r w:rsidRPr="00614886">
        <w:rPr>
          <w:lang w:val="fr-FR"/>
        </w:rPr>
        <w:t xml:space="preserve">L’une des sessions de présentations et d’information les plus importantes s’est effectuée à l’égard de la </w:t>
      </w:r>
      <w:r w:rsidR="008F5F5B" w:rsidRPr="00614886">
        <w:rPr>
          <w:lang w:val="fr-FR"/>
        </w:rPr>
        <w:t xml:space="preserve">Cellule de programmation, suivi, évaluation et apprentissage </w:t>
      </w:r>
      <w:r w:rsidRPr="00614886">
        <w:rPr>
          <w:lang w:val="fr-FR"/>
        </w:rPr>
        <w:t>de l’UCLBP, afin que cette dernière</w:t>
      </w:r>
      <w:r w:rsidR="008F5F5B" w:rsidRPr="00614886">
        <w:rPr>
          <w:lang w:val="fr-FR"/>
        </w:rPr>
        <w:t>, en tant que institution publique en charge du secteur du logement,</w:t>
      </w:r>
      <w:r w:rsidRPr="00614886">
        <w:rPr>
          <w:lang w:val="fr-FR"/>
        </w:rPr>
        <w:t xml:space="preserve"> soit  en mesure de porter et de continuer ces actions de co</w:t>
      </w:r>
      <w:r w:rsidR="008F5F5B" w:rsidRPr="00614886">
        <w:rPr>
          <w:lang w:val="fr-FR"/>
        </w:rPr>
        <w:t>mmunication sur la plateforme,</w:t>
      </w:r>
      <w:r w:rsidRPr="00614886">
        <w:rPr>
          <w:lang w:val="fr-FR"/>
        </w:rPr>
        <w:t xml:space="preserve"> de </w:t>
      </w:r>
      <w:r w:rsidR="008F5F5B" w:rsidRPr="00614886">
        <w:rPr>
          <w:lang w:val="fr-FR"/>
        </w:rPr>
        <w:t xml:space="preserve">lui </w:t>
      </w:r>
      <w:r w:rsidRPr="00614886">
        <w:rPr>
          <w:lang w:val="fr-FR"/>
        </w:rPr>
        <w:t xml:space="preserve">faire parvenir les besoins </w:t>
      </w:r>
      <w:r w:rsidR="008F5F5B" w:rsidRPr="00614886">
        <w:rPr>
          <w:lang w:val="fr-FR"/>
        </w:rPr>
        <w:t xml:space="preserve">d’informations des acteurs du secteur et de les animer </w:t>
      </w:r>
      <w:proofErr w:type="spellStart"/>
      <w:r w:rsidR="008F5F5B" w:rsidRPr="00614886">
        <w:rPr>
          <w:lang w:val="fr-FR"/>
        </w:rPr>
        <w:t>a</w:t>
      </w:r>
      <w:proofErr w:type="spellEnd"/>
      <w:r w:rsidR="008F5F5B" w:rsidRPr="00614886">
        <w:rPr>
          <w:lang w:val="fr-FR"/>
        </w:rPr>
        <w:t xml:space="preserve"> intégrer le réseau d’utilisateurs</w:t>
      </w:r>
      <w:r w:rsidRPr="00614886">
        <w:rPr>
          <w:lang w:val="fr-FR"/>
        </w:rPr>
        <w:t>.</w:t>
      </w:r>
      <w:r w:rsidR="008F5F5B" w:rsidRPr="00614886">
        <w:rPr>
          <w:lang w:val="fr-FR"/>
        </w:rPr>
        <w:t xml:space="preserve"> </w:t>
      </w:r>
      <w:r w:rsidRPr="00614886">
        <w:rPr>
          <w:lang w:val="fr-FR"/>
        </w:rPr>
        <w:t xml:space="preserve">Des actions similaires ont </w:t>
      </w:r>
      <w:r w:rsidR="008F5F5B" w:rsidRPr="00614886">
        <w:rPr>
          <w:lang w:val="fr-FR"/>
        </w:rPr>
        <w:t xml:space="preserve">été menées avec la Croix-Rouge Américaine, Goal, Habitat for </w:t>
      </w:r>
      <w:proofErr w:type="spellStart"/>
      <w:r w:rsidR="008F5F5B" w:rsidRPr="00614886">
        <w:rPr>
          <w:lang w:val="fr-FR"/>
        </w:rPr>
        <w:t>Humanity</w:t>
      </w:r>
      <w:proofErr w:type="spellEnd"/>
      <w:r w:rsidR="008F5F5B" w:rsidRPr="00614886">
        <w:rPr>
          <w:lang w:val="fr-FR"/>
        </w:rPr>
        <w:t xml:space="preserve">, CHF International, </w:t>
      </w:r>
      <w:proofErr w:type="spellStart"/>
      <w:r w:rsidR="008F5F5B" w:rsidRPr="00614886">
        <w:rPr>
          <w:lang w:val="fr-FR"/>
        </w:rPr>
        <w:t>Build</w:t>
      </w:r>
      <w:proofErr w:type="spellEnd"/>
      <w:r w:rsidR="008F5F5B" w:rsidRPr="00614886">
        <w:rPr>
          <w:lang w:val="fr-FR"/>
        </w:rPr>
        <w:t xml:space="preserve"> Change</w:t>
      </w:r>
      <w:r w:rsidRPr="00614886">
        <w:rPr>
          <w:lang w:val="fr-FR"/>
        </w:rPr>
        <w:t>,</w:t>
      </w:r>
      <w:r w:rsidR="008F5F5B" w:rsidRPr="00614886">
        <w:rPr>
          <w:lang w:val="fr-FR"/>
        </w:rPr>
        <w:t xml:space="preserve"> </w:t>
      </w:r>
      <w:r w:rsidRPr="00614886">
        <w:rPr>
          <w:lang w:val="fr-FR"/>
        </w:rPr>
        <w:t>Architect</w:t>
      </w:r>
      <w:r w:rsidR="008F5F5B" w:rsidRPr="00614886">
        <w:rPr>
          <w:lang w:val="fr-FR"/>
        </w:rPr>
        <w:t>ure</w:t>
      </w:r>
      <w:r w:rsidRPr="00614886">
        <w:rPr>
          <w:lang w:val="fr-FR"/>
        </w:rPr>
        <w:t xml:space="preserve"> for </w:t>
      </w:r>
      <w:proofErr w:type="spellStart"/>
      <w:r w:rsidRPr="00614886">
        <w:rPr>
          <w:lang w:val="fr-FR"/>
        </w:rPr>
        <w:t>Humanity</w:t>
      </w:r>
      <w:proofErr w:type="spellEnd"/>
      <w:r w:rsidRPr="00614886">
        <w:rPr>
          <w:lang w:val="fr-FR"/>
        </w:rPr>
        <w:t>, Oxfam qui ont pour la plus part déjà bénéficié des données provenant du SILQ. Le planning prévoit de toucher une masse plus importante d’utilisateurs avec l’interface d’enregistr</w:t>
      </w:r>
      <w:r w:rsidR="008F5F5B" w:rsidRPr="00614886">
        <w:rPr>
          <w:lang w:val="fr-FR"/>
        </w:rPr>
        <w:t>ement de la nouvelle plateforme.</w:t>
      </w:r>
    </w:p>
    <w:p w:rsidR="008F5F5B" w:rsidRPr="00614886" w:rsidRDefault="008F5F5B" w:rsidP="00614886">
      <w:pPr>
        <w:pStyle w:val="ListParagraph"/>
        <w:ind w:left="0"/>
        <w:jc w:val="both"/>
        <w:rPr>
          <w:lang w:val="fr-FR"/>
        </w:rPr>
      </w:pPr>
    </w:p>
    <w:p w:rsidR="004A0753" w:rsidRPr="00614886" w:rsidRDefault="004A0753" w:rsidP="00614886">
      <w:pPr>
        <w:pStyle w:val="ListParagraph"/>
        <w:ind w:left="0"/>
        <w:jc w:val="both"/>
        <w:rPr>
          <w:lang w:val="fr-FR"/>
        </w:rPr>
      </w:pPr>
      <w:r w:rsidRPr="00614886">
        <w:rPr>
          <w:lang w:val="fr-FR"/>
        </w:rPr>
        <w:t xml:space="preserve">Enfin une formation portant sur les techniques de collecte de données avec l’usage du GPS et sur l’utilisation de la plateforme </w:t>
      </w:r>
      <w:r w:rsidR="008F5F5B" w:rsidRPr="00614886">
        <w:rPr>
          <w:lang w:val="fr-FR"/>
        </w:rPr>
        <w:t>a  été menée à</w:t>
      </w:r>
      <w:r w:rsidRPr="00614886">
        <w:rPr>
          <w:lang w:val="fr-FR"/>
        </w:rPr>
        <w:t xml:space="preserve"> l’égard des </w:t>
      </w:r>
      <w:r w:rsidR="008F5F5B" w:rsidRPr="00614886">
        <w:rPr>
          <w:lang w:val="fr-FR"/>
        </w:rPr>
        <w:t>membres des Agences Techniques Locales (ATL) et des Centres de Ressources C</w:t>
      </w:r>
      <w:r w:rsidRPr="00614886">
        <w:rPr>
          <w:lang w:val="fr-FR"/>
        </w:rPr>
        <w:t>ommunautaires (CRC)</w:t>
      </w:r>
      <w:r w:rsidR="008F5F5B" w:rsidRPr="00614886">
        <w:rPr>
          <w:lang w:val="fr-FR"/>
        </w:rPr>
        <w:t>.</w:t>
      </w:r>
      <w:r w:rsidRPr="00614886">
        <w:rPr>
          <w:lang w:val="fr-FR"/>
        </w:rPr>
        <w:t xml:space="preserve"> Cette formation s’inscrit </w:t>
      </w:r>
      <w:r w:rsidR="008F5F5B" w:rsidRPr="00614886">
        <w:rPr>
          <w:lang w:val="fr-FR"/>
        </w:rPr>
        <w:t xml:space="preserve">dans le cadre des articulations </w:t>
      </w:r>
      <w:r w:rsidR="008F5F5B" w:rsidRPr="00614886">
        <w:rPr>
          <w:lang w:val="fr-FR"/>
        </w:rPr>
        <w:lastRenderedPageBreak/>
        <w:t xml:space="preserve">inter-composantes du PARLQ (composantes 2 et 3) mais </w:t>
      </w:r>
      <w:r w:rsidRPr="00614886">
        <w:rPr>
          <w:lang w:val="fr-FR"/>
        </w:rPr>
        <w:t>également dans le processus de recrutement de producteurs de données</w:t>
      </w:r>
      <w:r w:rsidR="008F5F5B" w:rsidRPr="00614886">
        <w:rPr>
          <w:lang w:val="fr-FR"/>
        </w:rPr>
        <w:t>.</w:t>
      </w:r>
    </w:p>
    <w:p w:rsidR="00635359" w:rsidRDefault="00635359" w:rsidP="00614886">
      <w:pPr>
        <w:jc w:val="both"/>
        <w:rPr>
          <w:lang w:val="fr-FR" w:eastAsia="fr-FR"/>
        </w:rPr>
      </w:pPr>
    </w:p>
    <w:p w:rsidR="0056447A" w:rsidRDefault="00635359" w:rsidP="00951B5F">
      <w:pPr>
        <w:pStyle w:val="BodyText"/>
        <w:jc w:val="both"/>
        <w:rPr>
          <w:rFonts w:ascii="Times New Roman" w:hAnsi="Times New Roman" w:cs="Times New Roman"/>
          <w:sz w:val="24"/>
          <w:szCs w:val="24"/>
          <w:lang w:val="fr-FR"/>
        </w:rPr>
      </w:pPr>
      <w:r w:rsidRPr="00FD4F03">
        <w:rPr>
          <w:rFonts w:ascii="Times New Roman" w:hAnsi="Times New Roman" w:cs="Times New Roman"/>
          <w:b/>
          <w:sz w:val="24"/>
          <w:szCs w:val="24"/>
          <w:lang w:val="fr-FR"/>
        </w:rPr>
        <w:t>Compilation et mise à disposition de données et services d'appui aux agences et partenaires de la reconstruction</w:t>
      </w:r>
      <w:r w:rsidR="00BC7B73">
        <w:rPr>
          <w:rFonts w:ascii="Times New Roman" w:hAnsi="Times New Roman" w:cs="Times New Roman"/>
          <w:b/>
          <w:sz w:val="24"/>
          <w:szCs w:val="24"/>
          <w:lang w:val="fr-FR"/>
        </w:rPr>
        <w:t xml:space="preserve"> : </w:t>
      </w:r>
      <w:r w:rsidR="0056447A" w:rsidRPr="00FD4F03">
        <w:rPr>
          <w:rFonts w:ascii="Times New Roman" w:hAnsi="Times New Roman" w:cs="Times New Roman"/>
          <w:sz w:val="24"/>
          <w:szCs w:val="24"/>
          <w:lang w:val="fr-FR"/>
        </w:rPr>
        <w:t xml:space="preserve">Le CNIGS a poursuivi ses efforts pour fournir des informations </w:t>
      </w:r>
      <w:proofErr w:type="spellStart"/>
      <w:r w:rsidR="0056447A" w:rsidRPr="00FD4F03">
        <w:rPr>
          <w:rFonts w:ascii="Times New Roman" w:hAnsi="Times New Roman" w:cs="Times New Roman"/>
          <w:sz w:val="24"/>
          <w:szCs w:val="24"/>
          <w:lang w:val="fr-FR"/>
        </w:rPr>
        <w:t>georéférenciées</w:t>
      </w:r>
      <w:proofErr w:type="spellEnd"/>
      <w:r w:rsidR="0056447A" w:rsidRPr="00FD4F03">
        <w:rPr>
          <w:rFonts w:ascii="Times New Roman" w:hAnsi="Times New Roman" w:cs="Times New Roman"/>
          <w:sz w:val="24"/>
          <w:szCs w:val="24"/>
          <w:lang w:val="fr-FR"/>
        </w:rPr>
        <w:t xml:space="preserve"> actualisées à l’ensemble de partenaires de la reconstruction et pour devenir le point focal pour la centralisation des bases de</w:t>
      </w:r>
      <w:r w:rsidR="00FD4F03" w:rsidRPr="00FD4F03">
        <w:rPr>
          <w:rFonts w:ascii="Times New Roman" w:hAnsi="Times New Roman" w:cs="Times New Roman"/>
          <w:sz w:val="24"/>
          <w:szCs w:val="24"/>
          <w:lang w:val="fr-FR"/>
        </w:rPr>
        <w:t>s</w:t>
      </w:r>
      <w:r w:rsidR="0056447A" w:rsidRPr="00FD4F03">
        <w:rPr>
          <w:rFonts w:ascii="Times New Roman" w:hAnsi="Times New Roman" w:cs="Times New Roman"/>
          <w:sz w:val="24"/>
          <w:szCs w:val="24"/>
          <w:lang w:val="fr-FR"/>
        </w:rPr>
        <w:t xml:space="preserve"> </w:t>
      </w:r>
      <w:r w:rsidR="00FD4F03" w:rsidRPr="00FD4F03">
        <w:rPr>
          <w:rFonts w:ascii="Times New Roman" w:hAnsi="Times New Roman" w:cs="Times New Roman"/>
          <w:sz w:val="24"/>
          <w:szCs w:val="24"/>
          <w:lang w:val="fr-FR"/>
        </w:rPr>
        <w:t>données</w:t>
      </w:r>
      <w:r w:rsidR="0056447A" w:rsidRPr="00FD4F03">
        <w:rPr>
          <w:rFonts w:ascii="Times New Roman" w:hAnsi="Times New Roman" w:cs="Times New Roman"/>
          <w:sz w:val="24"/>
          <w:szCs w:val="24"/>
          <w:lang w:val="fr-FR"/>
        </w:rPr>
        <w:t xml:space="preserve"> cartographiques produites </w:t>
      </w:r>
      <w:r w:rsidR="00FD4F03" w:rsidRPr="00FD4F03">
        <w:rPr>
          <w:rFonts w:ascii="Times New Roman" w:hAnsi="Times New Roman" w:cs="Times New Roman"/>
          <w:sz w:val="24"/>
          <w:szCs w:val="24"/>
          <w:lang w:val="fr-FR"/>
        </w:rPr>
        <w:t>dans le pays.</w:t>
      </w:r>
    </w:p>
    <w:p w:rsidR="00050BA9" w:rsidRPr="00FD4F03" w:rsidRDefault="00050BA9" w:rsidP="00951B5F">
      <w:pPr>
        <w:pStyle w:val="BodyText"/>
        <w:jc w:val="both"/>
        <w:rPr>
          <w:rFonts w:ascii="Times New Roman" w:hAnsi="Times New Roman" w:cs="Times New Roman"/>
          <w:sz w:val="24"/>
          <w:szCs w:val="24"/>
          <w:lang w:val="fr-FR"/>
        </w:rPr>
      </w:pPr>
    </w:p>
    <w:p w:rsidR="00614886" w:rsidRPr="00614886" w:rsidRDefault="00614886" w:rsidP="00614886">
      <w:pPr>
        <w:pStyle w:val="BodyText"/>
        <w:jc w:val="both"/>
        <w:rPr>
          <w:rFonts w:ascii="Times New Roman" w:hAnsi="Times New Roman" w:cs="Times New Roman"/>
          <w:sz w:val="24"/>
          <w:szCs w:val="24"/>
          <w:lang w:val="fr-FR"/>
        </w:rPr>
      </w:pPr>
      <w:r w:rsidRPr="00614886">
        <w:rPr>
          <w:rFonts w:ascii="Times New Roman" w:hAnsi="Times New Roman" w:cs="Times New Roman"/>
          <w:b/>
          <w:sz w:val="24"/>
          <w:szCs w:val="24"/>
          <w:lang w:val="fr-FR"/>
        </w:rPr>
        <w:t xml:space="preserve">Production, compilation et mise à disposition de données et services d'appui aux agences et partenaires de la reconstruction : </w:t>
      </w:r>
      <w:r w:rsidR="00F00C7A" w:rsidRPr="00F00C7A">
        <w:rPr>
          <w:rFonts w:ascii="Times New Roman" w:hAnsi="Times New Roman" w:cs="Times New Roman"/>
          <w:sz w:val="24"/>
          <w:szCs w:val="24"/>
          <w:lang w:val="fr-FR"/>
        </w:rPr>
        <w:t>L</w:t>
      </w:r>
      <w:r w:rsidRPr="00614886">
        <w:rPr>
          <w:rFonts w:ascii="Times New Roman" w:hAnsi="Times New Roman" w:cs="Times New Roman"/>
          <w:sz w:val="24"/>
          <w:szCs w:val="24"/>
          <w:lang w:val="fr-FR"/>
        </w:rPr>
        <w:t xml:space="preserve">a composante 2 </w:t>
      </w:r>
      <w:r w:rsidR="00F00C7A">
        <w:rPr>
          <w:rFonts w:ascii="Times New Roman" w:hAnsi="Times New Roman" w:cs="Times New Roman"/>
          <w:sz w:val="24"/>
          <w:szCs w:val="24"/>
          <w:lang w:val="fr-FR"/>
        </w:rPr>
        <w:t>continue à œuvrer pour être en</w:t>
      </w:r>
      <w:r w:rsidRPr="00614886">
        <w:rPr>
          <w:rFonts w:ascii="Times New Roman" w:hAnsi="Times New Roman" w:cs="Times New Roman"/>
          <w:sz w:val="24"/>
          <w:szCs w:val="24"/>
          <w:lang w:val="fr-FR"/>
        </w:rPr>
        <w:t xml:space="preserve"> mesure </w:t>
      </w:r>
      <w:r w:rsidR="00F00C7A">
        <w:rPr>
          <w:rFonts w:ascii="Times New Roman" w:hAnsi="Times New Roman" w:cs="Times New Roman"/>
          <w:sz w:val="24"/>
          <w:szCs w:val="24"/>
          <w:lang w:val="fr-FR"/>
        </w:rPr>
        <w:t>de</w:t>
      </w:r>
      <w:r w:rsidRPr="00614886">
        <w:rPr>
          <w:rFonts w:ascii="Times New Roman" w:hAnsi="Times New Roman" w:cs="Times New Roman"/>
          <w:sz w:val="24"/>
          <w:szCs w:val="24"/>
          <w:lang w:val="fr-FR"/>
        </w:rPr>
        <w:t xml:space="preserve"> </w:t>
      </w:r>
      <w:r w:rsidRPr="00F00C7A">
        <w:rPr>
          <w:rFonts w:ascii="Times New Roman" w:hAnsi="Times New Roman" w:cs="Times New Roman"/>
          <w:sz w:val="24"/>
          <w:szCs w:val="24"/>
          <w:lang w:val="fr-FR"/>
        </w:rPr>
        <w:t>mettre à</w:t>
      </w:r>
      <w:r w:rsidRPr="00614886">
        <w:rPr>
          <w:rFonts w:ascii="Times New Roman" w:hAnsi="Times New Roman" w:cs="Times New Roman"/>
          <w:sz w:val="24"/>
          <w:szCs w:val="24"/>
          <w:lang w:val="fr-FR"/>
        </w:rPr>
        <w:t xml:space="preserve"> disposition des acteurs </w:t>
      </w:r>
      <w:r w:rsidR="00F00C7A">
        <w:rPr>
          <w:rFonts w:ascii="Times New Roman" w:hAnsi="Times New Roman" w:cs="Times New Roman"/>
          <w:sz w:val="24"/>
          <w:szCs w:val="24"/>
          <w:lang w:val="fr-FR"/>
        </w:rPr>
        <w:t>les informations</w:t>
      </w:r>
      <w:r w:rsidRPr="00614886">
        <w:rPr>
          <w:rFonts w:ascii="Times New Roman" w:hAnsi="Times New Roman" w:cs="Times New Roman"/>
          <w:sz w:val="24"/>
          <w:szCs w:val="24"/>
          <w:lang w:val="fr-FR"/>
        </w:rPr>
        <w:t xml:space="preserve"> </w:t>
      </w:r>
      <w:r w:rsidR="00F00C7A">
        <w:rPr>
          <w:rFonts w:ascii="Times New Roman" w:hAnsi="Times New Roman" w:cs="Times New Roman"/>
          <w:sz w:val="24"/>
          <w:szCs w:val="24"/>
          <w:lang w:val="fr-FR"/>
        </w:rPr>
        <w:t xml:space="preserve">nécessaires </w:t>
      </w:r>
      <w:r w:rsidRPr="00614886">
        <w:rPr>
          <w:rFonts w:ascii="Times New Roman" w:hAnsi="Times New Roman" w:cs="Times New Roman"/>
          <w:sz w:val="24"/>
          <w:szCs w:val="24"/>
          <w:lang w:val="fr-FR"/>
        </w:rPr>
        <w:t xml:space="preserve">pour les </w:t>
      </w:r>
      <w:r w:rsidR="00F00C7A">
        <w:rPr>
          <w:rFonts w:ascii="Times New Roman" w:hAnsi="Times New Roman" w:cs="Times New Roman"/>
          <w:sz w:val="24"/>
          <w:szCs w:val="24"/>
          <w:lang w:val="fr-FR"/>
        </w:rPr>
        <w:t>projet</w:t>
      </w:r>
      <w:r w:rsidRPr="00614886">
        <w:rPr>
          <w:rFonts w:ascii="Times New Roman" w:hAnsi="Times New Roman" w:cs="Times New Roman"/>
          <w:sz w:val="24"/>
          <w:szCs w:val="24"/>
          <w:lang w:val="fr-FR"/>
        </w:rPr>
        <w:t xml:space="preserve">s de </w:t>
      </w:r>
      <w:r w:rsidR="00F00C7A">
        <w:rPr>
          <w:rFonts w:ascii="Times New Roman" w:hAnsi="Times New Roman" w:cs="Times New Roman"/>
          <w:sz w:val="24"/>
          <w:szCs w:val="24"/>
          <w:lang w:val="fr-FR"/>
        </w:rPr>
        <w:t xml:space="preserve">reconstruction et réhabilitation des quartiers ainsi que de </w:t>
      </w:r>
      <w:r w:rsidRPr="00614886">
        <w:rPr>
          <w:rFonts w:ascii="Times New Roman" w:hAnsi="Times New Roman" w:cs="Times New Roman"/>
          <w:sz w:val="24"/>
          <w:szCs w:val="24"/>
          <w:lang w:val="fr-FR"/>
        </w:rPr>
        <w:t xml:space="preserve">planification urbaine. En effet, la composante 2 a permis tout au long de l’année d’achever, </w:t>
      </w:r>
      <w:r w:rsidRPr="00614886">
        <w:rPr>
          <w:lang w:val="fr-FR"/>
        </w:rPr>
        <w:t>à</w:t>
      </w:r>
      <w:r w:rsidRPr="00614886">
        <w:rPr>
          <w:rFonts w:ascii="Times New Roman" w:hAnsi="Times New Roman" w:cs="Times New Roman"/>
          <w:sz w:val="24"/>
          <w:szCs w:val="24"/>
          <w:lang w:val="fr-FR"/>
        </w:rPr>
        <w:t xml:space="preserve"> l’issue des missions de terrain, toute la couche géométrique de  délimitation des quartiers des dix communes pilotes du SILQ (</w:t>
      </w:r>
      <w:proofErr w:type="spellStart"/>
      <w:r w:rsidRPr="00614886">
        <w:rPr>
          <w:rFonts w:ascii="Times New Roman" w:hAnsi="Times New Roman" w:cs="Times New Roman"/>
          <w:sz w:val="24"/>
          <w:szCs w:val="24"/>
          <w:lang w:val="fr-FR"/>
        </w:rPr>
        <w:t>Gressier</w:t>
      </w:r>
      <w:proofErr w:type="spellEnd"/>
      <w:r w:rsidRPr="00614886">
        <w:rPr>
          <w:rFonts w:ascii="Times New Roman" w:hAnsi="Times New Roman" w:cs="Times New Roman"/>
          <w:sz w:val="24"/>
          <w:szCs w:val="24"/>
          <w:lang w:val="fr-FR"/>
        </w:rPr>
        <w:t xml:space="preserve">, </w:t>
      </w:r>
      <w:proofErr w:type="spellStart"/>
      <w:r w:rsidRPr="00614886">
        <w:rPr>
          <w:rFonts w:ascii="Times New Roman" w:hAnsi="Times New Roman" w:cs="Times New Roman"/>
          <w:sz w:val="24"/>
          <w:szCs w:val="24"/>
          <w:lang w:val="fr-FR"/>
        </w:rPr>
        <w:t>Leogane</w:t>
      </w:r>
      <w:proofErr w:type="spellEnd"/>
      <w:r w:rsidRPr="00614886">
        <w:rPr>
          <w:rFonts w:ascii="Times New Roman" w:hAnsi="Times New Roman" w:cs="Times New Roman"/>
          <w:sz w:val="24"/>
          <w:szCs w:val="24"/>
          <w:lang w:val="fr-FR"/>
        </w:rPr>
        <w:t xml:space="preserve">, Jacmel, Croix-des-Bouquets, Delmas, Port-au-Prince, </w:t>
      </w:r>
      <w:proofErr w:type="spellStart"/>
      <w:r w:rsidRPr="00614886">
        <w:rPr>
          <w:rFonts w:ascii="Times New Roman" w:hAnsi="Times New Roman" w:cs="Times New Roman"/>
          <w:sz w:val="24"/>
          <w:szCs w:val="24"/>
          <w:lang w:val="fr-FR"/>
        </w:rPr>
        <w:t>Tabarre</w:t>
      </w:r>
      <w:proofErr w:type="spellEnd"/>
      <w:r w:rsidRPr="00614886">
        <w:rPr>
          <w:rFonts w:ascii="Times New Roman" w:hAnsi="Times New Roman" w:cs="Times New Roman"/>
          <w:sz w:val="24"/>
          <w:szCs w:val="24"/>
          <w:lang w:val="fr-FR"/>
        </w:rPr>
        <w:t xml:space="preserve">, Carrefour, Cité-Soleil et </w:t>
      </w:r>
      <w:proofErr w:type="spellStart"/>
      <w:r w:rsidRPr="00614886">
        <w:rPr>
          <w:rFonts w:ascii="Times New Roman" w:hAnsi="Times New Roman" w:cs="Times New Roman"/>
          <w:sz w:val="24"/>
          <w:szCs w:val="24"/>
          <w:lang w:val="fr-FR"/>
        </w:rPr>
        <w:t>Petion</w:t>
      </w:r>
      <w:proofErr w:type="spellEnd"/>
      <w:r w:rsidRPr="00614886">
        <w:rPr>
          <w:rFonts w:ascii="Times New Roman" w:hAnsi="Times New Roman" w:cs="Times New Roman"/>
          <w:sz w:val="24"/>
          <w:szCs w:val="24"/>
          <w:lang w:val="fr-FR"/>
        </w:rPr>
        <w:t xml:space="preserve">-Ville). Parallèlement </w:t>
      </w:r>
      <w:proofErr w:type="spellStart"/>
      <w:r w:rsidRPr="00614886">
        <w:rPr>
          <w:rFonts w:ascii="Times New Roman" w:hAnsi="Times New Roman" w:cs="Times New Roman"/>
          <w:sz w:val="24"/>
          <w:szCs w:val="24"/>
          <w:lang w:val="fr-FR"/>
        </w:rPr>
        <w:t>a</w:t>
      </w:r>
      <w:proofErr w:type="spellEnd"/>
      <w:r w:rsidRPr="00614886">
        <w:rPr>
          <w:rFonts w:ascii="Times New Roman" w:hAnsi="Times New Roman" w:cs="Times New Roman"/>
          <w:sz w:val="24"/>
          <w:szCs w:val="24"/>
          <w:lang w:val="fr-FR"/>
        </w:rPr>
        <w:t xml:space="preserve"> la production de cette couche, la composante 2 a procédé à la mise à jour des informations de la composante 1 sur le bâtis et les infrastructures communautaires à la demande des agences gouvernementales telles que l’UCLBP et des ONG internationales notamment pour les communes de Croix-des-Bouquets (particulièrement sur la zone de Canaan, Jérusalem et ONA-Ville), Port-au-Prince, </w:t>
      </w:r>
      <w:proofErr w:type="spellStart"/>
      <w:r w:rsidRPr="00614886">
        <w:rPr>
          <w:rFonts w:ascii="Times New Roman" w:hAnsi="Times New Roman" w:cs="Times New Roman"/>
          <w:sz w:val="24"/>
          <w:szCs w:val="24"/>
          <w:lang w:val="fr-FR"/>
        </w:rPr>
        <w:t>Gressier</w:t>
      </w:r>
      <w:proofErr w:type="spellEnd"/>
      <w:r w:rsidRPr="00614886">
        <w:rPr>
          <w:rFonts w:ascii="Times New Roman" w:hAnsi="Times New Roman" w:cs="Times New Roman"/>
          <w:sz w:val="24"/>
          <w:szCs w:val="24"/>
          <w:lang w:val="fr-FR"/>
        </w:rPr>
        <w:t xml:space="preserve">, </w:t>
      </w:r>
      <w:proofErr w:type="spellStart"/>
      <w:r w:rsidRPr="00614886">
        <w:rPr>
          <w:rFonts w:ascii="Times New Roman" w:hAnsi="Times New Roman" w:cs="Times New Roman"/>
          <w:sz w:val="24"/>
          <w:szCs w:val="24"/>
          <w:lang w:val="fr-FR"/>
        </w:rPr>
        <w:t>Leogane</w:t>
      </w:r>
      <w:proofErr w:type="spellEnd"/>
      <w:r w:rsidRPr="00614886">
        <w:rPr>
          <w:rFonts w:ascii="Times New Roman" w:hAnsi="Times New Roman" w:cs="Times New Roman"/>
          <w:sz w:val="24"/>
          <w:szCs w:val="24"/>
          <w:lang w:val="fr-FR"/>
        </w:rPr>
        <w:t xml:space="preserve"> et Jacmel. </w:t>
      </w:r>
    </w:p>
    <w:p w:rsidR="00614886" w:rsidRPr="00614886" w:rsidRDefault="00614886" w:rsidP="00614886">
      <w:pPr>
        <w:pStyle w:val="BodyText"/>
        <w:jc w:val="both"/>
        <w:rPr>
          <w:rFonts w:ascii="Times New Roman" w:hAnsi="Times New Roman" w:cs="Times New Roman"/>
          <w:sz w:val="24"/>
          <w:szCs w:val="24"/>
          <w:lang w:val="fr-FR"/>
        </w:rPr>
      </w:pPr>
    </w:p>
    <w:p w:rsidR="00614886" w:rsidRPr="00614886" w:rsidRDefault="00614886" w:rsidP="00614886">
      <w:pPr>
        <w:pStyle w:val="BodyText"/>
        <w:jc w:val="both"/>
        <w:rPr>
          <w:rFonts w:ascii="Times New Roman" w:hAnsi="Times New Roman" w:cs="Times New Roman"/>
          <w:sz w:val="24"/>
          <w:szCs w:val="24"/>
          <w:lang w:val="fr-FR"/>
        </w:rPr>
      </w:pPr>
      <w:r w:rsidRPr="00614886">
        <w:rPr>
          <w:rFonts w:ascii="Times New Roman" w:hAnsi="Times New Roman" w:cs="Times New Roman"/>
          <w:sz w:val="24"/>
          <w:szCs w:val="24"/>
          <w:lang w:val="fr-FR"/>
        </w:rPr>
        <w:t xml:space="preserve">Enfin, la composante 2 a effectué le recensement des propriétés bâties pour accroitre l’assiette fiscale de la mairie de Pétion-Ville au titre de la patente et de la contribution financière des propriétés bâties (CFPB) en appui à la composante 3 du PARLQ dans le cadre de la mise en place de la phase pilote du Système d’Information Communal (SIC) . </w:t>
      </w:r>
    </w:p>
    <w:p w:rsidR="00635359" w:rsidRDefault="00635359" w:rsidP="00635359">
      <w:pPr>
        <w:pStyle w:val="BodyText"/>
        <w:tabs>
          <w:tab w:val="left" w:pos="0"/>
        </w:tabs>
        <w:jc w:val="both"/>
        <w:rPr>
          <w:rFonts w:ascii="Times New Roman" w:hAnsi="Times New Roman" w:cs="Times New Roman"/>
          <w:b/>
          <w:bCs/>
          <w:sz w:val="24"/>
          <w:szCs w:val="24"/>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Produits</w:t>
      </w:r>
    </w:p>
    <w:p w:rsidR="00AC28C1" w:rsidRDefault="00AC28C1" w:rsidP="00614886">
      <w:pPr>
        <w:pStyle w:val="BodyText"/>
        <w:jc w:val="both"/>
        <w:rPr>
          <w:rFonts w:ascii="Times New Roman" w:hAnsi="Times New Roman"/>
          <w:sz w:val="24"/>
          <w:lang w:val="fr-FR"/>
        </w:rPr>
      </w:pPr>
    </w:p>
    <w:p w:rsidR="00614886" w:rsidRPr="00AC28C1" w:rsidRDefault="00614886" w:rsidP="00614886">
      <w:pPr>
        <w:pStyle w:val="BodyText"/>
        <w:jc w:val="both"/>
        <w:rPr>
          <w:rFonts w:ascii="Times New Roman" w:hAnsi="Times New Roman"/>
          <w:sz w:val="24"/>
          <w:lang w:val="fr-FR"/>
        </w:rPr>
      </w:pPr>
      <w:r w:rsidRPr="00AC28C1">
        <w:rPr>
          <w:rFonts w:ascii="Times New Roman" w:hAnsi="Times New Roman"/>
          <w:sz w:val="24"/>
          <w:lang w:val="fr-FR"/>
        </w:rPr>
        <w:t xml:space="preserve">Plusieurs produits dans le cadre du projet SILQ ont été livrés </w:t>
      </w:r>
      <w:r w:rsidR="00AC28C1" w:rsidRPr="00AC28C1">
        <w:rPr>
          <w:rFonts w:ascii="Times New Roman" w:hAnsi="Times New Roman"/>
          <w:sz w:val="24"/>
          <w:lang w:val="fr-FR"/>
        </w:rPr>
        <w:t>en 2014</w:t>
      </w:r>
      <w:r w:rsidRPr="00AC28C1">
        <w:rPr>
          <w:rFonts w:ascii="Times New Roman" w:hAnsi="Times New Roman"/>
          <w:sz w:val="24"/>
          <w:lang w:val="fr-FR"/>
        </w:rPr>
        <w:t>:</w:t>
      </w:r>
    </w:p>
    <w:p w:rsidR="00614886" w:rsidRPr="00AC28C1" w:rsidRDefault="00614886" w:rsidP="00614886">
      <w:pPr>
        <w:pStyle w:val="BodyText"/>
        <w:ind w:left="720"/>
        <w:rPr>
          <w:rFonts w:ascii="Times New Roman" w:hAnsi="Times New Roman"/>
          <w:sz w:val="24"/>
          <w:lang w:val="fr-FR"/>
        </w:rPr>
      </w:pPr>
    </w:p>
    <w:p w:rsidR="00614886" w:rsidRPr="00AC28C1" w:rsidRDefault="00614886" w:rsidP="00614886">
      <w:pPr>
        <w:pStyle w:val="BodyText"/>
        <w:numPr>
          <w:ilvl w:val="2"/>
          <w:numId w:val="28"/>
        </w:numPr>
        <w:ind w:left="720"/>
        <w:jc w:val="both"/>
        <w:rPr>
          <w:rFonts w:ascii="Times New Roman" w:hAnsi="Times New Roman"/>
          <w:sz w:val="24"/>
          <w:lang w:val="fr-FR"/>
        </w:rPr>
      </w:pPr>
      <w:r w:rsidRPr="00AC28C1">
        <w:rPr>
          <w:rFonts w:ascii="Times New Roman" w:hAnsi="Times New Roman"/>
          <w:sz w:val="24"/>
          <w:lang w:val="fr-FR"/>
        </w:rPr>
        <w:t xml:space="preserve">Le SILQ a été mis en ligne et intègre un site web, un </w:t>
      </w:r>
      <w:proofErr w:type="spellStart"/>
      <w:r w:rsidRPr="00AC28C1">
        <w:rPr>
          <w:rFonts w:ascii="Times New Roman" w:hAnsi="Times New Roman"/>
          <w:sz w:val="24"/>
          <w:lang w:val="fr-FR"/>
        </w:rPr>
        <w:t>geoportail</w:t>
      </w:r>
      <w:proofErr w:type="spellEnd"/>
      <w:r w:rsidRPr="00AC28C1">
        <w:rPr>
          <w:rFonts w:ascii="Times New Roman" w:hAnsi="Times New Roman"/>
          <w:sz w:val="24"/>
          <w:lang w:val="fr-FR"/>
        </w:rPr>
        <w:t xml:space="preserve"> qui permet de visualiser l’ensemble des données de la composante 1 et des données mises </w:t>
      </w:r>
      <w:r w:rsidR="00AC28C1" w:rsidRPr="00AC28C1">
        <w:rPr>
          <w:rFonts w:ascii="Times New Roman" w:hAnsi="Times New Roman"/>
          <w:sz w:val="24"/>
          <w:lang w:val="fr-FR"/>
        </w:rPr>
        <w:t>à</w:t>
      </w:r>
      <w:r w:rsidRPr="00AC28C1">
        <w:rPr>
          <w:rFonts w:ascii="Times New Roman" w:hAnsi="Times New Roman"/>
          <w:sz w:val="24"/>
          <w:lang w:val="fr-FR"/>
        </w:rPr>
        <w:t xml:space="preserve"> jour </w:t>
      </w:r>
      <w:r w:rsidR="00AC28C1" w:rsidRPr="00AC28C1">
        <w:rPr>
          <w:rFonts w:ascii="Times New Roman" w:hAnsi="Times New Roman"/>
          <w:sz w:val="24"/>
          <w:lang w:val="fr-FR"/>
        </w:rPr>
        <w:t xml:space="preserve">ou </w:t>
      </w:r>
      <w:r w:rsidRPr="00AC28C1">
        <w:rPr>
          <w:rFonts w:ascii="Times New Roman" w:hAnsi="Times New Roman"/>
          <w:sz w:val="24"/>
          <w:lang w:val="fr-FR"/>
        </w:rPr>
        <w:t xml:space="preserve">collectées par la composante 2 tout au long de l’année et </w:t>
      </w:r>
      <w:r w:rsidR="00AC28C1" w:rsidRPr="00AC28C1">
        <w:rPr>
          <w:rFonts w:ascii="Times New Roman" w:hAnsi="Times New Roman"/>
          <w:sz w:val="24"/>
          <w:lang w:val="fr-FR"/>
        </w:rPr>
        <w:t xml:space="preserve">celles </w:t>
      </w:r>
      <w:r w:rsidRPr="00AC28C1">
        <w:rPr>
          <w:rFonts w:ascii="Times New Roman" w:hAnsi="Times New Roman"/>
          <w:sz w:val="24"/>
          <w:lang w:val="fr-FR"/>
        </w:rPr>
        <w:t xml:space="preserve">partagées par les membres du réseau. La plateforme intègre </w:t>
      </w:r>
      <w:proofErr w:type="gramStart"/>
      <w:r w:rsidRPr="00AC28C1">
        <w:rPr>
          <w:rFonts w:ascii="Times New Roman" w:hAnsi="Times New Roman"/>
          <w:sz w:val="24"/>
          <w:lang w:val="fr-FR"/>
        </w:rPr>
        <w:t>les fiches commune</w:t>
      </w:r>
      <w:proofErr w:type="gramEnd"/>
      <w:r w:rsidRPr="00AC28C1">
        <w:rPr>
          <w:rFonts w:ascii="Times New Roman" w:hAnsi="Times New Roman"/>
          <w:sz w:val="24"/>
          <w:lang w:val="fr-FR"/>
        </w:rPr>
        <w:t xml:space="preserve"> </w:t>
      </w:r>
      <w:r w:rsidR="00AA3DFB" w:rsidRPr="00AC28C1">
        <w:rPr>
          <w:rFonts w:ascii="Times New Roman" w:hAnsi="Times New Roman"/>
          <w:sz w:val="24"/>
          <w:lang w:val="fr-FR"/>
        </w:rPr>
        <w:t xml:space="preserve">et quartier </w:t>
      </w:r>
      <w:r w:rsidRPr="00AC28C1">
        <w:rPr>
          <w:rFonts w:ascii="Times New Roman" w:hAnsi="Times New Roman"/>
          <w:sz w:val="24"/>
          <w:lang w:val="fr-FR"/>
        </w:rPr>
        <w:t xml:space="preserve">donnant des statistiques par </w:t>
      </w:r>
      <w:r w:rsidR="00AC28C1" w:rsidRPr="00AC28C1">
        <w:rPr>
          <w:rFonts w:ascii="Times New Roman" w:hAnsi="Times New Roman"/>
          <w:sz w:val="24"/>
          <w:lang w:val="fr-FR"/>
        </w:rPr>
        <w:t>zone géographique</w:t>
      </w:r>
      <w:r w:rsidRPr="00AC28C1">
        <w:rPr>
          <w:rFonts w:ascii="Times New Roman" w:hAnsi="Times New Roman"/>
          <w:sz w:val="24"/>
          <w:lang w:val="fr-FR"/>
        </w:rPr>
        <w:t>.</w:t>
      </w:r>
      <w:r w:rsidR="00AC28C1" w:rsidRPr="00AC28C1">
        <w:rPr>
          <w:rFonts w:ascii="Times New Roman" w:hAnsi="Times New Roman"/>
          <w:sz w:val="24"/>
          <w:lang w:val="fr-FR"/>
        </w:rPr>
        <w:t xml:space="preserve"> </w:t>
      </w:r>
      <w:r w:rsidRPr="00AC28C1">
        <w:rPr>
          <w:rFonts w:ascii="Times New Roman" w:hAnsi="Times New Roman"/>
          <w:sz w:val="24"/>
          <w:lang w:val="fr-FR"/>
        </w:rPr>
        <w:t xml:space="preserve">Enfin elle intègre un module dédié à l’enregistrement des membres du réseau via un formulaire </w:t>
      </w:r>
      <w:r w:rsidR="00AC28C1" w:rsidRPr="00AC28C1">
        <w:rPr>
          <w:rFonts w:ascii="Times New Roman" w:hAnsi="Times New Roman"/>
          <w:sz w:val="24"/>
          <w:lang w:val="fr-FR"/>
        </w:rPr>
        <w:t>en ligne, et un web forum.</w:t>
      </w:r>
    </w:p>
    <w:p w:rsidR="00614886" w:rsidRPr="00AC28C1" w:rsidRDefault="00614886" w:rsidP="00614886">
      <w:pPr>
        <w:pStyle w:val="BodyText"/>
        <w:numPr>
          <w:ilvl w:val="2"/>
          <w:numId w:val="28"/>
        </w:numPr>
        <w:ind w:left="720"/>
        <w:jc w:val="both"/>
        <w:rPr>
          <w:rFonts w:ascii="Times New Roman" w:hAnsi="Times New Roman"/>
          <w:sz w:val="24"/>
          <w:lang w:val="fr-FR"/>
        </w:rPr>
      </w:pPr>
      <w:r w:rsidRPr="00AC28C1">
        <w:rPr>
          <w:rFonts w:ascii="Times New Roman" w:hAnsi="Times New Roman"/>
          <w:sz w:val="24"/>
          <w:lang w:val="fr-FR"/>
        </w:rPr>
        <w:t xml:space="preserve">La couche géométrique de la délimitation des quartiers des </w:t>
      </w:r>
      <w:r w:rsidR="00AA3DFB">
        <w:rPr>
          <w:rFonts w:ascii="Times New Roman" w:hAnsi="Times New Roman"/>
          <w:sz w:val="24"/>
          <w:lang w:val="fr-FR"/>
        </w:rPr>
        <w:t>dix</w:t>
      </w:r>
      <w:r w:rsidRPr="00AC28C1">
        <w:rPr>
          <w:rFonts w:ascii="Times New Roman" w:hAnsi="Times New Roman"/>
          <w:sz w:val="24"/>
          <w:lang w:val="fr-FR"/>
        </w:rPr>
        <w:t xml:space="preserve"> communes du SILQ et la base de données sur les </w:t>
      </w:r>
      <w:r w:rsidR="00AC28C1" w:rsidRPr="00AC28C1">
        <w:rPr>
          <w:rFonts w:ascii="Times New Roman" w:hAnsi="Times New Roman"/>
          <w:sz w:val="24"/>
          <w:lang w:val="fr-FR"/>
        </w:rPr>
        <w:t>infrastructures.</w:t>
      </w:r>
    </w:p>
    <w:p w:rsidR="00614886" w:rsidRPr="00AC28C1" w:rsidRDefault="00614886" w:rsidP="00614886">
      <w:pPr>
        <w:pStyle w:val="BodyText"/>
        <w:numPr>
          <w:ilvl w:val="2"/>
          <w:numId w:val="28"/>
        </w:numPr>
        <w:ind w:left="720"/>
        <w:jc w:val="both"/>
        <w:rPr>
          <w:rFonts w:ascii="Times New Roman" w:hAnsi="Times New Roman"/>
          <w:sz w:val="24"/>
          <w:lang w:val="fr-FR"/>
        </w:rPr>
      </w:pPr>
      <w:r w:rsidRPr="00AC28C1">
        <w:rPr>
          <w:rFonts w:ascii="Times New Roman" w:hAnsi="Times New Roman"/>
          <w:sz w:val="24"/>
          <w:lang w:val="fr-FR"/>
        </w:rPr>
        <w:t xml:space="preserve">Capacités du personnel technique du CNIGS renforcées en administration sous </w:t>
      </w:r>
      <w:proofErr w:type="spellStart"/>
      <w:r w:rsidRPr="00AC28C1">
        <w:rPr>
          <w:rFonts w:ascii="Times New Roman" w:hAnsi="Times New Roman"/>
          <w:sz w:val="24"/>
          <w:lang w:val="fr-FR"/>
        </w:rPr>
        <w:t>RedHat</w:t>
      </w:r>
      <w:proofErr w:type="spellEnd"/>
      <w:r w:rsidRPr="00AC28C1">
        <w:rPr>
          <w:rFonts w:ascii="Times New Roman" w:hAnsi="Times New Roman"/>
          <w:sz w:val="24"/>
          <w:lang w:val="fr-FR"/>
        </w:rPr>
        <w:t xml:space="preserve"> (Linux) environnement technologique de a plateforme, et en programmation avancée en </w:t>
      </w:r>
      <w:proofErr w:type="spellStart"/>
      <w:r w:rsidRPr="00AC28C1">
        <w:rPr>
          <w:rFonts w:ascii="Times New Roman" w:hAnsi="Times New Roman"/>
          <w:sz w:val="24"/>
          <w:lang w:val="fr-FR"/>
        </w:rPr>
        <w:t>Javascript</w:t>
      </w:r>
      <w:proofErr w:type="spellEnd"/>
      <w:r w:rsidRPr="00AC28C1">
        <w:rPr>
          <w:rFonts w:ascii="Times New Roman" w:hAnsi="Times New Roman"/>
          <w:sz w:val="24"/>
          <w:lang w:val="fr-FR"/>
        </w:rPr>
        <w:t xml:space="preserve"> langage de programmation utilisé en </w:t>
      </w:r>
      <w:proofErr w:type="spellStart"/>
      <w:r w:rsidRPr="00AC28C1">
        <w:rPr>
          <w:rFonts w:ascii="Times New Roman" w:hAnsi="Times New Roman"/>
          <w:sz w:val="24"/>
          <w:lang w:val="fr-FR"/>
        </w:rPr>
        <w:t>webmapping</w:t>
      </w:r>
      <w:proofErr w:type="spellEnd"/>
      <w:r w:rsidRPr="00AC28C1">
        <w:rPr>
          <w:rFonts w:ascii="Times New Roman" w:hAnsi="Times New Roman"/>
          <w:sz w:val="24"/>
          <w:lang w:val="fr-FR"/>
        </w:rPr>
        <w:t xml:space="preserve"> et notamment pour </w:t>
      </w:r>
      <w:r w:rsidR="00AC28C1" w:rsidRPr="00AC28C1">
        <w:rPr>
          <w:rFonts w:ascii="Times New Roman" w:hAnsi="Times New Roman"/>
          <w:sz w:val="24"/>
          <w:lang w:val="fr-FR"/>
        </w:rPr>
        <w:t xml:space="preserve">la </w:t>
      </w:r>
      <w:r w:rsidRPr="00AC28C1">
        <w:rPr>
          <w:rFonts w:ascii="Times New Roman" w:hAnsi="Times New Roman"/>
          <w:sz w:val="24"/>
          <w:lang w:val="fr-FR"/>
        </w:rPr>
        <w:t>conce</w:t>
      </w:r>
      <w:r w:rsidR="00AC28C1" w:rsidRPr="00AC28C1">
        <w:rPr>
          <w:rFonts w:ascii="Times New Roman" w:hAnsi="Times New Roman"/>
          <w:sz w:val="24"/>
          <w:lang w:val="fr-FR"/>
        </w:rPr>
        <w:t>ption du</w:t>
      </w:r>
      <w:r w:rsidRPr="00AC28C1">
        <w:rPr>
          <w:rFonts w:ascii="Times New Roman" w:hAnsi="Times New Roman"/>
          <w:sz w:val="24"/>
          <w:lang w:val="fr-FR"/>
        </w:rPr>
        <w:t xml:space="preserve"> </w:t>
      </w:r>
      <w:proofErr w:type="spellStart"/>
      <w:r w:rsidRPr="00AC28C1">
        <w:rPr>
          <w:rFonts w:ascii="Times New Roman" w:hAnsi="Times New Roman"/>
          <w:sz w:val="24"/>
          <w:lang w:val="fr-FR"/>
        </w:rPr>
        <w:t>Geoportail</w:t>
      </w:r>
      <w:proofErr w:type="spellEnd"/>
      <w:r w:rsidR="00AC28C1" w:rsidRPr="00AC28C1">
        <w:rPr>
          <w:rFonts w:ascii="Times New Roman" w:hAnsi="Times New Roman"/>
          <w:sz w:val="24"/>
          <w:lang w:val="fr-FR"/>
        </w:rPr>
        <w:t>.</w:t>
      </w:r>
    </w:p>
    <w:p w:rsidR="00614886" w:rsidRPr="00AC28C1" w:rsidRDefault="00614886" w:rsidP="00614886">
      <w:pPr>
        <w:pStyle w:val="BodyText"/>
        <w:numPr>
          <w:ilvl w:val="2"/>
          <w:numId w:val="28"/>
        </w:numPr>
        <w:ind w:left="720"/>
        <w:jc w:val="both"/>
        <w:rPr>
          <w:rFonts w:ascii="Times New Roman" w:hAnsi="Times New Roman"/>
          <w:sz w:val="24"/>
          <w:lang w:val="fr-FR"/>
        </w:rPr>
      </w:pPr>
      <w:r w:rsidRPr="00AC28C1">
        <w:rPr>
          <w:rFonts w:ascii="Times New Roman" w:hAnsi="Times New Roman"/>
          <w:sz w:val="24"/>
          <w:lang w:val="fr-FR"/>
        </w:rPr>
        <w:t xml:space="preserve">Capacités des usagers </w:t>
      </w:r>
      <w:r w:rsidR="00AC28C1" w:rsidRPr="00AC28C1">
        <w:rPr>
          <w:rFonts w:ascii="Times New Roman" w:hAnsi="Times New Roman"/>
          <w:sz w:val="24"/>
          <w:lang w:val="fr-FR"/>
        </w:rPr>
        <w:t xml:space="preserve">de la plateforme SILQ a l’utilisation de la plateforme SILQ en ligne </w:t>
      </w:r>
      <w:r w:rsidRPr="00AC28C1">
        <w:rPr>
          <w:rFonts w:ascii="Times New Roman" w:hAnsi="Times New Roman"/>
          <w:sz w:val="24"/>
          <w:lang w:val="fr-FR"/>
        </w:rPr>
        <w:t>renforcées</w:t>
      </w:r>
      <w:r w:rsidR="00AC28C1" w:rsidRPr="00AC28C1">
        <w:rPr>
          <w:rFonts w:ascii="Times New Roman" w:hAnsi="Times New Roman"/>
          <w:sz w:val="24"/>
          <w:lang w:val="fr-FR"/>
        </w:rPr>
        <w:t xml:space="preserve">. Les membres des ATL et des CRC ont en plus été formes sur </w:t>
      </w:r>
      <w:r w:rsidRPr="00AC28C1">
        <w:rPr>
          <w:rFonts w:ascii="Times New Roman" w:hAnsi="Times New Roman"/>
          <w:sz w:val="24"/>
          <w:lang w:val="fr-FR"/>
        </w:rPr>
        <w:t>les techniques de collecte des données avec usage du</w:t>
      </w:r>
      <w:r w:rsidR="00AC28C1" w:rsidRPr="00AC28C1">
        <w:rPr>
          <w:rFonts w:ascii="Times New Roman" w:hAnsi="Times New Roman"/>
          <w:sz w:val="24"/>
          <w:lang w:val="fr-FR"/>
        </w:rPr>
        <w:t xml:space="preserve"> GPS.</w:t>
      </w:r>
    </w:p>
    <w:p w:rsidR="00614886" w:rsidRPr="00AC28C1" w:rsidRDefault="00614886" w:rsidP="00614886">
      <w:pPr>
        <w:pStyle w:val="BodyText"/>
        <w:numPr>
          <w:ilvl w:val="2"/>
          <w:numId w:val="28"/>
        </w:numPr>
        <w:ind w:left="720"/>
        <w:jc w:val="both"/>
        <w:rPr>
          <w:rFonts w:ascii="Times New Roman" w:hAnsi="Times New Roman"/>
          <w:sz w:val="24"/>
          <w:lang w:val="fr-FR"/>
        </w:rPr>
      </w:pPr>
      <w:r w:rsidRPr="00AC28C1">
        <w:rPr>
          <w:rFonts w:ascii="Times New Roman" w:hAnsi="Times New Roman"/>
          <w:sz w:val="24"/>
          <w:lang w:val="fr-FR"/>
        </w:rPr>
        <w:t>Acquisition des logiciels cartographiques et du matériel de collecte de données tels que les GPS, les tablettes et le drone</w:t>
      </w:r>
      <w:r w:rsidR="00AC28C1" w:rsidRPr="00AC28C1">
        <w:rPr>
          <w:rFonts w:ascii="Times New Roman" w:hAnsi="Times New Roman"/>
          <w:sz w:val="24"/>
          <w:lang w:val="fr-FR"/>
        </w:rPr>
        <w:t>.</w:t>
      </w:r>
    </w:p>
    <w:p w:rsidR="00951B5F" w:rsidRDefault="00951B5F" w:rsidP="00614886">
      <w:pPr>
        <w:pStyle w:val="BodyText"/>
        <w:tabs>
          <w:tab w:val="left" w:pos="0"/>
          <w:tab w:val="left" w:pos="1440"/>
        </w:tabs>
        <w:jc w:val="both"/>
        <w:rPr>
          <w:rFonts w:ascii="Times New Roman" w:hAnsi="Times New Roman" w:cs="Times New Roman"/>
          <w:b/>
          <w:bCs/>
          <w:sz w:val="24"/>
          <w:szCs w:val="24"/>
          <w:lang w:val="fr-FR"/>
        </w:rPr>
      </w:pPr>
    </w:p>
    <w:p w:rsidR="00635359" w:rsidRPr="00DB4413" w:rsidRDefault="00635359" w:rsidP="00635359">
      <w:pPr>
        <w:pStyle w:val="BodyText"/>
        <w:tabs>
          <w:tab w:val="left" w:pos="0"/>
        </w:tabs>
        <w:jc w:val="both"/>
        <w:rPr>
          <w:rFonts w:ascii="Times New Roman" w:hAnsi="Times New Roman" w:cs="Times New Roman"/>
          <w:b/>
          <w:bCs/>
          <w:sz w:val="24"/>
          <w:szCs w:val="24"/>
          <w:lang w:val="fr-FR"/>
        </w:rPr>
      </w:pPr>
      <w:r w:rsidRPr="00DB4413">
        <w:rPr>
          <w:rFonts w:ascii="Times New Roman" w:hAnsi="Times New Roman" w:cs="Times New Roman"/>
          <w:b/>
          <w:bCs/>
          <w:sz w:val="24"/>
          <w:szCs w:val="24"/>
          <w:lang w:val="fr-FR"/>
        </w:rPr>
        <w:t>Retards, défis, leçons apprises et meilleures pratiques</w:t>
      </w:r>
    </w:p>
    <w:p w:rsidR="00AC6617" w:rsidRDefault="00AC6617" w:rsidP="00AC6617">
      <w:pPr>
        <w:pStyle w:val="BodyText"/>
        <w:tabs>
          <w:tab w:val="left" w:pos="0"/>
        </w:tabs>
        <w:jc w:val="both"/>
        <w:rPr>
          <w:rFonts w:ascii="Times New Roman" w:hAnsi="Times New Roman" w:cs="Times New Roman"/>
          <w:b/>
          <w:bCs/>
          <w:color w:val="FF0000"/>
          <w:sz w:val="24"/>
          <w:szCs w:val="24"/>
          <w:lang w:val="fr-FR"/>
        </w:rPr>
      </w:pPr>
    </w:p>
    <w:p w:rsidR="00AC28C1" w:rsidRPr="000F78CF" w:rsidRDefault="00AC28C1" w:rsidP="00AC28C1">
      <w:pPr>
        <w:tabs>
          <w:tab w:val="left" w:pos="0"/>
        </w:tabs>
        <w:jc w:val="both"/>
        <w:rPr>
          <w:lang w:val="fr-FR"/>
        </w:rPr>
      </w:pPr>
      <w:r w:rsidRPr="000F78CF">
        <w:rPr>
          <w:lang w:val="fr-FR"/>
        </w:rPr>
        <w:t xml:space="preserve">Au cours du  premier semestre de 2014 on a pu enregistrer un retard dans la mise en œuvre effective des activités de la composante 2 lié à l’ajustement à certaines clauses de l’amendement de l’accord de partenariat entre le CNIGS et ONU-HABITAT et qui a </w:t>
      </w:r>
      <w:r w:rsidR="000F78CF" w:rsidRPr="000F78CF">
        <w:rPr>
          <w:lang w:val="fr-FR"/>
        </w:rPr>
        <w:t>créé</w:t>
      </w:r>
      <w:r w:rsidRPr="000F78CF">
        <w:rPr>
          <w:lang w:val="fr-FR"/>
        </w:rPr>
        <w:t xml:space="preserve"> des difficultés</w:t>
      </w:r>
      <w:r w:rsidR="000F78CF" w:rsidRPr="000F78CF">
        <w:rPr>
          <w:lang w:val="fr-FR"/>
        </w:rPr>
        <w:t xml:space="preserve"> dans la disponibilité des fonds.</w:t>
      </w:r>
      <w:r w:rsidR="003E50D8">
        <w:rPr>
          <w:lang w:val="fr-FR"/>
        </w:rPr>
        <w:t xml:space="preserve"> Une demande d’extension de la durée d’exécution des activités de la composante a été décidée par son </w:t>
      </w:r>
      <w:r w:rsidR="003E50D8">
        <w:rPr>
          <w:lang w:val="fr-FR"/>
        </w:rPr>
        <w:lastRenderedPageBreak/>
        <w:t>Comité de Coordination lors de sa réunion du 7 avril 2014, et transmise au Comité de Pilotage du Programme.</w:t>
      </w:r>
    </w:p>
    <w:p w:rsidR="00AC28C1" w:rsidRPr="000F78CF" w:rsidRDefault="00AC28C1" w:rsidP="00AC28C1">
      <w:pPr>
        <w:tabs>
          <w:tab w:val="left" w:pos="0"/>
        </w:tabs>
        <w:jc w:val="both"/>
        <w:rPr>
          <w:lang w:val="fr-FR"/>
        </w:rPr>
      </w:pPr>
    </w:p>
    <w:p w:rsidR="00AC28C1" w:rsidRPr="000F78CF" w:rsidRDefault="0099080D" w:rsidP="00AC28C1">
      <w:pPr>
        <w:tabs>
          <w:tab w:val="left" w:pos="0"/>
        </w:tabs>
        <w:jc w:val="both"/>
        <w:rPr>
          <w:lang w:val="fr-FR"/>
        </w:rPr>
      </w:pPr>
      <w:r>
        <w:rPr>
          <w:lang w:val="fr-FR"/>
        </w:rPr>
        <w:t>A la fin 2014</w:t>
      </w:r>
      <w:r w:rsidR="000F78CF" w:rsidRPr="000F78CF">
        <w:rPr>
          <w:lang w:val="fr-FR"/>
        </w:rPr>
        <w:t>,</w:t>
      </w:r>
      <w:r w:rsidR="00AC28C1" w:rsidRPr="000F78CF">
        <w:rPr>
          <w:lang w:val="fr-FR"/>
        </w:rPr>
        <w:t xml:space="preserve"> la composante 2 </w:t>
      </w:r>
      <w:proofErr w:type="gramStart"/>
      <w:r w:rsidR="00AC28C1" w:rsidRPr="000F78CF">
        <w:rPr>
          <w:lang w:val="fr-FR"/>
        </w:rPr>
        <w:t>a</w:t>
      </w:r>
      <w:proofErr w:type="gramEnd"/>
      <w:r w:rsidR="00AC28C1" w:rsidRPr="000F78CF">
        <w:rPr>
          <w:lang w:val="fr-FR"/>
        </w:rPr>
        <w:t xml:space="preserve"> réussi à produire l’ensemble des produits attendus et</w:t>
      </w:r>
      <w:r w:rsidR="000F78CF" w:rsidRPr="000F78CF">
        <w:rPr>
          <w:lang w:val="fr-FR"/>
        </w:rPr>
        <w:t>,</w:t>
      </w:r>
      <w:r w:rsidR="00AC28C1" w:rsidRPr="000F78CF">
        <w:rPr>
          <w:lang w:val="fr-FR"/>
        </w:rPr>
        <w:t xml:space="preserve"> de plus</w:t>
      </w:r>
      <w:r w:rsidR="000F78CF" w:rsidRPr="000F78CF">
        <w:rPr>
          <w:lang w:val="fr-FR"/>
        </w:rPr>
        <w:t>,</w:t>
      </w:r>
      <w:r w:rsidR="00AC28C1" w:rsidRPr="000F78CF">
        <w:rPr>
          <w:lang w:val="fr-FR"/>
        </w:rPr>
        <w:t xml:space="preserve"> elle a su relever le défi de l’adaptabilité au contexte général de transition de l’urgence vers la planification des besoins de l’habitat et du logement </w:t>
      </w:r>
      <w:r w:rsidR="000F78CF" w:rsidRPr="000F78CF">
        <w:rPr>
          <w:lang w:val="fr-FR"/>
        </w:rPr>
        <w:t>à</w:t>
      </w:r>
      <w:r w:rsidR="00AC28C1" w:rsidRPr="000F78CF">
        <w:rPr>
          <w:lang w:val="fr-FR"/>
        </w:rPr>
        <w:t xml:space="preserve"> long terme. A ce titre les utilisateurs de données émettent constamment le besoin d’avoir des données actualisées et surtout que les données sur les bâtis puissent faire l’objet d’une nouvelle </w:t>
      </w:r>
      <w:r>
        <w:rPr>
          <w:lang w:val="fr-FR"/>
        </w:rPr>
        <w:t>catégorisation</w:t>
      </w:r>
      <w:r w:rsidR="00AC28C1" w:rsidRPr="000F78CF">
        <w:rPr>
          <w:lang w:val="fr-FR"/>
        </w:rPr>
        <w:t xml:space="preserve"> par rapport </w:t>
      </w:r>
      <w:r w:rsidR="000F78CF" w:rsidRPr="000F78CF">
        <w:rPr>
          <w:lang w:val="fr-FR"/>
        </w:rPr>
        <w:t>à</w:t>
      </w:r>
      <w:r w:rsidR="00AC28C1" w:rsidRPr="000F78CF">
        <w:rPr>
          <w:lang w:val="fr-FR"/>
        </w:rPr>
        <w:t xml:space="preserve"> celle proposée par la composante 1.</w:t>
      </w:r>
    </w:p>
    <w:p w:rsidR="000F78CF" w:rsidRPr="000F78CF" w:rsidRDefault="000F78CF" w:rsidP="00AC28C1">
      <w:pPr>
        <w:tabs>
          <w:tab w:val="left" w:pos="0"/>
        </w:tabs>
        <w:jc w:val="both"/>
        <w:rPr>
          <w:lang w:val="fr-FR"/>
        </w:rPr>
      </w:pPr>
    </w:p>
    <w:p w:rsidR="00AC28C1" w:rsidRPr="000F78CF" w:rsidRDefault="000F78CF" w:rsidP="00AC28C1">
      <w:pPr>
        <w:tabs>
          <w:tab w:val="left" w:pos="0"/>
        </w:tabs>
        <w:jc w:val="both"/>
        <w:rPr>
          <w:lang w:val="fr-FR"/>
        </w:rPr>
      </w:pPr>
      <w:r w:rsidRPr="000F78CF">
        <w:rPr>
          <w:lang w:val="fr-FR"/>
        </w:rPr>
        <w:t>U</w:t>
      </w:r>
      <w:r w:rsidR="00AC28C1" w:rsidRPr="000F78CF">
        <w:rPr>
          <w:lang w:val="fr-FR"/>
        </w:rPr>
        <w:t>n constat général est fait à partir de l’analyse de la base de données des acteurs de la reconstruction, selon lequel, il existe beaucoup plus d’utilisateurs de données que de producteurs réels compte tenu du fait que les programmes et projets de développement mis en œuvre par des ONG</w:t>
      </w:r>
      <w:r w:rsidRPr="000F78CF">
        <w:rPr>
          <w:lang w:val="fr-FR"/>
        </w:rPr>
        <w:t>,</w:t>
      </w:r>
      <w:r w:rsidR="00AC28C1" w:rsidRPr="000F78CF">
        <w:rPr>
          <w:lang w:val="fr-FR"/>
        </w:rPr>
        <w:t xml:space="preserve"> ou d’autres agences d’exécution locales ou internationales</w:t>
      </w:r>
      <w:r w:rsidRPr="000F78CF">
        <w:rPr>
          <w:lang w:val="fr-FR"/>
        </w:rPr>
        <w:t>,</w:t>
      </w:r>
      <w:r w:rsidR="00AC28C1" w:rsidRPr="000F78CF">
        <w:rPr>
          <w:lang w:val="fr-FR"/>
        </w:rPr>
        <w:t xml:space="preserve"> n’intègrent pas systématiquement dans leur volet « suivi et évaluation » une dimensio</w:t>
      </w:r>
      <w:r w:rsidR="00851CE5">
        <w:rPr>
          <w:lang w:val="fr-FR"/>
        </w:rPr>
        <w:t xml:space="preserve">n </w:t>
      </w:r>
      <w:proofErr w:type="spellStart"/>
      <w:r w:rsidR="00851CE5">
        <w:rPr>
          <w:lang w:val="fr-FR"/>
        </w:rPr>
        <w:t>geospatiale</w:t>
      </w:r>
      <w:proofErr w:type="spellEnd"/>
      <w:r w:rsidR="00851CE5">
        <w:rPr>
          <w:lang w:val="fr-FR"/>
        </w:rPr>
        <w:t xml:space="preserve"> de l’information.</w:t>
      </w:r>
    </w:p>
    <w:p w:rsidR="00AC6617" w:rsidRPr="002B351A" w:rsidRDefault="00AC6617" w:rsidP="00AC6617">
      <w:pPr>
        <w:tabs>
          <w:tab w:val="left" w:pos="0"/>
        </w:tabs>
        <w:jc w:val="both"/>
        <w:rPr>
          <w:b/>
          <w:lang w:val="fr-FR"/>
        </w:rPr>
      </w:pPr>
    </w:p>
    <w:p w:rsidR="00AC6617" w:rsidRDefault="005B1F90" w:rsidP="00AC6617">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Le</w:t>
      </w:r>
      <w:r w:rsidR="00AC6617" w:rsidRPr="002B351A">
        <w:rPr>
          <w:rFonts w:ascii="Times New Roman" w:hAnsi="Times New Roman" w:cs="Times New Roman"/>
          <w:sz w:val="24"/>
          <w:szCs w:val="24"/>
          <w:lang w:val="fr-FR"/>
        </w:rPr>
        <w:t xml:space="preserve"> principa</w:t>
      </w:r>
      <w:r>
        <w:rPr>
          <w:rFonts w:ascii="Times New Roman" w:hAnsi="Times New Roman" w:cs="Times New Roman"/>
          <w:sz w:val="24"/>
          <w:szCs w:val="24"/>
          <w:lang w:val="fr-FR"/>
        </w:rPr>
        <w:t>l</w:t>
      </w:r>
      <w:r w:rsidR="00AC6617">
        <w:rPr>
          <w:rFonts w:ascii="Times New Roman" w:hAnsi="Times New Roman" w:cs="Times New Roman"/>
          <w:sz w:val="24"/>
          <w:szCs w:val="24"/>
          <w:lang w:val="fr-FR"/>
        </w:rPr>
        <w:t xml:space="preserve"> </w:t>
      </w:r>
      <w:r>
        <w:rPr>
          <w:rFonts w:ascii="Times New Roman" w:hAnsi="Times New Roman" w:cs="Times New Roman"/>
          <w:sz w:val="24"/>
          <w:szCs w:val="24"/>
          <w:lang w:val="fr-FR"/>
        </w:rPr>
        <w:t>défi</w:t>
      </w:r>
      <w:r w:rsidR="00AC6617">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AC6617">
        <w:rPr>
          <w:rFonts w:ascii="Times New Roman" w:hAnsi="Times New Roman" w:cs="Times New Roman"/>
          <w:sz w:val="24"/>
          <w:szCs w:val="24"/>
          <w:lang w:val="fr-FR"/>
        </w:rPr>
        <w:t xml:space="preserve"> relever est de faire connaitre suffisamment la plateforme en ligne pour qu’elle </w:t>
      </w:r>
      <w:r w:rsidR="003D4B7E">
        <w:rPr>
          <w:rFonts w:ascii="Times New Roman" w:hAnsi="Times New Roman" w:cs="Times New Roman"/>
          <w:sz w:val="24"/>
          <w:szCs w:val="24"/>
          <w:lang w:val="fr-FR"/>
        </w:rPr>
        <w:t>devienne</w:t>
      </w:r>
      <w:r w:rsidR="00AC6617">
        <w:rPr>
          <w:rFonts w:ascii="Times New Roman" w:hAnsi="Times New Roman" w:cs="Times New Roman"/>
          <w:sz w:val="24"/>
          <w:szCs w:val="24"/>
          <w:lang w:val="fr-FR"/>
        </w:rPr>
        <w:t xml:space="preserve"> l’outil de référence pour </w:t>
      </w:r>
      <w:r w:rsidR="003D4B7E">
        <w:rPr>
          <w:rFonts w:ascii="Times New Roman" w:hAnsi="Times New Roman" w:cs="Times New Roman"/>
          <w:sz w:val="24"/>
          <w:szCs w:val="24"/>
          <w:lang w:val="fr-FR"/>
        </w:rPr>
        <w:t>le plus</w:t>
      </w:r>
      <w:r w:rsidR="00AC6617">
        <w:rPr>
          <w:rFonts w:ascii="Times New Roman" w:hAnsi="Times New Roman" w:cs="Times New Roman"/>
          <w:sz w:val="24"/>
          <w:szCs w:val="24"/>
          <w:lang w:val="fr-FR"/>
        </w:rPr>
        <w:t xml:space="preserve"> grand nombre d’acteurs de la reconstruction </w:t>
      </w:r>
      <w:r w:rsidR="003D4B7E">
        <w:rPr>
          <w:rFonts w:ascii="Times New Roman" w:hAnsi="Times New Roman" w:cs="Times New Roman"/>
          <w:sz w:val="24"/>
          <w:szCs w:val="24"/>
          <w:lang w:val="fr-FR"/>
        </w:rPr>
        <w:t>possible</w:t>
      </w:r>
      <w:r w:rsidR="00AC6617">
        <w:rPr>
          <w:rFonts w:ascii="Times New Roman" w:hAnsi="Times New Roman" w:cs="Times New Roman"/>
          <w:sz w:val="24"/>
          <w:szCs w:val="24"/>
          <w:lang w:val="fr-FR"/>
        </w:rPr>
        <w:t xml:space="preserve">, </w:t>
      </w:r>
      <w:r>
        <w:rPr>
          <w:rFonts w:ascii="Times New Roman" w:hAnsi="Times New Roman" w:cs="Times New Roman"/>
          <w:sz w:val="24"/>
          <w:szCs w:val="24"/>
          <w:lang w:val="fr-FR"/>
        </w:rPr>
        <w:t>évitant</w:t>
      </w:r>
      <w:r w:rsidR="00AC6617">
        <w:rPr>
          <w:rFonts w:ascii="Times New Roman" w:hAnsi="Times New Roman" w:cs="Times New Roman"/>
          <w:sz w:val="24"/>
          <w:szCs w:val="24"/>
          <w:lang w:val="fr-FR"/>
        </w:rPr>
        <w:t xml:space="preserve"> ainsi la </w:t>
      </w:r>
      <w:r>
        <w:rPr>
          <w:rFonts w:ascii="Times New Roman" w:hAnsi="Times New Roman" w:cs="Times New Roman"/>
          <w:sz w:val="24"/>
          <w:szCs w:val="24"/>
          <w:lang w:val="fr-FR"/>
        </w:rPr>
        <w:t>multiplicité</w:t>
      </w:r>
      <w:r w:rsidR="00AC6617">
        <w:rPr>
          <w:rFonts w:ascii="Times New Roman" w:hAnsi="Times New Roman" w:cs="Times New Roman"/>
          <w:sz w:val="24"/>
          <w:szCs w:val="24"/>
          <w:lang w:val="fr-FR"/>
        </w:rPr>
        <w:t xml:space="preserve"> d’application</w:t>
      </w:r>
      <w:r w:rsidR="003D4B7E">
        <w:rPr>
          <w:rFonts w:ascii="Times New Roman" w:hAnsi="Times New Roman" w:cs="Times New Roman"/>
          <w:sz w:val="24"/>
          <w:szCs w:val="24"/>
          <w:lang w:val="fr-FR"/>
        </w:rPr>
        <w:t>s</w:t>
      </w:r>
      <w:r w:rsidR="00AC6617">
        <w:rPr>
          <w:rFonts w:ascii="Times New Roman" w:hAnsi="Times New Roman" w:cs="Times New Roman"/>
          <w:sz w:val="24"/>
          <w:szCs w:val="24"/>
          <w:lang w:val="fr-FR"/>
        </w:rPr>
        <w:t xml:space="preserve"> et des sources d’information</w:t>
      </w:r>
      <w:r w:rsidR="00AC6617" w:rsidRPr="002B351A">
        <w:rPr>
          <w:rFonts w:ascii="Times New Roman" w:hAnsi="Times New Roman" w:cs="Times New Roman"/>
          <w:sz w:val="24"/>
          <w:szCs w:val="24"/>
          <w:lang w:val="fr-FR"/>
        </w:rPr>
        <w:t xml:space="preserve">. </w:t>
      </w:r>
    </w:p>
    <w:p w:rsidR="00AC6617" w:rsidRDefault="00AC6617" w:rsidP="00AC6617">
      <w:pPr>
        <w:pStyle w:val="BodyText"/>
        <w:tabs>
          <w:tab w:val="left" w:pos="0"/>
        </w:tabs>
        <w:jc w:val="both"/>
        <w:rPr>
          <w:rFonts w:ascii="Times New Roman" w:hAnsi="Times New Roman" w:cs="Times New Roman"/>
          <w:sz w:val="24"/>
          <w:szCs w:val="24"/>
          <w:lang w:val="fr-FR"/>
        </w:rPr>
      </w:pPr>
    </w:p>
    <w:p w:rsidR="00AC6617" w:rsidRDefault="00AC6617" w:rsidP="00AC6617">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Autre </w:t>
      </w:r>
      <w:r w:rsidR="005B1F90">
        <w:rPr>
          <w:rFonts w:ascii="Times New Roman" w:hAnsi="Times New Roman" w:cs="Times New Roman"/>
          <w:sz w:val="24"/>
          <w:szCs w:val="24"/>
          <w:lang w:val="fr-FR"/>
        </w:rPr>
        <w:t>défi</w:t>
      </w:r>
      <w:r>
        <w:rPr>
          <w:rFonts w:ascii="Times New Roman" w:hAnsi="Times New Roman" w:cs="Times New Roman"/>
          <w:sz w:val="24"/>
          <w:szCs w:val="24"/>
          <w:lang w:val="fr-FR"/>
        </w:rPr>
        <w:t xml:space="preserve"> est la pérennisa</w:t>
      </w:r>
      <w:r w:rsidR="007D2DAA">
        <w:rPr>
          <w:rFonts w:ascii="Times New Roman" w:hAnsi="Times New Roman" w:cs="Times New Roman"/>
          <w:sz w:val="24"/>
          <w:szCs w:val="24"/>
          <w:lang w:val="fr-FR"/>
        </w:rPr>
        <w:t>tion du SILQ âpres le Programme</w:t>
      </w:r>
      <w:r>
        <w:rPr>
          <w:rFonts w:ascii="Times New Roman" w:hAnsi="Times New Roman" w:cs="Times New Roman"/>
          <w:sz w:val="24"/>
          <w:szCs w:val="24"/>
          <w:lang w:val="fr-FR"/>
        </w:rPr>
        <w:t xml:space="preserve">. En effet le contexte actuel s’inscrit de plus en plus vers une dynamique de développement durable et l’outil doit pouvoir s’adapter </w:t>
      </w:r>
      <w:r w:rsidR="00DB4413">
        <w:rPr>
          <w:rFonts w:ascii="Times New Roman" w:hAnsi="Times New Roman" w:cs="Times New Roman"/>
          <w:sz w:val="24"/>
          <w:szCs w:val="24"/>
          <w:lang w:val="fr-FR"/>
        </w:rPr>
        <w:t>en intégrant des nouvelles</w:t>
      </w:r>
      <w:r>
        <w:rPr>
          <w:rFonts w:ascii="Times New Roman" w:hAnsi="Times New Roman" w:cs="Times New Roman"/>
          <w:sz w:val="24"/>
          <w:szCs w:val="24"/>
          <w:lang w:val="fr-FR"/>
        </w:rPr>
        <w:t xml:space="preserve"> dimension</w:t>
      </w:r>
      <w:r w:rsidR="003D4B7E">
        <w:rPr>
          <w:rFonts w:ascii="Times New Roman" w:hAnsi="Times New Roman" w:cs="Times New Roman"/>
          <w:sz w:val="24"/>
          <w:szCs w:val="24"/>
          <w:lang w:val="fr-FR"/>
        </w:rPr>
        <w:t>s comme celles relatives a</w:t>
      </w:r>
      <w:r w:rsidR="00DB4413">
        <w:rPr>
          <w:rFonts w:ascii="Times New Roman" w:hAnsi="Times New Roman" w:cs="Times New Roman"/>
          <w:sz w:val="24"/>
          <w:szCs w:val="24"/>
          <w:lang w:val="fr-FR"/>
        </w:rPr>
        <w:t>u suivi et l’évaluation de la politique nationale du logement et l’habitat, la</w:t>
      </w:r>
      <w:r>
        <w:rPr>
          <w:rFonts w:ascii="Times New Roman" w:hAnsi="Times New Roman" w:cs="Times New Roman"/>
          <w:sz w:val="24"/>
          <w:szCs w:val="24"/>
          <w:lang w:val="fr-FR"/>
        </w:rPr>
        <w:t xml:space="preserve"> planification </w:t>
      </w:r>
      <w:r w:rsidR="00DB4413">
        <w:rPr>
          <w:rFonts w:ascii="Times New Roman" w:hAnsi="Times New Roman" w:cs="Times New Roman"/>
          <w:sz w:val="24"/>
          <w:szCs w:val="24"/>
          <w:lang w:val="fr-FR"/>
        </w:rPr>
        <w:t>urbaine et territoriale ou la gestion communal</w:t>
      </w:r>
      <w:r w:rsidR="005B1F90">
        <w:rPr>
          <w:rFonts w:ascii="Times New Roman" w:hAnsi="Times New Roman" w:cs="Times New Roman"/>
          <w:sz w:val="24"/>
          <w:szCs w:val="24"/>
          <w:lang w:val="fr-FR"/>
        </w:rPr>
        <w:t>.</w:t>
      </w:r>
    </w:p>
    <w:p w:rsidR="00851CE5" w:rsidRDefault="00851CE5" w:rsidP="00AC6617">
      <w:pPr>
        <w:pStyle w:val="BodyText"/>
        <w:tabs>
          <w:tab w:val="left" w:pos="0"/>
        </w:tabs>
        <w:jc w:val="both"/>
        <w:rPr>
          <w:rFonts w:ascii="Times New Roman" w:hAnsi="Times New Roman" w:cs="Times New Roman"/>
          <w:sz w:val="24"/>
          <w:szCs w:val="24"/>
          <w:lang w:val="fr-FR"/>
        </w:rPr>
      </w:pPr>
    </w:p>
    <w:p w:rsidR="00851CE5" w:rsidRPr="002B351A" w:rsidRDefault="00851CE5" w:rsidP="00AC6617">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Les articulations entamées avec d’autres partenaires du Programme, notamment l’UCLBP et les communes, ont permis, en opérationnalisant la gestion de l’information, de montrer la vraie valeur du SILQ et œuvrent des pistes de collabor</w:t>
      </w:r>
      <w:r w:rsidR="0099080D">
        <w:rPr>
          <w:rFonts w:ascii="Times New Roman" w:hAnsi="Times New Roman" w:cs="Times New Roman"/>
          <w:sz w:val="24"/>
          <w:szCs w:val="24"/>
          <w:lang w:val="fr-FR"/>
        </w:rPr>
        <w:t>ation au-delà des atteintes du P</w:t>
      </w:r>
      <w:r>
        <w:rPr>
          <w:rFonts w:ascii="Times New Roman" w:hAnsi="Times New Roman" w:cs="Times New Roman"/>
          <w:sz w:val="24"/>
          <w:szCs w:val="24"/>
          <w:lang w:val="fr-FR"/>
        </w:rPr>
        <w:t>rogramme.</w:t>
      </w:r>
    </w:p>
    <w:p w:rsidR="00AC6617" w:rsidRDefault="00AC6617" w:rsidP="00635359">
      <w:pPr>
        <w:pStyle w:val="BodyText"/>
        <w:tabs>
          <w:tab w:val="left" w:pos="0"/>
        </w:tabs>
        <w:jc w:val="both"/>
        <w:rPr>
          <w:rFonts w:ascii="Times New Roman" w:hAnsi="Times New Roman" w:cs="Times New Roman"/>
          <w:b/>
          <w:bCs/>
          <w:color w:val="FF0000"/>
          <w:sz w:val="24"/>
          <w:szCs w:val="24"/>
          <w:lang w:val="fr-FR"/>
        </w:rPr>
      </w:pPr>
    </w:p>
    <w:p w:rsidR="007C0CE2" w:rsidRPr="007B4692" w:rsidRDefault="007C0CE2" w:rsidP="007B4692">
      <w:pPr>
        <w:pStyle w:val="BodyText"/>
        <w:jc w:val="both"/>
        <w:rPr>
          <w:rStyle w:val="hps"/>
          <w:rFonts w:ascii="Times New Roman" w:hAnsi="Times New Roman"/>
          <w:b/>
          <w:sz w:val="24"/>
          <w:szCs w:val="24"/>
          <w:u w:val="single"/>
          <w:lang w:val="fr-FR"/>
        </w:rPr>
      </w:pPr>
      <w:r w:rsidRPr="007B4692">
        <w:rPr>
          <w:rStyle w:val="hps"/>
          <w:rFonts w:ascii="Times New Roman" w:hAnsi="Times New Roman"/>
          <w:b/>
          <w:sz w:val="24"/>
          <w:szCs w:val="24"/>
          <w:u w:val="single"/>
          <w:lang w:val="fr-FR"/>
        </w:rPr>
        <w:t>Composante 3</w:t>
      </w:r>
    </w:p>
    <w:p w:rsidR="007C0CE2" w:rsidRDefault="007C0CE2" w:rsidP="007C0CE2">
      <w:pPr>
        <w:pStyle w:val="BodyText"/>
        <w:ind w:left="360"/>
        <w:jc w:val="both"/>
        <w:rPr>
          <w:rStyle w:val="hps"/>
          <w:rFonts w:ascii="Times New Roman" w:hAnsi="Times New Roman"/>
          <w:b/>
          <w:sz w:val="24"/>
          <w:szCs w:val="24"/>
          <w:lang w:val="fr-FR"/>
        </w:rPr>
      </w:pPr>
    </w:p>
    <w:p w:rsidR="007C0CE2" w:rsidRPr="00635359" w:rsidRDefault="007C0CE2" w:rsidP="00513FA6">
      <w:pPr>
        <w:pStyle w:val="BodyText"/>
        <w:tabs>
          <w:tab w:val="left" w:pos="0"/>
        </w:tabs>
        <w:jc w:val="both"/>
        <w:rPr>
          <w:rFonts w:ascii="Times New Roman" w:hAnsi="Times New Roman"/>
          <w:b/>
          <w:bCs/>
          <w:sz w:val="24"/>
          <w:lang w:val="fr-FR"/>
        </w:rPr>
      </w:pPr>
      <w:r w:rsidRPr="00635359">
        <w:rPr>
          <w:rFonts w:ascii="Times New Roman" w:hAnsi="Times New Roman"/>
          <w:b/>
          <w:bCs/>
          <w:sz w:val="24"/>
          <w:lang w:val="fr-FR"/>
        </w:rPr>
        <w:t>Résultats</w:t>
      </w:r>
    </w:p>
    <w:p w:rsidR="007C0CE2" w:rsidRDefault="007C0CE2" w:rsidP="00513FA6">
      <w:pPr>
        <w:pStyle w:val="BodyText"/>
        <w:tabs>
          <w:tab w:val="left" w:pos="0"/>
        </w:tabs>
        <w:jc w:val="both"/>
        <w:rPr>
          <w:rFonts w:ascii="Times New Roman" w:hAnsi="Times New Roman"/>
          <w:bCs/>
          <w:sz w:val="24"/>
          <w:lang w:val="fr-FR"/>
        </w:rPr>
      </w:pPr>
    </w:p>
    <w:p w:rsidR="00851CE5" w:rsidRPr="001E67A9" w:rsidRDefault="001E67A9" w:rsidP="00851CE5">
      <w:pPr>
        <w:tabs>
          <w:tab w:val="left" w:pos="-720"/>
          <w:tab w:val="left" w:pos="0"/>
        </w:tabs>
        <w:suppressAutoHyphens/>
        <w:jc w:val="both"/>
        <w:rPr>
          <w:lang w:val="fr-FR"/>
        </w:rPr>
      </w:pPr>
      <w:r w:rsidRPr="00CD2CDC">
        <w:rPr>
          <w:b/>
          <w:lang w:val="fr-FR"/>
        </w:rPr>
        <w:t>Renforcement des capacités du MICT</w:t>
      </w:r>
      <w:r w:rsidRPr="00513FA6">
        <w:rPr>
          <w:b/>
          <w:lang w:val="fr-FR"/>
        </w:rPr>
        <w:t>:</w:t>
      </w:r>
      <w:r w:rsidRPr="00DD4856">
        <w:rPr>
          <w:lang w:val="fr-FR"/>
        </w:rPr>
        <w:t xml:space="preserve"> </w:t>
      </w:r>
      <w:r w:rsidR="00851CE5" w:rsidRPr="001E67A9">
        <w:rPr>
          <w:lang w:val="fr-FR"/>
        </w:rPr>
        <w:t xml:space="preserve">La Cellule de suivi, évaluation et communication (CSEC) montée au dernier trimestre de l’année 2012 est fonctionnelle avec les trois profils couverts et opérationnels. La CSEC fournit un appui technique adéquat et constitue le lien </w:t>
      </w:r>
      <w:r w:rsidR="0099080D">
        <w:rPr>
          <w:lang w:val="fr-FR"/>
        </w:rPr>
        <w:t>avec</w:t>
      </w:r>
      <w:r w:rsidR="00851CE5" w:rsidRPr="001E67A9">
        <w:rPr>
          <w:lang w:val="fr-FR"/>
        </w:rPr>
        <w:t xml:space="preserve"> les municipalités.</w:t>
      </w:r>
    </w:p>
    <w:p w:rsidR="001E67A9" w:rsidRPr="001E67A9" w:rsidRDefault="001E67A9" w:rsidP="00851CE5">
      <w:pPr>
        <w:tabs>
          <w:tab w:val="left" w:pos="-720"/>
          <w:tab w:val="left" w:pos="0"/>
        </w:tabs>
        <w:suppressAutoHyphens/>
        <w:jc w:val="both"/>
        <w:rPr>
          <w:lang w:val="fr-FR"/>
        </w:rPr>
      </w:pPr>
    </w:p>
    <w:p w:rsidR="00851CE5" w:rsidRPr="001E67A9" w:rsidRDefault="00851CE5" w:rsidP="00851CE5">
      <w:pPr>
        <w:tabs>
          <w:tab w:val="left" w:pos="-720"/>
          <w:tab w:val="left" w:pos="0"/>
        </w:tabs>
        <w:suppressAutoHyphens/>
        <w:jc w:val="both"/>
        <w:rPr>
          <w:lang w:val="fr-FR"/>
        </w:rPr>
      </w:pPr>
      <w:r w:rsidRPr="001E67A9">
        <w:rPr>
          <w:lang w:val="fr-FR"/>
        </w:rPr>
        <w:t xml:space="preserve">Il sied de signaler qu’une révision budgétaire a été réalisée en fin 2014 augmentant le budget du MICT de 20 millions de gourdes qui vont financer la finalisation de l’élaboration des </w:t>
      </w:r>
      <w:r w:rsidR="001E67A9" w:rsidRPr="001E67A9">
        <w:rPr>
          <w:lang w:val="fr-FR"/>
        </w:rPr>
        <w:t>Plans Communaux de D</w:t>
      </w:r>
      <w:r w:rsidRPr="001E67A9">
        <w:rPr>
          <w:lang w:val="fr-FR"/>
        </w:rPr>
        <w:t xml:space="preserve">éveloppement </w:t>
      </w:r>
      <w:r w:rsidR="001E67A9" w:rsidRPr="001E67A9">
        <w:rPr>
          <w:lang w:val="fr-FR"/>
        </w:rPr>
        <w:t>des dix communes participantes au travers du</w:t>
      </w:r>
      <w:r w:rsidRPr="001E67A9">
        <w:rPr>
          <w:lang w:val="fr-FR"/>
        </w:rPr>
        <w:t xml:space="preserve"> recrutement de f</w:t>
      </w:r>
      <w:r w:rsidR="001E67A9" w:rsidRPr="001E67A9">
        <w:rPr>
          <w:lang w:val="fr-FR"/>
        </w:rPr>
        <w:t>irmes expertes dans le domaine.</w:t>
      </w:r>
    </w:p>
    <w:p w:rsidR="001E67A9" w:rsidRPr="001E67A9" w:rsidRDefault="001E67A9" w:rsidP="00851CE5">
      <w:pPr>
        <w:tabs>
          <w:tab w:val="left" w:pos="-720"/>
          <w:tab w:val="left" w:pos="0"/>
        </w:tabs>
        <w:suppressAutoHyphens/>
        <w:jc w:val="both"/>
        <w:rPr>
          <w:lang w:val="fr-FR"/>
        </w:rPr>
      </w:pPr>
    </w:p>
    <w:p w:rsidR="00851CE5" w:rsidRPr="001E67A9" w:rsidRDefault="00851CE5" w:rsidP="00851CE5">
      <w:pPr>
        <w:tabs>
          <w:tab w:val="left" w:pos="-720"/>
          <w:tab w:val="left" w:pos="0"/>
        </w:tabs>
        <w:suppressAutoHyphens/>
        <w:jc w:val="both"/>
        <w:rPr>
          <w:lang w:val="fr-FR"/>
        </w:rPr>
      </w:pPr>
      <w:r w:rsidRPr="001E67A9">
        <w:rPr>
          <w:lang w:val="fr-FR"/>
        </w:rPr>
        <w:t xml:space="preserve">Pour l’ensemble des activités en appui à l’opérationnalisation des ATL et des CRC, l’ONU-Habitat et l’OIM ont travaillé étroitement avec les différents départements du MICT. Un programme de formation destiné aux ATL et à la CSEC a été élaboré </w:t>
      </w:r>
      <w:r w:rsidR="001E67A9" w:rsidRPr="001E67A9">
        <w:rPr>
          <w:lang w:val="fr-FR"/>
        </w:rPr>
        <w:t xml:space="preserve">et mis en œuvre </w:t>
      </w:r>
      <w:r w:rsidRPr="001E67A9">
        <w:rPr>
          <w:lang w:val="fr-FR"/>
        </w:rPr>
        <w:t>de concer</w:t>
      </w:r>
      <w:r w:rsidR="001E67A9" w:rsidRPr="001E67A9">
        <w:rPr>
          <w:lang w:val="fr-FR"/>
        </w:rPr>
        <w:t>t avec la Sous-direction de la F</w:t>
      </w:r>
      <w:r w:rsidRPr="001E67A9">
        <w:rPr>
          <w:lang w:val="fr-FR"/>
        </w:rPr>
        <w:t>ormation tout comme un appui technique a été aussi donné à l’Unité de Règlementation et de Contrôle (URC).</w:t>
      </w:r>
    </w:p>
    <w:p w:rsidR="001E67A9" w:rsidRPr="001E67A9" w:rsidRDefault="001E67A9" w:rsidP="00851CE5">
      <w:pPr>
        <w:tabs>
          <w:tab w:val="left" w:pos="-720"/>
          <w:tab w:val="left" w:pos="0"/>
        </w:tabs>
        <w:suppressAutoHyphens/>
        <w:jc w:val="both"/>
        <w:rPr>
          <w:lang w:val="fr-FR"/>
        </w:rPr>
      </w:pPr>
    </w:p>
    <w:p w:rsidR="00851CE5" w:rsidRPr="001E67A9" w:rsidRDefault="00851CE5" w:rsidP="00851CE5">
      <w:pPr>
        <w:tabs>
          <w:tab w:val="left" w:pos="-720"/>
          <w:tab w:val="left" w:pos="0"/>
        </w:tabs>
        <w:suppressAutoHyphens/>
        <w:jc w:val="both"/>
        <w:rPr>
          <w:lang w:val="fr-FR"/>
        </w:rPr>
      </w:pPr>
      <w:r w:rsidRPr="001E67A9">
        <w:rPr>
          <w:lang w:val="fr-FR"/>
        </w:rPr>
        <w:t>Un appui technique a été fourni p</w:t>
      </w:r>
      <w:r w:rsidR="0099080D">
        <w:rPr>
          <w:lang w:val="fr-FR"/>
        </w:rPr>
        <w:t>our l’organisation de la Sous-</w:t>
      </w:r>
      <w:r w:rsidRPr="001E67A9">
        <w:rPr>
          <w:lang w:val="fr-FR"/>
        </w:rPr>
        <w:t>Direction en charge de la Formation et la Gestion du personnel des collectivités t</w:t>
      </w:r>
      <w:r w:rsidR="001E67A9" w:rsidRPr="001E67A9">
        <w:rPr>
          <w:lang w:val="fr-FR"/>
        </w:rPr>
        <w:t xml:space="preserve">erritoriales </w:t>
      </w:r>
      <w:r w:rsidRPr="001E67A9">
        <w:rPr>
          <w:lang w:val="fr-FR"/>
        </w:rPr>
        <w:t>(SDFGPCT).</w:t>
      </w:r>
    </w:p>
    <w:p w:rsidR="00851CE5" w:rsidRDefault="00851CE5" w:rsidP="00513FA6">
      <w:pPr>
        <w:tabs>
          <w:tab w:val="left" w:pos="-720"/>
          <w:tab w:val="left" w:pos="0"/>
          <w:tab w:val="left" w:pos="4500"/>
        </w:tabs>
        <w:suppressAutoHyphens/>
        <w:jc w:val="both"/>
        <w:rPr>
          <w:lang w:val="fr-FR"/>
        </w:rPr>
      </w:pPr>
    </w:p>
    <w:p w:rsidR="001E67A9" w:rsidRPr="00A13F43" w:rsidRDefault="001E67A9" w:rsidP="001E67A9">
      <w:pPr>
        <w:tabs>
          <w:tab w:val="left" w:pos="-720"/>
          <w:tab w:val="left" w:pos="0"/>
          <w:tab w:val="left" w:pos="720"/>
        </w:tabs>
        <w:suppressAutoHyphens/>
        <w:jc w:val="both"/>
        <w:rPr>
          <w:lang w:val="fr-FR"/>
        </w:rPr>
      </w:pPr>
      <w:r w:rsidRPr="0095703E">
        <w:rPr>
          <w:b/>
          <w:lang w:val="fr-FR"/>
        </w:rPr>
        <w:t xml:space="preserve">Renforcement des capacités des collectivités territoriales : </w:t>
      </w:r>
      <w:r w:rsidRPr="00A13F43">
        <w:rPr>
          <w:lang w:val="fr-FR"/>
        </w:rPr>
        <w:t>Un accompagnement au quotidien pour la réalisation des activités du projet  aux municipalités concernées est fourni en collaboration avec le MICT.</w:t>
      </w:r>
    </w:p>
    <w:p w:rsidR="001E67A9" w:rsidRPr="00A13F43" w:rsidRDefault="001E67A9" w:rsidP="001E67A9">
      <w:pPr>
        <w:tabs>
          <w:tab w:val="left" w:pos="-720"/>
          <w:tab w:val="left" w:pos="0"/>
          <w:tab w:val="left" w:pos="720"/>
        </w:tabs>
        <w:suppressAutoHyphens/>
        <w:jc w:val="both"/>
        <w:rPr>
          <w:lang w:val="fr-FR"/>
        </w:rPr>
      </w:pPr>
    </w:p>
    <w:p w:rsidR="001E67A9" w:rsidRPr="00A13F43" w:rsidRDefault="001E67A9" w:rsidP="001E67A9">
      <w:pPr>
        <w:pStyle w:val="ListParagraph"/>
        <w:numPr>
          <w:ilvl w:val="0"/>
          <w:numId w:val="29"/>
        </w:numPr>
        <w:tabs>
          <w:tab w:val="left" w:pos="-720"/>
          <w:tab w:val="left" w:pos="0"/>
          <w:tab w:val="left" w:pos="720"/>
        </w:tabs>
        <w:suppressAutoHyphens/>
        <w:ind w:left="720"/>
        <w:jc w:val="both"/>
        <w:rPr>
          <w:lang w:val="fr-FR"/>
        </w:rPr>
      </w:pPr>
      <w:r w:rsidRPr="00A13F43">
        <w:rPr>
          <w:lang w:val="fr-FR"/>
        </w:rPr>
        <w:lastRenderedPageBreak/>
        <w:t>Tout un travail d’accompagnement et de formation sur le tas des équipes ATL a été fourni avec l’appui de la CSEC pour la réalisation de processus participatifs de concertation et validati</w:t>
      </w:r>
      <w:r w:rsidR="0099080D">
        <w:rPr>
          <w:lang w:val="fr-FR"/>
        </w:rPr>
        <w:t>on du diagnostic territorial de chaque commune élaboré</w:t>
      </w:r>
      <w:r w:rsidRPr="00A13F43">
        <w:rPr>
          <w:lang w:val="fr-FR"/>
        </w:rPr>
        <w:t xml:space="preserve"> en 2013.</w:t>
      </w:r>
    </w:p>
    <w:p w:rsidR="00A13F43" w:rsidRPr="00BF5029" w:rsidRDefault="00BF5029" w:rsidP="00BF5029">
      <w:pPr>
        <w:pStyle w:val="ListParagraph"/>
        <w:numPr>
          <w:ilvl w:val="0"/>
          <w:numId w:val="29"/>
        </w:numPr>
        <w:tabs>
          <w:tab w:val="left" w:pos="-720"/>
          <w:tab w:val="left" w:pos="0"/>
          <w:tab w:val="left" w:pos="720"/>
        </w:tabs>
        <w:suppressAutoHyphens/>
        <w:ind w:left="720"/>
        <w:jc w:val="both"/>
        <w:rPr>
          <w:lang w:val="fr-FR"/>
        </w:rPr>
      </w:pPr>
      <w:r>
        <w:rPr>
          <w:lang w:val="fr-FR"/>
        </w:rPr>
        <w:t>Onze</w:t>
      </w:r>
      <w:r w:rsidRPr="00BF5029">
        <w:rPr>
          <w:lang w:val="fr-FR"/>
        </w:rPr>
        <w:t xml:space="preserve"> sessions de formation au totale organisées partant de la session générale sur la gouvernance locale et le fonctionnement des communes a des thématiques spécifiques par profil organisées pour les cadres des ATL et CRC.</w:t>
      </w:r>
    </w:p>
    <w:p w:rsidR="001E67A9" w:rsidRPr="00A13F43" w:rsidRDefault="001E67A9" w:rsidP="001E67A9">
      <w:pPr>
        <w:pStyle w:val="ListParagraph"/>
        <w:numPr>
          <w:ilvl w:val="0"/>
          <w:numId w:val="29"/>
        </w:numPr>
        <w:tabs>
          <w:tab w:val="left" w:pos="-720"/>
          <w:tab w:val="left" w:pos="0"/>
          <w:tab w:val="left" w:pos="720"/>
        </w:tabs>
        <w:suppressAutoHyphens/>
        <w:ind w:left="720"/>
        <w:jc w:val="both"/>
        <w:rPr>
          <w:lang w:val="fr-FR"/>
        </w:rPr>
      </w:pPr>
      <w:r w:rsidRPr="00A13F43">
        <w:rPr>
          <w:lang w:val="fr-FR"/>
        </w:rPr>
        <w:t xml:space="preserve">Plusieurs sessions d’information, avec la participation du MICT représentée par la CSEC, ont été organisées à l’ intention des agents intérimaires municipaux nommées au cours de l’année. Il s’agit des communes de </w:t>
      </w:r>
      <w:proofErr w:type="spellStart"/>
      <w:r w:rsidRPr="00A13F43">
        <w:rPr>
          <w:lang w:val="fr-FR"/>
        </w:rPr>
        <w:t>Tabarre</w:t>
      </w:r>
      <w:proofErr w:type="spellEnd"/>
      <w:r w:rsidRPr="00A13F43">
        <w:rPr>
          <w:lang w:val="fr-FR"/>
        </w:rPr>
        <w:t>, Croix-des-Bouquets et Carrefour.</w:t>
      </w:r>
    </w:p>
    <w:p w:rsidR="001E67A9" w:rsidRPr="00A13F43" w:rsidRDefault="001E67A9" w:rsidP="00A13F43">
      <w:pPr>
        <w:pStyle w:val="ListParagraph"/>
        <w:numPr>
          <w:ilvl w:val="0"/>
          <w:numId w:val="29"/>
        </w:numPr>
        <w:tabs>
          <w:tab w:val="left" w:pos="-720"/>
          <w:tab w:val="left" w:pos="360"/>
          <w:tab w:val="left" w:pos="720"/>
        </w:tabs>
        <w:suppressAutoHyphens/>
        <w:ind w:left="720"/>
        <w:jc w:val="both"/>
        <w:rPr>
          <w:lang w:val="fr-FR"/>
        </w:rPr>
      </w:pPr>
      <w:r w:rsidRPr="00A13F43">
        <w:rPr>
          <w:lang w:val="fr-FR"/>
        </w:rPr>
        <w:t xml:space="preserve">Tout un travail d’accompagnement et appui administratif a été livré durant toute la période du projet </w:t>
      </w:r>
      <w:r w:rsidR="00A13F43" w:rsidRPr="00A13F43">
        <w:rPr>
          <w:lang w:val="fr-FR"/>
        </w:rPr>
        <w:t>mais spécialement en 2014 pour l’exercice de</w:t>
      </w:r>
      <w:r w:rsidRPr="00A13F43">
        <w:rPr>
          <w:lang w:val="fr-FR"/>
        </w:rPr>
        <w:t xml:space="preserve"> révision budgétaire</w:t>
      </w:r>
      <w:r w:rsidR="00A13F43" w:rsidRPr="00A13F43">
        <w:rPr>
          <w:lang w:val="fr-FR"/>
        </w:rPr>
        <w:t xml:space="preserve"> nécessaire pour l’extension de la période d’exécution et le financement de l’appui technique pour la réalisation des PCD</w:t>
      </w:r>
      <w:r w:rsidRPr="00A13F43">
        <w:rPr>
          <w:lang w:val="fr-FR"/>
        </w:rPr>
        <w:t xml:space="preserve">. </w:t>
      </w:r>
    </w:p>
    <w:p w:rsidR="001E67A9" w:rsidRPr="00A13F43" w:rsidRDefault="001E67A9" w:rsidP="00A13F43">
      <w:pPr>
        <w:pStyle w:val="ListParagraph"/>
        <w:numPr>
          <w:ilvl w:val="0"/>
          <w:numId w:val="29"/>
        </w:numPr>
        <w:tabs>
          <w:tab w:val="left" w:pos="-720"/>
          <w:tab w:val="left" w:pos="0"/>
          <w:tab w:val="left" w:pos="720"/>
        </w:tabs>
        <w:suppressAutoHyphens/>
        <w:ind w:left="720"/>
        <w:jc w:val="both"/>
        <w:rPr>
          <w:lang w:val="fr-FR"/>
        </w:rPr>
      </w:pPr>
      <w:r w:rsidRPr="00A13F43">
        <w:rPr>
          <w:lang w:val="fr-FR"/>
        </w:rPr>
        <w:t xml:space="preserve">Avec la Commission </w:t>
      </w:r>
      <w:r w:rsidR="00A13F43" w:rsidRPr="00A13F43">
        <w:rPr>
          <w:lang w:val="fr-FR"/>
        </w:rPr>
        <w:t xml:space="preserve">National </w:t>
      </w:r>
      <w:r w:rsidRPr="00A13F43">
        <w:rPr>
          <w:lang w:val="fr-FR"/>
        </w:rPr>
        <w:t>de Passation de Marchés Publics, un processus d’adjudication a été organisé pendant plus de 5 mois pour recruter les firmes expertes en élaboration de PCD. Le processus a abouti au recrutement de trois firmes qui vont appuyer les communes.</w:t>
      </w:r>
    </w:p>
    <w:p w:rsidR="001E67A9" w:rsidRPr="00766D5C" w:rsidRDefault="001E67A9" w:rsidP="00477A15">
      <w:pPr>
        <w:tabs>
          <w:tab w:val="left" w:pos="-720"/>
          <w:tab w:val="left" w:pos="4500"/>
        </w:tabs>
        <w:suppressAutoHyphens/>
        <w:jc w:val="both"/>
        <w:rPr>
          <w:b/>
          <w:color w:val="FF0000"/>
          <w:lang w:val="fr-FR"/>
        </w:rPr>
      </w:pPr>
    </w:p>
    <w:p w:rsidR="00CD2CDC" w:rsidRPr="0095703E" w:rsidRDefault="00CD2CDC" w:rsidP="00CD2CDC">
      <w:pPr>
        <w:tabs>
          <w:tab w:val="left" w:pos="-720"/>
          <w:tab w:val="left" w:pos="4500"/>
        </w:tabs>
        <w:suppressAutoHyphens/>
        <w:jc w:val="both"/>
        <w:rPr>
          <w:b/>
          <w:lang w:val="fr-FR"/>
        </w:rPr>
      </w:pPr>
      <w:r w:rsidRPr="0095703E">
        <w:rPr>
          <w:b/>
          <w:lang w:val="fr-FR"/>
        </w:rPr>
        <w:t>Mise en place de dix Agences Techniques Locales (ATL) et de douze Centres de Ressources Communautaires (CRC) :</w:t>
      </w:r>
      <w:r w:rsidRPr="0095703E">
        <w:rPr>
          <w:b/>
          <w:i/>
          <w:lang w:val="fr-FR"/>
        </w:rPr>
        <w:t xml:space="preserve"> </w:t>
      </w:r>
    </w:p>
    <w:p w:rsidR="007C0CE2" w:rsidRPr="0095703E" w:rsidRDefault="007C0CE2" w:rsidP="007C0CE2">
      <w:pPr>
        <w:pStyle w:val="BodyText2"/>
        <w:ind w:left="360"/>
        <w:rPr>
          <w:b/>
          <w:color w:val="FF0000"/>
          <w:sz w:val="16"/>
          <w:lang w:val="fr-FR"/>
        </w:rPr>
      </w:pPr>
    </w:p>
    <w:p w:rsidR="002D633D" w:rsidRPr="00A13F43" w:rsidRDefault="007C0CE2" w:rsidP="002D633D">
      <w:pPr>
        <w:tabs>
          <w:tab w:val="left" w:pos="-720"/>
          <w:tab w:val="left" w:pos="1080"/>
        </w:tabs>
        <w:suppressAutoHyphens/>
        <w:jc w:val="both"/>
        <w:rPr>
          <w:b/>
          <w:highlight w:val="yellow"/>
          <w:lang w:val="fr-FR"/>
        </w:rPr>
      </w:pPr>
      <w:r w:rsidRPr="0095703E">
        <w:rPr>
          <w:b/>
          <w:lang w:val="fr-FR"/>
        </w:rPr>
        <w:t>ATL :</w:t>
      </w:r>
      <w:r w:rsidRPr="0095703E">
        <w:rPr>
          <w:b/>
          <w:highlight w:val="yellow"/>
          <w:lang w:val="fr-FR"/>
        </w:rPr>
        <w:t xml:space="preserve"> </w:t>
      </w:r>
    </w:p>
    <w:p w:rsidR="00A13F43" w:rsidRPr="00A13F43" w:rsidRDefault="00A13F43" w:rsidP="00A13F43">
      <w:pPr>
        <w:numPr>
          <w:ilvl w:val="0"/>
          <w:numId w:val="29"/>
        </w:numPr>
        <w:tabs>
          <w:tab w:val="left" w:pos="-720"/>
          <w:tab w:val="left" w:pos="720"/>
        </w:tabs>
        <w:suppressAutoHyphens/>
        <w:ind w:left="720"/>
        <w:jc w:val="both"/>
        <w:rPr>
          <w:lang w:val="fr-FR"/>
        </w:rPr>
      </w:pPr>
      <w:r w:rsidRPr="00A13F43">
        <w:rPr>
          <w:lang w:val="fr-FR"/>
        </w:rPr>
        <w:t>Un total de 60 profils ont été couverts pour les 10 ATL dans les 10 communes du Programme. La plupart des agences techniques locales sont installées dans les locaux abritant les bureaux municipaux, certains autres sont installées dans les mêmes locaux des Centres de Ressources Communautaires facilitant la proximité d’équipe et d’action.</w:t>
      </w:r>
    </w:p>
    <w:p w:rsidR="00A13F43" w:rsidRPr="00A13F43" w:rsidRDefault="00A13F43" w:rsidP="00A13F43">
      <w:pPr>
        <w:numPr>
          <w:ilvl w:val="0"/>
          <w:numId w:val="29"/>
        </w:numPr>
        <w:tabs>
          <w:tab w:val="left" w:pos="-720"/>
          <w:tab w:val="left" w:pos="720"/>
        </w:tabs>
        <w:suppressAutoHyphens/>
        <w:ind w:left="720"/>
        <w:jc w:val="both"/>
        <w:rPr>
          <w:lang w:val="fr-FR"/>
        </w:rPr>
      </w:pPr>
      <w:r w:rsidRPr="00A13F43">
        <w:rPr>
          <w:lang w:val="fr-FR"/>
        </w:rPr>
        <w:t xml:space="preserve">Plus de 80% de fonds ont été servis aux communes selon les accords de coopération. </w:t>
      </w:r>
    </w:p>
    <w:p w:rsidR="00A13F43" w:rsidRPr="00A13F43" w:rsidRDefault="00A13F43" w:rsidP="00A13F43">
      <w:pPr>
        <w:numPr>
          <w:ilvl w:val="0"/>
          <w:numId w:val="29"/>
        </w:numPr>
        <w:tabs>
          <w:tab w:val="left" w:pos="-720"/>
          <w:tab w:val="left" w:pos="720"/>
        </w:tabs>
        <w:suppressAutoHyphens/>
        <w:ind w:left="720"/>
        <w:jc w:val="both"/>
        <w:rPr>
          <w:lang w:val="fr-FR"/>
        </w:rPr>
      </w:pPr>
      <w:r w:rsidRPr="00A13F43">
        <w:rPr>
          <w:lang w:val="fr-FR"/>
        </w:rPr>
        <w:t>Tous les véhicules et le matériel informatique ont été transférés aux institutions partenaires y compris la Commune de Delmas dont les équipes ont été installées vers la fin de l’année 2014.</w:t>
      </w:r>
    </w:p>
    <w:p w:rsidR="002D633D" w:rsidRDefault="002D633D" w:rsidP="002D633D">
      <w:pPr>
        <w:ind w:right="57"/>
        <w:jc w:val="both"/>
        <w:rPr>
          <w:sz w:val="16"/>
          <w:lang w:val="fr-FR"/>
        </w:rPr>
      </w:pPr>
    </w:p>
    <w:p w:rsidR="007C0CE2" w:rsidRPr="0066391B" w:rsidRDefault="007C0CE2" w:rsidP="002D633D">
      <w:pPr>
        <w:ind w:right="57"/>
        <w:jc w:val="both"/>
        <w:rPr>
          <w:b/>
          <w:sz w:val="22"/>
          <w:szCs w:val="22"/>
          <w:lang w:val="fr-FR"/>
        </w:rPr>
      </w:pPr>
      <w:r w:rsidRPr="0066391B">
        <w:rPr>
          <w:b/>
          <w:sz w:val="22"/>
          <w:szCs w:val="22"/>
          <w:lang w:val="fr-FR"/>
        </w:rPr>
        <w:t>CRC :</w:t>
      </w:r>
    </w:p>
    <w:p w:rsidR="00A13F43" w:rsidRPr="009D0717" w:rsidRDefault="009D0717" w:rsidP="00A13F43">
      <w:pPr>
        <w:jc w:val="both"/>
        <w:rPr>
          <w:lang w:val="fr-FR"/>
        </w:rPr>
      </w:pPr>
      <w:r w:rsidRPr="009D0717">
        <w:rPr>
          <w:lang w:val="fr-FR"/>
        </w:rPr>
        <w:t>O</w:t>
      </w:r>
      <w:r w:rsidR="00A13F43" w:rsidRPr="009D0717">
        <w:rPr>
          <w:lang w:val="fr-FR"/>
        </w:rPr>
        <w:t>nze CRC ont été construits des douze prévus dans le Programme</w:t>
      </w:r>
      <w:r w:rsidR="00F1072B" w:rsidRPr="00F1072B">
        <w:rPr>
          <w:lang w:val="fr-FR"/>
        </w:rPr>
        <w:t xml:space="preserve"> </w:t>
      </w:r>
      <w:r w:rsidR="00F1072B">
        <w:rPr>
          <w:lang w:val="fr-FR"/>
        </w:rPr>
        <w:t>avec les</w:t>
      </w:r>
      <w:r w:rsidR="00F1072B" w:rsidRPr="009D0717">
        <w:rPr>
          <w:lang w:val="fr-FR"/>
        </w:rPr>
        <w:t xml:space="preserve"> bâtiments préfabriqués donnés par la MINUSTAH via le MICT</w:t>
      </w:r>
      <w:r w:rsidR="00A13F43" w:rsidRPr="009D0717">
        <w:rPr>
          <w:lang w:val="fr-FR"/>
        </w:rPr>
        <w:t>. Les CRC opérationnels à cette date sont ceux des communes de </w:t>
      </w:r>
      <w:proofErr w:type="spellStart"/>
      <w:r w:rsidR="00A13F43" w:rsidRPr="009D0717">
        <w:rPr>
          <w:lang w:val="fr-FR"/>
        </w:rPr>
        <w:t>Tabarre</w:t>
      </w:r>
      <w:proofErr w:type="spellEnd"/>
      <w:r w:rsidR="00A13F43" w:rsidRPr="009D0717">
        <w:rPr>
          <w:lang w:val="fr-FR"/>
        </w:rPr>
        <w:t xml:space="preserve">, Carrefour, Cité-Soleil, Croix-des-Bouquets, Pétion-Ville, Port-au-Prince, </w:t>
      </w:r>
      <w:proofErr w:type="spellStart"/>
      <w:r w:rsidR="00A13F43" w:rsidRPr="009D0717">
        <w:rPr>
          <w:lang w:val="fr-FR"/>
        </w:rPr>
        <w:t>Léogane</w:t>
      </w:r>
      <w:proofErr w:type="spellEnd"/>
      <w:r w:rsidR="00A13F43" w:rsidRPr="009D0717">
        <w:rPr>
          <w:lang w:val="fr-FR"/>
        </w:rPr>
        <w:t xml:space="preserve">, </w:t>
      </w:r>
      <w:proofErr w:type="spellStart"/>
      <w:r w:rsidR="00A13F43" w:rsidRPr="009D0717">
        <w:rPr>
          <w:lang w:val="fr-FR"/>
        </w:rPr>
        <w:t>Miragoane</w:t>
      </w:r>
      <w:proofErr w:type="spellEnd"/>
      <w:r w:rsidR="00A13F43" w:rsidRPr="009D0717">
        <w:rPr>
          <w:lang w:val="fr-FR"/>
        </w:rPr>
        <w:t>, Saint-Marc, Jacmel et Delmas. Trente-huit agents opèrent dans les CRC depuis le début de l’année, a l’exception de Delmas dont le centre a été opérationnalisé en fin du premier semestre 2014.</w:t>
      </w:r>
    </w:p>
    <w:p w:rsidR="00A13F43" w:rsidRDefault="00A13F43" w:rsidP="002D633D">
      <w:pPr>
        <w:jc w:val="both"/>
        <w:rPr>
          <w:lang w:val="fr-FR"/>
        </w:rPr>
      </w:pPr>
    </w:p>
    <w:p w:rsidR="007C0CE2" w:rsidRPr="008C723F" w:rsidRDefault="00C37977" w:rsidP="002D633D">
      <w:pPr>
        <w:jc w:val="both"/>
        <w:rPr>
          <w:highlight w:val="yellow"/>
          <w:lang w:val="fr-FR"/>
        </w:rPr>
      </w:pPr>
      <w:r>
        <w:rPr>
          <w:lang w:val="fr-FR"/>
        </w:rPr>
        <w:t>L’OIM a également supportée</w:t>
      </w:r>
      <w:r w:rsidRPr="0066391B">
        <w:rPr>
          <w:lang w:val="fr-FR"/>
        </w:rPr>
        <w:t xml:space="preserve"> les municipalités dans le processus de compréhension du </w:t>
      </w:r>
      <w:r w:rsidR="007D2DAA">
        <w:rPr>
          <w:lang w:val="fr-FR"/>
        </w:rPr>
        <w:t>Programme</w:t>
      </w:r>
      <w:r w:rsidRPr="0066391B">
        <w:rPr>
          <w:lang w:val="fr-FR"/>
        </w:rPr>
        <w:t xml:space="preserve"> et à la coordination des a</w:t>
      </w:r>
      <w:r>
        <w:rPr>
          <w:lang w:val="fr-FR"/>
        </w:rPr>
        <w:t>ctions au sein des communautés.</w:t>
      </w:r>
      <w:r w:rsidR="007C0CE2" w:rsidRPr="0066391B">
        <w:rPr>
          <w:lang w:val="fr-FR"/>
        </w:rPr>
        <w:t xml:space="preserve"> </w:t>
      </w:r>
      <w:r>
        <w:rPr>
          <w:lang w:val="fr-FR"/>
        </w:rPr>
        <w:t>D</w:t>
      </w:r>
      <w:r w:rsidR="007C0CE2" w:rsidRPr="0066391B">
        <w:rPr>
          <w:lang w:val="fr-FR"/>
        </w:rPr>
        <w:t>es plans d’actions ont été développé</w:t>
      </w:r>
      <w:r>
        <w:rPr>
          <w:lang w:val="fr-FR"/>
        </w:rPr>
        <w:t>s</w:t>
      </w:r>
      <w:r w:rsidR="00766D5C">
        <w:rPr>
          <w:lang w:val="fr-FR"/>
        </w:rPr>
        <w:t xml:space="preserve"> pour rendre applicable</w:t>
      </w:r>
      <w:r w:rsidR="00F1072B">
        <w:rPr>
          <w:lang w:val="fr-FR"/>
        </w:rPr>
        <w:t>s</w:t>
      </w:r>
      <w:r w:rsidR="00766D5C">
        <w:rPr>
          <w:lang w:val="fr-FR"/>
        </w:rPr>
        <w:t xml:space="preserve"> les termes de r</w:t>
      </w:r>
      <w:r w:rsidR="00766D5C" w:rsidRPr="0066391B">
        <w:rPr>
          <w:lang w:val="fr-FR"/>
        </w:rPr>
        <w:t>éférence</w:t>
      </w:r>
      <w:r w:rsidR="007C0CE2" w:rsidRPr="0066391B">
        <w:rPr>
          <w:lang w:val="fr-FR"/>
        </w:rPr>
        <w:t xml:space="preserve"> </w:t>
      </w:r>
      <w:r w:rsidR="00F1072B">
        <w:rPr>
          <w:lang w:val="fr-FR"/>
        </w:rPr>
        <w:t xml:space="preserve">des CRC </w:t>
      </w:r>
      <w:r w:rsidR="007C0CE2" w:rsidRPr="0066391B">
        <w:rPr>
          <w:lang w:val="fr-FR"/>
        </w:rPr>
        <w:t>lié</w:t>
      </w:r>
      <w:r>
        <w:rPr>
          <w:lang w:val="fr-FR"/>
        </w:rPr>
        <w:t>s</w:t>
      </w:r>
      <w:r w:rsidR="007C0CE2" w:rsidRPr="0066391B">
        <w:rPr>
          <w:lang w:val="fr-FR"/>
        </w:rPr>
        <w:t xml:space="preserve"> aux activités du </w:t>
      </w:r>
      <w:r w:rsidR="007D2DAA">
        <w:rPr>
          <w:lang w:val="fr-FR"/>
        </w:rPr>
        <w:t>Programme</w:t>
      </w:r>
      <w:r w:rsidR="007C0CE2" w:rsidRPr="0066391B">
        <w:rPr>
          <w:lang w:val="fr-FR"/>
        </w:rPr>
        <w:t>.</w:t>
      </w:r>
    </w:p>
    <w:p w:rsidR="007C0CE2" w:rsidRPr="0066391B" w:rsidRDefault="007C0CE2" w:rsidP="007C0CE2">
      <w:pPr>
        <w:ind w:left="360"/>
        <w:jc w:val="both"/>
        <w:rPr>
          <w:sz w:val="16"/>
          <w:lang w:val="fr-FR"/>
        </w:rPr>
      </w:pPr>
    </w:p>
    <w:p w:rsidR="007C0CE2" w:rsidRPr="0066391B" w:rsidRDefault="00C37977" w:rsidP="007C0CE2">
      <w:pPr>
        <w:pStyle w:val="ListParagraph"/>
        <w:numPr>
          <w:ilvl w:val="0"/>
          <w:numId w:val="32"/>
        </w:numPr>
        <w:ind w:right="57"/>
        <w:jc w:val="both"/>
        <w:rPr>
          <w:lang w:val="fr-FR"/>
        </w:rPr>
      </w:pPr>
      <w:r>
        <w:rPr>
          <w:lang w:val="fr-FR"/>
        </w:rPr>
        <w:t>Une feuille de r</w:t>
      </w:r>
      <w:r w:rsidR="007C0CE2" w:rsidRPr="0066391B">
        <w:rPr>
          <w:lang w:val="fr-FR"/>
        </w:rPr>
        <w:t xml:space="preserve">oute a été </w:t>
      </w:r>
      <w:r w:rsidR="00766D5C" w:rsidRPr="0066391B">
        <w:rPr>
          <w:lang w:val="fr-FR"/>
        </w:rPr>
        <w:t>développée</w:t>
      </w:r>
      <w:r w:rsidR="007C0CE2" w:rsidRPr="0066391B">
        <w:rPr>
          <w:lang w:val="fr-FR"/>
        </w:rPr>
        <w:t xml:space="preserve"> avec les agents communautaires et le</w:t>
      </w:r>
      <w:r w:rsidR="009D0717">
        <w:rPr>
          <w:lang w:val="fr-FR"/>
        </w:rPr>
        <w:t>s plateformes afin de déterminer</w:t>
      </w:r>
      <w:r w:rsidR="007C0CE2" w:rsidRPr="0066391B">
        <w:rPr>
          <w:lang w:val="fr-FR"/>
        </w:rPr>
        <w:t xml:space="preserve"> </w:t>
      </w:r>
      <w:r w:rsidR="009D0717">
        <w:rPr>
          <w:lang w:val="fr-FR"/>
        </w:rPr>
        <w:t>leurs</w:t>
      </w:r>
      <w:r w:rsidR="00766D5C">
        <w:rPr>
          <w:lang w:val="fr-FR"/>
        </w:rPr>
        <w:t xml:space="preserve"> fonction</w:t>
      </w:r>
      <w:r w:rsidR="009D0717">
        <w:rPr>
          <w:lang w:val="fr-FR"/>
        </w:rPr>
        <w:t>s</w:t>
      </w:r>
      <w:r w:rsidR="00766D5C">
        <w:rPr>
          <w:lang w:val="fr-FR"/>
        </w:rPr>
        <w:t>.</w:t>
      </w:r>
    </w:p>
    <w:p w:rsidR="007C0CE2" w:rsidRPr="0066391B" w:rsidRDefault="007C0CE2" w:rsidP="007C0CE2">
      <w:pPr>
        <w:numPr>
          <w:ilvl w:val="0"/>
          <w:numId w:val="32"/>
        </w:numPr>
        <w:jc w:val="both"/>
        <w:rPr>
          <w:lang w:val="fr-FR"/>
        </w:rPr>
      </w:pPr>
      <w:r w:rsidRPr="0066391B">
        <w:rPr>
          <w:lang w:val="fr-FR"/>
        </w:rPr>
        <w:t xml:space="preserve">Des outils de communication </w:t>
      </w:r>
      <w:r w:rsidR="009D0717">
        <w:rPr>
          <w:lang w:val="fr-FR"/>
        </w:rPr>
        <w:t>ont été</w:t>
      </w:r>
      <w:r w:rsidRPr="0066391B">
        <w:rPr>
          <w:lang w:val="fr-FR"/>
        </w:rPr>
        <w:t xml:space="preserve"> </w:t>
      </w:r>
      <w:r w:rsidR="00766D5C" w:rsidRPr="0066391B">
        <w:rPr>
          <w:lang w:val="fr-FR"/>
        </w:rPr>
        <w:t>mis</w:t>
      </w:r>
      <w:r w:rsidRPr="0066391B">
        <w:rPr>
          <w:lang w:val="fr-FR"/>
        </w:rPr>
        <w:t xml:space="preserve"> à disposition des C</w:t>
      </w:r>
      <w:r w:rsidR="00C37977">
        <w:rPr>
          <w:lang w:val="fr-FR"/>
        </w:rPr>
        <w:t>RC</w:t>
      </w:r>
      <w:r w:rsidRPr="0066391B">
        <w:rPr>
          <w:lang w:val="fr-FR"/>
        </w:rPr>
        <w:t xml:space="preserve"> ainsi que des éléments didactiques pouvant </w:t>
      </w:r>
      <w:r w:rsidR="00E9658A" w:rsidRPr="0066391B">
        <w:rPr>
          <w:lang w:val="fr-FR"/>
        </w:rPr>
        <w:t>illustre</w:t>
      </w:r>
      <w:r w:rsidR="00E9658A">
        <w:rPr>
          <w:lang w:val="fr-FR"/>
        </w:rPr>
        <w:t>r</w:t>
      </w:r>
      <w:r w:rsidRPr="0066391B">
        <w:rPr>
          <w:lang w:val="fr-FR"/>
        </w:rPr>
        <w:t xml:space="preserve"> les b</w:t>
      </w:r>
      <w:r w:rsidR="00766D5C">
        <w:rPr>
          <w:lang w:val="fr-FR"/>
        </w:rPr>
        <w:t>onnes méthodes de construction.</w:t>
      </w:r>
    </w:p>
    <w:p w:rsidR="007C0CE2" w:rsidRPr="002D633D" w:rsidRDefault="008C723F" w:rsidP="002D633D">
      <w:pPr>
        <w:numPr>
          <w:ilvl w:val="0"/>
          <w:numId w:val="32"/>
        </w:numPr>
        <w:jc w:val="both"/>
        <w:rPr>
          <w:lang w:val="fr-FR"/>
        </w:rPr>
      </w:pPr>
      <w:r w:rsidRPr="002D633D">
        <w:rPr>
          <w:lang w:val="fr-FR"/>
        </w:rPr>
        <w:t>Des formation</w:t>
      </w:r>
      <w:r w:rsidR="00C37977">
        <w:rPr>
          <w:lang w:val="fr-FR"/>
        </w:rPr>
        <w:t>s en mobilisation social et en t</w:t>
      </w:r>
      <w:r w:rsidRPr="002D633D">
        <w:rPr>
          <w:lang w:val="fr-FR"/>
        </w:rPr>
        <w:t xml:space="preserve">echniques d’animation </w:t>
      </w:r>
      <w:r w:rsidR="009D0717">
        <w:rPr>
          <w:lang w:val="fr-FR"/>
        </w:rPr>
        <w:t xml:space="preserve">ont </w:t>
      </w:r>
      <w:r w:rsidR="00E9658A">
        <w:rPr>
          <w:lang w:val="fr-FR"/>
        </w:rPr>
        <w:t>été</w:t>
      </w:r>
      <w:r w:rsidRPr="002D633D">
        <w:rPr>
          <w:lang w:val="fr-FR"/>
        </w:rPr>
        <w:t xml:space="preserve"> menées au sein des </w:t>
      </w:r>
      <w:r w:rsidR="00C37977">
        <w:rPr>
          <w:lang w:val="fr-FR"/>
        </w:rPr>
        <w:t>CRC</w:t>
      </w:r>
      <w:r w:rsidRPr="002D633D">
        <w:rPr>
          <w:lang w:val="fr-FR"/>
        </w:rPr>
        <w:t xml:space="preserve"> depuis le mois de </w:t>
      </w:r>
      <w:r w:rsidR="00C37977">
        <w:rPr>
          <w:lang w:val="fr-FR"/>
        </w:rPr>
        <w:t>d</w:t>
      </w:r>
      <w:r w:rsidRPr="002D633D">
        <w:rPr>
          <w:lang w:val="fr-FR"/>
        </w:rPr>
        <w:t>écembre 2013</w:t>
      </w:r>
      <w:r w:rsidR="00766D5C">
        <w:rPr>
          <w:lang w:val="fr-FR"/>
        </w:rPr>
        <w:t>.</w:t>
      </w:r>
    </w:p>
    <w:p w:rsidR="007C0CE2" w:rsidRPr="0066391B" w:rsidRDefault="007C0CE2" w:rsidP="007C0CE2">
      <w:pPr>
        <w:numPr>
          <w:ilvl w:val="0"/>
          <w:numId w:val="32"/>
        </w:numPr>
        <w:jc w:val="both"/>
        <w:rPr>
          <w:lang w:val="fr-FR"/>
        </w:rPr>
      </w:pPr>
      <w:r w:rsidRPr="0066391B">
        <w:rPr>
          <w:lang w:val="fr-FR"/>
        </w:rPr>
        <w:t>Les CRC sont utilisés comme espace de rencon</w:t>
      </w:r>
      <w:r w:rsidR="00C37977">
        <w:rPr>
          <w:lang w:val="fr-FR"/>
        </w:rPr>
        <w:t>tre et de concertation par les c</w:t>
      </w:r>
      <w:r w:rsidRPr="0066391B">
        <w:rPr>
          <w:lang w:val="fr-FR"/>
        </w:rPr>
        <w:t>ommunautés</w:t>
      </w:r>
      <w:r w:rsidR="00766D5C">
        <w:rPr>
          <w:lang w:val="fr-FR"/>
        </w:rPr>
        <w:t>.</w:t>
      </w:r>
    </w:p>
    <w:p w:rsidR="007C0CE2" w:rsidRPr="0066391B" w:rsidRDefault="007C0CE2" w:rsidP="007C0CE2">
      <w:pPr>
        <w:numPr>
          <w:ilvl w:val="0"/>
          <w:numId w:val="32"/>
        </w:numPr>
        <w:jc w:val="both"/>
        <w:rPr>
          <w:lang w:val="fr-FR"/>
        </w:rPr>
      </w:pPr>
      <w:r w:rsidRPr="0066391B">
        <w:rPr>
          <w:lang w:val="fr-FR"/>
        </w:rPr>
        <w:t>Les CRC sont sollicités pour des rencontres entre les organisations non gouvernemental</w:t>
      </w:r>
      <w:r w:rsidR="00766D5C">
        <w:rPr>
          <w:lang w:val="fr-FR"/>
        </w:rPr>
        <w:t>es et les populations affectés.</w:t>
      </w:r>
    </w:p>
    <w:p w:rsidR="007C0CE2" w:rsidRPr="00635359" w:rsidRDefault="007C0CE2" w:rsidP="00635359">
      <w:pPr>
        <w:pStyle w:val="BodyText2"/>
        <w:rPr>
          <w:b/>
          <w:sz w:val="24"/>
          <w:szCs w:val="24"/>
          <w:lang w:val="fr-FR"/>
        </w:rPr>
      </w:pPr>
    </w:p>
    <w:p w:rsidR="007C0CE2" w:rsidRPr="00635359" w:rsidRDefault="007C0CE2" w:rsidP="002D633D">
      <w:pPr>
        <w:pStyle w:val="BodyText2"/>
        <w:rPr>
          <w:rFonts w:ascii="Times New Roman" w:hAnsi="Times New Roman" w:cs="Times New Roman"/>
          <w:b/>
          <w:sz w:val="24"/>
          <w:szCs w:val="24"/>
          <w:lang w:val="fr-FR"/>
        </w:rPr>
      </w:pPr>
      <w:r w:rsidRPr="00635359">
        <w:rPr>
          <w:rFonts w:ascii="Times New Roman" w:hAnsi="Times New Roman" w:cs="Times New Roman"/>
          <w:b/>
          <w:sz w:val="24"/>
          <w:szCs w:val="24"/>
          <w:lang w:val="fr-FR"/>
        </w:rPr>
        <w:t>Produits</w:t>
      </w:r>
    </w:p>
    <w:p w:rsidR="007C0CE2" w:rsidRDefault="007C0CE2" w:rsidP="007C0CE2">
      <w:pPr>
        <w:pStyle w:val="BodyText2"/>
        <w:ind w:left="360"/>
        <w:rPr>
          <w:rFonts w:ascii="Times New Roman" w:hAnsi="Times New Roman" w:cs="Times New Roman"/>
          <w:b/>
          <w:i/>
          <w:sz w:val="24"/>
          <w:szCs w:val="24"/>
          <w:lang w:val="fr-FR"/>
        </w:rPr>
      </w:pPr>
    </w:p>
    <w:p w:rsidR="007C0CE2" w:rsidRDefault="007C0CE2" w:rsidP="002D633D">
      <w:pPr>
        <w:pStyle w:val="BodyText2"/>
        <w:rPr>
          <w:rFonts w:ascii="Times New Roman" w:hAnsi="Times New Roman" w:cs="Times New Roman"/>
          <w:sz w:val="24"/>
          <w:szCs w:val="24"/>
          <w:lang w:val="fr-FR"/>
        </w:rPr>
      </w:pPr>
      <w:r w:rsidRPr="00FB3C98">
        <w:rPr>
          <w:rFonts w:ascii="Times New Roman" w:hAnsi="Times New Roman" w:cs="Times New Roman"/>
          <w:sz w:val="24"/>
          <w:szCs w:val="24"/>
          <w:lang w:val="fr-FR"/>
        </w:rPr>
        <w:lastRenderedPageBreak/>
        <w:t>Capacités renforcées du MICT dans le cadre de son mandat d’appui aux collectivités territoriales sur</w:t>
      </w:r>
      <w:r w:rsidR="004525B4">
        <w:rPr>
          <w:rFonts w:ascii="Times New Roman" w:hAnsi="Times New Roman" w:cs="Times New Roman"/>
          <w:sz w:val="24"/>
          <w:szCs w:val="24"/>
          <w:lang w:val="fr-FR"/>
        </w:rPr>
        <w:t xml:space="preserve"> le plan technique et financier :</w:t>
      </w:r>
    </w:p>
    <w:p w:rsidR="004525B4" w:rsidRPr="00FB3C98" w:rsidRDefault="004525B4" w:rsidP="002D633D">
      <w:pPr>
        <w:pStyle w:val="BodyText2"/>
        <w:rPr>
          <w:rFonts w:ascii="Times New Roman" w:hAnsi="Times New Roman" w:cs="Times New Roman"/>
          <w:sz w:val="24"/>
          <w:szCs w:val="24"/>
          <w:lang w:val="fr-FR"/>
        </w:rPr>
      </w:pPr>
    </w:p>
    <w:p w:rsidR="009D0717" w:rsidRPr="009D0717" w:rsidRDefault="009D0717" w:rsidP="009D0717">
      <w:pPr>
        <w:pStyle w:val="BodyText2"/>
        <w:numPr>
          <w:ilvl w:val="0"/>
          <w:numId w:val="34"/>
        </w:numPr>
        <w:ind w:left="720"/>
        <w:rPr>
          <w:rFonts w:ascii="Times New Roman" w:hAnsi="Times New Roman" w:cs="Times New Roman"/>
          <w:sz w:val="24"/>
          <w:szCs w:val="24"/>
          <w:lang w:val="fr-FR"/>
        </w:rPr>
      </w:pPr>
      <w:r w:rsidRPr="009D0717">
        <w:rPr>
          <w:rFonts w:ascii="Times New Roman" w:hAnsi="Times New Roman" w:cs="Times New Roman"/>
          <w:sz w:val="24"/>
          <w:szCs w:val="24"/>
          <w:lang w:val="fr-FR"/>
        </w:rPr>
        <w:t>Coordination technique ATL/CRC, en appui à la Direction des Collectivités Territoriales (DCT), en place et hébergée au niveau du MICT ;</w:t>
      </w:r>
    </w:p>
    <w:p w:rsidR="009D0717" w:rsidRPr="009D0717" w:rsidRDefault="009D0717" w:rsidP="009D0717">
      <w:pPr>
        <w:pStyle w:val="BodyText2"/>
        <w:numPr>
          <w:ilvl w:val="0"/>
          <w:numId w:val="34"/>
        </w:numPr>
        <w:ind w:left="720"/>
        <w:rPr>
          <w:rFonts w:ascii="Times New Roman" w:hAnsi="Times New Roman" w:cs="Times New Roman"/>
          <w:sz w:val="24"/>
          <w:szCs w:val="24"/>
          <w:lang w:val="fr-FR"/>
        </w:rPr>
      </w:pPr>
      <w:r w:rsidRPr="009D0717">
        <w:rPr>
          <w:rFonts w:ascii="Times New Roman" w:hAnsi="Times New Roman" w:cs="Times New Roman"/>
          <w:sz w:val="24"/>
          <w:szCs w:val="24"/>
          <w:lang w:val="fr-FR"/>
        </w:rPr>
        <w:t xml:space="preserve">Cellule de suivi, communication et évaluation établie sous la Direction Générale du MICT administrativement avec un rôle transversal et sous la direction technique de la DCT; </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Cartographie des partenaires du MICT à travers le pays sur demande de la DCT;</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Cartographie des communes à risque d’inondation pour la direction de la protection civile ;</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Fiches techniques de chaque commune y compris celles en dehors du programme ;</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Pool interministériel d’appui au processus d’élaboration des Plans Communaux de Déve</w:t>
      </w:r>
      <w:r w:rsidR="00F1072B">
        <w:rPr>
          <w:shd w:val="clear" w:color="auto" w:fill="FFFFFF"/>
          <w:lang w:val="fr-FR"/>
        </w:rPr>
        <w:t>loppement dans les communes du P</w:t>
      </w:r>
      <w:r w:rsidRPr="009D0717">
        <w:rPr>
          <w:shd w:val="clear" w:color="auto" w:fill="FFFFFF"/>
          <w:lang w:val="fr-FR"/>
        </w:rPr>
        <w:t>rogramme ;</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 xml:space="preserve">Appui et évaluation du projet pilote de la  mobilisation fiscale dans les communes de Pétion Ville et </w:t>
      </w:r>
      <w:proofErr w:type="spellStart"/>
      <w:r w:rsidRPr="009D0717">
        <w:rPr>
          <w:shd w:val="clear" w:color="auto" w:fill="FFFFFF"/>
          <w:lang w:val="fr-FR"/>
        </w:rPr>
        <w:t>Miragoane</w:t>
      </w:r>
      <w:proofErr w:type="spellEnd"/>
      <w:r w:rsidRPr="009D0717">
        <w:rPr>
          <w:shd w:val="clear" w:color="auto" w:fill="FFFFFF"/>
          <w:lang w:val="fr-FR"/>
        </w:rPr>
        <w:t> ;</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Document de plaidoyer pour la mise en place d’un service statistique dans la Direction de Planification du MICT ;</w:t>
      </w:r>
    </w:p>
    <w:p w:rsidR="009D0717" w:rsidRPr="009D0717" w:rsidRDefault="009D0717" w:rsidP="009D0717">
      <w:pPr>
        <w:numPr>
          <w:ilvl w:val="0"/>
          <w:numId w:val="34"/>
        </w:numPr>
        <w:ind w:left="720"/>
        <w:jc w:val="both"/>
        <w:rPr>
          <w:shd w:val="clear" w:color="auto" w:fill="FFFFFF"/>
          <w:lang w:val="fr-FR"/>
        </w:rPr>
      </w:pPr>
      <w:r w:rsidRPr="009D0717">
        <w:rPr>
          <w:shd w:val="clear" w:color="auto" w:fill="FFFFFF"/>
          <w:lang w:val="fr-FR"/>
        </w:rPr>
        <w:t>Proposition d’une première ébauche du document de cadrage de l’observatoire des collectivités territoriales ;</w:t>
      </w:r>
    </w:p>
    <w:p w:rsidR="009D0717" w:rsidRPr="009D0717" w:rsidRDefault="009D0717" w:rsidP="009D0717">
      <w:pPr>
        <w:numPr>
          <w:ilvl w:val="0"/>
          <w:numId w:val="34"/>
        </w:numPr>
        <w:ind w:left="720"/>
        <w:jc w:val="both"/>
        <w:rPr>
          <w:shd w:val="clear" w:color="auto" w:fill="FFFFFF"/>
          <w:lang w:val="fr-FR"/>
        </w:rPr>
      </w:pPr>
      <w:r w:rsidRPr="009D0717">
        <w:rPr>
          <w:lang w:val="fr-FR"/>
        </w:rPr>
        <w:t xml:space="preserve">Système d’Information Communale </w:t>
      </w:r>
      <w:r w:rsidR="00F1072B">
        <w:rPr>
          <w:lang w:val="fr-FR"/>
        </w:rPr>
        <w:t xml:space="preserve">pilote </w:t>
      </w:r>
      <w:r w:rsidR="00B44C72">
        <w:rPr>
          <w:lang w:val="fr-FR"/>
        </w:rPr>
        <w:t>pour les communes du P</w:t>
      </w:r>
      <w:r w:rsidRPr="009D0717">
        <w:rPr>
          <w:lang w:val="fr-FR"/>
        </w:rPr>
        <w:t>rogramme attaché au projet de mobilisation fisc</w:t>
      </w:r>
      <w:r w:rsidR="00B44C72">
        <w:rPr>
          <w:lang w:val="fr-FR"/>
        </w:rPr>
        <w:t>ale pour les communes de Pétion-</w:t>
      </w:r>
      <w:r w:rsidRPr="009D0717">
        <w:rPr>
          <w:lang w:val="fr-FR"/>
        </w:rPr>
        <w:t xml:space="preserve">Ville et </w:t>
      </w:r>
      <w:proofErr w:type="spellStart"/>
      <w:r w:rsidRPr="009D0717">
        <w:rPr>
          <w:lang w:val="fr-FR"/>
        </w:rPr>
        <w:t>Miragoane</w:t>
      </w:r>
      <w:proofErr w:type="spellEnd"/>
      <w:r w:rsidRPr="009D0717">
        <w:rPr>
          <w:lang w:val="fr-FR"/>
        </w:rPr>
        <w:t> ;</w:t>
      </w:r>
    </w:p>
    <w:p w:rsidR="009D0717" w:rsidRPr="009D0717" w:rsidRDefault="009D0717" w:rsidP="009D0717">
      <w:pPr>
        <w:numPr>
          <w:ilvl w:val="0"/>
          <w:numId w:val="34"/>
        </w:numPr>
        <w:ind w:left="720"/>
        <w:jc w:val="both"/>
        <w:rPr>
          <w:shd w:val="clear" w:color="auto" w:fill="FFFFFF"/>
          <w:lang w:val="fr-FR"/>
        </w:rPr>
      </w:pPr>
      <w:r w:rsidRPr="009D0717">
        <w:rPr>
          <w:lang w:val="fr-FR"/>
        </w:rPr>
        <w:t>Réalisations des émissions radio avec la MINUSTAH FM pour la vulgarisation du processus d’élaboration des Plans Communaux de Développement</w:t>
      </w:r>
    </w:p>
    <w:p w:rsidR="009D0717" w:rsidRPr="009D0717" w:rsidRDefault="009D0717" w:rsidP="009D0717">
      <w:pPr>
        <w:numPr>
          <w:ilvl w:val="0"/>
          <w:numId w:val="34"/>
        </w:numPr>
        <w:ind w:left="720"/>
        <w:jc w:val="both"/>
        <w:rPr>
          <w:shd w:val="clear" w:color="auto" w:fill="FFFFFF"/>
          <w:lang w:val="fr-FR"/>
        </w:rPr>
      </w:pPr>
      <w:r w:rsidRPr="009D0717">
        <w:rPr>
          <w:lang w:val="fr-FR"/>
        </w:rPr>
        <w:t xml:space="preserve">Livraisons total du matériel </w:t>
      </w:r>
      <w:r w:rsidR="00B44C72">
        <w:rPr>
          <w:lang w:val="fr-FR"/>
        </w:rPr>
        <w:t>au profit des communes</w:t>
      </w:r>
      <w:r w:rsidRPr="009D0717">
        <w:rPr>
          <w:lang w:val="fr-FR"/>
        </w:rPr>
        <w:t xml:space="preserve"> notamment 12 véhicules, 40 ordinateurs et 20 imprimantes;</w:t>
      </w:r>
    </w:p>
    <w:p w:rsidR="007C0CE2" w:rsidRDefault="007C0CE2" w:rsidP="009D0717">
      <w:pPr>
        <w:pStyle w:val="BodyText2"/>
        <w:rPr>
          <w:rFonts w:ascii="Times New Roman" w:hAnsi="Times New Roman" w:cs="Times New Roman"/>
          <w:sz w:val="24"/>
          <w:szCs w:val="24"/>
          <w:lang w:val="fr-FR"/>
        </w:rPr>
      </w:pPr>
    </w:p>
    <w:p w:rsidR="007C0CE2" w:rsidRDefault="007C0CE2" w:rsidP="002D633D">
      <w:pPr>
        <w:pStyle w:val="BodyText2"/>
        <w:rPr>
          <w:rFonts w:ascii="Times New Roman" w:hAnsi="Times New Roman" w:cs="Times New Roman"/>
          <w:sz w:val="24"/>
          <w:szCs w:val="24"/>
          <w:lang w:val="fr-FR"/>
        </w:rPr>
      </w:pPr>
      <w:r>
        <w:rPr>
          <w:rFonts w:ascii="Times New Roman" w:hAnsi="Times New Roman" w:cs="Times New Roman"/>
          <w:sz w:val="24"/>
          <w:szCs w:val="24"/>
          <w:lang w:val="fr-FR"/>
        </w:rPr>
        <w:t>Capacités renforcées des municipalités avec la mise en place de 10 Agences Techniques Locales en appui à la coordination de la reconstruction et la gestion des territoires</w:t>
      </w:r>
      <w:r w:rsidR="00760D2B">
        <w:rPr>
          <w:rFonts w:ascii="Times New Roman" w:hAnsi="Times New Roman" w:cs="Times New Roman"/>
          <w:sz w:val="24"/>
          <w:szCs w:val="24"/>
          <w:lang w:val="fr-FR"/>
        </w:rPr>
        <w:t>.</w:t>
      </w:r>
    </w:p>
    <w:p w:rsidR="00760D2B" w:rsidRDefault="00760D2B" w:rsidP="002D633D">
      <w:pPr>
        <w:pStyle w:val="BodyText2"/>
        <w:rPr>
          <w:rFonts w:ascii="Times New Roman" w:hAnsi="Times New Roman" w:cs="Times New Roman"/>
          <w:sz w:val="24"/>
          <w:szCs w:val="24"/>
          <w:lang w:val="fr-FR"/>
        </w:rPr>
      </w:pPr>
    </w:p>
    <w:p w:rsidR="009D0717" w:rsidRPr="00080583" w:rsidRDefault="009D0717" w:rsidP="009D0717">
      <w:pPr>
        <w:pStyle w:val="BodyText2"/>
        <w:numPr>
          <w:ilvl w:val="0"/>
          <w:numId w:val="35"/>
        </w:numPr>
        <w:ind w:left="720"/>
        <w:rPr>
          <w:rFonts w:ascii="Times New Roman" w:hAnsi="Times New Roman" w:cs="Times New Roman"/>
          <w:sz w:val="24"/>
          <w:szCs w:val="24"/>
          <w:lang w:val="fr-FR"/>
        </w:rPr>
      </w:pPr>
      <w:r w:rsidRPr="00080583">
        <w:rPr>
          <w:rFonts w:ascii="Times New Roman" w:hAnsi="Times New Roman" w:cs="Times New Roman"/>
          <w:sz w:val="24"/>
          <w:szCs w:val="24"/>
          <w:lang w:val="fr-FR"/>
        </w:rPr>
        <w:t>Dix ATL en place avec 60 cadres techniques recrutés suivant les métiers municipaux suivants : urbaniste, juriste, spécialiste en mobilisation sociale,</w:t>
      </w:r>
      <w:r w:rsidR="00A13BB2">
        <w:rPr>
          <w:rFonts w:ascii="Times New Roman" w:hAnsi="Times New Roman" w:cs="Times New Roman"/>
          <w:sz w:val="24"/>
          <w:szCs w:val="24"/>
          <w:lang w:val="fr-FR"/>
        </w:rPr>
        <w:t xml:space="preserve"> </w:t>
      </w:r>
      <w:proofErr w:type="spellStart"/>
      <w:r w:rsidR="00A13BB2">
        <w:rPr>
          <w:rFonts w:ascii="Times New Roman" w:hAnsi="Times New Roman" w:cs="Times New Roman"/>
          <w:sz w:val="24"/>
          <w:szCs w:val="24"/>
          <w:lang w:val="fr-FR"/>
        </w:rPr>
        <w:t>programmiste</w:t>
      </w:r>
      <w:proofErr w:type="spellEnd"/>
      <w:r w:rsidR="00A13BB2">
        <w:rPr>
          <w:rFonts w:ascii="Times New Roman" w:hAnsi="Times New Roman" w:cs="Times New Roman"/>
          <w:sz w:val="24"/>
          <w:szCs w:val="24"/>
          <w:lang w:val="fr-FR"/>
        </w:rPr>
        <w:t xml:space="preserve">, ingénieur VRD, </w:t>
      </w:r>
      <w:proofErr w:type="spellStart"/>
      <w:r w:rsidR="00A13BB2">
        <w:rPr>
          <w:rFonts w:ascii="Times New Roman" w:hAnsi="Times New Roman" w:cs="Times New Roman"/>
          <w:sz w:val="24"/>
          <w:szCs w:val="24"/>
          <w:lang w:val="fr-FR"/>
        </w:rPr>
        <w:t>g</w:t>
      </w:r>
      <w:r w:rsidRPr="00080583">
        <w:rPr>
          <w:rFonts w:ascii="Times New Roman" w:hAnsi="Times New Roman" w:cs="Times New Roman"/>
          <w:sz w:val="24"/>
          <w:szCs w:val="24"/>
          <w:lang w:val="fr-FR"/>
        </w:rPr>
        <w:t>éomaticien</w:t>
      </w:r>
      <w:proofErr w:type="spellEnd"/>
      <w:r w:rsidRPr="00080583">
        <w:rPr>
          <w:rFonts w:ascii="Times New Roman" w:hAnsi="Times New Roman" w:cs="Times New Roman"/>
          <w:sz w:val="24"/>
          <w:szCs w:val="24"/>
          <w:lang w:val="fr-FR"/>
        </w:rPr>
        <w:t xml:space="preserve">, assistant administratif, chauffeur-messager. </w:t>
      </w:r>
    </w:p>
    <w:p w:rsidR="009D0717" w:rsidRPr="00080583" w:rsidRDefault="00080583" w:rsidP="009D0717">
      <w:pPr>
        <w:numPr>
          <w:ilvl w:val="0"/>
          <w:numId w:val="35"/>
        </w:numPr>
        <w:tabs>
          <w:tab w:val="left" w:pos="-720"/>
          <w:tab w:val="left" w:pos="720"/>
        </w:tabs>
        <w:suppressAutoHyphens/>
        <w:ind w:left="720"/>
        <w:jc w:val="both"/>
        <w:rPr>
          <w:lang w:val="fr-FR"/>
        </w:rPr>
      </w:pPr>
      <w:r w:rsidRPr="00080583">
        <w:rPr>
          <w:lang w:val="fr-FR"/>
        </w:rPr>
        <w:t>Jusqu’à date, o</w:t>
      </w:r>
      <w:r w:rsidR="009D0717" w:rsidRPr="00080583">
        <w:rPr>
          <w:lang w:val="fr-FR"/>
        </w:rPr>
        <w:t>nze sessions de formation partant des thématiques de base sur la gouvernance locale et l’organisation, le fonctionnement et les ressources des communes aux thématiques spécifiques aux différents profils destinée</w:t>
      </w:r>
      <w:r w:rsidR="00A13BB2">
        <w:rPr>
          <w:lang w:val="fr-FR"/>
        </w:rPr>
        <w:t>s</w:t>
      </w:r>
      <w:r w:rsidR="009D0717" w:rsidRPr="00080583">
        <w:rPr>
          <w:lang w:val="fr-FR"/>
        </w:rPr>
        <w:t xml:space="preserve"> à l’ensemble des cadres des ATL.</w:t>
      </w:r>
    </w:p>
    <w:p w:rsidR="009D0717" w:rsidRPr="00080583" w:rsidRDefault="00080583" w:rsidP="009D0717">
      <w:pPr>
        <w:numPr>
          <w:ilvl w:val="0"/>
          <w:numId w:val="35"/>
        </w:numPr>
        <w:tabs>
          <w:tab w:val="left" w:pos="-720"/>
          <w:tab w:val="left" w:pos="720"/>
        </w:tabs>
        <w:suppressAutoHyphens/>
        <w:ind w:left="720"/>
        <w:jc w:val="both"/>
        <w:rPr>
          <w:lang w:val="fr-FR"/>
        </w:rPr>
      </w:pPr>
      <w:r w:rsidRPr="00080583">
        <w:rPr>
          <w:lang w:val="fr-FR"/>
        </w:rPr>
        <w:t>Un total de d</w:t>
      </w:r>
      <w:r w:rsidR="009D0717" w:rsidRPr="00080583">
        <w:rPr>
          <w:lang w:val="fr-FR"/>
        </w:rPr>
        <w:t xml:space="preserve">eux sessions de formation sur les techniques de cartographie destinée aux </w:t>
      </w:r>
      <w:proofErr w:type="spellStart"/>
      <w:r w:rsidR="009D0717" w:rsidRPr="00080583">
        <w:rPr>
          <w:lang w:val="fr-FR"/>
        </w:rPr>
        <w:t>Géomaticiens</w:t>
      </w:r>
      <w:proofErr w:type="spellEnd"/>
      <w:r w:rsidR="009D0717" w:rsidRPr="00080583">
        <w:rPr>
          <w:lang w:val="fr-FR"/>
        </w:rPr>
        <w:t xml:space="preserve"> et urbanistes des ATL et organisée par le CNIGS en collaboration avec la composante 2 du Programme.</w:t>
      </w:r>
    </w:p>
    <w:p w:rsidR="009D0717" w:rsidRPr="00080583" w:rsidRDefault="00080583" w:rsidP="00080583">
      <w:pPr>
        <w:numPr>
          <w:ilvl w:val="0"/>
          <w:numId w:val="35"/>
        </w:numPr>
        <w:tabs>
          <w:tab w:val="left" w:pos="-720"/>
          <w:tab w:val="left" w:pos="720"/>
        </w:tabs>
        <w:suppressAutoHyphens/>
        <w:ind w:left="720"/>
        <w:jc w:val="both"/>
        <w:rPr>
          <w:lang w:val="fr-FR"/>
        </w:rPr>
      </w:pPr>
      <w:r w:rsidRPr="00080583">
        <w:rPr>
          <w:lang w:val="fr-FR"/>
        </w:rPr>
        <w:t>Processus de l’élaboration des Plans Communaux de Développement en cours. Dix diagnostics territoriaux des dix communes réalisés par les ATL. Dix comités communaux en charge de l’élaboration des Plans Communaux de Développement</w:t>
      </w:r>
      <w:r w:rsidR="00A13BB2">
        <w:rPr>
          <w:lang w:val="fr-FR"/>
        </w:rPr>
        <w:t xml:space="preserve"> installés</w:t>
      </w:r>
      <w:r w:rsidRPr="00080583">
        <w:rPr>
          <w:lang w:val="fr-FR"/>
        </w:rPr>
        <w:t>.</w:t>
      </w:r>
    </w:p>
    <w:p w:rsidR="009D0717" w:rsidRPr="00080583" w:rsidRDefault="009D0717" w:rsidP="009D0717">
      <w:pPr>
        <w:numPr>
          <w:ilvl w:val="0"/>
          <w:numId w:val="35"/>
        </w:numPr>
        <w:tabs>
          <w:tab w:val="left" w:pos="-720"/>
          <w:tab w:val="left" w:pos="720"/>
        </w:tabs>
        <w:suppressAutoHyphens/>
        <w:ind w:left="720"/>
        <w:jc w:val="both"/>
        <w:rPr>
          <w:lang w:val="fr-FR"/>
        </w:rPr>
      </w:pPr>
      <w:r w:rsidRPr="00080583">
        <w:rPr>
          <w:lang w:val="fr-FR"/>
        </w:rPr>
        <w:t xml:space="preserve">Construction d’un marché public dans la Section Communale de </w:t>
      </w:r>
      <w:proofErr w:type="spellStart"/>
      <w:r w:rsidRPr="00080583">
        <w:rPr>
          <w:lang w:val="fr-FR"/>
        </w:rPr>
        <w:t>Malanga</w:t>
      </w:r>
      <w:proofErr w:type="spellEnd"/>
      <w:r w:rsidRPr="00080583">
        <w:rPr>
          <w:lang w:val="fr-FR"/>
        </w:rPr>
        <w:t xml:space="preserve"> ap</w:t>
      </w:r>
      <w:r w:rsidR="00A13BB2">
        <w:rPr>
          <w:lang w:val="fr-FR"/>
        </w:rPr>
        <w:t>rès évaluation réalisée par l’A</w:t>
      </w:r>
      <w:r w:rsidRPr="00080583">
        <w:rPr>
          <w:lang w:val="fr-FR"/>
        </w:rPr>
        <w:t>T</w:t>
      </w:r>
      <w:r w:rsidR="00A13BB2">
        <w:rPr>
          <w:lang w:val="fr-FR"/>
        </w:rPr>
        <w:t>L</w:t>
      </w:r>
      <w:r w:rsidRPr="00080583">
        <w:rPr>
          <w:lang w:val="fr-FR"/>
        </w:rPr>
        <w:t xml:space="preserve"> de Carrefour sur demande l’administration municipale ;</w:t>
      </w:r>
    </w:p>
    <w:p w:rsidR="009D0717" w:rsidRPr="00080583" w:rsidRDefault="009D0717" w:rsidP="009D0717">
      <w:pPr>
        <w:numPr>
          <w:ilvl w:val="0"/>
          <w:numId w:val="35"/>
        </w:numPr>
        <w:tabs>
          <w:tab w:val="left" w:pos="-720"/>
          <w:tab w:val="left" w:pos="720"/>
        </w:tabs>
        <w:suppressAutoHyphens/>
        <w:ind w:left="720"/>
        <w:jc w:val="both"/>
        <w:rPr>
          <w:lang w:val="fr-FR"/>
        </w:rPr>
      </w:pPr>
      <w:r w:rsidRPr="00080583">
        <w:rPr>
          <w:lang w:val="fr-FR"/>
        </w:rPr>
        <w:t xml:space="preserve">Réalisation d’un diagnostic technique territorial du quartier </w:t>
      </w:r>
      <w:proofErr w:type="spellStart"/>
      <w:r w:rsidRPr="00080583">
        <w:rPr>
          <w:lang w:val="fr-FR"/>
        </w:rPr>
        <w:t>Mayard</w:t>
      </w:r>
      <w:proofErr w:type="spellEnd"/>
      <w:r w:rsidRPr="00080583">
        <w:rPr>
          <w:lang w:val="fr-FR"/>
        </w:rPr>
        <w:t xml:space="preserve"> </w:t>
      </w:r>
      <w:r w:rsidR="00080583" w:rsidRPr="00080583">
        <w:rPr>
          <w:lang w:val="fr-FR"/>
        </w:rPr>
        <w:t xml:space="preserve">dans la ville de Jacmel </w:t>
      </w:r>
      <w:r w:rsidRPr="00080583">
        <w:rPr>
          <w:lang w:val="fr-FR"/>
        </w:rPr>
        <w:t>avec l’appui de l’Association Catalane des Universités Publiques (ACUP) ayant abouti la construction d’une place publique dans ledit quartier ;</w:t>
      </w:r>
    </w:p>
    <w:p w:rsidR="009D0717" w:rsidRPr="00080583" w:rsidRDefault="009D0717" w:rsidP="009D0717">
      <w:pPr>
        <w:numPr>
          <w:ilvl w:val="0"/>
          <w:numId w:val="35"/>
        </w:numPr>
        <w:tabs>
          <w:tab w:val="left" w:pos="-720"/>
          <w:tab w:val="left" w:pos="720"/>
        </w:tabs>
        <w:suppressAutoHyphens/>
        <w:ind w:left="720"/>
        <w:jc w:val="both"/>
        <w:rPr>
          <w:lang w:val="fr-FR"/>
        </w:rPr>
      </w:pPr>
      <w:r w:rsidRPr="00080583">
        <w:rPr>
          <w:lang w:val="fr-FR"/>
        </w:rPr>
        <w:t>Appui à l’élaboration d’un projet intercommunal sur la gestion d</w:t>
      </w:r>
      <w:r w:rsidR="00A13BB2">
        <w:rPr>
          <w:lang w:val="fr-FR"/>
        </w:rPr>
        <w:t>u bassin versant autour du l</w:t>
      </w:r>
      <w:r w:rsidRPr="00080583">
        <w:rPr>
          <w:lang w:val="fr-FR"/>
        </w:rPr>
        <w:t xml:space="preserve">ac </w:t>
      </w:r>
      <w:proofErr w:type="spellStart"/>
      <w:r w:rsidRPr="00080583">
        <w:rPr>
          <w:lang w:val="fr-FR"/>
        </w:rPr>
        <w:t>Azuei</w:t>
      </w:r>
      <w:proofErr w:type="spellEnd"/>
      <w:r w:rsidRPr="00080583">
        <w:rPr>
          <w:lang w:val="fr-FR"/>
        </w:rPr>
        <w:t xml:space="preserve"> par l’ATL de la</w:t>
      </w:r>
      <w:r w:rsidR="00A13BB2">
        <w:rPr>
          <w:lang w:val="fr-FR"/>
        </w:rPr>
        <w:t xml:space="preserve"> Croix-des-Bouquets en appui l’o</w:t>
      </w:r>
      <w:r w:rsidRPr="00080583">
        <w:rPr>
          <w:lang w:val="fr-FR"/>
        </w:rPr>
        <w:t xml:space="preserve">rganisation internationale OXFAM </w:t>
      </w:r>
      <w:proofErr w:type="spellStart"/>
      <w:r w:rsidRPr="00080583">
        <w:rPr>
          <w:lang w:val="fr-FR"/>
        </w:rPr>
        <w:t>Italia</w:t>
      </w:r>
      <w:proofErr w:type="spellEnd"/>
      <w:r w:rsidRPr="00080583">
        <w:rPr>
          <w:lang w:val="fr-FR"/>
        </w:rPr>
        <w:t>.</w:t>
      </w:r>
    </w:p>
    <w:p w:rsidR="009D0717" w:rsidRPr="00080583" w:rsidRDefault="009D0717" w:rsidP="009D0717">
      <w:pPr>
        <w:numPr>
          <w:ilvl w:val="0"/>
          <w:numId w:val="35"/>
        </w:numPr>
        <w:tabs>
          <w:tab w:val="left" w:pos="-720"/>
          <w:tab w:val="left" w:pos="720"/>
        </w:tabs>
        <w:suppressAutoHyphens/>
        <w:ind w:left="720"/>
        <w:jc w:val="both"/>
        <w:rPr>
          <w:lang w:val="fr-FR"/>
        </w:rPr>
      </w:pPr>
      <w:r w:rsidRPr="00080583">
        <w:rPr>
          <w:lang w:val="fr-FR"/>
        </w:rPr>
        <w:t>Trois bureaux construits dans le cadre du projet : voir bureau</w:t>
      </w:r>
      <w:r w:rsidR="00A13BB2">
        <w:rPr>
          <w:lang w:val="fr-FR"/>
        </w:rPr>
        <w:t>x</w:t>
      </w:r>
      <w:r w:rsidRPr="00080583">
        <w:rPr>
          <w:lang w:val="fr-FR"/>
        </w:rPr>
        <w:t xml:space="preserve"> municipa</w:t>
      </w:r>
      <w:r w:rsidR="00A13BB2">
        <w:rPr>
          <w:lang w:val="fr-FR"/>
        </w:rPr>
        <w:t>ux</w:t>
      </w:r>
      <w:r w:rsidRPr="00080583">
        <w:rPr>
          <w:lang w:val="fr-FR"/>
        </w:rPr>
        <w:t xml:space="preserve"> de Cite Soleil, </w:t>
      </w:r>
      <w:proofErr w:type="spellStart"/>
      <w:r w:rsidRPr="00080583">
        <w:rPr>
          <w:lang w:val="fr-FR"/>
        </w:rPr>
        <w:t>Miragoane</w:t>
      </w:r>
      <w:proofErr w:type="spellEnd"/>
      <w:r w:rsidRPr="00080583">
        <w:rPr>
          <w:lang w:val="fr-FR"/>
        </w:rPr>
        <w:t xml:space="preserve"> et de Carrefour </w:t>
      </w:r>
    </w:p>
    <w:p w:rsidR="00D458E9" w:rsidRDefault="00D458E9" w:rsidP="00D458E9">
      <w:pPr>
        <w:tabs>
          <w:tab w:val="left" w:pos="-720"/>
          <w:tab w:val="left" w:pos="1080"/>
        </w:tabs>
        <w:suppressAutoHyphens/>
        <w:jc w:val="both"/>
        <w:rPr>
          <w:lang w:val="fr-FR"/>
        </w:rPr>
      </w:pPr>
    </w:p>
    <w:p w:rsidR="00D458E9" w:rsidRDefault="00D458E9" w:rsidP="00D458E9">
      <w:pPr>
        <w:pStyle w:val="BodyText2"/>
        <w:ind w:left="36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Capacités renforcées des municipalités avec la mise en place de </w:t>
      </w:r>
      <w:r w:rsidR="00A13BB2">
        <w:rPr>
          <w:rFonts w:ascii="Times New Roman" w:hAnsi="Times New Roman" w:cs="Times New Roman"/>
          <w:sz w:val="24"/>
          <w:szCs w:val="24"/>
          <w:lang w:val="fr-FR"/>
        </w:rPr>
        <w:t>onze</w:t>
      </w:r>
      <w:r>
        <w:rPr>
          <w:rFonts w:ascii="Times New Roman" w:hAnsi="Times New Roman" w:cs="Times New Roman"/>
          <w:sz w:val="24"/>
          <w:szCs w:val="24"/>
          <w:lang w:val="fr-FR"/>
        </w:rPr>
        <w:t xml:space="preserve"> Centres de Ressources Communautaires</w:t>
      </w:r>
    </w:p>
    <w:p w:rsidR="00D458E9" w:rsidRPr="00760D2B" w:rsidRDefault="00D458E9" w:rsidP="00D458E9">
      <w:pPr>
        <w:tabs>
          <w:tab w:val="left" w:pos="-720"/>
          <w:tab w:val="left" w:pos="1080"/>
        </w:tabs>
        <w:suppressAutoHyphens/>
        <w:jc w:val="both"/>
        <w:rPr>
          <w:lang w:val="fr-FR"/>
        </w:rPr>
      </w:pPr>
    </w:p>
    <w:p w:rsidR="00080583" w:rsidRPr="00080583" w:rsidRDefault="00080583" w:rsidP="005E71B6">
      <w:pPr>
        <w:numPr>
          <w:ilvl w:val="0"/>
          <w:numId w:val="35"/>
        </w:numPr>
        <w:tabs>
          <w:tab w:val="left" w:pos="-720"/>
          <w:tab w:val="left" w:pos="709"/>
        </w:tabs>
        <w:suppressAutoHyphens/>
        <w:ind w:left="714" w:hanging="357"/>
        <w:jc w:val="both"/>
        <w:rPr>
          <w:lang w:val="fr-FR"/>
        </w:rPr>
      </w:pPr>
      <w:r w:rsidRPr="00080583">
        <w:rPr>
          <w:lang w:val="fr-FR"/>
        </w:rPr>
        <w:t>Onze CRC en place et équipés avec 38 agents de communication en fonction ;</w:t>
      </w:r>
    </w:p>
    <w:p w:rsidR="00080583" w:rsidRPr="00080583" w:rsidRDefault="00080583" w:rsidP="005E71B6">
      <w:pPr>
        <w:numPr>
          <w:ilvl w:val="0"/>
          <w:numId w:val="35"/>
        </w:numPr>
        <w:tabs>
          <w:tab w:val="left" w:pos="-720"/>
          <w:tab w:val="left" w:pos="709"/>
        </w:tabs>
        <w:suppressAutoHyphens/>
        <w:ind w:left="714" w:hanging="357"/>
        <w:jc w:val="both"/>
        <w:rPr>
          <w:lang w:val="fr-FR"/>
        </w:rPr>
      </w:pPr>
      <w:r w:rsidRPr="00080583">
        <w:rPr>
          <w:lang w:val="fr-FR"/>
        </w:rPr>
        <w:t xml:space="preserve">Outils de communication développé et disséminés (Journal </w:t>
      </w:r>
      <w:proofErr w:type="spellStart"/>
      <w:r w:rsidRPr="00080583">
        <w:rPr>
          <w:lang w:val="fr-FR"/>
        </w:rPr>
        <w:t>Chimen</w:t>
      </w:r>
      <w:proofErr w:type="spellEnd"/>
      <w:r w:rsidRPr="00080583">
        <w:rPr>
          <w:lang w:val="fr-FR"/>
        </w:rPr>
        <w:t xml:space="preserve"> </w:t>
      </w:r>
      <w:proofErr w:type="spellStart"/>
      <w:r w:rsidRPr="00080583">
        <w:rPr>
          <w:lang w:val="fr-FR"/>
        </w:rPr>
        <w:t>Lakay</w:t>
      </w:r>
      <w:proofErr w:type="spellEnd"/>
      <w:r w:rsidRPr="00080583">
        <w:rPr>
          <w:lang w:val="fr-FR"/>
        </w:rPr>
        <w:t>, dépliants de CRC, etc.) pour faire connaitre les CRC ainsi que des spots radiophoniques ;</w:t>
      </w:r>
    </w:p>
    <w:p w:rsidR="00080583" w:rsidRPr="00080583" w:rsidRDefault="00080583" w:rsidP="005E71B6">
      <w:pPr>
        <w:numPr>
          <w:ilvl w:val="0"/>
          <w:numId w:val="35"/>
        </w:numPr>
        <w:tabs>
          <w:tab w:val="left" w:pos="-720"/>
          <w:tab w:val="left" w:pos="709"/>
        </w:tabs>
        <w:suppressAutoHyphens/>
        <w:ind w:left="714" w:hanging="357"/>
        <w:jc w:val="both"/>
        <w:rPr>
          <w:lang w:val="fr-FR"/>
        </w:rPr>
      </w:pPr>
      <w:r w:rsidRPr="00080583">
        <w:rPr>
          <w:lang w:val="fr-FR"/>
        </w:rPr>
        <w:t>Onze plateformes communales composées de 17 membres dont les représentants des plateformes quartiers et les membres des administrations municipales ;</w:t>
      </w:r>
    </w:p>
    <w:p w:rsidR="00080583" w:rsidRPr="00080583" w:rsidRDefault="00080583" w:rsidP="005E71B6">
      <w:pPr>
        <w:numPr>
          <w:ilvl w:val="0"/>
          <w:numId w:val="35"/>
        </w:numPr>
        <w:tabs>
          <w:tab w:val="left" w:pos="-720"/>
          <w:tab w:val="left" w:pos="709"/>
        </w:tabs>
        <w:suppressAutoHyphens/>
        <w:ind w:left="714" w:hanging="357"/>
        <w:jc w:val="both"/>
        <w:rPr>
          <w:lang w:val="fr-FR"/>
        </w:rPr>
      </w:pPr>
      <w:r w:rsidRPr="00080583">
        <w:rPr>
          <w:lang w:val="fr-FR"/>
        </w:rPr>
        <w:t xml:space="preserve">Deux projets pilotes de mobilisation fiscale dans les communes de Pétion Ville et </w:t>
      </w:r>
      <w:proofErr w:type="spellStart"/>
      <w:r w:rsidRPr="00080583">
        <w:rPr>
          <w:lang w:val="fr-FR"/>
        </w:rPr>
        <w:t>Miragoane</w:t>
      </w:r>
      <w:proofErr w:type="spellEnd"/>
      <w:r w:rsidRPr="00080583">
        <w:rPr>
          <w:lang w:val="fr-FR"/>
        </w:rPr>
        <w:t xml:space="preserve"> en cours ;</w:t>
      </w:r>
    </w:p>
    <w:p w:rsidR="00080583" w:rsidRPr="00080583" w:rsidRDefault="00080583" w:rsidP="005E71B6">
      <w:pPr>
        <w:numPr>
          <w:ilvl w:val="0"/>
          <w:numId w:val="35"/>
        </w:numPr>
        <w:tabs>
          <w:tab w:val="left" w:pos="-720"/>
          <w:tab w:val="left" w:pos="709"/>
        </w:tabs>
        <w:suppressAutoHyphens/>
        <w:ind w:left="714" w:hanging="357"/>
        <w:jc w:val="both"/>
        <w:rPr>
          <w:lang w:val="fr-FR"/>
        </w:rPr>
      </w:pPr>
      <w:r w:rsidRPr="00080583">
        <w:rPr>
          <w:lang w:val="fr-FR"/>
        </w:rPr>
        <w:t>Soixante-dix-sept tricycles octroyés aux communes dans le cadre de projets communautaires d’évacuation des déchets ménagers.</w:t>
      </w:r>
    </w:p>
    <w:p w:rsidR="00760D2B" w:rsidRDefault="00760D2B" w:rsidP="007C0CE2">
      <w:pPr>
        <w:ind w:left="360"/>
        <w:jc w:val="both"/>
        <w:rPr>
          <w:lang w:val="fr-FR"/>
        </w:rPr>
      </w:pPr>
    </w:p>
    <w:p w:rsidR="007C0CE2" w:rsidRPr="005D0BEE" w:rsidRDefault="00416147" w:rsidP="00760D2B">
      <w:pPr>
        <w:jc w:val="both"/>
        <w:rPr>
          <w:b/>
          <w:bCs/>
          <w:lang w:val="fr-FR"/>
        </w:rPr>
      </w:pPr>
      <w:r w:rsidRPr="001023AF">
        <w:rPr>
          <w:b/>
          <w:lang w:val="fr-FR"/>
        </w:rPr>
        <w:t xml:space="preserve">Retards, </w:t>
      </w:r>
      <w:r w:rsidR="007C0CE2" w:rsidRPr="001023AF">
        <w:rPr>
          <w:b/>
          <w:lang w:val="fr-FR"/>
        </w:rPr>
        <w:t>défis</w:t>
      </w:r>
      <w:r w:rsidRPr="001023AF">
        <w:rPr>
          <w:b/>
          <w:lang w:val="fr-FR"/>
        </w:rPr>
        <w:t>,</w:t>
      </w:r>
      <w:r w:rsidR="007C0CE2" w:rsidRPr="001023AF">
        <w:rPr>
          <w:b/>
          <w:lang w:val="fr-FR"/>
        </w:rPr>
        <w:t xml:space="preserve"> </w:t>
      </w:r>
      <w:r w:rsidR="004820EE" w:rsidRPr="001023AF">
        <w:rPr>
          <w:b/>
          <w:bCs/>
          <w:lang w:val="fr-FR"/>
        </w:rPr>
        <w:t>leçons apprises et meilleures pratiques</w:t>
      </w:r>
    </w:p>
    <w:p w:rsidR="00760D2B" w:rsidRDefault="00760D2B" w:rsidP="00760D2B">
      <w:pPr>
        <w:jc w:val="both"/>
        <w:rPr>
          <w:b/>
          <w:lang w:val="fr-FR"/>
        </w:rPr>
      </w:pPr>
    </w:p>
    <w:p w:rsidR="003E50D8" w:rsidRPr="001023AF" w:rsidRDefault="003E50D8" w:rsidP="00760D2B">
      <w:pPr>
        <w:ind w:right="57"/>
        <w:jc w:val="both"/>
        <w:rPr>
          <w:lang w:val="fr-FR"/>
        </w:rPr>
      </w:pPr>
      <w:r w:rsidRPr="001023AF">
        <w:rPr>
          <w:lang w:val="fr-FR"/>
        </w:rPr>
        <w:t>Le changement des cartels municipaux au courant de trois années du programme a considérablement handicapé la réalisation des activités, a difficulté l’appropriation du projet et la pérennisation des acquis du projet. Le support apporté par le MICT et l’élan d’activité du Programme on</w:t>
      </w:r>
      <w:r w:rsidR="000F6AE5">
        <w:rPr>
          <w:lang w:val="fr-FR"/>
        </w:rPr>
        <w:t>t</w:t>
      </w:r>
      <w:r w:rsidRPr="001023AF">
        <w:rPr>
          <w:lang w:val="fr-FR"/>
        </w:rPr>
        <w:t xml:space="preserve"> cependant permit de garder la continuité du travail des ATL et des CRC.</w:t>
      </w:r>
    </w:p>
    <w:p w:rsidR="007C0CE2" w:rsidRPr="00651C5F" w:rsidRDefault="007C0CE2" w:rsidP="00760D2B">
      <w:pPr>
        <w:ind w:right="57"/>
        <w:jc w:val="both"/>
        <w:rPr>
          <w:lang w:val="fr-FR"/>
        </w:rPr>
      </w:pPr>
    </w:p>
    <w:p w:rsidR="00651C5F" w:rsidRPr="005D0BEE" w:rsidRDefault="005D0BEE" w:rsidP="00760D2B">
      <w:pPr>
        <w:ind w:right="57"/>
        <w:jc w:val="both"/>
        <w:rPr>
          <w:lang w:val="fr-FR"/>
        </w:rPr>
      </w:pPr>
      <w:r w:rsidRPr="005D0BEE">
        <w:rPr>
          <w:lang w:val="fr-FR"/>
        </w:rPr>
        <w:t>L’accumulation des r</w:t>
      </w:r>
      <w:r w:rsidR="00651C5F" w:rsidRPr="005D0BEE">
        <w:rPr>
          <w:lang w:val="fr-FR"/>
        </w:rPr>
        <w:t>etards</w:t>
      </w:r>
      <w:r w:rsidRPr="005D0BEE">
        <w:rPr>
          <w:lang w:val="fr-FR"/>
        </w:rPr>
        <w:t xml:space="preserve"> dans la mise en place des activités constitue en défi majeur pour l’atteinte des résultats prévus. De la même manière, une </w:t>
      </w:r>
      <w:r w:rsidRPr="005D0BEE">
        <w:rPr>
          <w:lang w:val="fr-BE"/>
        </w:rPr>
        <w:t>faible capacité d’absorption de fonds alloues aux communes bénéficiaires pour l’implémentation du projet a été constatée.</w:t>
      </w:r>
      <w:r w:rsidR="001023AF">
        <w:rPr>
          <w:lang w:val="fr-BE"/>
        </w:rPr>
        <w:t xml:space="preserve"> A cet effet, une demande d’extension de la durée de la période d’exécution des activités de la composante a été conclue lors de son Comité de Coordination du 21 mars 2014 et transmise au Comité de Pilotage du Programme.</w:t>
      </w:r>
    </w:p>
    <w:p w:rsidR="00651C5F" w:rsidRPr="005D0BEE" w:rsidRDefault="00651C5F" w:rsidP="00760D2B">
      <w:pPr>
        <w:ind w:right="57"/>
        <w:jc w:val="both"/>
        <w:rPr>
          <w:lang w:val="fr-FR"/>
        </w:rPr>
      </w:pPr>
    </w:p>
    <w:p w:rsidR="00651C5F" w:rsidRDefault="005D0BEE" w:rsidP="00760D2B">
      <w:pPr>
        <w:ind w:right="57"/>
        <w:jc w:val="both"/>
        <w:rPr>
          <w:lang w:val="fr-FR"/>
        </w:rPr>
      </w:pPr>
      <w:r w:rsidRPr="005D0BEE">
        <w:rPr>
          <w:lang w:val="fr-FR"/>
        </w:rPr>
        <w:t>Cependant</w:t>
      </w:r>
      <w:r w:rsidR="000F6AE5">
        <w:rPr>
          <w:lang w:val="fr-FR"/>
        </w:rPr>
        <w:t>,</w:t>
      </w:r>
      <w:r w:rsidRPr="005D0BEE">
        <w:rPr>
          <w:lang w:val="fr-FR"/>
        </w:rPr>
        <w:t xml:space="preserve"> l’a</w:t>
      </w:r>
      <w:r w:rsidR="00651C5F" w:rsidRPr="005D0BEE">
        <w:rPr>
          <w:lang w:val="fr-FR"/>
        </w:rPr>
        <w:t xml:space="preserve">ppui direct </w:t>
      </w:r>
      <w:r w:rsidRPr="005D0BEE">
        <w:rPr>
          <w:lang w:val="fr-FR"/>
        </w:rPr>
        <w:t xml:space="preserve">fourni aux communes à travers la mise à leur disposition des ressources a </w:t>
      </w:r>
      <w:r w:rsidR="001023AF">
        <w:rPr>
          <w:lang w:val="fr-FR"/>
        </w:rPr>
        <w:t xml:space="preserve">continué à </w:t>
      </w:r>
      <w:r w:rsidRPr="005D0BEE">
        <w:rPr>
          <w:lang w:val="fr-FR"/>
        </w:rPr>
        <w:t>montr</w:t>
      </w:r>
      <w:r w:rsidR="001023AF">
        <w:rPr>
          <w:lang w:val="fr-FR"/>
        </w:rPr>
        <w:t>er</w:t>
      </w:r>
      <w:r w:rsidRPr="005D0BEE">
        <w:rPr>
          <w:lang w:val="fr-FR"/>
        </w:rPr>
        <w:t xml:space="preserve"> son potentiel pour renforcer leur appropriation des objectifs du </w:t>
      </w:r>
      <w:r w:rsidR="007D2DAA">
        <w:rPr>
          <w:lang w:val="fr-FR"/>
        </w:rPr>
        <w:t>Programme</w:t>
      </w:r>
      <w:r w:rsidRPr="005D0BEE">
        <w:rPr>
          <w:lang w:val="fr-FR"/>
        </w:rPr>
        <w:t>.</w:t>
      </w:r>
    </w:p>
    <w:p w:rsidR="005D0BEE" w:rsidRDefault="005D0BEE" w:rsidP="00760D2B">
      <w:pPr>
        <w:ind w:right="57"/>
        <w:jc w:val="both"/>
        <w:rPr>
          <w:lang w:val="fr-FR"/>
        </w:rPr>
      </w:pPr>
    </w:p>
    <w:p w:rsidR="00651C5F" w:rsidRPr="00340AA4" w:rsidRDefault="005D0BEE" w:rsidP="00760D2B">
      <w:pPr>
        <w:ind w:right="57"/>
        <w:jc w:val="both"/>
        <w:rPr>
          <w:lang w:val="fr-FR"/>
        </w:rPr>
      </w:pPr>
      <w:r w:rsidRPr="00340AA4">
        <w:rPr>
          <w:lang w:val="fr-FR"/>
        </w:rPr>
        <w:t>L’articulation des différents niveau</w:t>
      </w:r>
      <w:r w:rsidR="00F61DFF" w:rsidRPr="00340AA4">
        <w:rPr>
          <w:lang w:val="fr-FR"/>
        </w:rPr>
        <w:t>x</w:t>
      </w:r>
      <w:r w:rsidRPr="00340AA4">
        <w:rPr>
          <w:lang w:val="fr-FR"/>
        </w:rPr>
        <w:t xml:space="preserve"> d’</w:t>
      </w:r>
      <w:r w:rsidR="00121E4E" w:rsidRPr="00340AA4">
        <w:rPr>
          <w:lang w:val="fr-FR"/>
        </w:rPr>
        <w:t>intervention de la composante (</w:t>
      </w:r>
      <w:r w:rsidRPr="00340AA4">
        <w:rPr>
          <w:lang w:val="fr-FR"/>
        </w:rPr>
        <w:t>communautaire, local et central</w:t>
      </w:r>
      <w:r w:rsidR="00121E4E" w:rsidRPr="00340AA4">
        <w:rPr>
          <w:lang w:val="fr-FR"/>
        </w:rPr>
        <w:t>)</w:t>
      </w:r>
      <w:r w:rsidRPr="00340AA4">
        <w:rPr>
          <w:lang w:val="fr-FR"/>
        </w:rPr>
        <w:t xml:space="preserve">, </w:t>
      </w:r>
      <w:r w:rsidR="00121E4E" w:rsidRPr="00340AA4">
        <w:rPr>
          <w:lang w:val="fr-FR"/>
        </w:rPr>
        <w:t>l’intégration des nouvelles structures au se</w:t>
      </w:r>
      <w:r w:rsidR="001023AF" w:rsidRPr="00340AA4">
        <w:rPr>
          <w:lang w:val="fr-FR"/>
        </w:rPr>
        <w:t>in des institutions réceptrices et l’articulation avec les activités des autres composantes, qui représentaient des défis dans les premières phases du programme ont pu être progressivement surmontées</w:t>
      </w:r>
      <w:r w:rsidR="00340AA4" w:rsidRPr="00340AA4">
        <w:rPr>
          <w:lang w:val="fr-FR"/>
        </w:rPr>
        <w:t xml:space="preserve"> dans la plus part de cas. La collaboration entre la CSEC, les ATL et les CRC pour l’élaboration des PCD, l’évaluation positive des ATL et des CRC qui font plus part de maires, et la mise sur pied d’un pool interministériel pour l’appui aux communes à l’élaboration des PCD, sont juste quelque</w:t>
      </w:r>
      <w:r w:rsidR="00340AA4">
        <w:rPr>
          <w:lang w:val="fr-FR"/>
        </w:rPr>
        <w:t>s</w:t>
      </w:r>
      <w:r w:rsidR="00340AA4" w:rsidRPr="00340AA4">
        <w:rPr>
          <w:lang w:val="fr-FR"/>
        </w:rPr>
        <w:t xml:space="preserve"> preuves de cet approchement.</w:t>
      </w:r>
    </w:p>
    <w:p w:rsidR="00EA24FA" w:rsidRDefault="00EA24FA" w:rsidP="007C0CE2">
      <w:pPr>
        <w:ind w:left="360" w:right="57"/>
        <w:jc w:val="both"/>
        <w:rPr>
          <w:b/>
          <w:lang w:val="fr-BE"/>
        </w:rPr>
      </w:pPr>
    </w:p>
    <w:p w:rsidR="00635359" w:rsidRDefault="00635359" w:rsidP="00635359">
      <w:pPr>
        <w:pStyle w:val="BodyText"/>
        <w:tabs>
          <w:tab w:val="left" w:pos="0"/>
        </w:tabs>
        <w:jc w:val="both"/>
        <w:rPr>
          <w:rFonts w:ascii="Times New Roman" w:hAnsi="Times New Roman" w:cs="Times New Roman"/>
          <w:b/>
          <w:bCs/>
          <w:sz w:val="24"/>
          <w:szCs w:val="24"/>
          <w:u w:val="single"/>
          <w:lang w:val="fr-FR"/>
        </w:rPr>
      </w:pPr>
      <w:r w:rsidRPr="00635359">
        <w:rPr>
          <w:rFonts w:ascii="Times New Roman" w:hAnsi="Times New Roman" w:cs="Times New Roman"/>
          <w:b/>
          <w:bCs/>
          <w:sz w:val="24"/>
          <w:szCs w:val="24"/>
          <w:u w:val="single"/>
          <w:lang w:val="fr-FR"/>
        </w:rPr>
        <w:t>Composante 4</w:t>
      </w:r>
    </w:p>
    <w:p w:rsidR="00AC6617" w:rsidRPr="00635359" w:rsidRDefault="00AC6617" w:rsidP="00635359">
      <w:pPr>
        <w:pStyle w:val="BodyText"/>
        <w:tabs>
          <w:tab w:val="left" w:pos="0"/>
        </w:tabs>
        <w:jc w:val="both"/>
        <w:rPr>
          <w:rFonts w:ascii="Times New Roman" w:hAnsi="Times New Roman" w:cs="Times New Roman"/>
          <w:b/>
          <w:bCs/>
          <w:sz w:val="24"/>
          <w:szCs w:val="24"/>
          <w:u w:val="single"/>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Résultats</w:t>
      </w:r>
    </w:p>
    <w:p w:rsidR="00AC6617" w:rsidRDefault="00AC6617" w:rsidP="00635359">
      <w:pPr>
        <w:pStyle w:val="BodyText"/>
        <w:tabs>
          <w:tab w:val="left" w:pos="0"/>
        </w:tabs>
        <w:jc w:val="both"/>
        <w:rPr>
          <w:rFonts w:ascii="Times New Roman" w:hAnsi="Times New Roman" w:cs="Times New Roman"/>
          <w:b/>
          <w:bCs/>
          <w:sz w:val="24"/>
          <w:szCs w:val="24"/>
          <w:lang w:val="fr-FR"/>
        </w:rPr>
      </w:pPr>
    </w:p>
    <w:p w:rsidR="00AC6617" w:rsidRPr="0049733B" w:rsidRDefault="00AC6617" w:rsidP="00340AA4">
      <w:pPr>
        <w:jc w:val="both"/>
        <w:rPr>
          <w:lang w:val="fr-FR"/>
        </w:rPr>
      </w:pPr>
      <w:r w:rsidRPr="0049733B">
        <w:rPr>
          <w:b/>
          <w:lang w:val="fr-FR"/>
        </w:rPr>
        <w:t>Plans stratégiques et pla</w:t>
      </w:r>
      <w:r w:rsidR="004C14C0">
        <w:rPr>
          <w:b/>
          <w:lang w:val="fr-FR"/>
        </w:rPr>
        <w:t>ns d’aménagement et d’urbanisme</w:t>
      </w:r>
      <w:r w:rsidRPr="0049733B">
        <w:rPr>
          <w:b/>
          <w:lang w:val="fr-FR"/>
        </w:rPr>
        <w:t xml:space="preserve"> : </w:t>
      </w:r>
    </w:p>
    <w:p w:rsidR="00AC6617" w:rsidRDefault="00AC6617" w:rsidP="00AC6617">
      <w:pPr>
        <w:jc w:val="both"/>
        <w:rPr>
          <w:lang w:val="fr-FR"/>
        </w:rPr>
      </w:pPr>
    </w:p>
    <w:p w:rsidR="00340AA4" w:rsidRPr="00340AA4" w:rsidRDefault="00340AA4" w:rsidP="00340AA4">
      <w:pPr>
        <w:jc w:val="both"/>
        <w:rPr>
          <w:lang w:val="fr-FR"/>
        </w:rPr>
      </w:pPr>
      <w:r w:rsidRPr="00340AA4">
        <w:rPr>
          <w:lang w:val="fr-FR"/>
        </w:rPr>
        <w:t>Le déroulement des  activités de la composante 4 a été très affecté par les changements survenus à la tête du MPCE ainsi que par le départ de l’urbaniste affecté à la cellule technique qui n’a pu être remplacé qu’en juillet.  Les travaux prévus ont cependant pu être réalisés.</w:t>
      </w:r>
    </w:p>
    <w:p w:rsidR="00340AA4" w:rsidRPr="00340AA4" w:rsidRDefault="00340AA4" w:rsidP="00340AA4">
      <w:pPr>
        <w:jc w:val="both"/>
        <w:rPr>
          <w:lang w:val="fr-FR"/>
        </w:rPr>
      </w:pPr>
    </w:p>
    <w:p w:rsidR="00340AA4" w:rsidRPr="00340AA4" w:rsidRDefault="00340AA4" w:rsidP="00340AA4">
      <w:pPr>
        <w:jc w:val="both"/>
        <w:rPr>
          <w:lang w:val="fr-FR"/>
        </w:rPr>
      </w:pPr>
      <w:r w:rsidRPr="00340AA4">
        <w:rPr>
          <w:lang w:val="fr-FR"/>
        </w:rPr>
        <w:t>La tenue, plusieurs fois différée, des ateliers de restitution des esquisses de plans d’urbanisme aux mairies s’est déroulée au cours du mois de décembre. Ces ateliers se sont tenus dans 12 des 17 mairies concernées, des circonstances au niveau local ayant empêché les présentations à Cayes-Jacmel, Petit-</w:t>
      </w:r>
      <w:proofErr w:type="spellStart"/>
      <w:r w:rsidRPr="00340AA4">
        <w:rPr>
          <w:lang w:val="fr-FR"/>
        </w:rPr>
        <w:t>Goâve</w:t>
      </w:r>
      <w:proofErr w:type="spellEnd"/>
      <w:r w:rsidRPr="00340AA4">
        <w:rPr>
          <w:lang w:val="fr-FR"/>
        </w:rPr>
        <w:t xml:space="preserve">, </w:t>
      </w:r>
      <w:proofErr w:type="spellStart"/>
      <w:r w:rsidRPr="00340AA4">
        <w:rPr>
          <w:lang w:val="fr-FR"/>
        </w:rPr>
        <w:t>Léogane</w:t>
      </w:r>
      <w:proofErr w:type="spellEnd"/>
      <w:r w:rsidRPr="00340AA4">
        <w:rPr>
          <w:lang w:val="fr-FR"/>
        </w:rPr>
        <w:t xml:space="preserve"> et aux Cayes. La présentation des esquisses de plans d’urbanisme a été effectuée sur invitation des maires par les techniciens des mairies, appuyés de membres du Programme d’Investissement Nord/Nord-Est (PINNE) </w:t>
      </w:r>
      <w:r w:rsidRPr="00340AA4">
        <w:rPr>
          <w:lang w:val="fr-FR"/>
        </w:rPr>
        <w:lastRenderedPageBreak/>
        <w:t>dans le Nord et des Agences techniques Locales (ATL) à St-Marc et Jacmel. Les directions départementales du MPCE ont servi de relai à l’Unité d’Aménagement du Territoire dans la préparation de ces activités.</w:t>
      </w:r>
    </w:p>
    <w:p w:rsidR="00340AA4" w:rsidRPr="00340AA4" w:rsidRDefault="00340AA4" w:rsidP="00340AA4">
      <w:pPr>
        <w:jc w:val="both"/>
        <w:rPr>
          <w:lang w:val="fr-FR"/>
        </w:rPr>
      </w:pPr>
    </w:p>
    <w:p w:rsidR="00340AA4" w:rsidRPr="00340AA4" w:rsidRDefault="00340AA4" w:rsidP="00340AA4">
      <w:pPr>
        <w:jc w:val="both"/>
        <w:rPr>
          <w:lang w:val="fr-FR"/>
        </w:rPr>
      </w:pPr>
      <w:r w:rsidRPr="00340AA4">
        <w:rPr>
          <w:lang w:val="fr-FR"/>
        </w:rPr>
        <w:t>130 exemplaires d’esquisses de plans d’urbanisme ont été imprimés, à raison de 10 exemplaires par ville, et ont été transmis aux mairies ainsi que 255 cartes, soit en moyenne entre 18 et 21 cartes par ville. L’UAT et les Directions Départementales Nord, Artibonite, Ouest et Sud-Est du MPCE sont également dépositaires de ces documents.</w:t>
      </w:r>
    </w:p>
    <w:p w:rsidR="00340AA4" w:rsidRPr="00340AA4" w:rsidRDefault="00340AA4" w:rsidP="00340AA4">
      <w:pPr>
        <w:jc w:val="both"/>
        <w:rPr>
          <w:lang w:val="fr-FR"/>
        </w:rPr>
      </w:pPr>
    </w:p>
    <w:p w:rsidR="00340AA4" w:rsidRPr="00340AA4" w:rsidRDefault="00340AA4" w:rsidP="00340AA4">
      <w:pPr>
        <w:jc w:val="both"/>
        <w:rPr>
          <w:lang w:val="fr-FR"/>
        </w:rPr>
      </w:pPr>
      <w:r w:rsidRPr="00340AA4">
        <w:rPr>
          <w:lang w:val="fr-FR"/>
        </w:rPr>
        <w:t>La version finale de l’étude sur les principes réglementaires et les outils opérationnels définis dans la législation haïtienne sur la planification et la gestion du développement urbain a été soumise au MPCE pour validation  Une étude sur le cadre de la planification décentralisée a aussi été soumise.</w:t>
      </w:r>
    </w:p>
    <w:p w:rsidR="00340AA4" w:rsidRPr="00340AA4" w:rsidRDefault="00340AA4" w:rsidP="00340AA4">
      <w:pPr>
        <w:jc w:val="both"/>
        <w:rPr>
          <w:lang w:val="fr-FR"/>
        </w:rPr>
      </w:pPr>
    </w:p>
    <w:p w:rsidR="00340AA4" w:rsidRPr="00340AA4" w:rsidRDefault="00340AA4" w:rsidP="00340AA4">
      <w:pPr>
        <w:jc w:val="both"/>
        <w:rPr>
          <w:color w:val="FF0000"/>
          <w:lang w:val="fr-FR"/>
        </w:rPr>
      </w:pPr>
      <w:r w:rsidRPr="00340AA4">
        <w:rPr>
          <w:lang w:val="fr-FR"/>
        </w:rPr>
        <w:t xml:space="preserve">L‘impression de la version finale du rapport de synthèse de l’ensemble des études de </w:t>
      </w:r>
      <w:proofErr w:type="spellStart"/>
      <w:r w:rsidRPr="00340AA4">
        <w:rPr>
          <w:lang w:val="fr-FR"/>
        </w:rPr>
        <w:t>microzonage</w:t>
      </w:r>
      <w:proofErr w:type="spellEnd"/>
      <w:r w:rsidRPr="00340AA4">
        <w:rPr>
          <w:lang w:val="fr-FR"/>
        </w:rPr>
        <w:t xml:space="preserve"> sismique réalisées pour l’agglomération de Port-au-Prince est en cours et un atelier de présentation est en préparation. </w:t>
      </w:r>
      <w:r w:rsidRPr="00340AA4">
        <w:rPr>
          <w:color w:val="FF0000"/>
          <w:lang w:val="fr-FR"/>
        </w:rPr>
        <w:t xml:space="preserve"> </w:t>
      </w:r>
    </w:p>
    <w:p w:rsidR="00340AA4" w:rsidRPr="0049733B" w:rsidRDefault="00340AA4" w:rsidP="00AC6617">
      <w:pPr>
        <w:jc w:val="both"/>
        <w:rPr>
          <w:lang w:val="fr-FR"/>
        </w:rPr>
      </w:pPr>
    </w:p>
    <w:p w:rsidR="00340AA4" w:rsidRDefault="00AC6617" w:rsidP="00AC6617">
      <w:pPr>
        <w:jc w:val="both"/>
        <w:rPr>
          <w:b/>
          <w:lang w:val="fr-FR"/>
        </w:rPr>
      </w:pPr>
      <w:r w:rsidRPr="0049733B">
        <w:rPr>
          <w:b/>
          <w:lang w:val="fr-FR"/>
        </w:rPr>
        <w:t>Ren</w:t>
      </w:r>
      <w:r w:rsidR="004C14C0">
        <w:rPr>
          <w:b/>
          <w:lang w:val="fr-FR"/>
        </w:rPr>
        <w:t>forcement des capacités du MPCE :</w:t>
      </w:r>
    </w:p>
    <w:p w:rsidR="00340AA4" w:rsidRDefault="00340AA4" w:rsidP="00AC6617">
      <w:pPr>
        <w:jc w:val="both"/>
        <w:rPr>
          <w:b/>
          <w:lang w:val="fr-FR"/>
        </w:rPr>
      </w:pPr>
    </w:p>
    <w:p w:rsidR="00340AA4" w:rsidRPr="00340AA4" w:rsidRDefault="00340AA4" w:rsidP="00340AA4">
      <w:pPr>
        <w:jc w:val="both"/>
        <w:rPr>
          <w:lang w:val="fr-FR"/>
        </w:rPr>
      </w:pPr>
      <w:r w:rsidRPr="00340AA4">
        <w:rPr>
          <w:lang w:val="fr-FR"/>
        </w:rPr>
        <w:t>La Cellule Technique de la Direction Générale du MPCE a poursuivi ses activités d’appui à l‘Unité d’Aménagement du Territoire. La cellule a appuyé le suivi des études réalisées par des consultants externes ainsi que la préparation des ateliers de restitution des esquisses de plans d’urbanisme dans les départements de l’Artibonite, du Nord et du Sud du pays.</w:t>
      </w:r>
    </w:p>
    <w:p w:rsidR="00340AA4" w:rsidRPr="00340AA4" w:rsidRDefault="00340AA4" w:rsidP="00340AA4">
      <w:pPr>
        <w:jc w:val="both"/>
        <w:rPr>
          <w:rStyle w:val="normal0020tablechar"/>
          <w:lang w:val="fr-FR"/>
        </w:rPr>
      </w:pPr>
    </w:p>
    <w:p w:rsidR="00340AA4" w:rsidRPr="00340AA4" w:rsidRDefault="00340AA4" w:rsidP="00340AA4">
      <w:pPr>
        <w:jc w:val="both"/>
        <w:rPr>
          <w:rStyle w:val="normal0020tablechar"/>
          <w:lang w:val="fr-FR"/>
        </w:rPr>
      </w:pPr>
      <w:r w:rsidRPr="00340AA4">
        <w:rPr>
          <w:rStyle w:val="normal0020tablechar"/>
          <w:lang w:val="fr-FR"/>
        </w:rPr>
        <w:t>Le rôle du MPCE dans l’appropriation du processus de reconstruction et de coordination des initiatives de planification a été renforcé à travers l’UAT qui, en plus d’assurer de plus en plus la représentation du ministère dans les réunions et activités concernant les domaines de l’aménagement du territoire et du développement urbain, a pris en charge l’organisation des ateliers de restitution des esquisses de plans d’urbanisme de même que la supervision et le suivi des études.</w:t>
      </w:r>
    </w:p>
    <w:p w:rsidR="00340AA4" w:rsidRPr="00340AA4" w:rsidRDefault="00340AA4" w:rsidP="00340AA4">
      <w:pPr>
        <w:pStyle w:val="normal0020table1"/>
        <w:jc w:val="both"/>
        <w:rPr>
          <w:b/>
          <w:u w:val="single"/>
          <w:lang w:val="fr-FR"/>
        </w:rPr>
      </w:pPr>
    </w:p>
    <w:p w:rsidR="00340AA4" w:rsidRPr="00340AA4" w:rsidRDefault="00340AA4" w:rsidP="00340AA4">
      <w:pPr>
        <w:jc w:val="both"/>
        <w:rPr>
          <w:lang w:val="fr-FR"/>
        </w:rPr>
      </w:pPr>
      <w:r w:rsidRPr="00340AA4">
        <w:rPr>
          <w:lang w:val="fr-FR"/>
        </w:rPr>
        <w:t>Divers matériels et équipements informatiques (7 tablettes, logiciels, matériel et fournitures, 1 imprimante) ont été  remis à l’UAT en vue d’améliorer ses capacités techniques</w:t>
      </w:r>
    </w:p>
    <w:p w:rsidR="00340AA4" w:rsidRDefault="00340AA4" w:rsidP="00340AA4">
      <w:pPr>
        <w:tabs>
          <w:tab w:val="left" w:pos="1792"/>
        </w:tabs>
        <w:jc w:val="both"/>
        <w:rPr>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Produits</w:t>
      </w:r>
    </w:p>
    <w:p w:rsidR="00340AA4" w:rsidRDefault="00340AA4" w:rsidP="00340AA4">
      <w:pPr>
        <w:spacing w:line="276" w:lineRule="auto"/>
        <w:ind w:left="450"/>
        <w:jc w:val="both"/>
        <w:rPr>
          <w:color w:val="FF0000"/>
          <w:lang w:val="fr-FR"/>
        </w:rPr>
      </w:pPr>
    </w:p>
    <w:p w:rsidR="00340AA4" w:rsidRPr="00340AA4" w:rsidRDefault="00340AA4" w:rsidP="005E71B6">
      <w:pPr>
        <w:numPr>
          <w:ilvl w:val="0"/>
          <w:numId w:val="47"/>
        </w:numPr>
        <w:ind w:left="448" w:hanging="448"/>
        <w:jc w:val="both"/>
        <w:rPr>
          <w:lang w:val="fr-FR"/>
        </w:rPr>
      </w:pPr>
      <w:r w:rsidRPr="00340AA4">
        <w:rPr>
          <w:lang w:val="fr-FR"/>
        </w:rPr>
        <w:t xml:space="preserve">Rapport final de synthèse des études de </w:t>
      </w:r>
      <w:proofErr w:type="spellStart"/>
      <w:r w:rsidRPr="00340AA4">
        <w:rPr>
          <w:lang w:val="fr-FR"/>
        </w:rPr>
        <w:t>microzonage</w:t>
      </w:r>
      <w:proofErr w:type="spellEnd"/>
      <w:r w:rsidRPr="00340AA4">
        <w:rPr>
          <w:lang w:val="fr-FR"/>
        </w:rPr>
        <w:t xml:space="preserve"> de l’agglomération de Port-au-Prince ;</w:t>
      </w:r>
    </w:p>
    <w:p w:rsidR="00340AA4" w:rsidRPr="00340AA4" w:rsidRDefault="00340AA4" w:rsidP="005E71B6">
      <w:pPr>
        <w:numPr>
          <w:ilvl w:val="0"/>
          <w:numId w:val="47"/>
        </w:numPr>
        <w:ind w:left="448" w:hanging="448"/>
        <w:jc w:val="both"/>
        <w:rPr>
          <w:lang w:val="fr-FR"/>
        </w:rPr>
      </w:pPr>
      <w:r w:rsidRPr="00340AA4">
        <w:rPr>
          <w:lang w:val="fr-FR"/>
        </w:rPr>
        <w:t>Capacités de l’Unité d’Aménagement du Territoire du Ministère de la Planification renforcées.</w:t>
      </w:r>
    </w:p>
    <w:p w:rsidR="00340AA4" w:rsidRPr="00340AA4" w:rsidRDefault="005E71B6" w:rsidP="005E71B6">
      <w:pPr>
        <w:numPr>
          <w:ilvl w:val="0"/>
          <w:numId w:val="47"/>
        </w:numPr>
        <w:ind w:left="448" w:hanging="448"/>
        <w:jc w:val="both"/>
        <w:rPr>
          <w:lang w:val="fr-FR"/>
        </w:rPr>
      </w:pPr>
      <w:r>
        <w:rPr>
          <w:lang w:val="fr-FR"/>
        </w:rPr>
        <w:t>Etude sur le cadre de la p</w:t>
      </w:r>
      <w:r w:rsidR="00340AA4" w:rsidRPr="00340AA4">
        <w:rPr>
          <w:lang w:val="fr-FR"/>
        </w:rPr>
        <w:t>lanification décentralisée</w:t>
      </w:r>
    </w:p>
    <w:p w:rsidR="00340AA4" w:rsidRPr="00340AA4" w:rsidRDefault="00340AA4" w:rsidP="005E71B6">
      <w:pPr>
        <w:numPr>
          <w:ilvl w:val="0"/>
          <w:numId w:val="47"/>
        </w:numPr>
        <w:ind w:left="448" w:hanging="448"/>
        <w:jc w:val="both"/>
        <w:rPr>
          <w:lang w:val="fr-FR"/>
        </w:rPr>
      </w:pPr>
      <w:r w:rsidRPr="00340AA4">
        <w:rPr>
          <w:lang w:val="fr-FR"/>
        </w:rPr>
        <w:t>Etude sur les principes réglementaires et les outils opérationnels définis dans la législation haïtienne sur le développement urbain</w:t>
      </w:r>
    </w:p>
    <w:p w:rsidR="00340AA4" w:rsidRPr="00340AA4" w:rsidRDefault="00340AA4" w:rsidP="005E71B6">
      <w:pPr>
        <w:numPr>
          <w:ilvl w:val="0"/>
          <w:numId w:val="47"/>
        </w:numPr>
        <w:ind w:left="448" w:hanging="448"/>
        <w:jc w:val="both"/>
        <w:rPr>
          <w:lang w:val="fr-FR"/>
        </w:rPr>
      </w:pPr>
      <w:r w:rsidRPr="00340AA4">
        <w:rPr>
          <w:lang w:val="fr-FR"/>
        </w:rPr>
        <w:t>130 exemplaires d’esquisses de plans d’urbanisme et 255 cartes.</w:t>
      </w:r>
    </w:p>
    <w:p w:rsidR="00892A21" w:rsidRDefault="00892A21" w:rsidP="00635359">
      <w:pPr>
        <w:pStyle w:val="BodyText"/>
        <w:tabs>
          <w:tab w:val="left" w:pos="0"/>
        </w:tabs>
        <w:jc w:val="both"/>
        <w:rPr>
          <w:rFonts w:ascii="Times New Roman" w:hAnsi="Times New Roman" w:cs="Times New Roman"/>
          <w:b/>
          <w:bCs/>
          <w:sz w:val="24"/>
          <w:szCs w:val="24"/>
          <w:lang w:val="fr-FR"/>
        </w:rPr>
      </w:pPr>
    </w:p>
    <w:p w:rsidR="00635359" w:rsidRPr="00121E4E" w:rsidRDefault="00635359" w:rsidP="00635359">
      <w:pPr>
        <w:pStyle w:val="BodyText"/>
        <w:tabs>
          <w:tab w:val="left" w:pos="0"/>
        </w:tabs>
        <w:jc w:val="both"/>
        <w:rPr>
          <w:rFonts w:ascii="Times New Roman" w:hAnsi="Times New Roman" w:cs="Times New Roman"/>
          <w:b/>
          <w:bCs/>
          <w:sz w:val="24"/>
          <w:szCs w:val="24"/>
          <w:lang w:val="fr-FR"/>
        </w:rPr>
      </w:pPr>
      <w:r w:rsidRPr="00121E4E">
        <w:rPr>
          <w:rFonts w:ascii="Times New Roman" w:hAnsi="Times New Roman" w:cs="Times New Roman"/>
          <w:b/>
          <w:bCs/>
          <w:sz w:val="24"/>
          <w:szCs w:val="24"/>
          <w:lang w:val="fr-FR"/>
        </w:rPr>
        <w:t>Retards, défis, leçons apprises et meilleures pratiques</w:t>
      </w:r>
    </w:p>
    <w:p w:rsidR="00892A21" w:rsidRDefault="00892A21" w:rsidP="00635359">
      <w:pPr>
        <w:pStyle w:val="BodyText"/>
        <w:tabs>
          <w:tab w:val="left" w:pos="0"/>
        </w:tabs>
        <w:jc w:val="both"/>
        <w:rPr>
          <w:rFonts w:ascii="Times New Roman" w:hAnsi="Times New Roman" w:cs="Times New Roman"/>
          <w:b/>
          <w:bCs/>
          <w:color w:val="FF0000"/>
          <w:sz w:val="24"/>
          <w:szCs w:val="24"/>
          <w:lang w:val="fr-FR"/>
        </w:rPr>
      </w:pPr>
    </w:p>
    <w:p w:rsidR="00705297" w:rsidRPr="00705297" w:rsidRDefault="00705297" w:rsidP="00705297">
      <w:pPr>
        <w:numPr>
          <w:ilvl w:val="0"/>
          <w:numId w:val="53"/>
        </w:numPr>
        <w:ind w:left="360"/>
        <w:jc w:val="both"/>
        <w:rPr>
          <w:lang w:val="fr-FR"/>
        </w:rPr>
      </w:pPr>
      <w:r w:rsidRPr="00705297">
        <w:rPr>
          <w:lang w:val="fr-FR"/>
        </w:rPr>
        <w:t>Le retard dans la distribution des documents de planification prévus dans le Programme a entravé leur articulation avec les activités des composantes 2 et 3.</w:t>
      </w:r>
    </w:p>
    <w:p w:rsidR="00705297" w:rsidRPr="00705297" w:rsidRDefault="00705297" w:rsidP="00705297">
      <w:pPr>
        <w:numPr>
          <w:ilvl w:val="0"/>
          <w:numId w:val="53"/>
        </w:numPr>
        <w:ind w:left="360"/>
        <w:jc w:val="both"/>
        <w:rPr>
          <w:lang w:val="fr-FR"/>
        </w:rPr>
      </w:pPr>
      <w:r w:rsidRPr="00705297">
        <w:rPr>
          <w:lang w:val="fr-FR"/>
        </w:rPr>
        <w:t>La poursuite de la mise en œuvre du processus participatif ne sera cependant que difficilement assurée sans un effort important de mobilisation de ressources.</w:t>
      </w:r>
    </w:p>
    <w:p w:rsidR="00705297" w:rsidRPr="00705297" w:rsidRDefault="00705297" w:rsidP="00705297">
      <w:pPr>
        <w:numPr>
          <w:ilvl w:val="0"/>
          <w:numId w:val="53"/>
        </w:numPr>
        <w:ind w:left="360"/>
        <w:jc w:val="both"/>
        <w:rPr>
          <w:lang w:val="fr-FR"/>
        </w:rPr>
      </w:pPr>
      <w:r w:rsidRPr="00705297">
        <w:rPr>
          <w:lang w:val="fr-FR"/>
        </w:rPr>
        <w:t xml:space="preserve">Le manque d’implication de la mairie des Cayes et les conditions de sécurité au niveau de l’axe des Palmes et de Jacmel ont empêché le déroulement des ateliers de restitution dans les villes concernées. </w:t>
      </w:r>
    </w:p>
    <w:p w:rsidR="00705297" w:rsidRPr="00705297" w:rsidRDefault="00705297" w:rsidP="00705297">
      <w:pPr>
        <w:numPr>
          <w:ilvl w:val="0"/>
          <w:numId w:val="53"/>
        </w:numPr>
        <w:ind w:left="360"/>
        <w:jc w:val="both"/>
        <w:rPr>
          <w:lang w:val="fr-FR"/>
        </w:rPr>
      </w:pPr>
      <w:r w:rsidRPr="00705297">
        <w:rPr>
          <w:lang w:val="fr-FR"/>
        </w:rPr>
        <w:t xml:space="preserve">Les processus de planification participative doivent être accompagnés de la mise à disposition de ressources pour la mise en œuvre de certaines des actions jugées prioritaires. </w:t>
      </w:r>
    </w:p>
    <w:p w:rsidR="00705297" w:rsidRPr="00705297" w:rsidRDefault="00705297" w:rsidP="00705297">
      <w:pPr>
        <w:numPr>
          <w:ilvl w:val="0"/>
          <w:numId w:val="53"/>
        </w:numPr>
        <w:ind w:left="360"/>
        <w:jc w:val="both"/>
        <w:rPr>
          <w:lang w:val="fr-FR"/>
        </w:rPr>
      </w:pPr>
      <w:r w:rsidRPr="00705297">
        <w:rPr>
          <w:lang w:val="fr-FR"/>
        </w:rPr>
        <w:lastRenderedPageBreak/>
        <w:t>Le renforcement des capacités, tant du MPCE que des collectivités territoriales est indispensable à la poursuite des initiatives de planification participative.</w:t>
      </w:r>
    </w:p>
    <w:p w:rsidR="00705297" w:rsidRDefault="00705297" w:rsidP="00705297">
      <w:pPr>
        <w:jc w:val="both"/>
        <w:rPr>
          <w:lang w:val="fr-FR"/>
        </w:rPr>
      </w:pPr>
    </w:p>
    <w:p w:rsidR="00892A21" w:rsidRDefault="00892A21" w:rsidP="00635359">
      <w:pPr>
        <w:pStyle w:val="BodyText"/>
        <w:tabs>
          <w:tab w:val="left" w:pos="0"/>
        </w:tabs>
        <w:jc w:val="both"/>
        <w:rPr>
          <w:rFonts w:ascii="Times New Roman" w:hAnsi="Times New Roman" w:cs="Times New Roman"/>
          <w:b/>
          <w:bCs/>
          <w:sz w:val="24"/>
          <w:szCs w:val="24"/>
          <w:lang w:val="fr-FR"/>
        </w:rPr>
      </w:pPr>
    </w:p>
    <w:p w:rsidR="00760D2B" w:rsidRPr="007D2DAA" w:rsidRDefault="00760D2B" w:rsidP="00760D2B">
      <w:pPr>
        <w:pStyle w:val="BodyText"/>
        <w:tabs>
          <w:tab w:val="left" w:pos="360"/>
        </w:tabs>
        <w:jc w:val="both"/>
        <w:rPr>
          <w:rFonts w:ascii="Times New Roman" w:hAnsi="Times New Roman" w:cs="Times New Roman"/>
          <w:b/>
          <w:bCs/>
          <w:sz w:val="24"/>
          <w:szCs w:val="24"/>
          <w:lang w:val="fr-FR"/>
        </w:rPr>
      </w:pPr>
      <w:r w:rsidRPr="007D2DAA">
        <w:rPr>
          <w:rFonts w:ascii="Times New Roman" w:hAnsi="Times New Roman" w:cs="Times New Roman"/>
          <w:b/>
          <w:bCs/>
          <w:sz w:val="24"/>
          <w:szCs w:val="24"/>
          <w:lang w:val="fr-FR"/>
        </w:rPr>
        <w:t>Évaluation qualitative</w:t>
      </w:r>
    </w:p>
    <w:p w:rsidR="00481613" w:rsidRDefault="00481613" w:rsidP="00760D2B">
      <w:pPr>
        <w:pStyle w:val="BodyText"/>
        <w:tabs>
          <w:tab w:val="left" w:pos="360"/>
        </w:tabs>
        <w:jc w:val="both"/>
        <w:rPr>
          <w:rFonts w:ascii="Times New Roman" w:hAnsi="Times New Roman" w:cs="Times New Roman"/>
          <w:b/>
          <w:bCs/>
          <w:color w:val="FF0000"/>
          <w:sz w:val="24"/>
          <w:szCs w:val="24"/>
          <w:lang w:val="fr-FR"/>
        </w:rPr>
      </w:pPr>
    </w:p>
    <w:p w:rsidR="006676CF" w:rsidRDefault="00D17920" w:rsidP="006676CF">
      <w:pPr>
        <w:pStyle w:val="BodyText"/>
        <w:jc w:val="both"/>
        <w:rPr>
          <w:rFonts w:ascii="Times New Roman" w:hAnsi="Times New Roman"/>
          <w:bCs/>
          <w:sz w:val="24"/>
          <w:lang w:val="fr-FR"/>
        </w:rPr>
      </w:pPr>
      <w:r>
        <w:rPr>
          <w:rFonts w:ascii="Times New Roman" w:hAnsi="Times New Roman"/>
          <w:bCs/>
          <w:sz w:val="24"/>
          <w:lang w:val="fr-FR"/>
        </w:rPr>
        <w:t>A quatre mois de la finalisation du Programme, la plus part des produits</w:t>
      </w:r>
      <w:r w:rsidR="00452527">
        <w:rPr>
          <w:rFonts w:ascii="Times New Roman" w:hAnsi="Times New Roman"/>
          <w:bCs/>
          <w:sz w:val="24"/>
          <w:lang w:val="fr-FR"/>
        </w:rPr>
        <w:t xml:space="preserve"> prévus</w:t>
      </w:r>
      <w:r w:rsidR="002B7B1F">
        <w:rPr>
          <w:rFonts w:ascii="Times New Roman" w:hAnsi="Times New Roman"/>
          <w:bCs/>
          <w:sz w:val="24"/>
          <w:lang w:val="fr-FR"/>
        </w:rPr>
        <w:t>, c</w:t>
      </w:r>
      <w:r>
        <w:rPr>
          <w:rFonts w:ascii="Times New Roman" w:hAnsi="Times New Roman"/>
          <w:bCs/>
          <w:sz w:val="24"/>
          <w:lang w:val="fr-FR"/>
        </w:rPr>
        <w:t xml:space="preserve">es outils d’aide à la décision, </w:t>
      </w:r>
      <w:r w:rsidR="00452527">
        <w:rPr>
          <w:rFonts w:ascii="Times New Roman" w:hAnsi="Times New Roman"/>
          <w:bCs/>
          <w:sz w:val="24"/>
          <w:lang w:val="fr-FR"/>
        </w:rPr>
        <w:t>ont été réalisés et leur opérationnalisation et articulation est bien entamé afin de permettre l’</w:t>
      </w:r>
      <w:r>
        <w:rPr>
          <w:rFonts w:ascii="Times New Roman" w:hAnsi="Times New Roman"/>
          <w:bCs/>
          <w:sz w:val="24"/>
          <w:lang w:val="fr-FR"/>
        </w:rPr>
        <w:t>atteint</w:t>
      </w:r>
      <w:r w:rsidR="00452527">
        <w:rPr>
          <w:rFonts w:ascii="Times New Roman" w:hAnsi="Times New Roman"/>
          <w:bCs/>
          <w:sz w:val="24"/>
          <w:lang w:val="fr-FR"/>
        </w:rPr>
        <w:t xml:space="preserve">e de ses résultats et objectifs. Si bien, ils n’ont pas été en mesure de répondre </w:t>
      </w:r>
      <w:r w:rsidR="006208F0">
        <w:rPr>
          <w:rFonts w:ascii="Times New Roman" w:hAnsi="Times New Roman"/>
          <w:bCs/>
          <w:sz w:val="24"/>
          <w:lang w:val="fr-FR"/>
        </w:rPr>
        <w:t xml:space="preserve">entièrement et </w:t>
      </w:r>
      <w:r w:rsidR="00452527">
        <w:rPr>
          <w:rFonts w:ascii="Times New Roman" w:hAnsi="Times New Roman"/>
          <w:bCs/>
          <w:sz w:val="24"/>
          <w:lang w:val="fr-FR"/>
        </w:rPr>
        <w:t>à temps aux besoins de la reconstruction, qui d’ailleurs a été dépourvue d’une véritable coordination, le Programme a su s’adapter à la transition vers une phase progressivement plus orientée vers le développement</w:t>
      </w:r>
      <w:r w:rsidR="006208F0">
        <w:rPr>
          <w:rFonts w:ascii="Times New Roman" w:hAnsi="Times New Roman"/>
          <w:bCs/>
          <w:sz w:val="24"/>
          <w:lang w:val="fr-FR"/>
        </w:rPr>
        <w:t xml:space="preserve"> et recentrer ses appuis vers le renforcement de capacités </w:t>
      </w:r>
      <w:r w:rsidR="00EB3C38">
        <w:rPr>
          <w:rFonts w:ascii="Times New Roman" w:hAnsi="Times New Roman"/>
          <w:bCs/>
          <w:sz w:val="24"/>
          <w:lang w:val="fr-FR"/>
        </w:rPr>
        <w:t xml:space="preserve">de gestion urbaine et territoriale, finalement les </w:t>
      </w:r>
      <w:r w:rsidR="00484320">
        <w:rPr>
          <w:rFonts w:ascii="Times New Roman" w:hAnsi="Times New Roman"/>
          <w:bCs/>
          <w:sz w:val="24"/>
          <w:lang w:val="fr-FR"/>
        </w:rPr>
        <w:t xml:space="preserve">véritables </w:t>
      </w:r>
      <w:r w:rsidR="006208F0">
        <w:rPr>
          <w:rFonts w:ascii="Times New Roman" w:hAnsi="Times New Roman"/>
          <w:bCs/>
          <w:sz w:val="24"/>
          <w:lang w:val="fr-FR"/>
        </w:rPr>
        <w:t xml:space="preserve">questions structurales derrière </w:t>
      </w:r>
      <w:r w:rsidR="00EB3C38">
        <w:rPr>
          <w:rFonts w:ascii="Times New Roman" w:hAnsi="Times New Roman"/>
          <w:bCs/>
          <w:sz w:val="24"/>
          <w:lang w:val="fr-FR"/>
        </w:rPr>
        <w:t>ses objectifs.</w:t>
      </w:r>
      <w:r w:rsidR="003E5EC6">
        <w:rPr>
          <w:rFonts w:ascii="Times New Roman" w:hAnsi="Times New Roman"/>
          <w:bCs/>
          <w:sz w:val="24"/>
          <w:lang w:val="fr-FR"/>
        </w:rPr>
        <w:t xml:space="preserve"> Le Programme a réussi à garder la cohérence de ses propositions dans ce nouveau contexte et </w:t>
      </w:r>
      <w:r w:rsidR="00641AFE">
        <w:rPr>
          <w:rFonts w:ascii="Times New Roman" w:hAnsi="Times New Roman"/>
          <w:bCs/>
          <w:sz w:val="24"/>
          <w:lang w:val="fr-FR"/>
        </w:rPr>
        <w:t>à</w:t>
      </w:r>
      <w:r w:rsidR="003E5EC6">
        <w:rPr>
          <w:rFonts w:ascii="Times New Roman" w:hAnsi="Times New Roman"/>
          <w:bCs/>
          <w:sz w:val="24"/>
          <w:lang w:val="fr-FR"/>
        </w:rPr>
        <w:t xml:space="preserve"> </w:t>
      </w:r>
      <w:r w:rsidR="00641AFE">
        <w:rPr>
          <w:rFonts w:ascii="Times New Roman" w:hAnsi="Times New Roman"/>
          <w:bCs/>
          <w:sz w:val="24"/>
          <w:lang w:val="fr-FR"/>
        </w:rPr>
        <w:t>explorer</w:t>
      </w:r>
      <w:r w:rsidR="003E5EC6">
        <w:rPr>
          <w:rFonts w:ascii="Times New Roman" w:hAnsi="Times New Roman"/>
          <w:bCs/>
          <w:sz w:val="24"/>
          <w:lang w:val="fr-FR"/>
        </w:rPr>
        <w:t xml:space="preserve"> les dispositions à prendre pour assurer une gestion effective des territoire</w:t>
      </w:r>
      <w:r w:rsidR="002B7B1F">
        <w:rPr>
          <w:rFonts w:ascii="Times New Roman" w:hAnsi="Times New Roman"/>
          <w:bCs/>
          <w:sz w:val="24"/>
          <w:lang w:val="fr-FR"/>
        </w:rPr>
        <w:t>s</w:t>
      </w:r>
      <w:r w:rsidR="006676CF">
        <w:rPr>
          <w:rFonts w:ascii="Times New Roman" w:hAnsi="Times New Roman"/>
          <w:bCs/>
          <w:sz w:val="24"/>
          <w:lang w:val="fr-FR"/>
        </w:rPr>
        <w:t xml:space="preserve"> au point de rendre pertinent la continuation de ses activités et son élargissement à d’autres zones du pays.</w:t>
      </w:r>
    </w:p>
    <w:p w:rsidR="003E5EC6" w:rsidRDefault="003E5EC6" w:rsidP="003E5EC6">
      <w:pPr>
        <w:pStyle w:val="BodyText"/>
        <w:jc w:val="both"/>
        <w:rPr>
          <w:rFonts w:ascii="Times New Roman" w:hAnsi="Times New Roman"/>
          <w:bCs/>
          <w:sz w:val="24"/>
          <w:lang w:val="fr-FR"/>
        </w:rPr>
      </w:pPr>
    </w:p>
    <w:p w:rsidR="00484553" w:rsidRDefault="00546C84" w:rsidP="002B7B1F">
      <w:pPr>
        <w:pStyle w:val="BodyText"/>
        <w:jc w:val="both"/>
        <w:rPr>
          <w:rFonts w:ascii="Times New Roman" w:hAnsi="Times New Roman"/>
          <w:bCs/>
          <w:sz w:val="24"/>
          <w:lang w:val="fr-FR"/>
        </w:rPr>
      </w:pPr>
      <w:r>
        <w:rPr>
          <w:rFonts w:ascii="Times New Roman" w:hAnsi="Times New Roman"/>
          <w:bCs/>
          <w:sz w:val="24"/>
          <w:lang w:val="fr-FR"/>
        </w:rPr>
        <w:t>Ceci dit</w:t>
      </w:r>
      <w:r w:rsidR="00484553">
        <w:rPr>
          <w:rFonts w:ascii="Times New Roman" w:hAnsi="Times New Roman"/>
          <w:bCs/>
          <w:sz w:val="24"/>
          <w:lang w:val="fr-FR"/>
        </w:rPr>
        <w:t>,</w:t>
      </w:r>
      <w:r>
        <w:rPr>
          <w:rFonts w:ascii="Times New Roman" w:hAnsi="Times New Roman"/>
          <w:bCs/>
          <w:sz w:val="24"/>
          <w:lang w:val="fr-FR"/>
        </w:rPr>
        <w:t xml:space="preserve"> l</w:t>
      </w:r>
      <w:r w:rsidR="002B7B1F">
        <w:rPr>
          <w:rFonts w:ascii="Times New Roman" w:hAnsi="Times New Roman"/>
          <w:bCs/>
          <w:sz w:val="24"/>
          <w:lang w:val="fr-FR"/>
        </w:rPr>
        <w:t xml:space="preserve">e Programme a encore besoin d’assurer la totale opérationnalisation de ses produits et la pérennisation des mécanismes </w:t>
      </w:r>
      <w:proofErr w:type="gramStart"/>
      <w:r w:rsidR="006676CF">
        <w:rPr>
          <w:rFonts w:ascii="Times New Roman" w:hAnsi="Times New Roman"/>
          <w:bCs/>
          <w:sz w:val="24"/>
          <w:lang w:val="fr-FR"/>
        </w:rPr>
        <w:t>crées</w:t>
      </w:r>
      <w:proofErr w:type="gramEnd"/>
      <w:r w:rsidR="002B7B1F">
        <w:rPr>
          <w:rFonts w:ascii="Times New Roman" w:hAnsi="Times New Roman"/>
          <w:bCs/>
          <w:sz w:val="24"/>
          <w:lang w:val="fr-FR"/>
        </w:rPr>
        <w:t xml:space="preserve"> par leur encrage institutionnel et </w:t>
      </w:r>
      <w:r w:rsidR="00484320">
        <w:rPr>
          <w:rFonts w:ascii="Times New Roman" w:hAnsi="Times New Roman"/>
          <w:bCs/>
          <w:sz w:val="24"/>
          <w:lang w:val="fr-FR"/>
        </w:rPr>
        <w:t xml:space="preserve">la continuité de leur </w:t>
      </w:r>
      <w:r w:rsidR="002B7B1F">
        <w:rPr>
          <w:rFonts w:ascii="Times New Roman" w:hAnsi="Times New Roman"/>
          <w:bCs/>
          <w:sz w:val="24"/>
          <w:lang w:val="fr-FR"/>
        </w:rPr>
        <w:t xml:space="preserve">financement. </w:t>
      </w:r>
      <w:r w:rsidR="00484553">
        <w:rPr>
          <w:rFonts w:ascii="Times New Roman" w:hAnsi="Times New Roman"/>
          <w:bCs/>
          <w:sz w:val="24"/>
          <w:lang w:val="fr-FR"/>
        </w:rPr>
        <w:t xml:space="preserve">Les actions de communication pour faire connaitre les produits du Programme mais aussi l’ensemble des </w:t>
      </w:r>
      <w:r w:rsidR="00D6628E">
        <w:rPr>
          <w:rFonts w:ascii="Times New Roman" w:hAnsi="Times New Roman"/>
          <w:bCs/>
          <w:sz w:val="24"/>
          <w:lang w:val="fr-FR"/>
        </w:rPr>
        <w:t>dispositifs</w:t>
      </w:r>
      <w:r w:rsidR="00484553">
        <w:rPr>
          <w:rFonts w:ascii="Times New Roman" w:hAnsi="Times New Roman"/>
          <w:bCs/>
          <w:sz w:val="24"/>
          <w:lang w:val="fr-FR"/>
        </w:rPr>
        <w:t xml:space="preserve"> d’articulation </w:t>
      </w:r>
      <w:r w:rsidR="00D6628E">
        <w:rPr>
          <w:rFonts w:ascii="Times New Roman" w:hAnsi="Times New Roman"/>
          <w:bCs/>
          <w:sz w:val="24"/>
          <w:lang w:val="fr-FR"/>
        </w:rPr>
        <w:t xml:space="preserve">interinstitutionnelle développés doivent aussi être renforcés. </w:t>
      </w:r>
      <w:r w:rsidR="00484553">
        <w:rPr>
          <w:rFonts w:ascii="Times New Roman" w:hAnsi="Times New Roman"/>
          <w:bCs/>
          <w:sz w:val="24"/>
          <w:lang w:val="fr-FR"/>
        </w:rPr>
        <w:t xml:space="preserve"> </w:t>
      </w:r>
    </w:p>
    <w:p w:rsidR="00484553" w:rsidRDefault="00484553" w:rsidP="002B7B1F">
      <w:pPr>
        <w:pStyle w:val="BodyText"/>
        <w:jc w:val="both"/>
        <w:rPr>
          <w:rFonts w:ascii="Times New Roman" w:hAnsi="Times New Roman"/>
          <w:bCs/>
          <w:sz w:val="24"/>
          <w:lang w:val="fr-FR"/>
        </w:rPr>
      </w:pPr>
    </w:p>
    <w:p w:rsidR="006676CF" w:rsidRDefault="006676CF" w:rsidP="002B7B1F">
      <w:pPr>
        <w:pStyle w:val="BodyText"/>
        <w:jc w:val="both"/>
        <w:rPr>
          <w:rFonts w:ascii="Times New Roman" w:hAnsi="Times New Roman"/>
          <w:bCs/>
          <w:sz w:val="24"/>
          <w:lang w:val="fr-FR"/>
        </w:rPr>
      </w:pPr>
      <w:r>
        <w:rPr>
          <w:rFonts w:ascii="Times New Roman" w:hAnsi="Times New Roman"/>
          <w:bCs/>
          <w:sz w:val="24"/>
          <w:lang w:val="fr-FR"/>
        </w:rPr>
        <w:t xml:space="preserve">Le SILQ a encore besoin </w:t>
      </w:r>
      <w:r w:rsidR="00B81FB3">
        <w:rPr>
          <w:rFonts w:ascii="Times New Roman" w:hAnsi="Times New Roman"/>
          <w:bCs/>
          <w:sz w:val="24"/>
          <w:lang w:val="fr-FR"/>
        </w:rPr>
        <w:t>d’atteindre une masse et une diversité d’information</w:t>
      </w:r>
      <w:r w:rsidR="00484320">
        <w:rPr>
          <w:rFonts w:ascii="Times New Roman" w:hAnsi="Times New Roman"/>
          <w:bCs/>
          <w:sz w:val="24"/>
          <w:lang w:val="fr-FR"/>
        </w:rPr>
        <w:t>s</w:t>
      </w:r>
      <w:r w:rsidR="00B81FB3">
        <w:rPr>
          <w:rFonts w:ascii="Times New Roman" w:hAnsi="Times New Roman"/>
          <w:bCs/>
          <w:sz w:val="24"/>
          <w:lang w:val="fr-FR"/>
        </w:rPr>
        <w:t xml:space="preserve"> suffisante pour devenir l’outil de gestion d’information incontournable </w:t>
      </w:r>
      <w:r w:rsidR="00484320">
        <w:rPr>
          <w:rFonts w:ascii="Times New Roman" w:hAnsi="Times New Roman"/>
          <w:bCs/>
          <w:sz w:val="24"/>
          <w:lang w:val="fr-FR"/>
        </w:rPr>
        <w:t>dans</w:t>
      </w:r>
      <w:r w:rsidR="00B81FB3">
        <w:rPr>
          <w:rFonts w:ascii="Times New Roman" w:hAnsi="Times New Roman"/>
          <w:bCs/>
          <w:sz w:val="24"/>
          <w:lang w:val="fr-FR"/>
        </w:rPr>
        <w:t xml:space="preserve"> l’aménagement urbain au même temps que d’assurer que le format dont on présent ces données répondent exactement aux exigences des opérateurs. Les ATL et les CRC</w:t>
      </w:r>
      <w:r w:rsidR="00484553">
        <w:rPr>
          <w:rFonts w:ascii="Times New Roman" w:hAnsi="Times New Roman"/>
          <w:bCs/>
          <w:sz w:val="24"/>
          <w:lang w:val="fr-FR"/>
        </w:rPr>
        <w:t>, pour sa part,</w:t>
      </w:r>
      <w:r w:rsidR="00B81FB3">
        <w:rPr>
          <w:rFonts w:ascii="Times New Roman" w:hAnsi="Times New Roman"/>
          <w:bCs/>
          <w:sz w:val="24"/>
          <w:lang w:val="fr-FR"/>
        </w:rPr>
        <w:t xml:space="preserve"> ont besoin d’être pérennisés au sein des communes si l’on veut que </w:t>
      </w:r>
      <w:r w:rsidR="00484553">
        <w:rPr>
          <w:rFonts w:ascii="Times New Roman" w:hAnsi="Times New Roman"/>
          <w:bCs/>
          <w:sz w:val="24"/>
          <w:lang w:val="fr-FR"/>
        </w:rPr>
        <w:t xml:space="preserve">les acquis en termes de renforcement de capacités de communes ne disparaissent avec la fin du Programme. Finalement, l´ensemble de dispositifs créés au niveau interinstitutionnel doivent </w:t>
      </w:r>
      <w:r w:rsidR="00940D24">
        <w:rPr>
          <w:rFonts w:ascii="Times New Roman" w:hAnsi="Times New Roman"/>
          <w:bCs/>
          <w:sz w:val="24"/>
          <w:lang w:val="fr-FR"/>
        </w:rPr>
        <w:t xml:space="preserve">également </w:t>
      </w:r>
      <w:r w:rsidR="00484553">
        <w:rPr>
          <w:rFonts w:ascii="Times New Roman" w:hAnsi="Times New Roman"/>
          <w:bCs/>
          <w:sz w:val="24"/>
          <w:lang w:val="fr-FR"/>
        </w:rPr>
        <w:t xml:space="preserve">être </w:t>
      </w:r>
      <w:r w:rsidR="00D6628E">
        <w:rPr>
          <w:rFonts w:ascii="Times New Roman" w:hAnsi="Times New Roman"/>
          <w:bCs/>
          <w:sz w:val="24"/>
          <w:lang w:val="fr-FR"/>
        </w:rPr>
        <w:t xml:space="preserve">consolidés et pérennisés. </w:t>
      </w:r>
    </w:p>
    <w:p w:rsidR="00B81FB3" w:rsidRDefault="00B81FB3" w:rsidP="002B7B1F">
      <w:pPr>
        <w:pStyle w:val="BodyText"/>
        <w:jc w:val="both"/>
        <w:rPr>
          <w:rFonts w:ascii="Times New Roman" w:hAnsi="Times New Roman"/>
          <w:bCs/>
          <w:sz w:val="24"/>
          <w:lang w:val="fr-FR"/>
        </w:rPr>
      </w:pPr>
    </w:p>
    <w:p w:rsidR="006676CF" w:rsidRDefault="006676CF" w:rsidP="002B7B1F">
      <w:pPr>
        <w:pStyle w:val="BodyText"/>
        <w:jc w:val="both"/>
        <w:rPr>
          <w:rFonts w:ascii="Times New Roman" w:hAnsi="Times New Roman"/>
          <w:bCs/>
          <w:sz w:val="24"/>
          <w:lang w:val="fr-FR"/>
        </w:rPr>
      </w:pPr>
    </w:p>
    <w:p w:rsidR="0099080D" w:rsidRDefault="0099080D" w:rsidP="0099080D">
      <w:pPr>
        <w:pStyle w:val="BodyText"/>
        <w:jc w:val="both"/>
        <w:rPr>
          <w:rFonts w:ascii="Times New Roman" w:hAnsi="Times New Roman"/>
          <w:bCs/>
          <w:color w:val="FF0000"/>
          <w:sz w:val="24"/>
          <w:lang w:val="fr-FR"/>
        </w:rPr>
      </w:pPr>
    </w:p>
    <w:p w:rsidR="0099080D" w:rsidRPr="0099080D" w:rsidRDefault="0099080D" w:rsidP="0099080D">
      <w:pPr>
        <w:pStyle w:val="BodyText"/>
        <w:jc w:val="both"/>
        <w:rPr>
          <w:rFonts w:ascii="Times New Roman" w:hAnsi="Times New Roman"/>
          <w:bCs/>
          <w:color w:val="FF0000"/>
          <w:sz w:val="24"/>
          <w:lang w:val="fr-FR"/>
        </w:rPr>
        <w:sectPr w:rsidR="0099080D" w:rsidRPr="0099080D" w:rsidSect="005268E7">
          <w:footerReference w:type="default" r:id="rId13"/>
          <w:footerReference w:type="first" r:id="rId14"/>
          <w:pgSz w:w="12240" w:h="15840" w:code="1"/>
          <w:pgMar w:top="540" w:right="990" w:bottom="851" w:left="806" w:header="720" w:footer="418" w:gutter="0"/>
          <w:cols w:space="720"/>
          <w:docGrid w:linePitch="360"/>
        </w:sectPr>
      </w:pPr>
    </w:p>
    <w:p w:rsidR="003E2682" w:rsidRPr="00E3532D" w:rsidRDefault="00EA24FA" w:rsidP="003E2682">
      <w:pPr>
        <w:pStyle w:val="BodyText"/>
        <w:tabs>
          <w:tab w:val="left" w:pos="360"/>
        </w:tabs>
        <w:ind w:left="720"/>
        <w:jc w:val="both"/>
        <w:rPr>
          <w:rFonts w:ascii="Times New Roman" w:hAnsi="Times New Roman"/>
          <w:bCs/>
          <w:sz w:val="24"/>
          <w:lang w:val="fr-FR"/>
        </w:rPr>
      </w:pPr>
      <w:r>
        <w:rPr>
          <w:rFonts w:ascii="Times New Roman" w:hAnsi="Times New Roman"/>
          <w:noProof/>
          <w:sz w:val="24"/>
        </w:rPr>
        <w:lastRenderedPageBreak/>
        <mc:AlternateContent>
          <mc:Choice Requires="wps">
            <w:drawing>
              <wp:anchor distT="0" distB="0" distL="114300" distR="114300" simplePos="0" relativeHeight="251656704" behindDoc="0" locked="0" layoutInCell="1" allowOverlap="1">
                <wp:simplePos x="0" y="0"/>
                <wp:positionH relativeFrom="column">
                  <wp:posOffset>-533400</wp:posOffset>
                </wp:positionH>
                <wp:positionV relativeFrom="paragraph">
                  <wp:posOffset>-228600</wp:posOffset>
                </wp:positionV>
                <wp:extent cx="9446260" cy="291465"/>
                <wp:effectExtent l="9525" t="9525" r="1206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EB3C38" w:rsidRPr="00E3532D" w:rsidRDefault="00EB3C38"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pt;margin-top:-18pt;width:743.8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" fillcolor="#f2f2f2" strokecolor="#d8d8d8">
                <v:textbox>
                  <w:txbxContent>
                    <w:p w:rsidR="00EB3C38" w:rsidRPr="00E3532D" w:rsidRDefault="00EB3C38"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v:textbox>
              </v:shape>
            </w:pict>
          </mc:Fallback>
        </mc:AlternateContent>
      </w:r>
    </w:p>
    <w:p w:rsidR="003E2682" w:rsidRPr="00E3532D" w:rsidRDefault="003E2682" w:rsidP="003E2682">
      <w:pPr>
        <w:pStyle w:val="BodyText"/>
        <w:jc w:val="both"/>
        <w:rPr>
          <w:rFonts w:ascii="Times New Roman" w:hAnsi="Times New Roman"/>
          <w:bCs/>
          <w:sz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3E2682" w:rsidRPr="00E3532D">
        <w:tc>
          <w:tcPr>
            <w:tcW w:w="4265" w:type="dxa"/>
            <w:tcBorders>
              <w:bottom w:val="single" w:sz="4" w:space="0" w:color="000000"/>
            </w:tcBorders>
            <w:shd w:val="clear" w:color="auto" w:fill="auto"/>
          </w:tcPr>
          <w:p w:rsidR="003E2682" w:rsidRPr="00E3532D" w:rsidRDefault="003E2682" w:rsidP="003E2682">
            <w:pPr>
              <w:pStyle w:val="BodyText"/>
              <w:jc w:val="both"/>
              <w:rPr>
                <w:rFonts w:ascii="Times New Roman" w:hAnsi="Times New Roman"/>
                <w:bCs/>
                <w:sz w:val="24"/>
                <w:lang w:val="fr-FR"/>
              </w:rPr>
            </w:pPr>
          </w:p>
        </w:tc>
        <w:tc>
          <w:tcPr>
            <w:tcW w:w="3745" w:type="dxa"/>
            <w:tcBorders>
              <w:bottom w:val="single" w:sz="4" w:space="0" w:color="000000"/>
            </w:tcBorders>
            <w:shd w:val="clear" w:color="auto" w:fill="auto"/>
          </w:tcPr>
          <w:p w:rsidR="003E2682" w:rsidRPr="00E3532D" w:rsidRDefault="003E2682" w:rsidP="003E2682">
            <w:pPr>
              <w:jc w:val="center"/>
              <w:rPr>
                <w:b/>
                <w:lang w:val="fr-FR"/>
              </w:rPr>
            </w:pPr>
            <w:r w:rsidRPr="00E3532D">
              <w:rPr>
                <w:b/>
                <w:lang w:val="fr-FR"/>
              </w:rPr>
              <w:t>Indicateurs</w:t>
            </w:r>
            <w:r w:rsidRPr="00E3532D">
              <w:rPr>
                <w:b/>
                <w:u w:val="single"/>
                <w:lang w:val="fr-FR"/>
              </w:rPr>
              <w:t xml:space="preserve"> atteints</w:t>
            </w:r>
            <w:r w:rsidRPr="00E3532D">
              <w:rPr>
                <w:b/>
                <w:lang w:val="fr-FR"/>
              </w:rPr>
              <w:t xml:space="preserve"> </w:t>
            </w:r>
          </w:p>
        </w:tc>
        <w:tc>
          <w:tcPr>
            <w:tcW w:w="3960" w:type="dxa"/>
            <w:tcBorders>
              <w:bottom w:val="single" w:sz="4" w:space="0" w:color="000000"/>
            </w:tcBorders>
            <w:shd w:val="clear" w:color="auto" w:fill="auto"/>
          </w:tcPr>
          <w:p w:rsidR="003E2682" w:rsidRPr="00E3532D" w:rsidRDefault="003E2682" w:rsidP="003E2682">
            <w:pPr>
              <w:jc w:val="center"/>
              <w:rPr>
                <w:b/>
                <w:lang w:val="fr-FR"/>
              </w:rPr>
            </w:pPr>
            <w:r w:rsidRPr="00E3532D">
              <w:rPr>
                <w:b/>
                <w:lang w:val="fr-FR"/>
              </w:rPr>
              <w:t>Raisons d’éventuel(s) écart(s)</w:t>
            </w:r>
          </w:p>
        </w:tc>
        <w:tc>
          <w:tcPr>
            <w:tcW w:w="3150" w:type="dxa"/>
            <w:tcBorders>
              <w:bottom w:val="single" w:sz="4" w:space="0" w:color="000000"/>
            </w:tcBorders>
            <w:shd w:val="clear" w:color="auto" w:fill="auto"/>
          </w:tcPr>
          <w:p w:rsidR="003E2682" w:rsidRPr="00E3532D" w:rsidRDefault="003E2682" w:rsidP="003E2682">
            <w:pPr>
              <w:jc w:val="center"/>
              <w:rPr>
                <w:b/>
                <w:lang w:val="fr-FR"/>
              </w:rPr>
            </w:pPr>
            <w:r w:rsidRPr="00E3532D">
              <w:rPr>
                <w:b/>
                <w:lang w:val="fr-FR"/>
              </w:rPr>
              <w:t>Source de vérification</w:t>
            </w:r>
          </w:p>
        </w:tc>
      </w:tr>
      <w:tr w:rsidR="00FF0711" w:rsidRPr="004A058E" w:rsidTr="00165525">
        <w:tc>
          <w:tcPr>
            <w:tcW w:w="15120" w:type="dxa"/>
            <w:gridSpan w:val="4"/>
            <w:shd w:val="pct15" w:color="auto" w:fill="auto"/>
          </w:tcPr>
          <w:p w:rsidR="00FF0711" w:rsidRPr="00FF0711" w:rsidRDefault="00FF0711" w:rsidP="003E2682">
            <w:pPr>
              <w:pStyle w:val="BodyText"/>
              <w:jc w:val="both"/>
              <w:rPr>
                <w:rFonts w:ascii="Times New Roman" w:hAnsi="Times New Roman" w:cs="Times New Roman"/>
                <w:bCs/>
                <w:sz w:val="24"/>
                <w:szCs w:val="24"/>
                <w:lang w:val="fr-FR"/>
              </w:rPr>
            </w:pPr>
            <w:r w:rsidRPr="00FF0711">
              <w:rPr>
                <w:rFonts w:ascii="Times New Roman" w:hAnsi="Times New Roman" w:cs="Times New Roman"/>
                <w:b/>
                <w:sz w:val="24"/>
                <w:szCs w:val="24"/>
                <w:lang w:val="fr-FR"/>
              </w:rPr>
              <w:t>Résultat 1</w:t>
            </w:r>
            <w:r w:rsidRPr="00FF0711">
              <w:rPr>
                <w:rStyle w:val="FootnoteReference"/>
                <w:rFonts w:ascii="Times New Roman" w:hAnsi="Times New Roman" w:cs="Times New Roman"/>
                <w:b/>
                <w:sz w:val="24"/>
                <w:szCs w:val="24"/>
                <w:lang w:val="fr-FR"/>
              </w:rPr>
              <w:footnoteReference w:id="2"/>
            </w:r>
            <w:r w:rsidRPr="00FF0711">
              <w:rPr>
                <w:rFonts w:ascii="Times New Roman" w:hAnsi="Times New Roman" w:cs="Times New Roman"/>
                <w:b/>
                <w:sz w:val="24"/>
                <w:szCs w:val="24"/>
                <w:lang w:val="fr-FR"/>
              </w:rPr>
              <w:t xml:space="preserve"> : </w:t>
            </w:r>
            <w:r w:rsidRPr="00FF0711">
              <w:rPr>
                <w:rFonts w:ascii="Times New Roman" w:hAnsi="Times New Roman" w:cs="Times New Roman"/>
                <w:sz w:val="24"/>
                <w:szCs w:val="24"/>
                <w:lang w:val="fr-FR"/>
              </w:rPr>
              <w:t>Pour fournir des données sur les bâtiments et ménages (population), le statut foncier des logements ainsi que les services sociaux de base et l’emplacement des infrastructures communautaires comme un moyen de faciliter les efforts concernant les logements et la reconstruction.</w:t>
            </w:r>
          </w:p>
        </w:tc>
      </w:tr>
      <w:tr w:rsidR="009D3141" w:rsidRPr="004A058E" w:rsidTr="009D3141">
        <w:trPr>
          <w:trHeight w:val="1974"/>
        </w:trPr>
        <w:tc>
          <w:tcPr>
            <w:tcW w:w="4265" w:type="dxa"/>
            <w:vMerge w:val="restart"/>
            <w:shd w:val="clear" w:color="auto" w:fill="auto"/>
          </w:tcPr>
          <w:p w:rsidR="009D3141" w:rsidRPr="009D3141" w:rsidRDefault="009D3141" w:rsidP="00FF0711">
            <w:pPr>
              <w:pStyle w:val="BodyText"/>
              <w:rPr>
                <w:rFonts w:ascii="Times New Roman" w:hAnsi="Times New Roman" w:cs="Times New Roman"/>
                <w:bCs/>
                <w:sz w:val="24"/>
                <w:szCs w:val="24"/>
                <w:lang w:val="fr-FR"/>
              </w:rPr>
            </w:pPr>
            <w:r w:rsidRPr="009D3141">
              <w:rPr>
                <w:rFonts w:ascii="Times New Roman" w:hAnsi="Times New Roman" w:cs="Times New Roman"/>
                <w:b/>
                <w:sz w:val="24"/>
                <w:szCs w:val="24"/>
                <w:lang w:val="fr-FR"/>
              </w:rPr>
              <w:t xml:space="preserve">Produit 1.1 : </w:t>
            </w:r>
            <w:r w:rsidRPr="009D3141">
              <w:rPr>
                <w:rFonts w:ascii="Times New Roman" w:hAnsi="Times New Roman" w:cs="Times New Roman"/>
                <w:bCs/>
                <w:sz w:val="24"/>
                <w:szCs w:val="24"/>
                <w:lang w:val="fr-FR"/>
              </w:rPr>
              <w:t>Cartographie et inventaire des bâtiments mis à jour, y compris les données sur les services de base, dans les zones affectées rendus disponibles.</w:t>
            </w:r>
          </w:p>
          <w:p w:rsidR="00A420A7" w:rsidRDefault="00A420A7" w:rsidP="003E2682">
            <w:pPr>
              <w:rPr>
                <w:b/>
                <w:lang w:val="fr-FR"/>
              </w:rPr>
            </w:pPr>
          </w:p>
          <w:p w:rsidR="009D3141" w:rsidRPr="009D3141" w:rsidRDefault="009D3141" w:rsidP="003E2682">
            <w:pPr>
              <w:rPr>
                <w:b/>
                <w:lang w:val="fr-FR"/>
              </w:rPr>
            </w:pPr>
            <w:r w:rsidRPr="009D3141">
              <w:rPr>
                <w:b/>
                <w:lang w:val="fr-FR"/>
              </w:rPr>
              <w:t xml:space="preserve">Indicateur  1.1.1 : </w:t>
            </w:r>
            <w:r w:rsidRPr="009D3141">
              <w:rPr>
                <w:lang w:val="fr-FR"/>
              </w:rPr>
              <w:t xml:space="preserve">Outils de cartographie et d’inventaire de bâtiments et méthodologie améliorés et mis à jour.    </w:t>
            </w:r>
          </w:p>
          <w:p w:rsidR="009D3141" w:rsidRPr="009D3141" w:rsidRDefault="009D3141" w:rsidP="003E2682">
            <w:pPr>
              <w:rPr>
                <w:b/>
                <w:lang w:val="fr-FR"/>
              </w:rPr>
            </w:pPr>
            <w:r w:rsidRPr="009D3141">
              <w:rPr>
                <w:b/>
                <w:lang w:val="fr-FR"/>
              </w:rPr>
              <w:t xml:space="preserve">Indicateur de référence: </w:t>
            </w:r>
            <w:r w:rsidRPr="009D3141">
              <w:rPr>
                <w:lang w:val="fr-FR"/>
              </w:rPr>
              <w:t>Méthodologie de base pour la collecte de données  a été utilisée dans le recensement de 2013.</w:t>
            </w:r>
          </w:p>
          <w:p w:rsidR="009D3141" w:rsidRPr="009D3141" w:rsidRDefault="009D3141" w:rsidP="003E2682">
            <w:pPr>
              <w:rPr>
                <w:b/>
                <w:lang w:val="fr-FR"/>
              </w:rPr>
            </w:pPr>
            <w:r w:rsidRPr="009D3141">
              <w:rPr>
                <w:b/>
                <w:lang w:val="fr-FR"/>
              </w:rPr>
              <w:t xml:space="preserve">Indicateur cible: </w:t>
            </w:r>
            <w:r w:rsidRPr="009D3141">
              <w:rPr>
                <w:lang w:val="fr-FR"/>
              </w:rPr>
              <w:t>Méthodologies finalisée et utilisée pour la collecte de données</w:t>
            </w:r>
          </w:p>
          <w:p w:rsidR="009D3141" w:rsidRPr="009D3141" w:rsidRDefault="009D3141" w:rsidP="003E2682">
            <w:pPr>
              <w:rPr>
                <w:lang w:val="fr-FR"/>
              </w:rPr>
            </w:pPr>
          </w:p>
          <w:p w:rsidR="009D3141" w:rsidRPr="009D3141" w:rsidRDefault="009D3141" w:rsidP="005F1B5C">
            <w:pPr>
              <w:rPr>
                <w:lang w:val="fr-FR"/>
              </w:rPr>
            </w:pPr>
            <w:r w:rsidRPr="009D3141">
              <w:rPr>
                <w:b/>
                <w:lang w:val="fr-FR"/>
              </w:rPr>
              <w:t xml:space="preserve">Indicateur 1.1.2 : </w:t>
            </w:r>
            <w:r w:rsidRPr="009D3141">
              <w:rPr>
                <w:lang w:val="fr-FR"/>
              </w:rPr>
              <w:t>Personnel de l’IHSI formé pour effectuer la collecte de données conformément à la méthodologie</w:t>
            </w:r>
          </w:p>
          <w:p w:rsidR="009D3141" w:rsidRPr="009D3141" w:rsidRDefault="009D3141" w:rsidP="003E2682">
            <w:pPr>
              <w:rPr>
                <w:b/>
                <w:lang w:val="fr-FR"/>
              </w:rPr>
            </w:pPr>
            <w:r w:rsidRPr="009D3141">
              <w:rPr>
                <w:b/>
                <w:lang w:val="fr-FR"/>
              </w:rPr>
              <w:t>Indicateur de référence:</w:t>
            </w:r>
            <w:r w:rsidRPr="009D3141">
              <w:rPr>
                <w:lang w:val="fr-FR"/>
              </w:rPr>
              <w:t xml:space="preserve"> Présentement, </w:t>
            </w:r>
            <w:r w:rsidRPr="009D3141">
              <w:rPr>
                <w:lang w:val="fr-FR"/>
              </w:rPr>
              <w:lastRenderedPageBreak/>
              <w:t xml:space="preserve">le personnel de l’IHSI n’a pas la capacité d’effectuer la collecte de données selon la méthodologie mise à jour.  </w:t>
            </w:r>
          </w:p>
          <w:p w:rsidR="009D3141" w:rsidRDefault="009D3141" w:rsidP="003E2682">
            <w:pPr>
              <w:rPr>
                <w:lang w:val="fr-FR"/>
              </w:rPr>
            </w:pPr>
            <w:r w:rsidRPr="009D3141">
              <w:rPr>
                <w:b/>
                <w:lang w:val="fr-FR"/>
              </w:rPr>
              <w:t xml:space="preserve">Indicateur cible: </w:t>
            </w:r>
            <w:r w:rsidRPr="009D3141">
              <w:rPr>
                <w:lang w:val="fr-FR"/>
              </w:rPr>
              <w:t>81 staffs formés sur la méthodologie finalisée.</w:t>
            </w:r>
          </w:p>
          <w:p w:rsidR="009D3141" w:rsidRDefault="009D3141" w:rsidP="003E2682">
            <w:pPr>
              <w:rPr>
                <w:lang w:val="fr-FR"/>
              </w:rPr>
            </w:pPr>
          </w:p>
          <w:p w:rsidR="009D3141" w:rsidRPr="009D3141" w:rsidRDefault="009D3141" w:rsidP="009D3141">
            <w:pPr>
              <w:rPr>
                <w:lang w:val="fr-FR"/>
              </w:rPr>
            </w:pPr>
            <w:r>
              <w:rPr>
                <w:b/>
                <w:lang w:val="fr-FR"/>
              </w:rPr>
              <w:t>Indicateur 1.1.3</w:t>
            </w:r>
            <w:r w:rsidRPr="009D3141">
              <w:rPr>
                <w:b/>
                <w:lang w:val="fr-FR"/>
              </w:rPr>
              <w:t xml:space="preserve"> : </w:t>
            </w:r>
            <w:r w:rsidRPr="00C47A8E">
              <w:rPr>
                <w:lang w:val="fr-FR"/>
              </w:rPr>
              <w:t>Les produits tels les cartes et rapports</w:t>
            </w:r>
            <w:r>
              <w:rPr>
                <w:lang w:val="fr-FR"/>
              </w:rPr>
              <w:t xml:space="preserve"> </w:t>
            </w:r>
            <w:r w:rsidRPr="00BD6253">
              <w:rPr>
                <w:lang w:val="fr-FR"/>
              </w:rPr>
              <w:t>sur l’inventaire des  bâtiments et la cartographie</w:t>
            </w:r>
            <w:r w:rsidRPr="00C47A8E">
              <w:rPr>
                <w:lang w:val="fr-FR"/>
              </w:rPr>
              <w:t xml:space="preserve"> sont disponibles pour les acteurs de la reconstruction.</w:t>
            </w:r>
          </w:p>
          <w:p w:rsidR="009D3141" w:rsidRDefault="009D3141" w:rsidP="009D3141">
            <w:pPr>
              <w:rPr>
                <w:b/>
                <w:lang w:val="fr-FR"/>
              </w:rPr>
            </w:pPr>
            <w:r w:rsidRPr="009D3141">
              <w:rPr>
                <w:b/>
                <w:lang w:val="fr-FR"/>
              </w:rPr>
              <w:t>Indicateur de référence</w:t>
            </w:r>
            <w:r>
              <w:rPr>
                <w:b/>
                <w:lang w:val="fr-FR"/>
              </w:rPr>
              <w:t xml:space="preserve"> : </w:t>
            </w:r>
            <w:r>
              <w:rPr>
                <w:lang w:val="fr-FR"/>
              </w:rPr>
              <w:t>En ce moment, ces données ne sont pas disponibles pour les zones couvertes par ce projet.</w:t>
            </w:r>
          </w:p>
          <w:p w:rsidR="009D3141" w:rsidRPr="009D3141" w:rsidRDefault="009D3141" w:rsidP="009D3141">
            <w:pPr>
              <w:rPr>
                <w:lang w:val="fr-FR"/>
              </w:rPr>
            </w:pPr>
            <w:r w:rsidRPr="009D3141">
              <w:rPr>
                <w:b/>
                <w:lang w:val="fr-FR"/>
              </w:rPr>
              <w:t xml:space="preserve">Indicateur cible: </w:t>
            </w:r>
            <w:r>
              <w:rPr>
                <w:lang w:val="fr-FR"/>
              </w:rPr>
              <w:t xml:space="preserve">Cartes détaillées et rapports sur 3300 SDE disponibles. </w:t>
            </w:r>
          </w:p>
        </w:tc>
        <w:tc>
          <w:tcPr>
            <w:tcW w:w="3745" w:type="dxa"/>
            <w:shd w:val="clear" w:color="auto" w:fill="auto"/>
          </w:tcPr>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A420A7" w:rsidRDefault="00A420A7"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r w:rsidRPr="009D3141">
              <w:rPr>
                <w:rFonts w:ascii="Times New Roman" w:hAnsi="Times New Roman" w:cs="Times New Roman"/>
                <w:sz w:val="24"/>
                <w:szCs w:val="24"/>
                <w:lang w:val="fr-FR"/>
              </w:rPr>
              <w:t xml:space="preserve">Les outils de cartographie et la méthodologie ont été complétés durant le premier trimestre de l’année 2012.  </w:t>
            </w:r>
          </w:p>
          <w:p w:rsidR="00040C93" w:rsidRPr="00040C93" w:rsidRDefault="00040C93" w:rsidP="00040C93">
            <w:pPr>
              <w:pStyle w:val="BodyText"/>
              <w:rPr>
                <w:lang w:val="fr-FR"/>
              </w:rPr>
            </w:pPr>
          </w:p>
          <w:p w:rsidR="009D3141" w:rsidRPr="009D3141" w:rsidRDefault="00040C93" w:rsidP="003E2682">
            <w:pPr>
              <w:pStyle w:val="BodyText"/>
              <w:jc w:val="both"/>
              <w:rPr>
                <w:rFonts w:ascii="Times New Roman" w:hAnsi="Times New Roman" w:cs="Times New Roman"/>
                <w:sz w:val="24"/>
                <w:szCs w:val="24"/>
                <w:lang w:val="fr-FR"/>
              </w:rPr>
            </w:pPr>
            <w:r w:rsidRPr="00040C93">
              <w:rPr>
                <w:rFonts w:ascii="Times New Roman" w:hAnsi="Times New Roman" w:cs="Times New Roman"/>
                <w:sz w:val="24"/>
                <w:szCs w:val="24"/>
                <w:lang w:val="fr-FR"/>
              </w:rPr>
              <w:t xml:space="preserve">A partir du mois de Septembre 2013, de nouvelles technologies ont été utilisées pour accomplir le travail de terrain : des </w:t>
            </w:r>
            <w:proofErr w:type="spellStart"/>
            <w:r w:rsidRPr="00040C93">
              <w:rPr>
                <w:rFonts w:ascii="Times New Roman" w:hAnsi="Times New Roman" w:cs="Times New Roman"/>
                <w:sz w:val="24"/>
                <w:szCs w:val="24"/>
                <w:lang w:val="fr-FR"/>
              </w:rPr>
              <w:t>PDAs</w:t>
            </w:r>
            <w:proofErr w:type="spellEnd"/>
            <w:r w:rsidRPr="00040C93">
              <w:rPr>
                <w:rFonts w:ascii="Times New Roman" w:hAnsi="Times New Roman" w:cs="Times New Roman"/>
                <w:sz w:val="24"/>
                <w:szCs w:val="24"/>
                <w:lang w:val="fr-FR"/>
              </w:rPr>
              <w:t xml:space="preserve"> ont été utilisés par l’IHSI et des imageries du drone UAV (</w:t>
            </w:r>
            <w:proofErr w:type="spellStart"/>
            <w:r w:rsidRPr="00040C93">
              <w:rPr>
                <w:rFonts w:ascii="Times New Roman" w:hAnsi="Times New Roman" w:cs="Times New Roman"/>
                <w:sz w:val="24"/>
                <w:szCs w:val="24"/>
                <w:lang w:val="fr-FR"/>
              </w:rPr>
              <w:t>Unmanned</w:t>
            </w:r>
            <w:proofErr w:type="spellEnd"/>
            <w:r w:rsidRPr="00040C93">
              <w:rPr>
                <w:rFonts w:ascii="Times New Roman" w:hAnsi="Times New Roman" w:cs="Times New Roman"/>
                <w:sz w:val="24"/>
                <w:szCs w:val="24"/>
                <w:lang w:val="fr-FR"/>
              </w:rPr>
              <w:t xml:space="preserve"> </w:t>
            </w:r>
            <w:proofErr w:type="spellStart"/>
            <w:r w:rsidRPr="00040C93">
              <w:rPr>
                <w:rFonts w:ascii="Times New Roman" w:hAnsi="Times New Roman" w:cs="Times New Roman"/>
                <w:sz w:val="24"/>
                <w:szCs w:val="24"/>
                <w:lang w:val="fr-FR"/>
              </w:rPr>
              <w:t>Aerial</w:t>
            </w:r>
            <w:proofErr w:type="spellEnd"/>
            <w:r w:rsidRPr="00040C93">
              <w:rPr>
                <w:rFonts w:ascii="Times New Roman" w:hAnsi="Times New Roman" w:cs="Times New Roman"/>
                <w:sz w:val="24"/>
                <w:szCs w:val="24"/>
                <w:lang w:val="fr-FR"/>
              </w:rPr>
              <w:t xml:space="preserve"> </w:t>
            </w:r>
            <w:proofErr w:type="spellStart"/>
            <w:r w:rsidRPr="00040C93">
              <w:rPr>
                <w:rFonts w:ascii="Times New Roman" w:hAnsi="Times New Roman" w:cs="Times New Roman"/>
                <w:sz w:val="24"/>
                <w:szCs w:val="24"/>
                <w:lang w:val="fr-FR"/>
              </w:rPr>
              <w:t>Vehicle</w:t>
            </w:r>
            <w:proofErr w:type="spellEnd"/>
            <w:r w:rsidRPr="00040C93">
              <w:rPr>
                <w:rFonts w:ascii="Times New Roman" w:hAnsi="Times New Roman" w:cs="Times New Roman"/>
                <w:sz w:val="24"/>
                <w:szCs w:val="24"/>
                <w:lang w:val="fr-FR"/>
              </w:rPr>
              <w:t>) par l’OIM</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0C3EF1">
            <w:pPr>
              <w:pStyle w:val="BodyText"/>
              <w:jc w:val="both"/>
              <w:rPr>
                <w:rFonts w:ascii="Times New Roman" w:hAnsi="Times New Roman" w:cs="Times New Roman"/>
                <w:bCs/>
                <w:sz w:val="24"/>
                <w:szCs w:val="24"/>
                <w:lang w:val="fr-FR"/>
              </w:rPr>
            </w:pPr>
            <w:r w:rsidRPr="009D3141">
              <w:rPr>
                <w:rFonts w:ascii="Times New Roman" w:hAnsi="Times New Roman" w:cs="Times New Roman"/>
                <w:sz w:val="24"/>
                <w:szCs w:val="24"/>
                <w:lang w:val="fr-FR"/>
              </w:rPr>
              <w:t>Présentement le t</w:t>
            </w:r>
            <w:r w:rsidR="000C3EF1">
              <w:rPr>
                <w:rFonts w:ascii="Times New Roman" w:hAnsi="Times New Roman" w:cs="Times New Roman"/>
                <w:sz w:val="24"/>
                <w:szCs w:val="24"/>
                <w:lang w:val="fr-FR"/>
              </w:rPr>
              <w:t>ravail a été complété dans 2,505</w:t>
            </w:r>
            <w:r w:rsidRPr="009D3141">
              <w:rPr>
                <w:rFonts w:ascii="Times New Roman" w:hAnsi="Times New Roman" w:cs="Times New Roman"/>
                <w:sz w:val="24"/>
                <w:szCs w:val="24"/>
                <w:lang w:val="fr-FR"/>
              </w:rPr>
              <w:t xml:space="preserve"> SDE</w:t>
            </w:r>
            <w:r w:rsidR="000C3EF1">
              <w:rPr>
                <w:rFonts w:ascii="Times New Roman" w:hAnsi="Times New Roman" w:cs="Times New Roman"/>
                <w:sz w:val="24"/>
                <w:szCs w:val="24"/>
                <w:lang w:val="fr-FR"/>
              </w:rPr>
              <w:t>.</w:t>
            </w:r>
          </w:p>
        </w:tc>
        <w:tc>
          <w:tcPr>
            <w:tcW w:w="3960" w:type="dxa"/>
            <w:vMerge w:val="restart"/>
            <w:shd w:val="clear" w:color="auto" w:fill="auto"/>
          </w:tcPr>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A420A7" w:rsidRDefault="00A420A7"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r w:rsidRPr="009D3141">
              <w:rPr>
                <w:rFonts w:ascii="Times New Roman" w:hAnsi="Times New Roman" w:cs="Times New Roman"/>
                <w:sz w:val="24"/>
                <w:szCs w:val="24"/>
                <w:lang w:val="fr-FR"/>
              </w:rPr>
              <w:t>Selon l’environnement et la situation de la zone ciblée, de légères modifications doivent être  appliquées pour assurer une collecte de données efficace.</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040C93" w:rsidP="003E2682">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Lacunes dans la maitrise des nouvelles technologies.</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bCs/>
                <w:sz w:val="24"/>
                <w:szCs w:val="24"/>
                <w:lang w:val="fr-FR"/>
              </w:rPr>
            </w:pPr>
          </w:p>
        </w:tc>
        <w:tc>
          <w:tcPr>
            <w:tcW w:w="3150" w:type="dxa"/>
            <w:vMerge w:val="restart"/>
            <w:shd w:val="clear" w:color="auto" w:fill="auto"/>
          </w:tcPr>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A420A7" w:rsidRDefault="00A420A7"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r w:rsidRPr="009D3141">
              <w:rPr>
                <w:rFonts w:ascii="Times New Roman" w:hAnsi="Times New Roman" w:cs="Times New Roman"/>
                <w:sz w:val="24"/>
                <w:szCs w:val="24"/>
                <w:lang w:val="fr-FR"/>
              </w:rPr>
              <w:t>Document méthodologique de cartographie et d’inventaires de bâtiments.</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0C3EF1" w:rsidP="003E2682">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Cahiers d’inventaire de </w:t>
            </w:r>
            <w:r w:rsidR="00435EDF">
              <w:rPr>
                <w:rFonts w:ascii="Times New Roman" w:hAnsi="Times New Roman" w:cs="Times New Roman"/>
                <w:sz w:val="24"/>
                <w:szCs w:val="24"/>
                <w:lang w:val="fr-FR"/>
              </w:rPr>
              <w:t>bâtiments</w:t>
            </w:r>
            <w:r>
              <w:rPr>
                <w:rFonts w:ascii="Times New Roman" w:hAnsi="Times New Roman" w:cs="Times New Roman"/>
                <w:sz w:val="24"/>
                <w:szCs w:val="24"/>
                <w:lang w:val="fr-FR"/>
              </w:rPr>
              <w:t>.</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bCs/>
                <w:sz w:val="24"/>
                <w:szCs w:val="24"/>
                <w:lang w:val="fr-FR"/>
              </w:rPr>
            </w:pPr>
            <w:r w:rsidRPr="009D3141">
              <w:rPr>
                <w:rFonts w:ascii="Times New Roman" w:hAnsi="Times New Roman" w:cs="Times New Roman"/>
                <w:sz w:val="24"/>
                <w:szCs w:val="24"/>
                <w:lang w:val="fr-FR"/>
              </w:rPr>
              <w:t>Cartes et rapports produits.</w:t>
            </w:r>
          </w:p>
        </w:tc>
      </w:tr>
      <w:tr w:rsidR="009D3141" w:rsidRPr="004A058E" w:rsidTr="00165525">
        <w:trPr>
          <w:trHeight w:val="3098"/>
        </w:trPr>
        <w:tc>
          <w:tcPr>
            <w:tcW w:w="4265" w:type="dxa"/>
            <w:vMerge/>
            <w:shd w:val="clear" w:color="auto" w:fill="auto"/>
          </w:tcPr>
          <w:p w:rsidR="009D3141" w:rsidRPr="00FF0711" w:rsidRDefault="009D3141" w:rsidP="00FF0711">
            <w:pPr>
              <w:pStyle w:val="BodyText"/>
              <w:rPr>
                <w:rFonts w:ascii="Times New Roman" w:hAnsi="Times New Roman" w:cs="Times New Roman"/>
                <w:b/>
                <w:sz w:val="24"/>
                <w:szCs w:val="24"/>
                <w:lang w:val="fr-FR"/>
              </w:rPr>
            </w:pPr>
          </w:p>
        </w:tc>
        <w:tc>
          <w:tcPr>
            <w:tcW w:w="3745" w:type="dxa"/>
            <w:shd w:val="clear" w:color="auto" w:fill="auto"/>
          </w:tcPr>
          <w:p w:rsidR="009D3141" w:rsidRPr="00FF0711" w:rsidRDefault="009D3141" w:rsidP="003E2682">
            <w:pPr>
              <w:pStyle w:val="BodyText"/>
              <w:jc w:val="both"/>
              <w:rPr>
                <w:rFonts w:ascii="Times New Roman" w:hAnsi="Times New Roman" w:cs="Times New Roman"/>
                <w:sz w:val="24"/>
                <w:szCs w:val="24"/>
                <w:lang w:val="fr-FR"/>
              </w:rPr>
            </w:pPr>
          </w:p>
        </w:tc>
        <w:tc>
          <w:tcPr>
            <w:tcW w:w="3960" w:type="dxa"/>
            <w:vMerge/>
            <w:shd w:val="clear" w:color="auto" w:fill="auto"/>
          </w:tcPr>
          <w:p w:rsidR="009D3141" w:rsidRPr="00FF0711" w:rsidRDefault="009D3141" w:rsidP="003E2682">
            <w:pPr>
              <w:pStyle w:val="BodyText"/>
              <w:jc w:val="both"/>
              <w:rPr>
                <w:rFonts w:ascii="Times New Roman" w:hAnsi="Times New Roman" w:cs="Times New Roman"/>
                <w:sz w:val="24"/>
                <w:szCs w:val="24"/>
                <w:lang w:val="fr-FR"/>
              </w:rPr>
            </w:pPr>
          </w:p>
        </w:tc>
        <w:tc>
          <w:tcPr>
            <w:tcW w:w="3150" w:type="dxa"/>
            <w:vMerge/>
            <w:shd w:val="clear" w:color="auto" w:fill="auto"/>
          </w:tcPr>
          <w:p w:rsidR="009D3141" w:rsidRPr="00FF0711" w:rsidRDefault="009D3141" w:rsidP="003E2682">
            <w:pPr>
              <w:pStyle w:val="BodyText"/>
              <w:jc w:val="both"/>
              <w:rPr>
                <w:rFonts w:ascii="Times New Roman" w:hAnsi="Times New Roman" w:cs="Times New Roman"/>
                <w:sz w:val="24"/>
                <w:szCs w:val="24"/>
                <w:lang w:val="fr-FR"/>
              </w:rPr>
            </w:pPr>
          </w:p>
        </w:tc>
      </w:tr>
      <w:tr w:rsidR="003E2682" w:rsidRPr="00E3532D">
        <w:tc>
          <w:tcPr>
            <w:tcW w:w="4265" w:type="dxa"/>
            <w:shd w:val="clear" w:color="auto" w:fill="auto"/>
          </w:tcPr>
          <w:p w:rsidR="009D3141" w:rsidRPr="00A420A7" w:rsidRDefault="009D3141" w:rsidP="009D3141">
            <w:pPr>
              <w:rPr>
                <w:bCs/>
                <w:lang w:val="fr-FR"/>
              </w:rPr>
            </w:pPr>
            <w:r w:rsidRPr="00A420A7">
              <w:rPr>
                <w:b/>
                <w:lang w:val="fr-FR"/>
              </w:rPr>
              <w:lastRenderedPageBreak/>
              <w:t>Produit 1.2</w:t>
            </w:r>
            <w:r w:rsidRPr="00A420A7">
              <w:rPr>
                <w:lang w:val="fr-FR"/>
              </w:rPr>
              <w:t xml:space="preserve"> : </w:t>
            </w:r>
            <w:r w:rsidRPr="00A420A7">
              <w:rPr>
                <w:bCs/>
                <w:lang w:val="fr-FR"/>
              </w:rPr>
              <w:t>Information sur la population (recensement) dans des zones sélectionnées sont recueillies et rendus disponibles.</w:t>
            </w:r>
          </w:p>
          <w:p w:rsidR="00A420A7" w:rsidRPr="00A420A7" w:rsidRDefault="00A420A7" w:rsidP="009D3141">
            <w:pPr>
              <w:rPr>
                <w:lang w:val="fr-FR"/>
              </w:rPr>
            </w:pPr>
          </w:p>
          <w:p w:rsidR="009D3141" w:rsidRPr="00A420A7" w:rsidRDefault="009D3141" w:rsidP="009D3141">
            <w:pPr>
              <w:rPr>
                <w:b/>
                <w:lang w:val="fr-FR"/>
              </w:rPr>
            </w:pPr>
            <w:r w:rsidRPr="00A420A7">
              <w:rPr>
                <w:b/>
                <w:lang w:val="fr-FR"/>
              </w:rPr>
              <w:t xml:space="preserve">Indicateur  1.2.1 : </w:t>
            </w:r>
            <w:r w:rsidRPr="00A420A7">
              <w:rPr>
                <w:lang w:val="fr-FR"/>
              </w:rPr>
              <w:t>Outils et méthodologie du recensement améliorés et mis à jour.</w:t>
            </w:r>
          </w:p>
          <w:p w:rsidR="009D3141" w:rsidRPr="00A420A7" w:rsidRDefault="009D3141" w:rsidP="009D3141">
            <w:pPr>
              <w:rPr>
                <w:b/>
                <w:lang w:val="fr-FR"/>
              </w:rPr>
            </w:pPr>
            <w:r w:rsidRPr="00A420A7">
              <w:rPr>
                <w:b/>
                <w:lang w:val="fr-FR"/>
              </w:rPr>
              <w:t xml:space="preserve">Indicateur de référence: </w:t>
            </w:r>
            <w:r w:rsidRPr="00A420A7">
              <w:rPr>
                <w:lang w:val="fr-FR"/>
              </w:rPr>
              <w:t>La méthodologie basique du recensement a été développée pou</w:t>
            </w:r>
            <w:r w:rsidR="00ED2B6C" w:rsidRPr="00A420A7">
              <w:rPr>
                <w:lang w:val="fr-FR"/>
              </w:rPr>
              <w:t>r le recensement national de 201</w:t>
            </w:r>
            <w:r w:rsidRPr="00A420A7">
              <w:rPr>
                <w:lang w:val="fr-FR"/>
              </w:rPr>
              <w:t>3. La méthodologie n’est pas à jour et devra être mise à niveau.</w:t>
            </w:r>
          </w:p>
          <w:p w:rsidR="009D3141" w:rsidRPr="00A420A7" w:rsidRDefault="009D3141" w:rsidP="009D3141">
            <w:pPr>
              <w:rPr>
                <w:lang w:val="fr-FR"/>
              </w:rPr>
            </w:pPr>
            <w:r w:rsidRPr="00A420A7">
              <w:rPr>
                <w:b/>
                <w:lang w:val="fr-FR"/>
              </w:rPr>
              <w:t>Indicateur cible:</w:t>
            </w:r>
            <w:r w:rsidRPr="00A420A7">
              <w:rPr>
                <w:lang w:val="fr-FR"/>
              </w:rPr>
              <w:t xml:space="preserve"> La méthodologie mise à jour  finalisée et utilisée pour recueillir des données.</w:t>
            </w:r>
          </w:p>
          <w:p w:rsidR="009D3141" w:rsidRPr="00A420A7" w:rsidRDefault="009D3141" w:rsidP="009D3141">
            <w:pPr>
              <w:rPr>
                <w:lang w:val="fr-FR"/>
              </w:rPr>
            </w:pPr>
          </w:p>
          <w:p w:rsidR="009D3141" w:rsidRPr="00A420A7" w:rsidRDefault="009D3141" w:rsidP="009D3141">
            <w:pPr>
              <w:rPr>
                <w:b/>
                <w:lang w:val="fr-FR"/>
              </w:rPr>
            </w:pPr>
            <w:r w:rsidRPr="00A420A7">
              <w:rPr>
                <w:b/>
                <w:lang w:val="fr-FR"/>
              </w:rPr>
              <w:t xml:space="preserve">Indicateur 1.2.2 : </w:t>
            </w:r>
            <w:r w:rsidRPr="00A420A7">
              <w:rPr>
                <w:lang w:val="fr-FR"/>
              </w:rPr>
              <w:t>Personnel de l’IHSI formé pour effectuer la collecte de données conformément à la méthodologie</w:t>
            </w:r>
          </w:p>
          <w:p w:rsidR="009D3141" w:rsidRPr="00A420A7" w:rsidRDefault="009D3141" w:rsidP="009D3141">
            <w:pPr>
              <w:rPr>
                <w:lang w:val="fr-FR"/>
              </w:rPr>
            </w:pPr>
            <w:r w:rsidRPr="00A420A7">
              <w:rPr>
                <w:b/>
                <w:lang w:val="fr-FR"/>
              </w:rPr>
              <w:t>Indicateur de référence:</w:t>
            </w:r>
            <w:r w:rsidRPr="00A420A7">
              <w:rPr>
                <w:lang w:val="fr-FR"/>
              </w:rPr>
              <w:t xml:space="preserve"> Présentement le staff de l’IHSI n’a pas la capacité </w:t>
            </w:r>
            <w:r w:rsidRPr="00A420A7">
              <w:rPr>
                <w:lang w:val="fr-FR"/>
              </w:rPr>
              <w:lastRenderedPageBreak/>
              <w:t xml:space="preserve">d’effectuer la collecte de données conformément à la méthodologie mise à jour. </w:t>
            </w:r>
          </w:p>
          <w:p w:rsidR="009D3141" w:rsidRPr="00A420A7" w:rsidRDefault="009D3141" w:rsidP="009D3141">
            <w:pPr>
              <w:rPr>
                <w:lang w:val="fr-FR"/>
              </w:rPr>
            </w:pPr>
            <w:r w:rsidRPr="00A420A7">
              <w:rPr>
                <w:b/>
                <w:lang w:val="fr-FR"/>
              </w:rPr>
              <w:t>Indicateur cible:</w:t>
            </w:r>
            <w:r w:rsidRPr="00A420A7">
              <w:rPr>
                <w:lang w:val="fr-FR"/>
              </w:rPr>
              <w:t xml:space="preserve"> 170 staffs formés sur la méthodologie finalisée</w:t>
            </w:r>
          </w:p>
          <w:p w:rsidR="00863841" w:rsidRPr="00A420A7" w:rsidRDefault="00863841" w:rsidP="009D3141">
            <w:pPr>
              <w:rPr>
                <w:b/>
                <w:lang w:val="fr-FR"/>
              </w:rPr>
            </w:pPr>
          </w:p>
          <w:p w:rsidR="00863841" w:rsidRPr="00A420A7" w:rsidRDefault="00863841" w:rsidP="00863841">
            <w:pPr>
              <w:rPr>
                <w:b/>
                <w:lang w:val="fr-FR"/>
              </w:rPr>
            </w:pPr>
            <w:r w:rsidRPr="00A420A7">
              <w:rPr>
                <w:b/>
                <w:lang w:val="fr-FR"/>
              </w:rPr>
              <w:t xml:space="preserve">Indicateur 1.2.3 : </w:t>
            </w:r>
            <w:r w:rsidRPr="00A420A7">
              <w:rPr>
                <w:lang w:val="fr-FR"/>
              </w:rPr>
              <w:t>Les produits tels que les cartes et les rapports sur les données du recensement sont disponibles pour les acteurs de la reconstruction.</w:t>
            </w:r>
          </w:p>
          <w:p w:rsidR="00863841" w:rsidRPr="00A420A7" w:rsidRDefault="00863841" w:rsidP="00863841">
            <w:pPr>
              <w:rPr>
                <w:b/>
                <w:lang w:val="fr-FR"/>
              </w:rPr>
            </w:pPr>
            <w:r w:rsidRPr="00A420A7">
              <w:rPr>
                <w:b/>
                <w:lang w:val="fr-FR"/>
              </w:rPr>
              <w:t xml:space="preserve">Indicateur de référence: </w:t>
            </w:r>
            <w:r w:rsidRPr="00A420A7">
              <w:rPr>
                <w:lang w:val="fr-FR"/>
              </w:rPr>
              <w:t>Présentement, ces données ne sont pas disponibles pour les zones couvertes par ce projet.</w:t>
            </w:r>
          </w:p>
          <w:p w:rsidR="00863841" w:rsidRPr="00A420A7" w:rsidRDefault="00863841" w:rsidP="00863841">
            <w:pPr>
              <w:rPr>
                <w:b/>
                <w:lang w:val="fr-FR"/>
              </w:rPr>
            </w:pPr>
            <w:r w:rsidRPr="00A420A7">
              <w:rPr>
                <w:b/>
                <w:lang w:val="fr-FR"/>
              </w:rPr>
              <w:t xml:space="preserve">Indicateur cible: </w:t>
            </w:r>
            <w:r w:rsidRPr="00A420A7">
              <w:rPr>
                <w:lang w:val="fr-FR"/>
              </w:rPr>
              <w:t>Cartes et rapports détaillés pour environ 1800 SDE disponibles.</w:t>
            </w:r>
          </w:p>
          <w:p w:rsidR="003E2682" w:rsidRPr="00E3532D" w:rsidRDefault="003E2682" w:rsidP="003E2682">
            <w:pPr>
              <w:pStyle w:val="BodyText"/>
              <w:jc w:val="both"/>
              <w:rPr>
                <w:rFonts w:ascii="Times New Roman" w:hAnsi="Times New Roman"/>
                <w:bCs/>
                <w:sz w:val="24"/>
                <w:lang w:val="fr-FR"/>
              </w:rPr>
            </w:pPr>
          </w:p>
        </w:tc>
        <w:tc>
          <w:tcPr>
            <w:tcW w:w="3745" w:type="dxa"/>
            <w:shd w:val="clear" w:color="auto" w:fill="auto"/>
          </w:tcPr>
          <w:p w:rsidR="003E2682" w:rsidRPr="00863841" w:rsidRDefault="003E2682"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Default="009D3141" w:rsidP="003E2682">
            <w:pPr>
              <w:pStyle w:val="BodyText"/>
              <w:jc w:val="both"/>
              <w:rPr>
                <w:rFonts w:ascii="Times New Roman" w:hAnsi="Times New Roman" w:cs="Times New Roman"/>
                <w:bCs/>
                <w:sz w:val="24"/>
                <w:szCs w:val="24"/>
                <w:lang w:val="fr-FR"/>
              </w:rPr>
            </w:pPr>
          </w:p>
          <w:p w:rsidR="00A420A7" w:rsidRPr="00863841" w:rsidRDefault="00A420A7"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sz w:val="24"/>
                <w:szCs w:val="24"/>
                <w:lang w:val="fr-FR"/>
              </w:rPr>
            </w:pPr>
            <w:r w:rsidRPr="00863841">
              <w:rPr>
                <w:rFonts w:ascii="Times New Roman" w:hAnsi="Times New Roman" w:cs="Times New Roman"/>
                <w:sz w:val="24"/>
                <w:szCs w:val="24"/>
                <w:lang w:val="fr-FR"/>
              </w:rPr>
              <w:t>Une méthodologie mise à jour a été rédigée et a été complétée en Juin 2012. Une réduction du nombre de SDE ciblées (de 1,800 à 1,000) a été proposée de façon à faire face aux difficultés rencontrées.</w:t>
            </w:r>
          </w:p>
          <w:p w:rsidR="009D3141" w:rsidRPr="00863841" w:rsidRDefault="009D3141" w:rsidP="003E2682">
            <w:pPr>
              <w:pStyle w:val="BodyText"/>
              <w:jc w:val="both"/>
              <w:rPr>
                <w:rFonts w:ascii="Times New Roman" w:hAnsi="Times New Roman" w:cs="Times New Roman"/>
                <w:sz w:val="24"/>
                <w:szCs w:val="24"/>
                <w:lang w:val="fr-FR"/>
              </w:rPr>
            </w:pPr>
          </w:p>
          <w:p w:rsidR="00863841" w:rsidRPr="00863841" w:rsidRDefault="000C3EF1" w:rsidP="000C3EF1">
            <w:pPr>
              <w:pStyle w:val="BodyText"/>
              <w:jc w:val="both"/>
              <w:rPr>
                <w:rFonts w:ascii="Times New Roman" w:hAnsi="Times New Roman" w:cs="Times New Roman"/>
                <w:bCs/>
                <w:sz w:val="24"/>
                <w:szCs w:val="24"/>
                <w:lang w:val="fr-FR"/>
              </w:rPr>
            </w:pPr>
            <w:r>
              <w:rPr>
                <w:rFonts w:ascii="Times New Roman" w:hAnsi="Times New Roman" w:cs="Times New Roman"/>
                <w:sz w:val="24"/>
                <w:szCs w:val="24"/>
                <w:lang w:val="fr-FR"/>
              </w:rPr>
              <w:t>A partir de cette période, 587</w:t>
            </w:r>
            <w:r w:rsidR="00863841" w:rsidRPr="00863841">
              <w:rPr>
                <w:rFonts w:ascii="Times New Roman" w:hAnsi="Times New Roman" w:cs="Times New Roman"/>
                <w:sz w:val="24"/>
                <w:szCs w:val="24"/>
                <w:lang w:val="fr-FR"/>
              </w:rPr>
              <w:t xml:space="preserve"> SDE ont été complétées.</w:t>
            </w:r>
          </w:p>
        </w:tc>
        <w:tc>
          <w:tcPr>
            <w:tcW w:w="3960" w:type="dxa"/>
            <w:shd w:val="clear" w:color="auto" w:fill="auto"/>
          </w:tcPr>
          <w:p w:rsidR="003E2682" w:rsidRPr="00863841" w:rsidRDefault="003E2682"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Default="009D3141" w:rsidP="003E2682">
            <w:pPr>
              <w:pStyle w:val="BodyText"/>
              <w:jc w:val="both"/>
              <w:rPr>
                <w:rFonts w:ascii="Times New Roman" w:hAnsi="Times New Roman" w:cs="Times New Roman"/>
                <w:bCs/>
                <w:sz w:val="24"/>
                <w:szCs w:val="24"/>
                <w:lang w:val="fr-FR"/>
              </w:rPr>
            </w:pPr>
          </w:p>
          <w:p w:rsidR="00A420A7" w:rsidRPr="00863841" w:rsidRDefault="00A420A7" w:rsidP="003E2682">
            <w:pPr>
              <w:pStyle w:val="BodyText"/>
              <w:jc w:val="both"/>
              <w:rPr>
                <w:rFonts w:ascii="Times New Roman" w:hAnsi="Times New Roman" w:cs="Times New Roman"/>
                <w:bCs/>
                <w:sz w:val="24"/>
                <w:szCs w:val="24"/>
                <w:lang w:val="fr-FR"/>
              </w:rPr>
            </w:pPr>
          </w:p>
          <w:p w:rsidR="00863841" w:rsidRPr="00863841" w:rsidRDefault="00040C93" w:rsidP="003E2682">
            <w:pPr>
              <w:pStyle w:val="BodyText"/>
              <w:jc w:val="both"/>
              <w:rPr>
                <w:rFonts w:ascii="Times New Roman" w:hAnsi="Times New Roman" w:cs="Times New Roman"/>
                <w:sz w:val="24"/>
                <w:szCs w:val="24"/>
                <w:lang w:val="fr-FR"/>
              </w:rPr>
            </w:pPr>
            <w:bookmarkStart w:id="3" w:name="OLE_LINK1"/>
            <w:r w:rsidRPr="00040C93">
              <w:rPr>
                <w:rFonts w:ascii="Times New Roman" w:hAnsi="Times New Roman" w:cs="Times New Roman"/>
                <w:sz w:val="24"/>
                <w:szCs w:val="24"/>
                <w:lang w:val="fr-FR"/>
              </w:rPr>
              <w:t xml:space="preserve">L’OIM et l’IHSI ont proposé de revoir le nombre initial de 1,800 </w:t>
            </w:r>
            <w:proofErr w:type="spellStart"/>
            <w:r w:rsidRPr="00040C93">
              <w:rPr>
                <w:rFonts w:ascii="Times New Roman" w:hAnsi="Times New Roman" w:cs="Times New Roman"/>
                <w:sz w:val="24"/>
                <w:szCs w:val="24"/>
                <w:lang w:val="fr-FR"/>
              </w:rPr>
              <w:t>SDEs</w:t>
            </w:r>
            <w:proofErr w:type="spellEnd"/>
            <w:r w:rsidRPr="00040C93">
              <w:rPr>
                <w:rFonts w:ascii="Times New Roman" w:hAnsi="Times New Roman" w:cs="Times New Roman"/>
                <w:sz w:val="24"/>
                <w:szCs w:val="24"/>
                <w:lang w:val="fr-FR"/>
              </w:rPr>
              <w:t xml:space="preserve"> visées par le projet, à la baisse et ont suggéré, de ramener les objectifs à 1,000 </w:t>
            </w:r>
            <w:proofErr w:type="spellStart"/>
            <w:r w:rsidRPr="00040C93">
              <w:rPr>
                <w:rFonts w:ascii="Times New Roman" w:hAnsi="Times New Roman" w:cs="Times New Roman"/>
                <w:sz w:val="24"/>
                <w:szCs w:val="24"/>
                <w:lang w:val="fr-FR"/>
              </w:rPr>
              <w:t>SDEs</w:t>
            </w:r>
            <w:proofErr w:type="spellEnd"/>
            <w:r w:rsidRPr="00040C93">
              <w:rPr>
                <w:rFonts w:ascii="Times New Roman" w:hAnsi="Times New Roman" w:cs="Times New Roman"/>
                <w:sz w:val="24"/>
                <w:szCs w:val="24"/>
                <w:lang w:val="fr-FR"/>
              </w:rPr>
              <w:t>. Cette révision a été adressée lors de la dernière rencontre du Comité National de Pilotage en Novembre 2013 et a été approuvée.</w:t>
            </w:r>
            <w:bookmarkEnd w:id="3"/>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bCs/>
                <w:sz w:val="24"/>
                <w:szCs w:val="24"/>
                <w:lang w:val="fr-FR"/>
              </w:rPr>
            </w:pPr>
          </w:p>
        </w:tc>
        <w:tc>
          <w:tcPr>
            <w:tcW w:w="3150" w:type="dxa"/>
            <w:shd w:val="clear" w:color="auto" w:fill="auto"/>
          </w:tcPr>
          <w:p w:rsidR="003E2682" w:rsidRPr="00863841" w:rsidRDefault="003E2682"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Default="009D3141" w:rsidP="003E2682">
            <w:pPr>
              <w:pStyle w:val="BodyText"/>
              <w:jc w:val="both"/>
              <w:rPr>
                <w:rFonts w:ascii="Times New Roman" w:hAnsi="Times New Roman" w:cs="Times New Roman"/>
                <w:bCs/>
                <w:sz w:val="24"/>
                <w:szCs w:val="24"/>
                <w:lang w:val="fr-FR"/>
              </w:rPr>
            </w:pPr>
          </w:p>
          <w:p w:rsidR="00A420A7" w:rsidRPr="00863841" w:rsidRDefault="00A420A7"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sz w:val="24"/>
                <w:szCs w:val="24"/>
                <w:lang w:val="fr-FR"/>
              </w:rPr>
            </w:pPr>
            <w:r w:rsidRPr="00863841">
              <w:rPr>
                <w:rFonts w:ascii="Times New Roman" w:hAnsi="Times New Roman" w:cs="Times New Roman"/>
                <w:sz w:val="24"/>
                <w:szCs w:val="24"/>
                <w:lang w:val="fr-FR"/>
              </w:rPr>
              <w:t>Document de la méthodologie du recensement</w:t>
            </w:r>
          </w:p>
          <w:p w:rsidR="009D3141" w:rsidRPr="00863841" w:rsidRDefault="009D3141" w:rsidP="003E2682">
            <w:pPr>
              <w:pStyle w:val="BodyText"/>
              <w:jc w:val="both"/>
              <w:rPr>
                <w:rFonts w:ascii="Times New Roman" w:hAnsi="Times New Roman" w:cs="Times New Roman"/>
                <w:sz w:val="24"/>
                <w:szCs w:val="24"/>
                <w:lang w:val="fr-FR"/>
              </w:rPr>
            </w:pPr>
          </w:p>
          <w:p w:rsidR="00863841" w:rsidRPr="00863841" w:rsidRDefault="000C3EF1" w:rsidP="003E2682">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Cahier de formulaires de recensement.</w:t>
            </w: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bCs/>
                <w:sz w:val="24"/>
                <w:szCs w:val="24"/>
                <w:lang w:val="fr-FR"/>
              </w:rPr>
            </w:pPr>
            <w:r w:rsidRPr="00863841">
              <w:rPr>
                <w:rFonts w:ascii="Times New Roman" w:hAnsi="Times New Roman" w:cs="Times New Roman"/>
                <w:sz w:val="24"/>
                <w:szCs w:val="24"/>
                <w:lang w:val="fr-FR"/>
              </w:rPr>
              <w:t>Cartes et rapports produits</w:t>
            </w:r>
          </w:p>
        </w:tc>
      </w:tr>
      <w:tr w:rsidR="000B332C" w:rsidRPr="004A058E">
        <w:tc>
          <w:tcPr>
            <w:tcW w:w="4265" w:type="dxa"/>
            <w:shd w:val="clear" w:color="auto" w:fill="auto"/>
          </w:tcPr>
          <w:p w:rsidR="000B332C" w:rsidRDefault="000B332C" w:rsidP="000B332C">
            <w:pPr>
              <w:rPr>
                <w:bCs/>
                <w:lang w:val="fr-FR"/>
              </w:rPr>
            </w:pPr>
            <w:r>
              <w:rPr>
                <w:b/>
                <w:lang w:val="fr-FR"/>
              </w:rPr>
              <w:lastRenderedPageBreak/>
              <w:t>Produit</w:t>
            </w:r>
            <w:r w:rsidRPr="00E3532D">
              <w:rPr>
                <w:b/>
                <w:lang w:val="fr-FR"/>
              </w:rPr>
              <w:t xml:space="preserve"> 1.</w:t>
            </w:r>
            <w:r>
              <w:rPr>
                <w:b/>
                <w:lang w:val="fr-FR"/>
              </w:rPr>
              <w:t>3</w:t>
            </w:r>
            <w:r>
              <w:rPr>
                <w:lang w:val="fr-FR"/>
              </w:rPr>
              <w:t> :</w:t>
            </w:r>
            <w:r w:rsidRPr="00C47A8E">
              <w:rPr>
                <w:bCs/>
                <w:lang w:val="fr-FR"/>
              </w:rPr>
              <w:t xml:space="preserve"> Base de données pour la </w:t>
            </w:r>
            <w:r w:rsidRPr="00A420A7">
              <w:rPr>
                <w:bCs/>
                <w:lang w:val="fr-FR"/>
              </w:rPr>
              <w:t>cartographie, inventaire des bâtiments et données du recensement développée et logée à l’IHSI</w:t>
            </w:r>
          </w:p>
          <w:p w:rsidR="00A420A7" w:rsidRPr="00A420A7" w:rsidRDefault="00A420A7" w:rsidP="000B332C">
            <w:pPr>
              <w:rPr>
                <w:bCs/>
                <w:lang w:val="fr-FR"/>
              </w:rPr>
            </w:pPr>
          </w:p>
          <w:p w:rsidR="000B332C" w:rsidRPr="00A420A7" w:rsidRDefault="000B332C" w:rsidP="000B332C">
            <w:pPr>
              <w:rPr>
                <w:lang w:val="fr-FR"/>
              </w:rPr>
            </w:pPr>
            <w:r w:rsidRPr="00A420A7">
              <w:rPr>
                <w:b/>
                <w:lang w:val="fr-FR"/>
              </w:rPr>
              <w:t xml:space="preserve">Indicateur  1.3.1 : </w:t>
            </w:r>
            <w:r w:rsidRPr="00A420A7">
              <w:rPr>
                <w:lang w:val="fr-FR"/>
              </w:rPr>
              <w:t xml:space="preserve">Base de données établie pour stocker les informations et faciliter l’analyse de toutes les données recueillies durant le projet. </w:t>
            </w:r>
          </w:p>
          <w:p w:rsidR="000B332C" w:rsidRPr="00A420A7" w:rsidRDefault="000B332C" w:rsidP="000B332C">
            <w:pPr>
              <w:rPr>
                <w:lang w:val="fr-FR"/>
              </w:rPr>
            </w:pPr>
            <w:r w:rsidRPr="00A420A7">
              <w:rPr>
                <w:b/>
                <w:lang w:val="fr-FR"/>
              </w:rPr>
              <w:t xml:space="preserve">Indicateur de référence: </w:t>
            </w:r>
            <w:r w:rsidRPr="00A420A7">
              <w:rPr>
                <w:lang w:val="fr-FR"/>
              </w:rPr>
              <w:t>Les bases de données existantes (qui sont dépassées et devraient être mises à jour) est disponible à l’IHSI et est utilisée comme un point de départ pour le développement de cette nouvelle base de données.</w:t>
            </w:r>
          </w:p>
          <w:p w:rsidR="000B332C" w:rsidRPr="00040C93" w:rsidRDefault="000B332C" w:rsidP="000B332C">
            <w:pPr>
              <w:rPr>
                <w:lang w:val="fr-FR"/>
              </w:rPr>
            </w:pPr>
            <w:r w:rsidRPr="00A420A7">
              <w:rPr>
                <w:b/>
                <w:lang w:val="fr-FR"/>
              </w:rPr>
              <w:t>Indicateur cible:</w:t>
            </w:r>
            <w:r w:rsidRPr="00A420A7">
              <w:rPr>
                <w:lang w:val="fr-FR"/>
              </w:rPr>
              <w:t xml:space="preserve"> Base de données nouvelle et améliorée, développée and logée à l’IHSI pour remplacer la version dépassée.</w:t>
            </w:r>
          </w:p>
        </w:tc>
        <w:tc>
          <w:tcPr>
            <w:tcW w:w="3745" w:type="dxa"/>
            <w:shd w:val="clear" w:color="auto" w:fill="auto"/>
          </w:tcPr>
          <w:p w:rsidR="000B332C" w:rsidRDefault="000B332C" w:rsidP="003E2682">
            <w:pPr>
              <w:pStyle w:val="BodyText"/>
              <w:jc w:val="both"/>
              <w:rPr>
                <w:rFonts w:ascii="Times New Roman" w:hAnsi="Times New Roman" w:cs="Times New Roman"/>
                <w:bCs/>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B332C" w:rsidRPr="000B332C" w:rsidRDefault="000B332C" w:rsidP="000C3EF1">
            <w:pPr>
              <w:pStyle w:val="BodyText"/>
              <w:jc w:val="both"/>
              <w:rPr>
                <w:rFonts w:ascii="Times New Roman" w:hAnsi="Times New Roman" w:cs="Times New Roman"/>
                <w:bCs/>
                <w:sz w:val="24"/>
                <w:szCs w:val="24"/>
                <w:lang w:val="fr-FR"/>
              </w:rPr>
            </w:pPr>
            <w:r w:rsidRPr="000B332C">
              <w:rPr>
                <w:rFonts w:ascii="Times New Roman" w:hAnsi="Times New Roman" w:cs="Times New Roman"/>
                <w:sz w:val="24"/>
                <w:szCs w:val="24"/>
                <w:lang w:val="fr-FR"/>
              </w:rPr>
              <w:t xml:space="preserve">La base de données pour l’inventaire des bâtiments et les informations géo-spatiales a été établie et  transféré dans les locaux de l’IHSI en Mars 2012. </w:t>
            </w:r>
          </w:p>
        </w:tc>
        <w:tc>
          <w:tcPr>
            <w:tcW w:w="3960" w:type="dxa"/>
            <w:shd w:val="clear" w:color="auto" w:fill="auto"/>
          </w:tcPr>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B332C" w:rsidRPr="00863841" w:rsidRDefault="00040C93" w:rsidP="003E2682">
            <w:pPr>
              <w:pStyle w:val="BodyText"/>
              <w:jc w:val="both"/>
              <w:rPr>
                <w:rFonts w:ascii="Times New Roman" w:hAnsi="Times New Roman" w:cs="Times New Roman"/>
                <w:bCs/>
                <w:sz w:val="24"/>
                <w:szCs w:val="24"/>
                <w:lang w:val="fr-FR"/>
              </w:rPr>
            </w:pPr>
            <w:r w:rsidRPr="00040C93">
              <w:rPr>
                <w:rFonts w:ascii="Times New Roman" w:hAnsi="Times New Roman" w:cs="Times New Roman"/>
                <w:bCs/>
                <w:sz w:val="24"/>
                <w:szCs w:val="24"/>
                <w:lang w:val="fr-FR"/>
              </w:rPr>
              <w:t>L’analyse finale des données demeure non réalisée, en attente du réengagement du consultant du FNUAP pour finalisation du rapport d’analyse final.</w:t>
            </w:r>
          </w:p>
        </w:tc>
        <w:tc>
          <w:tcPr>
            <w:tcW w:w="3150" w:type="dxa"/>
            <w:shd w:val="clear" w:color="auto" w:fill="auto"/>
          </w:tcPr>
          <w:p w:rsidR="000B332C" w:rsidRPr="00863841" w:rsidRDefault="000B332C" w:rsidP="003E2682">
            <w:pPr>
              <w:pStyle w:val="BodyText"/>
              <w:jc w:val="both"/>
              <w:rPr>
                <w:rFonts w:ascii="Times New Roman" w:hAnsi="Times New Roman" w:cs="Times New Roman"/>
                <w:bCs/>
                <w:sz w:val="24"/>
                <w:szCs w:val="24"/>
                <w:lang w:val="fr-FR"/>
              </w:rPr>
            </w:pPr>
          </w:p>
        </w:tc>
      </w:tr>
      <w:tr w:rsidR="000B332C" w:rsidRPr="004A058E">
        <w:tc>
          <w:tcPr>
            <w:tcW w:w="4265" w:type="dxa"/>
            <w:shd w:val="clear" w:color="auto" w:fill="auto"/>
          </w:tcPr>
          <w:p w:rsidR="000B332C" w:rsidRPr="00A420A7" w:rsidRDefault="000B332C" w:rsidP="000B332C">
            <w:pPr>
              <w:rPr>
                <w:bCs/>
                <w:lang w:val="fr-FR"/>
              </w:rPr>
            </w:pPr>
            <w:r w:rsidRPr="00A420A7">
              <w:rPr>
                <w:b/>
                <w:lang w:val="fr-FR"/>
              </w:rPr>
              <w:t>Produit 1.4</w:t>
            </w:r>
            <w:r w:rsidRPr="00A420A7">
              <w:rPr>
                <w:lang w:val="fr-FR"/>
              </w:rPr>
              <w:t> :</w:t>
            </w:r>
            <w:r w:rsidRPr="00A420A7">
              <w:rPr>
                <w:bCs/>
                <w:lang w:val="fr-FR"/>
              </w:rPr>
              <w:t xml:space="preserve"> L’établissement de l’IHSI rénové pour assurer la mise en œuvre </w:t>
            </w:r>
            <w:r w:rsidRPr="00A420A7">
              <w:rPr>
                <w:bCs/>
                <w:lang w:val="fr-FR"/>
              </w:rPr>
              <w:lastRenderedPageBreak/>
              <w:t>efficace et durable des données et équipements et aussi améliorer la capacité de l’institut à effectuer d’autres activités.</w:t>
            </w:r>
          </w:p>
          <w:p w:rsidR="00A420A7" w:rsidRDefault="00A420A7" w:rsidP="000B332C">
            <w:pPr>
              <w:rPr>
                <w:b/>
                <w:lang w:val="fr-FR"/>
              </w:rPr>
            </w:pPr>
          </w:p>
          <w:p w:rsidR="000B332C" w:rsidRPr="00A420A7" w:rsidRDefault="000B332C" w:rsidP="000B332C">
            <w:pPr>
              <w:rPr>
                <w:lang w:val="fr-FR"/>
              </w:rPr>
            </w:pPr>
            <w:r w:rsidRPr="00A420A7">
              <w:rPr>
                <w:b/>
                <w:lang w:val="fr-FR"/>
              </w:rPr>
              <w:t xml:space="preserve">Indicateur  1.4.1 : </w:t>
            </w:r>
            <w:r w:rsidRPr="00A420A7">
              <w:rPr>
                <w:lang w:val="fr-FR"/>
              </w:rPr>
              <w:t>Bâtiment de l’IHSI réparé et rénové.</w:t>
            </w:r>
          </w:p>
          <w:p w:rsidR="000B332C" w:rsidRPr="00A420A7" w:rsidRDefault="000B332C" w:rsidP="000B332C">
            <w:pPr>
              <w:rPr>
                <w:lang w:val="fr-FR"/>
              </w:rPr>
            </w:pPr>
            <w:r w:rsidRPr="00A420A7">
              <w:rPr>
                <w:b/>
                <w:lang w:val="fr-FR"/>
              </w:rPr>
              <w:t>Indicateur de référence :</w:t>
            </w:r>
            <w:r w:rsidRPr="00A420A7">
              <w:rPr>
                <w:lang w:val="fr-FR"/>
              </w:rPr>
              <w:t xml:space="preserve"> Il fallait que le bâtiment et les circuits électriques (i.e. le câblage électrique, connections de réseaux) de l’IHSI  soit réparés/remplacés</w:t>
            </w:r>
          </w:p>
          <w:p w:rsidR="000B332C" w:rsidRPr="00A420A7" w:rsidRDefault="000B332C" w:rsidP="000B332C">
            <w:pPr>
              <w:rPr>
                <w:bCs/>
                <w:lang w:val="fr-FR"/>
              </w:rPr>
            </w:pPr>
            <w:r w:rsidRPr="00A420A7">
              <w:rPr>
                <w:b/>
                <w:lang w:val="fr-FR"/>
              </w:rPr>
              <w:t>Indicateur cible:</w:t>
            </w:r>
            <w:r w:rsidRPr="00A420A7">
              <w:rPr>
                <w:lang w:val="fr-FR"/>
              </w:rPr>
              <w:t xml:space="preserve"> Le bâtiment et les installations de l’IHSI rénovés</w:t>
            </w:r>
          </w:p>
          <w:p w:rsidR="000B332C" w:rsidRPr="00A420A7" w:rsidRDefault="000B332C" w:rsidP="000B332C">
            <w:pPr>
              <w:rPr>
                <w:b/>
                <w:lang w:val="fr-FR"/>
              </w:rPr>
            </w:pPr>
          </w:p>
          <w:p w:rsidR="000B332C" w:rsidRPr="00A420A7" w:rsidRDefault="000B332C" w:rsidP="000B332C">
            <w:pPr>
              <w:rPr>
                <w:lang w:val="fr-FR"/>
              </w:rPr>
            </w:pPr>
            <w:r w:rsidRPr="00A420A7">
              <w:rPr>
                <w:b/>
                <w:lang w:val="fr-FR"/>
              </w:rPr>
              <w:t xml:space="preserve">Indicateur  1.4.2 : </w:t>
            </w:r>
            <w:r w:rsidR="00C458CE" w:rsidRPr="00A420A7">
              <w:rPr>
                <w:lang w:val="fr-FR"/>
              </w:rPr>
              <w:t>Equipement fournis pour faciliter la mise en œuvre et le transfert durable  à l’IHSI.</w:t>
            </w:r>
          </w:p>
          <w:p w:rsidR="000B332C" w:rsidRPr="00A420A7" w:rsidRDefault="000B332C" w:rsidP="000B332C">
            <w:pPr>
              <w:rPr>
                <w:lang w:val="fr-FR"/>
              </w:rPr>
            </w:pPr>
            <w:r w:rsidRPr="00A420A7">
              <w:rPr>
                <w:b/>
                <w:lang w:val="fr-FR"/>
              </w:rPr>
              <w:t>Indicateur de référence :</w:t>
            </w:r>
            <w:r w:rsidRPr="00A420A7">
              <w:rPr>
                <w:lang w:val="fr-FR"/>
              </w:rPr>
              <w:t xml:space="preserve"> </w:t>
            </w:r>
            <w:r w:rsidR="00C458CE" w:rsidRPr="00A420A7">
              <w:rPr>
                <w:lang w:val="fr-FR"/>
              </w:rPr>
              <w:t>Il manque présentement au bâtiment de l’IHSI les équipements de bases tel que les ordinateurs et véhicules pour effectuer les activités de recensement et de cartographie.</w:t>
            </w:r>
          </w:p>
          <w:p w:rsidR="000B332C" w:rsidRPr="00A420A7" w:rsidRDefault="000B332C" w:rsidP="000B332C">
            <w:pPr>
              <w:rPr>
                <w:bCs/>
                <w:lang w:val="fr-FR"/>
              </w:rPr>
            </w:pPr>
            <w:r w:rsidRPr="00A420A7">
              <w:rPr>
                <w:b/>
                <w:lang w:val="fr-FR"/>
              </w:rPr>
              <w:t>Indicateur cible:</w:t>
            </w:r>
            <w:r w:rsidRPr="00A420A7">
              <w:rPr>
                <w:lang w:val="fr-FR"/>
              </w:rPr>
              <w:t xml:space="preserve"> </w:t>
            </w:r>
            <w:r w:rsidR="00C458CE" w:rsidRPr="00A420A7">
              <w:rPr>
                <w:lang w:val="fr-FR"/>
              </w:rPr>
              <w:t>Des équipements identifiées conjointement avec l’IHSI, ont été acquis et donnés l’institut pour renforcer leur capacité à effectuer leurs activités quotidiennes concernant le projet et aussi pour venir en support au prochain recensement national.</w:t>
            </w:r>
          </w:p>
          <w:p w:rsidR="000B332C" w:rsidRDefault="000B332C" w:rsidP="000B332C">
            <w:pPr>
              <w:rPr>
                <w:b/>
                <w:lang w:val="fr-FR"/>
              </w:rPr>
            </w:pPr>
          </w:p>
        </w:tc>
        <w:tc>
          <w:tcPr>
            <w:tcW w:w="3745" w:type="dxa"/>
            <w:shd w:val="clear" w:color="auto" w:fill="auto"/>
          </w:tcPr>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A420A7" w:rsidRDefault="00A420A7"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sz w:val="24"/>
                <w:szCs w:val="24"/>
                <w:lang w:val="fr-FR"/>
              </w:rPr>
            </w:pPr>
            <w:r w:rsidRPr="000B332C">
              <w:rPr>
                <w:rFonts w:ascii="Times New Roman" w:hAnsi="Times New Roman" w:cs="Times New Roman"/>
                <w:sz w:val="24"/>
                <w:szCs w:val="24"/>
                <w:lang w:val="fr-FR"/>
              </w:rPr>
              <w:t xml:space="preserve">Les réparations du bâtiment de l’IHSI ont été complétées depuis Mars 2012. Le bâtiment de l’IHSI est présentement fonctionnel et abritent les employés du projet et les bases de données.  </w:t>
            </w:r>
          </w:p>
          <w:p w:rsidR="00C458CE" w:rsidRDefault="00C458CE" w:rsidP="003E2682">
            <w:pPr>
              <w:pStyle w:val="BodyText"/>
              <w:jc w:val="both"/>
              <w:rPr>
                <w:rFonts w:ascii="Times New Roman" w:hAnsi="Times New Roman" w:cs="Times New Roman"/>
                <w:sz w:val="24"/>
                <w:szCs w:val="24"/>
                <w:lang w:val="fr-FR"/>
              </w:rPr>
            </w:pPr>
          </w:p>
          <w:p w:rsidR="00C458CE" w:rsidRDefault="00C458CE" w:rsidP="003E2682">
            <w:pPr>
              <w:pStyle w:val="BodyText"/>
              <w:jc w:val="both"/>
              <w:rPr>
                <w:rFonts w:ascii="Times New Roman" w:hAnsi="Times New Roman" w:cs="Times New Roman"/>
                <w:sz w:val="24"/>
                <w:szCs w:val="24"/>
                <w:lang w:val="fr-FR"/>
              </w:rPr>
            </w:pPr>
          </w:p>
          <w:p w:rsidR="00C458CE" w:rsidRDefault="00C458CE" w:rsidP="003E2682">
            <w:pPr>
              <w:pStyle w:val="BodyText"/>
              <w:jc w:val="both"/>
              <w:rPr>
                <w:rFonts w:ascii="Times New Roman" w:hAnsi="Times New Roman" w:cs="Times New Roman"/>
                <w:sz w:val="24"/>
                <w:szCs w:val="24"/>
                <w:lang w:val="fr-FR"/>
              </w:rPr>
            </w:pPr>
          </w:p>
          <w:p w:rsidR="00C458CE" w:rsidRPr="00C458CE" w:rsidRDefault="00C458CE" w:rsidP="000C3EF1">
            <w:pPr>
              <w:pStyle w:val="BodyText"/>
              <w:jc w:val="both"/>
              <w:rPr>
                <w:rFonts w:ascii="Times New Roman" w:hAnsi="Times New Roman" w:cs="Times New Roman"/>
                <w:bCs/>
                <w:sz w:val="24"/>
                <w:szCs w:val="24"/>
                <w:lang w:val="fr-FR"/>
              </w:rPr>
            </w:pPr>
            <w:r w:rsidRPr="00C458CE">
              <w:rPr>
                <w:rFonts w:ascii="Times New Roman" w:hAnsi="Times New Roman" w:cs="Times New Roman"/>
                <w:sz w:val="24"/>
                <w:szCs w:val="24"/>
                <w:lang w:val="fr-FR"/>
              </w:rPr>
              <w:t xml:space="preserve">A partir de Décembre 2012, 100% des équipements nécessaires au projet ont été acquis. </w:t>
            </w:r>
            <w:r w:rsidR="000C3EF1">
              <w:rPr>
                <w:rFonts w:ascii="Times New Roman" w:hAnsi="Times New Roman" w:cs="Times New Roman"/>
                <w:sz w:val="24"/>
                <w:szCs w:val="24"/>
                <w:lang w:val="fr-FR"/>
              </w:rPr>
              <w:t>Durant le mois d’Octobre 2013, 1</w:t>
            </w:r>
            <w:r w:rsidRPr="00C458CE">
              <w:rPr>
                <w:rFonts w:ascii="Times New Roman" w:hAnsi="Times New Roman" w:cs="Times New Roman"/>
                <w:sz w:val="24"/>
                <w:szCs w:val="24"/>
                <w:lang w:val="fr-FR"/>
              </w:rPr>
              <w:t>0%</w:t>
            </w:r>
            <w:r w:rsidRPr="00C458CE">
              <w:rPr>
                <w:rStyle w:val="FootnoteReference"/>
                <w:rFonts w:ascii="Times New Roman" w:hAnsi="Times New Roman" w:cs="Times New Roman"/>
                <w:sz w:val="24"/>
                <w:szCs w:val="24"/>
                <w:lang w:val="fr-FR"/>
              </w:rPr>
              <w:footnoteReference w:id="3"/>
            </w:r>
            <w:r w:rsidRPr="00C458CE">
              <w:rPr>
                <w:rFonts w:ascii="Times New Roman" w:hAnsi="Times New Roman" w:cs="Times New Roman"/>
                <w:sz w:val="24"/>
                <w:szCs w:val="24"/>
                <w:lang w:val="fr-FR"/>
              </w:rPr>
              <w:t xml:space="preserve"> des équipements </w:t>
            </w:r>
            <w:r w:rsidR="000C3EF1">
              <w:rPr>
                <w:rFonts w:ascii="Times New Roman" w:hAnsi="Times New Roman" w:cs="Times New Roman"/>
                <w:sz w:val="24"/>
                <w:szCs w:val="24"/>
                <w:lang w:val="fr-FR"/>
              </w:rPr>
              <w:t xml:space="preserve"> restants</w:t>
            </w:r>
            <w:r w:rsidR="000C3EF1" w:rsidRPr="00C458CE">
              <w:rPr>
                <w:rFonts w:ascii="Times New Roman" w:hAnsi="Times New Roman" w:cs="Times New Roman"/>
                <w:sz w:val="24"/>
                <w:szCs w:val="24"/>
                <w:lang w:val="fr-FR"/>
              </w:rPr>
              <w:t xml:space="preserve"> </w:t>
            </w:r>
            <w:r w:rsidRPr="00C458CE">
              <w:rPr>
                <w:rFonts w:ascii="Times New Roman" w:hAnsi="Times New Roman" w:cs="Times New Roman"/>
                <w:sz w:val="24"/>
                <w:szCs w:val="24"/>
                <w:lang w:val="fr-FR"/>
              </w:rPr>
              <w:t>ont été livrés à l’IHSI.</w:t>
            </w:r>
          </w:p>
        </w:tc>
        <w:tc>
          <w:tcPr>
            <w:tcW w:w="3960" w:type="dxa"/>
            <w:shd w:val="clear" w:color="auto" w:fill="auto"/>
          </w:tcPr>
          <w:p w:rsidR="000B332C" w:rsidRPr="00863841" w:rsidRDefault="000B332C" w:rsidP="003E2682">
            <w:pPr>
              <w:pStyle w:val="BodyText"/>
              <w:jc w:val="both"/>
              <w:rPr>
                <w:rFonts w:ascii="Times New Roman" w:hAnsi="Times New Roman" w:cs="Times New Roman"/>
                <w:bCs/>
                <w:sz w:val="24"/>
                <w:szCs w:val="24"/>
                <w:lang w:val="fr-FR"/>
              </w:rPr>
            </w:pPr>
          </w:p>
        </w:tc>
        <w:tc>
          <w:tcPr>
            <w:tcW w:w="3150" w:type="dxa"/>
            <w:shd w:val="clear" w:color="auto" w:fill="auto"/>
          </w:tcPr>
          <w:p w:rsidR="000B332C" w:rsidRPr="00863841" w:rsidRDefault="000B332C" w:rsidP="003E2682">
            <w:pPr>
              <w:pStyle w:val="BodyText"/>
              <w:jc w:val="both"/>
              <w:rPr>
                <w:rFonts w:ascii="Times New Roman" w:hAnsi="Times New Roman" w:cs="Times New Roman"/>
                <w:bCs/>
                <w:sz w:val="24"/>
                <w:szCs w:val="24"/>
                <w:lang w:val="fr-FR"/>
              </w:rPr>
            </w:pPr>
          </w:p>
        </w:tc>
      </w:tr>
      <w:tr w:rsidR="00E15B9B" w:rsidRPr="004A058E" w:rsidTr="00E15B9B">
        <w:trPr>
          <w:trHeight w:val="5394"/>
        </w:trPr>
        <w:tc>
          <w:tcPr>
            <w:tcW w:w="4265" w:type="dxa"/>
            <w:shd w:val="clear" w:color="auto" w:fill="auto"/>
          </w:tcPr>
          <w:p w:rsidR="00E15B9B" w:rsidRPr="00A420A7" w:rsidRDefault="00E15B9B" w:rsidP="003F424C">
            <w:pPr>
              <w:rPr>
                <w:bCs/>
                <w:lang w:val="fr-FR"/>
              </w:rPr>
            </w:pPr>
            <w:r w:rsidRPr="00A420A7">
              <w:rPr>
                <w:b/>
                <w:lang w:val="fr-FR"/>
              </w:rPr>
              <w:lastRenderedPageBreak/>
              <w:t>Produit 1.5</w:t>
            </w:r>
            <w:r w:rsidRPr="00A420A7">
              <w:rPr>
                <w:lang w:val="fr-FR"/>
              </w:rPr>
              <w:t xml:space="preserve"> : </w:t>
            </w:r>
            <w:r w:rsidRPr="00A420A7">
              <w:rPr>
                <w:bCs/>
                <w:lang w:val="fr-FR"/>
              </w:rPr>
              <w:t>Données disponibles et facilement intégrables dans la base de données SILQ</w:t>
            </w:r>
            <w:r w:rsidRPr="00A420A7">
              <w:rPr>
                <w:rStyle w:val="FootnoteReference"/>
                <w:bCs/>
                <w:lang w:val="fr-FR"/>
              </w:rPr>
              <w:footnoteReference w:id="4"/>
            </w:r>
            <w:r w:rsidRPr="00A420A7">
              <w:rPr>
                <w:bCs/>
                <w:lang w:val="fr-FR"/>
              </w:rPr>
              <w:t xml:space="preserve"> pour partager avec les acteurs de la reconstruction.</w:t>
            </w:r>
          </w:p>
          <w:p w:rsidR="00A420A7" w:rsidRDefault="00A420A7" w:rsidP="003F424C">
            <w:pPr>
              <w:rPr>
                <w:b/>
                <w:lang w:val="fr-FR"/>
              </w:rPr>
            </w:pPr>
          </w:p>
          <w:p w:rsidR="00E15B9B" w:rsidRPr="00A420A7" w:rsidRDefault="00E15B9B" w:rsidP="003F424C">
            <w:pPr>
              <w:rPr>
                <w:b/>
                <w:lang w:val="fr-FR"/>
              </w:rPr>
            </w:pPr>
            <w:r w:rsidRPr="00A420A7">
              <w:rPr>
                <w:b/>
                <w:lang w:val="fr-FR"/>
              </w:rPr>
              <w:t xml:space="preserve">Indicateur  1.5.1 : </w:t>
            </w:r>
            <w:r w:rsidRPr="00A420A7">
              <w:rPr>
                <w:lang w:val="fr-FR"/>
              </w:rPr>
              <w:t>Le format et le type de données recueillies complémentent ceux qui ont été planifiés pour la base de données du SILQ.</w:t>
            </w:r>
          </w:p>
          <w:p w:rsidR="00E15B9B" w:rsidRPr="00A420A7" w:rsidRDefault="00E15B9B" w:rsidP="003E2682">
            <w:pPr>
              <w:rPr>
                <w:b/>
                <w:lang w:val="fr-FR"/>
              </w:rPr>
            </w:pPr>
            <w:r w:rsidRPr="00A420A7">
              <w:rPr>
                <w:b/>
                <w:lang w:val="fr-FR"/>
              </w:rPr>
              <w:t xml:space="preserve">Indicateur de référence: </w:t>
            </w:r>
            <w:r w:rsidRPr="00A420A7">
              <w:rPr>
                <w:lang w:val="fr-FR"/>
              </w:rPr>
              <w:t>La base de données SILQ est en train d’être établie par le CNIGS et ONU-Habitat.</w:t>
            </w:r>
          </w:p>
          <w:p w:rsidR="00E15B9B" w:rsidRPr="00A420A7" w:rsidRDefault="00E15B9B" w:rsidP="003E2682">
            <w:pPr>
              <w:rPr>
                <w:b/>
                <w:lang w:val="fr-FR"/>
              </w:rPr>
            </w:pPr>
            <w:r w:rsidRPr="00A420A7">
              <w:rPr>
                <w:b/>
                <w:lang w:val="fr-FR"/>
              </w:rPr>
              <w:t>Indicateur cible:</w:t>
            </w:r>
            <w:r w:rsidRPr="00A420A7">
              <w:rPr>
                <w:lang w:val="fr-FR"/>
              </w:rPr>
              <w:t xml:space="preserve"> La base de données et les données recueillies peuvent être facilement intégrées dans la base de données du SILQ. La présence du consultant du CNIGS travaillant au sein de l’IHSI aidera à la finalisation du protocole de partage des données nécessaires entre le CNIGS. et l’IHSI.</w:t>
            </w:r>
          </w:p>
          <w:p w:rsidR="00E15B9B" w:rsidRDefault="00E15B9B" w:rsidP="003E2682">
            <w:pPr>
              <w:pStyle w:val="BodyText"/>
              <w:jc w:val="both"/>
              <w:rPr>
                <w:b/>
                <w:lang w:val="fr-FR"/>
              </w:rPr>
            </w:pPr>
          </w:p>
        </w:tc>
        <w:tc>
          <w:tcPr>
            <w:tcW w:w="3745" w:type="dxa"/>
            <w:shd w:val="clear" w:color="auto" w:fill="auto"/>
          </w:tcPr>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0C3EF1" w:rsidRPr="000C3EF1" w:rsidRDefault="000C3EF1" w:rsidP="000C3EF1">
            <w:pPr>
              <w:pStyle w:val="BodyText"/>
              <w:jc w:val="both"/>
              <w:rPr>
                <w:rFonts w:ascii="Times New Roman" w:hAnsi="Times New Roman" w:cs="Times New Roman"/>
                <w:sz w:val="24"/>
                <w:szCs w:val="24"/>
                <w:lang w:val="fr-FR"/>
              </w:rPr>
            </w:pPr>
            <w:r w:rsidRPr="000C3EF1">
              <w:rPr>
                <w:rFonts w:ascii="Times New Roman" w:hAnsi="Times New Roman" w:cs="Times New Roman"/>
                <w:sz w:val="24"/>
                <w:szCs w:val="24"/>
                <w:lang w:val="fr-FR"/>
              </w:rPr>
              <w:t>Durant le mois d’Octobre 2013, les équipes techniques OIM et IHSI ont travaillé de concert pour finaliser l’harmonisation des bases de données cartographie et inventaires des bâtiments.</w:t>
            </w:r>
          </w:p>
          <w:p w:rsidR="000C3EF1" w:rsidRPr="000C3EF1" w:rsidRDefault="000C3EF1" w:rsidP="000C3EF1">
            <w:pPr>
              <w:pStyle w:val="BodyText"/>
              <w:jc w:val="both"/>
              <w:rPr>
                <w:rFonts w:ascii="Times New Roman" w:hAnsi="Times New Roman" w:cs="Times New Roman"/>
                <w:sz w:val="24"/>
                <w:szCs w:val="24"/>
                <w:lang w:val="fr-FR"/>
              </w:rPr>
            </w:pPr>
          </w:p>
          <w:p w:rsidR="000C3EF1" w:rsidRDefault="000C3EF1" w:rsidP="000C3EF1">
            <w:pPr>
              <w:pStyle w:val="BodyText"/>
              <w:jc w:val="both"/>
              <w:rPr>
                <w:rFonts w:ascii="Times New Roman" w:hAnsi="Times New Roman" w:cs="Times New Roman"/>
                <w:sz w:val="24"/>
                <w:szCs w:val="24"/>
                <w:lang w:val="fr-FR"/>
              </w:rPr>
            </w:pPr>
            <w:r w:rsidRPr="000C3EF1">
              <w:rPr>
                <w:rFonts w:ascii="Times New Roman" w:hAnsi="Times New Roman" w:cs="Times New Roman"/>
                <w:sz w:val="24"/>
                <w:szCs w:val="24"/>
                <w:lang w:val="fr-FR"/>
              </w:rPr>
              <w:t xml:space="preserve">La base de données en </w:t>
            </w:r>
            <w:proofErr w:type="spellStart"/>
            <w:r w:rsidRPr="000C3EF1">
              <w:rPr>
                <w:rFonts w:ascii="Times New Roman" w:hAnsi="Times New Roman" w:cs="Times New Roman"/>
                <w:sz w:val="24"/>
                <w:szCs w:val="24"/>
                <w:lang w:val="fr-FR"/>
              </w:rPr>
              <w:t>CSPro</w:t>
            </w:r>
            <w:proofErr w:type="spellEnd"/>
            <w:r w:rsidRPr="000C3EF1">
              <w:rPr>
                <w:rFonts w:ascii="Times New Roman" w:hAnsi="Times New Roman" w:cs="Times New Roman"/>
                <w:sz w:val="24"/>
                <w:szCs w:val="24"/>
                <w:lang w:val="fr-FR"/>
              </w:rPr>
              <w:t xml:space="preserve"> établie à l’IHSI durant la période de Juin 2012, a été convertie en SQL pour assurer une meilleure harmonisation avec les bases de données cartographiques de l’IHSI.</w:t>
            </w:r>
          </w:p>
          <w:p w:rsidR="000C3EF1" w:rsidRDefault="000C3EF1" w:rsidP="000C3EF1">
            <w:pPr>
              <w:pStyle w:val="BodyText"/>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 </w:t>
            </w:r>
          </w:p>
          <w:p w:rsidR="00E15B9B" w:rsidRDefault="000C3EF1" w:rsidP="000C3EF1">
            <w:pPr>
              <w:pStyle w:val="BodyText"/>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L</w:t>
            </w:r>
            <w:r w:rsidRPr="000C3EF1">
              <w:rPr>
                <w:rFonts w:ascii="Times New Roman" w:hAnsi="Times New Roman" w:cs="Times New Roman"/>
                <w:color w:val="000000"/>
                <w:sz w:val="24"/>
                <w:szCs w:val="24"/>
                <w:lang w:val="fr-FR"/>
              </w:rPr>
              <w:t>es deux bases de données (</w:t>
            </w:r>
            <w:r w:rsidR="00435EDF" w:rsidRPr="000C3EF1">
              <w:rPr>
                <w:rFonts w:ascii="Times New Roman" w:hAnsi="Times New Roman" w:cs="Times New Roman"/>
                <w:color w:val="000000"/>
                <w:sz w:val="24"/>
                <w:szCs w:val="24"/>
                <w:lang w:val="fr-FR"/>
              </w:rPr>
              <w:t>cartographiques</w:t>
            </w:r>
            <w:r w:rsidRPr="000C3EF1">
              <w:rPr>
                <w:rFonts w:ascii="Times New Roman" w:hAnsi="Times New Roman" w:cs="Times New Roman"/>
                <w:color w:val="000000"/>
                <w:sz w:val="24"/>
                <w:szCs w:val="24"/>
                <w:lang w:val="fr-FR"/>
              </w:rPr>
              <w:t xml:space="preserve"> et dénombrement des ménages) ont été transférées au CNIGS pour être insérées sur la Plate-Forme du système intégré des données devant être utilisé par les différents partenaires du projet.</w:t>
            </w:r>
          </w:p>
          <w:p w:rsidR="001D1F67" w:rsidRPr="003F424C" w:rsidRDefault="001D1F67" w:rsidP="000C3EF1">
            <w:pPr>
              <w:pStyle w:val="BodyText"/>
              <w:jc w:val="both"/>
              <w:rPr>
                <w:rFonts w:ascii="Times New Roman" w:hAnsi="Times New Roman" w:cs="Times New Roman"/>
                <w:bCs/>
                <w:sz w:val="24"/>
                <w:szCs w:val="24"/>
                <w:lang w:val="fr-FR"/>
              </w:rPr>
            </w:pPr>
          </w:p>
        </w:tc>
        <w:tc>
          <w:tcPr>
            <w:tcW w:w="3960" w:type="dxa"/>
            <w:shd w:val="clear" w:color="auto" w:fill="auto"/>
          </w:tcPr>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0C3EF1">
            <w:pPr>
              <w:pStyle w:val="BodyText"/>
              <w:ind w:left="-18"/>
              <w:rPr>
                <w:rFonts w:ascii="Times New Roman" w:hAnsi="Times New Roman" w:cs="Times New Roman"/>
                <w:bCs/>
                <w:sz w:val="24"/>
                <w:szCs w:val="24"/>
                <w:lang w:val="fr-FR"/>
              </w:rPr>
            </w:pPr>
          </w:p>
        </w:tc>
        <w:tc>
          <w:tcPr>
            <w:tcW w:w="3150" w:type="dxa"/>
            <w:shd w:val="clear" w:color="auto" w:fill="auto"/>
          </w:tcPr>
          <w:p w:rsidR="00E15B9B" w:rsidRPr="00863841" w:rsidRDefault="00E15B9B" w:rsidP="003E2682">
            <w:pPr>
              <w:pStyle w:val="BodyText"/>
              <w:jc w:val="both"/>
              <w:rPr>
                <w:rFonts w:ascii="Times New Roman" w:hAnsi="Times New Roman" w:cs="Times New Roman"/>
                <w:bCs/>
                <w:sz w:val="24"/>
                <w:szCs w:val="24"/>
                <w:lang w:val="fr-FR"/>
              </w:rPr>
            </w:pPr>
          </w:p>
        </w:tc>
      </w:tr>
      <w:tr w:rsidR="00784899" w:rsidRPr="004A058E" w:rsidTr="00441F3D">
        <w:tc>
          <w:tcPr>
            <w:tcW w:w="15120" w:type="dxa"/>
            <w:gridSpan w:val="4"/>
            <w:shd w:val="pct15" w:color="auto" w:fill="auto"/>
          </w:tcPr>
          <w:p w:rsidR="00784899" w:rsidRPr="00E3532D" w:rsidRDefault="00784899" w:rsidP="00441F3D">
            <w:pPr>
              <w:pStyle w:val="BodyText"/>
              <w:jc w:val="both"/>
              <w:rPr>
                <w:rFonts w:ascii="Times New Roman" w:hAnsi="Times New Roman"/>
                <w:bCs/>
                <w:sz w:val="24"/>
                <w:lang w:val="fr-FR"/>
              </w:rPr>
            </w:pPr>
            <w:r w:rsidRPr="00E15B9B">
              <w:rPr>
                <w:rFonts w:ascii="Times New Roman" w:hAnsi="Times New Roman" w:cs="Times New Roman"/>
                <w:b/>
                <w:sz w:val="24"/>
                <w:szCs w:val="24"/>
                <w:lang w:val="fr-FR"/>
              </w:rPr>
              <w:t>R</w:t>
            </w:r>
            <w:r w:rsidRPr="00E15B9B">
              <w:rPr>
                <w:rStyle w:val="hps"/>
                <w:rFonts w:ascii="Times New Roman" w:hAnsi="Times New Roman"/>
                <w:sz w:val="24"/>
                <w:szCs w:val="24"/>
                <w:lang w:val="fr-FR"/>
              </w:rPr>
              <w:t>é</w:t>
            </w:r>
            <w:r w:rsidRPr="00E15B9B">
              <w:rPr>
                <w:rFonts w:ascii="Times New Roman" w:hAnsi="Times New Roman" w:cs="Times New Roman"/>
                <w:b/>
                <w:sz w:val="24"/>
                <w:szCs w:val="24"/>
                <w:lang w:val="fr-FR"/>
              </w:rPr>
              <w:t>sultat 2</w:t>
            </w:r>
            <w:r w:rsidRPr="00E15B9B">
              <w:rPr>
                <w:rFonts w:ascii="Times New Roman" w:hAnsi="Times New Roman" w:cs="Times New Roman"/>
                <w:sz w:val="24"/>
                <w:szCs w:val="24"/>
                <w:lang w:val="fr-FR"/>
              </w:rPr>
              <w:t xml:space="preserve"> Un système d'information géographique sur le logement et les quartiers en Haïti est développé et opérationnel. Il sert d’outil d’information et d’aide à la décision pour le programme de reconstruction et pour la définition, la mise en œuvre et le suivi de programmes de développement urbains.</w:t>
            </w:r>
          </w:p>
        </w:tc>
      </w:tr>
      <w:tr w:rsidR="00784899" w:rsidRPr="004A058E" w:rsidTr="00441F3D">
        <w:trPr>
          <w:trHeight w:val="1470"/>
        </w:trPr>
        <w:tc>
          <w:tcPr>
            <w:tcW w:w="4265" w:type="dxa"/>
            <w:shd w:val="clear" w:color="auto" w:fill="auto"/>
          </w:tcPr>
          <w:p w:rsidR="00784899" w:rsidRDefault="00784899" w:rsidP="00441F3D">
            <w:pPr>
              <w:rPr>
                <w:lang w:val="fr-FR" w:eastAsia="fr-FR"/>
              </w:rPr>
            </w:pPr>
            <w:r w:rsidRPr="00A420A7">
              <w:rPr>
                <w:b/>
                <w:lang w:val="fr-FR"/>
              </w:rPr>
              <w:lastRenderedPageBreak/>
              <w:t xml:space="preserve">Produit 2.1 : </w:t>
            </w:r>
            <w:r w:rsidRPr="00A420A7">
              <w:rPr>
                <w:lang w:val="fr-FR" w:eastAsia="fr-FR"/>
              </w:rPr>
              <w:t>Un réseau d’utilisateurs et de producteurs de données géographiques est mis en place.</w:t>
            </w:r>
          </w:p>
          <w:p w:rsidR="00A420A7" w:rsidRPr="00A420A7" w:rsidRDefault="00A420A7" w:rsidP="00441F3D">
            <w:pPr>
              <w:rPr>
                <w:lang w:val="fr-FR" w:eastAsia="fr-FR"/>
              </w:rPr>
            </w:pPr>
          </w:p>
          <w:p w:rsidR="00784899" w:rsidRPr="00A420A7" w:rsidRDefault="00784899" w:rsidP="00441F3D">
            <w:pPr>
              <w:rPr>
                <w:b/>
                <w:lang w:val="fr-FR"/>
              </w:rPr>
            </w:pPr>
            <w:r w:rsidRPr="00A420A7">
              <w:rPr>
                <w:b/>
                <w:lang w:val="fr-FR"/>
              </w:rPr>
              <w:t>Indicateur  2.1.1 :</w:t>
            </w:r>
            <w:r w:rsidRPr="00A420A7">
              <w:rPr>
                <w:lang w:val="fr-FR"/>
              </w:rPr>
              <w:t xml:space="preserve"> L’information circule entre les producteurs et les utilisateurs d’information.</w:t>
            </w:r>
          </w:p>
          <w:p w:rsidR="00784899" w:rsidRPr="00A420A7" w:rsidRDefault="00784899" w:rsidP="00441F3D">
            <w:pPr>
              <w:rPr>
                <w:b/>
                <w:lang w:val="fr-FR"/>
              </w:rPr>
            </w:pPr>
            <w:r w:rsidRPr="00A420A7">
              <w:rPr>
                <w:b/>
                <w:lang w:val="fr-FR"/>
              </w:rPr>
              <w:t xml:space="preserve">Indicateur de référence: </w:t>
            </w:r>
            <w:r w:rsidRPr="00A420A7">
              <w:rPr>
                <w:lang w:val="fr-FR"/>
              </w:rPr>
              <w:t>L’information est collectée en fonction des besoins spécifiques de chaque agence et n’est pas partagée.</w:t>
            </w:r>
          </w:p>
          <w:p w:rsidR="00784899" w:rsidRPr="00A420A7" w:rsidRDefault="00784899" w:rsidP="00441F3D">
            <w:pPr>
              <w:rPr>
                <w:lang w:val="fr-FR"/>
              </w:rPr>
            </w:pPr>
          </w:p>
          <w:p w:rsidR="00784899" w:rsidRPr="00A420A7" w:rsidRDefault="00784899" w:rsidP="00441F3D">
            <w:pPr>
              <w:pStyle w:val="BodyText"/>
              <w:jc w:val="both"/>
              <w:rPr>
                <w:rFonts w:ascii="Times New Roman" w:hAnsi="Times New Roman" w:cs="Times New Roman"/>
                <w:bCs/>
                <w:sz w:val="24"/>
                <w:szCs w:val="24"/>
                <w:lang w:val="fr-FR"/>
              </w:rPr>
            </w:pPr>
            <w:r w:rsidRPr="00A420A7">
              <w:rPr>
                <w:rFonts w:ascii="Times New Roman" w:hAnsi="Times New Roman" w:cs="Times New Roman"/>
                <w:b/>
                <w:sz w:val="24"/>
                <w:szCs w:val="24"/>
                <w:lang w:val="fr-FR"/>
              </w:rPr>
              <w:t>Indicateur cible:</w:t>
            </w:r>
            <w:r w:rsidRPr="00A420A7">
              <w:rPr>
                <w:rFonts w:ascii="Times New Roman" w:hAnsi="Times New Roman" w:cs="Times New Roman"/>
                <w:sz w:val="24"/>
                <w:szCs w:val="24"/>
                <w:lang w:val="fr-FR"/>
              </w:rPr>
              <w:t xml:space="preserve"> Toutes les agences produisant de l’information contribuent à alimenter le SILQ. Les agences ayant des besoins d’information connaissent les possibilités offertes par le SILQ</w:t>
            </w:r>
            <w:r w:rsidRPr="00A420A7">
              <w:rPr>
                <w:rFonts w:ascii="Times New Roman" w:hAnsi="Times New Roman" w:cs="Times New Roman"/>
                <w:bCs/>
                <w:sz w:val="24"/>
                <w:szCs w:val="24"/>
                <w:lang w:val="fr-FR"/>
              </w:rPr>
              <w:t xml:space="preserve"> </w:t>
            </w:r>
          </w:p>
          <w:p w:rsidR="00784899" w:rsidRPr="00E3532D" w:rsidRDefault="00784899" w:rsidP="00441F3D">
            <w:pPr>
              <w:pStyle w:val="BodyText"/>
              <w:jc w:val="both"/>
              <w:rPr>
                <w:rFonts w:ascii="Times New Roman" w:hAnsi="Times New Roman"/>
                <w:bCs/>
                <w:sz w:val="24"/>
                <w:lang w:val="fr-FR"/>
              </w:rPr>
            </w:pPr>
          </w:p>
        </w:tc>
        <w:tc>
          <w:tcPr>
            <w:tcW w:w="3745" w:type="dxa"/>
            <w:shd w:val="clear" w:color="auto" w:fill="auto"/>
          </w:tcPr>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CD2C09" w:rsidRPr="00181D34" w:rsidRDefault="00CD2C09" w:rsidP="00CD2C09">
            <w:pPr>
              <w:pStyle w:val="BodyText"/>
              <w:jc w:val="both"/>
              <w:rPr>
                <w:rFonts w:ascii="Times New Roman" w:hAnsi="Times New Roman"/>
                <w:bCs/>
                <w:sz w:val="24"/>
                <w:lang w:val="fr-FR"/>
              </w:rPr>
            </w:pPr>
            <w:r w:rsidRPr="00181D34">
              <w:rPr>
                <w:rFonts w:ascii="Times New Roman" w:hAnsi="Times New Roman"/>
                <w:bCs/>
                <w:sz w:val="24"/>
                <w:lang w:val="fr-FR"/>
              </w:rPr>
              <w:t xml:space="preserve">Utilisateurs du réseau sont identifiés et sensibilisés à l’usage de la plateforme </w:t>
            </w:r>
            <w:r w:rsidR="00CF7F7E" w:rsidRPr="00181D34">
              <w:rPr>
                <w:rFonts w:ascii="Times New Roman" w:hAnsi="Times New Roman"/>
                <w:bCs/>
                <w:sz w:val="24"/>
                <w:lang w:val="fr-FR"/>
              </w:rPr>
              <w:t>à</w:t>
            </w:r>
            <w:r w:rsidRPr="00181D34">
              <w:rPr>
                <w:rFonts w:ascii="Times New Roman" w:hAnsi="Times New Roman"/>
                <w:bCs/>
                <w:sz w:val="24"/>
                <w:lang w:val="fr-FR"/>
              </w:rPr>
              <w:t xml:space="preserve"> travers des sé</w:t>
            </w:r>
            <w:r w:rsidR="00181D34" w:rsidRPr="00181D34">
              <w:rPr>
                <w:rFonts w:ascii="Times New Roman" w:hAnsi="Times New Roman"/>
                <w:bCs/>
                <w:sz w:val="24"/>
                <w:lang w:val="fr-FR"/>
              </w:rPr>
              <w:t>ances de formation/information.</w:t>
            </w:r>
          </w:p>
          <w:p w:rsidR="00CD2C09" w:rsidRPr="00181D34" w:rsidRDefault="00CD2C09" w:rsidP="00CD2C09">
            <w:pPr>
              <w:pStyle w:val="BodyText"/>
              <w:jc w:val="both"/>
              <w:rPr>
                <w:rFonts w:ascii="Times New Roman" w:hAnsi="Times New Roman"/>
                <w:bCs/>
                <w:sz w:val="24"/>
                <w:lang w:val="fr-FR"/>
              </w:rPr>
            </w:pPr>
          </w:p>
          <w:p w:rsidR="00CD2C09" w:rsidRPr="00181D34" w:rsidRDefault="00CD2C09" w:rsidP="00CD2C09">
            <w:pPr>
              <w:pStyle w:val="BodyText"/>
              <w:jc w:val="both"/>
              <w:rPr>
                <w:rFonts w:ascii="Times New Roman" w:hAnsi="Times New Roman" w:cs="Times New Roman"/>
                <w:bCs/>
                <w:sz w:val="24"/>
                <w:lang w:val="fr-FR"/>
              </w:rPr>
            </w:pPr>
            <w:r w:rsidRPr="00181D34">
              <w:rPr>
                <w:rFonts w:ascii="Times New Roman" w:hAnsi="Times New Roman"/>
                <w:bCs/>
                <w:sz w:val="24"/>
                <w:lang w:val="fr-FR"/>
              </w:rPr>
              <w:t xml:space="preserve">La </w:t>
            </w:r>
            <w:r w:rsidR="00CF7F7E" w:rsidRPr="00181D34">
              <w:rPr>
                <w:rFonts w:ascii="Times New Roman" w:hAnsi="Times New Roman"/>
                <w:bCs/>
                <w:sz w:val="24"/>
                <w:lang w:val="fr-FR"/>
              </w:rPr>
              <w:t xml:space="preserve">Cellule de programmation, suivi, évaluation et apprentissage </w:t>
            </w:r>
            <w:r w:rsidRPr="00181D34">
              <w:rPr>
                <w:rFonts w:ascii="Times New Roman" w:hAnsi="Times New Roman"/>
                <w:bCs/>
                <w:sz w:val="24"/>
                <w:lang w:val="fr-FR"/>
              </w:rPr>
              <w:t>de L’UCLBP a reçu de la part de la composante 2 plusieurs séances de formation/information sur l’usage de la plateforme. Elle comprend désormais pleinement son rôle d’interface entre le réseau des utilisateurs et l’administration et la maintenance technique de la plateforme assur</w:t>
            </w:r>
            <w:r w:rsidRPr="00181D34">
              <w:rPr>
                <w:rFonts w:ascii="Times New Roman" w:hAnsi="Times New Roman" w:cs="Times New Roman"/>
                <w:bCs/>
                <w:sz w:val="24"/>
                <w:lang w:val="fr-FR"/>
              </w:rPr>
              <w:t>ée par le CNIGS.</w:t>
            </w:r>
          </w:p>
          <w:p w:rsidR="00181D34" w:rsidRPr="00181D34" w:rsidRDefault="00181D34" w:rsidP="00CD2C09">
            <w:pPr>
              <w:pStyle w:val="BodyText"/>
              <w:jc w:val="both"/>
              <w:rPr>
                <w:rFonts w:ascii="Times New Roman" w:hAnsi="Times New Roman" w:cs="Times New Roman"/>
                <w:bCs/>
                <w:sz w:val="24"/>
                <w:lang w:val="fr-FR"/>
              </w:rPr>
            </w:pPr>
          </w:p>
          <w:p w:rsidR="00784899" w:rsidRDefault="00CD2C09" w:rsidP="00CD2C09">
            <w:pPr>
              <w:pStyle w:val="BodyText"/>
              <w:jc w:val="both"/>
              <w:rPr>
                <w:rFonts w:ascii="Times New Roman" w:hAnsi="Times New Roman" w:cs="Times New Roman"/>
                <w:bCs/>
                <w:sz w:val="24"/>
                <w:lang w:val="fr-FR"/>
              </w:rPr>
            </w:pPr>
            <w:r w:rsidRPr="00181D34">
              <w:rPr>
                <w:rFonts w:ascii="Times New Roman" w:hAnsi="Times New Roman" w:cs="Times New Roman"/>
                <w:bCs/>
                <w:sz w:val="24"/>
                <w:lang w:val="fr-FR"/>
              </w:rPr>
              <w:t xml:space="preserve">D’autres actions de sensibilisation ont été effectuées </w:t>
            </w:r>
            <w:r w:rsidR="00CF7F7E" w:rsidRPr="00181D34">
              <w:rPr>
                <w:rFonts w:ascii="Times New Roman" w:hAnsi="Times New Roman" w:cs="Times New Roman"/>
                <w:bCs/>
                <w:sz w:val="24"/>
                <w:lang w:val="fr-FR"/>
              </w:rPr>
              <w:t>à</w:t>
            </w:r>
            <w:r w:rsidRPr="00181D34">
              <w:rPr>
                <w:rFonts w:ascii="Times New Roman" w:hAnsi="Times New Roman" w:cs="Times New Roman"/>
                <w:bCs/>
                <w:sz w:val="24"/>
                <w:lang w:val="fr-FR"/>
              </w:rPr>
              <w:t xml:space="preserve"> l’égard d’</w:t>
            </w:r>
            <w:proofErr w:type="spellStart"/>
            <w:r w:rsidRPr="00181D34">
              <w:rPr>
                <w:rFonts w:ascii="Times New Roman" w:hAnsi="Times New Roman" w:cs="Times New Roman"/>
                <w:bCs/>
                <w:sz w:val="24"/>
                <w:lang w:val="fr-FR"/>
              </w:rPr>
              <w:t>ONGs</w:t>
            </w:r>
            <w:proofErr w:type="spellEnd"/>
            <w:r w:rsidRPr="00181D34">
              <w:rPr>
                <w:rFonts w:ascii="Times New Roman" w:hAnsi="Times New Roman" w:cs="Times New Roman"/>
                <w:bCs/>
                <w:sz w:val="24"/>
                <w:lang w:val="fr-FR"/>
              </w:rPr>
              <w:t xml:space="preserve"> qui se sont inscrites sur la plateforme et ont commencé à recevoir des données.</w:t>
            </w:r>
            <w:r w:rsidR="00CF7F7E" w:rsidRPr="00181D34">
              <w:rPr>
                <w:rFonts w:ascii="Times New Roman" w:hAnsi="Times New Roman" w:cs="Times New Roman"/>
                <w:bCs/>
                <w:sz w:val="24"/>
                <w:lang w:val="fr-FR"/>
              </w:rPr>
              <w:t xml:space="preserve"> </w:t>
            </w:r>
            <w:r w:rsidRPr="00181D34">
              <w:rPr>
                <w:rFonts w:ascii="Times New Roman" w:hAnsi="Times New Roman" w:cs="Times New Roman"/>
                <w:bCs/>
                <w:sz w:val="24"/>
                <w:lang w:val="fr-FR"/>
              </w:rPr>
              <w:t xml:space="preserve">On peut citer parmi ces </w:t>
            </w:r>
            <w:proofErr w:type="spellStart"/>
            <w:r w:rsidRPr="00181D34">
              <w:rPr>
                <w:rFonts w:ascii="Times New Roman" w:hAnsi="Times New Roman" w:cs="Times New Roman"/>
                <w:bCs/>
                <w:sz w:val="24"/>
                <w:lang w:val="fr-FR"/>
              </w:rPr>
              <w:t>ONGs</w:t>
            </w:r>
            <w:proofErr w:type="spellEnd"/>
            <w:r w:rsidRPr="00181D34">
              <w:rPr>
                <w:rFonts w:ascii="Times New Roman" w:hAnsi="Times New Roman" w:cs="Times New Roman"/>
                <w:bCs/>
                <w:sz w:val="24"/>
                <w:lang w:val="fr-FR"/>
              </w:rPr>
              <w:t>,</w:t>
            </w:r>
            <w:r w:rsidR="00CF7F7E" w:rsidRPr="00181D34">
              <w:rPr>
                <w:rFonts w:ascii="Times New Roman" w:hAnsi="Times New Roman" w:cs="Times New Roman"/>
                <w:bCs/>
                <w:sz w:val="24"/>
                <w:lang w:val="fr-FR"/>
              </w:rPr>
              <w:t xml:space="preserve"> </w:t>
            </w:r>
            <w:r w:rsidRPr="00181D34">
              <w:rPr>
                <w:rFonts w:ascii="Times New Roman" w:hAnsi="Times New Roman" w:cs="Times New Roman"/>
                <w:bCs/>
                <w:sz w:val="24"/>
                <w:lang w:val="fr-FR"/>
              </w:rPr>
              <w:t>Goal,</w:t>
            </w:r>
            <w:r w:rsidR="00CF7F7E" w:rsidRPr="00181D34">
              <w:rPr>
                <w:rFonts w:ascii="Times New Roman" w:hAnsi="Times New Roman" w:cs="Times New Roman"/>
                <w:bCs/>
                <w:sz w:val="24"/>
                <w:lang w:val="fr-FR"/>
              </w:rPr>
              <w:t xml:space="preserve"> </w:t>
            </w:r>
            <w:r w:rsidRPr="00181D34">
              <w:rPr>
                <w:rFonts w:ascii="Times New Roman" w:hAnsi="Times New Roman" w:cs="Times New Roman"/>
                <w:bCs/>
                <w:sz w:val="24"/>
                <w:lang w:val="fr-FR"/>
              </w:rPr>
              <w:t xml:space="preserve">la Croix-Rouge </w:t>
            </w:r>
            <w:r w:rsidR="00CF7F7E" w:rsidRPr="00181D34">
              <w:rPr>
                <w:rFonts w:ascii="Times New Roman" w:hAnsi="Times New Roman" w:cs="Times New Roman"/>
                <w:bCs/>
                <w:sz w:val="24"/>
                <w:lang w:val="fr-FR"/>
              </w:rPr>
              <w:t>Américaine</w:t>
            </w:r>
            <w:r w:rsidRPr="00181D34">
              <w:rPr>
                <w:rFonts w:ascii="Times New Roman" w:hAnsi="Times New Roman" w:cs="Times New Roman"/>
                <w:bCs/>
                <w:sz w:val="24"/>
                <w:lang w:val="fr-FR"/>
              </w:rPr>
              <w:t>,</w:t>
            </w:r>
            <w:r w:rsidR="00CF7F7E" w:rsidRPr="00181D34">
              <w:rPr>
                <w:rFonts w:ascii="Times New Roman" w:hAnsi="Times New Roman" w:cs="Times New Roman"/>
                <w:bCs/>
                <w:sz w:val="24"/>
                <w:lang w:val="fr-FR"/>
              </w:rPr>
              <w:t xml:space="preserve"> </w:t>
            </w:r>
            <w:r w:rsidRPr="00181D34">
              <w:rPr>
                <w:rFonts w:ascii="Times New Roman" w:hAnsi="Times New Roman" w:cs="Times New Roman"/>
                <w:bCs/>
                <w:sz w:val="24"/>
                <w:lang w:val="fr-FR"/>
              </w:rPr>
              <w:t xml:space="preserve">Habitat for </w:t>
            </w:r>
            <w:proofErr w:type="spellStart"/>
            <w:r w:rsidRPr="00181D34">
              <w:rPr>
                <w:rFonts w:ascii="Times New Roman" w:hAnsi="Times New Roman" w:cs="Times New Roman"/>
                <w:bCs/>
                <w:sz w:val="24"/>
                <w:lang w:val="fr-FR"/>
              </w:rPr>
              <w:t>Humanity</w:t>
            </w:r>
            <w:proofErr w:type="spellEnd"/>
            <w:r w:rsidRPr="00181D34">
              <w:rPr>
                <w:rFonts w:ascii="Times New Roman" w:hAnsi="Times New Roman" w:cs="Times New Roman"/>
                <w:bCs/>
                <w:sz w:val="24"/>
                <w:lang w:val="fr-FR"/>
              </w:rPr>
              <w:t>,</w:t>
            </w:r>
            <w:r w:rsidR="00CF7F7E" w:rsidRPr="00181D34">
              <w:rPr>
                <w:rFonts w:ascii="Times New Roman" w:hAnsi="Times New Roman" w:cs="Times New Roman"/>
                <w:bCs/>
                <w:sz w:val="24"/>
                <w:lang w:val="fr-FR"/>
              </w:rPr>
              <w:t xml:space="preserve"> </w:t>
            </w:r>
            <w:r w:rsidRPr="00181D34">
              <w:rPr>
                <w:rFonts w:ascii="Times New Roman" w:hAnsi="Times New Roman" w:cs="Times New Roman"/>
                <w:bCs/>
                <w:sz w:val="24"/>
                <w:lang w:val="fr-FR"/>
              </w:rPr>
              <w:t xml:space="preserve">CHF, les </w:t>
            </w:r>
            <w:proofErr w:type="spellStart"/>
            <w:r w:rsidRPr="00181D34">
              <w:rPr>
                <w:rFonts w:ascii="Times New Roman" w:hAnsi="Times New Roman" w:cs="Times New Roman"/>
                <w:bCs/>
                <w:sz w:val="24"/>
                <w:lang w:val="fr-FR"/>
              </w:rPr>
              <w:t>ATLs</w:t>
            </w:r>
            <w:proofErr w:type="spellEnd"/>
            <w:r w:rsidRPr="00181D34">
              <w:rPr>
                <w:rFonts w:ascii="Times New Roman" w:hAnsi="Times New Roman" w:cs="Times New Roman"/>
                <w:bCs/>
                <w:sz w:val="24"/>
                <w:lang w:val="fr-FR"/>
              </w:rPr>
              <w:t xml:space="preserve"> et </w:t>
            </w:r>
            <w:proofErr w:type="spellStart"/>
            <w:r w:rsidRPr="00181D34">
              <w:rPr>
                <w:rFonts w:ascii="Times New Roman" w:hAnsi="Times New Roman" w:cs="Times New Roman"/>
                <w:bCs/>
                <w:sz w:val="24"/>
                <w:lang w:val="fr-FR"/>
              </w:rPr>
              <w:t>CRCs</w:t>
            </w:r>
            <w:proofErr w:type="spellEnd"/>
            <w:r w:rsidR="00CF7F7E" w:rsidRPr="00181D34">
              <w:rPr>
                <w:rFonts w:ascii="Times New Roman" w:hAnsi="Times New Roman" w:cs="Times New Roman"/>
                <w:bCs/>
                <w:sz w:val="24"/>
                <w:lang w:val="fr-FR"/>
              </w:rPr>
              <w:t>.</w:t>
            </w:r>
          </w:p>
          <w:p w:rsidR="001D1F67" w:rsidRPr="00181D34" w:rsidRDefault="001D1F67" w:rsidP="00CD2C09">
            <w:pPr>
              <w:pStyle w:val="BodyText"/>
              <w:jc w:val="both"/>
              <w:rPr>
                <w:rFonts w:ascii="Times New Roman" w:hAnsi="Times New Roman"/>
                <w:bCs/>
                <w:sz w:val="24"/>
                <w:lang w:val="fr-FR"/>
              </w:rPr>
            </w:pPr>
          </w:p>
        </w:tc>
        <w:tc>
          <w:tcPr>
            <w:tcW w:w="3960" w:type="dxa"/>
            <w:shd w:val="clear" w:color="auto" w:fill="auto"/>
          </w:tcPr>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784899" w:rsidRPr="00181D34" w:rsidRDefault="00784899" w:rsidP="00441F3D">
            <w:pPr>
              <w:pStyle w:val="BodyText"/>
              <w:jc w:val="both"/>
              <w:rPr>
                <w:rFonts w:ascii="Times New Roman" w:hAnsi="Times New Roman"/>
                <w:bCs/>
                <w:sz w:val="24"/>
                <w:lang w:val="fr-FR"/>
              </w:rPr>
            </w:pPr>
          </w:p>
        </w:tc>
        <w:tc>
          <w:tcPr>
            <w:tcW w:w="3150" w:type="dxa"/>
            <w:shd w:val="clear" w:color="auto" w:fill="auto"/>
          </w:tcPr>
          <w:p w:rsidR="00A420A7" w:rsidRPr="00181D34" w:rsidRDefault="00A420A7" w:rsidP="00441F3D">
            <w:pPr>
              <w:pStyle w:val="BodyText"/>
              <w:jc w:val="both"/>
              <w:rPr>
                <w:rFonts w:ascii="Times New Roman" w:hAnsi="Times New Roman" w:cs="Times New Roman"/>
                <w:bCs/>
                <w:sz w:val="24"/>
                <w:szCs w:val="24"/>
                <w:lang w:val="fr-FR"/>
              </w:rPr>
            </w:pPr>
          </w:p>
          <w:p w:rsidR="00A420A7" w:rsidRPr="00181D34" w:rsidRDefault="00A420A7" w:rsidP="00441F3D">
            <w:pPr>
              <w:pStyle w:val="BodyText"/>
              <w:jc w:val="both"/>
              <w:rPr>
                <w:rFonts w:ascii="Times New Roman" w:hAnsi="Times New Roman" w:cs="Times New Roman"/>
                <w:bCs/>
                <w:sz w:val="24"/>
                <w:szCs w:val="24"/>
                <w:lang w:val="fr-FR"/>
              </w:rPr>
            </w:pPr>
          </w:p>
          <w:p w:rsidR="00A420A7" w:rsidRPr="00181D34" w:rsidRDefault="00A420A7" w:rsidP="00441F3D">
            <w:pPr>
              <w:pStyle w:val="BodyText"/>
              <w:jc w:val="both"/>
              <w:rPr>
                <w:rFonts w:ascii="Times New Roman" w:hAnsi="Times New Roman" w:cs="Times New Roman"/>
                <w:bCs/>
                <w:sz w:val="24"/>
                <w:szCs w:val="24"/>
                <w:lang w:val="fr-FR"/>
              </w:rPr>
            </w:pPr>
          </w:p>
          <w:p w:rsidR="00A420A7" w:rsidRPr="00181D34" w:rsidRDefault="00A420A7" w:rsidP="00441F3D">
            <w:pPr>
              <w:pStyle w:val="BodyText"/>
              <w:jc w:val="both"/>
              <w:rPr>
                <w:rFonts w:ascii="Times New Roman" w:hAnsi="Times New Roman" w:cs="Times New Roman"/>
                <w:bCs/>
                <w:sz w:val="24"/>
                <w:szCs w:val="24"/>
                <w:lang w:val="fr-FR"/>
              </w:rPr>
            </w:pPr>
          </w:p>
          <w:p w:rsidR="00CD2C09" w:rsidRPr="00181D34" w:rsidRDefault="00CD2C09" w:rsidP="00CD2C09">
            <w:pPr>
              <w:pStyle w:val="BodyText"/>
              <w:jc w:val="both"/>
              <w:rPr>
                <w:rFonts w:ascii="Times New Roman" w:hAnsi="Times New Roman" w:cs="Times New Roman"/>
                <w:bCs/>
                <w:sz w:val="24"/>
                <w:szCs w:val="24"/>
                <w:lang w:val="fr-FR"/>
              </w:rPr>
            </w:pPr>
            <w:r w:rsidRPr="00181D34">
              <w:rPr>
                <w:rFonts w:ascii="Times New Roman" w:hAnsi="Times New Roman" w:cs="Times New Roman"/>
                <w:bCs/>
                <w:sz w:val="24"/>
                <w:szCs w:val="24"/>
                <w:lang w:val="fr-FR"/>
              </w:rPr>
              <w:t>Base de données des utilisateurs et des producteurs de données du S</w:t>
            </w:r>
            <w:r w:rsidR="00181D34" w:rsidRPr="00181D34">
              <w:rPr>
                <w:rFonts w:ascii="Times New Roman" w:hAnsi="Times New Roman" w:cs="Times New Roman"/>
                <w:bCs/>
                <w:sz w:val="24"/>
                <w:szCs w:val="24"/>
                <w:lang w:val="fr-FR"/>
              </w:rPr>
              <w:t>ILQ a été constituée. L</w:t>
            </w:r>
            <w:r w:rsidRPr="00181D34">
              <w:rPr>
                <w:rFonts w:ascii="Times New Roman" w:hAnsi="Times New Roman" w:cs="Times New Roman"/>
                <w:bCs/>
                <w:sz w:val="24"/>
                <w:szCs w:val="24"/>
                <w:lang w:val="fr-FR"/>
              </w:rPr>
              <w:t xml:space="preserve">a plateforme SILQ dispose d’un outil de demande d’enregistrement des utilisateurs en ligne qui détaille les besoins de ces utilisateurs </w:t>
            </w:r>
          </w:p>
          <w:p w:rsidR="00CD2C09" w:rsidRPr="00181D34" w:rsidRDefault="00CD2C09" w:rsidP="00CD2C09">
            <w:pPr>
              <w:pStyle w:val="BodyText"/>
              <w:jc w:val="both"/>
              <w:rPr>
                <w:rFonts w:ascii="Times New Roman" w:hAnsi="Times New Roman" w:cs="Times New Roman"/>
                <w:bCs/>
                <w:sz w:val="24"/>
                <w:szCs w:val="24"/>
                <w:lang w:val="fr-FR"/>
              </w:rPr>
            </w:pPr>
          </w:p>
          <w:p w:rsidR="00CD2C09" w:rsidRPr="00181D34" w:rsidRDefault="00CD2C09" w:rsidP="00CD2C09">
            <w:pPr>
              <w:pStyle w:val="BodyText"/>
              <w:jc w:val="both"/>
              <w:rPr>
                <w:rFonts w:ascii="Times New Roman" w:hAnsi="Times New Roman"/>
                <w:bCs/>
                <w:sz w:val="24"/>
                <w:lang w:val="fr-FR"/>
              </w:rPr>
            </w:pPr>
            <w:r w:rsidRPr="00181D34">
              <w:rPr>
                <w:rFonts w:ascii="Times New Roman" w:hAnsi="Times New Roman" w:cs="Times New Roman"/>
                <w:bCs/>
                <w:sz w:val="24"/>
                <w:szCs w:val="24"/>
                <w:lang w:val="fr-FR"/>
              </w:rPr>
              <w:t>Manuel des procédures de partage</w:t>
            </w:r>
          </w:p>
        </w:tc>
      </w:tr>
      <w:tr w:rsidR="00784899" w:rsidRPr="004A058E" w:rsidTr="00181D34">
        <w:trPr>
          <w:trHeight w:val="350"/>
        </w:trPr>
        <w:tc>
          <w:tcPr>
            <w:tcW w:w="4265" w:type="dxa"/>
            <w:shd w:val="clear" w:color="auto" w:fill="auto"/>
          </w:tcPr>
          <w:p w:rsidR="00784899" w:rsidRDefault="00784899" w:rsidP="00441F3D">
            <w:pPr>
              <w:rPr>
                <w:lang w:val="fr-FR" w:eastAsia="fr-FR"/>
              </w:rPr>
            </w:pPr>
            <w:r w:rsidRPr="00E15B9B">
              <w:rPr>
                <w:b/>
                <w:lang w:val="fr-FR"/>
              </w:rPr>
              <w:t>Produit 2.2 :</w:t>
            </w:r>
            <w:r w:rsidRPr="00E15B9B">
              <w:rPr>
                <w:lang w:val="fr-FR" w:eastAsia="fr-FR"/>
              </w:rPr>
              <w:t xml:space="preserve"> Les besoins et exigences sont identifiés.</w:t>
            </w:r>
          </w:p>
          <w:p w:rsidR="00A420A7" w:rsidRPr="00E15B9B" w:rsidRDefault="00A420A7" w:rsidP="00441F3D">
            <w:pPr>
              <w:rPr>
                <w:lang w:val="fr-FR" w:eastAsia="fr-FR"/>
              </w:rPr>
            </w:pPr>
          </w:p>
          <w:p w:rsidR="00784899" w:rsidRPr="00E15B9B" w:rsidRDefault="00784899" w:rsidP="00441F3D">
            <w:pPr>
              <w:rPr>
                <w:b/>
                <w:lang w:val="fr-FR"/>
              </w:rPr>
            </w:pPr>
            <w:r w:rsidRPr="00E15B9B">
              <w:rPr>
                <w:b/>
                <w:lang w:val="fr-FR"/>
              </w:rPr>
              <w:t>Indicateur  2.2.1 :</w:t>
            </w:r>
            <w:r w:rsidRPr="00E15B9B">
              <w:rPr>
                <w:lang w:val="fr-FR"/>
              </w:rPr>
              <w:t xml:space="preserve"> Le système répond aux exigences et aux besoins.</w:t>
            </w:r>
          </w:p>
          <w:p w:rsidR="00784899" w:rsidRPr="00E15B9B" w:rsidRDefault="00784899" w:rsidP="00441F3D">
            <w:pPr>
              <w:rPr>
                <w:b/>
                <w:lang w:val="fr-FR"/>
              </w:rPr>
            </w:pPr>
            <w:r w:rsidRPr="00E15B9B">
              <w:rPr>
                <w:b/>
                <w:lang w:val="fr-FR"/>
              </w:rPr>
              <w:t xml:space="preserve">Indicateur de référence: </w:t>
            </w:r>
            <w:r w:rsidRPr="00E15B9B">
              <w:rPr>
                <w:lang w:val="fr-FR"/>
              </w:rPr>
              <w:t xml:space="preserve">Les besoins en produits d’information pour la reconstruction ne sont pas définis. </w:t>
            </w:r>
          </w:p>
          <w:p w:rsidR="00784899" w:rsidRDefault="00784899" w:rsidP="00441F3D">
            <w:pPr>
              <w:rPr>
                <w:rFonts w:cs="Calibri"/>
                <w:lang w:val="fr-FR" w:eastAsia="fr-FR"/>
              </w:rPr>
            </w:pPr>
            <w:r w:rsidRPr="00E15B9B">
              <w:rPr>
                <w:b/>
                <w:lang w:val="fr-FR"/>
              </w:rPr>
              <w:lastRenderedPageBreak/>
              <w:t>Indicateur cible:</w:t>
            </w:r>
            <w:r w:rsidRPr="00E15B9B">
              <w:rPr>
                <w:rFonts w:cs="Calibri"/>
                <w:lang w:val="fr-FR" w:eastAsia="fr-FR"/>
              </w:rPr>
              <w:t xml:space="preserve"> L’équipe  de conception et de développement est mise en place. Les fonctionnalités de la base de données sont bien identifiées. Le choix de l’architecture du système est arrêté.</w:t>
            </w:r>
            <w:r>
              <w:rPr>
                <w:rFonts w:cs="Calibri"/>
                <w:lang w:val="fr-FR" w:eastAsia="fr-FR"/>
              </w:rPr>
              <w:t xml:space="preserve"> </w:t>
            </w:r>
          </w:p>
          <w:p w:rsidR="00784899" w:rsidRPr="00E3532D" w:rsidRDefault="00784899" w:rsidP="00441F3D">
            <w:pPr>
              <w:pStyle w:val="BodyText"/>
              <w:jc w:val="both"/>
              <w:rPr>
                <w:rFonts w:ascii="Times New Roman" w:hAnsi="Times New Roman"/>
                <w:bCs/>
                <w:sz w:val="24"/>
                <w:lang w:val="fr-FR"/>
              </w:rPr>
            </w:pPr>
          </w:p>
          <w:p w:rsidR="00784899" w:rsidRPr="00E3532D" w:rsidRDefault="00784899" w:rsidP="00441F3D">
            <w:pPr>
              <w:pStyle w:val="BodyText"/>
              <w:jc w:val="both"/>
              <w:rPr>
                <w:rFonts w:ascii="Times New Roman" w:hAnsi="Times New Roman"/>
                <w:bCs/>
                <w:sz w:val="24"/>
                <w:lang w:val="fr-FR"/>
              </w:rPr>
            </w:pPr>
          </w:p>
          <w:p w:rsidR="00784899" w:rsidRPr="00E3532D" w:rsidRDefault="00784899" w:rsidP="00441F3D">
            <w:pPr>
              <w:pStyle w:val="BodyText"/>
              <w:jc w:val="both"/>
              <w:rPr>
                <w:rFonts w:ascii="Times New Roman" w:hAnsi="Times New Roman"/>
                <w:bCs/>
                <w:sz w:val="24"/>
                <w:lang w:val="fr-FR"/>
              </w:rPr>
            </w:pPr>
          </w:p>
        </w:tc>
        <w:tc>
          <w:tcPr>
            <w:tcW w:w="3745" w:type="dxa"/>
            <w:shd w:val="clear" w:color="auto" w:fill="auto"/>
          </w:tcPr>
          <w:p w:rsidR="00784899" w:rsidRPr="00181D34" w:rsidRDefault="00784899" w:rsidP="00441F3D">
            <w:pPr>
              <w:jc w:val="both"/>
              <w:rPr>
                <w:bCs/>
                <w:lang w:val="fr-FR"/>
              </w:rPr>
            </w:pPr>
          </w:p>
          <w:p w:rsidR="00784899" w:rsidRPr="00181D34" w:rsidRDefault="00784899" w:rsidP="00441F3D">
            <w:pPr>
              <w:jc w:val="both"/>
              <w:rPr>
                <w:bCs/>
                <w:lang w:val="fr-FR"/>
              </w:rPr>
            </w:pPr>
          </w:p>
          <w:p w:rsidR="00784899" w:rsidRPr="00181D34" w:rsidRDefault="00784899" w:rsidP="00441F3D">
            <w:pPr>
              <w:jc w:val="both"/>
              <w:rPr>
                <w:bCs/>
                <w:lang w:val="fr-FR"/>
              </w:rPr>
            </w:pPr>
          </w:p>
          <w:p w:rsidR="00CD2C09" w:rsidRPr="00181D34" w:rsidRDefault="00CD2C09" w:rsidP="00CD2C09">
            <w:pPr>
              <w:jc w:val="both"/>
              <w:rPr>
                <w:bCs/>
                <w:lang w:val="fr-FR"/>
              </w:rPr>
            </w:pPr>
            <w:r w:rsidRPr="00181D34">
              <w:rPr>
                <w:bCs/>
                <w:lang w:val="fr-FR"/>
              </w:rPr>
              <w:t>Les besoins en termes de données à collecter et des fonctionnalités de la plateforme sont connus.</w:t>
            </w:r>
          </w:p>
          <w:p w:rsidR="00CD2C09" w:rsidRPr="00181D34" w:rsidRDefault="00CD2C09" w:rsidP="00CD2C09">
            <w:pPr>
              <w:jc w:val="both"/>
              <w:rPr>
                <w:bCs/>
                <w:lang w:val="fr-FR"/>
              </w:rPr>
            </w:pPr>
          </w:p>
          <w:p w:rsidR="00CD2C09" w:rsidRPr="00181D34" w:rsidRDefault="00CD2C09" w:rsidP="00CD2C09">
            <w:pPr>
              <w:jc w:val="both"/>
              <w:rPr>
                <w:bCs/>
                <w:lang w:val="fr-FR"/>
              </w:rPr>
            </w:pPr>
            <w:r w:rsidRPr="00181D34">
              <w:rPr>
                <w:bCs/>
                <w:lang w:val="fr-FR"/>
              </w:rPr>
              <w:t xml:space="preserve">La base de données du SILQ a été </w:t>
            </w:r>
            <w:r w:rsidRPr="00181D34">
              <w:rPr>
                <w:bCs/>
                <w:lang w:val="fr-FR"/>
              </w:rPr>
              <w:lastRenderedPageBreak/>
              <w:t>conçue conformément au cahier des charges.</w:t>
            </w:r>
          </w:p>
        </w:tc>
        <w:tc>
          <w:tcPr>
            <w:tcW w:w="3960" w:type="dxa"/>
            <w:shd w:val="clear" w:color="auto" w:fill="auto"/>
          </w:tcPr>
          <w:p w:rsidR="00181D34" w:rsidRPr="00181D34" w:rsidRDefault="00181D34" w:rsidP="00441F3D">
            <w:pPr>
              <w:pStyle w:val="BodyText"/>
              <w:jc w:val="both"/>
              <w:rPr>
                <w:rFonts w:ascii="Times New Roman" w:hAnsi="Times New Roman"/>
                <w:bCs/>
                <w:sz w:val="24"/>
                <w:lang w:val="fr-FR"/>
              </w:rPr>
            </w:pPr>
          </w:p>
          <w:p w:rsidR="00181D34" w:rsidRPr="00181D34" w:rsidRDefault="00181D34" w:rsidP="00441F3D">
            <w:pPr>
              <w:pStyle w:val="BodyText"/>
              <w:jc w:val="both"/>
              <w:rPr>
                <w:rFonts w:ascii="Times New Roman" w:hAnsi="Times New Roman"/>
                <w:bCs/>
                <w:sz w:val="24"/>
                <w:lang w:val="fr-FR"/>
              </w:rPr>
            </w:pPr>
          </w:p>
          <w:p w:rsidR="00181D34" w:rsidRPr="00181D34" w:rsidRDefault="00181D34" w:rsidP="00441F3D">
            <w:pPr>
              <w:pStyle w:val="BodyText"/>
              <w:jc w:val="both"/>
              <w:rPr>
                <w:rFonts w:ascii="Times New Roman" w:hAnsi="Times New Roman"/>
                <w:bCs/>
                <w:sz w:val="24"/>
                <w:lang w:val="fr-FR"/>
              </w:rPr>
            </w:pPr>
          </w:p>
          <w:p w:rsidR="00CD2C09" w:rsidRPr="00181D34" w:rsidRDefault="00181D34" w:rsidP="00441F3D">
            <w:pPr>
              <w:pStyle w:val="BodyText"/>
              <w:jc w:val="both"/>
              <w:rPr>
                <w:rFonts w:ascii="Times New Roman" w:hAnsi="Times New Roman"/>
                <w:bCs/>
                <w:sz w:val="24"/>
                <w:lang w:val="fr-FR"/>
              </w:rPr>
            </w:pPr>
            <w:r w:rsidRPr="00181D34">
              <w:rPr>
                <w:rFonts w:ascii="Times New Roman" w:hAnsi="Times New Roman"/>
                <w:bCs/>
                <w:sz w:val="24"/>
                <w:lang w:val="fr-FR"/>
              </w:rPr>
              <w:t xml:space="preserve">Les besoins d’information concernant la conception du système d’information communal (SIC), comme extension du SILQ, </w:t>
            </w:r>
            <w:r w:rsidR="00CD2C09" w:rsidRPr="00181D34">
              <w:rPr>
                <w:rFonts w:ascii="Times New Roman" w:hAnsi="Times New Roman"/>
                <w:bCs/>
                <w:sz w:val="24"/>
                <w:lang w:val="fr-FR"/>
              </w:rPr>
              <w:t>ont été identifiés au cours de l’année</w:t>
            </w:r>
            <w:r w:rsidRPr="00181D34">
              <w:rPr>
                <w:rFonts w:ascii="Times New Roman" w:hAnsi="Times New Roman"/>
                <w:bCs/>
                <w:sz w:val="24"/>
                <w:lang w:val="fr-FR"/>
              </w:rPr>
              <w:t xml:space="preserve">. </w:t>
            </w:r>
            <w:r w:rsidR="00CD2C09" w:rsidRPr="00181D34">
              <w:rPr>
                <w:rFonts w:ascii="Times New Roman" w:hAnsi="Times New Roman"/>
                <w:bCs/>
                <w:sz w:val="24"/>
                <w:lang w:val="fr-FR"/>
              </w:rPr>
              <w:t xml:space="preserve">La </w:t>
            </w:r>
            <w:r w:rsidR="00CD2C09" w:rsidRPr="00181D34">
              <w:rPr>
                <w:rFonts w:ascii="Times New Roman" w:hAnsi="Times New Roman"/>
                <w:bCs/>
                <w:sz w:val="24"/>
                <w:lang w:val="fr-FR"/>
              </w:rPr>
              <w:lastRenderedPageBreak/>
              <w:t xml:space="preserve">collecte des données </w:t>
            </w:r>
            <w:r w:rsidRPr="00181D34">
              <w:rPr>
                <w:rFonts w:ascii="Times New Roman" w:hAnsi="Times New Roman"/>
                <w:bCs/>
                <w:sz w:val="24"/>
                <w:lang w:val="fr-FR"/>
              </w:rPr>
              <w:t xml:space="preserve">de sa phase pilote </w:t>
            </w:r>
            <w:proofErr w:type="gramStart"/>
            <w:r w:rsidRPr="00181D34">
              <w:rPr>
                <w:rFonts w:ascii="Times New Roman" w:hAnsi="Times New Roman"/>
                <w:bCs/>
                <w:sz w:val="24"/>
                <w:lang w:val="fr-FR"/>
              </w:rPr>
              <w:t>a</w:t>
            </w:r>
            <w:proofErr w:type="gramEnd"/>
            <w:r w:rsidRPr="00181D34">
              <w:rPr>
                <w:rFonts w:ascii="Times New Roman" w:hAnsi="Times New Roman"/>
                <w:bCs/>
                <w:sz w:val="24"/>
                <w:lang w:val="fr-FR"/>
              </w:rPr>
              <w:t xml:space="preserve"> la mairie de Pétion-Ville s’est effectuée en d</w:t>
            </w:r>
            <w:r w:rsidR="00CD2C09" w:rsidRPr="00181D34">
              <w:rPr>
                <w:rFonts w:ascii="Times New Roman" w:hAnsi="Times New Roman"/>
                <w:bCs/>
                <w:sz w:val="24"/>
                <w:lang w:val="fr-FR"/>
              </w:rPr>
              <w:t>écembre. Les données sont toujours en traitement</w:t>
            </w:r>
            <w:r w:rsidRPr="00181D34">
              <w:rPr>
                <w:rFonts w:ascii="Times New Roman" w:hAnsi="Times New Roman"/>
                <w:bCs/>
                <w:sz w:val="24"/>
                <w:lang w:val="fr-FR"/>
              </w:rPr>
              <w:t>.</w:t>
            </w:r>
          </w:p>
          <w:p w:rsidR="00CD2C09" w:rsidRPr="00181D34" w:rsidRDefault="00CD2C09" w:rsidP="00CD2C09">
            <w:pPr>
              <w:rPr>
                <w:lang w:val="fr-FR"/>
              </w:rPr>
            </w:pPr>
          </w:p>
          <w:p w:rsidR="00CD2C09" w:rsidRPr="00181D34" w:rsidRDefault="00CD2C09" w:rsidP="00CD2C09">
            <w:pPr>
              <w:rPr>
                <w:lang w:val="fr-FR"/>
              </w:rPr>
            </w:pPr>
          </w:p>
          <w:p w:rsidR="00784899" w:rsidRPr="00181D34" w:rsidRDefault="00784899" w:rsidP="00CD2C09">
            <w:pPr>
              <w:rPr>
                <w:lang w:val="fr-FR"/>
              </w:rPr>
            </w:pPr>
          </w:p>
        </w:tc>
        <w:tc>
          <w:tcPr>
            <w:tcW w:w="3150" w:type="dxa"/>
            <w:shd w:val="clear" w:color="auto" w:fill="auto"/>
          </w:tcPr>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A420A7" w:rsidRPr="00181D34" w:rsidRDefault="00A420A7" w:rsidP="00441F3D">
            <w:pPr>
              <w:pStyle w:val="BodyText"/>
              <w:jc w:val="both"/>
              <w:rPr>
                <w:rFonts w:ascii="Times New Roman" w:hAnsi="Times New Roman"/>
                <w:bCs/>
                <w:sz w:val="24"/>
                <w:lang w:val="fr-FR"/>
              </w:rPr>
            </w:pPr>
          </w:p>
          <w:p w:rsidR="00784899" w:rsidRPr="00181D34" w:rsidRDefault="00784899" w:rsidP="00441F3D">
            <w:pPr>
              <w:pStyle w:val="BodyText"/>
              <w:jc w:val="both"/>
              <w:rPr>
                <w:rFonts w:ascii="Times New Roman" w:hAnsi="Times New Roman"/>
                <w:bCs/>
                <w:sz w:val="24"/>
                <w:lang w:val="fr-FR"/>
              </w:rPr>
            </w:pPr>
            <w:r w:rsidRPr="00181D34">
              <w:rPr>
                <w:rFonts w:ascii="Times New Roman" w:hAnsi="Times New Roman"/>
                <w:bCs/>
                <w:sz w:val="24"/>
                <w:lang w:val="fr-FR"/>
              </w:rPr>
              <w:t>Cahier des charges fonctionnelles du système</w:t>
            </w:r>
            <w:r w:rsidR="00A420A7" w:rsidRPr="00181D34">
              <w:rPr>
                <w:rFonts w:ascii="Times New Roman" w:hAnsi="Times New Roman"/>
                <w:bCs/>
                <w:sz w:val="24"/>
                <w:lang w:val="fr-FR"/>
              </w:rPr>
              <w:t>.</w:t>
            </w:r>
          </w:p>
          <w:p w:rsidR="00784899" w:rsidRPr="00181D34" w:rsidRDefault="00784899" w:rsidP="00441F3D">
            <w:pPr>
              <w:pStyle w:val="BodyText"/>
              <w:jc w:val="both"/>
              <w:rPr>
                <w:rFonts w:ascii="Times New Roman" w:hAnsi="Times New Roman"/>
                <w:bCs/>
                <w:sz w:val="24"/>
                <w:lang w:val="fr-FR"/>
              </w:rPr>
            </w:pPr>
          </w:p>
          <w:p w:rsidR="00784899" w:rsidRPr="00181D34" w:rsidRDefault="00784899" w:rsidP="00441F3D">
            <w:pPr>
              <w:pStyle w:val="BodyText"/>
              <w:jc w:val="both"/>
              <w:rPr>
                <w:rFonts w:ascii="Times New Roman" w:hAnsi="Times New Roman"/>
                <w:bCs/>
                <w:sz w:val="24"/>
                <w:lang w:val="fr-FR"/>
              </w:rPr>
            </w:pPr>
            <w:r w:rsidRPr="00181D34">
              <w:rPr>
                <w:rFonts w:ascii="Times New Roman" w:hAnsi="Times New Roman"/>
                <w:bCs/>
                <w:sz w:val="24"/>
                <w:lang w:val="fr-FR"/>
              </w:rPr>
              <w:t xml:space="preserve">Document complet du design et </w:t>
            </w:r>
            <w:r w:rsidR="00A420A7" w:rsidRPr="00181D34">
              <w:rPr>
                <w:rFonts w:ascii="Times New Roman" w:hAnsi="Times New Roman"/>
                <w:bCs/>
                <w:sz w:val="24"/>
                <w:lang w:val="fr-FR"/>
              </w:rPr>
              <w:t>schéma</w:t>
            </w:r>
            <w:r w:rsidRPr="00181D34">
              <w:rPr>
                <w:rFonts w:ascii="Times New Roman" w:hAnsi="Times New Roman"/>
                <w:bCs/>
                <w:sz w:val="24"/>
                <w:lang w:val="fr-FR"/>
              </w:rPr>
              <w:t xml:space="preserve"> physique de la base </w:t>
            </w:r>
            <w:r w:rsidRPr="00181D34">
              <w:rPr>
                <w:rFonts w:ascii="Times New Roman" w:hAnsi="Times New Roman"/>
                <w:bCs/>
                <w:sz w:val="24"/>
                <w:lang w:val="fr-FR"/>
              </w:rPr>
              <w:lastRenderedPageBreak/>
              <w:t xml:space="preserve">de </w:t>
            </w:r>
            <w:r w:rsidR="00A420A7" w:rsidRPr="00181D34">
              <w:rPr>
                <w:rFonts w:ascii="Times New Roman" w:hAnsi="Times New Roman"/>
                <w:bCs/>
                <w:sz w:val="24"/>
                <w:lang w:val="fr-FR"/>
              </w:rPr>
              <w:t>données.</w:t>
            </w:r>
          </w:p>
          <w:p w:rsidR="00181D34" w:rsidRPr="00181D34" w:rsidRDefault="00181D34" w:rsidP="00441F3D">
            <w:pPr>
              <w:pStyle w:val="BodyText"/>
              <w:jc w:val="both"/>
              <w:rPr>
                <w:rFonts w:ascii="Times New Roman" w:hAnsi="Times New Roman"/>
                <w:bCs/>
                <w:sz w:val="24"/>
                <w:lang w:val="fr-FR"/>
              </w:rPr>
            </w:pPr>
          </w:p>
          <w:p w:rsidR="00CD2C09" w:rsidRPr="00181D34" w:rsidRDefault="00CD2C09" w:rsidP="00441F3D">
            <w:pPr>
              <w:pStyle w:val="BodyText"/>
              <w:jc w:val="both"/>
              <w:rPr>
                <w:rFonts w:ascii="Times New Roman" w:hAnsi="Times New Roman"/>
                <w:bCs/>
                <w:sz w:val="24"/>
                <w:lang w:val="fr-FR"/>
              </w:rPr>
            </w:pPr>
            <w:r w:rsidRPr="00181D34">
              <w:rPr>
                <w:rFonts w:ascii="Times New Roman" w:hAnsi="Times New Roman"/>
                <w:bCs/>
                <w:sz w:val="24"/>
                <w:lang w:val="fr-FR"/>
              </w:rPr>
              <w:t>Cahier des ch</w:t>
            </w:r>
            <w:r w:rsidR="00181D34" w:rsidRPr="00181D34">
              <w:rPr>
                <w:rFonts w:ascii="Times New Roman" w:hAnsi="Times New Roman"/>
                <w:bCs/>
                <w:sz w:val="24"/>
                <w:lang w:val="fr-FR"/>
              </w:rPr>
              <w:t>arges fonctionnelles du SIC validé par la M</w:t>
            </w:r>
            <w:r w:rsidRPr="00181D34">
              <w:rPr>
                <w:rFonts w:ascii="Times New Roman" w:hAnsi="Times New Roman"/>
                <w:bCs/>
                <w:sz w:val="24"/>
                <w:lang w:val="fr-FR"/>
              </w:rPr>
              <w:t>airie de Pétion-Ville et le Ministère de l’Intérieur</w:t>
            </w:r>
            <w:r w:rsidR="00181D34" w:rsidRPr="00181D34">
              <w:rPr>
                <w:rFonts w:ascii="Times New Roman" w:hAnsi="Times New Roman"/>
                <w:bCs/>
                <w:sz w:val="24"/>
                <w:lang w:val="fr-FR"/>
              </w:rPr>
              <w:t xml:space="preserve"> et de Collectivités Territoriales.</w:t>
            </w:r>
          </w:p>
        </w:tc>
      </w:tr>
      <w:tr w:rsidR="00784899" w:rsidRPr="00072964" w:rsidTr="00441F3D">
        <w:tc>
          <w:tcPr>
            <w:tcW w:w="4265" w:type="dxa"/>
            <w:shd w:val="clear" w:color="auto" w:fill="auto"/>
          </w:tcPr>
          <w:p w:rsidR="00784899" w:rsidRDefault="00784899" w:rsidP="00441F3D">
            <w:pPr>
              <w:rPr>
                <w:lang w:val="fr-FR" w:eastAsia="fr-FR"/>
              </w:rPr>
            </w:pPr>
            <w:r w:rsidRPr="00EE4D43">
              <w:rPr>
                <w:b/>
                <w:lang w:val="fr-FR"/>
              </w:rPr>
              <w:lastRenderedPageBreak/>
              <w:t xml:space="preserve">Produit 2.3 : </w:t>
            </w:r>
            <w:r w:rsidRPr="00EE4D43">
              <w:rPr>
                <w:lang w:val="fr-FR" w:eastAsia="fr-FR"/>
              </w:rPr>
              <w:t>La</w:t>
            </w:r>
            <w:r w:rsidRPr="00981F08">
              <w:rPr>
                <w:lang w:val="fr-FR" w:eastAsia="fr-FR"/>
              </w:rPr>
              <w:t xml:space="preserve"> plateforme SILQ est conçue et opérationnelle.</w:t>
            </w:r>
          </w:p>
          <w:p w:rsidR="00A420A7" w:rsidRDefault="00A420A7" w:rsidP="00441F3D">
            <w:pPr>
              <w:rPr>
                <w:lang w:val="fr-FR" w:eastAsia="fr-FR"/>
              </w:rPr>
            </w:pPr>
          </w:p>
          <w:p w:rsidR="00784899" w:rsidRPr="00807E95" w:rsidRDefault="00784899" w:rsidP="00441F3D">
            <w:pPr>
              <w:rPr>
                <w:lang w:val="fr-FR"/>
              </w:rPr>
            </w:pPr>
            <w:r>
              <w:rPr>
                <w:b/>
                <w:lang w:val="fr-FR"/>
              </w:rPr>
              <w:t>Indicateur</w:t>
            </w:r>
            <w:r w:rsidRPr="00E15B9B">
              <w:rPr>
                <w:b/>
                <w:lang w:val="fr-FR"/>
              </w:rPr>
              <w:t xml:space="preserve"> 2.</w:t>
            </w:r>
            <w:r>
              <w:rPr>
                <w:b/>
                <w:lang w:val="fr-FR"/>
              </w:rPr>
              <w:t>3</w:t>
            </w:r>
            <w:r w:rsidRPr="00E15B9B">
              <w:rPr>
                <w:b/>
                <w:lang w:val="fr-FR"/>
              </w:rPr>
              <w:t>.</w:t>
            </w:r>
            <w:r w:rsidRPr="00807E95">
              <w:rPr>
                <w:b/>
                <w:lang w:val="fr-FR"/>
              </w:rPr>
              <w:t>1 :</w:t>
            </w:r>
            <w:r w:rsidRPr="00807E95">
              <w:rPr>
                <w:lang w:val="fr-FR"/>
              </w:rPr>
              <w:t xml:space="preserve"> L’information est collectée, traitée et utilisée. </w:t>
            </w:r>
          </w:p>
          <w:p w:rsidR="00784899" w:rsidRPr="00807E95" w:rsidRDefault="00784899" w:rsidP="00441F3D">
            <w:pPr>
              <w:rPr>
                <w:b/>
                <w:lang w:val="fr-FR"/>
              </w:rPr>
            </w:pPr>
            <w:r w:rsidRPr="00807E95">
              <w:rPr>
                <w:b/>
                <w:lang w:val="fr-FR"/>
              </w:rPr>
              <w:t xml:space="preserve">Indicateur de référence: </w:t>
            </w:r>
            <w:r w:rsidRPr="00807E95">
              <w:rPr>
                <w:lang w:val="fr-FR"/>
              </w:rPr>
              <w:t xml:space="preserve">Il n’existe pas de système permettant une interface des bases de données et de générer des produits d’information sur la reconstruction. </w:t>
            </w:r>
          </w:p>
          <w:p w:rsidR="00784899" w:rsidRPr="00807E95" w:rsidRDefault="00784899" w:rsidP="00441F3D">
            <w:pPr>
              <w:rPr>
                <w:rFonts w:cs="Calibri"/>
                <w:lang w:val="fr-FR" w:eastAsia="fr-FR"/>
              </w:rPr>
            </w:pPr>
            <w:r w:rsidRPr="00807E95">
              <w:rPr>
                <w:b/>
                <w:lang w:val="fr-FR"/>
              </w:rPr>
              <w:t xml:space="preserve">Indicateur cible: </w:t>
            </w:r>
            <w:r w:rsidRPr="00807E95">
              <w:rPr>
                <w:rFonts w:cs="Calibri"/>
                <w:lang w:val="fr-FR" w:eastAsia="fr-FR"/>
              </w:rPr>
              <w:t xml:space="preserve">Le système a été conçu, développé, testé, validé et mis en ligne. </w:t>
            </w:r>
          </w:p>
          <w:p w:rsidR="00784899" w:rsidRPr="00E15B9B" w:rsidRDefault="00784899" w:rsidP="00441F3D">
            <w:pPr>
              <w:rPr>
                <w:b/>
                <w:lang w:val="fr-FR"/>
              </w:rPr>
            </w:pPr>
          </w:p>
        </w:tc>
        <w:tc>
          <w:tcPr>
            <w:tcW w:w="3745" w:type="dxa"/>
            <w:shd w:val="clear" w:color="auto" w:fill="auto"/>
          </w:tcPr>
          <w:p w:rsidR="00A420A7" w:rsidRPr="00750426" w:rsidRDefault="00A420A7" w:rsidP="00441F3D">
            <w:pPr>
              <w:pStyle w:val="BodyText"/>
              <w:ind w:right="-52"/>
              <w:jc w:val="both"/>
              <w:rPr>
                <w:rFonts w:ascii="Times New Roman" w:hAnsi="Times New Roman" w:cs="Times New Roman"/>
                <w:bCs/>
                <w:sz w:val="24"/>
                <w:szCs w:val="24"/>
                <w:lang w:val="fr-FR"/>
              </w:rPr>
            </w:pPr>
          </w:p>
          <w:p w:rsidR="00A420A7" w:rsidRPr="00750426" w:rsidRDefault="00A420A7" w:rsidP="00441F3D">
            <w:pPr>
              <w:pStyle w:val="BodyText"/>
              <w:ind w:right="-52"/>
              <w:jc w:val="both"/>
              <w:rPr>
                <w:rFonts w:ascii="Times New Roman" w:hAnsi="Times New Roman" w:cs="Times New Roman"/>
                <w:bCs/>
                <w:sz w:val="24"/>
                <w:szCs w:val="24"/>
                <w:lang w:val="fr-FR"/>
              </w:rPr>
            </w:pPr>
          </w:p>
          <w:p w:rsidR="00A420A7" w:rsidRPr="00750426" w:rsidRDefault="00A420A7" w:rsidP="00441F3D">
            <w:pPr>
              <w:pStyle w:val="BodyText"/>
              <w:ind w:right="-52"/>
              <w:jc w:val="both"/>
              <w:rPr>
                <w:rFonts w:ascii="Times New Roman" w:hAnsi="Times New Roman" w:cs="Times New Roman"/>
                <w:bCs/>
                <w:sz w:val="24"/>
                <w:szCs w:val="24"/>
                <w:lang w:val="fr-FR"/>
              </w:rPr>
            </w:pPr>
          </w:p>
          <w:p w:rsidR="00CD2C09" w:rsidRPr="00750426" w:rsidRDefault="00CD2C09" w:rsidP="00CD2C09">
            <w:pPr>
              <w:pStyle w:val="BodyText"/>
              <w:ind w:right="-52"/>
              <w:jc w:val="both"/>
              <w:rPr>
                <w:rFonts w:ascii="Times New Roman" w:hAnsi="Times New Roman" w:cs="Times New Roman"/>
                <w:bCs/>
                <w:sz w:val="24"/>
                <w:szCs w:val="24"/>
                <w:lang w:val="fr-FR"/>
              </w:rPr>
            </w:pPr>
            <w:r w:rsidRPr="00750426">
              <w:rPr>
                <w:rFonts w:ascii="Times New Roman" w:hAnsi="Times New Roman" w:cs="Times New Roman"/>
                <w:bCs/>
                <w:sz w:val="24"/>
                <w:szCs w:val="24"/>
                <w:lang w:val="fr-FR"/>
              </w:rPr>
              <w:t xml:space="preserve">Le système a été entièrement conçu, développé, testé et mis en ligne </w:t>
            </w:r>
            <w:r w:rsidR="00750426" w:rsidRPr="00750426">
              <w:rPr>
                <w:rFonts w:ascii="Times New Roman" w:hAnsi="Times New Roman" w:cs="Times New Roman"/>
                <w:bCs/>
                <w:sz w:val="24"/>
                <w:szCs w:val="24"/>
                <w:lang w:val="fr-FR"/>
              </w:rPr>
              <w:t xml:space="preserve">sur </w:t>
            </w:r>
            <w:r w:rsidRPr="00750426">
              <w:rPr>
                <w:rFonts w:ascii="Times New Roman" w:hAnsi="Times New Roman" w:cs="Times New Roman"/>
                <w:bCs/>
                <w:sz w:val="24"/>
                <w:szCs w:val="24"/>
                <w:lang w:val="fr-FR"/>
              </w:rPr>
              <w:t xml:space="preserve">le site web du SILQ intégrant les résultats de toutes les composantes est également donnant accès au </w:t>
            </w:r>
            <w:proofErr w:type="spellStart"/>
            <w:r w:rsidRPr="00750426">
              <w:rPr>
                <w:rFonts w:ascii="Times New Roman" w:hAnsi="Times New Roman" w:cs="Times New Roman"/>
                <w:bCs/>
                <w:sz w:val="24"/>
                <w:szCs w:val="24"/>
                <w:lang w:val="fr-FR"/>
              </w:rPr>
              <w:t>géoportail</w:t>
            </w:r>
            <w:proofErr w:type="spellEnd"/>
            <w:r w:rsidRPr="00750426">
              <w:rPr>
                <w:rFonts w:ascii="Times New Roman" w:hAnsi="Times New Roman" w:cs="Times New Roman"/>
                <w:bCs/>
                <w:sz w:val="24"/>
                <w:szCs w:val="24"/>
                <w:lang w:val="fr-FR"/>
              </w:rPr>
              <w:t xml:space="preserve">. </w:t>
            </w:r>
          </w:p>
          <w:p w:rsidR="00750426" w:rsidRPr="00750426" w:rsidRDefault="00750426" w:rsidP="00750426">
            <w:pPr>
              <w:pStyle w:val="BodyText"/>
              <w:ind w:right="-52"/>
              <w:jc w:val="both"/>
              <w:rPr>
                <w:rFonts w:ascii="Times New Roman" w:hAnsi="Times New Roman" w:cs="Times New Roman"/>
                <w:bCs/>
                <w:sz w:val="24"/>
                <w:szCs w:val="24"/>
                <w:lang w:val="fr-FR"/>
              </w:rPr>
            </w:pPr>
            <w:r w:rsidRPr="00750426">
              <w:rPr>
                <w:rFonts w:ascii="Times New Roman" w:hAnsi="Times New Roman" w:cs="Times New Roman"/>
                <w:bCs/>
                <w:sz w:val="24"/>
                <w:szCs w:val="24"/>
                <w:lang w:val="fr-FR"/>
              </w:rPr>
              <w:t xml:space="preserve">Les données de la composante 1 sur les bâtis collectées par l’IHSI et l’OIM et leur mise à jour par le CNIGS sont accessibles à travers le </w:t>
            </w:r>
            <w:proofErr w:type="spellStart"/>
            <w:r w:rsidRPr="00750426">
              <w:rPr>
                <w:rFonts w:ascii="Times New Roman" w:hAnsi="Times New Roman" w:cs="Times New Roman"/>
                <w:bCs/>
                <w:sz w:val="24"/>
                <w:szCs w:val="24"/>
                <w:lang w:val="fr-FR"/>
              </w:rPr>
              <w:t>geoportail</w:t>
            </w:r>
            <w:proofErr w:type="spellEnd"/>
            <w:r w:rsidRPr="00750426">
              <w:rPr>
                <w:rFonts w:ascii="Times New Roman" w:hAnsi="Times New Roman" w:cs="Times New Roman"/>
                <w:bCs/>
                <w:sz w:val="24"/>
                <w:szCs w:val="24"/>
                <w:lang w:val="fr-FR"/>
              </w:rPr>
              <w:t xml:space="preserve"> et les fiches quartiers.</w:t>
            </w:r>
          </w:p>
          <w:p w:rsidR="00CD2C09" w:rsidRPr="00750426" w:rsidRDefault="00CD2C09" w:rsidP="00CD2C09">
            <w:pPr>
              <w:pStyle w:val="BodyText"/>
              <w:ind w:right="-52"/>
              <w:jc w:val="both"/>
              <w:rPr>
                <w:rFonts w:ascii="Times New Roman" w:hAnsi="Times New Roman" w:cs="Times New Roman"/>
                <w:bCs/>
                <w:sz w:val="24"/>
                <w:szCs w:val="24"/>
                <w:lang w:val="fr-FR"/>
              </w:rPr>
            </w:pPr>
            <w:r w:rsidRPr="00750426">
              <w:rPr>
                <w:rFonts w:ascii="Times New Roman" w:hAnsi="Times New Roman" w:cs="Times New Roman"/>
                <w:bCs/>
                <w:sz w:val="24"/>
                <w:szCs w:val="24"/>
                <w:lang w:val="fr-FR"/>
              </w:rPr>
              <w:t>La couche géométrique de</w:t>
            </w:r>
            <w:r w:rsidR="00750426" w:rsidRPr="00750426">
              <w:rPr>
                <w:rFonts w:ascii="Times New Roman" w:hAnsi="Times New Roman" w:cs="Times New Roman"/>
                <w:bCs/>
                <w:sz w:val="24"/>
                <w:szCs w:val="24"/>
                <w:lang w:val="fr-FR"/>
              </w:rPr>
              <w:t xml:space="preserve"> délimitation de</w:t>
            </w:r>
            <w:r w:rsidRPr="00750426">
              <w:rPr>
                <w:rFonts w:ascii="Times New Roman" w:hAnsi="Times New Roman" w:cs="Times New Roman"/>
                <w:bCs/>
                <w:sz w:val="24"/>
                <w:szCs w:val="24"/>
                <w:lang w:val="fr-FR"/>
              </w:rPr>
              <w:t xml:space="preserve"> l’ensemble des quartiers des 10 </w:t>
            </w:r>
            <w:r w:rsidR="00750426" w:rsidRPr="00750426">
              <w:rPr>
                <w:rFonts w:ascii="Times New Roman" w:hAnsi="Times New Roman" w:cs="Times New Roman"/>
                <w:bCs/>
                <w:sz w:val="24"/>
                <w:szCs w:val="24"/>
                <w:lang w:val="fr-FR"/>
              </w:rPr>
              <w:t>communes est achevée.</w:t>
            </w:r>
          </w:p>
          <w:p w:rsidR="00CD2C09" w:rsidRPr="00750426" w:rsidRDefault="00CD2C09" w:rsidP="00CD2C09">
            <w:pPr>
              <w:pStyle w:val="BodyText"/>
              <w:ind w:right="-52"/>
              <w:jc w:val="both"/>
              <w:rPr>
                <w:rFonts w:ascii="Times New Roman" w:hAnsi="Times New Roman" w:cs="Times New Roman"/>
                <w:bCs/>
                <w:sz w:val="24"/>
                <w:szCs w:val="24"/>
                <w:lang w:val="fr-FR"/>
              </w:rPr>
            </w:pPr>
            <w:r w:rsidRPr="00750426">
              <w:rPr>
                <w:rFonts w:ascii="Times New Roman" w:hAnsi="Times New Roman" w:cs="Times New Roman"/>
                <w:bCs/>
                <w:sz w:val="24"/>
                <w:szCs w:val="24"/>
                <w:lang w:val="fr-FR"/>
              </w:rPr>
              <w:t>La cou</w:t>
            </w:r>
            <w:r w:rsidR="00750426" w:rsidRPr="00750426">
              <w:rPr>
                <w:rFonts w:ascii="Times New Roman" w:hAnsi="Times New Roman" w:cs="Times New Roman"/>
                <w:bCs/>
                <w:sz w:val="24"/>
                <w:szCs w:val="24"/>
                <w:lang w:val="fr-FR"/>
              </w:rPr>
              <w:t xml:space="preserve">che des risques fournie par le </w:t>
            </w:r>
            <w:r w:rsidRPr="00750426">
              <w:rPr>
                <w:rFonts w:ascii="Times New Roman" w:hAnsi="Times New Roman" w:cs="Times New Roman"/>
                <w:bCs/>
                <w:sz w:val="24"/>
                <w:szCs w:val="24"/>
                <w:lang w:val="fr-FR"/>
              </w:rPr>
              <w:t>MTPTC couvrant la région métropolitaine</w:t>
            </w:r>
            <w:r w:rsidR="00750426" w:rsidRPr="00750426">
              <w:rPr>
                <w:rFonts w:ascii="Times New Roman" w:hAnsi="Times New Roman" w:cs="Times New Roman"/>
                <w:bCs/>
                <w:sz w:val="24"/>
                <w:szCs w:val="24"/>
                <w:lang w:val="fr-FR"/>
              </w:rPr>
              <w:t xml:space="preserve"> a été aussi intégrée.</w:t>
            </w:r>
          </w:p>
          <w:p w:rsidR="00CD2C09" w:rsidRPr="00750426" w:rsidRDefault="00CD2C09" w:rsidP="00CD2C09">
            <w:pPr>
              <w:pStyle w:val="BodyText"/>
              <w:ind w:right="-52"/>
              <w:jc w:val="both"/>
              <w:rPr>
                <w:rFonts w:ascii="Times New Roman" w:hAnsi="Times New Roman" w:cs="Times New Roman"/>
                <w:bCs/>
                <w:sz w:val="24"/>
                <w:szCs w:val="24"/>
                <w:lang w:val="fr-FR"/>
              </w:rPr>
            </w:pPr>
            <w:r w:rsidRPr="00750426">
              <w:rPr>
                <w:rFonts w:ascii="Times New Roman" w:hAnsi="Times New Roman" w:cs="Times New Roman"/>
                <w:bCs/>
                <w:sz w:val="24"/>
                <w:szCs w:val="24"/>
                <w:lang w:val="fr-FR"/>
              </w:rPr>
              <w:t>L’acquisition de GPS, tablettes et drone a été effectuée</w:t>
            </w:r>
            <w:r w:rsidR="00750426" w:rsidRPr="00750426">
              <w:rPr>
                <w:rFonts w:ascii="Times New Roman" w:hAnsi="Times New Roman" w:cs="Times New Roman"/>
                <w:bCs/>
                <w:sz w:val="24"/>
                <w:szCs w:val="24"/>
                <w:lang w:val="fr-FR"/>
              </w:rPr>
              <w:t>.</w:t>
            </w:r>
          </w:p>
          <w:p w:rsidR="00784899" w:rsidRPr="00750426" w:rsidRDefault="00784899" w:rsidP="00441F3D">
            <w:pPr>
              <w:pStyle w:val="BodyText"/>
              <w:jc w:val="both"/>
              <w:rPr>
                <w:rFonts w:ascii="Times New Roman" w:hAnsi="Times New Roman"/>
                <w:bCs/>
                <w:sz w:val="24"/>
                <w:lang w:val="fr-FR"/>
              </w:rPr>
            </w:pPr>
          </w:p>
        </w:tc>
        <w:tc>
          <w:tcPr>
            <w:tcW w:w="3960" w:type="dxa"/>
            <w:shd w:val="clear" w:color="auto" w:fill="auto"/>
          </w:tcPr>
          <w:p w:rsidR="00750426" w:rsidRPr="00750426" w:rsidRDefault="00750426" w:rsidP="00441F3D">
            <w:pPr>
              <w:pStyle w:val="BodyText"/>
              <w:jc w:val="both"/>
              <w:rPr>
                <w:rFonts w:ascii="Times New Roman" w:hAnsi="Times New Roman"/>
                <w:bCs/>
                <w:sz w:val="24"/>
                <w:lang w:val="fr-FR"/>
              </w:rPr>
            </w:pPr>
          </w:p>
          <w:p w:rsidR="00750426" w:rsidRPr="00750426" w:rsidRDefault="00750426" w:rsidP="00441F3D">
            <w:pPr>
              <w:pStyle w:val="BodyText"/>
              <w:jc w:val="both"/>
              <w:rPr>
                <w:rFonts w:ascii="Times New Roman" w:hAnsi="Times New Roman"/>
                <w:bCs/>
                <w:sz w:val="24"/>
                <w:lang w:val="fr-FR"/>
              </w:rPr>
            </w:pPr>
          </w:p>
          <w:p w:rsidR="00750426" w:rsidRPr="00750426" w:rsidRDefault="00750426" w:rsidP="00441F3D">
            <w:pPr>
              <w:pStyle w:val="BodyText"/>
              <w:jc w:val="both"/>
              <w:rPr>
                <w:rFonts w:ascii="Times New Roman" w:hAnsi="Times New Roman"/>
                <w:bCs/>
                <w:sz w:val="24"/>
                <w:lang w:val="fr-FR"/>
              </w:rPr>
            </w:pPr>
          </w:p>
          <w:p w:rsidR="00CD2C09" w:rsidRPr="00750426" w:rsidRDefault="00CD2C09" w:rsidP="00441F3D">
            <w:pPr>
              <w:pStyle w:val="BodyText"/>
              <w:jc w:val="both"/>
              <w:rPr>
                <w:rFonts w:ascii="Times New Roman" w:hAnsi="Times New Roman"/>
                <w:bCs/>
                <w:sz w:val="24"/>
                <w:lang w:val="fr-FR"/>
              </w:rPr>
            </w:pPr>
            <w:r w:rsidRPr="00750426">
              <w:rPr>
                <w:rFonts w:ascii="Times New Roman" w:hAnsi="Times New Roman"/>
                <w:bCs/>
                <w:sz w:val="24"/>
                <w:lang w:val="fr-FR"/>
              </w:rPr>
              <w:t>Livraison et formation</w:t>
            </w:r>
            <w:r w:rsidR="00750426" w:rsidRPr="00750426">
              <w:rPr>
                <w:rFonts w:ascii="Times New Roman" w:hAnsi="Times New Roman"/>
                <w:bCs/>
                <w:sz w:val="24"/>
                <w:lang w:val="fr-FR"/>
              </w:rPr>
              <w:t xml:space="preserve"> sur le drone prévu au mois de mars par le f</w:t>
            </w:r>
            <w:r w:rsidRPr="00750426">
              <w:rPr>
                <w:rFonts w:ascii="Times New Roman" w:hAnsi="Times New Roman"/>
                <w:bCs/>
                <w:sz w:val="24"/>
                <w:lang w:val="fr-FR"/>
              </w:rPr>
              <w:t>ournisseur</w:t>
            </w: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CD2C09" w:rsidRPr="00750426" w:rsidRDefault="00CD2C09" w:rsidP="00CD2C09">
            <w:pPr>
              <w:rPr>
                <w:lang w:val="fr-FR"/>
              </w:rPr>
            </w:pPr>
          </w:p>
          <w:p w:rsidR="00784899" w:rsidRPr="00750426" w:rsidRDefault="00784899" w:rsidP="00CD2C09">
            <w:pPr>
              <w:rPr>
                <w:lang w:val="fr-FR"/>
              </w:rPr>
            </w:pPr>
          </w:p>
        </w:tc>
        <w:tc>
          <w:tcPr>
            <w:tcW w:w="3150" w:type="dxa"/>
            <w:shd w:val="clear" w:color="auto" w:fill="auto"/>
          </w:tcPr>
          <w:p w:rsidR="00A420A7" w:rsidRPr="00750426" w:rsidRDefault="00A420A7" w:rsidP="00441F3D">
            <w:pPr>
              <w:tabs>
                <w:tab w:val="left" w:pos="-720"/>
                <w:tab w:val="left" w:pos="4500"/>
              </w:tabs>
              <w:suppressAutoHyphens/>
              <w:jc w:val="both"/>
              <w:rPr>
                <w:lang w:val="fr-FR" w:eastAsia="fr-FR"/>
              </w:rPr>
            </w:pPr>
          </w:p>
          <w:p w:rsidR="00A420A7" w:rsidRPr="00750426" w:rsidRDefault="00A420A7" w:rsidP="00441F3D">
            <w:pPr>
              <w:tabs>
                <w:tab w:val="left" w:pos="-720"/>
                <w:tab w:val="left" w:pos="4500"/>
              </w:tabs>
              <w:suppressAutoHyphens/>
              <w:jc w:val="both"/>
              <w:rPr>
                <w:lang w:val="fr-FR" w:eastAsia="fr-FR"/>
              </w:rPr>
            </w:pPr>
          </w:p>
          <w:p w:rsidR="00A420A7" w:rsidRPr="00750426" w:rsidRDefault="00A420A7" w:rsidP="00441F3D">
            <w:pPr>
              <w:tabs>
                <w:tab w:val="left" w:pos="-720"/>
                <w:tab w:val="left" w:pos="4500"/>
              </w:tabs>
              <w:suppressAutoHyphens/>
              <w:jc w:val="both"/>
              <w:rPr>
                <w:lang w:val="fr-FR" w:eastAsia="fr-FR"/>
              </w:rPr>
            </w:pPr>
          </w:p>
          <w:p w:rsidR="00CD2C09" w:rsidRPr="00750426" w:rsidRDefault="00CD2C09" w:rsidP="00CD2C09">
            <w:pPr>
              <w:tabs>
                <w:tab w:val="left" w:pos="-720"/>
                <w:tab w:val="left" w:pos="4500"/>
              </w:tabs>
              <w:suppressAutoHyphens/>
              <w:jc w:val="both"/>
              <w:rPr>
                <w:lang w:val="fr-FR" w:eastAsia="fr-FR"/>
              </w:rPr>
            </w:pPr>
            <w:r w:rsidRPr="00750426">
              <w:rPr>
                <w:lang w:val="fr-FR" w:eastAsia="fr-FR"/>
              </w:rPr>
              <w:t xml:space="preserve">Plateforme accessible à l’adresse </w:t>
            </w:r>
            <w:hyperlink r:id="rId15" w:history="1">
              <w:r w:rsidRPr="00750426">
                <w:rPr>
                  <w:rStyle w:val="Hyperlink"/>
                  <w:color w:val="auto"/>
                  <w:lang w:val="fr-FR" w:eastAsia="fr-FR"/>
                </w:rPr>
                <w:t>http://silqhaiti.com</w:t>
              </w:r>
            </w:hyperlink>
            <w:r w:rsidRPr="00750426">
              <w:rPr>
                <w:lang w:val="fr-FR" w:eastAsia="fr-FR"/>
              </w:rPr>
              <w:t xml:space="preserve"> ou </w:t>
            </w:r>
            <w:proofErr w:type="spellStart"/>
            <w:r w:rsidRPr="00750426">
              <w:rPr>
                <w:lang w:val="fr-FR" w:eastAsia="fr-FR"/>
              </w:rPr>
              <w:t>a</w:t>
            </w:r>
            <w:proofErr w:type="spellEnd"/>
            <w:r w:rsidRPr="00750426">
              <w:rPr>
                <w:lang w:val="fr-FR" w:eastAsia="fr-FR"/>
              </w:rPr>
              <w:t xml:space="preserve"> partir du site du CNIGS </w:t>
            </w:r>
            <w:proofErr w:type="spellStart"/>
            <w:r w:rsidRPr="00750426">
              <w:rPr>
                <w:lang w:val="fr-FR" w:eastAsia="fr-FR"/>
              </w:rPr>
              <w:t>a</w:t>
            </w:r>
            <w:proofErr w:type="spellEnd"/>
            <w:r w:rsidRPr="00750426">
              <w:rPr>
                <w:lang w:val="fr-FR" w:eastAsia="fr-FR"/>
              </w:rPr>
              <w:t xml:space="preserve"> l’adresse </w:t>
            </w:r>
            <w:hyperlink r:id="rId16" w:history="1">
              <w:r w:rsidRPr="00750426">
                <w:rPr>
                  <w:rStyle w:val="Hyperlink"/>
                  <w:color w:val="auto"/>
                  <w:lang w:val="fr-FR" w:eastAsia="fr-FR"/>
                </w:rPr>
                <w:t>www.cnigs.ht</w:t>
              </w:r>
            </w:hyperlink>
          </w:p>
          <w:p w:rsidR="00CD2C09" w:rsidRPr="00750426" w:rsidRDefault="00CD2C09" w:rsidP="00CD2C09">
            <w:pPr>
              <w:tabs>
                <w:tab w:val="left" w:pos="-720"/>
                <w:tab w:val="left" w:pos="4500"/>
              </w:tabs>
              <w:suppressAutoHyphens/>
              <w:jc w:val="both"/>
              <w:rPr>
                <w:lang w:val="fr-FR" w:eastAsia="fr-FR"/>
              </w:rPr>
            </w:pPr>
          </w:p>
          <w:p w:rsidR="00CD2C09" w:rsidRPr="00750426" w:rsidRDefault="00CD2C09" w:rsidP="00CD2C09">
            <w:pPr>
              <w:pStyle w:val="BodyText"/>
              <w:jc w:val="both"/>
              <w:rPr>
                <w:rFonts w:ascii="Times New Roman" w:hAnsi="Times New Roman"/>
                <w:bCs/>
                <w:sz w:val="24"/>
                <w:lang w:val="fr-FR"/>
              </w:rPr>
            </w:pPr>
            <w:r w:rsidRPr="00750426">
              <w:rPr>
                <w:rFonts w:ascii="Times New Roman" w:hAnsi="Times New Roman"/>
                <w:bCs/>
                <w:sz w:val="24"/>
                <w:lang w:val="fr-FR"/>
              </w:rPr>
              <w:t>Couche géométrique des quartiers des 10 comm</w:t>
            </w:r>
            <w:r w:rsidR="00750426" w:rsidRPr="00750426">
              <w:rPr>
                <w:rFonts w:ascii="Times New Roman" w:hAnsi="Times New Roman"/>
                <w:bCs/>
                <w:sz w:val="24"/>
                <w:lang w:val="fr-FR"/>
              </w:rPr>
              <w:t>unes du SILQ et leurs attributs.</w:t>
            </w:r>
          </w:p>
          <w:p w:rsidR="00CD2C09" w:rsidRPr="00750426" w:rsidRDefault="00CD2C09" w:rsidP="00CD2C09">
            <w:pPr>
              <w:pStyle w:val="BodyText"/>
              <w:jc w:val="both"/>
              <w:rPr>
                <w:rFonts w:ascii="Times New Roman" w:hAnsi="Times New Roman"/>
                <w:bCs/>
                <w:sz w:val="24"/>
                <w:lang w:val="fr-FR"/>
              </w:rPr>
            </w:pPr>
          </w:p>
          <w:p w:rsidR="00CD2C09" w:rsidRPr="00750426" w:rsidRDefault="00CD2C09" w:rsidP="00CD2C09">
            <w:pPr>
              <w:pStyle w:val="BodyText"/>
              <w:jc w:val="both"/>
              <w:rPr>
                <w:rFonts w:ascii="Times New Roman" w:hAnsi="Times New Roman"/>
                <w:bCs/>
                <w:sz w:val="24"/>
                <w:lang w:val="fr-FR"/>
              </w:rPr>
            </w:pPr>
            <w:r w:rsidRPr="00750426">
              <w:rPr>
                <w:rFonts w:ascii="Times New Roman" w:hAnsi="Times New Roman"/>
                <w:bCs/>
                <w:sz w:val="24"/>
                <w:lang w:val="fr-FR"/>
              </w:rPr>
              <w:t>Couche géométrique sur les bâtis et les inf</w:t>
            </w:r>
            <w:r w:rsidR="00750426" w:rsidRPr="00750426">
              <w:rPr>
                <w:rFonts w:ascii="Times New Roman" w:hAnsi="Times New Roman"/>
                <w:bCs/>
                <w:sz w:val="24"/>
                <w:lang w:val="fr-FR"/>
              </w:rPr>
              <w:t>rastructures et leurs attributs</w:t>
            </w:r>
          </w:p>
          <w:p w:rsidR="00CD2C09" w:rsidRPr="00750426" w:rsidRDefault="00CD2C09" w:rsidP="00CD2C09">
            <w:pPr>
              <w:rPr>
                <w:lang w:val="fr-FR"/>
              </w:rPr>
            </w:pPr>
          </w:p>
          <w:p w:rsidR="00CD2C09" w:rsidRPr="00750426" w:rsidRDefault="00CD2C09" w:rsidP="00CD2C09">
            <w:pPr>
              <w:pStyle w:val="BodyText"/>
              <w:jc w:val="both"/>
              <w:rPr>
                <w:rFonts w:ascii="Times New Roman" w:hAnsi="Times New Roman"/>
                <w:bCs/>
                <w:sz w:val="24"/>
                <w:lang w:val="fr-FR"/>
              </w:rPr>
            </w:pPr>
            <w:r w:rsidRPr="00750426">
              <w:rPr>
                <w:rFonts w:ascii="Times New Roman" w:hAnsi="Times New Roman" w:cs="Times New Roman"/>
                <w:sz w:val="24"/>
                <w:szCs w:val="24"/>
                <w:lang w:val="fr-FR"/>
              </w:rPr>
              <w:t>Couches des risques</w:t>
            </w:r>
          </w:p>
        </w:tc>
      </w:tr>
      <w:tr w:rsidR="00784899" w:rsidRPr="004A058E" w:rsidTr="00441F3D">
        <w:tc>
          <w:tcPr>
            <w:tcW w:w="4265" w:type="dxa"/>
            <w:shd w:val="clear" w:color="auto" w:fill="auto"/>
          </w:tcPr>
          <w:p w:rsidR="00784899" w:rsidRDefault="00784899" w:rsidP="00441F3D">
            <w:pPr>
              <w:rPr>
                <w:lang w:val="fr-FR" w:eastAsia="fr-FR"/>
              </w:rPr>
            </w:pPr>
            <w:r w:rsidRPr="00EE4D43">
              <w:rPr>
                <w:b/>
                <w:lang w:val="fr-FR"/>
              </w:rPr>
              <w:t xml:space="preserve">Produit 2.4 : </w:t>
            </w:r>
            <w:r w:rsidRPr="00EE4D43">
              <w:rPr>
                <w:lang w:val="fr-FR" w:eastAsia="fr-FR"/>
              </w:rPr>
              <w:t>Les capacités des usagers sont renforcées.</w:t>
            </w:r>
          </w:p>
          <w:p w:rsidR="00A420A7" w:rsidRPr="00EE4D43" w:rsidRDefault="00A420A7" w:rsidP="00441F3D">
            <w:pPr>
              <w:rPr>
                <w:lang w:val="fr-FR" w:eastAsia="fr-FR"/>
              </w:rPr>
            </w:pPr>
          </w:p>
          <w:p w:rsidR="00784899" w:rsidRPr="00EE4D43" w:rsidRDefault="00784899" w:rsidP="00441F3D">
            <w:pPr>
              <w:rPr>
                <w:lang w:val="fr-HT"/>
              </w:rPr>
            </w:pPr>
            <w:r w:rsidRPr="00EE4D43">
              <w:rPr>
                <w:b/>
                <w:lang w:val="fr-FR"/>
              </w:rPr>
              <w:t>Indicateur 2.4.1 :</w:t>
            </w:r>
            <w:r w:rsidRPr="00EE4D43">
              <w:rPr>
                <w:lang w:val="fr-HT"/>
              </w:rPr>
              <w:t xml:space="preserve"> Les usagers utilisent régulièrement et systématiquement l’information produite par le système.</w:t>
            </w:r>
          </w:p>
          <w:p w:rsidR="00784899" w:rsidRPr="00EE4D43" w:rsidRDefault="00784899" w:rsidP="00441F3D">
            <w:pPr>
              <w:rPr>
                <w:lang w:val="fr-FR"/>
              </w:rPr>
            </w:pPr>
            <w:r w:rsidRPr="00EE4D43">
              <w:rPr>
                <w:b/>
                <w:lang w:val="fr-FR"/>
              </w:rPr>
              <w:lastRenderedPageBreak/>
              <w:t>Indicateur de référence:</w:t>
            </w:r>
            <w:r w:rsidRPr="00EE4D43">
              <w:rPr>
                <w:lang w:val="fr-FR"/>
              </w:rPr>
              <w:t xml:space="preserve"> Les usagers potentiels ne connaissent pas le système et ses fonctionnalités.</w:t>
            </w:r>
          </w:p>
          <w:p w:rsidR="00784899" w:rsidRDefault="00784899" w:rsidP="00441F3D">
            <w:pPr>
              <w:rPr>
                <w:rFonts w:cs="Calibri"/>
                <w:lang w:val="fr-FR" w:eastAsia="fr-FR"/>
              </w:rPr>
            </w:pPr>
            <w:r w:rsidRPr="00EE4D43">
              <w:rPr>
                <w:b/>
                <w:lang w:val="fr-FR"/>
              </w:rPr>
              <w:t xml:space="preserve">Indicateur cible: </w:t>
            </w:r>
            <w:r w:rsidRPr="00EE4D43">
              <w:rPr>
                <w:rFonts w:cs="Calibri"/>
                <w:lang w:val="fr-FR" w:eastAsia="fr-FR"/>
              </w:rPr>
              <w:t>Le système est facilement utilisable par les partenaires et les fonctionnalités de mise à jour de la plateforme sont opérationnelles.</w:t>
            </w:r>
            <w:r>
              <w:rPr>
                <w:rFonts w:cs="Calibri"/>
                <w:lang w:val="fr-FR" w:eastAsia="fr-FR"/>
              </w:rPr>
              <w:t xml:space="preserve"> </w:t>
            </w:r>
          </w:p>
          <w:p w:rsidR="00784899" w:rsidRPr="00EE4D43" w:rsidRDefault="00784899" w:rsidP="00441F3D">
            <w:pPr>
              <w:rPr>
                <w:b/>
                <w:lang w:val="fr-FR"/>
              </w:rPr>
            </w:pPr>
          </w:p>
        </w:tc>
        <w:tc>
          <w:tcPr>
            <w:tcW w:w="3745" w:type="dxa"/>
            <w:shd w:val="clear" w:color="auto" w:fill="auto"/>
          </w:tcPr>
          <w:p w:rsidR="00A420A7" w:rsidRPr="001D1F67" w:rsidRDefault="00A420A7" w:rsidP="00441F3D">
            <w:pPr>
              <w:pStyle w:val="BodyText"/>
              <w:jc w:val="both"/>
              <w:rPr>
                <w:rFonts w:ascii="Times New Roman" w:hAnsi="Times New Roman" w:cs="Times New Roman"/>
                <w:sz w:val="24"/>
                <w:szCs w:val="24"/>
                <w:lang w:val="fr-FR"/>
              </w:rPr>
            </w:pPr>
          </w:p>
          <w:p w:rsidR="00A420A7" w:rsidRPr="001D1F67" w:rsidRDefault="00A420A7" w:rsidP="00441F3D">
            <w:pPr>
              <w:pStyle w:val="BodyText"/>
              <w:jc w:val="both"/>
              <w:rPr>
                <w:rFonts w:ascii="Times New Roman" w:hAnsi="Times New Roman" w:cs="Times New Roman"/>
                <w:sz w:val="24"/>
                <w:szCs w:val="24"/>
                <w:lang w:val="fr-FR"/>
              </w:rPr>
            </w:pPr>
          </w:p>
          <w:p w:rsidR="00A420A7" w:rsidRPr="001D1F67" w:rsidRDefault="00A420A7" w:rsidP="00441F3D">
            <w:pPr>
              <w:pStyle w:val="BodyText"/>
              <w:jc w:val="both"/>
              <w:rPr>
                <w:rFonts w:ascii="Times New Roman" w:hAnsi="Times New Roman" w:cs="Times New Roman"/>
                <w:sz w:val="24"/>
                <w:szCs w:val="24"/>
                <w:lang w:val="fr-FR"/>
              </w:rPr>
            </w:pPr>
          </w:p>
          <w:p w:rsidR="001D1F67" w:rsidRPr="001D1F67" w:rsidRDefault="00CD2C09" w:rsidP="00CD2C09">
            <w:pPr>
              <w:pStyle w:val="BodyText"/>
              <w:jc w:val="both"/>
              <w:rPr>
                <w:rFonts w:ascii="Times New Roman" w:hAnsi="Times New Roman" w:cs="Times New Roman"/>
                <w:sz w:val="24"/>
                <w:szCs w:val="24"/>
                <w:lang w:val="fr-FR"/>
              </w:rPr>
            </w:pPr>
            <w:r w:rsidRPr="001D1F67">
              <w:rPr>
                <w:rFonts w:ascii="Times New Roman" w:hAnsi="Times New Roman" w:cs="Times New Roman"/>
                <w:sz w:val="24"/>
                <w:szCs w:val="24"/>
                <w:lang w:val="fr-FR"/>
              </w:rPr>
              <w:t xml:space="preserve">Deux types d’usagers sont </w:t>
            </w:r>
            <w:r w:rsidR="001D1F67" w:rsidRPr="001D1F67">
              <w:rPr>
                <w:rFonts w:ascii="Times New Roman" w:hAnsi="Times New Roman" w:cs="Times New Roman"/>
                <w:sz w:val="24"/>
                <w:szCs w:val="24"/>
                <w:lang w:val="fr-FR"/>
              </w:rPr>
              <w:t xml:space="preserve"> considérés pour le renforcement de leurs capacités</w:t>
            </w:r>
            <w:r w:rsidRPr="001D1F67">
              <w:rPr>
                <w:rFonts w:ascii="Times New Roman" w:hAnsi="Times New Roman" w:cs="Times New Roman"/>
                <w:sz w:val="24"/>
                <w:szCs w:val="24"/>
                <w:lang w:val="fr-FR"/>
              </w:rPr>
              <w:t xml:space="preserve">: </w:t>
            </w:r>
          </w:p>
          <w:p w:rsidR="001D1F67" w:rsidRPr="001D1F67" w:rsidRDefault="001D1F67" w:rsidP="00CD2C09">
            <w:pPr>
              <w:pStyle w:val="BodyText"/>
              <w:jc w:val="both"/>
              <w:rPr>
                <w:rFonts w:ascii="Times New Roman" w:hAnsi="Times New Roman" w:cs="Times New Roman"/>
                <w:sz w:val="24"/>
                <w:szCs w:val="24"/>
                <w:lang w:val="fr-FR"/>
              </w:rPr>
            </w:pPr>
          </w:p>
          <w:p w:rsidR="001D1F67" w:rsidRPr="001D1F67" w:rsidRDefault="001D1F67" w:rsidP="001D1F67">
            <w:pPr>
              <w:pStyle w:val="BodyText"/>
              <w:jc w:val="both"/>
              <w:rPr>
                <w:rFonts w:ascii="Times New Roman" w:hAnsi="Times New Roman" w:cs="Times New Roman"/>
                <w:sz w:val="24"/>
                <w:szCs w:val="24"/>
                <w:lang w:val="fr-FR"/>
              </w:rPr>
            </w:pPr>
            <w:r w:rsidRPr="001D1F67">
              <w:rPr>
                <w:rFonts w:ascii="Times New Roman" w:hAnsi="Times New Roman" w:cs="Times New Roman"/>
                <w:sz w:val="24"/>
                <w:szCs w:val="24"/>
                <w:lang w:val="fr-FR"/>
              </w:rPr>
              <w:t>L</w:t>
            </w:r>
            <w:r w:rsidR="00CD2C09" w:rsidRPr="001D1F67">
              <w:rPr>
                <w:rFonts w:ascii="Times New Roman" w:hAnsi="Times New Roman" w:cs="Times New Roman"/>
                <w:sz w:val="24"/>
                <w:szCs w:val="24"/>
                <w:lang w:val="fr-FR"/>
              </w:rPr>
              <w:t xml:space="preserve">es administrateurs techniques et programmeurs  du CNIGS </w:t>
            </w:r>
            <w:r w:rsidRPr="001D1F67">
              <w:rPr>
                <w:rFonts w:ascii="Times New Roman" w:hAnsi="Times New Roman" w:cs="Times New Roman"/>
                <w:sz w:val="24"/>
                <w:szCs w:val="24"/>
                <w:lang w:val="fr-FR"/>
              </w:rPr>
              <w:t xml:space="preserve">qui ont suivi une formation avancée au Canada en administration système et en techniques avancées de programmation en </w:t>
            </w:r>
            <w:proofErr w:type="spellStart"/>
            <w:r w:rsidRPr="001D1F67">
              <w:rPr>
                <w:rFonts w:ascii="Times New Roman" w:hAnsi="Times New Roman" w:cs="Times New Roman"/>
                <w:sz w:val="24"/>
                <w:szCs w:val="24"/>
                <w:lang w:val="fr-FR"/>
              </w:rPr>
              <w:t>javascript</w:t>
            </w:r>
            <w:proofErr w:type="spellEnd"/>
            <w:r w:rsidRPr="001D1F67">
              <w:rPr>
                <w:rFonts w:ascii="Times New Roman" w:hAnsi="Times New Roman" w:cs="Times New Roman"/>
                <w:sz w:val="24"/>
                <w:szCs w:val="24"/>
                <w:lang w:val="fr-FR"/>
              </w:rPr>
              <w:t xml:space="preserve"> </w:t>
            </w:r>
          </w:p>
          <w:p w:rsidR="001D1F67" w:rsidRPr="001D1F67" w:rsidRDefault="001D1F67" w:rsidP="00CD2C09">
            <w:pPr>
              <w:pStyle w:val="BodyText"/>
              <w:jc w:val="both"/>
              <w:rPr>
                <w:rFonts w:ascii="Times New Roman" w:hAnsi="Times New Roman" w:cs="Times New Roman"/>
                <w:sz w:val="24"/>
                <w:szCs w:val="24"/>
                <w:lang w:val="fr-FR"/>
              </w:rPr>
            </w:pPr>
          </w:p>
          <w:p w:rsidR="00CD2C09" w:rsidRDefault="00CD2C09" w:rsidP="001D1F67">
            <w:pPr>
              <w:pStyle w:val="BodyText"/>
              <w:jc w:val="both"/>
              <w:rPr>
                <w:rFonts w:ascii="Times New Roman" w:hAnsi="Times New Roman" w:cs="Times New Roman"/>
                <w:sz w:val="24"/>
                <w:szCs w:val="24"/>
                <w:lang w:val="fr-FR"/>
              </w:rPr>
            </w:pPr>
            <w:r w:rsidRPr="001D1F67">
              <w:rPr>
                <w:rFonts w:ascii="Times New Roman" w:hAnsi="Times New Roman" w:cs="Times New Roman"/>
                <w:sz w:val="24"/>
                <w:szCs w:val="24"/>
                <w:lang w:val="fr-FR"/>
              </w:rPr>
              <w:t>Les usagers de la plateforme,</w:t>
            </w:r>
            <w:r w:rsidR="001D1F67" w:rsidRPr="001D1F67">
              <w:rPr>
                <w:rFonts w:ascii="Times New Roman" w:hAnsi="Times New Roman" w:cs="Times New Roman"/>
                <w:sz w:val="24"/>
                <w:szCs w:val="24"/>
                <w:lang w:val="fr-FR"/>
              </w:rPr>
              <w:t xml:space="preserve"> qui</w:t>
            </w:r>
            <w:r w:rsidR="00750426" w:rsidRPr="001D1F67">
              <w:rPr>
                <w:rFonts w:ascii="Times New Roman" w:hAnsi="Times New Roman" w:cs="Times New Roman"/>
                <w:sz w:val="24"/>
                <w:szCs w:val="24"/>
                <w:lang w:val="fr-FR"/>
              </w:rPr>
              <w:t xml:space="preserve"> </w:t>
            </w:r>
            <w:r w:rsidRPr="001D1F67">
              <w:rPr>
                <w:rFonts w:ascii="Times New Roman" w:hAnsi="Times New Roman" w:cs="Times New Roman"/>
                <w:sz w:val="24"/>
                <w:szCs w:val="24"/>
                <w:lang w:val="fr-FR"/>
              </w:rPr>
              <w:t>ont été formé</w:t>
            </w:r>
            <w:r w:rsidR="001D1F67" w:rsidRPr="001D1F67">
              <w:rPr>
                <w:rFonts w:ascii="Times New Roman" w:hAnsi="Times New Roman" w:cs="Times New Roman"/>
                <w:sz w:val="24"/>
                <w:szCs w:val="24"/>
                <w:lang w:val="fr-FR"/>
              </w:rPr>
              <w:t>s</w:t>
            </w:r>
            <w:r w:rsidRPr="001D1F67">
              <w:rPr>
                <w:rFonts w:ascii="Times New Roman" w:hAnsi="Times New Roman" w:cs="Times New Roman"/>
                <w:sz w:val="24"/>
                <w:szCs w:val="24"/>
                <w:lang w:val="fr-FR"/>
              </w:rPr>
              <w:t xml:space="preserve"> sur l’usage de la plateforme</w:t>
            </w:r>
            <w:r w:rsidR="001D1F67" w:rsidRPr="001D1F67">
              <w:rPr>
                <w:rFonts w:ascii="Times New Roman" w:hAnsi="Times New Roman" w:cs="Times New Roman"/>
                <w:sz w:val="24"/>
                <w:szCs w:val="24"/>
                <w:lang w:val="fr-FR"/>
              </w:rPr>
              <w:t>. Les ATL, et CRC des 10 communes  ont reçu également une formation en technique de collecte de données avec le GPS et sur l’usage du questionnaire d’enquête utilisé par le SILQ.</w:t>
            </w:r>
          </w:p>
          <w:p w:rsidR="001D1F67" w:rsidRPr="001D1F67" w:rsidRDefault="001D1F67" w:rsidP="001D1F67">
            <w:pPr>
              <w:pStyle w:val="BodyText"/>
              <w:jc w:val="both"/>
              <w:rPr>
                <w:rFonts w:ascii="Times New Roman" w:hAnsi="Times New Roman"/>
                <w:bCs/>
                <w:sz w:val="24"/>
                <w:lang w:val="fr-FR"/>
              </w:rPr>
            </w:pPr>
          </w:p>
        </w:tc>
        <w:tc>
          <w:tcPr>
            <w:tcW w:w="3960" w:type="dxa"/>
            <w:shd w:val="clear" w:color="auto" w:fill="auto"/>
          </w:tcPr>
          <w:p w:rsidR="00784899" w:rsidRPr="001D1F67" w:rsidRDefault="00784899" w:rsidP="00441F3D">
            <w:pPr>
              <w:pStyle w:val="BodyText"/>
              <w:jc w:val="both"/>
              <w:rPr>
                <w:rFonts w:ascii="Times New Roman" w:hAnsi="Times New Roman"/>
                <w:bCs/>
                <w:sz w:val="24"/>
                <w:lang w:val="fr-FR"/>
              </w:rPr>
            </w:pPr>
          </w:p>
        </w:tc>
        <w:tc>
          <w:tcPr>
            <w:tcW w:w="3150" w:type="dxa"/>
            <w:shd w:val="clear" w:color="auto" w:fill="auto"/>
          </w:tcPr>
          <w:p w:rsidR="00A420A7" w:rsidRPr="001D1F67" w:rsidRDefault="00A420A7" w:rsidP="00441F3D">
            <w:pPr>
              <w:rPr>
                <w:lang w:val="fr-FR"/>
              </w:rPr>
            </w:pPr>
          </w:p>
          <w:p w:rsidR="00A420A7" w:rsidRPr="001D1F67" w:rsidRDefault="00A420A7" w:rsidP="00441F3D">
            <w:pPr>
              <w:rPr>
                <w:lang w:val="fr-FR"/>
              </w:rPr>
            </w:pPr>
          </w:p>
          <w:p w:rsidR="00A420A7" w:rsidRPr="001D1F67" w:rsidRDefault="00A420A7" w:rsidP="00441F3D">
            <w:pPr>
              <w:rPr>
                <w:lang w:val="fr-FR"/>
              </w:rPr>
            </w:pPr>
          </w:p>
          <w:p w:rsidR="00CD2C09" w:rsidRPr="001D1F67" w:rsidRDefault="00CD2C09" w:rsidP="00CD2C09">
            <w:pPr>
              <w:rPr>
                <w:lang w:val="fr-FR"/>
              </w:rPr>
            </w:pPr>
            <w:r w:rsidRPr="001D1F67">
              <w:rPr>
                <w:lang w:val="fr-FR"/>
              </w:rPr>
              <w:t>Rapport de formation global de la composante 2</w:t>
            </w:r>
          </w:p>
          <w:p w:rsidR="00CD2C09" w:rsidRPr="001D1F67" w:rsidRDefault="00CD2C09" w:rsidP="00CD2C09">
            <w:pPr>
              <w:rPr>
                <w:lang w:val="fr-FR"/>
              </w:rPr>
            </w:pPr>
          </w:p>
          <w:p w:rsidR="00CD2C09" w:rsidRPr="001D1F67" w:rsidRDefault="00CD2C09" w:rsidP="00CD2C09">
            <w:pPr>
              <w:pStyle w:val="BodyText"/>
              <w:jc w:val="both"/>
              <w:rPr>
                <w:rFonts w:ascii="Times New Roman" w:hAnsi="Times New Roman"/>
                <w:bCs/>
                <w:sz w:val="24"/>
                <w:lang w:val="fr-FR"/>
              </w:rPr>
            </w:pPr>
            <w:proofErr w:type="spellStart"/>
            <w:r w:rsidRPr="001D1F67">
              <w:rPr>
                <w:rFonts w:ascii="Times New Roman" w:hAnsi="Times New Roman"/>
                <w:bCs/>
                <w:sz w:val="24"/>
                <w:lang w:val="fr-FR"/>
              </w:rPr>
              <w:lastRenderedPageBreak/>
              <w:t>Proces-verbal</w:t>
            </w:r>
            <w:proofErr w:type="spellEnd"/>
            <w:r w:rsidRPr="001D1F67">
              <w:rPr>
                <w:rFonts w:ascii="Times New Roman" w:hAnsi="Times New Roman"/>
                <w:bCs/>
                <w:sz w:val="24"/>
                <w:lang w:val="fr-FR"/>
              </w:rPr>
              <w:t xml:space="preserve"> de formation à </w:t>
            </w:r>
            <w:r w:rsidR="001D1F67">
              <w:rPr>
                <w:rFonts w:ascii="Times New Roman" w:hAnsi="Times New Roman"/>
                <w:bCs/>
                <w:sz w:val="24"/>
                <w:lang w:val="fr-FR"/>
              </w:rPr>
              <w:t xml:space="preserve">l’ </w:t>
            </w:r>
            <w:proofErr w:type="spellStart"/>
            <w:r w:rsidR="001D1F67">
              <w:rPr>
                <w:rFonts w:ascii="Times New Roman" w:hAnsi="Times New Roman"/>
                <w:bCs/>
                <w:sz w:val="24"/>
                <w:lang w:val="fr-FR"/>
              </w:rPr>
              <w:t>egard</w:t>
            </w:r>
            <w:proofErr w:type="spellEnd"/>
            <w:r w:rsidR="001D1F67">
              <w:rPr>
                <w:rFonts w:ascii="Times New Roman" w:hAnsi="Times New Roman"/>
                <w:bCs/>
                <w:sz w:val="24"/>
                <w:lang w:val="fr-FR"/>
              </w:rPr>
              <w:t xml:space="preserve"> des ATL</w:t>
            </w:r>
            <w:r w:rsidRPr="001D1F67">
              <w:rPr>
                <w:rFonts w:ascii="Times New Roman" w:hAnsi="Times New Roman"/>
                <w:bCs/>
                <w:sz w:val="24"/>
                <w:lang w:val="fr-FR"/>
              </w:rPr>
              <w:t xml:space="preserve"> </w:t>
            </w:r>
          </w:p>
          <w:p w:rsidR="00CD2C09" w:rsidRPr="001D1F67" w:rsidRDefault="00CD2C09" w:rsidP="00CD2C09">
            <w:pPr>
              <w:pStyle w:val="BodyText"/>
              <w:jc w:val="both"/>
              <w:rPr>
                <w:rFonts w:ascii="Times New Roman" w:hAnsi="Times New Roman"/>
                <w:bCs/>
                <w:sz w:val="24"/>
                <w:lang w:val="fr-FR"/>
              </w:rPr>
            </w:pPr>
          </w:p>
          <w:p w:rsidR="00CD2C09" w:rsidRPr="001D1F67" w:rsidRDefault="00CD2C09" w:rsidP="00CD2C09">
            <w:pPr>
              <w:rPr>
                <w:lang w:val="fr-FR"/>
              </w:rPr>
            </w:pPr>
            <w:proofErr w:type="spellStart"/>
            <w:r w:rsidRPr="001D1F67">
              <w:rPr>
                <w:bCs/>
                <w:lang w:val="fr-FR"/>
              </w:rPr>
              <w:t>Proces-Verbal</w:t>
            </w:r>
            <w:proofErr w:type="spellEnd"/>
            <w:r w:rsidRPr="001D1F67">
              <w:rPr>
                <w:bCs/>
                <w:lang w:val="fr-FR"/>
              </w:rPr>
              <w:t xml:space="preserve"> de formation </w:t>
            </w:r>
            <w:r w:rsidR="001D1F67" w:rsidRPr="001D1F67">
              <w:rPr>
                <w:bCs/>
                <w:lang w:val="fr-FR"/>
              </w:rPr>
              <w:t>à</w:t>
            </w:r>
            <w:r w:rsidR="001D1F67">
              <w:rPr>
                <w:bCs/>
                <w:lang w:val="fr-FR"/>
              </w:rPr>
              <w:t xml:space="preserve"> l’égard des CRC</w:t>
            </w:r>
          </w:p>
          <w:p w:rsidR="00784899" w:rsidRPr="001D1F67" w:rsidRDefault="00784899" w:rsidP="00441F3D">
            <w:pPr>
              <w:rPr>
                <w:lang w:val="fr-FR"/>
              </w:rPr>
            </w:pPr>
            <w:r w:rsidRPr="001D1F67">
              <w:rPr>
                <w:lang w:val="fr-FR"/>
              </w:rPr>
              <w:t xml:space="preserve"> </w:t>
            </w:r>
          </w:p>
          <w:p w:rsidR="00784899" w:rsidRPr="001D1F67" w:rsidRDefault="00784899" w:rsidP="00441F3D">
            <w:pPr>
              <w:pStyle w:val="BodyText"/>
              <w:jc w:val="both"/>
              <w:rPr>
                <w:rFonts w:ascii="Times New Roman" w:hAnsi="Times New Roman"/>
                <w:bCs/>
                <w:sz w:val="24"/>
                <w:lang w:val="fr-FR"/>
              </w:rPr>
            </w:pPr>
          </w:p>
        </w:tc>
      </w:tr>
      <w:tr w:rsidR="004820EE" w:rsidRPr="004A058E" w:rsidTr="00FB6510">
        <w:trPr>
          <w:trHeight w:val="885"/>
        </w:trPr>
        <w:tc>
          <w:tcPr>
            <w:tcW w:w="15120" w:type="dxa"/>
            <w:gridSpan w:val="4"/>
            <w:shd w:val="clear" w:color="auto" w:fill="BFBFBF"/>
          </w:tcPr>
          <w:p w:rsidR="004820EE" w:rsidRPr="00EE4D43" w:rsidRDefault="004820EE" w:rsidP="00FB6510">
            <w:pPr>
              <w:pStyle w:val="BodyText"/>
              <w:jc w:val="both"/>
              <w:rPr>
                <w:rFonts w:ascii="Times New Roman" w:hAnsi="Times New Roman" w:cs="Times New Roman"/>
                <w:bCs/>
                <w:sz w:val="24"/>
                <w:szCs w:val="24"/>
                <w:lang w:val="fr-FR"/>
              </w:rPr>
            </w:pPr>
            <w:r w:rsidRPr="00EE4D43">
              <w:rPr>
                <w:rFonts w:ascii="Times New Roman" w:hAnsi="Times New Roman" w:cs="Times New Roman"/>
                <w:b/>
                <w:sz w:val="24"/>
                <w:szCs w:val="24"/>
                <w:lang w:val="fr-FR"/>
              </w:rPr>
              <w:lastRenderedPageBreak/>
              <w:t>R</w:t>
            </w:r>
            <w:r w:rsidRPr="00EE4D43">
              <w:rPr>
                <w:rStyle w:val="hps"/>
                <w:rFonts w:ascii="Times New Roman" w:hAnsi="Times New Roman"/>
                <w:sz w:val="24"/>
                <w:szCs w:val="24"/>
                <w:lang w:val="fr-FR"/>
              </w:rPr>
              <w:t>é</w:t>
            </w:r>
            <w:r w:rsidRPr="00EE4D43">
              <w:rPr>
                <w:rFonts w:ascii="Times New Roman" w:hAnsi="Times New Roman" w:cs="Times New Roman"/>
                <w:b/>
                <w:sz w:val="24"/>
                <w:szCs w:val="24"/>
                <w:lang w:val="fr-FR"/>
              </w:rPr>
              <w:t xml:space="preserve">sultat 3. </w:t>
            </w:r>
            <w:r w:rsidRPr="00EE4D43">
              <w:rPr>
                <w:rFonts w:ascii="Times New Roman" w:hAnsi="Times New Roman" w:cs="Times New Roman"/>
                <w:sz w:val="24"/>
                <w:szCs w:val="24"/>
                <w:lang w:val="fr-FR"/>
              </w:rPr>
              <w:t>Le MICT est doté de moyens humains, techniques et financiers pour assurer un appui aux communes ; les capacités des communes sont renforcées pour superviser, coordonner, opérationnaliser, communiquer</w:t>
            </w:r>
            <w:r w:rsidRPr="00EE4D43">
              <w:rPr>
                <w:rFonts w:ascii="Times New Roman" w:hAnsi="Times New Roman" w:cs="Times New Roman"/>
                <w:color w:val="00B050"/>
                <w:sz w:val="24"/>
                <w:szCs w:val="24"/>
                <w:lang w:val="fr-FR"/>
              </w:rPr>
              <w:t xml:space="preserve"> </w:t>
            </w:r>
            <w:r w:rsidRPr="00EE4D43">
              <w:rPr>
                <w:rFonts w:ascii="Times New Roman" w:hAnsi="Times New Roman" w:cs="Times New Roman"/>
                <w:sz w:val="24"/>
                <w:szCs w:val="24"/>
                <w:lang w:val="fr-FR"/>
              </w:rPr>
              <w:t>et assurer le contrôle qualité et le suivi des programmes de reconstruction dans leurs territoires respectifs ;  des lieux de formation et d’information sont créés au sein des communautés ; les communautés reçoivent un appui pour les projets de retour, reconstruction et relogement.</w:t>
            </w:r>
          </w:p>
        </w:tc>
      </w:tr>
      <w:tr w:rsidR="004820EE" w:rsidRPr="004A058E" w:rsidTr="00FB6510">
        <w:trPr>
          <w:trHeight w:val="885"/>
        </w:trPr>
        <w:tc>
          <w:tcPr>
            <w:tcW w:w="4265" w:type="dxa"/>
            <w:shd w:val="clear" w:color="auto" w:fill="auto"/>
          </w:tcPr>
          <w:p w:rsidR="004820EE" w:rsidRDefault="004820EE" w:rsidP="00FB6510">
            <w:pPr>
              <w:rPr>
                <w:rFonts w:cs="Calibri"/>
                <w:lang w:val="fr-CA"/>
              </w:rPr>
            </w:pPr>
            <w:r>
              <w:rPr>
                <w:b/>
                <w:sz w:val="22"/>
                <w:szCs w:val="22"/>
                <w:lang w:val="fr-FR"/>
              </w:rPr>
              <w:t xml:space="preserve">Produit </w:t>
            </w:r>
            <w:r w:rsidRPr="00C41C9D">
              <w:rPr>
                <w:b/>
                <w:sz w:val="22"/>
                <w:szCs w:val="22"/>
                <w:lang w:val="fr-FR"/>
              </w:rPr>
              <w:t>3.1</w:t>
            </w:r>
            <w:r>
              <w:rPr>
                <w:b/>
                <w:sz w:val="22"/>
                <w:szCs w:val="22"/>
                <w:lang w:val="fr-FR"/>
              </w:rPr>
              <w:t xml:space="preserve"> : </w:t>
            </w:r>
            <w:r w:rsidRPr="008723F6">
              <w:rPr>
                <w:rFonts w:cs="Calibri"/>
                <w:lang w:val="fr-CA"/>
              </w:rPr>
              <w:t>Le MICT dispose des capacités renforcées de suivi, évaluation et communication sur ses activités</w:t>
            </w:r>
            <w:r>
              <w:rPr>
                <w:rFonts w:cs="Calibri"/>
                <w:lang w:val="fr-CA"/>
              </w:rPr>
              <w:t>.</w:t>
            </w:r>
          </w:p>
          <w:p w:rsidR="00386752" w:rsidRDefault="00386752" w:rsidP="00FB6510">
            <w:pPr>
              <w:rPr>
                <w:b/>
                <w:lang w:val="fr-FR"/>
              </w:rPr>
            </w:pPr>
          </w:p>
          <w:p w:rsidR="004820EE" w:rsidRPr="00807E95"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1</w:t>
            </w:r>
            <w:r w:rsidRPr="00E15B9B">
              <w:rPr>
                <w:b/>
                <w:lang w:val="fr-FR"/>
              </w:rPr>
              <w:t>.</w:t>
            </w:r>
            <w:r w:rsidRPr="00807E95">
              <w:rPr>
                <w:b/>
                <w:lang w:val="fr-FR"/>
              </w:rPr>
              <w:t>1 :</w:t>
            </w:r>
            <w:r w:rsidRPr="00807E95">
              <w:rPr>
                <w:lang w:val="fr-FR"/>
              </w:rPr>
              <w:t xml:space="preserve"> </w:t>
            </w:r>
            <w:r w:rsidRPr="00C41C9D">
              <w:rPr>
                <w:lang w:val="fr-FR"/>
              </w:rPr>
              <w:t>Cellule de suivi, d’évaluation et de communication en place et fonctionnelle</w:t>
            </w:r>
            <w:r>
              <w:rPr>
                <w:lang w:val="fr-FR"/>
              </w:rPr>
              <w:t xml:space="preserve">. </w:t>
            </w:r>
          </w:p>
          <w:p w:rsidR="004820EE" w:rsidRPr="00807E95" w:rsidRDefault="004820EE" w:rsidP="00FB6510">
            <w:pPr>
              <w:rPr>
                <w:b/>
                <w:lang w:val="fr-FR"/>
              </w:rPr>
            </w:pPr>
            <w:r w:rsidRPr="00807E95">
              <w:rPr>
                <w:b/>
                <w:lang w:val="fr-FR"/>
              </w:rPr>
              <w:t xml:space="preserve">Indicateur de référence: </w:t>
            </w:r>
            <w:r w:rsidRPr="00C41C9D">
              <w:rPr>
                <w:lang w:val="fr-FR"/>
              </w:rPr>
              <w:t>Direction d’Etudes, de Planification et de Suivi en place avec des moyens limités</w:t>
            </w:r>
          </w:p>
          <w:p w:rsidR="004820EE" w:rsidRPr="00807E95" w:rsidRDefault="004820EE" w:rsidP="00FB6510">
            <w:pPr>
              <w:rPr>
                <w:rFonts w:cs="Calibri"/>
                <w:lang w:val="fr-FR" w:eastAsia="fr-FR"/>
              </w:rPr>
            </w:pPr>
            <w:r w:rsidRPr="00807E95">
              <w:rPr>
                <w:b/>
                <w:lang w:val="fr-FR"/>
              </w:rPr>
              <w:t xml:space="preserve">Indicateur cible: </w:t>
            </w:r>
            <w:r w:rsidRPr="00386752">
              <w:rPr>
                <w:lang w:val="fr-FR"/>
              </w:rPr>
              <w:t>O</w:t>
            </w:r>
            <w:r w:rsidRPr="00C41C9D">
              <w:rPr>
                <w:lang w:val="fr-FR"/>
              </w:rPr>
              <w:t xml:space="preserve">bservatoire </w:t>
            </w:r>
            <w:r>
              <w:rPr>
                <w:lang w:val="fr-FR"/>
              </w:rPr>
              <w:t>de la décentralisation opérationnel</w:t>
            </w:r>
          </w:p>
          <w:p w:rsidR="004820EE" w:rsidRDefault="004820EE" w:rsidP="00FB6510">
            <w:pPr>
              <w:rPr>
                <w:rFonts w:cs="Calibri"/>
                <w:spacing w:val="-2"/>
                <w:lang w:val="fr-FR"/>
              </w:rPr>
            </w:pPr>
          </w:p>
          <w:p w:rsidR="00CF7F7E" w:rsidRDefault="00CF7F7E" w:rsidP="00FB6510">
            <w:pPr>
              <w:rPr>
                <w:rFonts w:cs="Calibri"/>
                <w:spacing w:val="-2"/>
                <w:lang w:val="fr-FR"/>
              </w:rPr>
            </w:pPr>
          </w:p>
          <w:p w:rsidR="00CF7F7E" w:rsidRDefault="00CF7F7E" w:rsidP="00FB6510">
            <w:pPr>
              <w:rPr>
                <w:rFonts w:cs="Calibri"/>
                <w:spacing w:val="-2"/>
                <w:lang w:val="fr-FR"/>
              </w:rPr>
            </w:pPr>
          </w:p>
          <w:p w:rsidR="00CF7F7E" w:rsidRDefault="00CF7F7E" w:rsidP="00FB6510">
            <w:pPr>
              <w:rPr>
                <w:rFonts w:cs="Calibri"/>
                <w:spacing w:val="-2"/>
                <w:lang w:val="fr-FR"/>
              </w:rPr>
            </w:pPr>
          </w:p>
          <w:p w:rsidR="00CF7F7E" w:rsidRDefault="00CF7F7E" w:rsidP="00FB6510">
            <w:pPr>
              <w:rPr>
                <w:rFonts w:cs="Calibri"/>
                <w:spacing w:val="-2"/>
                <w:lang w:val="fr-FR"/>
              </w:rPr>
            </w:pPr>
          </w:p>
          <w:p w:rsidR="00CF7F7E" w:rsidRDefault="00CF7F7E" w:rsidP="00FB6510">
            <w:pPr>
              <w:rPr>
                <w:rFonts w:cs="Calibri"/>
                <w:spacing w:val="-2"/>
                <w:lang w:val="fr-FR"/>
              </w:rPr>
            </w:pPr>
          </w:p>
          <w:p w:rsidR="00CF7F7E" w:rsidRDefault="00CF7F7E" w:rsidP="00FB6510">
            <w:pPr>
              <w:rPr>
                <w:rFonts w:cs="Calibri"/>
                <w:spacing w:val="-2"/>
                <w:lang w:val="fr-FR"/>
              </w:rPr>
            </w:pPr>
          </w:p>
          <w:p w:rsidR="00CF7F7E" w:rsidRDefault="00CF7F7E" w:rsidP="00FB6510">
            <w:pPr>
              <w:rPr>
                <w:rFonts w:cs="Calibri"/>
                <w:spacing w:val="-2"/>
                <w:lang w:val="fr-FR"/>
              </w:rPr>
            </w:pPr>
          </w:p>
          <w:p w:rsidR="004820EE" w:rsidRPr="00807E95"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1</w:t>
            </w:r>
            <w:r w:rsidRPr="00E15B9B">
              <w:rPr>
                <w:b/>
                <w:lang w:val="fr-FR"/>
              </w:rPr>
              <w:t>.</w:t>
            </w:r>
            <w:r>
              <w:rPr>
                <w:b/>
                <w:lang w:val="fr-FR"/>
              </w:rPr>
              <w:t>2</w:t>
            </w:r>
            <w:r w:rsidRPr="00807E95">
              <w:rPr>
                <w:b/>
                <w:lang w:val="fr-FR"/>
              </w:rPr>
              <w:t> :</w:t>
            </w:r>
            <w:r w:rsidRPr="00807E95">
              <w:rPr>
                <w:lang w:val="fr-FR"/>
              </w:rPr>
              <w:t xml:space="preserve"> </w:t>
            </w:r>
            <w:r w:rsidRPr="00C41C9D">
              <w:rPr>
                <w:lang w:val="fr-FR"/>
              </w:rPr>
              <w:t>Capacités renforcées via du personnel compétent, des équipements et un espace de travail</w:t>
            </w:r>
            <w:r>
              <w:rPr>
                <w:lang w:val="fr-FR"/>
              </w:rPr>
              <w:t xml:space="preserve">. </w:t>
            </w:r>
          </w:p>
          <w:p w:rsidR="004820EE" w:rsidRPr="00807E95" w:rsidRDefault="004820EE" w:rsidP="00FB6510">
            <w:pPr>
              <w:rPr>
                <w:b/>
                <w:lang w:val="fr-FR"/>
              </w:rPr>
            </w:pPr>
            <w:r w:rsidRPr="00807E95">
              <w:rPr>
                <w:b/>
                <w:lang w:val="fr-FR"/>
              </w:rPr>
              <w:t xml:space="preserve">Indicateur de référence: </w:t>
            </w:r>
            <w:r w:rsidRPr="00C41C9D">
              <w:rPr>
                <w:lang w:val="fr-FR"/>
              </w:rPr>
              <w:t>Direction d’Etudes, de Planification et de Suivi en place avec des moyens limités</w:t>
            </w:r>
            <w:r>
              <w:rPr>
                <w:lang w:val="fr-FR"/>
              </w:rPr>
              <w:t>.</w:t>
            </w:r>
          </w:p>
          <w:p w:rsidR="004820EE" w:rsidRPr="00C41C9D" w:rsidRDefault="004820EE" w:rsidP="00FB6510">
            <w:pPr>
              <w:tabs>
                <w:tab w:val="left" w:pos="-720"/>
                <w:tab w:val="left" w:pos="4500"/>
              </w:tabs>
              <w:suppressAutoHyphens/>
              <w:rPr>
                <w:rFonts w:cs="Calibri"/>
                <w:spacing w:val="-2"/>
                <w:lang w:val="fr-FR"/>
              </w:rPr>
            </w:pPr>
            <w:r w:rsidRPr="00807E95">
              <w:rPr>
                <w:b/>
                <w:lang w:val="fr-FR"/>
              </w:rPr>
              <w:t xml:space="preserve">Indicateur cible: </w:t>
            </w:r>
            <w:r w:rsidRPr="00C41C9D">
              <w:rPr>
                <w:rFonts w:cs="Calibri"/>
                <w:spacing w:val="-2"/>
                <w:lang w:val="fr-FR"/>
              </w:rPr>
              <w:t>Nombre de cadres recrutés pour le service de communication et d</w:t>
            </w:r>
            <w:r>
              <w:rPr>
                <w:rFonts w:cs="Calibri"/>
                <w:spacing w:val="-2"/>
                <w:lang w:val="fr-FR"/>
              </w:rPr>
              <w:t>e suivi-évaluation (3) et formé</w:t>
            </w:r>
            <w:r w:rsidRPr="00C41C9D">
              <w:rPr>
                <w:rFonts w:cs="Calibri"/>
                <w:spacing w:val="-2"/>
                <w:lang w:val="fr-FR"/>
              </w:rPr>
              <w:t>s</w:t>
            </w:r>
          </w:p>
          <w:p w:rsidR="004820EE" w:rsidRDefault="004820EE" w:rsidP="00FB6510">
            <w:pPr>
              <w:rPr>
                <w:lang w:val="fr-FR"/>
              </w:rPr>
            </w:pPr>
          </w:p>
          <w:p w:rsidR="004820EE" w:rsidRPr="00807E95" w:rsidRDefault="004820EE" w:rsidP="00FB6510">
            <w:pPr>
              <w:rPr>
                <w:rFonts w:cs="Calibri"/>
                <w:lang w:val="fr-FR" w:eastAsia="fr-FR"/>
              </w:rPr>
            </w:pPr>
            <w:r w:rsidRPr="00727213">
              <w:rPr>
                <w:b/>
                <w:lang w:val="fr-FR"/>
              </w:rPr>
              <w:t>Indicateur 3.1.3 :</w:t>
            </w:r>
            <w:r>
              <w:rPr>
                <w:lang w:val="fr-FR"/>
              </w:rPr>
              <w:t xml:space="preserve"> </w:t>
            </w:r>
            <w:r w:rsidRPr="00C41C9D">
              <w:rPr>
                <w:lang w:val="fr-FR"/>
              </w:rPr>
              <w:t>Mécanisme de coordination et d’appui aux collectivités territoriales en place et fonctionnel</w:t>
            </w:r>
          </w:p>
          <w:p w:rsidR="004820EE" w:rsidRPr="008723F6" w:rsidRDefault="004820EE" w:rsidP="00FB6510">
            <w:pPr>
              <w:rPr>
                <w:rFonts w:cs="Calibri"/>
                <w:spacing w:val="-2"/>
                <w:lang w:val="fr-FR"/>
              </w:rPr>
            </w:pPr>
            <w:r w:rsidRPr="00807E95">
              <w:rPr>
                <w:b/>
                <w:lang w:val="fr-FR"/>
              </w:rPr>
              <w:t>Indicateur de référence:</w:t>
            </w:r>
            <w:r w:rsidRPr="00C41C9D">
              <w:rPr>
                <w:lang w:val="fr-FR"/>
              </w:rPr>
              <w:t xml:space="preserve"> Mécanisme inexistant</w:t>
            </w:r>
          </w:p>
          <w:p w:rsidR="004820EE" w:rsidRPr="00C41C9D" w:rsidRDefault="004820EE" w:rsidP="00FB6510">
            <w:pPr>
              <w:tabs>
                <w:tab w:val="left" w:pos="-720"/>
                <w:tab w:val="left" w:pos="4500"/>
              </w:tabs>
              <w:suppressAutoHyphens/>
              <w:rPr>
                <w:rFonts w:cs="Calibri"/>
                <w:spacing w:val="-2"/>
                <w:lang w:val="fr-FR"/>
              </w:rPr>
            </w:pPr>
            <w:r w:rsidRPr="00807E95">
              <w:rPr>
                <w:b/>
                <w:lang w:val="fr-FR"/>
              </w:rPr>
              <w:t>Indicateur cible:</w:t>
            </w:r>
            <w:r w:rsidRPr="00C41C9D">
              <w:rPr>
                <w:rFonts w:cs="Calibri"/>
                <w:spacing w:val="-2"/>
                <w:lang w:val="fr-FR"/>
              </w:rPr>
              <w:t xml:space="preserve"> Mécanisme d’appui au montage,  à l’opérationnalisation et au suivi des ATL et CRC</w:t>
            </w:r>
          </w:p>
          <w:p w:rsidR="004820EE" w:rsidRPr="00C41C9D" w:rsidRDefault="004820EE" w:rsidP="00FB6510">
            <w:pPr>
              <w:rPr>
                <w:b/>
                <w:lang w:val="fr-FR"/>
              </w:rPr>
            </w:pPr>
          </w:p>
        </w:tc>
        <w:tc>
          <w:tcPr>
            <w:tcW w:w="3745" w:type="dxa"/>
            <w:shd w:val="clear" w:color="auto" w:fill="auto"/>
          </w:tcPr>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386752" w:rsidRPr="001B68F0" w:rsidRDefault="00386752"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 xml:space="preserve">Placement de la Cellule de Suivi-Evaluation et Communication sous la supervision administrative de la Direction Générale et la supervision technique de la Direction des Collectivités Territoriales et collaboration appui possible aux autres directions du MICT. </w:t>
            </w:r>
          </w:p>
          <w:p w:rsidR="00CF7F7E" w:rsidRPr="001B68F0" w:rsidRDefault="00CF7F7E" w:rsidP="00CF7F7E">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Une ébauche améliorée du document de cadrage des rôles et responsabilités de l’</w:t>
            </w:r>
            <w:r w:rsidR="001B68F0" w:rsidRPr="001B68F0">
              <w:rPr>
                <w:rFonts w:ascii="Times New Roman" w:hAnsi="Times New Roman" w:cs="Times New Roman"/>
                <w:sz w:val="24"/>
                <w:szCs w:val="24"/>
                <w:lang w:val="fr-FR"/>
              </w:rPr>
              <w:t>Observatoire de la d</w:t>
            </w:r>
            <w:r w:rsidRPr="001B68F0">
              <w:rPr>
                <w:rFonts w:ascii="Times New Roman" w:hAnsi="Times New Roman" w:cs="Times New Roman"/>
                <w:sz w:val="24"/>
                <w:szCs w:val="24"/>
                <w:lang w:val="fr-FR"/>
              </w:rPr>
              <w:t xml:space="preserve">écentralisation soumis à la Direction des Collectivités </w:t>
            </w:r>
            <w:r w:rsidRPr="001B68F0">
              <w:rPr>
                <w:rFonts w:ascii="Times New Roman" w:hAnsi="Times New Roman" w:cs="Times New Roman"/>
                <w:sz w:val="24"/>
                <w:szCs w:val="24"/>
                <w:lang w:val="fr-FR"/>
              </w:rPr>
              <w:lastRenderedPageBreak/>
              <w:t>Territoriales pour approbation</w:t>
            </w:r>
          </w:p>
          <w:p w:rsidR="00CF7F7E" w:rsidRPr="001B68F0" w:rsidRDefault="00CF7F7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CF7F7E" w:rsidRPr="001B68F0" w:rsidRDefault="00CF7F7E" w:rsidP="00CF7F7E">
            <w:pPr>
              <w:jc w:val="both"/>
              <w:rPr>
                <w:lang w:val="fr-FR"/>
              </w:rPr>
            </w:pPr>
            <w:r w:rsidRPr="001B68F0">
              <w:rPr>
                <w:lang w:val="fr-FR"/>
              </w:rPr>
              <w:t xml:space="preserve">3 cadres composant la CSEC en fonction depuis la fin 2012. Le staff de la Cellule est compose d’un évaluateur des politiques publiques, un spécialiste </w:t>
            </w:r>
            <w:proofErr w:type="spellStart"/>
            <w:r w:rsidRPr="001B68F0">
              <w:rPr>
                <w:lang w:val="fr-FR"/>
              </w:rPr>
              <w:t>Géomaticien</w:t>
            </w:r>
            <w:proofErr w:type="spellEnd"/>
            <w:r w:rsidRPr="001B68F0">
              <w:rPr>
                <w:lang w:val="fr-FR"/>
              </w:rPr>
              <w:t xml:space="preserve"> et d’un spécialiste en communication.</w:t>
            </w:r>
          </w:p>
          <w:p w:rsidR="00CF7F7E" w:rsidRPr="001B68F0" w:rsidRDefault="00CF7F7E" w:rsidP="00CF7F7E">
            <w:pPr>
              <w:jc w:val="both"/>
              <w:rPr>
                <w:lang w:val="fr-FR"/>
              </w:rPr>
            </w:pPr>
          </w:p>
          <w:p w:rsidR="00CF7F7E" w:rsidRPr="001B68F0" w:rsidRDefault="00CF7F7E" w:rsidP="00CF7F7E">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La Cellule de suivi, évaluation et communication en place et fonctionnement et travail en pleine collaboration avec la Direction des Collectivité Territoriale, la Direction de la Planification, la Direction de la Protection Civile et autres.</w:t>
            </w:r>
          </w:p>
          <w:p w:rsidR="00CF7F7E" w:rsidRPr="001B68F0" w:rsidRDefault="00CF7F7E" w:rsidP="00C868EA">
            <w:pPr>
              <w:pStyle w:val="BodyText"/>
              <w:jc w:val="both"/>
              <w:rPr>
                <w:rFonts w:ascii="Times New Roman" w:hAnsi="Times New Roman" w:cs="Times New Roman"/>
                <w:bCs/>
                <w:sz w:val="24"/>
                <w:szCs w:val="24"/>
                <w:lang w:val="fr-FR"/>
              </w:rPr>
            </w:pPr>
          </w:p>
        </w:tc>
        <w:tc>
          <w:tcPr>
            <w:tcW w:w="3960" w:type="dxa"/>
            <w:shd w:val="clear" w:color="auto" w:fill="auto"/>
          </w:tcPr>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spacing w:val="-2"/>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tc>
        <w:tc>
          <w:tcPr>
            <w:tcW w:w="3150" w:type="dxa"/>
            <w:shd w:val="clear" w:color="auto" w:fill="auto"/>
          </w:tcPr>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386752" w:rsidRPr="001B68F0" w:rsidRDefault="00386752" w:rsidP="00FB6510">
            <w:pPr>
              <w:pStyle w:val="BodyText"/>
              <w:jc w:val="both"/>
              <w:rPr>
                <w:rFonts w:ascii="Times New Roman" w:hAnsi="Times New Roman" w:cs="Times New Roman"/>
                <w:bCs/>
                <w:sz w:val="24"/>
                <w:szCs w:val="24"/>
                <w:lang w:val="fr-FR"/>
              </w:rPr>
            </w:pPr>
          </w:p>
          <w:p w:rsidR="00CF7F7E" w:rsidRPr="001B68F0" w:rsidRDefault="00CF7F7E" w:rsidP="00CF7F7E">
            <w:pPr>
              <w:tabs>
                <w:tab w:val="left" w:pos="-720"/>
                <w:tab w:val="left" w:pos="4500"/>
              </w:tabs>
              <w:suppressAutoHyphens/>
              <w:rPr>
                <w:spacing w:val="-2"/>
                <w:lang w:val="fr-FR"/>
              </w:rPr>
            </w:pPr>
            <w:r w:rsidRPr="001B68F0">
              <w:rPr>
                <w:spacing w:val="-2"/>
                <w:lang w:val="fr-FR"/>
              </w:rPr>
              <w:t>Procès-Verbal de recrutement Effectifs des RH de la CSEC</w:t>
            </w:r>
          </w:p>
          <w:p w:rsidR="00CF7F7E" w:rsidRPr="001B68F0" w:rsidRDefault="00CF7F7E" w:rsidP="00CF7F7E">
            <w:pPr>
              <w:tabs>
                <w:tab w:val="left" w:pos="-720"/>
                <w:tab w:val="left" w:pos="4500"/>
              </w:tabs>
              <w:suppressAutoHyphens/>
              <w:rPr>
                <w:spacing w:val="-2"/>
                <w:lang w:val="fr-FR"/>
              </w:rPr>
            </w:pPr>
          </w:p>
          <w:p w:rsidR="00CF7F7E" w:rsidRPr="001B68F0" w:rsidRDefault="00CF7F7E" w:rsidP="00CF7F7E">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Rapports semestriels d’activités de la CSEC et les rapports mensuels de la composante 3.</w:t>
            </w:r>
          </w:p>
          <w:p w:rsidR="001B68F0" w:rsidRPr="001B68F0" w:rsidRDefault="001B68F0" w:rsidP="00CF7F7E">
            <w:pPr>
              <w:pStyle w:val="BodyText"/>
              <w:jc w:val="both"/>
              <w:rPr>
                <w:rFonts w:ascii="Times New Roman" w:hAnsi="Times New Roman" w:cs="Times New Roman"/>
                <w:sz w:val="24"/>
                <w:szCs w:val="24"/>
                <w:lang w:val="fr-FR"/>
              </w:rPr>
            </w:pPr>
          </w:p>
          <w:p w:rsidR="00CF7F7E" w:rsidRPr="001B68F0" w:rsidRDefault="00CF7F7E" w:rsidP="00CF7F7E">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Produits (cartes géographiques) réalisés pour chaque direction.</w:t>
            </w:r>
          </w:p>
          <w:p w:rsidR="00CF7F7E" w:rsidRPr="001B68F0" w:rsidRDefault="00CF7F7E" w:rsidP="00CF7F7E">
            <w:pPr>
              <w:pStyle w:val="BodyText"/>
              <w:jc w:val="both"/>
              <w:rPr>
                <w:rFonts w:ascii="Times New Roman" w:hAnsi="Times New Roman" w:cs="Times New Roman"/>
                <w:sz w:val="24"/>
                <w:szCs w:val="24"/>
                <w:lang w:val="fr-FR"/>
              </w:rPr>
            </w:pPr>
          </w:p>
          <w:p w:rsidR="00CF7F7E" w:rsidRPr="001B68F0" w:rsidRDefault="001B68F0" w:rsidP="00CF7F7E">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E</w:t>
            </w:r>
            <w:r w:rsidR="00CF7F7E" w:rsidRPr="001B68F0">
              <w:rPr>
                <w:rFonts w:ascii="Times New Roman" w:hAnsi="Times New Roman" w:cs="Times New Roman"/>
                <w:sz w:val="24"/>
                <w:szCs w:val="24"/>
                <w:lang w:val="fr-FR"/>
              </w:rPr>
              <w:t xml:space="preserve">bauche </w:t>
            </w:r>
            <w:r w:rsidRPr="001B68F0">
              <w:rPr>
                <w:rFonts w:ascii="Times New Roman" w:hAnsi="Times New Roman" w:cs="Times New Roman"/>
                <w:sz w:val="24"/>
                <w:szCs w:val="24"/>
                <w:lang w:val="fr-FR"/>
              </w:rPr>
              <w:t xml:space="preserve">des </w:t>
            </w:r>
            <w:proofErr w:type="spellStart"/>
            <w:r w:rsidRPr="001B68F0">
              <w:rPr>
                <w:rFonts w:ascii="Times New Roman" w:hAnsi="Times New Roman" w:cs="Times New Roman"/>
                <w:sz w:val="24"/>
                <w:szCs w:val="24"/>
                <w:lang w:val="fr-FR"/>
              </w:rPr>
              <w:t>TdR</w:t>
            </w:r>
            <w:proofErr w:type="spellEnd"/>
            <w:r w:rsidRPr="001B68F0">
              <w:rPr>
                <w:rFonts w:ascii="Times New Roman" w:hAnsi="Times New Roman" w:cs="Times New Roman"/>
                <w:sz w:val="24"/>
                <w:szCs w:val="24"/>
                <w:lang w:val="fr-FR"/>
              </w:rPr>
              <w:t xml:space="preserve"> de </w:t>
            </w:r>
            <w:r w:rsidRPr="001B68F0">
              <w:rPr>
                <w:rFonts w:ascii="Times New Roman" w:hAnsi="Times New Roman" w:cs="Times New Roman"/>
                <w:sz w:val="24"/>
                <w:szCs w:val="24"/>
                <w:lang w:val="fr-FR"/>
              </w:rPr>
              <w:lastRenderedPageBreak/>
              <w:t xml:space="preserve">l’Observatoire </w:t>
            </w:r>
            <w:r w:rsidR="00CF7F7E" w:rsidRPr="001B68F0">
              <w:rPr>
                <w:rFonts w:ascii="Times New Roman" w:hAnsi="Times New Roman" w:cs="Times New Roman"/>
                <w:sz w:val="24"/>
                <w:szCs w:val="24"/>
                <w:lang w:val="fr-FR"/>
              </w:rPr>
              <w:t>soumise à la Direction des Collectivités Territoriales.</w:t>
            </w:r>
          </w:p>
          <w:p w:rsidR="00CF7F7E" w:rsidRPr="001B68F0" w:rsidRDefault="00CF7F7E" w:rsidP="00CF7F7E">
            <w:pPr>
              <w:pStyle w:val="BodyText"/>
              <w:jc w:val="both"/>
              <w:rPr>
                <w:rFonts w:ascii="Times New Roman" w:hAnsi="Times New Roman" w:cs="Times New Roman"/>
                <w:sz w:val="24"/>
                <w:szCs w:val="24"/>
                <w:lang w:val="fr-FR"/>
              </w:rPr>
            </w:pPr>
          </w:p>
          <w:p w:rsidR="004820EE" w:rsidRPr="001B68F0" w:rsidRDefault="00CF7F7E" w:rsidP="00CF7F7E">
            <w:pPr>
              <w:pStyle w:val="BodyText"/>
              <w:jc w:val="both"/>
              <w:rPr>
                <w:rFonts w:ascii="Times New Roman" w:hAnsi="Times New Roman" w:cs="Times New Roman"/>
                <w:sz w:val="24"/>
                <w:szCs w:val="24"/>
                <w:lang w:val="fr-FR"/>
              </w:rPr>
            </w:pPr>
            <w:r w:rsidRPr="001B68F0">
              <w:rPr>
                <w:rFonts w:ascii="Times New Roman" w:hAnsi="Times New Roman" w:cs="Times New Roman"/>
                <w:sz w:val="24"/>
                <w:szCs w:val="24"/>
                <w:lang w:val="fr-FR"/>
              </w:rPr>
              <w:t>Proposition de la mise en place d’un service de Statistiques au sein du MICT.</w:t>
            </w:r>
            <w:r w:rsidR="004820EE" w:rsidRPr="001B68F0">
              <w:rPr>
                <w:rFonts w:ascii="Times New Roman" w:hAnsi="Times New Roman" w:cs="Times New Roman"/>
                <w:sz w:val="24"/>
                <w:szCs w:val="24"/>
                <w:lang w:val="fr-FR"/>
              </w:rPr>
              <w:t xml:space="preserve"> </w:t>
            </w:r>
          </w:p>
        </w:tc>
      </w:tr>
      <w:tr w:rsidR="004820EE" w:rsidRPr="004A058E" w:rsidTr="00FB6510">
        <w:trPr>
          <w:trHeight w:val="885"/>
        </w:trPr>
        <w:tc>
          <w:tcPr>
            <w:tcW w:w="4265" w:type="dxa"/>
            <w:shd w:val="clear" w:color="auto" w:fill="auto"/>
          </w:tcPr>
          <w:p w:rsidR="004820EE" w:rsidRPr="00261AB6" w:rsidRDefault="004820EE" w:rsidP="00FB6510">
            <w:pPr>
              <w:tabs>
                <w:tab w:val="left" w:pos="-720"/>
                <w:tab w:val="left" w:pos="4500"/>
              </w:tabs>
              <w:suppressAutoHyphens/>
              <w:rPr>
                <w:lang w:val="fr-FR"/>
              </w:rPr>
            </w:pPr>
            <w:r>
              <w:rPr>
                <w:b/>
                <w:sz w:val="22"/>
                <w:szCs w:val="22"/>
                <w:lang w:val="fr-FR"/>
              </w:rPr>
              <w:lastRenderedPageBreak/>
              <w:t xml:space="preserve">Produit </w:t>
            </w:r>
            <w:r w:rsidRPr="00C41C9D">
              <w:rPr>
                <w:b/>
                <w:sz w:val="22"/>
                <w:szCs w:val="22"/>
                <w:lang w:val="fr-FR"/>
              </w:rPr>
              <w:t>3.</w:t>
            </w:r>
            <w:r>
              <w:rPr>
                <w:b/>
                <w:sz w:val="22"/>
                <w:szCs w:val="22"/>
                <w:lang w:val="fr-FR"/>
              </w:rPr>
              <w:t>2 :</w:t>
            </w:r>
            <w:r w:rsidRPr="00261AB6">
              <w:rPr>
                <w:lang w:val="fr-FR"/>
              </w:rPr>
              <w:t xml:space="preserve"> Les collectivités, à travers les ATL, disposent d’un personnel formé pour appuyer techniquement la coordination de la reconstruction et faciliter les démarches de montage de projets  techniques.</w:t>
            </w:r>
          </w:p>
          <w:p w:rsidR="00C868EA" w:rsidRDefault="00C868EA" w:rsidP="00FB6510">
            <w:pPr>
              <w:rPr>
                <w:b/>
                <w:lang w:val="fr-FR"/>
              </w:rPr>
            </w:pPr>
          </w:p>
          <w:p w:rsidR="004820EE"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2</w:t>
            </w:r>
            <w:r w:rsidRPr="00E15B9B">
              <w:rPr>
                <w:b/>
                <w:lang w:val="fr-FR"/>
              </w:rPr>
              <w:t>.</w:t>
            </w:r>
            <w:r>
              <w:rPr>
                <w:b/>
                <w:lang w:val="fr-FR"/>
              </w:rPr>
              <w:t>1</w:t>
            </w:r>
            <w:r w:rsidRPr="00807E95">
              <w:rPr>
                <w:b/>
                <w:lang w:val="fr-FR"/>
              </w:rPr>
              <w:t> :</w:t>
            </w:r>
            <w:r>
              <w:rPr>
                <w:lang w:val="fr-FR"/>
              </w:rPr>
              <w:t xml:space="preserve"> Opérationnalisation des ATL</w:t>
            </w:r>
          </w:p>
          <w:p w:rsidR="004820EE" w:rsidRDefault="004820EE" w:rsidP="00FB6510">
            <w:pPr>
              <w:rPr>
                <w:b/>
                <w:sz w:val="22"/>
                <w:szCs w:val="22"/>
                <w:lang w:val="fr-FR"/>
              </w:rPr>
            </w:pPr>
            <w:r w:rsidRPr="00807E95">
              <w:rPr>
                <w:b/>
                <w:lang w:val="fr-FR"/>
              </w:rPr>
              <w:t>Indicateur de référence:</w:t>
            </w:r>
            <w:r>
              <w:rPr>
                <w:lang w:val="fr-FR"/>
              </w:rPr>
              <w:t xml:space="preserve"> Capacités limitées des communes en matière d’ingénierie </w:t>
            </w:r>
          </w:p>
          <w:p w:rsidR="004820EE" w:rsidRDefault="004820EE" w:rsidP="00FB6510">
            <w:pPr>
              <w:rPr>
                <w:rFonts w:cs="Calibri"/>
                <w:lang w:val="fr-FR"/>
              </w:rPr>
            </w:pPr>
            <w:r w:rsidRPr="00807E95">
              <w:rPr>
                <w:b/>
                <w:lang w:val="fr-FR"/>
              </w:rPr>
              <w:t>Indicateur cible:</w:t>
            </w:r>
            <w:r w:rsidRPr="00261AB6">
              <w:rPr>
                <w:rFonts w:cs="Calibri"/>
                <w:lang w:val="fr-FR"/>
              </w:rPr>
              <w:t xml:space="preserve"> Formation de 30 ingénieurs municipaux</w:t>
            </w:r>
          </w:p>
          <w:p w:rsidR="004820EE" w:rsidRDefault="004820EE" w:rsidP="00FB6510">
            <w:pPr>
              <w:rPr>
                <w:rFonts w:cs="Calibri"/>
                <w:lang w:val="fr-FR"/>
              </w:rPr>
            </w:pPr>
          </w:p>
          <w:p w:rsidR="00E92CC2" w:rsidRDefault="00E92CC2" w:rsidP="00FB6510">
            <w:pPr>
              <w:rPr>
                <w:b/>
                <w:lang w:val="fr-FR"/>
              </w:rPr>
            </w:pPr>
          </w:p>
          <w:p w:rsidR="00E92CC2" w:rsidRDefault="00E92CC2" w:rsidP="00FB6510">
            <w:pPr>
              <w:rPr>
                <w:b/>
                <w:lang w:val="fr-FR"/>
              </w:rPr>
            </w:pPr>
          </w:p>
          <w:p w:rsidR="004820EE" w:rsidRDefault="004820EE" w:rsidP="00FB6510">
            <w:pPr>
              <w:rPr>
                <w:lang w:val="fr-FR"/>
              </w:rPr>
            </w:pPr>
            <w:r w:rsidRPr="0001398E">
              <w:rPr>
                <w:b/>
                <w:lang w:val="fr-FR"/>
              </w:rPr>
              <w:t>Indicateur 3.2.2 :</w:t>
            </w:r>
            <w:r>
              <w:rPr>
                <w:lang w:val="fr-FR"/>
              </w:rPr>
              <w:t xml:space="preserve"> Opérationnalisation des ATL et développement des capacités en gestion urbaine</w:t>
            </w:r>
          </w:p>
          <w:p w:rsidR="004820EE" w:rsidRDefault="004820EE" w:rsidP="00FB6510">
            <w:pPr>
              <w:rPr>
                <w:b/>
                <w:lang w:val="fr-FR"/>
              </w:rPr>
            </w:pPr>
            <w:r w:rsidRPr="00807E95">
              <w:rPr>
                <w:b/>
                <w:lang w:val="fr-FR"/>
              </w:rPr>
              <w:t>Indicateur de référence:</w:t>
            </w:r>
            <w:r w:rsidRPr="00261AB6">
              <w:rPr>
                <w:lang w:val="fr-FR"/>
              </w:rPr>
              <w:t xml:space="preserve"> Les métiers de la ville sont peu représ</w:t>
            </w:r>
            <w:r>
              <w:rPr>
                <w:lang w:val="fr-FR"/>
              </w:rPr>
              <w:t>en</w:t>
            </w:r>
            <w:r w:rsidRPr="00261AB6">
              <w:rPr>
                <w:lang w:val="fr-FR"/>
              </w:rPr>
              <w:t>tés au niveau des collectivités territoriales</w:t>
            </w:r>
          </w:p>
          <w:p w:rsidR="004820EE" w:rsidRDefault="004820EE" w:rsidP="00FB6510">
            <w:pPr>
              <w:rPr>
                <w:b/>
                <w:sz w:val="22"/>
                <w:szCs w:val="22"/>
                <w:lang w:val="fr-FR"/>
              </w:rPr>
            </w:pPr>
            <w:r w:rsidRPr="00807E95">
              <w:rPr>
                <w:b/>
                <w:lang w:val="fr-FR"/>
              </w:rPr>
              <w:t>Indicateur cible:</w:t>
            </w:r>
            <w:r w:rsidRPr="00261AB6">
              <w:rPr>
                <w:lang w:val="fr-FR"/>
              </w:rPr>
              <w:t xml:space="preserve"> Formation sur le tas du personnel technique des ATL</w:t>
            </w:r>
            <w:r>
              <w:rPr>
                <w:lang w:val="fr-FR"/>
              </w:rPr>
              <w:t xml:space="preserve"> (60)</w:t>
            </w:r>
          </w:p>
        </w:tc>
        <w:tc>
          <w:tcPr>
            <w:tcW w:w="3745" w:type="dxa"/>
            <w:shd w:val="clear" w:color="auto" w:fill="auto"/>
          </w:tcPr>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C868EA" w:rsidRPr="001B68F0" w:rsidRDefault="00C868EA" w:rsidP="00FB6510">
            <w:pPr>
              <w:pStyle w:val="BodyText"/>
              <w:jc w:val="both"/>
              <w:rPr>
                <w:rFonts w:ascii="Times New Roman" w:hAnsi="Times New Roman" w:cs="Times New Roman"/>
                <w:bCs/>
                <w:sz w:val="24"/>
                <w:szCs w:val="24"/>
                <w:lang w:val="fr-FR"/>
              </w:rPr>
            </w:pPr>
          </w:p>
          <w:p w:rsidR="00CF7F7E" w:rsidRPr="001B68F0" w:rsidRDefault="00CF7F7E" w:rsidP="00CF7F7E">
            <w:pPr>
              <w:jc w:val="both"/>
              <w:rPr>
                <w:lang w:val="fr-FR"/>
              </w:rPr>
            </w:pPr>
            <w:r w:rsidRPr="001B68F0">
              <w:rPr>
                <w:lang w:val="fr-FR"/>
              </w:rPr>
              <w:t>Non réalisé, existence d’un lot d’ingénieurs municipaux formé par le MICT. Les nouveaux ingénieurs devant être formés n’ont pas été budgét</w:t>
            </w:r>
            <w:r w:rsidR="001B68F0" w:rsidRPr="001B68F0">
              <w:rPr>
                <w:lang w:val="fr-FR"/>
              </w:rPr>
              <w:t>isés sur le MICT. L’</w:t>
            </w:r>
            <w:r w:rsidRPr="001B68F0">
              <w:rPr>
                <w:lang w:val="fr-FR"/>
              </w:rPr>
              <w:t>activité de formation</w:t>
            </w:r>
            <w:r w:rsidR="001B68F0" w:rsidRPr="001B68F0">
              <w:rPr>
                <w:lang w:val="fr-FR"/>
              </w:rPr>
              <w:t xml:space="preserve"> a été réorientée vers l</w:t>
            </w:r>
            <w:r w:rsidRPr="001B68F0">
              <w:rPr>
                <w:lang w:val="fr-FR"/>
              </w:rPr>
              <w:t xml:space="preserve">es ATL. Un partenariat sera développé avec le MTPTC pour arrimer leurs ingénieurs territoriaux </w:t>
            </w:r>
            <w:r w:rsidRPr="001B68F0">
              <w:rPr>
                <w:lang w:val="fr-FR"/>
              </w:rPr>
              <w:lastRenderedPageBreak/>
              <w:t>aux ATL et CRC.</w:t>
            </w:r>
          </w:p>
          <w:p w:rsidR="00CF7F7E" w:rsidRPr="001B68F0" w:rsidRDefault="00CF7F7E" w:rsidP="00CF7F7E">
            <w:pPr>
              <w:rPr>
                <w:lang w:val="fr-FR"/>
              </w:rPr>
            </w:pPr>
          </w:p>
          <w:p w:rsidR="00CF7F7E" w:rsidRPr="001B68F0" w:rsidRDefault="00CF7F7E" w:rsidP="00CF7F7E">
            <w:pPr>
              <w:rPr>
                <w:lang w:val="fr-FR"/>
              </w:rPr>
            </w:pPr>
            <w:r w:rsidRPr="001B68F0">
              <w:rPr>
                <w:lang w:val="fr-FR"/>
              </w:rPr>
              <w:t>Un programme de formation élaboré en collaboration avec la Sous -Direction de formation du MICT.</w:t>
            </w:r>
          </w:p>
          <w:p w:rsidR="00CF7F7E" w:rsidRPr="001B68F0" w:rsidRDefault="00CF7F7E" w:rsidP="00CF7F7E">
            <w:pPr>
              <w:rPr>
                <w:lang w:val="fr-FR"/>
              </w:rPr>
            </w:pPr>
          </w:p>
          <w:p w:rsidR="00CF7F7E" w:rsidRPr="001B68F0" w:rsidRDefault="00CF7F7E" w:rsidP="00CF7F7E">
            <w:pPr>
              <w:rPr>
                <w:lang w:val="fr-FR"/>
              </w:rPr>
            </w:pPr>
            <w:r w:rsidRPr="001B68F0">
              <w:rPr>
                <w:lang w:val="fr-FR"/>
              </w:rPr>
              <w:t>11 sessions de formation au totale organisées partant de la session  générale sur la gouvernance locale et le fonctionnement des communes a des thématiques spécifiques par profil organisées pour les cadres des ATL et CRC.</w:t>
            </w:r>
          </w:p>
          <w:p w:rsidR="00CF7F7E" w:rsidRPr="001B68F0" w:rsidRDefault="00CF7F7E" w:rsidP="00CF7F7E">
            <w:pPr>
              <w:rPr>
                <w:lang w:val="fr-FR"/>
              </w:rPr>
            </w:pPr>
          </w:p>
          <w:p w:rsidR="00CF7F7E" w:rsidRPr="001B68F0" w:rsidRDefault="00CF7F7E" w:rsidP="00CF7F7E">
            <w:pPr>
              <w:rPr>
                <w:lang w:val="fr-FR"/>
              </w:rPr>
            </w:pPr>
            <w:r w:rsidRPr="001B68F0">
              <w:rPr>
                <w:lang w:val="fr-FR"/>
              </w:rPr>
              <w:t>Une dernière session de formation sur la collecte de données et la cartographie de base réalisée en faveur des ATL et CRC.</w:t>
            </w:r>
          </w:p>
          <w:p w:rsidR="00CF7F7E" w:rsidRPr="001B68F0" w:rsidRDefault="00CF7F7E" w:rsidP="00CF7F7E">
            <w:pPr>
              <w:rPr>
                <w:lang w:val="fr-FR"/>
              </w:rPr>
            </w:pPr>
          </w:p>
        </w:tc>
        <w:tc>
          <w:tcPr>
            <w:tcW w:w="3960" w:type="dxa"/>
            <w:shd w:val="clear" w:color="auto" w:fill="auto"/>
          </w:tcPr>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C868EA" w:rsidRPr="001B68F0" w:rsidRDefault="00C868EA" w:rsidP="00FB6510">
            <w:pPr>
              <w:pStyle w:val="BodyText"/>
              <w:jc w:val="both"/>
              <w:rPr>
                <w:rFonts w:ascii="Times New Roman" w:hAnsi="Times New Roman" w:cs="Times New Roman"/>
                <w:bCs/>
                <w:sz w:val="24"/>
                <w:szCs w:val="24"/>
                <w:lang w:val="fr-FR"/>
              </w:rPr>
            </w:pPr>
          </w:p>
          <w:p w:rsidR="00CF7F7E" w:rsidRPr="001B68F0" w:rsidRDefault="00CF7F7E" w:rsidP="00CF7F7E">
            <w:pPr>
              <w:pStyle w:val="BodyText"/>
              <w:jc w:val="both"/>
              <w:rPr>
                <w:rFonts w:ascii="Times New Roman" w:hAnsi="Times New Roman" w:cs="Times New Roman"/>
                <w:bCs/>
                <w:sz w:val="24"/>
                <w:szCs w:val="24"/>
                <w:lang w:val="fr-FR"/>
              </w:rPr>
            </w:pPr>
            <w:r w:rsidRPr="001B68F0">
              <w:rPr>
                <w:rFonts w:ascii="Times New Roman" w:hAnsi="Times New Roman" w:cs="Times New Roman"/>
                <w:sz w:val="24"/>
                <w:szCs w:val="24"/>
                <w:lang w:val="fr-FR"/>
              </w:rPr>
              <w:t>Réorientation de l’utilisation de fonds initialeme</w:t>
            </w:r>
            <w:r w:rsidR="001B68F0" w:rsidRPr="001B68F0">
              <w:rPr>
                <w:rFonts w:ascii="Times New Roman" w:hAnsi="Times New Roman" w:cs="Times New Roman"/>
                <w:sz w:val="24"/>
                <w:szCs w:val="24"/>
                <w:lang w:val="fr-FR"/>
              </w:rPr>
              <w:t>nt  alloués à la formation des i</w:t>
            </w:r>
            <w:r w:rsidRPr="001B68F0">
              <w:rPr>
                <w:rFonts w:ascii="Times New Roman" w:hAnsi="Times New Roman" w:cs="Times New Roman"/>
                <w:sz w:val="24"/>
                <w:szCs w:val="24"/>
                <w:lang w:val="fr-FR"/>
              </w:rPr>
              <w:t xml:space="preserve">ngénieurs municipaux à la formation du personnel des ATL en accord avec le MICT. </w:t>
            </w:r>
          </w:p>
          <w:p w:rsidR="00CF7F7E" w:rsidRPr="001B68F0" w:rsidRDefault="00CF7F7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tc>
        <w:tc>
          <w:tcPr>
            <w:tcW w:w="3150" w:type="dxa"/>
            <w:shd w:val="clear" w:color="auto" w:fill="auto"/>
          </w:tcPr>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4820EE" w:rsidRPr="001B68F0" w:rsidRDefault="004820EE" w:rsidP="00FB6510">
            <w:pPr>
              <w:pStyle w:val="BodyText"/>
              <w:jc w:val="both"/>
              <w:rPr>
                <w:rFonts w:ascii="Times New Roman" w:hAnsi="Times New Roman" w:cs="Times New Roman"/>
                <w:bCs/>
                <w:sz w:val="24"/>
                <w:szCs w:val="24"/>
                <w:lang w:val="fr-FR"/>
              </w:rPr>
            </w:pPr>
          </w:p>
          <w:p w:rsidR="00C868EA" w:rsidRPr="001B68F0" w:rsidRDefault="00C868EA" w:rsidP="00FB6510">
            <w:pPr>
              <w:tabs>
                <w:tab w:val="left" w:pos="-720"/>
                <w:tab w:val="left" w:pos="4500"/>
              </w:tabs>
              <w:suppressAutoHyphens/>
              <w:rPr>
                <w:spacing w:val="-2"/>
                <w:lang w:val="fr-FR"/>
              </w:rPr>
            </w:pPr>
          </w:p>
          <w:p w:rsidR="00CF7F7E" w:rsidRPr="001B68F0" w:rsidRDefault="00CF7F7E" w:rsidP="00CF7F7E">
            <w:pPr>
              <w:tabs>
                <w:tab w:val="left" w:pos="-720"/>
                <w:tab w:val="left" w:pos="4500"/>
              </w:tabs>
              <w:suppressAutoHyphens/>
              <w:rPr>
                <w:spacing w:val="-2"/>
                <w:lang w:val="fr-FR"/>
              </w:rPr>
            </w:pPr>
            <w:r w:rsidRPr="001B68F0">
              <w:rPr>
                <w:spacing w:val="-2"/>
                <w:lang w:val="fr-FR"/>
              </w:rPr>
              <w:t>Programme de formation</w:t>
            </w:r>
          </w:p>
          <w:p w:rsidR="00CF7F7E" w:rsidRPr="001B68F0" w:rsidRDefault="00CF7F7E" w:rsidP="00CF7F7E">
            <w:pPr>
              <w:tabs>
                <w:tab w:val="left" w:pos="-720"/>
                <w:tab w:val="left" w:pos="4500"/>
              </w:tabs>
              <w:suppressAutoHyphens/>
              <w:rPr>
                <w:spacing w:val="-2"/>
                <w:lang w:val="fr-FR"/>
              </w:rPr>
            </w:pPr>
          </w:p>
          <w:p w:rsidR="00CF7F7E" w:rsidRPr="001B68F0" w:rsidRDefault="00CF7F7E" w:rsidP="00CF7F7E">
            <w:pPr>
              <w:tabs>
                <w:tab w:val="left" w:pos="-720"/>
                <w:tab w:val="left" w:pos="4500"/>
              </w:tabs>
              <w:suppressAutoHyphens/>
              <w:rPr>
                <w:spacing w:val="-2"/>
                <w:lang w:val="fr-FR"/>
              </w:rPr>
            </w:pPr>
            <w:r w:rsidRPr="001B68F0">
              <w:rPr>
                <w:spacing w:val="-2"/>
                <w:lang w:val="fr-FR"/>
              </w:rPr>
              <w:t>Cursus et différents rapports des formations</w:t>
            </w:r>
          </w:p>
          <w:p w:rsidR="00CF7F7E" w:rsidRPr="001B68F0" w:rsidRDefault="00CF7F7E" w:rsidP="00FB6510">
            <w:pPr>
              <w:pStyle w:val="BodyText"/>
              <w:jc w:val="both"/>
              <w:rPr>
                <w:rFonts w:ascii="Times New Roman" w:hAnsi="Times New Roman" w:cs="Times New Roman"/>
                <w:bCs/>
                <w:sz w:val="24"/>
                <w:szCs w:val="24"/>
                <w:lang w:val="fr-FR"/>
              </w:rPr>
            </w:pPr>
          </w:p>
        </w:tc>
      </w:tr>
      <w:tr w:rsidR="004820EE" w:rsidRPr="00E3532D" w:rsidTr="00FB6510">
        <w:trPr>
          <w:trHeight w:val="885"/>
        </w:trPr>
        <w:tc>
          <w:tcPr>
            <w:tcW w:w="4265" w:type="dxa"/>
            <w:tcBorders>
              <w:bottom w:val="single" w:sz="4" w:space="0" w:color="000000"/>
            </w:tcBorders>
            <w:shd w:val="clear" w:color="auto" w:fill="auto"/>
          </w:tcPr>
          <w:p w:rsidR="004820EE" w:rsidRDefault="004820EE" w:rsidP="00FB6510">
            <w:pPr>
              <w:tabs>
                <w:tab w:val="left" w:pos="-720"/>
                <w:tab w:val="left" w:pos="4500"/>
              </w:tabs>
              <w:suppressAutoHyphens/>
              <w:rPr>
                <w:lang w:val="fr-FR"/>
              </w:rPr>
            </w:pPr>
            <w:r>
              <w:rPr>
                <w:b/>
                <w:sz w:val="22"/>
                <w:szCs w:val="22"/>
                <w:lang w:val="fr-FR"/>
              </w:rPr>
              <w:lastRenderedPageBreak/>
              <w:t xml:space="preserve">Produit </w:t>
            </w:r>
            <w:r w:rsidRPr="00C41C9D">
              <w:rPr>
                <w:b/>
                <w:sz w:val="22"/>
                <w:szCs w:val="22"/>
                <w:lang w:val="fr-FR"/>
              </w:rPr>
              <w:t>3.</w:t>
            </w:r>
            <w:r>
              <w:rPr>
                <w:b/>
                <w:sz w:val="22"/>
                <w:szCs w:val="22"/>
                <w:lang w:val="fr-FR"/>
              </w:rPr>
              <w:t>3 :</w:t>
            </w:r>
            <w:r w:rsidRPr="00B03C4F">
              <w:rPr>
                <w:lang w:val="fr-FR"/>
              </w:rPr>
              <w:t xml:space="preserve"> Les territoires disposent d’agences techniques locales à l’échelle intercommunale ou communale et de centres de ressources communautaires  au niveau des quartiers pour faciliter la planification, la coordination et l’information sur la reconstruction, le retour et le développement local.</w:t>
            </w:r>
          </w:p>
          <w:p w:rsidR="00D43C48" w:rsidRDefault="00D43C48" w:rsidP="00FB6510">
            <w:pPr>
              <w:tabs>
                <w:tab w:val="left" w:pos="-720"/>
                <w:tab w:val="left" w:pos="4500"/>
              </w:tabs>
              <w:suppressAutoHyphens/>
              <w:rPr>
                <w:lang w:val="fr-FR"/>
              </w:rPr>
            </w:pPr>
          </w:p>
          <w:p w:rsidR="004820EE"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3</w:t>
            </w:r>
            <w:r w:rsidRPr="00E15B9B">
              <w:rPr>
                <w:b/>
                <w:lang w:val="fr-FR"/>
              </w:rPr>
              <w:t>.</w:t>
            </w:r>
            <w:r>
              <w:rPr>
                <w:b/>
                <w:lang w:val="fr-FR"/>
              </w:rPr>
              <w:t>1</w:t>
            </w:r>
            <w:r w:rsidRPr="00807E95">
              <w:rPr>
                <w:b/>
                <w:lang w:val="fr-FR"/>
              </w:rPr>
              <w:t> :</w:t>
            </w:r>
            <w:r>
              <w:rPr>
                <w:lang w:val="fr-FR"/>
              </w:rPr>
              <w:t xml:space="preserve"> </w:t>
            </w:r>
            <w:r w:rsidRPr="00B03C4F">
              <w:rPr>
                <w:lang w:val="fr-FR"/>
              </w:rPr>
              <w:t>Les services techniques municipaux sont renforcés ; l’information des populations est effective</w:t>
            </w:r>
            <w:r>
              <w:rPr>
                <w:lang w:val="fr-FR"/>
              </w:rPr>
              <w:t xml:space="preserve">. </w:t>
            </w:r>
          </w:p>
          <w:p w:rsidR="004820EE" w:rsidRDefault="004820EE" w:rsidP="00FB6510">
            <w:pPr>
              <w:rPr>
                <w:lang w:val="fr-FR"/>
              </w:rPr>
            </w:pPr>
            <w:r w:rsidRPr="00807E95">
              <w:rPr>
                <w:b/>
                <w:lang w:val="fr-FR"/>
              </w:rPr>
              <w:t>Indicateur de référence:</w:t>
            </w:r>
            <w:r>
              <w:rPr>
                <w:lang w:val="fr-FR"/>
              </w:rPr>
              <w:t xml:space="preserve"> </w:t>
            </w:r>
            <w:r w:rsidRPr="00B03C4F">
              <w:rPr>
                <w:lang w:val="fr-FR"/>
              </w:rPr>
              <w:t>Capacités limitées des communes en matière de coordination de la reconstruction et du développement local</w:t>
            </w:r>
          </w:p>
          <w:p w:rsidR="004820EE" w:rsidRPr="00F303C2" w:rsidRDefault="004820EE" w:rsidP="00FB6510">
            <w:pPr>
              <w:rPr>
                <w:lang w:val="fr-FR"/>
              </w:rPr>
            </w:pPr>
            <w:r w:rsidRPr="00807E95">
              <w:rPr>
                <w:b/>
                <w:lang w:val="fr-FR"/>
              </w:rPr>
              <w:t>Indicateur cible:</w:t>
            </w:r>
            <w:r w:rsidRPr="00261AB6">
              <w:rPr>
                <w:rFonts w:cs="Calibri"/>
                <w:lang w:val="fr-FR"/>
              </w:rPr>
              <w:t xml:space="preserve"> </w:t>
            </w:r>
            <w:r w:rsidRPr="00B03C4F">
              <w:rPr>
                <w:lang w:val="fr-FR"/>
              </w:rPr>
              <w:t>60 personnels recrutés pour les ATL</w:t>
            </w:r>
            <w:r>
              <w:rPr>
                <w:lang w:val="fr-FR"/>
              </w:rPr>
              <w:t> ; 36</w:t>
            </w:r>
            <w:r w:rsidRPr="00B03C4F">
              <w:rPr>
                <w:lang w:val="fr-FR"/>
              </w:rPr>
              <w:t xml:space="preserve"> personnels recrutés </w:t>
            </w:r>
            <w:r w:rsidRPr="00B03C4F">
              <w:rPr>
                <w:lang w:val="fr-FR"/>
              </w:rPr>
              <w:lastRenderedPageBreak/>
              <w:t>pour les CRC</w:t>
            </w:r>
          </w:p>
          <w:p w:rsidR="004820EE" w:rsidRDefault="004820EE" w:rsidP="00FB6510">
            <w:pPr>
              <w:rPr>
                <w:b/>
                <w:lang w:val="fr-FR"/>
              </w:rPr>
            </w:pPr>
          </w:p>
          <w:p w:rsidR="004820EE" w:rsidRDefault="004820EE" w:rsidP="00FB6510">
            <w:pPr>
              <w:rPr>
                <w:rFonts w:cs="Calibri"/>
                <w:lang w:val="fr-FR"/>
              </w:rPr>
            </w:pPr>
            <w:r w:rsidRPr="00095A2F">
              <w:rPr>
                <w:b/>
                <w:lang w:val="fr-FR"/>
              </w:rPr>
              <w:t>Indicateur 3.3.2 :</w:t>
            </w:r>
            <w:r>
              <w:rPr>
                <w:lang w:val="fr-FR"/>
              </w:rPr>
              <w:t xml:space="preserve"> </w:t>
            </w:r>
            <w:r w:rsidRPr="00B03C4F">
              <w:rPr>
                <w:lang w:val="fr-FR"/>
              </w:rPr>
              <w:t>Plateformes de coordination opérationnelles ; mécanismes de dialogue entre les collectivités territoriales et les populations opérationnels</w:t>
            </w:r>
          </w:p>
          <w:p w:rsidR="004820EE" w:rsidRDefault="004820EE" w:rsidP="00FB6510">
            <w:pPr>
              <w:tabs>
                <w:tab w:val="left" w:pos="-720"/>
                <w:tab w:val="left" w:pos="4500"/>
              </w:tabs>
              <w:suppressAutoHyphens/>
              <w:rPr>
                <w:lang w:val="fr-FR"/>
              </w:rPr>
            </w:pPr>
            <w:r w:rsidRPr="00807E95">
              <w:rPr>
                <w:b/>
                <w:lang w:val="fr-FR"/>
              </w:rPr>
              <w:t>Indicateur de référence:</w:t>
            </w:r>
            <w:r>
              <w:rPr>
                <w:lang w:val="fr-FR"/>
              </w:rPr>
              <w:t xml:space="preserve"> </w:t>
            </w:r>
            <w:r w:rsidRPr="00B03C4F">
              <w:rPr>
                <w:lang w:val="fr-FR"/>
              </w:rPr>
              <w:t>Plateformes de coordination sur la reconst</w:t>
            </w:r>
            <w:r>
              <w:rPr>
                <w:lang w:val="fr-FR"/>
              </w:rPr>
              <w:t xml:space="preserve">ruction à l’échelle communale </w:t>
            </w:r>
            <w:r w:rsidRPr="00B03C4F">
              <w:rPr>
                <w:lang w:val="fr-FR"/>
              </w:rPr>
              <w:t>existante </w:t>
            </w:r>
            <w:r>
              <w:rPr>
                <w:lang w:val="fr-FR"/>
              </w:rPr>
              <w:t>dans 6 communes</w:t>
            </w:r>
          </w:p>
          <w:p w:rsidR="004820EE" w:rsidRDefault="004820EE" w:rsidP="00FB6510">
            <w:pPr>
              <w:rPr>
                <w:rFonts w:cs="Calibri"/>
                <w:lang w:val="fr-FR"/>
              </w:rPr>
            </w:pPr>
            <w:r w:rsidRPr="00807E95">
              <w:rPr>
                <w:b/>
                <w:lang w:val="fr-FR"/>
              </w:rPr>
              <w:t>Indicateur cible:</w:t>
            </w:r>
            <w:r w:rsidRPr="00B03C4F">
              <w:rPr>
                <w:rFonts w:cs="Calibri"/>
                <w:lang w:val="fr-FR"/>
              </w:rPr>
              <w:t xml:space="preserve"> Mécanismes de coordination à l’échelle communale et d’échange d’information établis entre les ATL et les CRC en vue d’enrichir et d’assurer la cohérence avec la coordination des activités de reconstruction au niveau des quartiers</w:t>
            </w:r>
          </w:p>
          <w:p w:rsidR="004820EE" w:rsidRDefault="004820EE" w:rsidP="00FB6510">
            <w:pPr>
              <w:tabs>
                <w:tab w:val="left" w:pos="-720"/>
                <w:tab w:val="left" w:pos="4500"/>
              </w:tabs>
              <w:suppressAutoHyphens/>
              <w:rPr>
                <w:b/>
                <w:sz w:val="22"/>
                <w:szCs w:val="22"/>
                <w:lang w:val="fr-FR"/>
              </w:rPr>
            </w:pPr>
          </w:p>
        </w:tc>
        <w:tc>
          <w:tcPr>
            <w:tcW w:w="3745" w:type="dxa"/>
            <w:tcBorders>
              <w:bottom w:val="single" w:sz="4" w:space="0" w:color="000000"/>
            </w:tcBorders>
            <w:shd w:val="clear" w:color="auto" w:fill="auto"/>
          </w:tcPr>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D43C48" w:rsidRPr="00D25173" w:rsidRDefault="00D43C48"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rPr>
                <w:bCs/>
                <w:lang w:val="fr-FR"/>
              </w:rPr>
            </w:pPr>
          </w:p>
          <w:p w:rsidR="00CF7F7E" w:rsidRPr="00D25173" w:rsidRDefault="00CF7F7E" w:rsidP="00CF7F7E">
            <w:pPr>
              <w:rPr>
                <w:lang w:val="fr-FR"/>
              </w:rPr>
            </w:pPr>
            <w:r w:rsidRPr="00D25173">
              <w:rPr>
                <w:lang w:val="fr-FR"/>
              </w:rPr>
              <w:t>10 Agences Techniques Locales opérationnelles</w:t>
            </w:r>
          </w:p>
          <w:p w:rsidR="00CF7F7E" w:rsidRPr="00D25173" w:rsidRDefault="00CF7F7E" w:rsidP="00CF7F7E">
            <w:pPr>
              <w:rPr>
                <w:lang w:val="fr-FR"/>
              </w:rPr>
            </w:pPr>
            <w:r w:rsidRPr="00D25173">
              <w:rPr>
                <w:lang w:val="fr-FR"/>
              </w:rPr>
              <w:t>60 cadres ATL en fonction depuis fin aout 2013</w:t>
            </w:r>
          </w:p>
          <w:p w:rsidR="00CF7F7E" w:rsidRPr="00D25173" w:rsidRDefault="00CF7F7E" w:rsidP="00CF7F7E">
            <w:pPr>
              <w:rPr>
                <w:lang w:val="fr-FR"/>
              </w:rPr>
            </w:pPr>
            <w:r w:rsidRPr="00D25173">
              <w:rPr>
                <w:lang w:val="fr-FR"/>
              </w:rPr>
              <w:t>3</w:t>
            </w:r>
            <w:r w:rsidR="001B68F0" w:rsidRPr="00D25173">
              <w:rPr>
                <w:lang w:val="fr-FR"/>
              </w:rPr>
              <w:t>eme t</w:t>
            </w:r>
            <w:r w:rsidRPr="00D25173">
              <w:rPr>
                <w:lang w:val="fr-FR"/>
              </w:rPr>
              <w:t>ransferts de fonds réalisé et  du matériel informatique et des véhicules à l’usage des ATL</w:t>
            </w:r>
          </w:p>
          <w:p w:rsidR="00CF7F7E" w:rsidRPr="00D25173" w:rsidRDefault="00CF7F7E" w:rsidP="00CF7F7E">
            <w:pPr>
              <w:rPr>
                <w:lang w:val="fr-FR"/>
              </w:rPr>
            </w:pPr>
            <w:r w:rsidRPr="00D25173">
              <w:rPr>
                <w:lang w:val="fr-FR"/>
              </w:rPr>
              <w:t>11 CRC installés dans les communes</w:t>
            </w:r>
          </w:p>
          <w:p w:rsidR="00CF7F7E" w:rsidRPr="00D25173" w:rsidRDefault="00CF7F7E" w:rsidP="00CF7F7E">
            <w:pPr>
              <w:rPr>
                <w:lang w:val="fr-FR"/>
              </w:rPr>
            </w:pPr>
            <w:r w:rsidRPr="00D25173">
              <w:rPr>
                <w:lang w:val="fr-FR"/>
              </w:rPr>
              <w:t xml:space="preserve">38 cadres recrutés pour les 11CRC </w:t>
            </w:r>
          </w:p>
          <w:p w:rsidR="00CF7F7E" w:rsidRPr="00D25173" w:rsidRDefault="00CF7F7E" w:rsidP="00CF7F7E">
            <w:pPr>
              <w:rPr>
                <w:lang w:val="fr-FR"/>
              </w:rPr>
            </w:pPr>
          </w:p>
          <w:p w:rsidR="00CF7F7E" w:rsidRPr="00D25173" w:rsidRDefault="00CF7F7E" w:rsidP="00CF7F7E">
            <w:pPr>
              <w:rPr>
                <w:lang w:val="fr-FR"/>
              </w:rPr>
            </w:pPr>
          </w:p>
          <w:p w:rsidR="00CF7F7E" w:rsidRPr="00D25173" w:rsidRDefault="00CF7F7E" w:rsidP="00CF7F7E">
            <w:pPr>
              <w:rPr>
                <w:lang w:val="fr-FR"/>
              </w:rPr>
            </w:pPr>
            <w:r w:rsidRPr="00D25173">
              <w:rPr>
                <w:lang w:val="fr-FR"/>
              </w:rPr>
              <w:t xml:space="preserve">11 plateformes communales formées, validées et fonctionnelles   </w:t>
            </w:r>
          </w:p>
          <w:p w:rsidR="00CF7F7E" w:rsidRPr="00D25173" w:rsidRDefault="00CF7F7E" w:rsidP="00CF7F7E">
            <w:pPr>
              <w:pStyle w:val="BodyText"/>
              <w:jc w:val="both"/>
              <w:rPr>
                <w:rFonts w:ascii="Times New Roman" w:hAnsi="Times New Roman" w:cs="Times New Roman"/>
                <w:sz w:val="24"/>
                <w:szCs w:val="24"/>
                <w:lang w:val="fr-FR"/>
              </w:rPr>
            </w:pPr>
          </w:p>
          <w:p w:rsidR="00CF7F7E" w:rsidRPr="00D25173" w:rsidRDefault="00CF7F7E" w:rsidP="00CF7F7E">
            <w:pPr>
              <w:pStyle w:val="BodyText"/>
              <w:rPr>
                <w:rFonts w:ascii="Times New Roman" w:hAnsi="Times New Roman" w:cs="Times New Roman"/>
                <w:sz w:val="24"/>
                <w:szCs w:val="24"/>
                <w:lang w:val="fr-FR"/>
              </w:rPr>
            </w:pPr>
            <w:r w:rsidRPr="00D25173">
              <w:rPr>
                <w:rFonts w:ascii="Times New Roman" w:hAnsi="Times New Roman" w:cs="Times New Roman"/>
                <w:spacing w:val="-2"/>
                <w:sz w:val="24"/>
                <w:szCs w:val="24"/>
                <w:lang w:val="fr-FR"/>
              </w:rPr>
              <w:t xml:space="preserve">Mécanisme d’échange d’information, établit entre les CRC-ATL-CSEC et stratégie de communication existant entre les ATL-CRC et les communautés. </w:t>
            </w:r>
          </w:p>
          <w:p w:rsidR="00CF7F7E" w:rsidRPr="00D25173" w:rsidRDefault="00CF7F7E" w:rsidP="00FB6510">
            <w:pPr>
              <w:pStyle w:val="BodyText"/>
              <w:jc w:val="both"/>
              <w:rPr>
                <w:rFonts w:ascii="Times New Roman" w:hAnsi="Times New Roman" w:cs="Times New Roman"/>
                <w:bCs/>
                <w:sz w:val="24"/>
                <w:szCs w:val="24"/>
                <w:lang w:val="fr-FR"/>
              </w:rPr>
            </w:pPr>
          </w:p>
        </w:tc>
        <w:tc>
          <w:tcPr>
            <w:tcW w:w="3960" w:type="dxa"/>
            <w:tcBorders>
              <w:bottom w:val="single" w:sz="4" w:space="0" w:color="000000"/>
            </w:tcBorders>
            <w:shd w:val="clear" w:color="auto" w:fill="auto"/>
          </w:tcPr>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CF7F7E" w:rsidRPr="00D25173" w:rsidRDefault="00CF7F7E" w:rsidP="00D25173">
            <w:pPr>
              <w:pStyle w:val="BodyText"/>
              <w:jc w:val="both"/>
              <w:rPr>
                <w:rFonts w:ascii="Times New Roman" w:hAnsi="Times New Roman" w:cs="Times New Roman"/>
                <w:bCs/>
                <w:sz w:val="24"/>
                <w:szCs w:val="24"/>
                <w:lang w:val="fr-FR"/>
              </w:rPr>
            </w:pPr>
          </w:p>
        </w:tc>
        <w:tc>
          <w:tcPr>
            <w:tcW w:w="3150" w:type="dxa"/>
            <w:tcBorders>
              <w:bottom w:val="single" w:sz="4" w:space="0" w:color="000000"/>
            </w:tcBorders>
            <w:shd w:val="clear" w:color="auto" w:fill="auto"/>
          </w:tcPr>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4820EE" w:rsidRPr="00D25173" w:rsidRDefault="004820EE" w:rsidP="00FB6510">
            <w:pPr>
              <w:pStyle w:val="BodyText"/>
              <w:jc w:val="both"/>
              <w:rPr>
                <w:rFonts w:ascii="Times New Roman" w:hAnsi="Times New Roman" w:cs="Times New Roman"/>
                <w:bCs/>
                <w:sz w:val="24"/>
                <w:szCs w:val="24"/>
                <w:lang w:val="fr-FR"/>
              </w:rPr>
            </w:pPr>
          </w:p>
          <w:p w:rsidR="00F303C2" w:rsidRPr="00D25173" w:rsidRDefault="00F303C2" w:rsidP="00C868EA">
            <w:pPr>
              <w:tabs>
                <w:tab w:val="left" w:pos="-720"/>
                <w:tab w:val="left" w:pos="4500"/>
              </w:tabs>
              <w:suppressAutoHyphens/>
              <w:rPr>
                <w:spacing w:val="-2"/>
                <w:lang w:val="fr-FR"/>
              </w:rPr>
            </w:pPr>
          </w:p>
          <w:p w:rsidR="00F303C2" w:rsidRPr="00D25173" w:rsidRDefault="00F303C2" w:rsidP="00C868EA">
            <w:pPr>
              <w:tabs>
                <w:tab w:val="left" w:pos="-720"/>
                <w:tab w:val="left" w:pos="4500"/>
              </w:tabs>
              <w:suppressAutoHyphens/>
              <w:rPr>
                <w:spacing w:val="-2"/>
                <w:lang w:val="fr-FR"/>
              </w:rPr>
            </w:pPr>
          </w:p>
          <w:p w:rsidR="00F303C2" w:rsidRPr="00D25173" w:rsidRDefault="00F303C2" w:rsidP="00C868EA">
            <w:pPr>
              <w:tabs>
                <w:tab w:val="left" w:pos="-720"/>
                <w:tab w:val="left" w:pos="4500"/>
              </w:tabs>
              <w:suppressAutoHyphens/>
              <w:rPr>
                <w:spacing w:val="-2"/>
                <w:lang w:val="fr-FR"/>
              </w:rPr>
            </w:pPr>
          </w:p>
          <w:p w:rsidR="00F303C2" w:rsidRPr="00D25173" w:rsidRDefault="00F303C2" w:rsidP="00C868EA">
            <w:pPr>
              <w:tabs>
                <w:tab w:val="left" w:pos="-720"/>
                <w:tab w:val="left" w:pos="4500"/>
              </w:tabs>
              <w:suppressAutoHyphens/>
              <w:rPr>
                <w:spacing w:val="-2"/>
                <w:lang w:val="fr-FR"/>
              </w:rPr>
            </w:pPr>
          </w:p>
          <w:p w:rsidR="00F303C2" w:rsidRPr="00D25173" w:rsidRDefault="00F303C2" w:rsidP="00C868EA">
            <w:pPr>
              <w:tabs>
                <w:tab w:val="left" w:pos="-720"/>
                <w:tab w:val="left" w:pos="4500"/>
              </w:tabs>
              <w:suppressAutoHyphens/>
              <w:rPr>
                <w:spacing w:val="-2"/>
                <w:lang w:val="fr-FR"/>
              </w:rPr>
            </w:pPr>
          </w:p>
          <w:p w:rsidR="00F303C2" w:rsidRPr="00D25173" w:rsidRDefault="00F303C2" w:rsidP="00C868EA">
            <w:pPr>
              <w:tabs>
                <w:tab w:val="left" w:pos="-720"/>
                <w:tab w:val="left" w:pos="4500"/>
              </w:tabs>
              <w:suppressAutoHyphens/>
              <w:rPr>
                <w:spacing w:val="-2"/>
                <w:lang w:val="fr-FR"/>
              </w:rPr>
            </w:pPr>
          </w:p>
          <w:p w:rsidR="00CF7F7E" w:rsidRPr="00D25173" w:rsidRDefault="00CF7F7E" w:rsidP="00CF7F7E">
            <w:pPr>
              <w:pStyle w:val="BodyText"/>
              <w:jc w:val="both"/>
              <w:rPr>
                <w:rFonts w:ascii="Times New Roman" w:hAnsi="Times New Roman" w:cs="Times New Roman"/>
                <w:bCs/>
                <w:sz w:val="24"/>
                <w:szCs w:val="24"/>
                <w:lang w:val="fr-FR"/>
              </w:rPr>
            </w:pPr>
            <w:r w:rsidRPr="00D25173">
              <w:rPr>
                <w:rFonts w:ascii="Times New Roman" w:hAnsi="Times New Roman" w:cs="Times New Roman"/>
                <w:bCs/>
                <w:sz w:val="24"/>
                <w:szCs w:val="24"/>
                <w:lang w:val="fr-FR"/>
              </w:rPr>
              <w:t>PV de recrutement du personnel</w:t>
            </w:r>
          </w:p>
          <w:p w:rsidR="00CF7F7E" w:rsidRPr="00D25173" w:rsidRDefault="00CF7F7E" w:rsidP="00CF7F7E">
            <w:pPr>
              <w:pStyle w:val="BodyText"/>
              <w:jc w:val="both"/>
              <w:rPr>
                <w:rFonts w:ascii="Times New Roman" w:hAnsi="Times New Roman" w:cs="Times New Roman"/>
                <w:bCs/>
                <w:sz w:val="24"/>
                <w:szCs w:val="24"/>
                <w:lang w:val="fr-FR"/>
              </w:rPr>
            </w:pPr>
            <w:r w:rsidRPr="00D25173">
              <w:rPr>
                <w:rFonts w:ascii="Times New Roman" w:hAnsi="Times New Roman" w:cs="Times New Roman"/>
                <w:bCs/>
                <w:sz w:val="24"/>
                <w:szCs w:val="24"/>
                <w:lang w:val="fr-FR"/>
              </w:rPr>
              <w:t xml:space="preserve"> </w:t>
            </w:r>
          </w:p>
          <w:p w:rsidR="00CF7F7E" w:rsidRPr="00D25173" w:rsidRDefault="00CF7F7E" w:rsidP="00CF7F7E">
            <w:pPr>
              <w:tabs>
                <w:tab w:val="left" w:pos="-720"/>
                <w:tab w:val="left" w:pos="4500"/>
              </w:tabs>
              <w:suppressAutoHyphens/>
              <w:rPr>
                <w:spacing w:val="-2"/>
                <w:lang w:val="fr-FR"/>
              </w:rPr>
            </w:pPr>
            <w:r w:rsidRPr="00D25173">
              <w:rPr>
                <w:spacing w:val="-2"/>
                <w:lang w:val="fr-FR"/>
              </w:rPr>
              <w:t>Représentation cartographique des implantations territoriales des ATL et CRC et leur bilan d’activité</w:t>
            </w:r>
          </w:p>
          <w:p w:rsidR="00CF7F7E" w:rsidRPr="00D25173" w:rsidRDefault="00CF7F7E" w:rsidP="00CF7F7E">
            <w:pPr>
              <w:tabs>
                <w:tab w:val="left" w:pos="-720"/>
                <w:tab w:val="left" w:pos="4500"/>
              </w:tabs>
              <w:suppressAutoHyphens/>
              <w:rPr>
                <w:spacing w:val="-2"/>
                <w:lang w:val="fr-FR"/>
              </w:rPr>
            </w:pPr>
          </w:p>
          <w:p w:rsidR="00CF7F7E" w:rsidRPr="00D25173" w:rsidRDefault="00CF7F7E" w:rsidP="00CF7F7E">
            <w:pPr>
              <w:tabs>
                <w:tab w:val="left" w:pos="-720"/>
                <w:tab w:val="left" w:pos="4500"/>
              </w:tabs>
              <w:suppressAutoHyphens/>
              <w:rPr>
                <w:spacing w:val="-2"/>
                <w:lang w:val="fr-FR"/>
              </w:rPr>
            </w:pPr>
            <w:r w:rsidRPr="00D25173">
              <w:rPr>
                <w:spacing w:val="-2"/>
                <w:lang w:val="fr-FR"/>
              </w:rPr>
              <w:t xml:space="preserve">Organigrammes des ATL et CRC </w:t>
            </w:r>
          </w:p>
          <w:p w:rsidR="00CF7F7E" w:rsidRPr="00D25173" w:rsidRDefault="00CF7F7E" w:rsidP="00CF7F7E">
            <w:pPr>
              <w:tabs>
                <w:tab w:val="left" w:pos="-720"/>
                <w:tab w:val="left" w:pos="4500"/>
              </w:tabs>
              <w:suppressAutoHyphens/>
              <w:rPr>
                <w:spacing w:val="-2"/>
                <w:lang w:val="fr-FR"/>
              </w:rPr>
            </w:pPr>
          </w:p>
          <w:p w:rsidR="00CF7F7E" w:rsidRPr="00D25173" w:rsidRDefault="00CF7F7E" w:rsidP="00CF7F7E">
            <w:pPr>
              <w:tabs>
                <w:tab w:val="left" w:pos="-720"/>
                <w:tab w:val="left" w:pos="4500"/>
              </w:tabs>
              <w:suppressAutoHyphens/>
              <w:rPr>
                <w:spacing w:val="-2"/>
                <w:lang w:val="fr-FR"/>
              </w:rPr>
            </w:pPr>
            <w:r w:rsidRPr="00D25173">
              <w:rPr>
                <w:spacing w:val="-2"/>
                <w:lang w:val="fr-FR"/>
              </w:rPr>
              <w:t>Rapport d’activité trimestriel des ATL et CRC</w:t>
            </w:r>
          </w:p>
          <w:p w:rsidR="00CF7F7E" w:rsidRPr="00D25173" w:rsidRDefault="00CF7F7E" w:rsidP="00CF7F7E">
            <w:pPr>
              <w:pStyle w:val="BodyText"/>
              <w:jc w:val="both"/>
              <w:rPr>
                <w:rFonts w:ascii="Times New Roman" w:hAnsi="Times New Roman" w:cs="Times New Roman"/>
                <w:bCs/>
                <w:sz w:val="24"/>
                <w:szCs w:val="24"/>
                <w:lang w:val="fr-FR"/>
              </w:rPr>
            </w:pPr>
          </w:p>
          <w:p w:rsidR="00CF7F7E" w:rsidRPr="00D25173" w:rsidRDefault="00CF7F7E" w:rsidP="00CF7F7E">
            <w:pPr>
              <w:tabs>
                <w:tab w:val="left" w:pos="-720"/>
                <w:tab w:val="left" w:pos="4500"/>
              </w:tabs>
              <w:suppressAutoHyphens/>
              <w:rPr>
                <w:spacing w:val="-2"/>
                <w:lang w:val="fr-FR"/>
              </w:rPr>
            </w:pPr>
            <w:r w:rsidRPr="00D25173">
              <w:rPr>
                <w:spacing w:val="-2"/>
                <w:lang w:val="fr-FR"/>
              </w:rPr>
              <w:t xml:space="preserve">Rapports des réunions des plateformes d’information et de coordination  </w:t>
            </w:r>
          </w:p>
          <w:p w:rsidR="00CF7F7E" w:rsidRPr="00D25173" w:rsidRDefault="00CF7F7E" w:rsidP="00CF7F7E">
            <w:pPr>
              <w:tabs>
                <w:tab w:val="left" w:pos="-720"/>
                <w:tab w:val="left" w:pos="4500"/>
              </w:tabs>
              <w:suppressAutoHyphens/>
              <w:rPr>
                <w:spacing w:val="-2"/>
                <w:lang w:val="fr-FR"/>
              </w:rPr>
            </w:pPr>
          </w:p>
          <w:p w:rsidR="00CF7F7E" w:rsidRPr="00D25173" w:rsidRDefault="00CF7F7E" w:rsidP="00CF7F7E">
            <w:pPr>
              <w:tabs>
                <w:tab w:val="left" w:pos="-720"/>
                <w:tab w:val="left" w:pos="4500"/>
              </w:tabs>
              <w:suppressAutoHyphens/>
              <w:rPr>
                <w:spacing w:val="-2"/>
                <w:lang w:val="fr-FR"/>
              </w:rPr>
            </w:pPr>
            <w:r w:rsidRPr="00D25173">
              <w:rPr>
                <w:spacing w:val="-2"/>
                <w:lang w:val="fr-FR"/>
              </w:rPr>
              <w:t>Niveau de fréquentation des CRC et de satisfaction des populations</w:t>
            </w:r>
          </w:p>
          <w:p w:rsidR="00CF7F7E" w:rsidRPr="00D25173" w:rsidRDefault="00CF7F7E" w:rsidP="00CF7F7E">
            <w:pPr>
              <w:tabs>
                <w:tab w:val="left" w:pos="-720"/>
                <w:tab w:val="left" w:pos="4500"/>
              </w:tabs>
              <w:suppressAutoHyphens/>
              <w:rPr>
                <w:spacing w:val="-2"/>
                <w:lang w:val="fr-FR"/>
              </w:rPr>
            </w:pPr>
          </w:p>
          <w:p w:rsidR="00CF7F7E" w:rsidRPr="00D25173" w:rsidRDefault="00CF7F7E" w:rsidP="00CF7F7E">
            <w:pPr>
              <w:widowControl w:val="0"/>
              <w:tabs>
                <w:tab w:val="left" w:pos="-720"/>
                <w:tab w:val="left" w:pos="4500"/>
              </w:tabs>
              <w:suppressAutoHyphens/>
              <w:rPr>
                <w:spacing w:val="-2"/>
                <w:lang w:val="fr-FR"/>
              </w:rPr>
            </w:pPr>
            <w:r w:rsidRPr="00D25173">
              <w:rPr>
                <w:spacing w:val="-2"/>
                <w:lang w:val="fr-FR"/>
              </w:rPr>
              <w:t xml:space="preserve">Rapport d’activités </w:t>
            </w:r>
          </w:p>
          <w:p w:rsidR="00CF7F7E" w:rsidRPr="00D25173" w:rsidRDefault="00CF7F7E" w:rsidP="00FB6510">
            <w:pPr>
              <w:pStyle w:val="BodyText"/>
              <w:jc w:val="both"/>
              <w:rPr>
                <w:rFonts w:ascii="Times New Roman" w:hAnsi="Times New Roman" w:cs="Times New Roman"/>
                <w:bCs/>
                <w:sz w:val="24"/>
                <w:szCs w:val="24"/>
                <w:lang w:val="fr-FR"/>
              </w:rPr>
            </w:pPr>
          </w:p>
        </w:tc>
      </w:tr>
      <w:tr w:rsidR="002C013C" w:rsidRPr="004A058E" w:rsidTr="00441F3D">
        <w:trPr>
          <w:trHeight w:val="885"/>
        </w:trPr>
        <w:tc>
          <w:tcPr>
            <w:tcW w:w="15120" w:type="dxa"/>
            <w:gridSpan w:val="4"/>
            <w:shd w:val="clear" w:color="auto" w:fill="BFBFBF"/>
          </w:tcPr>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b/>
                <w:sz w:val="24"/>
                <w:szCs w:val="24"/>
                <w:lang w:val="fr-FR"/>
              </w:rPr>
              <w:lastRenderedPageBreak/>
              <w:t>R</w:t>
            </w:r>
            <w:r w:rsidRPr="00CF2C85">
              <w:rPr>
                <w:rStyle w:val="hps"/>
                <w:rFonts w:ascii="Times New Roman" w:hAnsi="Times New Roman"/>
                <w:sz w:val="24"/>
                <w:szCs w:val="24"/>
                <w:lang w:val="fr-FR"/>
              </w:rPr>
              <w:t>é</w:t>
            </w:r>
            <w:r w:rsidRPr="00CF2C85">
              <w:rPr>
                <w:rFonts w:ascii="Times New Roman" w:hAnsi="Times New Roman" w:cs="Times New Roman"/>
                <w:b/>
                <w:sz w:val="24"/>
                <w:szCs w:val="24"/>
                <w:lang w:val="fr-FR"/>
              </w:rPr>
              <w:t xml:space="preserve">sultat 4 : </w:t>
            </w:r>
            <w:r w:rsidRPr="00CF2C85">
              <w:rPr>
                <w:rFonts w:ascii="Times New Roman" w:hAnsi="Times New Roman" w:cs="Times New Roman"/>
                <w:sz w:val="24"/>
                <w:szCs w:val="24"/>
                <w:lang w:val="fr-FR"/>
              </w:rPr>
              <w:t>Les capacités du MPCE sont renforcées pour orienter, diriger et coordonner la préparation des plans stratégiques de développement régional et urbain et les stratégies de reconstruction y relatives ; les capacités des communes sont renforcées pour contribuer à la planification stratégique de leurs territoires respectifs, mobiliser et coordonner les acteurs locaux pour l'exécution de projets urbains stratégiques et mieux assurer la gestion du cadre bâti urbain.</w:t>
            </w:r>
          </w:p>
        </w:tc>
      </w:tr>
      <w:tr w:rsidR="002C013C" w:rsidRPr="004A058E" w:rsidTr="00F303C2">
        <w:trPr>
          <w:trHeight w:val="440"/>
        </w:trPr>
        <w:tc>
          <w:tcPr>
            <w:tcW w:w="4265" w:type="dxa"/>
            <w:shd w:val="clear" w:color="auto" w:fill="auto"/>
          </w:tcPr>
          <w:p w:rsidR="002C013C" w:rsidRPr="00CF2C85" w:rsidRDefault="002C013C" w:rsidP="00441F3D">
            <w:pPr>
              <w:tabs>
                <w:tab w:val="left" w:pos="-720"/>
                <w:tab w:val="left" w:pos="4500"/>
              </w:tabs>
              <w:suppressAutoHyphens/>
              <w:rPr>
                <w:lang w:val="fr-FR"/>
              </w:rPr>
            </w:pPr>
            <w:r>
              <w:rPr>
                <w:b/>
                <w:lang w:val="fr-FR"/>
              </w:rPr>
              <w:t xml:space="preserve">Produit 4.1 : </w:t>
            </w:r>
            <w:r w:rsidRPr="00CF2C85">
              <w:rPr>
                <w:lang w:val="fr-FR"/>
              </w:rPr>
              <w:t>Les territoires sinistrés par le séisme et les pôles de développement secondaires disposent de plans stratégiques et de plans d’aménagement et d’urbanisme, cohérents avec le développement durable incluant la gestion des risques sismiques, et formulés avec la participation des acteurs concernés.</w:t>
            </w:r>
          </w:p>
          <w:p w:rsidR="002C013C" w:rsidRPr="00CF2C85" w:rsidRDefault="002C013C" w:rsidP="00441F3D">
            <w:pPr>
              <w:rPr>
                <w:lang w:val="fr-FR"/>
              </w:rPr>
            </w:pPr>
            <w:r w:rsidRPr="00CF2C85">
              <w:rPr>
                <w:b/>
                <w:lang w:val="fr-FR"/>
              </w:rPr>
              <w:t>Indicateur 4.1.1 :</w:t>
            </w:r>
            <w:r w:rsidRPr="00CF2C85">
              <w:rPr>
                <w:lang w:val="fr-FR"/>
              </w:rPr>
              <w:t xml:space="preserve"> Plateformes de concertation inter-partenaires et mécanismes de validation opérationnels</w:t>
            </w:r>
          </w:p>
          <w:p w:rsidR="002C013C" w:rsidRPr="00CF2C85" w:rsidRDefault="002C013C" w:rsidP="00441F3D">
            <w:pPr>
              <w:rPr>
                <w:lang w:val="fr-FR"/>
              </w:rPr>
            </w:pPr>
            <w:r w:rsidRPr="00CF2C85">
              <w:rPr>
                <w:b/>
                <w:lang w:val="fr-FR"/>
              </w:rPr>
              <w:t>Indicateur de référence:</w:t>
            </w:r>
            <w:r w:rsidRPr="00CF2C85">
              <w:rPr>
                <w:lang w:val="fr-FR"/>
              </w:rPr>
              <w:t xml:space="preserve"> Mécanismes  de concertation inexistants</w:t>
            </w:r>
          </w:p>
          <w:p w:rsidR="002C013C" w:rsidRDefault="002C013C" w:rsidP="00441F3D">
            <w:pPr>
              <w:rPr>
                <w:sz w:val="22"/>
                <w:szCs w:val="22"/>
                <w:lang w:val="fr-FR"/>
              </w:rPr>
            </w:pPr>
            <w:r w:rsidRPr="00CF2C85">
              <w:rPr>
                <w:b/>
                <w:lang w:val="fr-FR"/>
              </w:rPr>
              <w:t>Indicateur cible:</w:t>
            </w:r>
            <w:r w:rsidRPr="00CF2C85">
              <w:rPr>
                <w:lang w:val="fr-FR"/>
              </w:rPr>
              <w:t xml:space="preserve"> Conduite du processus </w:t>
            </w:r>
            <w:r w:rsidRPr="00CF2C85">
              <w:rPr>
                <w:lang w:val="fr-FR"/>
              </w:rPr>
              <w:lastRenderedPageBreak/>
              <w:t>à Port-au-Prince et les régions</w:t>
            </w:r>
            <w:r>
              <w:rPr>
                <w:sz w:val="22"/>
                <w:szCs w:val="22"/>
                <w:lang w:val="fr-FR"/>
              </w:rPr>
              <w:t xml:space="preserve"> </w:t>
            </w:r>
          </w:p>
          <w:p w:rsidR="002C013C" w:rsidRDefault="002C013C" w:rsidP="00441F3D">
            <w:pPr>
              <w:rPr>
                <w:sz w:val="22"/>
                <w:szCs w:val="22"/>
                <w:lang w:val="fr-FR"/>
              </w:rPr>
            </w:pPr>
          </w:p>
          <w:p w:rsidR="002C013C" w:rsidRPr="0025604A" w:rsidRDefault="002C013C" w:rsidP="00441F3D">
            <w:pPr>
              <w:rPr>
                <w:lang w:val="fr-FR"/>
              </w:rPr>
            </w:pPr>
            <w:r w:rsidRPr="00CF2C85">
              <w:rPr>
                <w:b/>
                <w:lang w:val="fr-FR"/>
              </w:rPr>
              <w:t>Indicateur 4.1.</w:t>
            </w:r>
            <w:r>
              <w:rPr>
                <w:b/>
                <w:lang w:val="fr-FR"/>
              </w:rPr>
              <w:t>2</w:t>
            </w:r>
            <w:r w:rsidRPr="00CF2C85">
              <w:rPr>
                <w:b/>
                <w:lang w:val="fr-FR"/>
              </w:rPr>
              <w:t> :</w:t>
            </w:r>
            <w:r w:rsidRPr="00CF2C85">
              <w:rPr>
                <w:lang w:val="fr-FR"/>
              </w:rPr>
              <w:t xml:space="preserve"> </w:t>
            </w:r>
            <w:r w:rsidRPr="0025604A">
              <w:rPr>
                <w:color w:val="000000"/>
                <w:lang w:val="fr-FR"/>
              </w:rPr>
              <w:t>% de la population vivant dans des zones disposant de cartes de risques sismiques</w:t>
            </w:r>
          </w:p>
          <w:p w:rsidR="002C013C" w:rsidRPr="00CF2C85" w:rsidRDefault="002C013C" w:rsidP="00441F3D">
            <w:pPr>
              <w:rPr>
                <w:lang w:val="fr-FR"/>
              </w:rPr>
            </w:pPr>
            <w:r w:rsidRPr="00CF2C85">
              <w:rPr>
                <w:b/>
                <w:lang w:val="fr-FR"/>
              </w:rPr>
              <w:t>Indicateur de référence:</w:t>
            </w:r>
            <w:r w:rsidRPr="00CF2C85">
              <w:rPr>
                <w:lang w:val="fr-FR"/>
              </w:rPr>
              <w:t xml:space="preserve"> </w:t>
            </w:r>
            <w:r w:rsidRPr="0025604A">
              <w:rPr>
                <w:lang w:val="fr-FR"/>
              </w:rPr>
              <w:t>Pas de cartes de risques sismiques</w:t>
            </w:r>
          </w:p>
          <w:p w:rsidR="002C013C" w:rsidRPr="00F303C2" w:rsidRDefault="002C013C" w:rsidP="00441F3D">
            <w:pPr>
              <w:rPr>
                <w:lang w:val="fr-FR"/>
              </w:rPr>
            </w:pPr>
            <w:r w:rsidRPr="00CF2C85">
              <w:rPr>
                <w:b/>
                <w:lang w:val="fr-FR"/>
              </w:rPr>
              <w:t>Indicateur cible:</w:t>
            </w:r>
            <w:r w:rsidRPr="00CF2C85">
              <w:rPr>
                <w:lang w:val="fr-FR"/>
              </w:rPr>
              <w:t xml:space="preserve"> </w:t>
            </w:r>
            <w:r w:rsidRPr="0025604A">
              <w:rPr>
                <w:lang w:val="fr-FR"/>
              </w:rPr>
              <w:t>40% de la population</w:t>
            </w:r>
          </w:p>
        </w:tc>
        <w:tc>
          <w:tcPr>
            <w:tcW w:w="3745"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bCs/>
                <w:sz w:val="24"/>
                <w:szCs w:val="24"/>
                <w:lang w:val="fr-FR"/>
              </w:rPr>
              <w:t>100%</w:t>
            </w:r>
            <w:r w:rsidR="00F303C2">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Processus participatif conduit au niveau régional à Port-au-Prince et dans 4 autres zones</w:t>
            </w: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F303C2" w:rsidRPr="00CF2C85" w:rsidRDefault="00F303C2" w:rsidP="00441F3D">
            <w:pPr>
              <w:pStyle w:val="BodyText"/>
              <w:jc w:val="both"/>
              <w:rPr>
                <w:rFonts w:ascii="Times New Roman" w:hAnsi="Times New Roman" w:cs="Times New Roman"/>
                <w:bCs/>
                <w:sz w:val="24"/>
                <w:szCs w:val="24"/>
                <w:lang w:val="fr-FR"/>
              </w:rPr>
            </w:pPr>
          </w:p>
          <w:p w:rsidR="002C013C" w:rsidRPr="00CF2C85" w:rsidRDefault="00D25173" w:rsidP="00441F3D">
            <w:pPr>
              <w:pStyle w:val="BodyText"/>
              <w:jc w:val="both"/>
              <w:rPr>
                <w:rFonts w:ascii="Times New Roman" w:hAnsi="Times New Roman" w:cs="Times New Roman"/>
                <w:bCs/>
                <w:sz w:val="24"/>
                <w:szCs w:val="24"/>
                <w:lang w:val="fr-FR"/>
              </w:rPr>
            </w:pPr>
            <w:r>
              <w:rPr>
                <w:rFonts w:ascii="Times New Roman" w:hAnsi="Times New Roman"/>
                <w:bCs/>
                <w:sz w:val="24"/>
                <w:szCs w:val="24"/>
                <w:lang w:val="fr-FR"/>
              </w:rPr>
              <w:t xml:space="preserve">La version finale du rapport de synthèse de l’ensemble des études de </w:t>
            </w:r>
            <w:proofErr w:type="spellStart"/>
            <w:r>
              <w:rPr>
                <w:rFonts w:ascii="Times New Roman" w:hAnsi="Times New Roman"/>
                <w:bCs/>
                <w:sz w:val="24"/>
                <w:szCs w:val="24"/>
                <w:lang w:val="fr-FR"/>
              </w:rPr>
              <w:t>microzonage</w:t>
            </w:r>
            <w:proofErr w:type="spellEnd"/>
            <w:r>
              <w:rPr>
                <w:rFonts w:ascii="Times New Roman" w:hAnsi="Times New Roman"/>
                <w:bCs/>
                <w:sz w:val="24"/>
                <w:szCs w:val="24"/>
                <w:lang w:val="fr-FR"/>
              </w:rPr>
              <w:t xml:space="preserve"> sismique de l’agglomération de Port-au-Prince (plus du tiers de la population du pays) a été validée par le Ministère des Travaux Publics et est en cours de publication</w:t>
            </w:r>
            <w:r w:rsidRPr="00CF2C85">
              <w:rPr>
                <w:rFonts w:ascii="Times New Roman" w:hAnsi="Times New Roman"/>
                <w:bCs/>
                <w:sz w:val="24"/>
                <w:szCs w:val="24"/>
                <w:lang w:val="fr-FR"/>
              </w:rPr>
              <w:t>.</w:t>
            </w:r>
            <w:r>
              <w:rPr>
                <w:rFonts w:ascii="Times New Roman" w:hAnsi="Times New Roman"/>
                <w:bCs/>
                <w:sz w:val="24"/>
                <w:szCs w:val="24"/>
                <w:lang w:val="fr-FR"/>
              </w:rPr>
              <w:t xml:space="preserve"> Un atelier de présentation est aussi en cours de</w:t>
            </w:r>
            <w:r w:rsidRPr="00CF2C85">
              <w:rPr>
                <w:rFonts w:ascii="Times New Roman" w:hAnsi="Times New Roman"/>
                <w:bCs/>
                <w:sz w:val="24"/>
                <w:szCs w:val="24"/>
                <w:lang w:val="fr-FR"/>
              </w:rPr>
              <w:t xml:space="preserve"> </w:t>
            </w:r>
            <w:r>
              <w:rPr>
                <w:rFonts w:ascii="Times New Roman" w:hAnsi="Times New Roman"/>
                <w:bCs/>
                <w:sz w:val="24"/>
                <w:szCs w:val="24"/>
                <w:lang w:val="fr-FR"/>
              </w:rPr>
              <w:t>préparation</w:t>
            </w:r>
          </w:p>
        </w:tc>
        <w:tc>
          <w:tcPr>
            <w:tcW w:w="396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rPr>
                <w:lang w:val="fr-FR"/>
              </w:rPr>
            </w:pPr>
            <w:r w:rsidRPr="00CF2C85">
              <w:rPr>
                <w:lang w:val="fr-FR"/>
              </w:rPr>
              <w:t>Lenteurs administratives</w:t>
            </w: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sz w:val="24"/>
                <w:szCs w:val="24"/>
                <w:lang w:val="fr-FR"/>
              </w:rPr>
              <w:t>Changement de gouvernement</w:t>
            </w:r>
          </w:p>
        </w:tc>
        <w:tc>
          <w:tcPr>
            <w:tcW w:w="315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sz w:val="24"/>
                <w:szCs w:val="24"/>
                <w:lang w:val="fr-FR"/>
              </w:rPr>
            </w:pPr>
          </w:p>
          <w:p w:rsidR="00F303C2" w:rsidRDefault="00F303C2" w:rsidP="00441F3D">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Rapports</w:t>
            </w:r>
          </w:p>
          <w:p w:rsidR="002C013C" w:rsidRPr="00CF2C85" w:rsidRDefault="00F303C2" w:rsidP="00441F3D">
            <w:pPr>
              <w:pStyle w:val="BodyText"/>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w:t>
            </w:r>
            <w:r w:rsidR="002C013C" w:rsidRPr="00CF2C85">
              <w:rPr>
                <w:rFonts w:ascii="Times New Roman" w:hAnsi="Times New Roman" w:cs="Times New Roman"/>
                <w:sz w:val="24"/>
                <w:szCs w:val="24"/>
                <w:lang w:val="fr-FR"/>
              </w:rPr>
              <w:t>ompte</w:t>
            </w:r>
            <w:r>
              <w:rPr>
                <w:rFonts w:ascii="Times New Roman" w:hAnsi="Times New Roman" w:cs="Times New Roman"/>
                <w:sz w:val="24"/>
                <w:szCs w:val="24"/>
                <w:lang w:val="fr-FR"/>
              </w:rPr>
              <w:t>s</w:t>
            </w:r>
            <w:r w:rsidR="002C013C" w:rsidRPr="00CF2C85">
              <w:rPr>
                <w:rFonts w:ascii="Times New Roman" w:hAnsi="Times New Roman" w:cs="Times New Roman"/>
                <w:sz w:val="24"/>
                <w:szCs w:val="24"/>
                <w:lang w:val="fr-FR"/>
              </w:rPr>
              <w:t>-rendus</w:t>
            </w:r>
            <w:proofErr w:type="spellEnd"/>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D25173" w:rsidP="00441F3D">
            <w:pPr>
              <w:pStyle w:val="BodyText"/>
              <w:jc w:val="both"/>
              <w:rPr>
                <w:rFonts w:ascii="Times New Roman" w:hAnsi="Times New Roman" w:cs="Times New Roman"/>
                <w:bCs/>
                <w:sz w:val="24"/>
                <w:szCs w:val="24"/>
                <w:lang w:val="fr-FR"/>
              </w:rPr>
            </w:pPr>
            <w:r w:rsidRPr="00CF2C85">
              <w:rPr>
                <w:rFonts w:ascii="Times New Roman" w:hAnsi="Times New Roman"/>
                <w:sz w:val="24"/>
                <w:szCs w:val="24"/>
                <w:lang w:val="fr-FR"/>
              </w:rPr>
              <w:t xml:space="preserve">Publication </w:t>
            </w:r>
            <w:r>
              <w:rPr>
                <w:rFonts w:ascii="Times New Roman" w:hAnsi="Times New Roman"/>
                <w:sz w:val="24"/>
                <w:szCs w:val="24"/>
                <w:lang w:val="fr-FR"/>
              </w:rPr>
              <w:t>du Rapport final</w:t>
            </w:r>
          </w:p>
        </w:tc>
      </w:tr>
      <w:tr w:rsidR="002C013C" w:rsidRPr="004A058E" w:rsidTr="00441F3D">
        <w:trPr>
          <w:trHeight w:val="885"/>
        </w:trPr>
        <w:tc>
          <w:tcPr>
            <w:tcW w:w="4265" w:type="dxa"/>
            <w:shd w:val="clear" w:color="auto" w:fill="auto"/>
          </w:tcPr>
          <w:p w:rsidR="002C013C" w:rsidRDefault="002C013C" w:rsidP="00441F3D">
            <w:pPr>
              <w:tabs>
                <w:tab w:val="left" w:pos="-720"/>
                <w:tab w:val="left" w:pos="4500"/>
              </w:tabs>
              <w:suppressAutoHyphens/>
              <w:rPr>
                <w:spacing w:val="-2"/>
                <w:lang w:val="fr-FR"/>
              </w:rPr>
            </w:pPr>
            <w:r>
              <w:rPr>
                <w:b/>
                <w:lang w:val="fr-FR"/>
              </w:rPr>
              <w:lastRenderedPageBreak/>
              <w:t>Produit 4.2 :</w:t>
            </w:r>
            <w:r w:rsidRPr="00DC6C0F">
              <w:rPr>
                <w:spacing w:val="-2"/>
                <w:lang w:val="fr-FR"/>
              </w:rPr>
              <w:t xml:space="preserve"> Le MPCE dispose de capacités renforcées de conception / élaboration, coordination et de suivi de la planification et de la mise en œuvre des plans et projets en privilégiant une démarche de planification stratégique.</w:t>
            </w:r>
          </w:p>
          <w:p w:rsidR="00F303C2" w:rsidRDefault="00F303C2" w:rsidP="00441F3D">
            <w:pPr>
              <w:rPr>
                <w:b/>
                <w:lang w:val="fr-FR"/>
              </w:rPr>
            </w:pPr>
          </w:p>
          <w:p w:rsidR="002C013C" w:rsidRPr="00CF2C85" w:rsidRDefault="002C013C" w:rsidP="00441F3D">
            <w:pPr>
              <w:rPr>
                <w:lang w:val="fr-FR"/>
              </w:rPr>
            </w:pPr>
            <w:r w:rsidRPr="00CF2C85">
              <w:rPr>
                <w:b/>
                <w:lang w:val="fr-FR"/>
              </w:rPr>
              <w:t>Indicateur 4.</w:t>
            </w:r>
            <w:r>
              <w:rPr>
                <w:b/>
                <w:lang w:val="fr-FR"/>
              </w:rPr>
              <w:t>2</w:t>
            </w:r>
            <w:r w:rsidRPr="00CF2C85">
              <w:rPr>
                <w:b/>
                <w:lang w:val="fr-FR"/>
              </w:rPr>
              <w:t>.1 :</w:t>
            </w:r>
            <w:r w:rsidRPr="00CF2C85">
              <w:rPr>
                <w:lang w:val="fr-FR"/>
              </w:rPr>
              <w:t xml:space="preserve"> </w:t>
            </w:r>
            <w:r w:rsidRPr="00DC6C0F">
              <w:rPr>
                <w:lang w:val="fr-FR"/>
              </w:rPr>
              <w:t>Opérationnalisation de la cellule technique sur la planification stratégique</w:t>
            </w:r>
          </w:p>
          <w:p w:rsidR="002C013C" w:rsidRDefault="002C013C" w:rsidP="00441F3D">
            <w:pPr>
              <w:rPr>
                <w:lang w:val="fr-FR"/>
              </w:rPr>
            </w:pPr>
            <w:r w:rsidRPr="00CF2C85">
              <w:rPr>
                <w:b/>
                <w:lang w:val="fr-FR"/>
              </w:rPr>
              <w:t>Indicateur de référence:</w:t>
            </w:r>
            <w:r w:rsidRPr="00CF2C85">
              <w:rPr>
                <w:lang w:val="fr-FR"/>
              </w:rPr>
              <w:t xml:space="preserve"> </w:t>
            </w:r>
            <w:r w:rsidRPr="00DC6C0F">
              <w:rPr>
                <w:lang w:val="fr-FR"/>
              </w:rPr>
              <w:t xml:space="preserve">Direction Générale avec des moyens limités pour superviser </w:t>
            </w:r>
            <w:r w:rsidRPr="00DC6C0F">
              <w:rPr>
                <w:color w:val="000000"/>
                <w:lang w:val="fr-FR"/>
              </w:rPr>
              <w:t>les études d’aménagement du territoire et d’urbanisme et mettre en place et animer des plateformes de concertation inter-partenaires</w:t>
            </w:r>
          </w:p>
          <w:p w:rsidR="002C013C" w:rsidRDefault="002C013C" w:rsidP="00441F3D">
            <w:pPr>
              <w:rPr>
                <w:sz w:val="22"/>
                <w:szCs w:val="22"/>
                <w:lang w:val="fr-FR"/>
              </w:rPr>
            </w:pPr>
            <w:r w:rsidRPr="00CF2C85">
              <w:rPr>
                <w:b/>
                <w:lang w:val="fr-FR"/>
              </w:rPr>
              <w:t>Indicateur cible:</w:t>
            </w:r>
            <w:r w:rsidRPr="00CF2C85">
              <w:rPr>
                <w:lang w:val="fr-FR"/>
              </w:rPr>
              <w:t xml:space="preserve"> </w:t>
            </w:r>
            <w:r w:rsidRPr="00DC6C0F">
              <w:rPr>
                <w:lang w:val="fr-FR"/>
              </w:rPr>
              <w:t>Cellule technique opérationnelle</w:t>
            </w:r>
          </w:p>
          <w:p w:rsidR="002C013C" w:rsidRDefault="002C013C" w:rsidP="00441F3D">
            <w:pPr>
              <w:tabs>
                <w:tab w:val="left" w:pos="-720"/>
                <w:tab w:val="left" w:pos="4500"/>
              </w:tabs>
              <w:suppressAutoHyphens/>
              <w:rPr>
                <w:b/>
                <w:lang w:val="fr-FR"/>
              </w:rPr>
            </w:pPr>
          </w:p>
        </w:tc>
        <w:tc>
          <w:tcPr>
            <w:tcW w:w="3745"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bCs/>
                <w:sz w:val="24"/>
                <w:szCs w:val="24"/>
                <w:lang w:val="fr-FR"/>
              </w:rPr>
              <w:t>100%</w:t>
            </w:r>
          </w:p>
          <w:p w:rsidR="002C013C" w:rsidRPr="00CF2C85" w:rsidRDefault="002C013C" w:rsidP="00441F3D">
            <w:pPr>
              <w:pStyle w:val="BodyText"/>
              <w:jc w:val="both"/>
              <w:rPr>
                <w:rFonts w:ascii="Times New Roman" w:hAnsi="Times New Roman" w:cs="Times New Roman"/>
                <w:bCs/>
                <w:sz w:val="24"/>
                <w:szCs w:val="24"/>
                <w:lang w:val="fr-FR"/>
              </w:rPr>
            </w:pPr>
          </w:p>
        </w:tc>
        <w:tc>
          <w:tcPr>
            <w:tcW w:w="396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tc>
        <w:tc>
          <w:tcPr>
            <w:tcW w:w="3150"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Pr="00DC6C0F" w:rsidRDefault="002C013C" w:rsidP="00441F3D">
            <w:pPr>
              <w:contextualSpacing/>
              <w:rPr>
                <w:rFonts w:cs="Calibri"/>
                <w:lang w:val="fr-FR"/>
              </w:rPr>
            </w:pPr>
            <w:r w:rsidRPr="00DC6C0F">
              <w:rPr>
                <w:rFonts w:cs="Calibri"/>
                <w:lang w:val="fr-FR"/>
              </w:rPr>
              <w:t xml:space="preserve">Rapport du projet  sur les activités et les intervenants </w:t>
            </w:r>
          </w:p>
          <w:p w:rsidR="002C013C" w:rsidRPr="00DC6C0F" w:rsidRDefault="002C013C" w:rsidP="00441F3D">
            <w:pPr>
              <w:contextualSpacing/>
              <w:rPr>
                <w:rFonts w:cs="Calibri"/>
                <w:lang w:val="fr-FR"/>
              </w:rPr>
            </w:pPr>
            <w:r w:rsidRPr="00DC6C0F">
              <w:rPr>
                <w:rFonts w:cs="Calibri"/>
                <w:lang w:val="fr-FR"/>
              </w:rPr>
              <w:t>Finalisation des études</w:t>
            </w:r>
          </w:p>
          <w:p w:rsidR="002C013C" w:rsidRPr="00DC6C0F" w:rsidRDefault="002C013C" w:rsidP="00441F3D">
            <w:pPr>
              <w:contextualSpacing/>
              <w:rPr>
                <w:rFonts w:cs="Calibri"/>
                <w:lang w:val="fr-FR"/>
              </w:rPr>
            </w:pPr>
            <w:r w:rsidRPr="00DC6C0F">
              <w:rPr>
                <w:rFonts w:cs="Calibri"/>
                <w:lang w:val="fr-FR"/>
              </w:rPr>
              <w:t>Rapports de projet</w:t>
            </w:r>
            <w:r>
              <w:rPr>
                <w:rFonts w:cs="Calibri"/>
                <w:lang w:val="fr-FR"/>
              </w:rPr>
              <w:t>, publications</w:t>
            </w:r>
          </w:p>
          <w:p w:rsidR="002C013C" w:rsidRPr="00CF2C85" w:rsidRDefault="002C013C" w:rsidP="00441F3D">
            <w:pPr>
              <w:pStyle w:val="BodyText"/>
              <w:jc w:val="both"/>
              <w:rPr>
                <w:rFonts w:ascii="Times New Roman" w:hAnsi="Times New Roman" w:cs="Times New Roman"/>
                <w:bCs/>
                <w:sz w:val="24"/>
                <w:szCs w:val="24"/>
                <w:lang w:val="fr-FR"/>
              </w:rPr>
            </w:pPr>
          </w:p>
        </w:tc>
      </w:tr>
      <w:tr w:rsidR="002C013C" w:rsidRPr="00E3532D" w:rsidTr="00441F3D">
        <w:trPr>
          <w:trHeight w:val="885"/>
        </w:trPr>
        <w:tc>
          <w:tcPr>
            <w:tcW w:w="4265" w:type="dxa"/>
            <w:shd w:val="clear" w:color="auto" w:fill="auto"/>
          </w:tcPr>
          <w:p w:rsidR="002C013C" w:rsidRPr="00DC6C0F" w:rsidRDefault="002C013C" w:rsidP="00441F3D">
            <w:pPr>
              <w:tabs>
                <w:tab w:val="left" w:pos="-2520"/>
                <w:tab w:val="left" w:pos="-2190"/>
              </w:tabs>
              <w:suppressAutoHyphens/>
              <w:rPr>
                <w:rFonts w:ascii="Arial" w:hAnsi="Arial" w:cs="Arial"/>
                <w:i/>
                <w:spacing w:val="-2"/>
                <w:sz w:val="20"/>
                <w:lang w:val="fr-FR"/>
              </w:rPr>
            </w:pPr>
            <w:r>
              <w:rPr>
                <w:b/>
                <w:lang w:val="fr-FR"/>
              </w:rPr>
              <w:t>Produit 4.3 :</w:t>
            </w:r>
            <w:r w:rsidRPr="00DC6C0F">
              <w:rPr>
                <w:lang w:val="fr-FR"/>
              </w:rPr>
              <w:t xml:space="preserve"> Les communes sinistrées et les pôles de développement disposent de capacités pour participer à la planification régionale, préparer les plans communaux, coordonner les projets d’aménagement sur leur territoire et coordonner les plans communautaires de quartier ainsi que la </w:t>
            </w:r>
            <w:r w:rsidRPr="00DC6C0F">
              <w:rPr>
                <w:lang w:val="fr-FR"/>
              </w:rPr>
              <w:lastRenderedPageBreak/>
              <w:t>mise en œuvre de plans et projets, la mise en application de la réglementation sur l’urbanisme et l’utilisation d’outils de gestion du développement urbain. D’autre part, le MTPTC dispose de capacités renforcées en matière d’urbanisme.</w:t>
            </w:r>
            <w:r w:rsidRPr="00DC6C0F">
              <w:rPr>
                <w:rFonts w:ascii="Arial" w:hAnsi="Arial" w:cs="Arial"/>
                <w:sz w:val="20"/>
                <w:lang w:val="fr-FR"/>
              </w:rPr>
              <w:t xml:space="preserve"> </w:t>
            </w:r>
          </w:p>
          <w:p w:rsidR="00F303C2" w:rsidRDefault="00F303C2" w:rsidP="00441F3D">
            <w:pPr>
              <w:rPr>
                <w:b/>
                <w:lang w:val="fr-FR"/>
              </w:rPr>
            </w:pPr>
          </w:p>
          <w:p w:rsidR="002C013C" w:rsidRPr="00F303C2" w:rsidRDefault="002C013C" w:rsidP="00441F3D">
            <w:pPr>
              <w:rPr>
                <w:lang w:val="fr-FR"/>
              </w:rPr>
            </w:pPr>
            <w:r w:rsidRPr="00F303C2">
              <w:rPr>
                <w:b/>
                <w:lang w:val="fr-FR"/>
              </w:rPr>
              <w:t>Indicateur 4.3.1 :</w:t>
            </w:r>
            <w:r w:rsidRPr="00F303C2">
              <w:rPr>
                <w:lang w:val="fr-FR"/>
              </w:rPr>
              <w:t xml:space="preserve"> </w:t>
            </w:r>
            <w:r w:rsidRPr="00F303C2">
              <w:rPr>
                <w:color w:val="000000"/>
                <w:lang w:val="fr-FR"/>
              </w:rPr>
              <w:t># de nouveaux outils de planification développés</w:t>
            </w:r>
          </w:p>
          <w:p w:rsidR="002C013C" w:rsidRPr="00F303C2" w:rsidRDefault="002C013C" w:rsidP="00441F3D">
            <w:pPr>
              <w:rPr>
                <w:lang w:val="fr-FR"/>
              </w:rPr>
            </w:pPr>
            <w:r w:rsidRPr="00F303C2">
              <w:rPr>
                <w:b/>
                <w:lang w:val="fr-FR"/>
              </w:rPr>
              <w:t>Indicateur de référence:</w:t>
            </w:r>
            <w:r w:rsidRPr="00F303C2">
              <w:rPr>
                <w:lang w:val="fr-FR"/>
              </w:rPr>
              <w:t xml:space="preserve"> Absence ou inadéquation d’outils opérationnels</w:t>
            </w:r>
          </w:p>
          <w:p w:rsidR="002C013C" w:rsidRPr="00F303C2" w:rsidRDefault="002C013C" w:rsidP="00441F3D">
            <w:pPr>
              <w:rPr>
                <w:lang w:val="fr-FR"/>
              </w:rPr>
            </w:pPr>
            <w:r w:rsidRPr="00F303C2">
              <w:rPr>
                <w:b/>
                <w:lang w:val="fr-FR"/>
              </w:rPr>
              <w:t>Indicateur cible:</w:t>
            </w:r>
            <w:r w:rsidRPr="00F303C2">
              <w:rPr>
                <w:lang w:val="fr-FR"/>
              </w:rPr>
              <w:t xml:space="preserve"> Développement d’outils adaptés aux différentes réalités urbaines et aux capacités de mise en œuvre</w:t>
            </w:r>
          </w:p>
          <w:p w:rsidR="002C013C" w:rsidRDefault="002C013C" w:rsidP="00441F3D">
            <w:pPr>
              <w:rPr>
                <w:b/>
                <w:lang w:val="fr-FR"/>
              </w:rPr>
            </w:pPr>
          </w:p>
        </w:tc>
        <w:tc>
          <w:tcPr>
            <w:tcW w:w="3745"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Pr="002A6116" w:rsidRDefault="00D25173" w:rsidP="00441F3D">
            <w:pPr>
              <w:pStyle w:val="BodyText"/>
              <w:jc w:val="both"/>
              <w:rPr>
                <w:rFonts w:ascii="Times New Roman" w:hAnsi="Times New Roman" w:cs="Times New Roman"/>
                <w:bCs/>
                <w:sz w:val="24"/>
                <w:szCs w:val="24"/>
                <w:lang w:val="fr-FR"/>
              </w:rPr>
            </w:pPr>
            <w:r>
              <w:rPr>
                <w:rFonts w:ascii="Times New Roman" w:hAnsi="Times New Roman"/>
                <w:sz w:val="24"/>
                <w:szCs w:val="24"/>
                <w:lang w:val="fr-FR"/>
              </w:rPr>
              <w:t>Une étude sur le cadre de la planification décentralisée ainsi qu’une étude sur les principes réglementaires et les outils opérationnels définis dans la législation haïtienne sur le développement urbain ont été réalisées.</w:t>
            </w:r>
          </w:p>
        </w:tc>
        <w:tc>
          <w:tcPr>
            <w:tcW w:w="396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tc>
        <w:tc>
          <w:tcPr>
            <w:tcW w:w="3150"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r>
              <w:rPr>
                <w:rFonts w:ascii="Times New Roman" w:hAnsi="Times New Roman" w:cs="Times New Roman"/>
                <w:bCs/>
                <w:sz w:val="24"/>
                <w:szCs w:val="24"/>
                <w:lang w:val="fr-FR"/>
              </w:rPr>
              <w:t>Rapports, publications</w:t>
            </w:r>
          </w:p>
        </w:tc>
      </w:tr>
    </w:tbl>
    <w:p w:rsidR="003E2682" w:rsidRPr="004820EE" w:rsidRDefault="003E2682" w:rsidP="003E2682">
      <w:pPr>
        <w:pStyle w:val="BodyText"/>
        <w:tabs>
          <w:tab w:val="left" w:pos="360"/>
        </w:tabs>
        <w:ind w:left="720"/>
        <w:jc w:val="both"/>
        <w:rPr>
          <w:rFonts w:ascii="Times New Roman" w:hAnsi="Times New Roman"/>
          <w:b/>
          <w:sz w:val="24"/>
          <w:lang w:val="fr-FR"/>
        </w:rPr>
      </w:pPr>
    </w:p>
    <w:p w:rsidR="003E2682" w:rsidRPr="004820EE" w:rsidRDefault="003E2682" w:rsidP="003E2682">
      <w:pPr>
        <w:pStyle w:val="BodyText"/>
        <w:jc w:val="both"/>
        <w:rPr>
          <w:rFonts w:ascii="Times New Roman" w:hAnsi="Times New Roman"/>
          <w:b/>
          <w:sz w:val="24"/>
          <w:lang w:val="fr-FR"/>
        </w:rPr>
        <w:sectPr w:rsidR="003E2682" w:rsidRPr="004820EE" w:rsidSect="005268E7">
          <w:pgSz w:w="15840" w:h="12240" w:orient="landscape" w:code="1"/>
          <w:pgMar w:top="806" w:right="810" w:bottom="810" w:left="1354" w:header="720" w:footer="418" w:gutter="0"/>
          <w:cols w:space="720"/>
          <w:docGrid w:linePitch="360"/>
        </w:sectPr>
      </w:pPr>
    </w:p>
    <w:p w:rsidR="00C22A9F" w:rsidRPr="009C1A6A" w:rsidRDefault="00C22A9F" w:rsidP="00C22A9F">
      <w:pPr>
        <w:pStyle w:val="BodyText"/>
        <w:ind w:left="360"/>
        <w:jc w:val="both"/>
        <w:rPr>
          <w:rFonts w:ascii="Times New Roman" w:hAnsi="Times New Roman"/>
          <w:b/>
          <w:sz w:val="24"/>
          <w:lang w:val="fr-FR"/>
        </w:rPr>
      </w:pPr>
      <w:r w:rsidRPr="009C1A6A">
        <w:rPr>
          <w:rFonts w:ascii="Times New Roman" w:hAnsi="Times New Roman"/>
          <w:b/>
          <w:sz w:val="24"/>
          <w:lang w:val="fr-FR"/>
        </w:rPr>
        <w:lastRenderedPageBreak/>
        <w:t>iii) Une illustration narrative spécifique (Optionnel)</w:t>
      </w:r>
    </w:p>
    <w:p w:rsidR="00C22A9F" w:rsidRPr="00C22A9F" w:rsidRDefault="00C22A9F" w:rsidP="00C22A9F">
      <w:pPr>
        <w:pStyle w:val="BodyText"/>
        <w:jc w:val="both"/>
        <w:rPr>
          <w:rFonts w:ascii="Times New Roman" w:hAnsi="Times New Roman"/>
          <w:b/>
          <w:color w:val="FF0000"/>
          <w:sz w:val="24"/>
          <w:lang w:val="fr-FR"/>
        </w:rPr>
      </w:pPr>
    </w:p>
    <w:p w:rsidR="0072435E" w:rsidRPr="00F303C2" w:rsidRDefault="0072435E" w:rsidP="00F303C2">
      <w:pPr>
        <w:pStyle w:val="BodyText"/>
        <w:jc w:val="both"/>
        <w:rPr>
          <w:rFonts w:ascii="Times New Roman" w:hAnsi="Times New Roman"/>
          <w:sz w:val="24"/>
          <w:lang w:val="fr-FR"/>
        </w:rPr>
      </w:pPr>
    </w:p>
    <w:p w:rsidR="0072435E" w:rsidRDefault="0072435E" w:rsidP="00CD2CDC">
      <w:pPr>
        <w:pStyle w:val="BodyText"/>
        <w:rPr>
          <w:rFonts w:ascii="Times New Roman" w:hAnsi="Times New Roman"/>
          <w:sz w:val="24"/>
          <w:lang w:val="fr-FR"/>
        </w:rPr>
      </w:pPr>
    </w:p>
    <w:p w:rsidR="00C22A9F" w:rsidRPr="0072435E" w:rsidRDefault="00C22A9F" w:rsidP="00C22A9F">
      <w:pPr>
        <w:pStyle w:val="BodyText"/>
        <w:rPr>
          <w:rFonts w:ascii="Times New Roman" w:hAnsi="Times New Roman"/>
          <w:b/>
          <w:sz w:val="24"/>
          <w:lang w:val="fr-FR"/>
        </w:rPr>
      </w:pPr>
      <w:r w:rsidRPr="0072435E">
        <w:rPr>
          <w:rFonts w:ascii="Times New Roman" w:hAnsi="Times New Roman"/>
          <w:b/>
          <w:sz w:val="24"/>
          <w:lang w:val="fr-FR"/>
        </w:rPr>
        <w:t>II</w:t>
      </w:r>
      <w:r w:rsidR="0072435E" w:rsidRPr="0072435E">
        <w:rPr>
          <w:rFonts w:ascii="Times New Roman" w:hAnsi="Times New Roman"/>
          <w:b/>
          <w:sz w:val="24"/>
          <w:lang w:val="fr-FR"/>
        </w:rPr>
        <w:t>I.</w:t>
      </w:r>
      <w:r w:rsidR="0072435E" w:rsidRPr="0072435E">
        <w:rPr>
          <w:rFonts w:ascii="Times New Roman" w:hAnsi="Times New Roman"/>
          <w:b/>
          <w:sz w:val="24"/>
          <w:lang w:val="fr-FR"/>
        </w:rPr>
        <w:tab/>
        <w:t>Autres bilans ou évaluations</w:t>
      </w:r>
    </w:p>
    <w:p w:rsidR="0072435E" w:rsidRPr="004C14C0" w:rsidRDefault="0072435E" w:rsidP="0072435E">
      <w:pPr>
        <w:pStyle w:val="BodyText"/>
        <w:rPr>
          <w:rFonts w:ascii="Times New Roman" w:hAnsi="Times New Roman"/>
          <w:sz w:val="24"/>
          <w:lang w:val="fr-FR"/>
        </w:rPr>
      </w:pPr>
    </w:p>
    <w:p w:rsidR="004E511D" w:rsidRPr="00DF191D" w:rsidRDefault="0072435E" w:rsidP="0072435E">
      <w:pPr>
        <w:widowControl w:val="0"/>
        <w:tabs>
          <w:tab w:val="left" w:pos="180"/>
        </w:tabs>
        <w:jc w:val="both"/>
        <w:rPr>
          <w:lang w:val="fr-FR"/>
        </w:rPr>
      </w:pPr>
      <w:r w:rsidRPr="00DF191D">
        <w:rPr>
          <w:lang w:val="fr-FR"/>
        </w:rPr>
        <w:t>Tel que prévu dans les mécanismes de suivi et d’évaluation</w:t>
      </w:r>
      <w:r w:rsidR="004E511D" w:rsidRPr="00DF191D">
        <w:rPr>
          <w:lang w:val="fr-FR"/>
        </w:rPr>
        <w:t xml:space="preserve">, un dispositif d’évaluation a été mise en place dans le but de réaliser une évaluation itérative et finale du </w:t>
      </w:r>
      <w:r w:rsidR="007D2DAA" w:rsidRPr="00DF191D">
        <w:rPr>
          <w:lang w:val="fr-FR"/>
        </w:rPr>
        <w:t>Programme</w:t>
      </w:r>
      <w:r w:rsidR="004E511D" w:rsidRPr="00DF191D">
        <w:rPr>
          <w:lang w:val="fr-FR"/>
        </w:rPr>
        <w:t xml:space="preserve"> dans son ensemble. Cette évaluation annuelle et indépendante </w:t>
      </w:r>
      <w:r w:rsidR="009B6ABE" w:rsidRPr="00DF191D">
        <w:rPr>
          <w:lang w:val="fr-FR"/>
        </w:rPr>
        <w:t xml:space="preserve">a pour objectif mesurer son </w:t>
      </w:r>
      <w:r w:rsidR="004E511D" w:rsidRPr="00DF191D">
        <w:rPr>
          <w:lang w:val="fr-FR"/>
        </w:rPr>
        <w:t>impact</w:t>
      </w:r>
      <w:r w:rsidR="009B6ABE" w:rsidRPr="00DF191D">
        <w:rPr>
          <w:lang w:val="fr-FR"/>
        </w:rPr>
        <w:t xml:space="preserve">, </w:t>
      </w:r>
      <w:r w:rsidR="004E511D" w:rsidRPr="00DF191D">
        <w:rPr>
          <w:lang w:val="fr-FR"/>
        </w:rPr>
        <w:t xml:space="preserve">analyser </w:t>
      </w:r>
      <w:r w:rsidR="009B6ABE" w:rsidRPr="00DF191D">
        <w:rPr>
          <w:lang w:val="fr-FR"/>
        </w:rPr>
        <w:t>s</w:t>
      </w:r>
      <w:r w:rsidR="004E511D" w:rsidRPr="00DF191D">
        <w:rPr>
          <w:lang w:val="fr-FR"/>
        </w:rPr>
        <w:t xml:space="preserve">a pertinence </w:t>
      </w:r>
      <w:r w:rsidR="009B6ABE" w:rsidRPr="00DF191D">
        <w:rPr>
          <w:lang w:val="fr-FR"/>
        </w:rPr>
        <w:t>et</w:t>
      </w:r>
      <w:r w:rsidR="004E511D" w:rsidRPr="00DF191D">
        <w:rPr>
          <w:lang w:val="fr-FR"/>
        </w:rPr>
        <w:t xml:space="preserve"> </w:t>
      </w:r>
      <w:r w:rsidR="009B6ABE" w:rsidRPr="00DF191D">
        <w:rPr>
          <w:lang w:val="fr-FR"/>
        </w:rPr>
        <w:t>cohérence ainsi que s</w:t>
      </w:r>
      <w:r w:rsidR="004E511D" w:rsidRPr="00DF191D">
        <w:rPr>
          <w:lang w:val="fr-FR"/>
        </w:rPr>
        <w:t xml:space="preserve">a mise en œuvre </w:t>
      </w:r>
      <w:r w:rsidR="009B6ABE" w:rsidRPr="00DF191D">
        <w:rPr>
          <w:lang w:val="fr-FR"/>
        </w:rPr>
        <w:t xml:space="preserve">composante par composante, </w:t>
      </w:r>
      <w:r w:rsidR="004E511D" w:rsidRPr="00DF191D">
        <w:rPr>
          <w:lang w:val="fr-FR"/>
        </w:rPr>
        <w:t>et enfin de formuler des recom</w:t>
      </w:r>
      <w:r w:rsidR="009B6ABE" w:rsidRPr="00DF191D">
        <w:rPr>
          <w:lang w:val="fr-FR"/>
        </w:rPr>
        <w:t>mandations pour l’évolution de s</w:t>
      </w:r>
      <w:r w:rsidR="004E511D" w:rsidRPr="00DF191D">
        <w:rPr>
          <w:lang w:val="fr-FR"/>
        </w:rPr>
        <w:t>a mise en œuvre.</w:t>
      </w:r>
    </w:p>
    <w:p w:rsidR="004E511D" w:rsidRPr="000E01FF" w:rsidRDefault="004E511D" w:rsidP="0072435E">
      <w:pPr>
        <w:widowControl w:val="0"/>
        <w:tabs>
          <w:tab w:val="left" w:pos="180"/>
        </w:tabs>
        <w:jc w:val="both"/>
        <w:rPr>
          <w:lang w:val="fr-FR"/>
        </w:rPr>
      </w:pPr>
    </w:p>
    <w:p w:rsidR="00DF191D" w:rsidRPr="000E01FF" w:rsidRDefault="00DF191D" w:rsidP="000E01FF">
      <w:pPr>
        <w:pStyle w:val="BodyText"/>
        <w:jc w:val="both"/>
        <w:rPr>
          <w:rFonts w:ascii="Times New Roman" w:hAnsi="Times New Roman"/>
          <w:sz w:val="24"/>
          <w:lang w:val="fr-FR"/>
        </w:rPr>
      </w:pPr>
      <w:r w:rsidRPr="000E01FF">
        <w:rPr>
          <w:rFonts w:ascii="Times New Roman" w:hAnsi="Times New Roman"/>
          <w:sz w:val="24"/>
          <w:lang w:val="fr-FR"/>
        </w:rPr>
        <w:t>Au total trois sessions d’évaluation du programme ont été réalisées, la dernière datée de décembre 2014. Pendant leur mission de deux semaines, les évaluateurs ont interviewé les partenaires fondamentaux du programme</w:t>
      </w:r>
      <w:r w:rsidR="000E01FF" w:rsidRPr="000E01FF">
        <w:rPr>
          <w:rFonts w:ascii="Times New Roman" w:hAnsi="Times New Roman"/>
          <w:sz w:val="24"/>
          <w:lang w:val="fr-FR"/>
        </w:rPr>
        <w:t>, rendu visite à un échantillon des communes participantes, organisé un ‘focus group’ de bénéficiaires et rencontré les principales institutions el quelque operateurs impliqués dans le processus de reconstruction et la gestion et l’aménagement urbain et territorial. Les objectifs de l’évaluation étant fondamentalement l’a</w:t>
      </w:r>
      <w:r w:rsidRPr="000E01FF">
        <w:rPr>
          <w:rFonts w:ascii="Times New Roman" w:hAnsi="Times New Roman"/>
          <w:sz w:val="24"/>
          <w:lang w:val="fr-FR"/>
        </w:rPr>
        <w:t>nalyse de la performance</w:t>
      </w:r>
      <w:r w:rsidR="000E01FF" w:rsidRPr="000E01FF">
        <w:rPr>
          <w:rFonts w:ascii="Times New Roman" w:hAnsi="Times New Roman"/>
          <w:sz w:val="24"/>
          <w:lang w:val="fr-FR"/>
        </w:rPr>
        <w:t xml:space="preserve">, de la pertinence des adaptations faites, des conditions de pérennisation institutionnelle des résultats et de la pertinence et </w:t>
      </w:r>
      <w:proofErr w:type="spellStart"/>
      <w:r w:rsidR="000E01FF" w:rsidRPr="000E01FF">
        <w:rPr>
          <w:rFonts w:ascii="Times New Roman" w:hAnsi="Times New Roman"/>
          <w:sz w:val="24"/>
          <w:lang w:val="fr-FR"/>
        </w:rPr>
        <w:t>réplicabilité</w:t>
      </w:r>
      <w:proofErr w:type="spellEnd"/>
      <w:r w:rsidR="000E01FF" w:rsidRPr="000E01FF">
        <w:rPr>
          <w:rFonts w:ascii="Times New Roman" w:hAnsi="Times New Roman"/>
          <w:sz w:val="24"/>
          <w:lang w:val="fr-FR"/>
        </w:rPr>
        <w:t xml:space="preserve"> du mécanisme du programme.</w:t>
      </w:r>
    </w:p>
    <w:p w:rsidR="004C14C0" w:rsidRPr="000E01FF" w:rsidRDefault="004C14C0" w:rsidP="0072435E">
      <w:pPr>
        <w:widowControl w:val="0"/>
        <w:tabs>
          <w:tab w:val="left" w:pos="180"/>
        </w:tabs>
        <w:jc w:val="both"/>
        <w:rPr>
          <w:lang w:val="fr-FR"/>
        </w:rPr>
      </w:pPr>
    </w:p>
    <w:p w:rsidR="009B6ABE" w:rsidRPr="000E01FF" w:rsidRDefault="0072435E" w:rsidP="0072435E">
      <w:pPr>
        <w:pStyle w:val="BodyText"/>
        <w:tabs>
          <w:tab w:val="left" w:pos="180"/>
        </w:tabs>
        <w:jc w:val="both"/>
        <w:rPr>
          <w:rFonts w:ascii="Times New Roman" w:hAnsi="Times New Roman" w:cs="Times New Roman"/>
          <w:sz w:val="24"/>
          <w:szCs w:val="24"/>
          <w:lang w:val="fr-FR"/>
        </w:rPr>
      </w:pPr>
      <w:r w:rsidRPr="000E01FF">
        <w:rPr>
          <w:rFonts w:ascii="Times New Roman" w:hAnsi="Times New Roman" w:cs="Times New Roman"/>
          <w:sz w:val="24"/>
          <w:szCs w:val="24"/>
          <w:lang w:val="fr-FR"/>
        </w:rPr>
        <w:t xml:space="preserve">Cette visite d’évaluation a donné lieu à l’écriture d’un rapport qui sera partagé avec les partenaires du Programme </w:t>
      </w:r>
      <w:r w:rsidR="005E71B6">
        <w:rPr>
          <w:rFonts w:ascii="Times New Roman" w:hAnsi="Times New Roman" w:cs="Times New Roman"/>
          <w:sz w:val="24"/>
          <w:szCs w:val="24"/>
          <w:lang w:val="fr-FR"/>
        </w:rPr>
        <w:t>pendant le premier trimestre</w:t>
      </w:r>
      <w:r w:rsidR="00DF191D" w:rsidRPr="000E01FF">
        <w:rPr>
          <w:rFonts w:ascii="Times New Roman" w:hAnsi="Times New Roman" w:cs="Times New Roman"/>
          <w:sz w:val="24"/>
          <w:szCs w:val="24"/>
          <w:lang w:val="fr-FR"/>
        </w:rPr>
        <w:t xml:space="preserve"> de 2015</w:t>
      </w:r>
      <w:r w:rsidRPr="000E01FF">
        <w:rPr>
          <w:rFonts w:ascii="Times New Roman" w:hAnsi="Times New Roman" w:cs="Times New Roman"/>
          <w:sz w:val="24"/>
          <w:szCs w:val="24"/>
          <w:lang w:val="fr-FR"/>
        </w:rPr>
        <w:t>.</w:t>
      </w:r>
      <w:r w:rsidR="000E01FF" w:rsidRPr="000E01FF">
        <w:rPr>
          <w:rFonts w:ascii="Times New Roman" w:hAnsi="Times New Roman" w:cs="Times New Roman"/>
          <w:sz w:val="24"/>
          <w:szCs w:val="24"/>
          <w:lang w:val="fr-FR"/>
        </w:rPr>
        <w:t xml:space="preserve"> </w:t>
      </w:r>
    </w:p>
    <w:p w:rsidR="000E01FF" w:rsidRPr="000E01FF" w:rsidRDefault="000E01FF" w:rsidP="0072435E">
      <w:pPr>
        <w:pStyle w:val="BodyText"/>
        <w:tabs>
          <w:tab w:val="left" w:pos="180"/>
        </w:tabs>
        <w:jc w:val="both"/>
        <w:rPr>
          <w:rFonts w:ascii="Times New Roman" w:hAnsi="Times New Roman" w:cs="Times New Roman"/>
          <w:sz w:val="24"/>
          <w:szCs w:val="24"/>
          <w:lang w:val="fr-FR"/>
        </w:rPr>
      </w:pPr>
    </w:p>
    <w:p w:rsidR="009B6ABE" w:rsidRPr="000E01FF" w:rsidRDefault="009B6ABE" w:rsidP="0072435E">
      <w:pPr>
        <w:pStyle w:val="BodyText"/>
        <w:tabs>
          <w:tab w:val="left" w:pos="180"/>
        </w:tabs>
        <w:jc w:val="both"/>
        <w:rPr>
          <w:rFonts w:ascii="Times New Roman" w:hAnsi="Times New Roman" w:cs="Times New Roman"/>
          <w:sz w:val="24"/>
          <w:szCs w:val="24"/>
          <w:lang w:val="fr-FR"/>
        </w:rPr>
      </w:pPr>
      <w:r w:rsidRPr="000E01FF">
        <w:rPr>
          <w:rFonts w:ascii="Times New Roman" w:hAnsi="Times New Roman" w:cs="Times New Roman"/>
          <w:sz w:val="24"/>
          <w:szCs w:val="24"/>
          <w:lang w:val="fr-FR"/>
        </w:rPr>
        <w:t xml:space="preserve">Les recommandations de la </w:t>
      </w:r>
      <w:r w:rsidR="000E01FF" w:rsidRPr="000E01FF">
        <w:rPr>
          <w:rFonts w:ascii="Times New Roman" w:hAnsi="Times New Roman" w:cs="Times New Roman"/>
          <w:sz w:val="24"/>
          <w:szCs w:val="24"/>
          <w:lang w:val="fr-FR"/>
        </w:rPr>
        <w:t>deuxième</w:t>
      </w:r>
      <w:r w:rsidRPr="000E01FF">
        <w:rPr>
          <w:rFonts w:ascii="Times New Roman" w:hAnsi="Times New Roman" w:cs="Times New Roman"/>
          <w:sz w:val="24"/>
          <w:szCs w:val="24"/>
          <w:lang w:val="fr-FR"/>
        </w:rPr>
        <w:t xml:space="preserve"> phase d’évaluation, réalisée pendant le dernier trimestre de 201</w:t>
      </w:r>
      <w:r w:rsidR="000E01FF" w:rsidRPr="000E01FF">
        <w:rPr>
          <w:rFonts w:ascii="Times New Roman" w:hAnsi="Times New Roman" w:cs="Times New Roman"/>
          <w:sz w:val="24"/>
          <w:szCs w:val="24"/>
          <w:lang w:val="fr-FR"/>
        </w:rPr>
        <w:t>3</w:t>
      </w:r>
      <w:r w:rsidRPr="000E01FF">
        <w:rPr>
          <w:rFonts w:ascii="Times New Roman" w:hAnsi="Times New Roman" w:cs="Times New Roman"/>
          <w:sz w:val="24"/>
          <w:szCs w:val="24"/>
          <w:lang w:val="fr-FR"/>
        </w:rPr>
        <w:t>, ont été étudiées et prises en compte</w:t>
      </w:r>
      <w:r w:rsidR="00AB1189" w:rsidRPr="000E01FF">
        <w:rPr>
          <w:rFonts w:ascii="Times New Roman" w:hAnsi="Times New Roman" w:cs="Times New Roman"/>
          <w:sz w:val="24"/>
          <w:szCs w:val="24"/>
          <w:lang w:val="fr-FR"/>
        </w:rPr>
        <w:t xml:space="preserve"> pour leur incorporation aux interventions</w:t>
      </w:r>
      <w:r w:rsidRPr="000E01FF">
        <w:rPr>
          <w:rFonts w:ascii="Times New Roman" w:hAnsi="Times New Roman" w:cs="Times New Roman"/>
          <w:sz w:val="24"/>
          <w:szCs w:val="24"/>
          <w:lang w:val="fr-FR"/>
        </w:rPr>
        <w:t xml:space="preserve"> lors des réunions des comités de coordination des composantes et </w:t>
      </w:r>
      <w:r w:rsidR="00AB1189" w:rsidRPr="000E01FF">
        <w:rPr>
          <w:rFonts w:ascii="Times New Roman" w:hAnsi="Times New Roman" w:cs="Times New Roman"/>
          <w:sz w:val="24"/>
          <w:szCs w:val="24"/>
          <w:lang w:val="fr-FR"/>
        </w:rPr>
        <w:t xml:space="preserve">ultérieurement </w:t>
      </w:r>
      <w:r w:rsidRPr="000E01FF">
        <w:rPr>
          <w:rFonts w:ascii="Times New Roman" w:hAnsi="Times New Roman" w:cs="Times New Roman"/>
          <w:sz w:val="24"/>
          <w:szCs w:val="24"/>
          <w:lang w:val="fr-FR"/>
        </w:rPr>
        <w:t xml:space="preserve">du </w:t>
      </w:r>
      <w:r w:rsidR="00AB1189" w:rsidRPr="000E01FF">
        <w:rPr>
          <w:rFonts w:ascii="Times New Roman" w:hAnsi="Times New Roman" w:cs="Times New Roman"/>
          <w:sz w:val="24"/>
          <w:szCs w:val="24"/>
          <w:lang w:val="fr-FR"/>
        </w:rPr>
        <w:t>comité</w:t>
      </w:r>
      <w:r w:rsidRPr="000E01FF">
        <w:rPr>
          <w:rFonts w:ascii="Times New Roman" w:hAnsi="Times New Roman" w:cs="Times New Roman"/>
          <w:sz w:val="24"/>
          <w:szCs w:val="24"/>
          <w:lang w:val="fr-FR"/>
        </w:rPr>
        <w:t xml:space="preserve"> </w:t>
      </w:r>
      <w:r w:rsidR="00AB1189" w:rsidRPr="000E01FF">
        <w:rPr>
          <w:rFonts w:ascii="Times New Roman" w:hAnsi="Times New Roman" w:cs="Times New Roman"/>
          <w:sz w:val="24"/>
          <w:szCs w:val="24"/>
          <w:lang w:val="fr-FR"/>
        </w:rPr>
        <w:t xml:space="preserve">national </w:t>
      </w:r>
      <w:r w:rsidRPr="000E01FF">
        <w:rPr>
          <w:rFonts w:ascii="Times New Roman" w:hAnsi="Times New Roman" w:cs="Times New Roman"/>
          <w:sz w:val="24"/>
          <w:szCs w:val="24"/>
          <w:lang w:val="fr-FR"/>
        </w:rPr>
        <w:t>de pilotage</w:t>
      </w:r>
      <w:r w:rsidR="00AB1189" w:rsidRPr="000E01FF">
        <w:rPr>
          <w:rFonts w:ascii="Times New Roman" w:hAnsi="Times New Roman" w:cs="Times New Roman"/>
          <w:sz w:val="24"/>
          <w:szCs w:val="24"/>
          <w:lang w:val="fr-FR"/>
        </w:rPr>
        <w:t xml:space="preserve"> tenues pendant 201</w:t>
      </w:r>
      <w:r w:rsidR="000E01FF" w:rsidRPr="000E01FF">
        <w:rPr>
          <w:rFonts w:ascii="Times New Roman" w:hAnsi="Times New Roman" w:cs="Times New Roman"/>
          <w:sz w:val="24"/>
          <w:szCs w:val="24"/>
          <w:lang w:val="fr-FR"/>
        </w:rPr>
        <w:t>4</w:t>
      </w:r>
      <w:r w:rsidR="00AB1189" w:rsidRPr="000E01FF">
        <w:rPr>
          <w:rFonts w:ascii="Times New Roman" w:hAnsi="Times New Roman" w:cs="Times New Roman"/>
          <w:sz w:val="24"/>
          <w:szCs w:val="24"/>
          <w:lang w:val="fr-FR"/>
        </w:rPr>
        <w:t>.</w:t>
      </w:r>
    </w:p>
    <w:p w:rsidR="0072435E" w:rsidRDefault="0072435E" w:rsidP="0072435E">
      <w:pPr>
        <w:pStyle w:val="BodyText"/>
        <w:rPr>
          <w:rFonts w:ascii="Times New Roman" w:hAnsi="Times New Roman"/>
          <w:color w:val="FF0000"/>
          <w:sz w:val="24"/>
          <w:lang w:val="fr-FR"/>
        </w:rPr>
      </w:pPr>
    </w:p>
    <w:p w:rsidR="00DF191D" w:rsidRPr="00C22A9F" w:rsidRDefault="00DF191D" w:rsidP="0072435E">
      <w:pPr>
        <w:pStyle w:val="BodyText"/>
        <w:rPr>
          <w:rFonts w:ascii="Times New Roman" w:hAnsi="Times New Roman"/>
          <w:color w:val="FF0000"/>
          <w:sz w:val="24"/>
          <w:lang w:val="fr-FR"/>
        </w:rPr>
      </w:pPr>
    </w:p>
    <w:p w:rsidR="00C22A9F" w:rsidRDefault="00C22A9F" w:rsidP="003E2682">
      <w:pPr>
        <w:pStyle w:val="BodyText"/>
        <w:jc w:val="both"/>
        <w:rPr>
          <w:rFonts w:ascii="Times New Roman" w:hAnsi="Times New Roman"/>
          <w:b/>
          <w:sz w:val="24"/>
          <w:lang w:val="fr-FR"/>
        </w:rPr>
      </w:pPr>
    </w:p>
    <w:p w:rsidR="003E2682" w:rsidRPr="00BA0822" w:rsidRDefault="003E2682" w:rsidP="003E2682">
      <w:pPr>
        <w:pStyle w:val="BodyText"/>
        <w:jc w:val="both"/>
        <w:rPr>
          <w:rFonts w:ascii="Times New Roman" w:hAnsi="Times New Roman"/>
          <w:b/>
          <w:sz w:val="24"/>
          <w:lang w:val="fr-FR"/>
        </w:rPr>
      </w:pPr>
      <w:r>
        <w:rPr>
          <w:rFonts w:ascii="Times New Roman" w:hAnsi="Times New Roman"/>
          <w:b/>
          <w:sz w:val="24"/>
          <w:lang w:val="fr-FR"/>
        </w:rPr>
        <w:t>IV.</w:t>
      </w:r>
      <w:r>
        <w:rPr>
          <w:rFonts w:ascii="Times New Roman" w:hAnsi="Times New Roman"/>
          <w:b/>
          <w:sz w:val="24"/>
          <w:lang w:val="fr-FR"/>
        </w:rPr>
        <w:tab/>
      </w:r>
      <w:r w:rsidRPr="00BA0822">
        <w:rPr>
          <w:rFonts w:ascii="Times New Roman" w:hAnsi="Times New Roman"/>
          <w:b/>
          <w:sz w:val="24"/>
          <w:lang w:val="fr-FR"/>
        </w:rPr>
        <w:t>Révisions programmatiques (le cas échéant)</w:t>
      </w:r>
    </w:p>
    <w:p w:rsidR="003F17CA" w:rsidRDefault="003F17CA" w:rsidP="0004702D">
      <w:pPr>
        <w:pStyle w:val="BodyText"/>
        <w:tabs>
          <w:tab w:val="left" w:pos="180"/>
        </w:tabs>
        <w:ind w:left="180"/>
        <w:jc w:val="both"/>
        <w:rPr>
          <w:rStyle w:val="hps"/>
          <w:rFonts w:ascii="Times New Roman" w:hAnsi="Times New Roman"/>
          <w:b/>
          <w:sz w:val="24"/>
          <w:szCs w:val="24"/>
          <w:lang w:val="fr-FR"/>
        </w:rPr>
      </w:pPr>
    </w:p>
    <w:p w:rsidR="003E2682" w:rsidRDefault="00BF5029" w:rsidP="00BF5029">
      <w:pPr>
        <w:pStyle w:val="BodyText"/>
        <w:tabs>
          <w:tab w:val="left" w:pos="0"/>
        </w:tabs>
        <w:jc w:val="both"/>
        <w:rPr>
          <w:rFonts w:ascii="Times New Roman" w:hAnsi="Times New Roman"/>
          <w:sz w:val="24"/>
          <w:lang w:val="fr-FR"/>
        </w:rPr>
      </w:pPr>
      <w:r>
        <w:rPr>
          <w:rStyle w:val="hps"/>
          <w:rFonts w:ascii="Times New Roman" w:hAnsi="Times New Roman"/>
          <w:sz w:val="24"/>
          <w:szCs w:val="24"/>
          <w:lang w:val="fr-FR"/>
        </w:rPr>
        <w:t xml:space="preserve">Une demande d’extension de la durée du Programme de neuf mois a été a été soumisse et </w:t>
      </w:r>
      <w:r w:rsidR="005E71B6">
        <w:rPr>
          <w:rStyle w:val="hps"/>
          <w:rFonts w:ascii="Times New Roman" w:hAnsi="Times New Roman"/>
          <w:sz w:val="24"/>
          <w:szCs w:val="24"/>
          <w:lang w:val="fr-FR"/>
        </w:rPr>
        <w:t>approuvée</w:t>
      </w:r>
      <w:r>
        <w:rPr>
          <w:rStyle w:val="hps"/>
          <w:rFonts w:ascii="Times New Roman" w:hAnsi="Times New Roman"/>
          <w:sz w:val="24"/>
          <w:szCs w:val="24"/>
          <w:lang w:val="fr-FR"/>
        </w:rPr>
        <w:t xml:space="preserve"> par le Comité de Pilotage du FRH pour trois composantes, la composante 1 ayant pris </w:t>
      </w:r>
      <w:r w:rsidR="00AF0E0E" w:rsidRPr="00AF0E0E">
        <w:rPr>
          <w:rFonts w:ascii="Times New Roman" w:hAnsi="Times New Roman"/>
          <w:sz w:val="24"/>
          <w:lang w:val="fr-FR"/>
        </w:rPr>
        <w:t xml:space="preserve">fin </w:t>
      </w:r>
      <w:r w:rsidR="004E021D">
        <w:rPr>
          <w:rFonts w:ascii="Times New Roman" w:hAnsi="Times New Roman"/>
          <w:sz w:val="24"/>
          <w:lang w:val="fr-FR"/>
        </w:rPr>
        <w:t>le 31 décembre</w:t>
      </w:r>
      <w:r w:rsidR="00AF0E0E" w:rsidRPr="00AF0E0E">
        <w:rPr>
          <w:rFonts w:ascii="Times New Roman" w:hAnsi="Times New Roman"/>
          <w:sz w:val="24"/>
          <w:lang w:val="fr-FR"/>
        </w:rPr>
        <w:t xml:space="preserve"> 2013</w:t>
      </w:r>
      <w:r w:rsidR="00AB1189">
        <w:rPr>
          <w:rFonts w:ascii="Times New Roman" w:hAnsi="Times New Roman"/>
          <w:sz w:val="24"/>
          <w:lang w:val="fr-FR"/>
        </w:rPr>
        <w:t>.</w:t>
      </w:r>
      <w:r>
        <w:rPr>
          <w:rFonts w:ascii="Times New Roman" w:hAnsi="Times New Roman"/>
          <w:sz w:val="24"/>
          <w:lang w:val="fr-FR"/>
        </w:rPr>
        <w:t xml:space="preserve"> Cette demande d’extension a été accompagné une demande de réallocation des fonds pour de budgets </w:t>
      </w:r>
      <w:r w:rsidR="005E71B6">
        <w:rPr>
          <w:rFonts w:ascii="Times New Roman" w:hAnsi="Times New Roman"/>
          <w:sz w:val="24"/>
          <w:lang w:val="fr-FR"/>
        </w:rPr>
        <w:t>alloués</w:t>
      </w:r>
      <w:r>
        <w:rPr>
          <w:rFonts w:ascii="Times New Roman" w:hAnsi="Times New Roman"/>
          <w:sz w:val="24"/>
          <w:lang w:val="fr-FR"/>
        </w:rPr>
        <w:t xml:space="preserve"> a ONU-Habitat et le PNUD qui ne dépassait pas le 20% du total de leur allocations.</w:t>
      </w:r>
    </w:p>
    <w:p w:rsidR="00BF5029" w:rsidRDefault="00BF5029" w:rsidP="00BF5029">
      <w:pPr>
        <w:pStyle w:val="BodyText"/>
        <w:tabs>
          <w:tab w:val="left" w:pos="0"/>
        </w:tabs>
        <w:jc w:val="both"/>
        <w:rPr>
          <w:rFonts w:ascii="Times New Roman" w:hAnsi="Times New Roman"/>
          <w:sz w:val="24"/>
          <w:lang w:val="fr-FR"/>
        </w:rPr>
      </w:pPr>
    </w:p>
    <w:p w:rsidR="00BF5029" w:rsidRDefault="00BF5029" w:rsidP="00BF5029">
      <w:pPr>
        <w:pStyle w:val="BodyText"/>
        <w:tabs>
          <w:tab w:val="left" w:pos="0"/>
        </w:tabs>
        <w:jc w:val="both"/>
        <w:rPr>
          <w:rFonts w:ascii="Times New Roman" w:hAnsi="Times New Roman"/>
          <w:sz w:val="24"/>
          <w:lang w:val="fr-FR"/>
        </w:rPr>
      </w:pPr>
      <w:r>
        <w:rPr>
          <w:rFonts w:ascii="Times New Roman" w:hAnsi="Times New Roman"/>
          <w:sz w:val="24"/>
          <w:lang w:val="fr-FR"/>
        </w:rPr>
        <w:t>La nouvelle date de finalisation du Programme est alors le 30 avril 2015.</w:t>
      </w:r>
    </w:p>
    <w:p w:rsidR="00BF5029" w:rsidRDefault="00BF5029" w:rsidP="00BF5029">
      <w:pPr>
        <w:pStyle w:val="BodyText"/>
        <w:tabs>
          <w:tab w:val="left" w:pos="0"/>
        </w:tabs>
        <w:jc w:val="both"/>
        <w:rPr>
          <w:rFonts w:ascii="Times New Roman" w:hAnsi="Times New Roman"/>
          <w:sz w:val="24"/>
          <w:lang w:val="fr-FR"/>
        </w:rPr>
      </w:pPr>
    </w:p>
    <w:p w:rsidR="00BF5029" w:rsidRPr="00BF5029" w:rsidRDefault="00BF5029" w:rsidP="00BF5029">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D’autre part le Comité National de Pilotage du Programme a approuvé la proposition de révision de certains indicateurs du cadre logiques qui n’affecte pas à la portée de ses objectifs </w:t>
      </w:r>
      <w:r w:rsidR="005E71B6">
        <w:rPr>
          <w:rFonts w:ascii="Times New Roman" w:hAnsi="Times New Roman" w:cs="Times New Roman"/>
          <w:sz w:val="24"/>
          <w:szCs w:val="24"/>
          <w:lang w:val="fr-FR"/>
        </w:rPr>
        <w:t>ni de ses</w:t>
      </w:r>
      <w:r>
        <w:rPr>
          <w:rFonts w:ascii="Times New Roman" w:hAnsi="Times New Roman" w:cs="Times New Roman"/>
          <w:sz w:val="24"/>
          <w:szCs w:val="24"/>
          <w:lang w:val="fr-FR"/>
        </w:rPr>
        <w:t xml:space="preserve"> </w:t>
      </w:r>
      <w:r w:rsidR="005E71B6">
        <w:rPr>
          <w:rFonts w:ascii="Times New Roman" w:hAnsi="Times New Roman" w:cs="Times New Roman"/>
          <w:sz w:val="24"/>
          <w:szCs w:val="24"/>
          <w:lang w:val="fr-FR"/>
        </w:rPr>
        <w:t>résultats</w:t>
      </w:r>
      <w:r>
        <w:rPr>
          <w:rFonts w:ascii="Times New Roman" w:hAnsi="Times New Roman" w:cs="Times New Roman"/>
          <w:sz w:val="24"/>
          <w:szCs w:val="24"/>
          <w:lang w:val="fr-FR"/>
        </w:rPr>
        <w:t>.</w:t>
      </w:r>
    </w:p>
    <w:p w:rsidR="000E1B6F" w:rsidRDefault="000E1B6F" w:rsidP="003E2682">
      <w:pPr>
        <w:pStyle w:val="BodyText"/>
        <w:jc w:val="both"/>
        <w:rPr>
          <w:rFonts w:ascii="Times New Roman" w:hAnsi="Times New Roman"/>
          <w:sz w:val="24"/>
          <w:lang w:val="fr-FR"/>
        </w:rPr>
      </w:pPr>
    </w:p>
    <w:p w:rsidR="002C013C" w:rsidRDefault="002C013C" w:rsidP="003E2682">
      <w:pPr>
        <w:pStyle w:val="BodyText"/>
        <w:jc w:val="both"/>
        <w:rPr>
          <w:rFonts w:ascii="Times New Roman" w:hAnsi="Times New Roman"/>
          <w:sz w:val="24"/>
          <w:lang w:val="fr-FR"/>
        </w:rPr>
      </w:pPr>
    </w:p>
    <w:p w:rsidR="00C77D8F" w:rsidRPr="00E3532D" w:rsidRDefault="00C77D8F" w:rsidP="003E2682">
      <w:pPr>
        <w:pStyle w:val="BodyText"/>
        <w:jc w:val="both"/>
        <w:rPr>
          <w:rFonts w:ascii="Times New Roman" w:hAnsi="Times New Roman"/>
          <w:sz w:val="24"/>
          <w:lang w:val="fr-FR"/>
        </w:rPr>
      </w:pPr>
    </w:p>
    <w:p w:rsidR="003E2682" w:rsidRDefault="003E2682" w:rsidP="003E2682">
      <w:pPr>
        <w:pStyle w:val="BodyText"/>
        <w:rPr>
          <w:rFonts w:ascii="Times New Roman" w:hAnsi="Times New Roman"/>
          <w:b/>
          <w:sz w:val="24"/>
          <w:lang w:val="fr-FR"/>
        </w:rPr>
      </w:pPr>
      <w:r w:rsidRPr="00E3532D">
        <w:rPr>
          <w:rFonts w:ascii="Times New Roman" w:hAnsi="Times New Roman"/>
          <w:b/>
          <w:sz w:val="24"/>
          <w:lang w:val="fr-FR"/>
        </w:rPr>
        <w:t xml:space="preserve">V. </w:t>
      </w:r>
      <w:r w:rsidRPr="00E3532D">
        <w:rPr>
          <w:rFonts w:ascii="Times New Roman" w:hAnsi="Times New Roman"/>
          <w:b/>
          <w:sz w:val="24"/>
          <w:lang w:val="fr-FR"/>
        </w:rPr>
        <w:tab/>
        <w:t>Res</w:t>
      </w:r>
      <w:r>
        <w:rPr>
          <w:rFonts w:ascii="Times New Roman" w:hAnsi="Times New Roman"/>
          <w:b/>
          <w:sz w:val="24"/>
          <w:lang w:val="fr-FR"/>
        </w:rPr>
        <w:t>sources (Optionne</w:t>
      </w:r>
      <w:r w:rsidRPr="00E3532D">
        <w:rPr>
          <w:rFonts w:ascii="Times New Roman" w:hAnsi="Times New Roman"/>
          <w:b/>
          <w:sz w:val="24"/>
          <w:lang w:val="fr-FR"/>
        </w:rPr>
        <w:t>l)</w:t>
      </w:r>
    </w:p>
    <w:p w:rsidR="003E2682" w:rsidRDefault="003E2682" w:rsidP="003E2682">
      <w:pPr>
        <w:pStyle w:val="BodyText"/>
        <w:ind w:firstLine="360"/>
        <w:rPr>
          <w:rFonts w:ascii="Times New Roman" w:hAnsi="Times New Roman"/>
          <w:sz w:val="24"/>
          <w:lang w:val="fr-FR"/>
        </w:rPr>
      </w:pPr>
    </w:p>
    <w:p w:rsidR="003504E1" w:rsidRPr="00AF0E0E" w:rsidRDefault="003504E1" w:rsidP="00EA455F">
      <w:pPr>
        <w:pStyle w:val="BodyText2"/>
        <w:tabs>
          <w:tab w:val="left" w:pos="270"/>
        </w:tabs>
        <w:rPr>
          <w:rFonts w:ascii="Times New Roman" w:hAnsi="Times New Roman" w:cs="Times New Roman"/>
          <w:b/>
          <w:sz w:val="24"/>
          <w:szCs w:val="24"/>
          <w:u w:val="single"/>
          <w:lang w:val="fr-FR"/>
        </w:rPr>
      </w:pPr>
      <w:r w:rsidRPr="00AF0E0E">
        <w:rPr>
          <w:rFonts w:ascii="Times New Roman" w:hAnsi="Times New Roman" w:cs="Times New Roman"/>
          <w:b/>
          <w:sz w:val="24"/>
          <w:szCs w:val="24"/>
          <w:u w:val="single"/>
          <w:lang w:val="fr-FR"/>
        </w:rPr>
        <w:t>Composante 1</w:t>
      </w:r>
    </w:p>
    <w:p w:rsidR="00AF0E0E" w:rsidRDefault="00AF0E0E" w:rsidP="00D25173">
      <w:pPr>
        <w:tabs>
          <w:tab w:val="left" w:pos="180"/>
        </w:tabs>
        <w:jc w:val="both"/>
        <w:rPr>
          <w:b/>
          <w:lang w:val="fr-FR"/>
        </w:rPr>
      </w:pPr>
    </w:p>
    <w:p w:rsidR="00501027" w:rsidRDefault="00501027" w:rsidP="00901BEB">
      <w:pPr>
        <w:tabs>
          <w:tab w:val="left" w:pos="0"/>
        </w:tabs>
        <w:jc w:val="both"/>
        <w:rPr>
          <w:b/>
          <w:u w:val="single"/>
          <w:lang w:val="fr-FR"/>
        </w:rPr>
      </w:pPr>
      <w:r>
        <w:rPr>
          <w:b/>
          <w:u w:val="single"/>
          <w:lang w:val="fr-FR"/>
        </w:rPr>
        <w:t>Composante 2</w:t>
      </w:r>
    </w:p>
    <w:p w:rsidR="00501027" w:rsidRDefault="00501027" w:rsidP="00901BEB">
      <w:pPr>
        <w:tabs>
          <w:tab w:val="left" w:pos="0"/>
        </w:tabs>
        <w:jc w:val="both"/>
        <w:rPr>
          <w:b/>
          <w:u w:val="single"/>
          <w:lang w:val="fr-FR"/>
        </w:rPr>
      </w:pPr>
    </w:p>
    <w:p w:rsidR="00501027" w:rsidRDefault="00501027" w:rsidP="00901BEB">
      <w:pPr>
        <w:tabs>
          <w:tab w:val="left" w:pos="0"/>
        </w:tabs>
        <w:jc w:val="both"/>
        <w:rPr>
          <w:b/>
          <w:u w:val="single"/>
          <w:lang w:val="fr-FR"/>
        </w:rPr>
      </w:pPr>
    </w:p>
    <w:p w:rsidR="00C77D8F" w:rsidRPr="00AF0E0E" w:rsidRDefault="00C77D8F" w:rsidP="00901BEB">
      <w:pPr>
        <w:tabs>
          <w:tab w:val="left" w:pos="0"/>
        </w:tabs>
        <w:jc w:val="both"/>
        <w:rPr>
          <w:b/>
          <w:u w:val="single"/>
          <w:lang w:val="fr-FR"/>
        </w:rPr>
      </w:pPr>
      <w:r w:rsidRPr="00AF0E0E">
        <w:rPr>
          <w:b/>
          <w:u w:val="single"/>
          <w:lang w:val="fr-FR"/>
        </w:rPr>
        <w:t>Composante 3</w:t>
      </w:r>
    </w:p>
    <w:p w:rsidR="002C013C" w:rsidRDefault="002C013C" w:rsidP="00AF7AC6">
      <w:pPr>
        <w:pStyle w:val="BodyText2"/>
        <w:tabs>
          <w:tab w:val="left" w:pos="180"/>
        </w:tabs>
        <w:rPr>
          <w:rFonts w:ascii="Times New Roman" w:hAnsi="Times New Roman" w:cs="Times New Roman"/>
          <w:sz w:val="24"/>
          <w:szCs w:val="24"/>
          <w:lang w:val="fr-FR"/>
        </w:rPr>
      </w:pPr>
    </w:p>
    <w:p w:rsidR="000E01FF" w:rsidRPr="00AF0E0E" w:rsidRDefault="000E01FF" w:rsidP="000E01FF">
      <w:pPr>
        <w:pStyle w:val="BodyText"/>
        <w:tabs>
          <w:tab w:val="left" w:pos="0"/>
        </w:tabs>
        <w:rPr>
          <w:rFonts w:ascii="Times New Roman" w:hAnsi="Times New Roman" w:cs="Times New Roman"/>
          <w:b/>
          <w:bCs/>
          <w:sz w:val="24"/>
          <w:szCs w:val="24"/>
          <w:u w:val="single"/>
          <w:lang w:val="fr-FR"/>
        </w:rPr>
      </w:pPr>
      <w:r w:rsidRPr="00AF0E0E">
        <w:rPr>
          <w:rFonts w:ascii="Times New Roman" w:hAnsi="Times New Roman" w:cs="Times New Roman"/>
          <w:b/>
          <w:bCs/>
          <w:sz w:val="24"/>
          <w:szCs w:val="24"/>
          <w:u w:val="single"/>
          <w:lang w:val="fr-FR"/>
        </w:rPr>
        <w:t>Composante 4</w:t>
      </w:r>
    </w:p>
    <w:p w:rsidR="000E01FF" w:rsidRDefault="000E01FF" w:rsidP="000E01FF">
      <w:pPr>
        <w:pStyle w:val="BodyText"/>
        <w:tabs>
          <w:tab w:val="left" w:pos="0"/>
        </w:tabs>
        <w:rPr>
          <w:rFonts w:ascii="Times New Roman" w:hAnsi="Times New Roman" w:cs="Times New Roman"/>
          <w:b/>
          <w:bCs/>
          <w:sz w:val="24"/>
          <w:szCs w:val="24"/>
          <w:lang w:val="fr-FR"/>
        </w:rPr>
      </w:pPr>
    </w:p>
    <w:p w:rsidR="000E01FF" w:rsidRDefault="000E01FF" w:rsidP="000E01FF">
      <w:pPr>
        <w:pStyle w:val="BodyText2"/>
        <w:tabs>
          <w:tab w:val="left" w:pos="180"/>
        </w:tabs>
        <w:rPr>
          <w:rFonts w:ascii="Times New Roman" w:hAnsi="Times New Roman" w:cs="Times New Roman"/>
          <w:sz w:val="24"/>
          <w:szCs w:val="24"/>
          <w:lang w:val="fr-FR"/>
        </w:rPr>
      </w:pPr>
      <w:r>
        <w:rPr>
          <w:rFonts w:ascii="Times New Roman" w:hAnsi="Times New Roman" w:cs="Times New Roman"/>
          <w:sz w:val="24"/>
          <w:szCs w:val="24"/>
          <w:lang w:val="fr-FR"/>
        </w:rPr>
        <w:t>Le PNUD a alloué à l’exécution du programme des ressources supplémentaires totalisant 280,000 USD pour l’année 2014</w:t>
      </w:r>
    </w:p>
    <w:p w:rsidR="00AB1189" w:rsidRDefault="00AB1189" w:rsidP="00AF7AC6">
      <w:pPr>
        <w:pStyle w:val="BodyText2"/>
        <w:tabs>
          <w:tab w:val="left" w:pos="180"/>
        </w:tabs>
        <w:rPr>
          <w:rFonts w:ascii="Times New Roman" w:hAnsi="Times New Roman" w:cs="Times New Roman"/>
          <w:sz w:val="24"/>
          <w:szCs w:val="24"/>
          <w:lang w:val="fr-FR"/>
        </w:rPr>
      </w:pPr>
    </w:p>
    <w:p w:rsidR="000E01FF" w:rsidRDefault="000E01FF" w:rsidP="00AF7AC6">
      <w:pPr>
        <w:pStyle w:val="BodyText2"/>
        <w:tabs>
          <w:tab w:val="left" w:pos="180"/>
        </w:tabs>
        <w:rPr>
          <w:rFonts w:ascii="Times New Roman" w:hAnsi="Times New Roman" w:cs="Times New Roman"/>
          <w:sz w:val="24"/>
          <w:szCs w:val="24"/>
          <w:lang w:val="fr-FR"/>
        </w:rPr>
      </w:pPr>
    </w:p>
    <w:p w:rsidR="000E01FF" w:rsidRDefault="000E01FF"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544CD9" w:rsidRPr="00544CD9" w:rsidRDefault="00544CD9" w:rsidP="00AF7AC6">
      <w:pPr>
        <w:pStyle w:val="BodyText2"/>
        <w:tabs>
          <w:tab w:val="left" w:pos="180"/>
        </w:tabs>
        <w:rPr>
          <w:rFonts w:ascii="Times New Roman" w:hAnsi="Times New Roman" w:cs="Times New Roman"/>
          <w:b/>
          <w:sz w:val="24"/>
          <w:szCs w:val="24"/>
          <w:lang w:val="fr-FR"/>
        </w:rPr>
      </w:pPr>
      <w:r w:rsidRPr="00544CD9">
        <w:rPr>
          <w:rFonts w:ascii="Times New Roman" w:hAnsi="Times New Roman" w:cs="Times New Roman"/>
          <w:b/>
          <w:sz w:val="24"/>
          <w:szCs w:val="24"/>
          <w:lang w:val="fr-FR"/>
        </w:rPr>
        <w:t>Glossaire</w:t>
      </w:r>
    </w:p>
    <w:p w:rsidR="00544CD9" w:rsidRDefault="00544CD9" w:rsidP="00AF7AC6">
      <w:pPr>
        <w:pStyle w:val="BodyText2"/>
        <w:tabs>
          <w:tab w:val="left" w:pos="180"/>
        </w:tabs>
        <w:rPr>
          <w:rFonts w:ascii="Times New Roman" w:hAnsi="Times New Roman" w:cs="Times New Roman"/>
          <w:sz w:val="24"/>
          <w:szCs w:val="24"/>
          <w:lang w:val="fr-FR"/>
        </w:rPr>
      </w:pPr>
    </w:p>
    <w:p w:rsidR="00544CD9" w:rsidRPr="0008056E" w:rsidRDefault="00544CD9" w:rsidP="00544CD9">
      <w:pPr>
        <w:rPr>
          <w:lang w:val="fr-FR"/>
        </w:rPr>
      </w:pPr>
      <w:r w:rsidRPr="0008056E">
        <w:rPr>
          <w:lang w:val="fr-FR"/>
        </w:rPr>
        <w:t>AFD</w:t>
      </w:r>
      <w:r w:rsidRPr="0008056E">
        <w:rPr>
          <w:lang w:val="fr-FR"/>
        </w:rPr>
        <w:tab/>
      </w:r>
      <w:r w:rsidRPr="0008056E">
        <w:rPr>
          <w:lang w:val="fr-FR"/>
        </w:rPr>
        <w:tab/>
        <w:t>Agence Française</w:t>
      </w:r>
      <w:r>
        <w:rPr>
          <w:lang w:val="fr-FR"/>
        </w:rPr>
        <w:t xml:space="preserve"> de</w:t>
      </w:r>
      <w:r w:rsidRPr="0008056E">
        <w:rPr>
          <w:lang w:val="fr-FR"/>
        </w:rPr>
        <w:t xml:space="preserve"> Développement</w:t>
      </w:r>
    </w:p>
    <w:p w:rsidR="00544CD9" w:rsidRPr="0008056E" w:rsidRDefault="00544CD9" w:rsidP="00544CD9">
      <w:pPr>
        <w:rPr>
          <w:lang w:val="fr-FR"/>
        </w:rPr>
      </w:pPr>
      <w:r w:rsidRPr="0008056E">
        <w:rPr>
          <w:lang w:val="fr-FR"/>
        </w:rPr>
        <w:t>ATL</w:t>
      </w:r>
      <w:r w:rsidRPr="0008056E">
        <w:rPr>
          <w:lang w:val="fr-FR"/>
        </w:rPr>
        <w:tab/>
      </w:r>
      <w:r w:rsidRPr="0008056E">
        <w:rPr>
          <w:lang w:val="fr-FR"/>
        </w:rPr>
        <w:tab/>
        <w:t>Agence Technique Locale</w:t>
      </w:r>
    </w:p>
    <w:p w:rsidR="00544CD9" w:rsidRPr="0008056E" w:rsidRDefault="00544CD9" w:rsidP="00544CD9">
      <w:pPr>
        <w:rPr>
          <w:lang w:val="fr-FR"/>
        </w:rPr>
      </w:pPr>
      <w:r w:rsidRPr="0008056E">
        <w:rPr>
          <w:lang w:val="fr-FR"/>
        </w:rPr>
        <w:t>CIAT</w:t>
      </w:r>
      <w:r w:rsidRPr="0008056E">
        <w:rPr>
          <w:lang w:val="fr-FR"/>
        </w:rPr>
        <w:tab/>
      </w:r>
      <w:r w:rsidRPr="0008056E">
        <w:rPr>
          <w:lang w:val="fr-FR"/>
        </w:rPr>
        <w:tab/>
        <w:t>Conseil Interministériel</w:t>
      </w:r>
      <w:r>
        <w:rPr>
          <w:lang w:val="fr-FR"/>
        </w:rPr>
        <w:t xml:space="preserve"> d’</w:t>
      </w:r>
      <w:r w:rsidRPr="0008056E">
        <w:rPr>
          <w:lang w:val="fr-FR"/>
        </w:rPr>
        <w:t>Aménagement du Territoire</w:t>
      </w:r>
    </w:p>
    <w:p w:rsidR="00544CD9" w:rsidRPr="0008056E" w:rsidRDefault="00544CD9" w:rsidP="00544CD9">
      <w:pPr>
        <w:rPr>
          <w:lang w:val="fr-FR"/>
        </w:rPr>
      </w:pPr>
      <w:r w:rsidRPr="0008056E">
        <w:rPr>
          <w:lang w:val="fr-FR"/>
        </w:rPr>
        <w:t>CNIGS</w:t>
      </w:r>
      <w:r w:rsidRPr="0008056E">
        <w:rPr>
          <w:lang w:val="fr-FR"/>
        </w:rPr>
        <w:tab/>
      </w:r>
      <w:r w:rsidRPr="0008056E">
        <w:rPr>
          <w:lang w:val="fr-FR" w:eastAsia="x-none"/>
        </w:rPr>
        <w:t xml:space="preserve">Centre National d’Information </w:t>
      </w:r>
      <w:proofErr w:type="spellStart"/>
      <w:r w:rsidRPr="0008056E">
        <w:rPr>
          <w:lang w:val="fr-FR" w:eastAsia="x-none"/>
        </w:rPr>
        <w:t>Géospatial</w:t>
      </w:r>
      <w:proofErr w:type="spellEnd"/>
    </w:p>
    <w:p w:rsidR="00544CD9" w:rsidRPr="0008056E" w:rsidRDefault="00544CD9" w:rsidP="00544CD9">
      <w:pPr>
        <w:rPr>
          <w:lang w:val="fr-FR"/>
        </w:rPr>
      </w:pPr>
      <w:r w:rsidRPr="0008056E">
        <w:rPr>
          <w:lang w:val="fr-FR"/>
        </w:rPr>
        <w:t xml:space="preserve">CRC </w:t>
      </w:r>
      <w:r w:rsidRPr="0008056E">
        <w:rPr>
          <w:lang w:val="fr-FR"/>
        </w:rPr>
        <w:tab/>
      </w:r>
      <w:r w:rsidRPr="0008056E">
        <w:rPr>
          <w:lang w:val="fr-FR"/>
        </w:rPr>
        <w:tab/>
        <w:t>Centre de Ressources Communautaires</w:t>
      </w:r>
    </w:p>
    <w:p w:rsidR="00544CD9" w:rsidRPr="0008056E" w:rsidRDefault="00690C0C" w:rsidP="00544CD9">
      <w:pPr>
        <w:rPr>
          <w:lang w:val="fr-FR"/>
        </w:rPr>
      </w:pPr>
      <w:r>
        <w:rPr>
          <w:lang w:val="fr-FR"/>
        </w:rPr>
        <w:t xml:space="preserve">CSEC </w:t>
      </w:r>
      <w:r>
        <w:rPr>
          <w:lang w:val="fr-FR"/>
        </w:rPr>
        <w:tab/>
      </w:r>
      <w:r>
        <w:rPr>
          <w:lang w:val="fr-FR"/>
        </w:rPr>
        <w:tab/>
        <w:t>Cellule de Suivi, Evaluation et C</w:t>
      </w:r>
      <w:r w:rsidR="00544CD9" w:rsidRPr="0008056E">
        <w:rPr>
          <w:lang w:val="fr-FR"/>
        </w:rPr>
        <w:t>ommunication</w:t>
      </w:r>
    </w:p>
    <w:p w:rsidR="00544CD9" w:rsidRPr="00D831F7" w:rsidRDefault="00544CD9" w:rsidP="00544CD9">
      <w:pPr>
        <w:rPr>
          <w:lang w:val="fr-FR"/>
        </w:rPr>
      </w:pPr>
      <w:r w:rsidRPr="00D831F7">
        <w:rPr>
          <w:lang w:val="fr-FR"/>
        </w:rPr>
        <w:t>DATIP</w:t>
      </w:r>
      <w:r w:rsidRPr="00D831F7">
        <w:rPr>
          <w:lang w:val="fr-FR"/>
        </w:rPr>
        <w:tab/>
      </w:r>
      <w:r w:rsidRPr="00D831F7">
        <w:rPr>
          <w:lang w:val="fr-FR"/>
        </w:rPr>
        <w:tab/>
        <w:t>Direction Administrative et Technique de l’</w:t>
      </w:r>
      <w:r w:rsidR="00D831F7" w:rsidRPr="00D831F7">
        <w:rPr>
          <w:lang w:val="fr-FR"/>
        </w:rPr>
        <w:t>Intercommunalité</w:t>
      </w:r>
      <w:r w:rsidRPr="00D831F7">
        <w:rPr>
          <w:lang w:val="fr-FR"/>
        </w:rPr>
        <w:t xml:space="preserve"> des Palmes</w:t>
      </w:r>
    </w:p>
    <w:p w:rsidR="00544CD9" w:rsidRPr="0008056E" w:rsidRDefault="00544CD9" w:rsidP="00544CD9">
      <w:pPr>
        <w:rPr>
          <w:lang w:val="fr-FR"/>
        </w:rPr>
      </w:pPr>
      <w:r w:rsidRPr="0008056E">
        <w:rPr>
          <w:lang w:val="fr-FR"/>
        </w:rPr>
        <w:t>DCT</w:t>
      </w:r>
      <w:r w:rsidRPr="0008056E">
        <w:rPr>
          <w:lang w:val="fr-FR"/>
        </w:rPr>
        <w:tab/>
      </w:r>
      <w:r w:rsidRPr="0008056E">
        <w:rPr>
          <w:lang w:val="fr-FR"/>
        </w:rPr>
        <w:tab/>
        <w:t>Direction des Collectivités Territoriales du MICT</w:t>
      </w:r>
    </w:p>
    <w:p w:rsidR="00544CD9" w:rsidRPr="0008056E" w:rsidRDefault="00544CD9" w:rsidP="00544CD9">
      <w:pPr>
        <w:rPr>
          <w:bCs/>
          <w:lang w:val="fr-FR"/>
        </w:rPr>
      </w:pPr>
      <w:r w:rsidRPr="0008056E">
        <w:rPr>
          <w:bCs/>
          <w:lang w:val="fr-FR"/>
        </w:rPr>
        <w:t>FNUAP</w:t>
      </w:r>
      <w:r w:rsidRPr="0008056E">
        <w:rPr>
          <w:bCs/>
          <w:lang w:val="fr-FR"/>
        </w:rPr>
        <w:tab/>
        <w:t xml:space="preserve">Fond de Nations Unies </w:t>
      </w:r>
      <w:r w:rsidR="00690C0C">
        <w:rPr>
          <w:bCs/>
          <w:lang w:val="fr-FR"/>
        </w:rPr>
        <w:t>pour la Population</w:t>
      </w:r>
    </w:p>
    <w:p w:rsidR="00544CD9" w:rsidRPr="0008056E" w:rsidRDefault="00544CD9" w:rsidP="00544CD9">
      <w:pPr>
        <w:rPr>
          <w:bCs/>
          <w:lang w:val="fr-FR" w:eastAsia="x-none"/>
        </w:rPr>
      </w:pPr>
      <w:r w:rsidRPr="0008056E">
        <w:rPr>
          <w:bCs/>
          <w:lang w:val="fr-FR" w:eastAsia="x-none"/>
        </w:rPr>
        <w:t>IHSI</w:t>
      </w:r>
      <w:r w:rsidRPr="0008056E">
        <w:rPr>
          <w:bCs/>
          <w:lang w:val="fr-FR" w:eastAsia="x-none"/>
        </w:rPr>
        <w:tab/>
      </w:r>
      <w:r w:rsidRPr="0008056E">
        <w:rPr>
          <w:bCs/>
          <w:lang w:val="fr-FR" w:eastAsia="x-none"/>
        </w:rPr>
        <w:tab/>
        <w:t>Institut Haïtien des Statistiques et l’Informatique</w:t>
      </w:r>
    </w:p>
    <w:p w:rsidR="00544CD9" w:rsidRPr="0008056E" w:rsidRDefault="00544CD9" w:rsidP="00544CD9">
      <w:pPr>
        <w:rPr>
          <w:lang w:val="fr-FR"/>
        </w:rPr>
      </w:pPr>
      <w:r w:rsidRPr="0008056E">
        <w:rPr>
          <w:lang w:val="fr-FR"/>
        </w:rPr>
        <w:t>MICT</w:t>
      </w:r>
      <w:r w:rsidRPr="0008056E">
        <w:rPr>
          <w:lang w:val="fr-FR"/>
        </w:rPr>
        <w:tab/>
      </w:r>
      <w:r w:rsidRPr="0008056E">
        <w:rPr>
          <w:lang w:val="fr-FR"/>
        </w:rPr>
        <w:tab/>
        <w:t>Ministère de l’Intérieur et des Collectivités Territoriales</w:t>
      </w:r>
    </w:p>
    <w:p w:rsidR="00544CD9" w:rsidRPr="0008056E" w:rsidRDefault="00544CD9" w:rsidP="00544CD9">
      <w:pPr>
        <w:rPr>
          <w:lang w:val="fr-FR" w:eastAsia="x-none"/>
        </w:rPr>
      </w:pPr>
      <w:r w:rsidRPr="0008056E">
        <w:rPr>
          <w:lang w:val="fr-FR"/>
        </w:rPr>
        <w:t>MPCE</w:t>
      </w:r>
      <w:r w:rsidRPr="0008056E">
        <w:rPr>
          <w:lang w:val="fr-FR"/>
        </w:rPr>
        <w:tab/>
      </w:r>
      <w:r w:rsidRPr="0008056E">
        <w:rPr>
          <w:lang w:val="fr-FR"/>
        </w:rPr>
        <w:tab/>
      </w:r>
      <w:r w:rsidRPr="0008056E">
        <w:rPr>
          <w:lang w:val="fr-FR" w:eastAsia="x-none"/>
        </w:rPr>
        <w:t>Ministère de la Planification et la Coopération Externe</w:t>
      </w:r>
    </w:p>
    <w:p w:rsidR="00544CD9" w:rsidRPr="0008056E" w:rsidRDefault="00544CD9" w:rsidP="00544CD9">
      <w:pPr>
        <w:rPr>
          <w:lang w:val="fr-FR"/>
        </w:rPr>
      </w:pPr>
      <w:r w:rsidRPr="0008056E">
        <w:rPr>
          <w:lang w:val="fr-FR"/>
        </w:rPr>
        <w:t>MTPTC</w:t>
      </w:r>
      <w:r w:rsidRPr="0008056E">
        <w:rPr>
          <w:lang w:val="fr-FR"/>
        </w:rPr>
        <w:tab/>
        <w:t>Ministère de Travaux Publics, Transports et Communications</w:t>
      </w:r>
    </w:p>
    <w:p w:rsidR="00544CD9" w:rsidRPr="0008056E" w:rsidRDefault="00544CD9" w:rsidP="00544CD9">
      <w:pPr>
        <w:rPr>
          <w:lang w:val="fr-FR"/>
        </w:rPr>
      </w:pPr>
      <w:r w:rsidRPr="0008056E">
        <w:rPr>
          <w:lang w:val="fr-FR"/>
        </w:rPr>
        <w:t>OIM</w:t>
      </w:r>
      <w:r w:rsidRPr="0008056E">
        <w:rPr>
          <w:lang w:val="fr-FR"/>
        </w:rPr>
        <w:tab/>
      </w:r>
      <w:r w:rsidRPr="0008056E">
        <w:rPr>
          <w:lang w:val="fr-FR"/>
        </w:rPr>
        <w:tab/>
        <w:t>Organisation Internationale des Migrations</w:t>
      </w:r>
    </w:p>
    <w:p w:rsidR="00544CD9" w:rsidRPr="0008056E" w:rsidRDefault="00544CD9" w:rsidP="00544CD9">
      <w:pPr>
        <w:rPr>
          <w:lang w:val="fr-FR"/>
        </w:rPr>
      </w:pPr>
      <w:r w:rsidRPr="0008056E">
        <w:rPr>
          <w:lang w:val="fr-FR"/>
        </w:rPr>
        <w:t>OMRH</w:t>
      </w:r>
      <w:r w:rsidRPr="0008056E">
        <w:rPr>
          <w:lang w:val="fr-FR"/>
        </w:rPr>
        <w:tab/>
      </w:r>
      <w:r w:rsidR="00690C0C" w:rsidRPr="00690C0C">
        <w:rPr>
          <w:lang w:val="fr-FR"/>
        </w:rPr>
        <w:t>Office de Management et des Ressources Humaines</w:t>
      </w:r>
    </w:p>
    <w:p w:rsidR="00544CD9" w:rsidRPr="0008056E" w:rsidRDefault="00544CD9" w:rsidP="00544CD9">
      <w:pPr>
        <w:rPr>
          <w:lang w:val="fr-FR"/>
        </w:rPr>
      </w:pPr>
      <w:r w:rsidRPr="0008056E">
        <w:rPr>
          <w:lang w:val="fr-FR"/>
        </w:rPr>
        <w:t xml:space="preserve">PARLQ </w:t>
      </w:r>
      <w:r w:rsidRPr="0008056E">
        <w:rPr>
          <w:lang w:val="fr-FR"/>
        </w:rPr>
        <w:tab/>
        <w:t xml:space="preserve">Programme d’Appui à la Reconstruction du Logement et des Quartiers </w:t>
      </w:r>
    </w:p>
    <w:p w:rsidR="00544CD9" w:rsidRDefault="00544CD9" w:rsidP="00544CD9">
      <w:pPr>
        <w:rPr>
          <w:lang w:val="fr-FR"/>
        </w:rPr>
      </w:pPr>
      <w:r w:rsidRPr="0008056E">
        <w:rPr>
          <w:lang w:val="fr-FR"/>
        </w:rPr>
        <w:t>PNUD</w:t>
      </w:r>
      <w:r w:rsidRPr="0008056E">
        <w:rPr>
          <w:lang w:val="fr-FR"/>
        </w:rPr>
        <w:tab/>
      </w:r>
      <w:r w:rsidRPr="0008056E">
        <w:rPr>
          <w:lang w:val="fr-FR"/>
        </w:rPr>
        <w:tab/>
        <w:t>Programme des Nations Unies pour le Développement</w:t>
      </w:r>
    </w:p>
    <w:p w:rsidR="00677230" w:rsidRPr="00D831F7" w:rsidRDefault="00677230" w:rsidP="00544CD9">
      <w:pPr>
        <w:rPr>
          <w:lang w:val="fr-FR"/>
        </w:rPr>
      </w:pPr>
      <w:r>
        <w:rPr>
          <w:lang w:val="fr-FR"/>
        </w:rPr>
        <w:t>SDE</w:t>
      </w:r>
      <w:r>
        <w:rPr>
          <w:lang w:val="fr-FR"/>
        </w:rPr>
        <w:tab/>
      </w:r>
      <w:r>
        <w:rPr>
          <w:lang w:val="fr-FR"/>
        </w:rPr>
        <w:tab/>
      </w:r>
      <w:r w:rsidRPr="00677230">
        <w:rPr>
          <w:lang w:val="fr-FR"/>
        </w:rPr>
        <w:t xml:space="preserve">Section d’Énumération </w:t>
      </w:r>
    </w:p>
    <w:p w:rsidR="00544CD9" w:rsidRPr="0008056E" w:rsidRDefault="00544CD9" w:rsidP="00544CD9">
      <w:pPr>
        <w:rPr>
          <w:lang w:val="fr-FR"/>
        </w:rPr>
      </w:pPr>
      <w:r w:rsidRPr="0008056E">
        <w:rPr>
          <w:lang w:val="fr-FR"/>
        </w:rPr>
        <w:t>SIG</w:t>
      </w:r>
      <w:r w:rsidRPr="0008056E">
        <w:rPr>
          <w:lang w:val="fr-FR"/>
        </w:rPr>
        <w:tab/>
      </w:r>
      <w:r w:rsidRPr="0008056E">
        <w:rPr>
          <w:lang w:val="fr-FR"/>
        </w:rPr>
        <w:tab/>
        <w:t xml:space="preserve">Système d’Information Géographique </w:t>
      </w:r>
    </w:p>
    <w:p w:rsidR="00CF2F4F" w:rsidRDefault="00CF2F4F" w:rsidP="00544CD9">
      <w:pPr>
        <w:rPr>
          <w:lang w:val="fr-FR"/>
        </w:rPr>
      </w:pPr>
      <w:r>
        <w:rPr>
          <w:lang w:val="fr-FR"/>
        </w:rPr>
        <w:t>SILQ</w:t>
      </w:r>
      <w:r>
        <w:rPr>
          <w:lang w:val="fr-FR"/>
        </w:rPr>
        <w:tab/>
      </w:r>
      <w:r>
        <w:rPr>
          <w:lang w:val="fr-FR"/>
        </w:rPr>
        <w:tab/>
        <w:t>Système d’Information du Logement et des Quartiers</w:t>
      </w:r>
    </w:p>
    <w:p w:rsidR="00544CD9" w:rsidRPr="0008056E" w:rsidRDefault="00544CD9" w:rsidP="00544CD9">
      <w:pPr>
        <w:rPr>
          <w:lang w:val="fr-FR"/>
        </w:rPr>
      </w:pPr>
      <w:r w:rsidRPr="0008056E">
        <w:rPr>
          <w:lang w:val="fr-FR"/>
        </w:rPr>
        <w:t xml:space="preserve">UAT </w:t>
      </w:r>
      <w:r w:rsidRPr="0008056E">
        <w:rPr>
          <w:lang w:val="fr-FR"/>
        </w:rPr>
        <w:tab/>
      </w:r>
      <w:r w:rsidRPr="0008056E">
        <w:rPr>
          <w:lang w:val="fr-FR"/>
        </w:rPr>
        <w:tab/>
        <w:t>Unité d’Aménagement du Territoire du MPCE</w:t>
      </w:r>
    </w:p>
    <w:p w:rsidR="00544CD9" w:rsidRPr="0008056E" w:rsidRDefault="00544CD9" w:rsidP="00544CD9">
      <w:pPr>
        <w:rPr>
          <w:lang w:val="fr-FR"/>
        </w:rPr>
      </w:pPr>
      <w:r w:rsidRPr="0008056E">
        <w:rPr>
          <w:lang w:val="fr-FR"/>
        </w:rPr>
        <w:t>UCLBP</w:t>
      </w:r>
      <w:r w:rsidRPr="0008056E">
        <w:rPr>
          <w:lang w:val="fr-FR"/>
        </w:rPr>
        <w:tab/>
        <w:t>Unité de Construction des Logements et des Bâtiments Publics</w:t>
      </w:r>
    </w:p>
    <w:p w:rsidR="00544CD9" w:rsidRPr="003504E1" w:rsidRDefault="00544CD9" w:rsidP="00AF7AC6">
      <w:pPr>
        <w:pStyle w:val="BodyText2"/>
        <w:tabs>
          <w:tab w:val="left" w:pos="180"/>
        </w:tabs>
        <w:rPr>
          <w:rFonts w:ascii="Times New Roman" w:hAnsi="Times New Roman" w:cs="Times New Roman"/>
          <w:sz w:val="24"/>
          <w:szCs w:val="24"/>
          <w:lang w:val="fr-FR"/>
        </w:rPr>
      </w:pPr>
    </w:p>
    <w:sectPr w:rsidR="00544CD9" w:rsidRPr="003504E1" w:rsidSect="005268E7">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09" w:rsidRDefault="00644B09">
      <w:r>
        <w:separator/>
      </w:r>
    </w:p>
  </w:endnote>
  <w:endnote w:type="continuationSeparator" w:id="0">
    <w:p w:rsidR="00644B09" w:rsidRDefault="0064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38" w:rsidRDefault="00EB3C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4A058E">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fldSimple w:instr=" NUMPAGES   \* MERGEFORMAT ">
      <w:r w:rsidR="004A058E" w:rsidRPr="004A058E">
        <w:rPr>
          <w:rFonts w:ascii="Arial" w:hAnsi="Arial" w:cs="Arial"/>
          <w:noProof/>
          <w:sz w:val="18"/>
          <w:szCs w:val="18"/>
        </w:rPr>
        <w:t>27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38" w:rsidRDefault="00EB3C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r w:rsidRPr="00B307A8">
        <w:rPr>
          <w:rFonts w:ascii="Arial" w:hAnsi="Arial" w:cs="Arial"/>
          <w:noProof/>
          <w:sz w:val="18"/>
          <w:szCs w:val="18"/>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09" w:rsidRDefault="00644B09">
      <w:r>
        <w:separator/>
      </w:r>
    </w:p>
  </w:footnote>
  <w:footnote w:type="continuationSeparator" w:id="0">
    <w:p w:rsidR="00644B09" w:rsidRDefault="00644B09">
      <w:r>
        <w:continuationSeparator/>
      </w:r>
    </w:p>
  </w:footnote>
  <w:footnote w:id="1">
    <w:p w:rsidR="00EB3C38" w:rsidRPr="00E3532D" w:rsidRDefault="00EB3C38">
      <w:pPr>
        <w:pStyle w:val="FootnoteText"/>
        <w:rPr>
          <w:lang w:val="fr-FR"/>
        </w:rPr>
      </w:pPr>
      <w:r w:rsidRPr="00E3532D">
        <w:rPr>
          <w:rStyle w:val="FootnoteReference"/>
          <w:lang w:val="fr-FR"/>
        </w:rPr>
        <w:footnoteRef/>
      </w:r>
      <w:r w:rsidRPr="00E3532D">
        <w:rPr>
          <w:lang w:val="fr-FR"/>
        </w:rPr>
        <w:t xml:space="preserve"> Le terme “programme” est utilisé pour les projets, programmes et programmes conjoints.</w:t>
      </w:r>
    </w:p>
  </w:footnote>
  <w:footnote w:id="2">
    <w:p w:rsidR="00EB3C38" w:rsidRPr="00F94A85" w:rsidRDefault="00EB3C38" w:rsidP="003E2682">
      <w:pPr>
        <w:pStyle w:val="FootnoteText"/>
        <w:rPr>
          <w:lang w:val="fr-FR"/>
        </w:rPr>
      </w:pPr>
      <w:r w:rsidRPr="00E3532D">
        <w:rPr>
          <w:rStyle w:val="FootnoteReference"/>
          <w:lang w:val="fr-FR"/>
        </w:rPr>
        <w:footnoteRef/>
      </w:r>
      <w:r w:rsidRPr="00E3532D">
        <w:rPr>
          <w:lang w:val="fr-FR"/>
        </w:rPr>
        <w:t xml:space="preserve"> Note: </w:t>
      </w:r>
      <w:r w:rsidRPr="00F94A85">
        <w:rPr>
          <w:lang w:val="fr-FR"/>
        </w:rPr>
        <w:t xml:space="preserve">Les résultats, les </w:t>
      </w:r>
      <w:r w:rsidRPr="003E0D6A">
        <w:rPr>
          <w:lang w:val="fr-FR"/>
        </w:rPr>
        <w:t>produits</w:t>
      </w:r>
      <w:r w:rsidRPr="00F94A85">
        <w:rPr>
          <w:lang w:val="fr-FR"/>
        </w:rPr>
        <w:t xml:space="preserve">, les indicateurs et les cibles devront être présentés </w:t>
      </w:r>
      <w:r w:rsidRPr="00F94A85">
        <w:rPr>
          <w:rFonts w:ascii="Times New Roman Bold" w:hAnsi="Times New Roman Bold"/>
          <w:b/>
          <w:lang w:val="fr-FR"/>
        </w:rPr>
        <w:t>tels qu’ils apparaissent sur</w:t>
      </w:r>
      <w:r>
        <w:rPr>
          <w:rFonts w:ascii="Times New Roman Bold" w:hAnsi="Times New Roman Bold"/>
          <w:b/>
          <w:lang w:val="fr-FR"/>
        </w:rPr>
        <w:t xml:space="preserve"> le document du</w:t>
      </w:r>
      <w:r w:rsidRPr="00F94A85">
        <w:rPr>
          <w:rFonts w:ascii="Times New Roman Bold" w:hAnsi="Times New Roman Bold"/>
          <w:b/>
          <w:lang w:val="fr-FR"/>
        </w:rPr>
        <w:t xml:space="preserve"> projet</w:t>
      </w:r>
      <w:r w:rsidRPr="00F94A85">
        <w:rPr>
          <w:lang w:val="fr-FR"/>
        </w:rPr>
        <w:t xml:space="preserve"> de sorte que vous rendrez compte de vos accomplissements par rapport aux objectifs prévus. Veuillez ajouter des lignes si nécessaires pour les résultats 2, 3, etc.</w:t>
      </w:r>
    </w:p>
    <w:p w:rsidR="00EB3C38" w:rsidRPr="00E3532D" w:rsidRDefault="00EB3C38">
      <w:pPr>
        <w:pStyle w:val="FootnoteText"/>
        <w:rPr>
          <w:lang w:val="fr-FR"/>
        </w:rPr>
      </w:pPr>
    </w:p>
  </w:footnote>
  <w:footnote w:id="3">
    <w:p w:rsidR="00EB3C38" w:rsidRDefault="00EB3C38" w:rsidP="00C458CE">
      <w:pPr>
        <w:pStyle w:val="FootnoteText"/>
        <w:rPr>
          <w:lang w:val="fr-FR"/>
        </w:rPr>
      </w:pPr>
      <w:r>
        <w:rPr>
          <w:rStyle w:val="FootnoteReference"/>
        </w:rPr>
        <w:footnoteRef/>
      </w:r>
      <w:r>
        <w:rPr>
          <w:lang w:val="fr-FR"/>
        </w:rPr>
        <w:t xml:space="preserve"> Les 10% d’équipements restants étaient utilisés par l’OIM pour effectuer les activités du projet qui lui étaient spécifiques.</w:t>
      </w:r>
    </w:p>
  </w:footnote>
  <w:footnote w:id="4">
    <w:p w:rsidR="00EB3C38" w:rsidRPr="00136FDC" w:rsidRDefault="00EB3C38" w:rsidP="003F424C">
      <w:pPr>
        <w:pStyle w:val="FootnoteText"/>
        <w:jc w:val="both"/>
        <w:rPr>
          <w:lang w:val="fr-FR"/>
        </w:rPr>
      </w:pPr>
      <w:r>
        <w:rPr>
          <w:rStyle w:val="FootnoteReference"/>
        </w:rPr>
        <w:footnoteRef/>
      </w:r>
      <w:r w:rsidRPr="007368D0">
        <w:rPr>
          <w:lang w:val="fr-FR"/>
        </w:rPr>
        <w:t xml:space="preserve"> </w:t>
      </w:r>
      <w:r w:rsidRPr="0002050E">
        <w:rPr>
          <w:lang w:val="fr-FR"/>
        </w:rPr>
        <w:t>La base de données SSIS a été renommé</w:t>
      </w:r>
      <w:r>
        <w:rPr>
          <w:lang w:val="fr-FR"/>
        </w:rPr>
        <w:t>e base de données SILQ</w:t>
      </w:r>
      <w:r w:rsidRPr="0002050E">
        <w:rPr>
          <w:lang w:val="fr-FR"/>
        </w:rPr>
        <w:t xml:space="preserve"> (Système d’Information du Logement et des Quartiers</w:t>
      </w:r>
      <w:r>
        <w:rPr>
          <w:lang w:val="fr-FR"/>
        </w:rPr>
        <w:t>)</w:t>
      </w:r>
      <w:r w:rsidRPr="0002050E">
        <w:rPr>
          <w:lang w:val="fr-FR"/>
        </w:rPr>
        <w:t>.</w:t>
      </w:r>
      <w:r>
        <w:rPr>
          <w:lang w:val="fr-FR"/>
        </w:rPr>
        <w:t xml:space="preserve"> Le développement de la base de données est effectué dans la composante du Programme d’appui à la reconstruction du logement et des quartiers ». </w:t>
      </w:r>
      <w:r w:rsidRPr="0002050E">
        <w:rPr>
          <w:lang w:val="fr-FR"/>
        </w:rPr>
        <w:t>Donc l’objectif de la composante 1 est d’assurer que les données recueillies sont complémentaires et peuvent être facilement intégrées dans la base de données SILQ pour faciliter le partage des données avec les partenaires de la</w:t>
      </w:r>
      <w:r>
        <w:rPr>
          <w:lang w:val="fr-FR"/>
        </w:rPr>
        <w:t xml:space="preserve"> reconstruction</w:t>
      </w:r>
      <w:r w:rsidRPr="007368D0">
        <w:rPr>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75pt;height:4.75pt" o:bullet="t">
        <v:imagedata r:id="rId1" o:title="bullet"/>
      </v:shape>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62DE7"/>
    <w:multiLevelType w:val="hybridMultilevel"/>
    <w:tmpl w:val="F9A84EA6"/>
    <w:lvl w:ilvl="0" w:tplc="04F0CAA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E6678"/>
    <w:multiLevelType w:val="hybridMultilevel"/>
    <w:tmpl w:val="A246C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7089E"/>
    <w:multiLevelType w:val="hybridMultilevel"/>
    <w:tmpl w:val="7902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5">
    <w:nsid w:val="114C4A8E"/>
    <w:multiLevelType w:val="hybridMultilevel"/>
    <w:tmpl w:val="C1880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D3758"/>
    <w:multiLevelType w:val="hybridMultilevel"/>
    <w:tmpl w:val="F710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238A3"/>
    <w:multiLevelType w:val="hybridMultilevel"/>
    <w:tmpl w:val="22B6105C"/>
    <w:lvl w:ilvl="0" w:tplc="A04AA2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96C77"/>
    <w:multiLevelType w:val="hybridMultilevel"/>
    <w:tmpl w:val="A56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B444E"/>
    <w:multiLevelType w:val="hybridMultilevel"/>
    <w:tmpl w:val="6E4A7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B97E39"/>
    <w:multiLevelType w:val="hybridMultilevel"/>
    <w:tmpl w:val="3E90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5F47CB"/>
    <w:multiLevelType w:val="hybridMultilevel"/>
    <w:tmpl w:val="DC04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F4D32"/>
    <w:multiLevelType w:val="hybridMultilevel"/>
    <w:tmpl w:val="69E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648D0"/>
    <w:multiLevelType w:val="hybridMultilevel"/>
    <w:tmpl w:val="4CC6B3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26EE3C30"/>
    <w:multiLevelType w:val="hybridMultilevel"/>
    <w:tmpl w:val="64EC1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6602F6"/>
    <w:multiLevelType w:val="hybridMultilevel"/>
    <w:tmpl w:val="4B9E6C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AB66B1"/>
    <w:multiLevelType w:val="hybridMultilevel"/>
    <w:tmpl w:val="09BE18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AB2CE6"/>
    <w:multiLevelType w:val="hybridMultilevel"/>
    <w:tmpl w:val="747C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849C4"/>
    <w:multiLevelType w:val="hybridMultilevel"/>
    <w:tmpl w:val="4E2E9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B332D8"/>
    <w:multiLevelType w:val="hybridMultilevel"/>
    <w:tmpl w:val="9216EB8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356404C8"/>
    <w:multiLevelType w:val="hybridMultilevel"/>
    <w:tmpl w:val="144CF0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460522"/>
    <w:multiLevelType w:val="hybridMultilevel"/>
    <w:tmpl w:val="71D67C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95358D7"/>
    <w:multiLevelType w:val="hybridMultilevel"/>
    <w:tmpl w:val="44086BF8"/>
    <w:lvl w:ilvl="0" w:tplc="ACC8FE52">
      <w:start w:val="15"/>
      <w:numFmt w:val="bullet"/>
      <w:lvlText w:val="-"/>
      <w:lvlJc w:val="left"/>
      <w:pPr>
        <w:ind w:left="720" w:hanging="360"/>
      </w:pPr>
      <w:rPr>
        <w:rFonts w:ascii="Sylfaen" w:eastAsia="MS Mincho"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B31D86"/>
    <w:multiLevelType w:val="hybridMultilevel"/>
    <w:tmpl w:val="BB9CE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ADE2036"/>
    <w:multiLevelType w:val="hybridMultilevel"/>
    <w:tmpl w:val="E8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011D73"/>
    <w:multiLevelType w:val="hybridMultilevel"/>
    <w:tmpl w:val="FC141A60"/>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nsid w:val="41244E11"/>
    <w:multiLevelType w:val="hybridMultilevel"/>
    <w:tmpl w:val="0CC8C3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F12454"/>
    <w:multiLevelType w:val="hybridMultilevel"/>
    <w:tmpl w:val="63B0AE10"/>
    <w:lvl w:ilvl="0" w:tplc="F2926B2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9CA0543"/>
    <w:multiLevelType w:val="hybridMultilevel"/>
    <w:tmpl w:val="20D6F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75673C"/>
    <w:multiLevelType w:val="hybridMultilevel"/>
    <w:tmpl w:val="8D0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5B102B"/>
    <w:multiLevelType w:val="hybridMultilevel"/>
    <w:tmpl w:val="C674C3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583537C0"/>
    <w:multiLevelType w:val="hybridMultilevel"/>
    <w:tmpl w:val="159A2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F4E0282"/>
    <w:multiLevelType w:val="hybridMultilevel"/>
    <w:tmpl w:val="C57E0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24D7F43"/>
    <w:multiLevelType w:val="hybridMultilevel"/>
    <w:tmpl w:val="ED2E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9E0EBB"/>
    <w:multiLevelType w:val="hybridMultilevel"/>
    <w:tmpl w:val="87F8B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276BE0"/>
    <w:multiLevelType w:val="hybridMultilevel"/>
    <w:tmpl w:val="15EECFBE"/>
    <w:lvl w:ilvl="0" w:tplc="A04AA2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0AC4EC3"/>
    <w:multiLevelType w:val="hybridMultilevel"/>
    <w:tmpl w:val="1A5C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015AB3"/>
    <w:multiLevelType w:val="hybridMultilevel"/>
    <w:tmpl w:val="A6B2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CB56F7"/>
    <w:multiLevelType w:val="hybridMultilevel"/>
    <w:tmpl w:val="F2FA2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D23F82"/>
    <w:multiLevelType w:val="hybridMultilevel"/>
    <w:tmpl w:val="53E6F2E2"/>
    <w:lvl w:ilvl="0" w:tplc="04090003">
      <w:start w:val="1"/>
      <w:numFmt w:val="bullet"/>
      <w:lvlText w:val="o"/>
      <w:lvlJc w:val="left"/>
      <w:pPr>
        <w:ind w:left="720" w:hanging="360"/>
      </w:pPr>
      <w:rPr>
        <w:rFonts w:ascii="Courier New" w:hAnsi="Courier New" w:cs="Wingdings" w:hint="default"/>
      </w:rPr>
    </w:lvl>
    <w:lvl w:ilvl="1" w:tplc="92E2591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0"/>
  </w:num>
  <w:num w:numId="4">
    <w:abstractNumId w:val="32"/>
  </w:num>
  <w:num w:numId="5">
    <w:abstractNumId w:val="39"/>
  </w:num>
  <w:num w:numId="6">
    <w:abstractNumId w:val="33"/>
  </w:num>
  <w:num w:numId="7">
    <w:abstractNumId w:val="48"/>
  </w:num>
  <w:num w:numId="8">
    <w:abstractNumId w:val="10"/>
  </w:num>
  <w:num w:numId="9">
    <w:abstractNumId w:val="24"/>
  </w:num>
  <w:num w:numId="10">
    <w:abstractNumId w:val="52"/>
  </w:num>
  <w:num w:numId="11">
    <w:abstractNumId w:val="19"/>
  </w:num>
  <w:num w:numId="12">
    <w:abstractNumId w:val="34"/>
  </w:num>
  <w:num w:numId="13">
    <w:abstractNumId w:val="6"/>
  </w:num>
  <w:num w:numId="14">
    <w:abstractNumId w:val="49"/>
  </w:num>
  <w:num w:numId="15">
    <w:abstractNumId w:val="9"/>
  </w:num>
  <w:num w:numId="16">
    <w:abstractNumId w:val="18"/>
  </w:num>
  <w:num w:numId="17">
    <w:abstractNumId w:val="28"/>
  </w:num>
  <w:num w:numId="18">
    <w:abstractNumId w:val="40"/>
  </w:num>
  <w:num w:numId="19">
    <w:abstractNumId w:val="20"/>
  </w:num>
  <w:num w:numId="20">
    <w:abstractNumId w:val="43"/>
  </w:num>
  <w:num w:numId="21">
    <w:abstractNumId w:val="7"/>
  </w:num>
  <w:num w:numId="22">
    <w:abstractNumId w:val="23"/>
  </w:num>
  <w:num w:numId="23">
    <w:abstractNumId w:val="31"/>
  </w:num>
  <w:num w:numId="24">
    <w:abstractNumId w:val="14"/>
  </w:num>
  <w:num w:numId="25">
    <w:abstractNumId w:val="30"/>
  </w:num>
  <w:num w:numId="26">
    <w:abstractNumId w:val="37"/>
  </w:num>
  <w:num w:numId="27">
    <w:abstractNumId w:val="3"/>
  </w:num>
  <w:num w:numId="28">
    <w:abstractNumId w:val="46"/>
  </w:num>
  <w:num w:numId="29">
    <w:abstractNumId w:val="42"/>
  </w:num>
  <w:num w:numId="30">
    <w:abstractNumId w:val="17"/>
  </w:num>
  <w:num w:numId="31">
    <w:abstractNumId w:val="1"/>
  </w:num>
  <w:num w:numId="32">
    <w:abstractNumId w:val="36"/>
  </w:num>
  <w:num w:numId="33">
    <w:abstractNumId w:val="26"/>
  </w:num>
  <w:num w:numId="34">
    <w:abstractNumId w:val="5"/>
  </w:num>
  <w:num w:numId="35">
    <w:abstractNumId w:val="41"/>
  </w:num>
  <w:num w:numId="36">
    <w:abstractNumId w:val="2"/>
  </w:num>
  <w:num w:numId="37">
    <w:abstractNumId w:val="16"/>
  </w:num>
  <w:num w:numId="38">
    <w:abstractNumId w:val="35"/>
  </w:num>
  <w:num w:numId="39">
    <w:abstractNumId w:val="13"/>
  </w:num>
  <w:num w:numId="40">
    <w:abstractNumId w:val="51"/>
  </w:num>
  <w:num w:numId="41">
    <w:abstractNumId w:val="38"/>
  </w:num>
  <w:num w:numId="42">
    <w:abstractNumId w:val="44"/>
  </w:num>
  <w:num w:numId="43">
    <w:abstractNumId w:val="22"/>
  </w:num>
  <w:num w:numId="44">
    <w:abstractNumId w:val="47"/>
  </w:num>
  <w:num w:numId="45">
    <w:abstractNumId w:val="45"/>
  </w:num>
  <w:num w:numId="46">
    <w:abstractNumId w:val="8"/>
  </w:num>
  <w:num w:numId="47">
    <w:abstractNumId w:val="27"/>
  </w:num>
  <w:num w:numId="48">
    <w:abstractNumId w:val="12"/>
  </w:num>
  <w:num w:numId="49">
    <w:abstractNumId w:val="15"/>
  </w:num>
  <w:num w:numId="50">
    <w:abstractNumId w:val="25"/>
  </w:num>
  <w:num w:numId="51">
    <w:abstractNumId w:val="11"/>
  </w:num>
  <w:num w:numId="52">
    <w:abstractNumId w:val="50"/>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1398E"/>
    <w:rsid w:val="00017589"/>
    <w:rsid w:val="0002647D"/>
    <w:rsid w:val="00040C93"/>
    <w:rsid w:val="00046105"/>
    <w:rsid w:val="000466C8"/>
    <w:rsid w:val="0004702D"/>
    <w:rsid w:val="00050BA9"/>
    <w:rsid w:val="00063E19"/>
    <w:rsid w:val="00067488"/>
    <w:rsid w:val="00072964"/>
    <w:rsid w:val="00080583"/>
    <w:rsid w:val="0008513D"/>
    <w:rsid w:val="00092910"/>
    <w:rsid w:val="00095A16"/>
    <w:rsid w:val="00095A2F"/>
    <w:rsid w:val="000A0666"/>
    <w:rsid w:val="000B332C"/>
    <w:rsid w:val="000C3EF1"/>
    <w:rsid w:val="000C5FBD"/>
    <w:rsid w:val="000D7355"/>
    <w:rsid w:val="000E01FF"/>
    <w:rsid w:val="000E1B6F"/>
    <w:rsid w:val="000F43FF"/>
    <w:rsid w:val="000F6AE5"/>
    <w:rsid w:val="000F78CF"/>
    <w:rsid w:val="00101608"/>
    <w:rsid w:val="001023AF"/>
    <w:rsid w:val="0011468F"/>
    <w:rsid w:val="00121E4E"/>
    <w:rsid w:val="00127B62"/>
    <w:rsid w:val="00131277"/>
    <w:rsid w:val="00133F5B"/>
    <w:rsid w:val="00136466"/>
    <w:rsid w:val="001365D1"/>
    <w:rsid w:val="00165525"/>
    <w:rsid w:val="00165847"/>
    <w:rsid w:val="00166825"/>
    <w:rsid w:val="001812C1"/>
    <w:rsid w:val="00181D34"/>
    <w:rsid w:val="001B2FDA"/>
    <w:rsid w:val="001B68F0"/>
    <w:rsid w:val="001D1F67"/>
    <w:rsid w:val="001D2F1A"/>
    <w:rsid w:val="001D5BE2"/>
    <w:rsid w:val="001D61A3"/>
    <w:rsid w:val="001D75B7"/>
    <w:rsid w:val="001E67A9"/>
    <w:rsid w:val="001F5F3C"/>
    <w:rsid w:val="00206EFC"/>
    <w:rsid w:val="002309EB"/>
    <w:rsid w:val="00244D5F"/>
    <w:rsid w:val="00255953"/>
    <w:rsid w:val="00274AB2"/>
    <w:rsid w:val="002A6116"/>
    <w:rsid w:val="002B351A"/>
    <w:rsid w:val="002B5E10"/>
    <w:rsid w:val="002B7B1F"/>
    <w:rsid w:val="002C013C"/>
    <w:rsid w:val="002C2201"/>
    <w:rsid w:val="002D3591"/>
    <w:rsid w:val="002D3993"/>
    <w:rsid w:val="002D633D"/>
    <w:rsid w:val="002F6C15"/>
    <w:rsid w:val="00311774"/>
    <w:rsid w:val="00326A4A"/>
    <w:rsid w:val="00340AA4"/>
    <w:rsid w:val="00341D9F"/>
    <w:rsid w:val="003504E1"/>
    <w:rsid w:val="00361ACD"/>
    <w:rsid w:val="0037735F"/>
    <w:rsid w:val="003849E7"/>
    <w:rsid w:val="00386752"/>
    <w:rsid w:val="003B29B9"/>
    <w:rsid w:val="003B7292"/>
    <w:rsid w:val="003D4B7E"/>
    <w:rsid w:val="003D76C0"/>
    <w:rsid w:val="003E2682"/>
    <w:rsid w:val="003E2E27"/>
    <w:rsid w:val="003E50D8"/>
    <w:rsid w:val="003E5EC6"/>
    <w:rsid w:val="003F17CA"/>
    <w:rsid w:val="003F424C"/>
    <w:rsid w:val="00416147"/>
    <w:rsid w:val="00422669"/>
    <w:rsid w:val="00433BE3"/>
    <w:rsid w:val="00435EDF"/>
    <w:rsid w:val="00441F3D"/>
    <w:rsid w:val="0044461F"/>
    <w:rsid w:val="00451AC0"/>
    <w:rsid w:val="00452527"/>
    <w:rsid w:val="004525B4"/>
    <w:rsid w:val="00477A15"/>
    <w:rsid w:val="00481613"/>
    <w:rsid w:val="004820EE"/>
    <w:rsid w:val="00484320"/>
    <w:rsid w:val="00484553"/>
    <w:rsid w:val="00486454"/>
    <w:rsid w:val="004924A5"/>
    <w:rsid w:val="004A058E"/>
    <w:rsid w:val="004A0753"/>
    <w:rsid w:val="004C14C0"/>
    <w:rsid w:val="004C3276"/>
    <w:rsid w:val="004E021D"/>
    <w:rsid w:val="004E511D"/>
    <w:rsid w:val="00501027"/>
    <w:rsid w:val="00513FA6"/>
    <w:rsid w:val="005268E7"/>
    <w:rsid w:val="0053377E"/>
    <w:rsid w:val="005372CF"/>
    <w:rsid w:val="00544CD9"/>
    <w:rsid w:val="00546263"/>
    <w:rsid w:val="00546C84"/>
    <w:rsid w:val="00560307"/>
    <w:rsid w:val="0056447A"/>
    <w:rsid w:val="00584BE3"/>
    <w:rsid w:val="005B1F90"/>
    <w:rsid w:val="005D0BEE"/>
    <w:rsid w:val="005D52A5"/>
    <w:rsid w:val="005E71B6"/>
    <w:rsid w:val="005F1B5C"/>
    <w:rsid w:val="005F7DF3"/>
    <w:rsid w:val="006064BE"/>
    <w:rsid w:val="00614886"/>
    <w:rsid w:val="006208F0"/>
    <w:rsid w:val="00624DE7"/>
    <w:rsid w:val="00635359"/>
    <w:rsid w:val="00641AFE"/>
    <w:rsid w:val="00644B09"/>
    <w:rsid w:val="00651C5F"/>
    <w:rsid w:val="0065365E"/>
    <w:rsid w:val="006558B8"/>
    <w:rsid w:val="00662BAD"/>
    <w:rsid w:val="0066391B"/>
    <w:rsid w:val="006676CF"/>
    <w:rsid w:val="00667C7C"/>
    <w:rsid w:val="00671E6B"/>
    <w:rsid w:val="00677230"/>
    <w:rsid w:val="00677B9A"/>
    <w:rsid w:val="00682D7E"/>
    <w:rsid w:val="00687F3A"/>
    <w:rsid w:val="00690C0C"/>
    <w:rsid w:val="006A1358"/>
    <w:rsid w:val="006A47C7"/>
    <w:rsid w:val="006C2FF0"/>
    <w:rsid w:val="006C37CB"/>
    <w:rsid w:val="006E35F7"/>
    <w:rsid w:val="00705297"/>
    <w:rsid w:val="0072435E"/>
    <w:rsid w:val="00727213"/>
    <w:rsid w:val="00733AD0"/>
    <w:rsid w:val="00750426"/>
    <w:rsid w:val="00751962"/>
    <w:rsid w:val="00760D2B"/>
    <w:rsid w:val="00766D5C"/>
    <w:rsid w:val="00777906"/>
    <w:rsid w:val="00784899"/>
    <w:rsid w:val="007A5EB0"/>
    <w:rsid w:val="007A7240"/>
    <w:rsid w:val="007B31B6"/>
    <w:rsid w:val="007B4692"/>
    <w:rsid w:val="007B7DE6"/>
    <w:rsid w:val="007C0CE2"/>
    <w:rsid w:val="007C4D8E"/>
    <w:rsid w:val="007C7F58"/>
    <w:rsid w:val="007D2DAA"/>
    <w:rsid w:val="007E68BB"/>
    <w:rsid w:val="00807E95"/>
    <w:rsid w:val="00834A9E"/>
    <w:rsid w:val="00843BF5"/>
    <w:rsid w:val="00851CE5"/>
    <w:rsid w:val="00863841"/>
    <w:rsid w:val="008744E8"/>
    <w:rsid w:val="00885144"/>
    <w:rsid w:val="00892A21"/>
    <w:rsid w:val="00895625"/>
    <w:rsid w:val="008B65E2"/>
    <w:rsid w:val="008B72E1"/>
    <w:rsid w:val="008C054A"/>
    <w:rsid w:val="008C38A2"/>
    <w:rsid w:val="008C723F"/>
    <w:rsid w:val="008E747B"/>
    <w:rsid w:val="008F2AC2"/>
    <w:rsid w:val="008F5F5B"/>
    <w:rsid w:val="00901BEB"/>
    <w:rsid w:val="00921C8D"/>
    <w:rsid w:val="009241BD"/>
    <w:rsid w:val="00940D24"/>
    <w:rsid w:val="00943BAC"/>
    <w:rsid w:val="00950A6F"/>
    <w:rsid w:val="00951B5F"/>
    <w:rsid w:val="009600E0"/>
    <w:rsid w:val="00972174"/>
    <w:rsid w:val="0099080D"/>
    <w:rsid w:val="009938D1"/>
    <w:rsid w:val="009A6A3E"/>
    <w:rsid w:val="009B6ABE"/>
    <w:rsid w:val="009C04E8"/>
    <w:rsid w:val="009C1A6A"/>
    <w:rsid w:val="009C2EF0"/>
    <w:rsid w:val="009D0717"/>
    <w:rsid w:val="009D3141"/>
    <w:rsid w:val="009E0A33"/>
    <w:rsid w:val="009E5A85"/>
    <w:rsid w:val="009F0418"/>
    <w:rsid w:val="009F1FEB"/>
    <w:rsid w:val="00A01209"/>
    <w:rsid w:val="00A13BB2"/>
    <w:rsid w:val="00A13F43"/>
    <w:rsid w:val="00A2278A"/>
    <w:rsid w:val="00A420A7"/>
    <w:rsid w:val="00A50B53"/>
    <w:rsid w:val="00A749B9"/>
    <w:rsid w:val="00A777C3"/>
    <w:rsid w:val="00A84C90"/>
    <w:rsid w:val="00A850F1"/>
    <w:rsid w:val="00AA3DFB"/>
    <w:rsid w:val="00AB1189"/>
    <w:rsid w:val="00AC28C1"/>
    <w:rsid w:val="00AC6617"/>
    <w:rsid w:val="00AF0E0E"/>
    <w:rsid w:val="00AF14C0"/>
    <w:rsid w:val="00AF2036"/>
    <w:rsid w:val="00AF7AC6"/>
    <w:rsid w:val="00B039F6"/>
    <w:rsid w:val="00B045D6"/>
    <w:rsid w:val="00B23C4C"/>
    <w:rsid w:val="00B307A8"/>
    <w:rsid w:val="00B44C72"/>
    <w:rsid w:val="00B538BD"/>
    <w:rsid w:val="00B556DA"/>
    <w:rsid w:val="00B72963"/>
    <w:rsid w:val="00B81FB3"/>
    <w:rsid w:val="00B871E7"/>
    <w:rsid w:val="00B90AE5"/>
    <w:rsid w:val="00B95832"/>
    <w:rsid w:val="00BA0D23"/>
    <w:rsid w:val="00BB0907"/>
    <w:rsid w:val="00BC44C2"/>
    <w:rsid w:val="00BC7B73"/>
    <w:rsid w:val="00BE3831"/>
    <w:rsid w:val="00BF5029"/>
    <w:rsid w:val="00C037A6"/>
    <w:rsid w:val="00C04BDB"/>
    <w:rsid w:val="00C122A6"/>
    <w:rsid w:val="00C12E34"/>
    <w:rsid w:val="00C22A9F"/>
    <w:rsid w:val="00C23F4E"/>
    <w:rsid w:val="00C3328D"/>
    <w:rsid w:val="00C37977"/>
    <w:rsid w:val="00C4575D"/>
    <w:rsid w:val="00C458CE"/>
    <w:rsid w:val="00C53D87"/>
    <w:rsid w:val="00C54EB3"/>
    <w:rsid w:val="00C641F4"/>
    <w:rsid w:val="00C77213"/>
    <w:rsid w:val="00C77D8F"/>
    <w:rsid w:val="00C868EA"/>
    <w:rsid w:val="00C8726B"/>
    <w:rsid w:val="00CA31E9"/>
    <w:rsid w:val="00CA683A"/>
    <w:rsid w:val="00CB4D2B"/>
    <w:rsid w:val="00CB6078"/>
    <w:rsid w:val="00CD2C09"/>
    <w:rsid w:val="00CD2CDC"/>
    <w:rsid w:val="00CE0424"/>
    <w:rsid w:val="00CE6A90"/>
    <w:rsid w:val="00CF1406"/>
    <w:rsid w:val="00CF2C85"/>
    <w:rsid w:val="00CF2F4F"/>
    <w:rsid w:val="00CF7F7E"/>
    <w:rsid w:val="00D01AFA"/>
    <w:rsid w:val="00D128DD"/>
    <w:rsid w:val="00D17920"/>
    <w:rsid w:val="00D25173"/>
    <w:rsid w:val="00D43C48"/>
    <w:rsid w:val="00D45762"/>
    <w:rsid w:val="00D457FE"/>
    <w:rsid w:val="00D45829"/>
    <w:rsid w:val="00D458E9"/>
    <w:rsid w:val="00D45F77"/>
    <w:rsid w:val="00D55CDE"/>
    <w:rsid w:val="00D61EA3"/>
    <w:rsid w:val="00D6628E"/>
    <w:rsid w:val="00D831F7"/>
    <w:rsid w:val="00DB4413"/>
    <w:rsid w:val="00DD4430"/>
    <w:rsid w:val="00DD4856"/>
    <w:rsid w:val="00DE7C25"/>
    <w:rsid w:val="00DF0D28"/>
    <w:rsid w:val="00DF191D"/>
    <w:rsid w:val="00E14B67"/>
    <w:rsid w:val="00E15810"/>
    <w:rsid w:val="00E15B9B"/>
    <w:rsid w:val="00E3277E"/>
    <w:rsid w:val="00E368DB"/>
    <w:rsid w:val="00E56785"/>
    <w:rsid w:val="00E6044E"/>
    <w:rsid w:val="00E92CC2"/>
    <w:rsid w:val="00E949A8"/>
    <w:rsid w:val="00E9658A"/>
    <w:rsid w:val="00EA24FA"/>
    <w:rsid w:val="00EA39CA"/>
    <w:rsid w:val="00EA455F"/>
    <w:rsid w:val="00EB28DC"/>
    <w:rsid w:val="00EB3C38"/>
    <w:rsid w:val="00EC5E52"/>
    <w:rsid w:val="00ED0EE2"/>
    <w:rsid w:val="00ED16B3"/>
    <w:rsid w:val="00ED2B6C"/>
    <w:rsid w:val="00ED4CBE"/>
    <w:rsid w:val="00EE4D43"/>
    <w:rsid w:val="00F00C7A"/>
    <w:rsid w:val="00F00DC7"/>
    <w:rsid w:val="00F07CFE"/>
    <w:rsid w:val="00F1072B"/>
    <w:rsid w:val="00F25E33"/>
    <w:rsid w:val="00F303C2"/>
    <w:rsid w:val="00F47AC2"/>
    <w:rsid w:val="00F554F4"/>
    <w:rsid w:val="00F61DFF"/>
    <w:rsid w:val="00F74593"/>
    <w:rsid w:val="00F7475C"/>
    <w:rsid w:val="00F961B6"/>
    <w:rsid w:val="00FB3C98"/>
    <w:rsid w:val="00FB6510"/>
    <w:rsid w:val="00FD05DA"/>
    <w:rsid w:val="00FD112D"/>
    <w:rsid w:val="00FD4F03"/>
    <w:rsid w:val="00FD7D5F"/>
    <w:rsid w:val="00FE473D"/>
    <w:rsid w:val="00FE797B"/>
    <w:rsid w:val="00FF0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lang w:val="en-US"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uiPriority w:val="99"/>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uiPriority w:val="99"/>
    <w:rsid w:val="000134CC"/>
    <w:pPr>
      <w:spacing w:before="60" w:after="60"/>
    </w:pPr>
    <w:rPr>
      <w:rFonts w:cs="Arial"/>
      <w:b/>
      <w:bCs/>
      <w:snapToGrid w:val="0"/>
      <w:kern w:val="32"/>
      <w:sz w:val="24"/>
      <w:szCs w:val="32"/>
      <w:lang w:val="en-GB" w:eastAsia="en-US"/>
    </w:rPr>
  </w:style>
  <w:style w:type="paragraph" w:customStyle="1" w:styleId="H2">
    <w:name w:val="H2"/>
    <w:uiPriority w:val="99"/>
    <w:rsid w:val="000134CC"/>
    <w:rPr>
      <w:rFonts w:cs="Arial"/>
      <w:b/>
      <w:bCs/>
      <w:iCs/>
      <w:snapToGrid w:val="0"/>
      <w:sz w:val="22"/>
      <w:szCs w:val="28"/>
      <w:lang w:val="en-GB" w:eastAsia="en-US"/>
    </w:rPr>
  </w:style>
  <w:style w:type="paragraph" w:styleId="ListParagraph">
    <w:name w:val="List Paragraph"/>
    <w:basedOn w:val="Normal"/>
    <w:uiPriority w:val="99"/>
    <w:qFormat/>
    <w:rsid w:val="00422669"/>
    <w:pPr>
      <w:ind w:left="720"/>
      <w:contextualSpacing/>
    </w:pPr>
  </w:style>
  <w:style w:type="paragraph" w:styleId="BodyTextIndent2">
    <w:name w:val="Body Text Indent 2"/>
    <w:basedOn w:val="Normal"/>
    <w:link w:val="BodyTextIndent2Char"/>
    <w:rsid w:val="00422669"/>
    <w:pPr>
      <w:spacing w:after="120" w:line="480" w:lineRule="auto"/>
      <w:ind w:left="360"/>
    </w:pPr>
  </w:style>
  <w:style w:type="character" w:customStyle="1" w:styleId="BodyTextIndent2Char">
    <w:name w:val="Body Text Indent 2 Char"/>
    <w:link w:val="BodyTextIndent2"/>
    <w:uiPriority w:val="99"/>
    <w:rsid w:val="00422669"/>
    <w:rPr>
      <w:sz w:val="24"/>
      <w:szCs w:val="24"/>
    </w:rPr>
  </w:style>
  <w:style w:type="character" w:customStyle="1" w:styleId="hps">
    <w:name w:val="hps"/>
    <w:uiPriority w:val="99"/>
    <w:rsid w:val="005268E7"/>
    <w:rPr>
      <w:rFonts w:cs="Times New Roman"/>
    </w:rPr>
  </w:style>
  <w:style w:type="paragraph" w:customStyle="1" w:styleId="Normal1">
    <w:name w:val="Normal1"/>
    <w:basedOn w:val="Normal"/>
    <w:rsid w:val="00921C8D"/>
    <w:rPr>
      <w:rFonts w:eastAsia="MS Mincho"/>
      <w:lang w:eastAsia="ja-JP"/>
    </w:rPr>
  </w:style>
  <w:style w:type="paragraph" w:customStyle="1" w:styleId="body0020text00202">
    <w:name w:val="body_0020text_00202"/>
    <w:basedOn w:val="Normal"/>
    <w:rsid w:val="00921C8D"/>
    <w:pPr>
      <w:spacing w:after="120" w:line="480" w:lineRule="atLeast"/>
    </w:pPr>
    <w:rPr>
      <w:rFonts w:eastAsia="MS Mincho"/>
      <w:lang w:eastAsia="ja-JP"/>
    </w:rPr>
  </w:style>
  <w:style w:type="character" w:customStyle="1" w:styleId="normalchar1">
    <w:name w:val="normal__char1"/>
    <w:rsid w:val="00921C8D"/>
    <w:rPr>
      <w:rFonts w:ascii="Times New Roman" w:hAnsi="Times New Roman" w:cs="Times New Roman" w:hint="default"/>
      <w:sz w:val="24"/>
      <w:szCs w:val="24"/>
    </w:rPr>
  </w:style>
  <w:style w:type="character" w:customStyle="1" w:styleId="HeaderChar">
    <w:name w:val="Header Char"/>
    <w:link w:val="Header"/>
    <w:locked/>
    <w:rsid w:val="00311774"/>
    <w:rPr>
      <w:sz w:val="24"/>
      <w:szCs w:val="24"/>
    </w:rPr>
  </w:style>
  <w:style w:type="character" w:customStyle="1" w:styleId="FootnoteTextChar1">
    <w:name w:val="Footnote Text Char1"/>
    <w:basedOn w:val="DefaultParagraphFont"/>
    <w:rsid w:val="00311774"/>
  </w:style>
  <w:style w:type="character" w:customStyle="1" w:styleId="BodyTextChar">
    <w:name w:val="Body Text Char"/>
    <w:link w:val="BodyText"/>
    <w:rsid w:val="00040C93"/>
    <w:rPr>
      <w:rFonts w:ascii="Arial" w:hAnsi="Arial" w:cs="Arial"/>
    </w:rPr>
  </w:style>
  <w:style w:type="paragraph" w:customStyle="1" w:styleId="normal0020table1">
    <w:name w:val="normal_0020table1"/>
    <w:basedOn w:val="Normal"/>
    <w:rsid w:val="00340AA4"/>
    <w:rPr>
      <w:rFonts w:eastAsia="MS Mincho"/>
      <w:lang w:eastAsia="ja-JP"/>
    </w:rPr>
  </w:style>
  <w:style w:type="character" w:customStyle="1" w:styleId="normal0020tablechar">
    <w:name w:val="normal_0020table__char"/>
    <w:basedOn w:val="DefaultParagraphFont"/>
    <w:rsid w:val="00340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lang w:val="en-US"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uiPriority w:val="99"/>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uiPriority w:val="99"/>
    <w:rsid w:val="000134CC"/>
    <w:pPr>
      <w:spacing w:before="60" w:after="60"/>
    </w:pPr>
    <w:rPr>
      <w:rFonts w:cs="Arial"/>
      <w:b/>
      <w:bCs/>
      <w:snapToGrid w:val="0"/>
      <w:kern w:val="32"/>
      <w:sz w:val="24"/>
      <w:szCs w:val="32"/>
      <w:lang w:val="en-GB" w:eastAsia="en-US"/>
    </w:rPr>
  </w:style>
  <w:style w:type="paragraph" w:customStyle="1" w:styleId="H2">
    <w:name w:val="H2"/>
    <w:uiPriority w:val="99"/>
    <w:rsid w:val="000134CC"/>
    <w:rPr>
      <w:rFonts w:cs="Arial"/>
      <w:b/>
      <w:bCs/>
      <w:iCs/>
      <w:snapToGrid w:val="0"/>
      <w:sz w:val="22"/>
      <w:szCs w:val="28"/>
      <w:lang w:val="en-GB" w:eastAsia="en-US"/>
    </w:rPr>
  </w:style>
  <w:style w:type="paragraph" w:styleId="ListParagraph">
    <w:name w:val="List Paragraph"/>
    <w:basedOn w:val="Normal"/>
    <w:uiPriority w:val="99"/>
    <w:qFormat/>
    <w:rsid w:val="00422669"/>
    <w:pPr>
      <w:ind w:left="720"/>
      <w:contextualSpacing/>
    </w:pPr>
  </w:style>
  <w:style w:type="paragraph" w:styleId="BodyTextIndent2">
    <w:name w:val="Body Text Indent 2"/>
    <w:basedOn w:val="Normal"/>
    <w:link w:val="BodyTextIndent2Char"/>
    <w:rsid w:val="00422669"/>
    <w:pPr>
      <w:spacing w:after="120" w:line="480" w:lineRule="auto"/>
      <w:ind w:left="360"/>
    </w:pPr>
  </w:style>
  <w:style w:type="character" w:customStyle="1" w:styleId="BodyTextIndent2Char">
    <w:name w:val="Body Text Indent 2 Char"/>
    <w:link w:val="BodyTextIndent2"/>
    <w:uiPriority w:val="99"/>
    <w:rsid w:val="00422669"/>
    <w:rPr>
      <w:sz w:val="24"/>
      <w:szCs w:val="24"/>
    </w:rPr>
  </w:style>
  <w:style w:type="character" w:customStyle="1" w:styleId="hps">
    <w:name w:val="hps"/>
    <w:uiPriority w:val="99"/>
    <w:rsid w:val="005268E7"/>
    <w:rPr>
      <w:rFonts w:cs="Times New Roman"/>
    </w:rPr>
  </w:style>
  <w:style w:type="paragraph" w:customStyle="1" w:styleId="Normal1">
    <w:name w:val="Normal1"/>
    <w:basedOn w:val="Normal"/>
    <w:rsid w:val="00921C8D"/>
    <w:rPr>
      <w:rFonts w:eastAsia="MS Mincho"/>
      <w:lang w:eastAsia="ja-JP"/>
    </w:rPr>
  </w:style>
  <w:style w:type="paragraph" w:customStyle="1" w:styleId="body0020text00202">
    <w:name w:val="body_0020text_00202"/>
    <w:basedOn w:val="Normal"/>
    <w:rsid w:val="00921C8D"/>
    <w:pPr>
      <w:spacing w:after="120" w:line="480" w:lineRule="atLeast"/>
    </w:pPr>
    <w:rPr>
      <w:rFonts w:eastAsia="MS Mincho"/>
      <w:lang w:eastAsia="ja-JP"/>
    </w:rPr>
  </w:style>
  <w:style w:type="character" w:customStyle="1" w:styleId="normalchar1">
    <w:name w:val="normal__char1"/>
    <w:rsid w:val="00921C8D"/>
    <w:rPr>
      <w:rFonts w:ascii="Times New Roman" w:hAnsi="Times New Roman" w:cs="Times New Roman" w:hint="default"/>
      <w:sz w:val="24"/>
      <w:szCs w:val="24"/>
    </w:rPr>
  </w:style>
  <w:style w:type="character" w:customStyle="1" w:styleId="HeaderChar">
    <w:name w:val="Header Char"/>
    <w:link w:val="Header"/>
    <w:locked/>
    <w:rsid w:val="00311774"/>
    <w:rPr>
      <w:sz w:val="24"/>
      <w:szCs w:val="24"/>
    </w:rPr>
  </w:style>
  <w:style w:type="character" w:customStyle="1" w:styleId="FootnoteTextChar1">
    <w:name w:val="Footnote Text Char1"/>
    <w:basedOn w:val="DefaultParagraphFont"/>
    <w:rsid w:val="00311774"/>
  </w:style>
  <w:style w:type="character" w:customStyle="1" w:styleId="BodyTextChar">
    <w:name w:val="Body Text Char"/>
    <w:link w:val="BodyText"/>
    <w:rsid w:val="00040C93"/>
    <w:rPr>
      <w:rFonts w:ascii="Arial" w:hAnsi="Arial" w:cs="Arial"/>
    </w:rPr>
  </w:style>
  <w:style w:type="paragraph" w:customStyle="1" w:styleId="normal0020table1">
    <w:name w:val="normal_0020table1"/>
    <w:basedOn w:val="Normal"/>
    <w:rsid w:val="00340AA4"/>
    <w:rPr>
      <w:rFonts w:eastAsia="MS Mincho"/>
      <w:lang w:eastAsia="ja-JP"/>
    </w:rPr>
  </w:style>
  <w:style w:type="character" w:customStyle="1" w:styleId="normal0020tablechar">
    <w:name w:val="normal_0020table__char"/>
    <w:basedOn w:val="DefaultParagraphFont"/>
    <w:rsid w:val="0034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igs.h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ilqhaiti.com" TargetMode="Externa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D8C6-C6E5-412D-B0E9-E470D603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10089</Words>
  <Characters>57511</Characters>
  <Application>Microsoft Office Word</Application>
  <DocSecurity>0</DocSecurity>
  <Lines>479</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Company>
  <LinksUpToDate>false</LinksUpToDate>
  <CharactersWithSpaces>67466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Emmanuel Calixte</cp:lastModifiedBy>
  <cp:revision>4</cp:revision>
  <cp:lastPrinted>2014-03-28T14:38:00Z</cp:lastPrinted>
  <dcterms:created xsi:type="dcterms:W3CDTF">2015-03-18T20:30:00Z</dcterms:created>
  <dcterms:modified xsi:type="dcterms:W3CDTF">2015-03-25T16:56:00Z</dcterms:modified>
</cp:coreProperties>
</file>