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13"/>
        <w:tblW w:w="10050" w:type="dxa"/>
        <w:tblLook w:val="04A0" w:firstRow="1" w:lastRow="0" w:firstColumn="1" w:lastColumn="0" w:noHBand="0" w:noVBand="1"/>
      </w:tblPr>
      <w:tblGrid>
        <w:gridCol w:w="2967"/>
        <w:gridCol w:w="5781"/>
        <w:gridCol w:w="1302"/>
      </w:tblGrid>
      <w:tr w:rsidR="001114B2" w:rsidRPr="00C5660F" w:rsidTr="000E2DE8">
        <w:trPr>
          <w:trHeight w:val="1368"/>
        </w:trPr>
        <w:tc>
          <w:tcPr>
            <w:tcW w:w="2967" w:type="dxa"/>
            <w:shd w:val="clear" w:color="auto" w:fill="auto"/>
          </w:tcPr>
          <w:p w:rsidR="001114B2" w:rsidRPr="00C5660F" w:rsidRDefault="001114B2" w:rsidP="005D5245">
            <w:pPr>
              <w:jc w:val="right"/>
              <w:rPr>
                <w:sz w:val="28"/>
                <w:szCs w:val="28"/>
              </w:rPr>
            </w:pPr>
          </w:p>
          <w:p w:rsidR="001114B2" w:rsidRPr="00C5660F" w:rsidRDefault="001114B2" w:rsidP="005D5245">
            <w:pPr>
              <w:rPr>
                <w:sz w:val="28"/>
                <w:szCs w:val="28"/>
              </w:rPr>
            </w:pPr>
          </w:p>
        </w:tc>
        <w:tc>
          <w:tcPr>
            <w:tcW w:w="5781" w:type="dxa"/>
            <w:shd w:val="clear" w:color="auto" w:fill="auto"/>
          </w:tcPr>
          <w:p w:rsidR="001114B2" w:rsidRDefault="001114B2" w:rsidP="005D5245">
            <w:pPr>
              <w:jc w:val="right"/>
              <w:rPr>
                <w:noProof/>
              </w:rPr>
            </w:pPr>
          </w:p>
          <w:p w:rsidR="001114B2" w:rsidRPr="00C5660F" w:rsidRDefault="007100E0" w:rsidP="000E2DE8">
            <w:pPr>
              <w:jc w:val="right"/>
              <w:rPr>
                <w:b/>
                <w:sz w:val="28"/>
                <w:szCs w:val="28"/>
                <w:u w:val="single"/>
              </w:rPr>
            </w:pPr>
            <w:r>
              <w:rPr>
                <w:noProof/>
              </w:rPr>
              <w:drawing>
                <wp:inline distT="0" distB="0" distL="0" distR="0" wp14:anchorId="2F50342C" wp14:editId="32EE421E">
                  <wp:extent cx="1637665" cy="302260"/>
                  <wp:effectExtent l="19050" t="0" r="635" b="0"/>
                  <wp:docPr id="16" name="Picture 3" descr="UNDG log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G logo solo"/>
                          <pic:cNvPicPr>
                            <a:picLocks noChangeAspect="1" noChangeArrowheads="1"/>
                          </pic:cNvPicPr>
                        </pic:nvPicPr>
                        <pic:blipFill>
                          <a:blip r:embed="rId8" cstate="print"/>
                          <a:srcRect/>
                          <a:stretch>
                            <a:fillRect/>
                          </a:stretch>
                        </pic:blipFill>
                        <pic:spPr bwMode="auto">
                          <a:xfrm>
                            <a:off x="0" y="0"/>
                            <a:ext cx="1637665" cy="302260"/>
                          </a:xfrm>
                          <a:prstGeom prst="rect">
                            <a:avLst/>
                          </a:prstGeom>
                          <a:noFill/>
                          <a:ln w="9525">
                            <a:noFill/>
                            <a:miter lim="800000"/>
                            <a:headEnd/>
                            <a:tailEnd/>
                          </a:ln>
                        </pic:spPr>
                      </pic:pic>
                    </a:graphicData>
                  </a:graphic>
                </wp:inline>
              </w:drawing>
            </w:r>
          </w:p>
        </w:tc>
        <w:tc>
          <w:tcPr>
            <w:tcW w:w="1302" w:type="dxa"/>
            <w:shd w:val="clear" w:color="auto" w:fill="auto"/>
          </w:tcPr>
          <w:p w:rsidR="001114B2" w:rsidRPr="00C5660F" w:rsidRDefault="007100E0" w:rsidP="005D5245">
            <w:pPr>
              <w:jc w:val="right"/>
              <w:rPr>
                <w:b/>
                <w:sz w:val="28"/>
                <w:szCs w:val="28"/>
                <w:u w:val="single"/>
              </w:rPr>
            </w:pPr>
            <w:r>
              <w:rPr>
                <w:b/>
                <w:iCs/>
                <w:noProof/>
                <w:color w:val="333399"/>
              </w:rPr>
              <w:drawing>
                <wp:inline distT="0" distB="0" distL="0" distR="0" wp14:anchorId="796B5355" wp14:editId="2568ED4D">
                  <wp:extent cx="427201"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432698" cy="810395"/>
                          </a:xfrm>
                          <a:prstGeom prst="rect">
                            <a:avLst/>
                          </a:prstGeom>
                          <a:noFill/>
                          <a:ln w="9525">
                            <a:noFill/>
                            <a:miter lim="800000"/>
                            <a:headEnd/>
                            <a:tailEnd/>
                          </a:ln>
                        </pic:spPr>
                      </pic:pic>
                    </a:graphicData>
                  </a:graphic>
                </wp:inline>
              </w:drawing>
            </w:r>
          </w:p>
        </w:tc>
      </w:tr>
    </w:tbl>
    <w:p w:rsidR="000E2DE8" w:rsidRDefault="000E2DE8" w:rsidP="000E2DE8">
      <w:pPr>
        <w:jc w:val="center"/>
        <w:rPr>
          <w:b/>
          <w:bCs/>
          <w:caps/>
        </w:rPr>
      </w:pPr>
      <w:r>
        <w:rPr>
          <w:b/>
          <w:bCs/>
          <w:caps/>
        </w:rPr>
        <w:t>COLLABORATIVE LEADERSHIP and Dialogue</w:t>
      </w:r>
      <w:r w:rsidR="00B74478">
        <w:rPr>
          <w:b/>
          <w:bCs/>
          <w:caps/>
        </w:rPr>
        <w:t xml:space="preserve"> (CLD)</w:t>
      </w:r>
    </w:p>
    <w:p w:rsidR="000E2DE8" w:rsidRDefault="000E2DE8" w:rsidP="000E2DE8">
      <w:pPr>
        <w:jc w:val="center"/>
        <w:rPr>
          <w:b/>
          <w:bCs/>
          <w:caps/>
        </w:rPr>
      </w:pPr>
      <w:r>
        <w:rPr>
          <w:b/>
          <w:bCs/>
          <w:caps/>
        </w:rPr>
        <w:t>MPTF OFfice GENERIC finalprogramme</w:t>
      </w:r>
      <w:r>
        <w:rPr>
          <w:rStyle w:val="FootnoteReference"/>
          <w:b/>
          <w:bCs/>
          <w:caps/>
        </w:rPr>
        <w:footnoteReference w:id="1"/>
      </w:r>
      <w:r>
        <w:rPr>
          <w:b/>
          <w:bCs/>
          <w:caps/>
        </w:rPr>
        <w:t xml:space="preserve"> NARRATIVE </w:t>
      </w:r>
      <w:r w:rsidRPr="00675DCC">
        <w:rPr>
          <w:b/>
          <w:bCs/>
          <w:caps/>
        </w:rPr>
        <w:t xml:space="preserve">report </w:t>
      </w:r>
    </w:p>
    <w:p w:rsidR="00875706" w:rsidRDefault="000E2DE8" w:rsidP="00875706">
      <w:pPr>
        <w:jc w:val="center"/>
        <w:rPr>
          <w:b/>
          <w:bCs/>
          <w:caps/>
        </w:rPr>
      </w:pPr>
      <w:r>
        <w:rPr>
          <w:b/>
          <w:bCs/>
          <w:caps/>
        </w:rPr>
        <w:t xml:space="preserve">REPORTING PERIOD: from </w:t>
      </w:r>
      <w:r w:rsidRPr="000E2DE8">
        <w:rPr>
          <w:b/>
          <w:bCs/>
        </w:rPr>
        <w:t>1 JANUARY 2011</w:t>
      </w:r>
      <w:r w:rsidRPr="000E2DE8">
        <w:rPr>
          <w:b/>
          <w:bCs/>
          <w:caps/>
        </w:rPr>
        <w:t xml:space="preserve"> to</w:t>
      </w:r>
      <w:r>
        <w:rPr>
          <w:b/>
          <w:bCs/>
          <w:caps/>
        </w:rPr>
        <w:t xml:space="preserve"> 30 June 2013</w:t>
      </w:r>
    </w:p>
    <w:tbl>
      <w:tblPr>
        <w:tblW w:w="10732" w:type="dxa"/>
        <w:tblInd w:w="-612" w:type="dxa"/>
        <w:tblLayout w:type="fixed"/>
        <w:tblLook w:val="01E0" w:firstRow="1" w:lastRow="1" w:firstColumn="1" w:lastColumn="1" w:noHBand="0" w:noVBand="0"/>
      </w:tblPr>
      <w:tblGrid>
        <w:gridCol w:w="5142"/>
        <w:gridCol w:w="258"/>
        <w:gridCol w:w="3676"/>
        <w:gridCol w:w="1656"/>
      </w:tblGrid>
      <w:tr w:rsidR="000E2DE8" w:rsidRPr="00947685" w:rsidTr="000E2DE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0E2DE8" w:rsidRPr="00947685" w:rsidRDefault="000E2DE8" w:rsidP="003A5829">
            <w:pPr>
              <w:pStyle w:val="H1"/>
              <w:jc w:val="center"/>
              <w:rPr>
                <w:rFonts w:cs="Times New Roman"/>
              </w:rPr>
            </w:pPr>
            <w:bookmarkStart w:id="0" w:name="_Toc249364482"/>
            <w:r>
              <w:rPr>
                <w:rFonts w:cs="Times New Roman"/>
              </w:rPr>
              <w:t>Programme Title &amp; Project Number</w:t>
            </w:r>
          </w:p>
        </w:tc>
        <w:tc>
          <w:tcPr>
            <w:tcW w:w="258" w:type="dxa"/>
            <w:vMerge w:val="restart"/>
            <w:tcBorders>
              <w:left w:val="single" w:sz="4" w:space="0" w:color="auto"/>
              <w:right w:val="single" w:sz="4" w:space="0" w:color="auto"/>
            </w:tcBorders>
            <w:vAlign w:val="center"/>
          </w:tcPr>
          <w:p w:rsidR="000E2DE8" w:rsidRPr="00947685" w:rsidRDefault="000E2DE8" w:rsidP="003A5829">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rsidR="000E2DE8" w:rsidRPr="00E407A4" w:rsidRDefault="000E2DE8" w:rsidP="003A5829">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2"/>
            </w:r>
          </w:p>
        </w:tc>
      </w:tr>
      <w:tr w:rsidR="000E2DE8" w:rsidRPr="00947685" w:rsidTr="000E2DE8">
        <w:trPr>
          <w:trHeight w:val="300"/>
        </w:trPr>
        <w:tc>
          <w:tcPr>
            <w:tcW w:w="5142" w:type="dxa"/>
            <w:vMerge w:val="restart"/>
            <w:tcBorders>
              <w:left w:val="single" w:sz="4" w:space="0" w:color="auto"/>
              <w:right w:val="single" w:sz="4" w:space="0" w:color="auto"/>
            </w:tcBorders>
          </w:tcPr>
          <w:p w:rsidR="000E2DE8" w:rsidRPr="005411F9" w:rsidRDefault="000E2DE8" w:rsidP="000E2DE8">
            <w:pPr>
              <w:pStyle w:val="BodyText"/>
              <w:numPr>
                <w:ilvl w:val="0"/>
                <w:numId w:val="3"/>
              </w:numPr>
              <w:spacing w:before="60" w:after="60"/>
              <w:ind w:left="342"/>
              <w:rPr>
                <w:rFonts w:ascii="Times New Roman" w:hAnsi="Times New Roman"/>
                <w:bCs/>
                <w:iCs/>
                <w:snapToGrid w:val="0"/>
                <w:szCs w:val="28"/>
              </w:rPr>
            </w:pPr>
            <w:r w:rsidRPr="009A75F8">
              <w:rPr>
                <w:rFonts w:ascii="Times New Roman" w:hAnsi="Times New Roman"/>
                <w:bCs/>
                <w:iCs/>
                <w:snapToGrid w:val="0"/>
                <w:szCs w:val="28"/>
              </w:rPr>
              <w:t>Programme Title:</w:t>
            </w:r>
            <w:r>
              <w:rPr>
                <w:rFonts w:ascii="Times New Roman" w:hAnsi="Times New Roman"/>
                <w:bCs/>
                <w:iCs/>
                <w:snapToGrid w:val="0"/>
                <w:szCs w:val="28"/>
              </w:rPr>
              <w:t xml:space="preserve"> Collaborative Leadership and Dialogue (CLD)</w:t>
            </w:r>
          </w:p>
          <w:p w:rsidR="000E2DE8" w:rsidRPr="00D14F94" w:rsidRDefault="000E2DE8" w:rsidP="000E2DE8">
            <w:pPr>
              <w:pStyle w:val="BodyText"/>
              <w:numPr>
                <w:ilvl w:val="0"/>
                <w:numId w:val="3"/>
              </w:numPr>
              <w:spacing w:before="60" w:after="60"/>
              <w:ind w:left="342"/>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Pr>
                <w:rFonts w:ascii="Times New Roman" w:hAnsi="Times New Roman" w:cs="Times New Roman"/>
                <w:bCs/>
                <w:i/>
                <w:iCs/>
                <w:snapToGrid w:val="0"/>
                <w:sz w:val="18"/>
                <w:szCs w:val="18"/>
                <w:lang w:val="en-GB"/>
              </w:rPr>
              <w:t xml:space="preserve"> </w:t>
            </w:r>
            <w:r w:rsidRPr="002E6E33">
              <w:rPr>
                <w:rFonts w:ascii="Times New Roman" w:hAnsi="Times New Roman" w:cs="Times New Roman"/>
                <w:bCs/>
                <w:iCs/>
                <w:snapToGrid w:val="0"/>
                <w:szCs w:val="18"/>
                <w:lang w:val="en-GB"/>
              </w:rPr>
              <w:t>UNPFN/B-3</w:t>
            </w:r>
          </w:p>
          <w:p w:rsidR="000E2DE8" w:rsidRPr="001F0CA6" w:rsidRDefault="000E2DE8" w:rsidP="000E2DE8">
            <w:pPr>
              <w:pStyle w:val="BodyText"/>
              <w:numPr>
                <w:ilvl w:val="0"/>
                <w:numId w:val="3"/>
              </w:numPr>
              <w:spacing w:before="60" w:after="60"/>
              <w:ind w:left="342"/>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3"/>
            </w:r>
            <w:r>
              <w:rPr>
                <w:rFonts w:ascii="Times New Roman" w:hAnsi="Times New Roman"/>
                <w:i/>
              </w:rPr>
              <w:t xml:space="preserve"> </w:t>
            </w:r>
            <w:r>
              <w:t>00080268</w:t>
            </w:r>
          </w:p>
        </w:tc>
        <w:tc>
          <w:tcPr>
            <w:tcW w:w="258" w:type="dxa"/>
            <w:vMerge/>
            <w:tcBorders>
              <w:left w:val="single" w:sz="4" w:space="0" w:color="auto"/>
              <w:right w:val="single" w:sz="4" w:space="0" w:color="auto"/>
            </w:tcBorders>
          </w:tcPr>
          <w:p w:rsidR="000E2DE8" w:rsidRPr="00947685" w:rsidRDefault="000E2DE8" w:rsidP="003A5829">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rsidR="000E2DE8" w:rsidRPr="003F480D" w:rsidRDefault="000E2DE8" w:rsidP="003A5829">
            <w:pPr>
              <w:pStyle w:val="BodyText"/>
              <w:rPr>
                <w:rFonts w:ascii="Times New Roman" w:hAnsi="Times New Roman"/>
                <w:bCs/>
                <w:i/>
                <w:iCs/>
                <w:snapToGrid w:val="0"/>
              </w:rPr>
            </w:pPr>
            <w:r w:rsidRPr="003F480D">
              <w:rPr>
                <w:rFonts w:ascii="Times New Roman" w:hAnsi="Times New Roman"/>
                <w:bCs/>
                <w:i/>
                <w:iCs/>
                <w:snapToGrid w:val="0"/>
              </w:rPr>
              <w:t>(if applicable)</w:t>
            </w:r>
          </w:p>
          <w:p w:rsidR="000E2DE8" w:rsidRPr="00E33FD1" w:rsidRDefault="000E2DE8" w:rsidP="003A5829">
            <w:pPr>
              <w:pStyle w:val="BodyText"/>
              <w:rPr>
                <w:rFonts w:ascii="Times New Roman" w:hAnsi="Times New Roman"/>
                <w:bCs/>
                <w:iCs/>
                <w:snapToGrid w:val="0"/>
              </w:rPr>
            </w:pPr>
            <w:r w:rsidRPr="003F480D">
              <w:rPr>
                <w:rFonts w:ascii="Times New Roman" w:hAnsi="Times New Roman"/>
                <w:bCs/>
                <w:i/>
                <w:iCs/>
                <w:snapToGrid w:val="0"/>
              </w:rPr>
              <w:t>Country/Region</w:t>
            </w:r>
            <w:r>
              <w:rPr>
                <w:rFonts w:ascii="Times New Roman" w:hAnsi="Times New Roman"/>
                <w:bCs/>
                <w:i/>
                <w:iCs/>
                <w:snapToGrid w:val="0"/>
              </w:rPr>
              <w:t xml:space="preserve">: </w:t>
            </w:r>
            <w:r>
              <w:rPr>
                <w:rFonts w:ascii="Times New Roman" w:hAnsi="Times New Roman"/>
                <w:bCs/>
                <w:iCs/>
                <w:snapToGrid w:val="0"/>
              </w:rPr>
              <w:t xml:space="preserve"> Nepal</w:t>
            </w:r>
          </w:p>
        </w:tc>
      </w:tr>
      <w:tr w:rsidR="000E2DE8" w:rsidRPr="00947685" w:rsidTr="00D111CD">
        <w:trPr>
          <w:trHeight w:val="426"/>
        </w:trPr>
        <w:tc>
          <w:tcPr>
            <w:tcW w:w="5142" w:type="dxa"/>
            <w:vMerge/>
            <w:tcBorders>
              <w:left w:val="single" w:sz="4" w:space="0" w:color="auto"/>
              <w:bottom w:val="single" w:sz="4" w:space="0" w:color="auto"/>
              <w:right w:val="single" w:sz="4" w:space="0" w:color="auto"/>
            </w:tcBorders>
          </w:tcPr>
          <w:p w:rsidR="000E2DE8" w:rsidRPr="009A75F8" w:rsidRDefault="000E2DE8" w:rsidP="000E2DE8">
            <w:pPr>
              <w:pStyle w:val="BodyText"/>
              <w:numPr>
                <w:ilvl w:val="0"/>
                <w:numId w:val="3"/>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rsidR="000E2DE8" w:rsidRPr="00947685" w:rsidRDefault="000E2DE8" w:rsidP="003A5829">
            <w:pPr>
              <w:pStyle w:val="BodyText"/>
              <w:rPr>
                <w:rFonts w:ascii="Times New Roman" w:hAnsi="Times New Roman"/>
              </w:rPr>
            </w:pPr>
          </w:p>
        </w:tc>
        <w:tc>
          <w:tcPr>
            <w:tcW w:w="5332" w:type="dxa"/>
            <w:gridSpan w:val="2"/>
            <w:tcBorders>
              <w:top w:val="single" w:sz="4" w:space="0" w:color="auto"/>
              <w:left w:val="single" w:sz="4" w:space="0" w:color="auto"/>
              <w:bottom w:val="single" w:sz="4" w:space="0" w:color="auto"/>
              <w:right w:val="single" w:sz="4" w:space="0" w:color="auto"/>
            </w:tcBorders>
          </w:tcPr>
          <w:p w:rsidR="000E2DE8" w:rsidRDefault="000E2DE8" w:rsidP="003A5829">
            <w:pPr>
              <w:pStyle w:val="BodyText"/>
              <w:rPr>
                <w:rFonts w:ascii="Times New Roman" w:hAnsi="Times New Roman"/>
                <w:bCs/>
                <w:i/>
                <w:iCs/>
                <w:snapToGrid w:val="0"/>
              </w:rPr>
            </w:pPr>
            <w:r w:rsidRPr="003F480D">
              <w:rPr>
                <w:rFonts w:ascii="Times New Roman" w:hAnsi="Times New Roman"/>
                <w:bCs/>
                <w:i/>
                <w:iCs/>
                <w:snapToGrid w:val="0"/>
              </w:rPr>
              <w:t xml:space="preserve">Priority area/ strategic results </w:t>
            </w:r>
          </w:p>
          <w:p w:rsidR="000E2DE8" w:rsidRPr="003F480D" w:rsidRDefault="000E2DE8" w:rsidP="003A5829">
            <w:pPr>
              <w:pStyle w:val="BodyText"/>
              <w:rPr>
                <w:rFonts w:ascii="Times New Roman" w:hAnsi="Times New Roman"/>
                <w:bCs/>
                <w:i/>
                <w:iCs/>
                <w:snapToGrid w:val="0"/>
              </w:rPr>
            </w:pPr>
            <w:r w:rsidRPr="002E1776">
              <w:rPr>
                <w:rFonts w:ascii="Times New Roman" w:hAnsi="Times New Roman"/>
                <w:bCs/>
                <w:iCs/>
                <w:snapToGrid w:val="0"/>
                <w:szCs w:val="28"/>
              </w:rPr>
              <w:t>An inclusive and gender-representative culture of dialogue and conflict transformation is expanded and strengthened, contributing to conflict prevention and social cohesion during Nepal’s transitional peace-building process.</w:t>
            </w:r>
          </w:p>
        </w:tc>
      </w:tr>
      <w:tr w:rsidR="000E2DE8" w:rsidRPr="00947685" w:rsidTr="000E2DE8">
        <w:trPr>
          <w:trHeight w:val="278"/>
        </w:trPr>
        <w:tc>
          <w:tcPr>
            <w:tcW w:w="5142" w:type="dxa"/>
            <w:tcBorders>
              <w:top w:val="single" w:sz="4" w:space="0" w:color="auto"/>
              <w:left w:val="single" w:sz="4" w:space="0" w:color="auto"/>
              <w:right w:val="single" w:sz="4" w:space="0" w:color="auto"/>
            </w:tcBorders>
            <w:shd w:val="clear" w:color="auto" w:fill="F3F3F3"/>
            <w:vAlign w:val="center"/>
          </w:tcPr>
          <w:p w:rsidR="000E2DE8" w:rsidRPr="00947685" w:rsidRDefault="000E2DE8" w:rsidP="003A5829">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rsidR="000E2DE8" w:rsidRPr="00947685" w:rsidRDefault="000E2DE8" w:rsidP="003A5829">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rsidR="000E2DE8" w:rsidRPr="00947685" w:rsidRDefault="000E2DE8" w:rsidP="003A5829">
            <w:pPr>
              <w:pStyle w:val="H1"/>
              <w:jc w:val="center"/>
              <w:rPr>
                <w:rFonts w:cs="Times New Roman"/>
                <w:sz w:val="20"/>
              </w:rPr>
            </w:pPr>
            <w:r>
              <w:rPr>
                <w:rFonts w:cs="Times New Roman"/>
              </w:rPr>
              <w:t>Implementing Partners</w:t>
            </w:r>
          </w:p>
        </w:tc>
      </w:tr>
      <w:tr w:rsidR="000E2DE8" w:rsidRPr="00947685" w:rsidTr="000E2DE8">
        <w:trPr>
          <w:trHeight w:val="594"/>
        </w:trPr>
        <w:tc>
          <w:tcPr>
            <w:tcW w:w="5142" w:type="dxa"/>
            <w:tcBorders>
              <w:left w:val="single" w:sz="4" w:space="0" w:color="auto"/>
              <w:bottom w:val="single" w:sz="4" w:space="0" w:color="auto"/>
              <w:right w:val="single" w:sz="4" w:space="0" w:color="auto"/>
            </w:tcBorders>
          </w:tcPr>
          <w:p w:rsidR="000E2DE8" w:rsidRPr="00E33FD1" w:rsidRDefault="000E2DE8" w:rsidP="000E2DE8">
            <w:pPr>
              <w:pStyle w:val="BodyText"/>
              <w:numPr>
                <w:ilvl w:val="0"/>
                <w:numId w:val="7"/>
              </w:numPr>
              <w:ind w:left="342" w:hanging="342"/>
              <w:rPr>
                <w:rFonts w:ascii="Times New Roman" w:hAnsi="Times New Roman"/>
              </w:rPr>
            </w:pPr>
            <w:r w:rsidRPr="0070378C">
              <w:rPr>
                <w:rFonts w:ascii="Times New Roman" w:hAnsi="Times New Roman"/>
              </w:rPr>
              <w:t>Organizations</w:t>
            </w:r>
            <w:r>
              <w:rPr>
                <w:rFonts w:ascii="Times New Roman" w:hAnsi="Times New Roman"/>
              </w:rPr>
              <w:t xml:space="preserve"> that have received direct funding from the MPTF Office under this programme</w:t>
            </w:r>
          </w:p>
        </w:tc>
        <w:tc>
          <w:tcPr>
            <w:tcW w:w="258" w:type="dxa"/>
            <w:vMerge/>
            <w:tcBorders>
              <w:left w:val="single" w:sz="4" w:space="0" w:color="auto"/>
              <w:right w:val="single" w:sz="4" w:space="0" w:color="auto"/>
            </w:tcBorders>
          </w:tcPr>
          <w:p w:rsidR="000E2DE8" w:rsidRPr="00947685" w:rsidRDefault="000E2DE8" w:rsidP="003A5829">
            <w:pPr>
              <w:pStyle w:val="BodyText"/>
              <w:rPr>
                <w:rFonts w:ascii="Times New Roman" w:hAnsi="Times New Roman"/>
              </w:rPr>
            </w:pPr>
          </w:p>
        </w:tc>
        <w:tc>
          <w:tcPr>
            <w:tcW w:w="5332" w:type="dxa"/>
            <w:gridSpan w:val="2"/>
            <w:tcBorders>
              <w:left w:val="single" w:sz="4" w:space="0" w:color="auto"/>
              <w:right w:val="single" w:sz="4" w:space="0" w:color="auto"/>
            </w:tcBorders>
          </w:tcPr>
          <w:p w:rsidR="000E2DE8" w:rsidRPr="009E3952" w:rsidRDefault="000E2DE8" w:rsidP="000E2DE8">
            <w:pPr>
              <w:pStyle w:val="BodyText"/>
              <w:numPr>
                <w:ilvl w:val="0"/>
                <w:numId w:val="4"/>
              </w:numPr>
              <w:spacing w:before="60" w:after="60"/>
              <w:ind w:left="376"/>
              <w:jc w:val="both"/>
              <w:rPr>
                <w:rFonts w:ascii="Times New Roman" w:hAnsi="Times New Roman"/>
                <w:bCs/>
                <w:iCs/>
                <w:snapToGrid w:val="0"/>
                <w:color w:val="000000"/>
                <w:szCs w:val="28"/>
              </w:rPr>
            </w:pPr>
            <w:r w:rsidRPr="009A75F8">
              <w:rPr>
                <w:rFonts w:ascii="Times New Roman" w:hAnsi="Times New Roman"/>
                <w:bCs/>
                <w:iCs/>
                <w:snapToGrid w:val="0"/>
                <w:color w:val="000000"/>
                <w:szCs w:val="28"/>
              </w:rPr>
              <w:t>National counterparts (government, private, NGOs &amp; others)</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p>
        </w:tc>
      </w:tr>
      <w:tr w:rsidR="000E2DE8" w:rsidRPr="00F75023" w:rsidTr="000E2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142" w:type="dxa"/>
            <w:tcBorders>
              <w:top w:val="single" w:sz="4" w:space="0" w:color="auto"/>
              <w:left w:val="single" w:sz="4" w:space="0" w:color="auto"/>
              <w:bottom w:val="single" w:sz="4" w:space="0" w:color="auto"/>
              <w:right w:val="single" w:sz="4" w:space="0" w:color="auto"/>
            </w:tcBorders>
            <w:shd w:val="clear" w:color="auto" w:fill="F2F2F2"/>
            <w:vAlign w:val="center"/>
          </w:tcPr>
          <w:p w:rsidR="000E2DE8" w:rsidRPr="00F75023" w:rsidRDefault="000E2DE8" w:rsidP="003A5829">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rsidR="000E2DE8" w:rsidRPr="00F75023" w:rsidRDefault="000E2DE8" w:rsidP="003A5829">
            <w:pPr>
              <w:pStyle w:val="H1"/>
              <w:jc w:val="center"/>
              <w:rPr>
                <w:rFonts w:cs="Times New Roman"/>
              </w:rPr>
            </w:pPr>
          </w:p>
        </w:tc>
        <w:tc>
          <w:tcPr>
            <w:tcW w:w="5332" w:type="dxa"/>
            <w:gridSpan w:val="2"/>
            <w:tcBorders>
              <w:top w:val="nil"/>
              <w:left w:val="single" w:sz="4" w:space="0" w:color="auto"/>
              <w:bottom w:val="nil"/>
              <w:right w:val="single" w:sz="4" w:space="0" w:color="auto"/>
            </w:tcBorders>
            <w:shd w:val="clear" w:color="auto" w:fill="F2F2F2"/>
            <w:vAlign w:val="center"/>
          </w:tcPr>
          <w:p w:rsidR="000E2DE8" w:rsidRPr="00F75023" w:rsidRDefault="000E2DE8" w:rsidP="003A5829">
            <w:pPr>
              <w:pStyle w:val="H1"/>
              <w:jc w:val="center"/>
              <w:rPr>
                <w:rFonts w:cs="Times New Roman"/>
              </w:rPr>
            </w:pPr>
            <w:r>
              <w:rPr>
                <w:rFonts w:cs="Times New Roman"/>
              </w:rPr>
              <w:t>Programme Duration</w:t>
            </w:r>
          </w:p>
        </w:tc>
      </w:tr>
      <w:tr w:rsidR="000E2DE8" w:rsidRPr="00F75023" w:rsidTr="000E2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5142" w:type="dxa"/>
            <w:tcBorders>
              <w:top w:val="single" w:sz="4" w:space="0" w:color="auto"/>
              <w:left w:val="single" w:sz="4" w:space="0" w:color="auto"/>
              <w:bottom w:val="nil"/>
              <w:right w:val="single" w:sz="4" w:space="0" w:color="auto"/>
            </w:tcBorders>
            <w:shd w:val="clear" w:color="auto" w:fill="auto"/>
            <w:vAlign w:val="center"/>
          </w:tcPr>
          <w:p w:rsidR="000E2DE8" w:rsidRPr="003F480D" w:rsidRDefault="000E2DE8" w:rsidP="003A5829">
            <w:pPr>
              <w:pStyle w:val="H2"/>
              <w:rPr>
                <w:rFonts w:cs="Times New Roman"/>
                <w:b w:val="0"/>
                <w:sz w:val="20"/>
                <w:szCs w:val="20"/>
              </w:rPr>
            </w:pPr>
            <w:r w:rsidRPr="003F480D">
              <w:rPr>
                <w:rFonts w:cs="Times New Roman"/>
                <w:b w:val="0"/>
                <w:sz w:val="20"/>
                <w:szCs w:val="20"/>
              </w:rPr>
              <w:t xml:space="preserve">Total approved budget as per project document: </w:t>
            </w:r>
            <w:r>
              <w:rPr>
                <w:rFonts w:cs="Times New Roman"/>
                <w:b w:val="0"/>
                <w:sz w:val="20"/>
                <w:szCs w:val="20"/>
              </w:rPr>
              <w:t xml:space="preserve"> $299,800</w:t>
            </w:r>
          </w:p>
          <w:p w:rsidR="000E2DE8" w:rsidRPr="003F480D" w:rsidRDefault="000E2DE8" w:rsidP="003A5829">
            <w:pPr>
              <w:pStyle w:val="H2"/>
              <w:rPr>
                <w:rFonts w:cs="Times New Roman"/>
                <w:b w:val="0"/>
                <w:sz w:val="20"/>
                <w:szCs w:val="20"/>
              </w:rPr>
            </w:pPr>
            <w:r w:rsidRPr="003F480D">
              <w:rPr>
                <w:rFonts w:cs="Times New Roman"/>
                <w:b w:val="0"/>
                <w:sz w:val="20"/>
                <w:szCs w:val="20"/>
              </w:rPr>
              <w:t>MPTF /JP Contribution</w:t>
            </w:r>
            <w:r w:rsidRPr="003F480D">
              <w:rPr>
                <w:rStyle w:val="FootnoteReference"/>
                <w:rFonts w:cs="Times New Roman"/>
                <w:b w:val="0"/>
                <w:sz w:val="20"/>
                <w:szCs w:val="20"/>
              </w:rPr>
              <w:footnoteReference w:id="4"/>
            </w:r>
            <w:r>
              <w:rPr>
                <w:rFonts w:cs="Times New Roman"/>
                <w:b w:val="0"/>
                <w:sz w:val="20"/>
                <w:szCs w:val="20"/>
              </w:rPr>
              <w:t>: 299,800</w:t>
            </w:r>
          </w:p>
          <w:p w:rsidR="000E2DE8" w:rsidRPr="00D111CD" w:rsidRDefault="000E2DE8" w:rsidP="003A5829">
            <w:pPr>
              <w:pStyle w:val="BodyText"/>
              <w:rPr>
                <w:rFonts w:ascii="Times New Roman" w:hAnsi="Times New Roman" w:cs="Times New Roman"/>
                <w:color w:val="000000"/>
              </w:rPr>
            </w:pPr>
            <w:r w:rsidRPr="00D111CD">
              <w:rPr>
                <w:rFonts w:ascii="Times New Roman" w:hAnsi="Times New Roman" w:cs="Times New Roman"/>
                <w:b/>
                <w:i/>
                <w:sz w:val="18"/>
                <w:szCs w:val="18"/>
              </w:rPr>
              <w:t>by Agency (if applicable)</w:t>
            </w:r>
          </w:p>
        </w:tc>
        <w:tc>
          <w:tcPr>
            <w:tcW w:w="258" w:type="dxa"/>
            <w:tcBorders>
              <w:top w:val="nil"/>
              <w:left w:val="single" w:sz="4" w:space="0" w:color="auto"/>
              <w:bottom w:val="nil"/>
              <w:right w:val="single" w:sz="4" w:space="0" w:color="auto"/>
            </w:tcBorders>
            <w:shd w:val="clear" w:color="auto" w:fill="auto"/>
            <w:vAlign w:val="center"/>
          </w:tcPr>
          <w:p w:rsidR="000E2DE8" w:rsidRPr="00F75023" w:rsidRDefault="000E2DE8" w:rsidP="003A5829">
            <w:pPr>
              <w:pStyle w:val="BodyText"/>
              <w:rPr>
                <w:rFonts w:ascii="Times New Roman" w:hAnsi="Times New Roman"/>
              </w:rPr>
            </w:pPr>
          </w:p>
        </w:tc>
        <w:tc>
          <w:tcPr>
            <w:tcW w:w="5332" w:type="dxa"/>
            <w:gridSpan w:val="2"/>
            <w:tcBorders>
              <w:top w:val="nil"/>
              <w:left w:val="single" w:sz="4" w:space="0" w:color="auto"/>
              <w:bottom w:val="nil"/>
              <w:right w:val="single" w:sz="4" w:space="0" w:color="auto"/>
            </w:tcBorders>
            <w:shd w:val="clear" w:color="auto" w:fill="auto"/>
            <w:vAlign w:val="center"/>
          </w:tcPr>
          <w:p w:rsidR="000E2DE8" w:rsidRDefault="000E2DE8" w:rsidP="003A5829">
            <w:pPr>
              <w:pStyle w:val="BodyText"/>
              <w:rPr>
                <w:rFonts w:ascii="Times New Roman" w:hAnsi="Times New Roman"/>
                <w:i/>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Pr>
                <w:rFonts w:ascii="Times New Roman" w:hAnsi="Times New Roman"/>
                <w:i/>
              </w:rPr>
              <w:t xml:space="preserve">: 33 months </w:t>
            </w:r>
          </w:p>
          <w:p w:rsidR="000E2DE8" w:rsidRPr="00F75023" w:rsidRDefault="000E2DE8" w:rsidP="00642CD8">
            <w:pPr>
              <w:pStyle w:val="BodyText"/>
              <w:widowControl w:val="0"/>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5"/>
            </w:r>
            <w:r>
              <w:rPr>
                <w:rFonts w:ascii="Times New Roman" w:hAnsi="Times New Roman"/>
              </w:rPr>
              <w:t xml:space="preserve"> </w:t>
            </w:r>
            <w:r>
              <w:rPr>
                <w:rFonts w:ascii="Times New Roman" w:hAnsi="Times New Roman"/>
                <w:i/>
              </w:rPr>
              <w:t>Oct</w:t>
            </w:r>
            <w:r w:rsidR="00642CD8">
              <w:rPr>
                <w:rFonts w:ascii="Times New Roman" w:hAnsi="Times New Roman"/>
                <w:i/>
              </w:rPr>
              <w:t>o</w:t>
            </w:r>
            <w:r>
              <w:rPr>
                <w:rFonts w:ascii="Times New Roman" w:hAnsi="Times New Roman"/>
                <w:i/>
              </w:rPr>
              <w:t>ber 2010</w:t>
            </w:r>
          </w:p>
        </w:tc>
      </w:tr>
      <w:tr w:rsidR="000E2DE8" w:rsidRPr="00F75023" w:rsidTr="000E2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42" w:type="dxa"/>
            <w:tcBorders>
              <w:top w:val="nil"/>
              <w:left w:val="single" w:sz="4" w:space="0" w:color="auto"/>
              <w:bottom w:val="nil"/>
              <w:right w:val="single" w:sz="4" w:space="0" w:color="auto"/>
            </w:tcBorders>
            <w:shd w:val="clear" w:color="auto" w:fill="auto"/>
            <w:vAlign w:val="center"/>
          </w:tcPr>
          <w:p w:rsidR="000E2DE8" w:rsidRPr="00D111CD" w:rsidRDefault="000E2DE8" w:rsidP="00D111CD">
            <w:pPr>
              <w:pStyle w:val="H2"/>
              <w:rPr>
                <w:rFonts w:cs="Times New Roman"/>
                <w:color w:val="000000"/>
              </w:rPr>
            </w:pPr>
            <w:r w:rsidRPr="003F480D">
              <w:rPr>
                <w:rFonts w:cs="Times New Roman"/>
                <w:b w:val="0"/>
                <w:sz w:val="20"/>
                <w:szCs w:val="20"/>
              </w:rPr>
              <w:t>Agency Contribution</w:t>
            </w:r>
            <w:r w:rsidR="00D111CD">
              <w:rPr>
                <w:rFonts w:cs="Times New Roman"/>
                <w:b w:val="0"/>
                <w:sz w:val="20"/>
                <w:szCs w:val="20"/>
              </w:rPr>
              <w:t xml:space="preserve"> </w:t>
            </w:r>
            <w:r w:rsidRPr="00D111CD">
              <w:rPr>
                <w:rFonts w:cs="Times New Roman"/>
                <w:b w:val="0"/>
                <w:i/>
                <w:sz w:val="18"/>
                <w:szCs w:val="18"/>
              </w:rPr>
              <w:t>by Agency (if applicable)</w:t>
            </w:r>
          </w:p>
        </w:tc>
        <w:tc>
          <w:tcPr>
            <w:tcW w:w="258" w:type="dxa"/>
            <w:tcBorders>
              <w:top w:val="nil"/>
              <w:left w:val="single" w:sz="4" w:space="0" w:color="auto"/>
              <w:bottom w:val="nil"/>
              <w:right w:val="single" w:sz="4" w:space="0" w:color="auto"/>
            </w:tcBorders>
            <w:shd w:val="clear" w:color="auto" w:fill="auto"/>
            <w:vAlign w:val="center"/>
          </w:tcPr>
          <w:p w:rsidR="000E2DE8" w:rsidRPr="00F75023" w:rsidRDefault="000E2DE8" w:rsidP="003A5829">
            <w:pPr>
              <w:pStyle w:val="BodyText"/>
              <w:rPr>
                <w:rFonts w:ascii="Times New Roman" w:hAnsi="Times New Roman"/>
              </w:rPr>
            </w:pPr>
          </w:p>
        </w:tc>
        <w:tc>
          <w:tcPr>
            <w:tcW w:w="5332" w:type="dxa"/>
            <w:gridSpan w:val="2"/>
            <w:tcBorders>
              <w:top w:val="nil"/>
              <w:left w:val="single" w:sz="4" w:space="0" w:color="auto"/>
              <w:bottom w:val="nil"/>
              <w:right w:val="single" w:sz="4" w:space="0" w:color="auto"/>
            </w:tcBorders>
            <w:shd w:val="clear" w:color="auto" w:fill="auto"/>
            <w:vAlign w:val="center"/>
          </w:tcPr>
          <w:p w:rsidR="000E2DE8" w:rsidRPr="00F75023" w:rsidRDefault="000E2DE8" w:rsidP="00642CD8">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6"/>
            </w:r>
            <w:r>
              <w:rPr>
                <w:rFonts w:ascii="Times New Roman" w:hAnsi="Times New Roman"/>
              </w:rPr>
              <w:t xml:space="preserve"> </w:t>
            </w:r>
            <w:r>
              <w:rPr>
                <w:rFonts w:ascii="Times New Roman" w:hAnsi="Times New Roman"/>
                <w:i/>
              </w:rPr>
              <w:t>Oct</w:t>
            </w:r>
            <w:r w:rsidR="00642CD8">
              <w:rPr>
                <w:rFonts w:ascii="Times New Roman" w:hAnsi="Times New Roman"/>
                <w:i/>
              </w:rPr>
              <w:t>o</w:t>
            </w:r>
            <w:bookmarkStart w:id="1" w:name="_GoBack"/>
            <w:bookmarkEnd w:id="1"/>
            <w:r>
              <w:rPr>
                <w:rFonts w:ascii="Times New Roman" w:hAnsi="Times New Roman"/>
                <w:i/>
              </w:rPr>
              <w:t>ber 2010</w:t>
            </w:r>
          </w:p>
        </w:tc>
      </w:tr>
      <w:tr w:rsidR="000E2DE8" w:rsidRPr="00F75023" w:rsidTr="000E2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42" w:type="dxa"/>
            <w:tcBorders>
              <w:top w:val="nil"/>
              <w:left w:val="single" w:sz="4" w:space="0" w:color="auto"/>
              <w:bottom w:val="nil"/>
              <w:right w:val="single" w:sz="4" w:space="0" w:color="auto"/>
            </w:tcBorders>
            <w:shd w:val="clear" w:color="auto" w:fill="D9D9D9"/>
            <w:vAlign w:val="center"/>
          </w:tcPr>
          <w:p w:rsidR="000E2DE8" w:rsidRPr="00833157" w:rsidRDefault="000E2DE8" w:rsidP="000E2DE8">
            <w:pPr>
              <w:pStyle w:val="H2"/>
              <w:rPr>
                <w:color w:val="000000"/>
              </w:rPr>
            </w:pPr>
            <w:r w:rsidRPr="003F480D">
              <w:rPr>
                <w:rFonts w:cs="Times New Roman"/>
                <w:b w:val="0"/>
                <w:sz w:val="20"/>
                <w:szCs w:val="20"/>
              </w:rPr>
              <w:t>Government Contribution</w:t>
            </w:r>
          </w:p>
        </w:tc>
        <w:tc>
          <w:tcPr>
            <w:tcW w:w="258" w:type="dxa"/>
            <w:tcBorders>
              <w:top w:val="nil"/>
              <w:left w:val="single" w:sz="4" w:space="0" w:color="auto"/>
              <w:bottom w:val="nil"/>
              <w:right w:val="single" w:sz="4" w:space="0" w:color="auto"/>
            </w:tcBorders>
            <w:shd w:val="clear" w:color="auto" w:fill="auto"/>
            <w:vAlign w:val="center"/>
          </w:tcPr>
          <w:p w:rsidR="000E2DE8" w:rsidRPr="00F75023" w:rsidRDefault="000E2DE8" w:rsidP="003A5829">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rsidR="000E2DE8" w:rsidRPr="00B74478" w:rsidRDefault="000E2DE8" w:rsidP="003A5829">
            <w:pPr>
              <w:pStyle w:val="BodyText"/>
              <w:rPr>
                <w:rFonts w:ascii="Times New Roman" w:hAnsi="Times New Roman"/>
                <w:i/>
              </w:rPr>
            </w:pPr>
            <w:r w:rsidRPr="00B74478">
              <w:rPr>
                <w:rFonts w:ascii="Times New Roman" w:hAnsi="Times New Roman"/>
              </w:rPr>
              <w:t>Actual End date</w:t>
            </w:r>
            <w:r w:rsidRPr="00B74478">
              <w:rPr>
                <w:rStyle w:val="FootnoteReference"/>
                <w:rFonts w:ascii="Times New Roman" w:hAnsi="Times New Roman"/>
              </w:rPr>
              <w:footnoteReference w:id="7"/>
            </w:r>
            <w:r w:rsidRPr="00B74478">
              <w:rPr>
                <w:rFonts w:ascii="Times New Roman" w:hAnsi="Times New Roman"/>
                <w:i/>
              </w:rPr>
              <w:t xml:space="preserve"> June 2013</w:t>
            </w:r>
          </w:p>
          <w:p w:rsidR="000E2DE8" w:rsidRPr="00B74478" w:rsidRDefault="000E2DE8" w:rsidP="003A5829">
            <w:pPr>
              <w:pStyle w:val="BodyText"/>
              <w:rPr>
                <w:rFonts w:ascii="Times New Roman" w:hAnsi="Times New Roman"/>
              </w:rPr>
            </w:pPr>
            <w:r w:rsidRPr="00B74478">
              <w:rPr>
                <w:rFonts w:ascii="Times New Roman" w:hAnsi="Times New Roman"/>
              </w:rPr>
              <w:t xml:space="preserve">Have agency(ies) operationally closed the Programme in its(their) system? </w:t>
            </w:r>
          </w:p>
        </w:tc>
        <w:tc>
          <w:tcPr>
            <w:tcW w:w="1656" w:type="dxa"/>
            <w:tcBorders>
              <w:top w:val="nil"/>
              <w:left w:val="nil"/>
              <w:bottom w:val="nil"/>
              <w:right w:val="single" w:sz="4" w:space="0" w:color="auto"/>
            </w:tcBorders>
            <w:shd w:val="clear" w:color="auto" w:fill="auto"/>
            <w:vAlign w:val="center"/>
          </w:tcPr>
          <w:p w:rsidR="000E2DE8" w:rsidRPr="00B74478" w:rsidRDefault="000E2DE8" w:rsidP="003A5829">
            <w:pPr>
              <w:pStyle w:val="BodyText"/>
              <w:rPr>
                <w:rFonts w:ascii="Times New Roman" w:hAnsi="Times New Roman"/>
              </w:rPr>
            </w:pPr>
          </w:p>
          <w:p w:rsidR="000E2DE8" w:rsidRPr="00B74478" w:rsidRDefault="000E2DE8" w:rsidP="003A5829">
            <w:pPr>
              <w:pStyle w:val="BodyText"/>
              <w:rPr>
                <w:rFonts w:ascii="Times New Roman" w:hAnsi="Times New Roman"/>
              </w:rPr>
            </w:pPr>
          </w:p>
          <w:p w:rsidR="000E2DE8" w:rsidRPr="00B74478" w:rsidRDefault="00D111CD" w:rsidP="003A5829">
            <w:pPr>
              <w:pStyle w:val="BodyText"/>
              <w:rPr>
                <w:rFonts w:ascii="Times New Roman" w:hAnsi="Times New Roman"/>
              </w:rPr>
            </w:pPr>
            <w:r w:rsidRPr="00B74478">
              <w:rPr>
                <w:rFonts w:ascii="Times New Roman" w:hAnsi="Times New Roman"/>
                <w:noProof/>
                <w:color w:val="000000"/>
              </w:rPr>
              <mc:AlternateContent>
                <mc:Choice Requires="wps">
                  <w:drawing>
                    <wp:anchor distT="0" distB="0" distL="114300" distR="114300" simplePos="0" relativeHeight="251667456" behindDoc="0" locked="0" layoutInCell="1" allowOverlap="1" wp14:anchorId="3E300376" wp14:editId="53019344">
                      <wp:simplePos x="0" y="0"/>
                      <wp:positionH relativeFrom="column">
                        <wp:posOffset>326390</wp:posOffset>
                      </wp:positionH>
                      <wp:positionV relativeFrom="paragraph">
                        <wp:posOffset>156845</wp:posOffset>
                      </wp:positionV>
                      <wp:extent cx="90805" cy="90805"/>
                      <wp:effectExtent l="19050" t="19050" r="42545" b="6159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E6A45" id="Rectangle 15" o:spid="_x0000_s1026" style="position:absolute;margin-left:25.7pt;margin-top:12.3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" filled="f" strokecolor="#f2f2f2 [3041]" strokeweight="3pt">
                      <v:shadow on="t" color="#7f7f7f [1601]" opacity=".5" offset="1pt"/>
                    </v:rect>
                  </w:pict>
                </mc:Fallback>
              </mc:AlternateContent>
            </w:r>
            <w:r w:rsidRPr="00B74478">
              <w:rPr>
                <w:rFonts w:ascii="Times New Roman" w:hAnsi="Times New Roman"/>
                <w:noProof/>
              </w:rPr>
              <mc:AlternateContent>
                <mc:Choice Requires="wps">
                  <w:drawing>
                    <wp:anchor distT="0" distB="0" distL="114300" distR="114300" simplePos="0" relativeHeight="251666432" behindDoc="0" locked="0" layoutInCell="1" allowOverlap="1" wp14:anchorId="7E7B89E4" wp14:editId="6465E923">
                      <wp:simplePos x="0" y="0"/>
                      <wp:positionH relativeFrom="column">
                        <wp:posOffset>79375</wp:posOffset>
                      </wp:positionH>
                      <wp:positionV relativeFrom="paragraph">
                        <wp:posOffset>160655</wp:posOffset>
                      </wp:positionV>
                      <wp:extent cx="90805" cy="90805"/>
                      <wp:effectExtent l="0" t="0" r="23495" b="2349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18EB6" id="Rectangle 14" o:spid="_x0000_s1026" style="position:absolute;margin-left:6.25pt;margin-top:12.6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" fillcolor="black [3213]"/>
                  </w:pict>
                </mc:Fallback>
              </mc:AlternateContent>
            </w:r>
            <w:r w:rsidR="000E2DE8" w:rsidRPr="00B74478">
              <w:rPr>
                <w:rFonts w:ascii="Times New Roman" w:hAnsi="Times New Roman"/>
              </w:rPr>
              <w:t>Yes    No</w:t>
            </w:r>
          </w:p>
        </w:tc>
      </w:tr>
      <w:tr w:rsidR="000E2DE8" w:rsidRPr="00F75023" w:rsidTr="00D1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42" w:type="dxa"/>
            <w:tcBorders>
              <w:top w:val="nil"/>
              <w:left w:val="single" w:sz="4" w:space="0" w:color="auto"/>
              <w:bottom w:val="single" w:sz="4" w:space="0" w:color="auto"/>
              <w:right w:val="single" w:sz="4" w:space="0" w:color="auto"/>
            </w:tcBorders>
            <w:shd w:val="clear" w:color="auto" w:fill="D9D9D9"/>
            <w:vAlign w:val="center"/>
          </w:tcPr>
          <w:p w:rsidR="000E2DE8" w:rsidRPr="00833157" w:rsidRDefault="000E2DE8" w:rsidP="000E2DE8">
            <w:pPr>
              <w:pStyle w:val="H2"/>
              <w:rPr>
                <w:color w:val="000000"/>
              </w:rPr>
            </w:pPr>
            <w:r w:rsidRPr="003F480D">
              <w:rPr>
                <w:rFonts w:cs="Times New Roman"/>
                <w:b w:val="0"/>
                <w:sz w:val="20"/>
                <w:szCs w:val="20"/>
              </w:rPr>
              <w:t>Other Contributions (donors)</w:t>
            </w:r>
          </w:p>
        </w:tc>
        <w:tc>
          <w:tcPr>
            <w:tcW w:w="258" w:type="dxa"/>
            <w:tcBorders>
              <w:top w:val="nil"/>
              <w:left w:val="single" w:sz="4" w:space="0" w:color="auto"/>
              <w:bottom w:val="nil"/>
              <w:right w:val="single" w:sz="4" w:space="0" w:color="auto"/>
            </w:tcBorders>
            <w:shd w:val="clear" w:color="auto" w:fill="auto"/>
            <w:vAlign w:val="center"/>
          </w:tcPr>
          <w:p w:rsidR="000E2DE8" w:rsidRPr="00F75023" w:rsidRDefault="000E2DE8" w:rsidP="003A5829">
            <w:pPr>
              <w:pStyle w:val="BodyText"/>
              <w:rPr>
                <w:rFonts w:ascii="Times New Roman" w:hAnsi="Times New Roman"/>
              </w:rPr>
            </w:pPr>
          </w:p>
        </w:tc>
        <w:tc>
          <w:tcPr>
            <w:tcW w:w="3676" w:type="dxa"/>
            <w:tcBorders>
              <w:top w:val="nil"/>
              <w:left w:val="single" w:sz="4" w:space="0" w:color="auto"/>
              <w:bottom w:val="single" w:sz="4" w:space="0" w:color="auto"/>
              <w:right w:val="nil"/>
            </w:tcBorders>
            <w:shd w:val="clear" w:color="auto" w:fill="auto"/>
            <w:vAlign w:val="center"/>
          </w:tcPr>
          <w:p w:rsidR="000E2DE8" w:rsidRPr="00B74478" w:rsidRDefault="000E2DE8" w:rsidP="003A5829">
            <w:pPr>
              <w:pStyle w:val="BodyText"/>
              <w:rPr>
                <w:rFonts w:ascii="Times New Roman" w:hAnsi="Times New Roman"/>
              </w:rPr>
            </w:pPr>
            <w:r w:rsidRPr="00B74478">
              <w:rPr>
                <w:rFonts w:ascii="Times New Roman" w:hAnsi="Times New Roman"/>
              </w:rPr>
              <w:t>Expected Financial Closure date</w:t>
            </w:r>
            <w:r w:rsidRPr="00B74478">
              <w:rPr>
                <w:rStyle w:val="FootnoteReference"/>
                <w:rFonts w:ascii="Times New Roman" w:hAnsi="Times New Roman"/>
              </w:rPr>
              <w:footnoteReference w:id="8"/>
            </w:r>
            <w:r w:rsidRPr="00B74478">
              <w:rPr>
                <w:rFonts w:ascii="Times New Roman" w:hAnsi="Times New Roman"/>
              </w:rPr>
              <w:t>:  July 2014</w:t>
            </w:r>
          </w:p>
        </w:tc>
        <w:tc>
          <w:tcPr>
            <w:tcW w:w="1656" w:type="dxa"/>
            <w:tcBorders>
              <w:top w:val="nil"/>
              <w:left w:val="nil"/>
              <w:bottom w:val="single" w:sz="4" w:space="0" w:color="auto"/>
              <w:right w:val="single" w:sz="4" w:space="0" w:color="auto"/>
            </w:tcBorders>
            <w:shd w:val="clear" w:color="auto" w:fill="auto"/>
            <w:vAlign w:val="center"/>
          </w:tcPr>
          <w:p w:rsidR="000E2DE8" w:rsidRPr="00B74478" w:rsidRDefault="000E2DE8" w:rsidP="003A5829">
            <w:pPr>
              <w:pStyle w:val="BodyText"/>
              <w:rPr>
                <w:rFonts w:ascii="Times New Roman" w:hAnsi="Times New Roman"/>
              </w:rPr>
            </w:pPr>
          </w:p>
        </w:tc>
      </w:tr>
      <w:tr w:rsidR="000E2DE8" w:rsidRPr="00F75023" w:rsidTr="00D1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142" w:type="dxa"/>
            <w:tcBorders>
              <w:top w:val="single" w:sz="4" w:space="0" w:color="auto"/>
              <w:left w:val="single" w:sz="4" w:space="0" w:color="auto"/>
              <w:bottom w:val="single" w:sz="4" w:space="0" w:color="auto"/>
              <w:right w:val="single" w:sz="4" w:space="0" w:color="auto"/>
            </w:tcBorders>
            <w:shd w:val="clear" w:color="auto" w:fill="auto"/>
            <w:vAlign w:val="center"/>
          </w:tcPr>
          <w:p w:rsidR="000E2DE8" w:rsidRPr="00833157" w:rsidRDefault="000E2DE8" w:rsidP="003A5829">
            <w:pPr>
              <w:pStyle w:val="BodyText"/>
              <w:rPr>
                <w:rFonts w:ascii="Times New Roman" w:hAnsi="Times New Roman"/>
                <w:color w:val="000000"/>
              </w:rPr>
            </w:pPr>
            <w:r w:rsidRPr="003F480D">
              <w:rPr>
                <w:rFonts w:cs="Times New Roman"/>
              </w:rPr>
              <w:t>TOTAL:</w:t>
            </w:r>
            <w:r>
              <w:rPr>
                <w:rFonts w:cs="Times New Roman"/>
              </w:rPr>
              <w:t>$299,800</w:t>
            </w:r>
          </w:p>
        </w:tc>
        <w:tc>
          <w:tcPr>
            <w:tcW w:w="258" w:type="dxa"/>
            <w:tcBorders>
              <w:top w:val="nil"/>
              <w:left w:val="single" w:sz="4" w:space="0" w:color="auto"/>
              <w:bottom w:val="nil"/>
              <w:right w:val="single" w:sz="4" w:space="0" w:color="auto"/>
            </w:tcBorders>
            <w:shd w:val="clear" w:color="auto" w:fill="auto"/>
            <w:vAlign w:val="center"/>
          </w:tcPr>
          <w:p w:rsidR="000E2DE8" w:rsidRPr="00F75023" w:rsidRDefault="000E2DE8" w:rsidP="003A5829">
            <w:pPr>
              <w:pStyle w:val="BodyText"/>
              <w:rPr>
                <w:rFonts w:ascii="Times New Roman" w:hAnsi="Times New Roman"/>
              </w:rPr>
            </w:pPr>
          </w:p>
        </w:tc>
        <w:tc>
          <w:tcPr>
            <w:tcW w:w="5332" w:type="dxa"/>
            <w:gridSpan w:val="2"/>
            <w:tcBorders>
              <w:top w:val="single" w:sz="4" w:space="0" w:color="auto"/>
              <w:left w:val="single" w:sz="4" w:space="0" w:color="auto"/>
              <w:bottom w:val="nil"/>
              <w:right w:val="single" w:sz="4" w:space="0" w:color="auto"/>
            </w:tcBorders>
            <w:shd w:val="clear" w:color="auto" w:fill="auto"/>
            <w:vAlign w:val="center"/>
          </w:tcPr>
          <w:p w:rsidR="000E2DE8" w:rsidRPr="00F75023" w:rsidRDefault="000E2DE8" w:rsidP="003A5829">
            <w:pPr>
              <w:pStyle w:val="BodyText"/>
              <w:rPr>
                <w:rFonts w:ascii="Times New Roman" w:hAnsi="Times New Roman"/>
              </w:rPr>
            </w:pPr>
          </w:p>
        </w:tc>
      </w:tr>
      <w:tr w:rsidR="000E2DE8" w:rsidRPr="00947685" w:rsidTr="000E2DE8">
        <w:trPr>
          <w:trHeight w:val="206"/>
        </w:trPr>
        <w:tc>
          <w:tcPr>
            <w:tcW w:w="5142" w:type="dxa"/>
            <w:tcBorders>
              <w:top w:val="single" w:sz="4" w:space="0" w:color="auto"/>
              <w:left w:val="single" w:sz="4" w:space="0" w:color="auto"/>
              <w:right w:val="single" w:sz="4" w:space="0" w:color="auto"/>
            </w:tcBorders>
            <w:shd w:val="clear" w:color="auto" w:fill="F3F3F3"/>
          </w:tcPr>
          <w:p w:rsidR="000E2DE8" w:rsidRPr="00947685" w:rsidRDefault="000E2DE8" w:rsidP="003A5829">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0E2DE8" w:rsidRPr="00947685" w:rsidRDefault="000E2DE8" w:rsidP="003A5829"/>
        </w:tc>
        <w:tc>
          <w:tcPr>
            <w:tcW w:w="5332" w:type="dxa"/>
            <w:gridSpan w:val="2"/>
            <w:tcBorders>
              <w:left w:val="single" w:sz="4" w:space="0" w:color="auto"/>
              <w:right w:val="single" w:sz="4" w:space="0" w:color="auto"/>
            </w:tcBorders>
            <w:shd w:val="clear" w:color="auto" w:fill="F3F3F3"/>
          </w:tcPr>
          <w:p w:rsidR="000E2DE8" w:rsidRPr="0026644C" w:rsidRDefault="000E2DE8" w:rsidP="003A5829">
            <w:pPr>
              <w:pStyle w:val="H1"/>
              <w:jc w:val="center"/>
              <w:rPr>
                <w:rFonts w:cs="Times New Roman"/>
              </w:rPr>
            </w:pPr>
            <w:r>
              <w:rPr>
                <w:bCs w:val="0"/>
              </w:rPr>
              <w:t xml:space="preserve">Report </w:t>
            </w:r>
            <w:r w:rsidRPr="0026644C">
              <w:rPr>
                <w:bCs w:val="0"/>
              </w:rPr>
              <w:t>Submitted By</w:t>
            </w:r>
          </w:p>
        </w:tc>
      </w:tr>
      <w:tr w:rsidR="000E2DE8" w:rsidRPr="00947685" w:rsidTr="000E2DE8">
        <w:trPr>
          <w:trHeight w:val="285"/>
        </w:trPr>
        <w:tc>
          <w:tcPr>
            <w:tcW w:w="5142" w:type="dxa"/>
            <w:tcBorders>
              <w:left w:val="single" w:sz="4" w:space="0" w:color="auto"/>
              <w:bottom w:val="single" w:sz="4" w:space="0" w:color="auto"/>
              <w:right w:val="single" w:sz="4" w:space="0" w:color="auto"/>
            </w:tcBorders>
          </w:tcPr>
          <w:p w:rsidR="000E2DE8" w:rsidRPr="00066978" w:rsidRDefault="000E2DE8" w:rsidP="003A5829">
            <w:pPr>
              <w:pStyle w:val="BodyText"/>
              <w:rPr>
                <w:rFonts w:ascii="Times New Roman" w:hAnsi="Times New Roman" w:cs="Times New Roman"/>
                <w:bCs/>
                <w:i/>
                <w:iCs/>
                <w:snapToGrid w:val="0"/>
                <w:sz w:val="18"/>
                <w:szCs w:val="18"/>
                <w:lang w:val="en-GB"/>
              </w:rPr>
            </w:pPr>
            <w:r>
              <w:rPr>
                <w:rFonts w:ascii="Times New Roman" w:hAnsi="Times New Roman"/>
              </w:rPr>
              <w:t>Evaluation Completed</w:t>
            </w:r>
          </w:p>
          <w:p w:rsidR="000E2DE8" w:rsidRDefault="00D111CD" w:rsidP="003A5829">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9264" behindDoc="0" locked="0" layoutInCell="1" allowOverlap="1">
                      <wp:simplePos x="0" y="0"/>
                      <wp:positionH relativeFrom="column">
                        <wp:posOffset>524510</wp:posOffset>
                      </wp:positionH>
                      <wp:positionV relativeFrom="paragraph">
                        <wp:posOffset>17145</wp:posOffset>
                      </wp:positionV>
                      <wp:extent cx="90805" cy="90805"/>
                      <wp:effectExtent l="12065" t="13970" r="11430"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03E8" id="Rectangle 8" o:spid="_x0000_s1026" style="position:absolute;margin-left:41.3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1dGgIAADk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"/>
                  </w:pict>
                </mc:Fallback>
              </mc:AlternateContent>
            </w:r>
            <w:r>
              <w:rPr>
                <w:rFonts w:ascii="Times New Roman" w:hAnsi="Times New Roman"/>
                <w:i/>
                <w:noProof/>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17145</wp:posOffset>
                      </wp:positionV>
                      <wp:extent cx="90805" cy="90805"/>
                      <wp:effectExtent l="21590" t="23495" r="40005" b="476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A84D8" id="Rectangle 11" o:spid="_x0000_s1026" style="position:absolute;margin-left:-.7pt;margin-top:1.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" fillcolor="black [3200]" strokecolor="#f2f2f2 [3041]" strokeweight="3pt">
                      <v:shadow on="t" color="#7f7f7f [1601]" opacity=".5" offset="1pt"/>
                    </v:rect>
                  </w:pict>
                </mc:Fallback>
              </mc:AlternateContent>
            </w:r>
            <w:r w:rsidR="000E2DE8">
              <w:rPr>
                <w:rFonts w:ascii="Times New Roman" w:hAnsi="Times New Roman"/>
              </w:rPr>
              <w:t xml:space="preserve">     Yes          No    Date: </w:t>
            </w:r>
            <w:r w:rsidR="000E2DE8" w:rsidRPr="00E33FD1">
              <w:rPr>
                <w:rFonts w:ascii="Times New Roman" w:hAnsi="Times New Roman"/>
                <w:i/>
              </w:rPr>
              <w:t>Feb- Mar 2013</w:t>
            </w:r>
            <w:r w:rsidR="000E2DE8">
              <w:rPr>
                <w:rFonts w:ascii="Times New Roman" w:hAnsi="Times New Roman"/>
              </w:rPr>
              <w:t xml:space="preserve"> </w:t>
            </w:r>
          </w:p>
          <w:p w:rsidR="000E2DE8" w:rsidRPr="004D1571" w:rsidRDefault="000E2DE8" w:rsidP="003A5829">
            <w:pPr>
              <w:pStyle w:val="BodyText"/>
              <w:rPr>
                <w:rFonts w:ascii="Times New Roman" w:hAnsi="Times New Roman"/>
              </w:rPr>
            </w:pPr>
            <w:r>
              <w:rPr>
                <w:rFonts w:ascii="Times New Roman" w:hAnsi="Times New Roman"/>
              </w:rPr>
              <w:t>E</w:t>
            </w:r>
            <w:r w:rsidRPr="00084444">
              <w:rPr>
                <w:rFonts w:ascii="Times New Roman" w:hAnsi="Times New Roman"/>
              </w:rPr>
              <w:t xml:space="preserve">valuation </w:t>
            </w:r>
            <w:r w:rsidRPr="00416A74">
              <w:rPr>
                <w:rFonts w:ascii="Times New Roman" w:hAnsi="Times New Roman"/>
              </w:rPr>
              <w:t xml:space="preserve">Report </w:t>
            </w:r>
            <w:r w:rsidRPr="00416A74">
              <w:rPr>
                <w:rFonts w:ascii="Times New Roman" w:hAnsi="Times New Roman" w:cs="Times New Roman"/>
                <w:bCs/>
                <w:iCs/>
                <w:snapToGrid w:val="0"/>
                <w:lang w:val="en-GB"/>
              </w:rPr>
              <w:t>- Attached</w:t>
            </w:r>
            <w:r>
              <w:rPr>
                <w:rFonts w:ascii="Times New Roman" w:hAnsi="Times New Roman"/>
                <w:b/>
              </w:rPr>
              <w:t xml:space="preserve">          </w:t>
            </w:r>
          </w:p>
          <w:p w:rsidR="000E2DE8" w:rsidRPr="003507AD" w:rsidRDefault="00D111CD" w:rsidP="003A5829">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61312" behindDoc="0" locked="0" layoutInCell="1" allowOverlap="1">
                      <wp:simplePos x="0" y="0"/>
                      <wp:positionH relativeFrom="column">
                        <wp:posOffset>519430</wp:posOffset>
                      </wp:positionH>
                      <wp:positionV relativeFrom="paragraph">
                        <wp:posOffset>20320</wp:posOffset>
                      </wp:positionV>
                      <wp:extent cx="90805" cy="90805"/>
                      <wp:effectExtent l="6985" t="13970" r="698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7C5D" id="Rectangle 10" o:spid="_x0000_s1026" style="position:absolute;margin-left:40.9pt;margin-top:1.6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cXGgIAADo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747XFxoCAAA6BAAADgAAAAAAAAAAAAAAAAAuAgAAZHJzL2Uyb0RvYy54bWxQSwECLQAUAAYA&#10;CAAAACEAjRXFR9sAAAAGAQAADwAAAAAAAAAAAAAAAAB0BAAAZHJzL2Rvd25yZXYueG1sUEsFBgAA&#10;AAAEAAQA8wAAAHwFAAAAAA==&#10;"/>
                  </w:pict>
                </mc:Fallback>
              </mc:AlternateContent>
            </w:r>
            <w:r>
              <w:rPr>
                <w:rFonts w:ascii="Times New Roman" w:hAnsi="Times New Roman"/>
                <w:i/>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20955</wp:posOffset>
                      </wp:positionV>
                      <wp:extent cx="90805" cy="90805"/>
                      <wp:effectExtent l="12065" t="5080" r="11430" b="889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52A4E" id="Rectangle 9" o:spid="_x0000_s1026" style="position:absolute;margin-left:-.7pt;margin-top:1.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Kx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GtnwrEaAgAAOQQAAA4AAAAAAAAAAAAAAAAALgIAAGRycy9lMm9Eb2MueG1sUEsBAi0AFAAG&#10;AAgAAAAhAHUb8uzcAAAABgEAAA8AAAAAAAAAAAAAAAAAdAQAAGRycy9kb3ducmV2LnhtbFBLBQYA&#10;AAAABAAEAPMAAAB9BQAAAAA=&#10;"/>
                  </w:pict>
                </mc:Fallback>
              </mc:AlternateContent>
            </w:r>
            <w:r w:rsidR="000E2DE8">
              <w:rPr>
                <w:rFonts w:ascii="Times New Roman" w:hAnsi="Times New Roman"/>
              </w:rPr>
              <w:t xml:space="preserve">      </w:t>
            </w:r>
            <w:r w:rsidR="000E2DE8" w:rsidRPr="002A0C41">
              <w:rPr>
                <w:rFonts w:ascii="Times New Roman" w:hAnsi="Times New Roman"/>
              </w:rPr>
              <w:t>Yes</w:t>
            </w:r>
            <w:r w:rsidR="000E2DE8">
              <w:rPr>
                <w:rFonts w:ascii="Times New Roman" w:hAnsi="Times New Roman"/>
              </w:rPr>
              <w:t xml:space="preserve">          </w:t>
            </w:r>
            <w:r w:rsidR="000E2DE8" w:rsidRPr="002A0C41">
              <w:rPr>
                <w:rFonts w:ascii="Times New Roman" w:hAnsi="Times New Roman"/>
              </w:rPr>
              <w:t>No</w:t>
            </w:r>
            <w:r w:rsidR="000E2DE8">
              <w:rPr>
                <w:rFonts w:ascii="Times New Roman" w:hAnsi="Times New Roman"/>
              </w:rPr>
              <w:t xml:space="preserve">    Date: </w:t>
            </w:r>
            <w:r w:rsidR="000E2DE8" w:rsidRPr="0043308F">
              <w:rPr>
                <w:rFonts w:ascii="Times New Roman" w:hAnsi="Times New Roman"/>
                <w:i/>
              </w:rPr>
              <w:t>dd.mm.yyyy</w:t>
            </w:r>
          </w:p>
        </w:tc>
        <w:tc>
          <w:tcPr>
            <w:tcW w:w="258" w:type="dxa"/>
            <w:vMerge/>
            <w:tcBorders>
              <w:left w:val="single" w:sz="4" w:space="0" w:color="auto"/>
              <w:right w:val="single" w:sz="4" w:space="0" w:color="auto"/>
            </w:tcBorders>
          </w:tcPr>
          <w:p w:rsidR="000E2DE8" w:rsidRPr="00947685" w:rsidRDefault="000E2DE8" w:rsidP="003A5829">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rsidR="000E2DE8" w:rsidRPr="003F480D" w:rsidRDefault="000E2DE8" w:rsidP="000E2DE8">
            <w:pPr>
              <w:numPr>
                <w:ilvl w:val="0"/>
                <w:numId w:val="6"/>
              </w:numPr>
              <w:ind w:left="342"/>
              <w:rPr>
                <w:sz w:val="20"/>
                <w:szCs w:val="20"/>
                <w:lang w:val="en-GB"/>
              </w:rPr>
            </w:pPr>
            <w:r w:rsidRPr="003F480D">
              <w:rPr>
                <w:sz w:val="20"/>
                <w:szCs w:val="20"/>
                <w:lang w:val="en-GB"/>
              </w:rPr>
              <w:t>Name:</w:t>
            </w:r>
            <w:r>
              <w:rPr>
                <w:sz w:val="20"/>
                <w:szCs w:val="20"/>
                <w:lang w:val="en-GB"/>
              </w:rPr>
              <w:t xml:space="preserve"> Peter Barwick </w:t>
            </w:r>
          </w:p>
          <w:p w:rsidR="000E2DE8" w:rsidRPr="003F480D" w:rsidRDefault="000E2DE8" w:rsidP="000E2DE8">
            <w:pPr>
              <w:numPr>
                <w:ilvl w:val="0"/>
                <w:numId w:val="6"/>
              </w:numPr>
              <w:ind w:left="342"/>
              <w:rPr>
                <w:sz w:val="20"/>
                <w:szCs w:val="20"/>
                <w:lang w:val="en-GB"/>
              </w:rPr>
            </w:pPr>
            <w:r w:rsidRPr="003F480D">
              <w:rPr>
                <w:sz w:val="20"/>
                <w:szCs w:val="20"/>
                <w:lang w:val="en-GB"/>
              </w:rPr>
              <w:t>Title:</w:t>
            </w:r>
            <w:r>
              <w:rPr>
                <w:sz w:val="20"/>
                <w:szCs w:val="20"/>
                <w:lang w:val="en-GB"/>
              </w:rPr>
              <w:t>Senior Advisor/ Programme Manager</w:t>
            </w:r>
          </w:p>
          <w:p w:rsidR="000E2DE8" w:rsidRPr="003F480D" w:rsidRDefault="000E2DE8" w:rsidP="000E2DE8">
            <w:pPr>
              <w:numPr>
                <w:ilvl w:val="0"/>
                <w:numId w:val="6"/>
              </w:numPr>
              <w:ind w:left="342"/>
              <w:rPr>
                <w:sz w:val="20"/>
                <w:szCs w:val="20"/>
                <w:lang w:val="en-GB"/>
              </w:rPr>
            </w:pPr>
            <w:r w:rsidRPr="003F480D">
              <w:rPr>
                <w:sz w:val="20"/>
                <w:szCs w:val="20"/>
                <w:lang w:val="en-GB"/>
              </w:rPr>
              <w:t>Participating Organization (Lead):</w:t>
            </w:r>
            <w:r>
              <w:rPr>
                <w:sz w:val="20"/>
                <w:szCs w:val="20"/>
                <w:lang w:val="en-GB"/>
              </w:rPr>
              <w:t>CPP</w:t>
            </w:r>
          </w:p>
          <w:p w:rsidR="000E2DE8" w:rsidRPr="00E33FD1" w:rsidRDefault="000E2DE8" w:rsidP="000E2DE8">
            <w:pPr>
              <w:numPr>
                <w:ilvl w:val="0"/>
                <w:numId w:val="6"/>
              </w:numPr>
              <w:ind w:left="342"/>
              <w:rPr>
                <w:b/>
                <w:bCs/>
                <w:snapToGrid w:val="0"/>
                <w:kern w:val="32"/>
                <w:sz w:val="20"/>
                <w:szCs w:val="20"/>
              </w:rPr>
            </w:pPr>
            <w:r w:rsidRPr="00E33FD1">
              <w:rPr>
                <w:sz w:val="20"/>
                <w:szCs w:val="20"/>
              </w:rPr>
              <w:t>Email address:peter.barwick@undp.org</w:t>
            </w:r>
            <w:r w:rsidRPr="00E33FD1">
              <w:rPr>
                <w:sz w:val="20"/>
                <w:szCs w:val="20"/>
                <w:lang w:val="en-GB"/>
              </w:rPr>
              <w:t xml:space="preserve"> </w:t>
            </w:r>
          </w:p>
        </w:tc>
      </w:tr>
    </w:tbl>
    <w:p w:rsidR="00AB0274" w:rsidRPr="002A6CF0" w:rsidRDefault="00E5235E" w:rsidP="00954264">
      <w:pPr>
        <w:pStyle w:val="Heading1"/>
        <w:tabs>
          <w:tab w:val="left" w:pos="360"/>
        </w:tabs>
        <w:ind w:left="0"/>
        <w:jc w:val="center"/>
        <w:rPr>
          <w:rFonts w:ascii="Times New Roman" w:hAnsi="Times New Roman"/>
          <w:sz w:val="24"/>
          <w:szCs w:val="24"/>
          <w:u w:val="single"/>
        </w:rPr>
      </w:pPr>
      <w:r>
        <w:rPr>
          <w:rFonts w:ascii="Times New Roman" w:hAnsi="Times New Roman"/>
          <w:sz w:val="24"/>
          <w:szCs w:val="24"/>
          <w:u w:val="single"/>
        </w:rPr>
        <w:lastRenderedPageBreak/>
        <w:t>NA</w:t>
      </w:r>
      <w:r w:rsidR="00AB0274" w:rsidRPr="002A6CF0">
        <w:rPr>
          <w:rFonts w:ascii="Times New Roman" w:hAnsi="Times New Roman"/>
          <w:sz w:val="24"/>
          <w:szCs w:val="24"/>
          <w:u w:val="single"/>
        </w:rPr>
        <w:t xml:space="preserve">RRATIVE REPORT </w:t>
      </w:r>
      <w:bookmarkEnd w:id="0"/>
    </w:p>
    <w:p w:rsidR="00AB0274" w:rsidRPr="002A6CF0" w:rsidRDefault="00AB0274" w:rsidP="00AB0274"/>
    <w:p w:rsidR="003B1DFF" w:rsidRDefault="000803A0" w:rsidP="003B1DFF">
      <w:pPr>
        <w:pStyle w:val="Heading1"/>
        <w:tabs>
          <w:tab w:val="left" w:pos="360"/>
        </w:tabs>
        <w:ind w:left="0"/>
        <w:jc w:val="left"/>
        <w:rPr>
          <w:rFonts w:ascii="Times New Roman" w:hAnsi="Times New Roman"/>
          <w:sz w:val="24"/>
          <w:szCs w:val="24"/>
        </w:rPr>
      </w:pPr>
      <w:bookmarkStart w:id="2" w:name="_Toc249364483"/>
      <w:r w:rsidRPr="002A6CF0">
        <w:rPr>
          <w:rFonts w:ascii="Times New Roman" w:hAnsi="Times New Roman"/>
          <w:sz w:val="24"/>
          <w:szCs w:val="24"/>
        </w:rPr>
        <w:t xml:space="preserve">EXECUTIVE </w:t>
      </w:r>
      <w:r w:rsidR="003B1DFF" w:rsidRPr="002A6CF0">
        <w:rPr>
          <w:rFonts w:ascii="Times New Roman" w:hAnsi="Times New Roman"/>
          <w:sz w:val="24"/>
          <w:szCs w:val="24"/>
        </w:rPr>
        <w:t xml:space="preserve">SUMMARY </w:t>
      </w:r>
    </w:p>
    <w:p w:rsidR="00F11A91" w:rsidRPr="00FE4925" w:rsidRDefault="00F11A91" w:rsidP="00F11A91"/>
    <w:p w:rsidR="00E5235E" w:rsidRPr="00FE4925" w:rsidRDefault="00E5235E" w:rsidP="002A6CF0">
      <w:pPr>
        <w:pStyle w:val="BodyText"/>
        <w:jc w:val="both"/>
        <w:rPr>
          <w:rFonts w:ascii="Times New Roman" w:hAnsi="Times New Roman" w:cs="Times New Roman"/>
          <w:sz w:val="24"/>
          <w:szCs w:val="24"/>
        </w:rPr>
      </w:pPr>
      <w:r w:rsidRPr="00FE4925">
        <w:rPr>
          <w:rFonts w:ascii="Times New Roman" w:hAnsi="Times New Roman" w:cs="Times New Roman"/>
          <w:sz w:val="24"/>
          <w:szCs w:val="24"/>
        </w:rPr>
        <w:t xml:space="preserve">This report covers UNPFN funding in the amount of USD $299,800 that was utilized by UNDP’s Conflict Prevention Programme (CPP) and its Collaborative Leadership and Dialogue (CLD) initiative between </w:t>
      </w:r>
      <w:r w:rsidR="00FE4925" w:rsidRPr="00FE4925">
        <w:rPr>
          <w:rFonts w:ascii="Times New Roman" w:hAnsi="Times New Roman" w:cs="Times New Roman"/>
          <w:sz w:val="24"/>
          <w:szCs w:val="24"/>
        </w:rPr>
        <w:t>1 January</w:t>
      </w:r>
      <w:r w:rsidRPr="00FE4925">
        <w:rPr>
          <w:rFonts w:ascii="Times New Roman" w:hAnsi="Times New Roman" w:cs="Times New Roman"/>
          <w:sz w:val="24"/>
          <w:szCs w:val="24"/>
        </w:rPr>
        <w:t xml:space="preserve"> 2011 and </w:t>
      </w:r>
      <w:r w:rsidR="00FE4925" w:rsidRPr="00FE4925">
        <w:rPr>
          <w:rFonts w:ascii="Times New Roman" w:hAnsi="Times New Roman" w:cs="Times New Roman"/>
          <w:sz w:val="24"/>
          <w:szCs w:val="24"/>
        </w:rPr>
        <w:t>30 June</w:t>
      </w:r>
      <w:r w:rsidRPr="00FE4925">
        <w:rPr>
          <w:rFonts w:ascii="Times New Roman" w:hAnsi="Times New Roman" w:cs="Times New Roman"/>
          <w:sz w:val="24"/>
          <w:szCs w:val="24"/>
        </w:rPr>
        <w:t xml:space="preserve"> 2013.</w:t>
      </w:r>
      <w:r w:rsidR="00685670" w:rsidRPr="00FE4925">
        <w:rPr>
          <w:rFonts w:ascii="Times New Roman" w:hAnsi="Times New Roman" w:cs="Times New Roman"/>
          <w:sz w:val="24"/>
          <w:szCs w:val="24"/>
        </w:rPr>
        <w:t xml:space="preserve">  The CPP was formally constituted in </w:t>
      </w:r>
      <w:r w:rsidR="00FE4925" w:rsidRPr="00FE4925">
        <w:rPr>
          <w:rFonts w:ascii="Times New Roman" w:hAnsi="Times New Roman" w:cs="Times New Roman"/>
          <w:sz w:val="24"/>
          <w:szCs w:val="24"/>
        </w:rPr>
        <w:t>September</w:t>
      </w:r>
      <w:r w:rsidR="00685670" w:rsidRPr="00FE4925">
        <w:rPr>
          <w:rFonts w:ascii="Times New Roman" w:hAnsi="Times New Roman" w:cs="Times New Roman"/>
          <w:sz w:val="24"/>
          <w:szCs w:val="24"/>
        </w:rPr>
        <w:t xml:space="preserve"> 2010, and this UNPFN funding came at a relatively early stage in the programme’s implementation, and provided a valuable contribution to both the early development of the broader CLD initiative as well as support to </w:t>
      </w:r>
      <w:r w:rsidR="001756BF">
        <w:rPr>
          <w:rFonts w:ascii="Times New Roman" w:hAnsi="Times New Roman" w:cs="Times New Roman"/>
          <w:sz w:val="24"/>
          <w:szCs w:val="24"/>
        </w:rPr>
        <w:t xml:space="preserve">a </w:t>
      </w:r>
      <w:r w:rsidR="00685670" w:rsidRPr="00FE4925">
        <w:rPr>
          <w:rFonts w:ascii="Times New Roman" w:hAnsi="Times New Roman" w:cs="Times New Roman"/>
          <w:sz w:val="24"/>
          <w:szCs w:val="24"/>
        </w:rPr>
        <w:t xml:space="preserve">specific transitional justice-related initiative that was getting underway during that period.  </w:t>
      </w:r>
      <w:r w:rsidR="00AB0ABC" w:rsidRPr="00FE4925">
        <w:rPr>
          <w:rFonts w:ascii="Times New Roman" w:hAnsi="Times New Roman" w:cs="Times New Roman"/>
          <w:sz w:val="24"/>
          <w:szCs w:val="24"/>
        </w:rPr>
        <w:t>The CPP has continued to ex</w:t>
      </w:r>
      <w:r w:rsidR="00395E82" w:rsidRPr="00FE4925">
        <w:rPr>
          <w:rFonts w:ascii="Times New Roman" w:hAnsi="Times New Roman" w:cs="Times New Roman"/>
          <w:sz w:val="24"/>
          <w:szCs w:val="24"/>
        </w:rPr>
        <w:t>pand it work</w:t>
      </w:r>
      <w:r w:rsidR="001756BF">
        <w:rPr>
          <w:rFonts w:ascii="Times New Roman" w:hAnsi="Times New Roman" w:cs="Times New Roman"/>
          <w:sz w:val="24"/>
          <w:szCs w:val="24"/>
        </w:rPr>
        <w:t xml:space="preserve"> in Nepal</w:t>
      </w:r>
      <w:r w:rsidR="00395E82" w:rsidRPr="00FE4925">
        <w:rPr>
          <w:rFonts w:ascii="Times New Roman" w:hAnsi="Times New Roman" w:cs="Times New Roman"/>
          <w:sz w:val="24"/>
          <w:szCs w:val="24"/>
        </w:rPr>
        <w:t>, and in 2013 operated</w:t>
      </w:r>
      <w:r w:rsidR="00A17088" w:rsidRPr="00FE4925">
        <w:rPr>
          <w:rFonts w:ascii="Times New Roman" w:hAnsi="Times New Roman" w:cs="Times New Roman"/>
          <w:sz w:val="24"/>
          <w:szCs w:val="24"/>
        </w:rPr>
        <w:t xml:space="preserve"> </w:t>
      </w:r>
      <w:r w:rsidR="00395E82" w:rsidRPr="00FE4925">
        <w:rPr>
          <w:rFonts w:ascii="Times New Roman" w:hAnsi="Times New Roman" w:cs="Times New Roman"/>
          <w:sz w:val="24"/>
          <w:szCs w:val="24"/>
        </w:rPr>
        <w:t xml:space="preserve">four regional field offices, </w:t>
      </w:r>
      <w:r w:rsidR="00FE4925" w:rsidRPr="00FE4925">
        <w:rPr>
          <w:rFonts w:ascii="Times New Roman" w:hAnsi="Times New Roman" w:cs="Times New Roman"/>
          <w:sz w:val="24"/>
          <w:szCs w:val="24"/>
        </w:rPr>
        <w:t>with eight professional and three administrative staff</w:t>
      </w:r>
      <w:r w:rsidR="004321E9">
        <w:rPr>
          <w:rFonts w:ascii="Times New Roman" w:hAnsi="Times New Roman" w:cs="Times New Roman"/>
          <w:sz w:val="24"/>
          <w:szCs w:val="24"/>
        </w:rPr>
        <w:t>.</w:t>
      </w:r>
      <w:r w:rsidR="00395E82" w:rsidRPr="00FE4925">
        <w:rPr>
          <w:rFonts w:ascii="Times New Roman" w:hAnsi="Times New Roman" w:cs="Times New Roman"/>
          <w:sz w:val="24"/>
          <w:szCs w:val="24"/>
        </w:rPr>
        <w:t xml:space="preserve"> In this regard the </w:t>
      </w:r>
      <w:r w:rsidR="001756BF">
        <w:rPr>
          <w:rFonts w:ascii="Times New Roman" w:hAnsi="Times New Roman" w:cs="Times New Roman"/>
          <w:sz w:val="24"/>
          <w:szCs w:val="24"/>
        </w:rPr>
        <w:t xml:space="preserve">2010-2013 </w:t>
      </w:r>
      <w:r w:rsidR="00395E82" w:rsidRPr="00FE4925">
        <w:rPr>
          <w:rFonts w:ascii="Times New Roman" w:hAnsi="Times New Roman" w:cs="Times New Roman"/>
          <w:sz w:val="24"/>
          <w:szCs w:val="24"/>
        </w:rPr>
        <w:t xml:space="preserve">UNPFN funding played an important catalytic role in getting the </w:t>
      </w:r>
      <w:r w:rsidR="00A153F2">
        <w:rPr>
          <w:rFonts w:ascii="Times New Roman" w:hAnsi="Times New Roman" w:cs="Times New Roman"/>
          <w:sz w:val="24"/>
          <w:szCs w:val="24"/>
        </w:rPr>
        <w:t>CLD</w:t>
      </w:r>
      <w:r w:rsidR="00A153F2" w:rsidRPr="00FE4925">
        <w:rPr>
          <w:rFonts w:ascii="Times New Roman" w:hAnsi="Times New Roman" w:cs="Times New Roman"/>
          <w:sz w:val="24"/>
          <w:szCs w:val="24"/>
        </w:rPr>
        <w:t xml:space="preserve"> </w:t>
      </w:r>
      <w:r w:rsidR="00395E82" w:rsidRPr="00FE4925">
        <w:rPr>
          <w:rFonts w:ascii="Times New Roman" w:hAnsi="Times New Roman" w:cs="Times New Roman"/>
          <w:sz w:val="24"/>
          <w:szCs w:val="24"/>
        </w:rPr>
        <w:t xml:space="preserve">established. </w:t>
      </w:r>
    </w:p>
    <w:p w:rsidR="0078330D" w:rsidRDefault="0078330D" w:rsidP="002A6CF0">
      <w:pPr>
        <w:pStyle w:val="BodyText"/>
        <w:jc w:val="both"/>
        <w:rPr>
          <w:rFonts w:ascii="Times New Roman" w:hAnsi="Times New Roman" w:cs="Times New Roman"/>
          <w:sz w:val="24"/>
          <w:szCs w:val="24"/>
        </w:rPr>
      </w:pPr>
    </w:p>
    <w:p w:rsidR="0078330D" w:rsidRPr="00395E82" w:rsidRDefault="0078330D" w:rsidP="002A6CF0">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2011 UNPFN funding for </w:t>
      </w:r>
      <w:r w:rsidR="00A153F2">
        <w:rPr>
          <w:rFonts w:ascii="Times New Roman" w:hAnsi="Times New Roman" w:cs="Times New Roman"/>
          <w:sz w:val="24"/>
          <w:szCs w:val="24"/>
        </w:rPr>
        <w:t xml:space="preserve">CLD </w:t>
      </w:r>
      <w:r>
        <w:rPr>
          <w:rFonts w:ascii="Times New Roman" w:hAnsi="Times New Roman" w:cs="Times New Roman"/>
          <w:sz w:val="24"/>
          <w:szCs w:val="24"/>
        </w:rPr>
        <w:t>came five years after the 2006 signing of the Nepal’s Comprehensive Peace Agreement (CPA) that successfully brought an end to the armed conflict.  Although the risk of a return to fighting had largely receded by that time, the nation was grappling with numerous issues related to</w:t>
      </w:r>
      <w:r w:rsidR="001756BF">
        <w:rPr>
          <w:rFonts w:ascii="Times New Roman" w:hAnsi="Times New Roman" w:cs="Times New Roman"/>
          <w:sz w:val="24"/>
          <w:szCs w:val="24"/>
        </w:rPr>
        <w:t xml:space="preserve"> the</w:t>
      </w:r>
      <w:r>
        <w:rPr>
          <w:rFonts w:ascii="Times New Roman" w:hAnsi="Times New Roman" w:cs="Times New Roman"/>
          <w:sz w:val="24"/>
          <w:szCs w:val="24"/>
        </w:rPr>
        <w:t xml:space="preserve"> CPA that were creating for a difficult transition.  Most notably the drafting of a new constitution was pending, and entangled in discussion about </w:t>
      </w:r>
      <w:r w:rsidR="00A74397">
        <w:rPr>
          <w:rFonts w:ascii="Times New Roman" w:hAnsi="Times New Roman" w:cs="Times New Roman"/>
          <w:sz w:val="24"/>
          <w:szCs w:val="24"/>
        </w:rPr>
        <w:t xml:space="preserve">competing models of federalism.  This issue was closely tied to post-conflict surge in identity-based tensions, and the aspirations of historically marginalized groups to </w:t>
      </w:r>
      <w:r w:rsidR="00E03D74">
        <w:rPr>
          <w:rFonts w:ascii="Times New Roman" w:hAnsi="Times New Roman" w:cs="Times New Roman"/>
          <w:sz w:val="24"/>
          <w:szCs w:val="24"/>
        </w:rPr>
        <w:t>have their own provinces.  CPA commit</w:t>
      </w:r>
      <w:r w:rsidR="001756BF">
        <w:rPr>
          <w:rFonts w:ascii="Times New Roman" w:hAnsi="Times New Roman" w:cs="Times New Roman"/>
          <w:sz w:val="24"/>
          <w:szCs w:val="24"/>
        </w:rPr>
        <w:t>ment</w:t>
      </w:r>
      <w:r w:rsidR="00E03D74">
        <w:rPr>
          <w:rFonts w:ascii="Times New Roman" w:hAnsi="Times New Roman" w:cs="Times New Roman"/>
          <w:sz w:val="24"/>
          <w:szCs w:val="24"/>
        </w:rPr>
        <w:t>s to establish a Truth and Reconciliation Commission (TRC) and enact Land Reform had remained almost completely stalled.  Underlying these challenges was a culture of confrontation among political parties, with a focus on zero-sum approaches</w:t>
      </w:r>
      <w:r w:rsidR="00D93484">
        <w:rPr>
          <w:rFonts w:ascii="Times New Roman" w:hAnsi="Times New Roman" w:cs="Times New Roman"/>
          <w:sz w:val="24"/>
          <w:szCs w:val="24"/>
        </w:rPr>
        <w:t xml:space="preserve"> and</w:t>
      </w:r>
      <w:r w:rsidR="00A17088">
        <w:rPr>
          <w:rFonts w:ascii="Times New Roman" w:hAnsi="Times New Roman" w:cs="Times New Roman"/>
          <w:sz w:val="24"/>
          <w:szCs w:val="24"/>
        </w:rPr>
        <w:t xml:space="preserve"> short-term political gain </w:t>
      </w:r>
      <w:r w:rsidR="00E03D74">
        <w:rPr>
          <w:rFonts w:ascii="Times New Roman" w:hAnsi="Times New Roman" w:cs="Times New Roman"/>
          <w:sz w:val="24"/>
          <w:szCs w:val="24"/>
        </w:rPr>
        <w:t xml:space="preserve">that was largely impeding any deeper discussion and consensus-building among political leaders on such matters.  </w:t>
      </w:r>
    </w:p>
    <w:p w:rsidR="00E5235E" w:rsidRDefault="00E5235E" w:rsidP="002A6CF0">
      <w:pPr>
        <w:pStyle w:val="BodyText"/>
        <w:jc w:val="both"/>
        <w:rPr>
          <w:rFonts w:ascii="Times New Roman" w:hAnsi="Times New Roman" w:cs="Times New Roman"/>
          <w:sz w:val="24"/>
          <w:szCs w:val="24"/>
        </w:rPr>
      </w:pPr>
    </w:p>
    <w:p w:rsidR="00D952B2" w:rsidRPr="00D952B2" w:rsidRDefault="00D16F5E" w:rsidP="002A6CF0">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CPP’s </w:t>
      </w:r>
      <w:r w:rsidR="004321E9">
        <w:rPr>
          <w:rFonts w:ascii="Times New Roman" w:hAnsi="Times New Roman" w:cs="Times New Roman"/>
          <w:sz w:val="24"/>
          <w:szCs w:val="24"/>
        </w:rPr>
        <w:t>CLD</w:t>
      </w:r>
      <w:r>
        <w:rPr>
          <w:rFonts w:ascii="Times New Roman" w:hAnsi="Times New Roman" w:cs="Times New Roman"/>
          <w:sz w:val="24"/>
          <w:szCs w:val="24"/>
        </w:rPr>
        <w:t xml:space="preserve"> initiative was born</w:t>
      </w:r>
      <w:r w:rsidR="00D93484">
        <w:rPr>
          <w:rFonts w:ascii="Times New Roman" w:hAnsi="Times New Roman" w:cs="Times New Roman"/>
          <w:sz w:val="24"/>
          <w:szCs w:val="24"/>
        </w:rPr>
        <w:t xml:space="preserve"> </w:t>
      </w:r>
      <w:r>
        <w:rPr>
          <w:rFonts w:ascii="Times New Roman" w:hAnsi="Times New Roman" w:cs="Times New Roman"/>
          <w:sz w:val="24"/>
          <w:szCs w:val="24"/>
        </w:rPr>
        <w:t xml:space="preserve">out of a 2009 UNDP-sponsored conference </w:t>
      </w:r>
      <w:r w:rsidR="00D93484">
        <w:rPr>
          <w:rFonts w:ascii="Times New Roman" w:hAnsi="Times New Roman" w:cs="Times New Roman"/>
          <w:sz w:val="24"/>
          <w:szCs w:val="24"/>
        </w:rPr>
        <w:t>in Nagarkot,</w:t>
      </w:r>
      <w:r w:rsidR="001756BF">
        <w:rPr>
          <w:rFonts w:ascii="Times New Roman" w:hAnsi="Times New Roman" w:cs="Times New Roman"/>
          <w:sz w:val="24"/>
          <w:szCs w:val="24"/>
        </w:rPr>
        <w:t xml:space="preserve"> Nepal,</w:t>
      </w:r>
      <w:r w:rsidR="00D93484">
        <w:rPr>
          <w:rFonts w:ascii="Times New Roman" w:hAnsi="Times New Roman" w:cs="Times New Roman"/>
          <w:sz w:val="24"/>
          <w:szCs w:val="24"/>
        </w:rPr>
        <w:t xml:space="preserve"> at </w:t>
      </w:r>
      <w:r>
        <w:rPr>
          <w:rFonts w:ascii="Times New Roman" w:hAnsi="Times New Roman" w:cs="Times New Roman"/>
          <w:sz w:val="24"/>
          <w:szCs w:val="24"/>
        </w:rPr>
        <w:t xml:space="preserve">which senior leaders of the main political parties were consulted about what type of support UNDP could offer to facilitate the post-conflict transition.   These leaders recognized that </w:t>
      </w:r>
      <w:r w:rsidR="00D93484">
        <w:rPr>
          <w:rFonts w:ascii="Times New Roman" w:hAnsi="Times New Roman" w:cs="Times New Roman"/>
          <w:sz w:val="24"/>
          <w:szCs w:val="24"/>
        </w:rPr>
        <w:t xml:space="preserve">there was a strong need to promote consensus-building among actors at the Kathmandu and district level so as to forge agreement on how to move forward on the post-conflict transition agenda, as well as avoid the escalation of tensions that could lead to violence.  </w:t>
      </w:r>
      <w:r w:rsidR="00AD1FA8" w:rsidRPr="002A6CF0">
        <w:rPr>
          <w:rFonts w:ascii="Times New Roman" w:hAnsi="Times New Roman" w:cs="Times New Roman"/>
          <w:sz w:val="24"/>
          <w:szCs w:val="24"/>
        </w:rPr>
        <w:t>The</w:t>
      </w:r>
      <w:r w:rsidR="00A17088">
        <w:rPr>
          <w:rFonts w:ascii="Times New Roman" w:hAnsi="Times New Roman" w:cs="Times New Roman"/>
          <w:sz w:val="24"/>
          <w:szCs w:val="24"/>
        </w:rPr>
        <w:t xml:space="preserve">re were </w:t>
      </w:r>
      <w:r w:rsidR="00D93484">
        <w:rPr>
          <w:rFonts w:ascii="Times New Roman" w:hAnsi="Times New Roman" w:cs="Times New Roman"/>
          <w:sz w:val="24"/>
          <w:szCs w:val="24"/>
        </w:rPr>
        <w:t xml:space="preserve">multiple rounds of follow-up to this idea and what emerged was a vision on shape and focus of the eventual </w:t>
      </w:r>
      <w:r w:rsidR="00AD1FA8" w:rsidRPr="002A6CF0">
        <w:rPr>
          <w:rFonts w:ascii="Times New Roman" w:hAnsi="Times New Roman" w:cs="Times New Roman"/>
          <w:sz w:val="24"/>
          <w:szCs w:val="24"/>
        </w:rPr>
        <w:t>CLD</w:t>
      </w:r>
      <w:r w:rsidR="00AD1FA8" w:rsidRPr="00D952B2">
        <w:rPr>
          <w:rFonts w:ascii="Times New Roman" w:hAnsi="Times New Roman" w:cs="Times New Roman"/>
          <w:sz w:val="24"/>
          <w:szCs w:val="24"/>
        </w:rPr>
        <w:t xml:space="preserve"> </w:t>
      </w:r>
      <w:r w:rsidR="00D93484">
        <w:rPr>
          <w:rFonts w:ascii="Times New Roman" w:hAnsi="Times New Roman" w:cs="Times New Roman"/>
          <w:sz w:val="24"/>
          <w:szCs w:val="24"/>
        </w:rPr>
        <w:t xml:space="preserve">initiative.  </w:t>
      </w:r>
    </w:p>
    <w:p w:rsidR="00D952B2" w:rsidRDefault="00D952B2" w:rsidP="002A6CF0">
      <w:pPr>
        <w:pStyle w:val="BodyText"/>
        <w:jc w:val="both"/>
        <w:rPr>
          <w:rFonts w:ascii="Times New Roman" w:hAnsi="Times New Roman" w:cs="Times New Roman"/>
          <w:sz w:val="24"/>
          <w:szCs w:val="24"/>
        </w:rPr>
      </w:pPr>
    </w:p>
    <w:p w:rsidR="0055789D" w:rsidRDefault="00D93484" w:rsidP="00583C69">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UNPFN support contributed to CLD’s early efforts to develop a methodology and approach to this work, as well </w:t>
      </w:r>
      <w:r w:rsidR="0055789D">
        <w:rPr>
          <w:rFonts w:ascii="Times New Roman" w:hAnsi="Times New Roman" w:cs="Times New Roman"/>
          <w:sz w:val="24"/>
          <w:szCs w:val="24"/>
        </w:rPr>
        <w:t xml:space="preserve">as a </w:t>
      </w:r>
      <w:r>
        <w:rPr>
          <w:rFonts w:ascii="Times New Roman" w:hAnsi="Times New Roman" w:cs="Times New Roman"/>
          <w:sz w:val="24"/>
          <w:szCs w:val="24"/>
        </w:rPr>
        <w:t xml:space="preserve">roll-out to three pilot districts; Kathmandu, </w:t>
      </w:r>
      <w:r w:rsidR="0055789D">
        <w:rPr>
          <w:rFonts w:ascii="Times New Roman" w:hAnsi="Times New Roman" w:cs="Times New Roman"/>
          <w:sz w:val="24"/>
          <w:szCs w:val="24"/>
        </w:rPr>
        <w:t>Banke and D</w:t>
      </w:r>
      <w:r>
        <w:rPr>
          <w:rFonts w:ascii="Times New Roman" w:hAnsi="Times New Roman" w:cs="Times New Roman"/>
          <w:sz w:val="24"/>
          <w:szCs w:val="24"/>
        </w:rPr>
        <w:t>hanusa</w:t>
      </w:r>
      <w:r w:rsidR="0055789D">
        <w:rPr>
          <w:rFonts w:ascii="Times New Roman" w:hAnsi="Times New Roman" w:cs="Times New Roman"/>
          <w:sz w:val="24"/>
          <w:szCs w:val="24"/>
        </w:rPr>
        <w:t xml:space="preserve">. This </w:t>
      </w:r>
      <w:r w:rsidR="001756BF">
        <w:rPr>
          <w:rFonts w:ascii="Times New Roman" w:hAnsi="Times New Roman" w:cs="Times New Roman"/>
          <w:sz w:val="24"/>
          <w:szCs w:val="24"/>
        </w:rPr>
        <w:t xml:space="preserve">included </w:t>
      </w:r>
      <w:r w:rsidR="0055789D">
        <w:rPr>
          <w:rFonts w:ascii="Times New Roman" w:hAnsi="Times New Roman" w:cs="Times New Roman"/>
          <w:sz w:val="24"/>
          <w:szCs w:val="24"/>
        </w:rPr>
        <w:t xml:space="preserve">the contracting of experts on mediation and dialogue who both developed materials for workshops with local actors, and </w:t>
      </w:r>
      <w:r w:rsidR="001756BF">
        <w:rPr>
          <w:rFonts w:ascii="Times New Roman" w:hAnsi="Times New Roman" w:cs="Times New Roman"/>
          <w:sz w:val="24"/>
          <w:szCs w:val="24"/>
        </w:rPr>
        <w:t xml:space="preserve">created </w:t>
      </w:r>
      <w:r w:rsidR="0055789D">
        <w:rPr>
          <w:rFonts w:ascii="Times New Roman" w:hAnsi="Times New Roman" w:cs="Times New Roman"/>
          <w:sz w:val="24"/>
          <w:szCs w:val="24"/>
        </w:rPr>
        <w:t xml:space="preserve">a strategy for launching the work in the pilot areas.  These funds also covered </w:t>
      </w:r>
      <w:r w:rsidR="006207FA">
        <w:rPr>
          <w:rFonts w:ascii="Times New Roman" w:hAnsi="Times New Roman" w:cs="Times New Roman"/>
          <w:sz w:val="24"/>
          <w:szCs w:val="24"/>
        </w:rPr>
        <w:t xml:space="preserve">later </w:t>
      </w:r>
      <w:r w:rsidR="0055789D">
        <w:rPr>
          <w:rFonts w:ascii="Times New Roman" w:hAnsi="Times New Roman" w:cs="Times New Roman"/>
          <w:sz w:val="24"/>
          <w:szCs w:val="24"/>
        </w:rPr>
        <w:t xml:space="preserve">staffing </w:t>
      </w:r>
      <w:r w:rsidR="006207FA">
        <w:rPr>
          <w:rFonts w:ascii="Times New Roman" w:hAnsi="Times New Roman" w:cs="Times New Roman"/>
          <w:sz w:val="24"/>
          <w:szCs w:val="24"/>
        </w:rPr>
        <w:t xml:space="preserve">and office operation </w:t>
      </w:r>
      <w:r w:rsidR="0055789D">
        <w:rPr>
          <w:rFonts w:ascii="Times New Roman" w:hAnsi="Times New Roman" w:cs="Times New Roman"/>
          <w:sz w:val="24"/>
          <w:szCs w:val="24"/>
        </w:rPr>
        <w:t xml:space="preserve">costs for dedicated teams that organized workshops and other activities, and provided follow-on support to promote the application of dialogue to concrete issues on the ground.  </w:t>
      </w:r>
    </w:p>
    <w:p w:rsidR="006207FA" w:rsidRDefault="006207FA" w:rsidP="00583C69">
      <w:pPr>
        <w:pStyle w:val="BodyText"/>
        <w:jc w:val="both"/>
        <w:rPr>
          <w:rFonts w:ascii="Times New Roman" w:hAnsi="Times New Roman" w:cs="Times New Roman"/>
          <w:sz w:val="24"/>
          <w:szCs w:val="24"/>
        </w:rPr>
      </w:pPr>
    </w:p>
    <w:p w:rsidR="006207FA" w:rsidRDefault="006207FA" w:rsidP="00583C69">
      <w:pPr>
        <w:pStyle w:val="BodyText"/>
        <w:jc w:val="both"/>
        <w:rPr>
          <w:rFonts w:ascii="Times New Roman" w:hAnsi="Times New Roman" w:cs="Times New Roman"/>
          <w:sz w:val="24"/>
          <w:szCs w:val="24"/>
        </w:rPr>
      </w:pPr>
      <w:r>
        <w:rPr>
          <w:rFonts w:ascii="Times New Roman" w:hAnsi="Times New Roman" w:cs="Times New Roman"/>
          <w:sz w:val="24"/>
          <w:szCs w:val="24"/>
        </w:rPr>
        <w:t xml:space="preserve">Another and central aspect of the UNPFN support was for a project known as the Transitional Justice Resource Centre (TJRC).  The TJRC was originally set-up by the Office of the High </w:t>
      </w:r>
      <w:r>
        <w:rPr>
          <w:rFonts w:ascii="Times New Roman" w:hAnsi="Times New Roman" w:cs="Times New Roman"/>
          <w:sz w:val="24"/>
          <w:szCs w:val="24"/>
        </w:rPr>
        <w:lastRenderedPageBreak/>
        <w:t>Commission</w:t>
      </w:r>
      <w:r w:rsidR="001756BF">
        <w:rPr>
          <w:rFonts w:ascii="Times New Roman" w:hAnsi="Times New Roman" w:cs="Times New Roman"/>
          <w:sz w:val="24"/>
          <w:szCs w:val="24"/>
        </w:rPr>
        <w:t>er</w:t>
      </w:r>
      <w:r>
        <w:rPr>
          <w:rFonts w:ascii="Times New Roman" w:hAnsi="Times New Roman" w:cs="Times New Roman"/>
          <w:sz w:val="24"/>
          <w:szCs w:val="24"/>
        </w:rPr>
        <w:t xml:space="preserve"> for Human Rights</w:t>
      </w:r>
      <w:r w:rsidR="001756BF">
        <w:rPr>
          <w:rFonts w:ascii="Times New Roman" w:hAnsi="Times New Roman" w:cs="Times New Roman"/>
          <w:sz w:val="24"/>
          <w:szCs w:val="24"/>
        </w:rPr>
        <w:t xml:space="preserve"> (OHCHR)</w:t>
      </w:r>
      <w:r>
        <w:rPr>
          <w:rFonts w:ascii="Times New Roman" w:hAnsi="Times New Roman" w:cs="Times New Roman"/>
          <w:sz w:val="24"/>
          <w:szCs w:val="24"/>
        </w:rPr>
        <w:t xml:space="preserve"> in the final months prior to the closure of its Nepal office in December 2011.  </w:t>
      </w:r>
      <w:r w:rsidR="002D6B27">
        <w:rPr>
          <w:rFonts w:ascii="Times New Roman" w:hAnsi="Times New Roman" w:cs="Times New Roman"/>
          <w:sz w:val="24"/>
          <w:szCs w:val="24"/>
        </w:rPr>
        <w:t xml:space="preserve">Shortly thereafter, in early 2012, the CLD assumed responsibility for this project and signed a Memorandum of Understanding with a national NGO, World Vision Advocacy Forum (WVAF) to function as the local implementer for this work.  The TJRC had been set-up by OHCHR as </w:t>
      </w:r>
      <w:r w:rsidR="00000149">
        <w:rPr>
          <w:rFonts w:ascii="Times New Roman" w:hAnsi="Times New Roman" w:cs="Times New Roman"/>
          <w:sz w:val="24"/>
          <w:szCs w:val="24"/>
        </w:rPr>
        <w:t xml:space="preserve">a </w:t>
      </w:r>
      <w:r w:rsidR="002D6B27">
        <w:rPr>
          <w:rFonts w:ascii="Times New Roman" w:hAnsi="Times New Roman" w:cs="Times New Roman"/>
          <w:sz w:val="24"/>
          <w:szCs w:val="24"/>
        </w:rPr>
        <w:t>repository for human rights and transitional justice informatio</w:t>
      </w:r>
      <w:r w:rsidR="0073084A">
        <w:rPr>
          <w:rFonts w:ascii="Times New Roman" w:hAnsi="Times New Roman" w:cs="Times New Roman"/>
          <w:sz w:val="24"/>
          <w:szCs w:val="24"/>
        </w:rPr>
        <w:t>n, with the idea of providing support to</w:t>
      </w:r>
      <w:r w:rsidR="002D6B27">
        <w:rPr>
          <w:rFonts w:ascii="Times New Roman" w:hAnsi="Times New Roman" w:cs="Times New Roman"/>
          <w:sz w:val="24"/>
          <w:szCs w:val="24"/>
        </w:rPr>
        <w:t xml:space="preserve"> the creation of the planned Truth and Reconciliation Commission and Commission on Disappeared Persons.   At that stage, it was hoped that these two bodies would be created within 6-12 months.  </w:t>
      </w:r>
    </w:p>
    <w:p w:rsidR="00CB52C4" w:rsidRPr="002A6CF0" w:rsidRDefault="00CB52C4" w:rsidP="0025238C">
      <w:pPr>
        <w:rPr>
          <w:u w:val="single"/>
        </w:rPr>
      </w:pPr>
    </w:p>
    <w:p w:rsidR="00AB0274" w:rsidRPr="002A6CF0" w:rsidRDefault="00AB0274" w:rsidP="00257C91">
      <w:pPr>
        <w:pStyle w:val="Heading1"/>
        <w:numPr>
          <w:ilvl w:val="0"/>
          <w:numId w:val="1"/>
        </w:numPr>
        <w:tabs>
          <w:tab w:val="left" w:pos="360"/>
        </w:tabs>
        <w:ind w:left="360" w:hanging="360"/>
        <w:jc w:val="left"/>
        <w:rPr>
          <w:rFonts w:ascii="Times New Roman" w:hAnsi="Times New Roman"/>
          <w:sz w:val="24"/>
          <w:szCs w:val="24"/>
        </w:rPr>
      </w:pPr>
      <w:r w:rsidRPr="002A6CF0">
        <w:rPr>
          <w:rFonts w:ascii="Times New Roman" w:hAnsi="Times New Roman"/>
          <w:sz w:val="24"/>
          <w:szCs w:val="24"/>
        </w:rPr>
        <w:t>Purpose</w:t>
      </w:r>
      <w:bookmarkEnd w:id="2"/>
    </w:p>
    <w:p w:rsidR="005F2980" w:rsidRPr="002A6CF0" w:rsidRDefault="005F2980" w:rsidP="005F2980">
      <w:pPr>
        <w:pStyle w:val="BodyText"/>
        <w:ind w:left="720"/>
        <w:jc w:val="both"/>
        <w:rPr>
          <w:rFonts w:ascii="Times New Roman" w:hAnsi="Times New Roman" w:cs="Times New Roman"/>
          <w:b/>
          <w:sz w:val="24"/>
          <w:szCs w:val="24"/>
        </w:rPr>
      </w:pPr>
    </w:p>
    <w:p w:rsidR="008130FF" w:rsidRPr="002A6CF0" w:rsidRDefault="008130FF" w:rsidP="002A6CF0">
      <w:pPr>
        <w:rPr>
          <w:bCs/>
          <w:color w:val="000000"/>
          <w:lang w:val="en-AU"/>
        </w:rPr>
      </w:pPr>
      <w:r w:rsidRPr="002A6CF0">
        <w:rPr>
          <w:b/>
          <w:bCs/>
          <w:color w:val="000000"/>
          <w:lang w:val="en-AU"/>
        </w:rPr>
        <w:t xml:space="preserve">Goal: </w:t>
      </w:r>
      <w:r w:rsidRPr="002A6CF0">
        <w:rPr>
          <w:bCs/>
          <w:color w:val="000000"/>
          <w:lang w:val="en-AU"/>
        </w:rPr>
        <w:t>Collaborative leadership at the local and national level supports and promotes a culture of dialogue that contributes to conflict prevention and social cohesion.</w:t>
      </w:r>
    </w:p>
    <w:p w:rsidR="005F2980" w:rsidRPr="002A6CF0" w:rsidRDefault="005F2980" w:rsidP="005F2980">
      <w:pPr>
        <w:ind w:left="720"/>
        <w:rPr>
          <w:bCs/>
          <w:color w:val="000000"/>
          <w:lang w:val="en-AU"/>
        </w:rPr>
      </w:pPr>
    </w:p>
    <w:p w:rsidR="008130FF" w:rsidRPr="002A6CF0" w:rsidRDefault="008130FF" w:rsidP="002A6CF0">
      <w:pPr>
        <w:rPr>
          <w:b/>
          <w:bCs/>
          <w:color w:val="000000"/>
          <w:lang w:val="en-AU"/>
        </w:rPr>
      </w:pPr>
      <w:r w:rsidRPr="002A6CF0">
        <w:rPr>
          <w:b/>
          <w:bCs/>
          <w:color w:val="000000"/>
          <w:lang w:val="en-AU"/>
        </w:rPr>
        <w:t>Peacebuilding Impact:</w:t>
      </w:r>
    </w:p>
    <w:p w:rsidR="008130FF" w:rsidRPr="002A6CF0" w:rsidRDefault="008130FF" w:rsidP="00257C91">
      <w:pPr>
        <w:numPr>
          <w:ilvl w:val="0"/>
          <w:numId w:val="2"/>
        </w:numPr>
        <w:rPr>
          <w:bCs/>
          <w:color w:val="000000"/>
          <w:lang w:val="en-AU"/>
        </w:rPr>
      </w:pPr>
      <w:r w:rsidRPr="002A6CF0">
        <w:rPr>
          <w:bCs/>
          <w:color w:val="000000"/>
          <w:lang w:val="en-AU"/>
        </w:rPr>
        <w:t>Sustainable capacity on collaboration and dialogue developed for leaders at local and national levels;</w:t>
      </w:r>
    </w:p>
    <w:p w:rsidR="008130FF" w:rsidRPr="002A6CF0" w:rsidRDefault="008130FF" w:rsidP="00257C91">
      <w:pPr>
        <w:numPr>
          <w:ilvl w:val="0"/>
          <w:numId w:val="2"/>
        </w:numPr>
        <w:rPr>
          <w:bCs/>
          <w:color w:val="000000"/>
          <w:lang w:val="en-AU"/>
        </w:rPr>
      </w:pPr>
      <w:r w:rsidRPr="002A6CF0">
        <w:rPr>
          <w:bCs/>
          <w:color w:val="000000"/>
          <w:lang w:val="en-AU"/>
        </w:rPr>
        <w:t>Better negotiated solutions on peacebuilding and development-related issues</w:t>
      </w:r>
      <w:r w:rsidR="00763690">
        <w:rPr>
          <w:bCs/>
          <w:color w:val="000000"/>
          <w:lang w:val="en-AU"/>
        </w:rPr>
        <w:t>;</w:t>
      </w:r>
    </w:p>
    <w:p w:rsidR="008130FF" w:rsidRPr="002A6CF0" w:rsidRDefault="008130FF" w:rsidP="00257C91">
      <w:pPr>
        <w:numPr>
          <w:ilvl w:val="0"/>
          <w:numId w:val="2"/>
        </w:numPr>
        <w:rPr>
          <w:bCs/>
          <w:color w:val="000000"/>
          <w:lang w:val="en-AU"/>
        </w:rPr>
      </w:pPr>
      <w:r w:rsidRPr="002A6CF0">
        <w:rPr>
          <w:bCs/>
          <w:color w:val="000000"/>
          <w:lang w:val="en-AU"/>
        </w:rPr>
        <w:t>Strengthened local and national capacities and mechanisms for collaboration, dialogue and conflict management</w:t>
      </w:r>
      <w:r w:rsidR="00763690">
        <w:rPr>
          <w:bCs/>
          <w:color w:val="000000"/>
          <w:lang w:val="en-AU"/>
        </w:rPr>
        <w:t>.</w:t>
      </w:r>
    </w:p>
    <w:p w:rsidR="00DE6E89" w:rsidRPr="002A6CF0" w:rsidRDefault="00DE6E89" w:rsidP="00DE6E89">
      <w:pPr>
        <w:pStyle w:val="BodyText"/>
        <w:ind w:left="720"/>
        <w:jc w:val="both"/>
        <w:rPr>
          <w:rFonts w:ascii="Times New Roman" w:hAnsi="Times New Roman" w:cs="Times New Roman"/>
          <w:sz w:val="24"/>
          <w:szCs w:val="24"/>
        </w:rPr>
      </w:pPr>
    </w:p>
    <w:p w:rsidR="00AB0274" w:rsidRPr="002A6CF0" w:rsidRDefault="006E7057" w:rsidP="00257C91">
      <w:pPr>
        <w:pStyle w:val="Heading1"/>
        <w:numPr>
          <w:ilvl w:val="0"/>
          <w:numId w:val="1"/>
        </w:numPr>
        <w:tabs>
          <w:tab w:val="left" w:pos="360"/>
        </w:tabs>
        <w:ind w:left="360" w:hanging="360"/>
        <w:jc w:val="left"/>
        <w:rPr>
          <w:rFonts w:ascii="Times New Roman" w:hAnsi="Times New Roman"/>
          <w:sz w:val="24"/>
          <w:szCs w:val="24"/>
        </w:rPr>
      </w:pPr>
      <w:bookmarkStart w:id="3" w:name="_Toc249364486"/>
      <w:r>
        <w:rPr>
          <w:rFonts w:ascii="Times New Roman" w:hAnsi="Times New Roman"/>
          <w:sz w:val="24"/>
          <w:szCs w:val="24"/>
        </w:rPr>
        <w:t xml:space="preserve">Assessment of Programme </w:t>
      </w:r>
      <w:r w:rsidR="00AB0274" w:rsidRPr="002A6CF0">
        <w:rPr>
          <w:rFonts w:ascii="Times New Roman" w:hAnsi="Times New Roman"/>
          <w:sz w:val="24"/>
          <w:szCs w:val="24"/>
        </w:rPr>
        <w:t>Results</w:t>
      </w:r>
      <w:bookmarkEnd w:id="3"/>
    </w:p>
    <w:p w:rsidR="008130FF" w:rsidRPr="002A6CF0" w:rsidRDefault="00A65EFC" w:rsidP="00F11A91">
      <w:pPr>
        <w:tabs>
          <w:tab w:val="left" w:pos="9105"/>
        </w:tabs>
        <w:jc w:val="both"/>
      </w:pPr>
      <w:r w:rsidRPr="002A6CF0">
        <w:tab/>
      </w:r>
    </w:p>
    <w:p w:rsidR="00EA4A4C" w:rsidRDefault="0064485B" w:rsidP="002A6CF0">
      <w:pPr>
        <w:autoSpaceDE w:val="0"/>
        <w:autoSpaceDN w:val="0"/>
        <w:adjustRightInd w:val="0"/>
        <w:jc w:val="both"/>
        <w:rPr>
          <w:b/>
          <w:bCs/>
          <w:color w:val="000000"/>
        </w:rPr>
      </w:pPr>
      <w:r>
        <w:rPr>
          <w:b/>
          <w:bCs/>
          <w:color w:val="000000"/>
        </w:rPr>
        <w:t xml:space="preserve">Strategic Outcome </w:t>
      </w:r>
    </w:p>
    <w:p w:rsidR="0064485B" w:rsidRPr="002A6CF0" w:rsidRDefault="0064485B" w:rsidP="002A6CF0">
      <w:pPr>
        <w:autoSpaceDE w:val="0"/>
        <w:autoSpaceDN w:val="0"/>
        <w:adjustRightInd w:val="0"/>
        <w:jc w:val="both"/>
        <w:rPr>
          <w:b/>
          <w:bCs/>
          <w:color w:val="000000"/>
        </w:rPr>
      </w:pPr>
    </w:p>
    <w:p w:rsidR="00EA4A4C" w:rsidRPr="002A6CF0" w:rsidRDefault="00EA4A4C" w:rsidP="002A6CF0">
      <w:pPr>
        <w:autoSpaceDE w:val="0"/>
        <w:autoSpaceDN w:val="0"/>
        <w:adjustRightInd w:val="0"/>
        <w:jc w:val="both"/>
        <w:rPr>
          <w:bCs/>
          <w:iCs/>
          <w:spacing w:val="-2"/>
        </w:rPr>
      </w:pPr>
      <w:r w:rsidRPr="002A6CF0">
        <w:rPr>
          <w:bCs/>
          <w:iCs/>
          <w:spacing w:val="-2"/>
        </w:rPr>
        <w:t>Political, civil society and governmental actors have helped prevent conflict and consolidate the peace through developing, applying and sustaining capacities of collaborative leadership, dialogue and conflict sensitivity</w:t>
      </w:r>
    </w:p>
    <w:p w:rsidR="005F2980" w:rsidRPr="002A6CF0" w:rsidRDefault="005F2980" w:rsidP="00597E52">
      <w:pPr>
        <w:autoSpaceDE w:val="0"/>
        <w:autoSpaceDN w:val="0"/>
        <w:adjustRightInd w:val="0"/>
        <w:ind w:left="720"/>
        <w:jc w:val="both"/>
        <w:rPr>
          <w:bCs/>
          <w:iCs/>
          <w:spacing w:val="-2"/>
        </w:rPr>
      </w:pPr>
    </w:p>
    <w:p w:rsidR="00EA4A4C" w:rsidRPr="002A6CF0" w:rsidRDefault="00EA4A4C" w:rsidP="002A6CF0">
      <w:pPr>
        <w:autoSpaceDE w:val="0"/>
        <w:autoSpaceDN w:val="0"/>
        <w:adjustRightInd w:val="0"/>
        <w:jc w:val="both"/>
        <w:rPr>
          <w:bCs/>
          <w:iCs/>
          <w:spacing w:val="-2"/>
        </w:rPr>
      </w:pPr>
      <w:r w:rsidRPr="002A6CF0">
        <w:rPr>
          <w:b/>
          <w:bCs/>
          <w:iCs/>
          <w:spacing w:val="-2"/>
        </w:rPr>
        <w:t>Output 1</w:t>
      </w:r>
      <w:r w:rsidRPr="00F11A91">
        <w:rPr>
          <w:b/>
          <w:bCs/>
          <w:iCs/>
          <w:spacing w:val="-2"/>
        </w:rPr>
        <w:t xml:space="preserve">. </w:t>
      </w:r>
      <w:r w:rsidRPr="00F11A91">
        <w:rPr>
          <w:b/>
        </w:rPr>
        <w:t xml:space="preserve"> Local level leaders (civil society, political and governmental) have prevented and mitigated conflict/tension and established/implemented joint socio-political and developmental visions, programmes and agendas through dialogue</w:t>
      </w:r>
    </w:p>
    <w:p w:rsidR="00525D35" w:rsidRPr="002A6CF0" w:rsidRDefault="00525D35" w:rsidP="00597E52">
      <w:pPr>
        <w:autoSpaceDE w:val="0"/>
        <w:autoSpaceDN w:val="0"/>
        <w:adjustRightInd w:val="0"/>
        <w:ind w:left="720"/>
        <w:jc w:val="both"/>
        <w:rPr>
          <w:bCs/>
          <w:iCs/>
          <w:spacing w:val="-2"/>
        </w:rPr>
      </w:pPr>
    </w:p>
    <w:p w:rsidR="00525D35" w:rsidRPr="002A6CF0" w:rsidRDefault="00EF13E7" w:rsidP="002A6CF0">
      <w:r>
        <w:t xml:space="preserve">Initially </w:t>
      </w:r>
      <w:r w:rsidR="00525D35" w:rsidRPr="002A6CF0">
        <w:t xml:space="preserve">CLD carried out extensive outreach, visiting a wide variety of leaders in the two pilot </w:t>
      </w:r>
      <w:r w:rsidR="00211286">
        <w:t xml:space="preserve">field </w:t>
      </w:r>
      <w:r w:rsidR="00525D35" w:rsidRPr="002A6CF0">
        <w:t xml:space="preserve">districts (Banke and Dhanusa) </w:t>
      </w:r>
      <w:r w:rsidR="00D02772">
        <w:t xml:space="preserve">to </w:t>
      </w:r>
      <w:r w:rsidR="00525D35" w:rsidRPr="002A6CF0">
        <w:t>explain the project’s structure and objectives</w:t>
      </w:r>
      <w:r w:rsidR="00BB5AE0">
        <w:t xml:space="preserve">; these were a </w:t>
      </w:r>
      <w:r w:rsidR="00525D35" w:rsidRPr="002A6CF0">
        <w:t>precursor to an intensive effort in which the project carried out sectoral-based dialogue trainings in both districts</w:t>
      </w:r>
      <w:r w:rsidR="00211286">
        <w:t xml:space="preserve">.  </w:t>
      </w:r>
      <w:r>
        <w:t xml:space="preserve">The </w:t>
      </w:r>
      <w:r w:rsidR="00525D35" w:rsidRPr="002A6CF0">
        <w:t>immersive (3+ day</w:t>
      </w:r>
      <w:r w:rsidR="00D02772">
        <w:t>s</w:t>
      </w:r>
      <w:r w:rsidR="00525D35" w:rsidRPr="002A6CF0">
        <w:t>) trainings included technical elements as well efforts to spark dialogue among the participants.</w:t>
      </w:r>
      <w:r w:rsidR="00211286">
        <w:t xml:space="preserve">  </w:t>
      </w:r>
      <w:r w:rsidR="00525D35" w:rsidRPr="002A6CF0">
        <w:t>These trainings effectively covered the vast majority of identified leaders in the pilot districts including principal government officials (C</w:t>
      </w:r>
      <w:r w:rsidR="00E06CC1">
        <w:t xml:space="preserve">hief </w:t>
      </w:r>
      <w:r w:rsidR="00525D35" w:rsidRPr="002A6CF0">
        <w:t>D</w:t>
      </w:r>
      <w:r w:rsidR="00E06CC1">
        <w:t xml:space="preserve">istrict </w:t>
      </w:r>
      <w:r w:rsidR="00525D35" w:rsidRPr="002A6CF0">
        <w:t>O</w:t>
      </w:r>
      <w:r w:rsidR="00E06CC1">
        <w:t>fficer</w:t>
      </w:r>
      <w:r w:rsidR="00525D35" w:rsidRPr="002A6CF0">
        <w:t xml:space="preserve">, </w:t>
      </w:r>
      <w:r w:rsidR="00FA09AD" w:rsidRPr="002A6CF0">
        <w:t>S</w:t>
      </w:r>
      <w:r w:rsidR="00FA09AD">
        <w:t xml:space="preserve">uperintendent of </w:t>
      </w:r>
      <w:r w:rsidR="00525D35" w:rsidRPr="002A6CF0">
        <w:t>P</w:t>
      </w:r>
      <w:r w:rsidR="00FA09AD">
        <w:t>olice</w:t>
      </w:r>
      <w:r w:rsidR="00525D35" w:rsidRPr="002A6CF0">
        <w:t>, L</w:t>
      </w:r>
      <w:r w:rsidR="00E06CC1">
        <w:t xml:space="preserve">ocal </w:t>
      </w:r>
      <w:r w:rsidR="00525D35" w:rsidRPr="002A6CF0">
        <w:t>D</w:t>
      </w:r>
      <w:r w:rsidR="00E06CC1">
        <w:t xml:space="preserve">evelopment </w:t>
      </w:r>
      <w:r w:rsidR="00525D35" w:rsidRPr="002A6CF0">
        <w:t>O</w:t>
      </w:r>
      <w:r w:rsidR="00E06CC1">
        <w:t>fficer</w:t>
      </w:r>
      <w:r w:rsidR="00525D35" w:rsidRPr="002A6CF0">
        <w:t>, Coordinator of L</w:t>
      </w:r>
      <w:r w:rsidR="00E06CC1">
        <w:t xml:space="preserve">ocal </w:t>
      </w:r>
      <w:r w:rsidR="00525D35" w:rsidRPr="002A6CF0">
        <w:t>P</w:t>
      </w:r>
      <w:r w:rsidR="00E06CC1">
        <w:t xml:space="preserve">eace </w:t>
      </w:r>
      <w:r w:rsidR="00525D35" w:rsidRPr="002A6CF0">
        <w:t>C</w:t>
      </w:r>
      <w:r w:rsidR="00E06CC1">
        <w:t>ommittee</w:t>
      </w:r>
      <w:r w:rsidR="00525D35" w:rsidRPr="002A6CF0">
        <w:t xml:space="preserve">), district-level political party leaders, and civil society figures, with special attention given to women, youth and marginalized groups.  </w:t>
      </w:r>
    </w:p>
    <w:p w:rsidR="00EA4A4C" w:rsidRPr="002A6CF0" w:rsidRDefault="00EA4A4C" w:rsidP="00EA4A4C">
      <w:pPr>
        <w:autoSpaceDE w:val="0"/>
        <w:autoSpaceDN w:val="0"/>
        <w:adjustRightInd w:val="0"/>
        <w:jc w:val="both"/>
        <w:rPr>
          <w:bCs/>
          <w:color w:val="000000"/>
        </w:rPr>
      </w:pPr>
    </w:p>
    <w:p w:rsidR="003D4CDA" w:rsidRDefault="003D4CDA" w:rsidP="003D4CDA">
      <w:pPr>
        <w:pStyle w:val="ListParagraph"/>
        <w:autoSpaceDE w:val="0"/>
        <w:autoSpaceDN w:val="0"/>
        <w:adjustRightInd w:val="0"/>
        <w:ind w:left="0"/>
        <w:jc w:val="both"/>
        <w:rPr>
          <w:color w:val="000000"/>
        </w:rPr>
      </w:pPr>
      <w:r>
        <w:rPr>
          <w:bCs/>
          <w:color w:val="000000"/>
          <w:lang w:val="en-AU"/>
        </w:rPr>
        <w:t xml:space="preserve">During the project </w:t>
      </w:r>
      <w:r w:rsidRPr="002A6CF0">
        <w:rPr>
          <w:bCs/>
          <w:color w:val="000000"/>
          <w:lang w:val="en-AU"/>
        </w:rPr>
        <w:t xml:space="preserve">period </w:t>
      </w:r>
      <w:r>
        <w:rPr>
          <w:bCs/>
          <w:color w:val="000000"/>
          <w:lang w:val="en-AU"/>
        </w:rPr>
        <w:t xml:space="preserve">CLD trained </w:t>
      </w:r>
      <w:r w:rsidRPr="002A6CF0">
        <w:rPr>
          <w:bCs/>
          <w:color w:val="000000"/>
          <w:lang w:val="en-AU"/>
        </w:rPr>
        <w:t xml:space="preserve">more than </w:t>
      </w:r>
      <w:r w:rsidR="00783CE2">
        <w:rPr>
          <w:bCs/>
          <w:color w:val="000000"/>
          <w:lang w:val="en-AU"/>
        </w:rPr>
        <w:t xml:space="preserve">648 </w:t>
      </w:r>
      <w:r w:rsidRPr="002A6CF0">
        <w:t xml:space="preserve">leaders from political, civic </w:t>
      </w:r>
      <w:r>
        <w:t>(</w:t>
      </w:r>
      <w:r w:rsidRPr="002A6CF0">
        <w:t>including media</w:t>
      </w:r>
      <w:r>
        <w:t>)</w:t>
      </w:r>
      <w:r w:rsidRPr="002A6CF0">
        <w:t xml:space="preserve"> and government</w:t>
      </w:r>
      <w:r>
        <w:t xml:space="preserve"> on collaborative leadership and dialogue </w:t>
      </w:r>
      <w:r w:rsidRPr="002A6CF0">
        <w:t>at the national and local levels</w:t>
      </w:r>
      <w:r w:rsidRPr="00155E5C">
        <w:t xml:space="preserve">. Among the total participants, representation from civil society is </w:t>
      </w:r>
      <w:r w:rsidR="00783CE2">
        <w:t>36%</w:t>
      </w:r>
      <w:r>
        <w:t xml:space="preserve"> </w:t>
      </w:r>
      <w:r w:rsidRPr="00155E5C">
        <w:t xml:space="preserve">followed by political party leaders </w:t>
      </w:r>
      <w:r w:rsidR="00783CE2">
        <w:t>33</w:t>
      </w:r>
      <w:r w:rsidRPr="00155E5C">
        <w:t>%</w:t>
      </w:r>
      <w:r>
        <w:t>, media 1</w:t>
      </w:r>
      <w:r w:rsidR="00783CE2">
        <w:t>5%</w:t>
      </w:r>
      <w:r w:rsidRPr="00155E5C">
        <w:t xml:space="preserve">, </w:t>
      </w:r>
      <w:r w:rsidR="00783CE2">
        <w:t>G</w:t>
      </w:r>
      <w:r w:rsidRPr="00155E5C">
        <w:t xml:space="preserve">overnment officials </w:t>
      </w:r>
      <w:r w:rsidR="00783CE2">
        <w:t>5</w:t>
      </w:r>
      <w:r w:rsidRPr="00155E5C">
        <w:t xml:space="preserve">%, </w:t>
      </w:r>
      <w:r>
        <w:t xml:space="preserve">and youth </w:t>
      </w:r>
      <w:r w:rsidR="00783CE2">
        <w:t>8 %</w:t>
      </w:r>
      <w:r w:rsidRPr="00155E5C">
        <w:t xml:space="preserve">. </w:t>
      </w:r>
      <w:r>
        <w:t>The p</w:t>
      </w:r>
      <w:r w:rsidRPr="00155E5C">
        <w:t>ropor</w:t>
      </w:r>
      <w:r>
        <w:t xml:space="preserve">tion of women </w:t>
      </w:r>
      <w:r>
        <w:lastRenderedPageBreak/>
        <w:t>participants was</w:t>
      </w:r>
      <w:r w:rsidRPr="00155E5C">
        <w:t xml:space="preserve"> 2</w:t>
      </w:r>
      <w:r w:rsidR="00783CE2">
        <w:t>4</w:t>
      </w:r>
      <w:r w:rsidRPr="00155E5C">
        <w:t>%.</w:t>
      </w:r>
      <w:r w:rsidRPr="003D4CDA">
        <w:rPr>
          <w:bCs/>
          <w:color w:val="000000"/>
        </w:rPr>
        <w:t xml:space="preserve"> </w:t>
      </w:r>
      <w:r w:rsidRPr="00583C69">
        <w:rPr>
          <w:bCs/>
          <w:color w:val="000000"/>
        </w:rPr>
        <w:t xml:space="preserve">Ongoing support and technical accompaniment is being provided </w:t>
      </w:r>
      <w:r>
        <w:rPr>
          <w:bCs/>
          <w:color w:val="000000"/>
        </w:rPr>
        <w:t xml:space="preserve">to </w:t>
      </w:r>
      <w:r w:rsidRPr="00583C69">
        <w:rPr>
          <w:bCs/>
          <w:color w:val="000000"/>
        </w:rPr>
        <w:t>the leaders in order to assist them in the application of their skills.</w:t>
      </w:r>
      <w:r w:rsidRPr="003D4CDA">
        <w:rPr>
          <w:color w:val="000000"/>
        </w:rPr>
        <w:t xml:space="preserve"> </w:t>
      </w:r>
      <w:r>
        <w:rPr>
          <w:color w:val="000000"/>
        </w:rPr>
        <w:t>Altogether 62</w:t>
      </w:r>
      <w:r w:rsidRPr="002A6CF0">
        <w:rPr>
          <w:color w:val="000000"/>
        </w:rPr>
        <w:t xml:space="preserve"> trainers/facilitators, primarily from civil society organizations and development actors, have been provided training and follow-up technical advice.  </w:t>
      </w:r>
    </w:p>
    <w:p w:rsidR="003D4CDA" w:rsidRDefault="003D4CDA" w:rsidP="003D4CDA">
      <w:pPr>
        <w:jc w:val="both"/>
      </w:pPr>
    </w:p>
    <w:p w:rsidR="003D4CDA" w:rsidRDefault="003D4CDA" w:rsidP="003D4CDA">
      <w:pPr>
        <w:pStyle w:val="ListParagraph"/>
        <w:autoSpaceDE w:val="0"/>
        <w:autoSpaceDN w:val="0"/>
        <w:adjustRightInd w:val="0"/>
        <w:ind w:left="0"/>
        <w:jc w:val="both"/>
      </w:pPr>
      <w:r w:rsidRPr="002A6CF0">
        <w:t xml:space="preserve">In </w:t>
      </w:r>
      <w:r>
        <w:t xml:space="preserve">2012 in </w:t>
      </w:r>
      <w:r w:rsidRPr="002A6CF0">
        <w:t>Banke</w:t>
      </w:r>
      <w:r>
        <w:t>,</w:t>
      </w:r>
      <w:r w:rsidRPr="002A6CF0">
        <w:t xml:space="preserve"> four human right</w:t>
      </w:r>
      <w:r>
        <w:t>s</w:t>
      </w:r>
      <w:r w:rsidRPr="002A6CF0">
        <w:t xml:space="preserve"> NGO partners </w:t>
      </w:r>
      <w:r>
        <w:t>ie. Himalayan Human Right Monitor (Him Right), The Human Right Organisation of Nepal (HURON), Informal Sector Service Center (I</w:t>
      </w:r>
      <w:r w:rsidRPr="002A6CF0">
        <w:t>NSEC</w:t>
      </w:r>
      <w:r>
        <w:t xml:space="preserve">) and Fatima Foundation </w:t>
      </w:r>
      <w:r w:rsidRPr="002A6CF0">
        <w:t xml:space="preserve">have carried </w:t>
      </w:r>
      <w:r>
        <w:t xml:space="preserve">out </w:t>
      </w:r>
      <w:r w:rsidRPr="002A6CF0">
        <w:t>the dialogue processes in 4 VDCs</w:t>
      </w:r>
      <w:r>
        <w:t xml:space="preserve"> (</w:t>
      </w:r>
      <w:r w:rsidRPr="002A6CF0">
        <w:t xml:space="preserve">Fattepur, Indrapur, Bankatiwa and Jaispur) and </w:t>
      </w:r>
      <w:r>
        <w:t xml:space="preserve">1 </w:t>
      </w:r>
      <w:r w:rsidRPr="002A6CF0">
        <w:t>municipality. They organized</w:t>
      </w:r>
      <w:r>
        <w:t xml:space="preserve"> </w:t>
      </w:r>
      <w:r w:rsidRPr="002A6CF0">
        <w:t>public dialogue session</w:t>
      </w:r>
      <w:r>
        <w:t xml:space="preserve">s </w:t>
      </w:r>
      <w:r w:rsidRPr="002A6CF0">
        <w:t>on public security, local development, domestic violence, drug issues</w:t>
      </w:r>
      <w:r>
        <w:t xml:space="preserve">, </w:t>
      </w:r>
      <w:r w:rsidRPr="002A6CF0">
        <w:t>etc.</w:t>
      </w:r>
    </w:p>
    <w:p w:rsidR="003D4CDA" w:rsidRPr="002A6CF0" w:rsidRDefault="003D4CDA" w:rsidP="003D4CDA">
      <w:pPr>
        <w:pStyle w:val="ListParagraph"/>
        <w:autoSpaceDE w:val="0"/>
        <w:autoSpaceDN w:val="0"/>
        <w:adjustRightInd w:val="0"/>
        <w:ind w:left="0"/>
        <w:jc w:val="both"/>
        <w:rPr>
          <w:color w:val="000000"/>
        </w:rPr>
      </w:pPr>
    </w:p>
    <w:p w:rsidR="003D4CDA" w:rsidRPr="002A6CF0" w:rsidRDefault="003D4CDA" w:rsidP="003D4CDA">
      <w:r w:rsidRPr="002A6CF0">
        <w:t xml:space="preserve">This, in effect, concluded the chapter of exclusive focus on capacity-building, and the </w:t>
      </w:r>
      <w:r>
        <w:t>c</w:t>
      </w:r>
      <w:r w:rsidRPr="002A6CF0">
        <w:t xml:space="preserve">enter of gravity of the project shifted towards supporting the application of dialogue and collaborative leadership.  </w:t>
      </w:r>
      <w:r>
        <w:t>In the second phase of the initiative,</w:t>
      </w:r>
      <w:r w:rsidRPr="002A6CF0">
        <w:t xml:space="preserve"> CLD envisions that future capacity building will be more targeted, and </w:t>
      </w:r>
      <w:r>
        <w:t xml:space="preserve">will </w:t>
      </w:r>
      <w:r w:rsidRPr="002A6CF0">
        <w:t xml:space="preserve">link to specific situations occurring in actual dialogue processes (eg. need to design a new process, overcome lack of confidence between parties).  </w:t>
      </w:r>
    </w:p>
    <w:p w:rsidR="003D4CDA" w:rsidRDefault="003D4CDA" w:rsidP="003D4CDA">
      <w:pPr>
        <w:rPr>
          <w:i/>
        </w:rPr>
      </w:pPr>
    </w:p>
    <w:p w:rsidR="00EA4A4C" w:rsidRPr="00F11A91" w:rsidRDefault="00EA4A4C" w:rsidP="00EA4A4C">
      <w:pPr>
        <w:pStyle w:val="ListParagraph"/>
        <w:tabs>
          <w:tab w:val="left" w:pos="252"/>
        </w:tabs>
        <w:ind w:left="0"/>
        <w:contextualSpacing w:val="0"/>
        <w:rPr>
          <w:b/>
        </w:rPr>
      </w:pPr>
      <w:r w:rsidRPr="002A6CF0">
        <w:rPr>
          <w:b/>
          <w:bCs/>
          <w:color w:val="000000"/>
        </w:rPr>
        <w:t xml:space="preserve">Output2. </w:t>
      </w:r>
      <w:r w:rsidRPr="00F11A91">
        <w:rPr>
          <w:b/>
        </w:rPr>
        <w:t>National level leaders (civil society, political and governmental) have collaboratively established and implemented policies, programmes and shared agendas on critical issues to consolidate the peace and prevent conflict</w:t>
      </w:r>
    </w:p>
    <w:p w:rsidR="00EA4A4C" w:rsidRPr="002A6CF0" w:rsidRDefault="00EA4A4C" w:rsidP="00EA4A4C">
      <w:pPr>
        <w:autoSpaceDE w:val="0"/>
        <w:autoSpaceDN w:val="0"/>
        <w:adjustRightInd w:val="0"/>
        <w:rPr>
          <w:b/>
          <w:bCs/>
          <w:color w:val="000000"/>
        </w:rPr>
      </w:pPr>
    </w:p>
    <w:p w:rsidR="00597E52" w:rsidRPr="002A6CF0" w:rsidRDefault="00597E52" w:rsidP="002A6CF0">
      <w:r w:rsidRPr="002A6CF0">
        <w:t xml:space="preserve">The CLD work in Kathmandu largely mirrored the above-described effort in the districts in that </w:t>
      </w:r>
      <w:r w:rsidR="00C37AE2">
        <w:t xml:space="preserve">it </w:t>
      </w:r>
      <w:r w:rsidRPr="002A6CF0">
        <w:t xml:space="preserve">began with outreach to key stakeholders and followed up with dialogue training for leaders including government officials, political party </w:t>
      </w:r>
      <w:r w:rsidR="00583C69" w:rsidRPr="002A6CF0">
        <w:t>representatives,</w:t>
      </w:r>
      <w:r w:rsidR="0054316B" w:rsidRPr="002A6CF0">
        <w:t xml:space="preserve"> and civil society figures through different level</w:t>
      </w:r>
      <w:r w:rsidR="00C37AE2">
        <w:t>s.</w:t>
      </w:r>
    </w:p>
    <w:p w:rsidR="002B06BB" w:rsidRPr="002A6CF0" w:rsidRDefault="002B06BB" w:rsidP="002A6CF0">
      <w:pPr>
        <w:ind w:left="720"/>
      </w:pPr>
    </w:p>
    <w:p w:rsidR="00EA4A4C" w:rsidRPr="002A6CF0" w:rsidRDefault="00EA4A4C" w:rsidP="00597E52">
      <w:pPr>
        <w:autoSpaceDE w:val="0"/>
        <w:autoSpaceDN w:val="0"/>
        <w:adjustRightInd w:val="0"/>
        <w:rPr>
          <w:color w:val="000000"/>
        </w:rPr>
      </w:pPr>
      <w:r w:rsidRPr="002A6CF0">
        <w:rPr>
          <w:bCs/>
          <w:color w:val="000000"/>
        </w:rPr>
        <w:t xml:space="preserve">Political will </w:t>
      </w:r>
      <w:r w:rsidR="00994057">
        <w:rPr>
          <w:bCs/>
          <w:color w:val="000000"/>
        </w:rPr>
        <w:t xml:space="preserve">has been </w:t>
      </w:r>
      <w:r w:rsidRPr="002A6CF0">
        <w:rPr>
          <w:bCs/>
          <w:color w:val="000000"/>
        </w:rPr>
        <w:t>generated and entry points developed at the national level with political parties and government</w:t>
      </w:r>
      <w:r w:rsidR="00994057">
        <w:rPr>
          <w:bCs/>
          <w:color w:val="000000"/>
        </w:rPr>
        <w:t xml:space="preserve">. </w:t>
      </w:r>
      <w:r w:rsidR="00E05B3F">
        <w:rPr>
          <w:bCs/>
          <w:color w:val="000000"/>
        </w:rPr>
        <w:t>In particular</w:t>
      </w:r>
      <w:r w:rsidR="00994057">
        <w:rPr>
          <w:bCs/>
          <w:color w:val="000000"/>
        </w:rPr>
        <w:t>:</w:t>
      </w:r>
    </w:p>
    <w:p w:rsidR="00EA4A4C" w:rsidRPr="002A6CF0" w:rsidRDefault="00303A3A" w:rsidP="00257C91">
      <w:pPr>
        <w:pStyle w:val="ListParagraph"/>
        <w:numPr>
          <w:ilvl w:val="0"/>
          <w:numId w:val="8"/>
        </w:numPr>
        <w:autoSpaceDE w:val="0"/>
        <w:autoSpaceDN w:val="0"/>
        <w:adjustRightInd w:val="0"/>
        <w:rPr>
          <w:color w:val="000000"/>
        </w:rPr>
      </w:pPr>
      <w:r>
        <w:rPr>
          <w:color w:val="000000"/>
        </w:rPr>
        <w:t>A</w:t>
      </w:r>
      <w:r w:rsidRPr="002A6CF0">
        <w:rPr>
          <w:color w:val="000000"/>
        </w:rPr>
        <w:t xml:space="preserve"> </w:t>
      </w:r>
      <w:r w:rsidR="00EA4A4C" w:rsidRPr="002A6CF0">
        <w:rPr>
          <w:color w:val="000000"/>
        </w:rPr>
        <w:t xml:space="preserve">Steering </w:t>
      </w:r>
      <w:r w:rsidR="00AF21CD">
        <w:rPr>
          <w:color w:val="000000"/>
        </w:rPr>
        <w:t>C</w:t>
      </w:r>
      <w:r w:rsidR="00EA4A4C" w:rsidRPr="002A6CF0">
        <w:rPr>
          <w:color w:val="000000"/>
        </w:rPr>
        <w:t xml:space="preserve">ommittee, which includes representatives from seven political parties and </w:t>
      </w:r>
      <w:r w:rsidR="00693D3F">
        <w:rPr>
          <w:color w:val="000000"/>
        </w:rPr>
        <w:t xml:space="preserve">two </w:t>
      </w:r>
      <w:r w:rsidR="00EA4A4C" w:rsidRPr="002A6CF0">
        <w:rPr>
          <w:color w:val="000000"/>
        </w:rPr>
        <w:t>civil society organizations, engage</w:t>
      </w:r>
      <w:r w:rsidR="00E05B3F">
        <w:rPr>
          <w:color w:val="000000"/>
        </w:rPr>
        <w:t>d</w:t>
      </w:r>
      <w:r w:rsidR="00EA4A4C" w:rsidRPr="002A6CF0">
        <w:rPr>
          <w:color w:val="000000"/>
        </w:rPr>
        <w:t xml:space="preserve"> with the project as an advisory body. </w:t>
      </w:r>
    </w:p>
    <w:p w:rsidR="00EA4A4C" w:rsidRPr="002A6CF0" w:rsidRDefault="00994057" w:rsidP="00257C91">
      <w:pPr>
        <w:pStyle w:val="ListParagraph"/>
        <w:numPr>
          <w:ilvl w:val="0"/>
          <w:numId w:val="8"/>
        </w:numPr>
        <w:autoSpaceDE w:val="0"/>
        <w:autoSpaceDN w:val="0"/>
        <w:adjustRightInd w:val="0"/>
        <w:rPr>
          <w:color w:val="000000"/>
        </w:rPr>
      </w:pPr>
      <w:r>
        <w:rPr>
          <w:iCs/>
        </w:rPr>
        <w:t xml:space="preserve">A </w:t>
      </w:r>
      <w:r w:rsidR="00693D3F" w:rsidRPr="002A6CF0">
        <w:rPr>
          <w:iCs/>
        </w:rPr>
        <w:t>t</w:t>
      </w:r>
      <w:r w:rsidR="00532946">
        <w:rPr>
          <w:iCs/>
        </w:rPr>
        <w:t xml:space="preserve">eam of six </w:t>
      </w:r>
      <w:r w:rsidR="00693D3F" w:rsidRPr="002A6CF0">
        <w:rPr>
          <w:iCs/>
        </w:rPr>
        <w:t xml:space="preserve">Senior Facilitators </w:t>
      </w:r>
      <w:r w:rsidR="00AF21CD">
        <w:rPr>
          <w:iCs/>
        </w:rPr>
        <w:t>provide</w:t>
      </w:r>
      <w:r w:rsidR="00E05B3F">
        <w:rPr>
          <w:iCs/>
        </w:rPr>
        <w:t>d</w:t>
      </w:r>
      <w:r w:rsidR="00EA4A4C" w:rsidRPr="002A6CF0">
        <w:rPr>
          <w:iCs/>
        </w:rPr>
        <w:t xml:space="preserve"> expert advice and facilitation services regarding structured dialogue on key issues related to Nepal’s peace and transition </w:t>
      </w:r>
      <w:r w:rsidR="00693D3F" w:rsidRPr="002A6CF0">
        <w:rPr>
          <w:iCs/>
        </w:rPr>
        <w:t>process</w:t>
      </w:r>
      <w:r w:rsidR="00532946">
        <w:rPr>
          <w:iCs/>
        </w:rPr>
        <w:t>.  They support</w:t>
      </w:r>
      <w:r w:rsidR="00E05B3F">
        <w:rPr>
          <w:iCs/>
        </w:rPr>
        <w:t>ed</w:t>
      </w:r>
      <w:r w:rsidR="00532946">
        <w:rPr>
          <w:iCs/>
        </w:rPr>
        <w:t xml:space="preserve"> the design and facilitation of </w:t>
      </w:r>
      <w:r w:rsidR="00EA4A4C" w:rsidRPr="002A6CF0">
        <w:rPr>
          <w:iCs/>
        </w:rPr>
        <w:t xml:space="preserve">dialogue processes responding to critical issues at the local and national </w:t>
      </w:r>
      <w:r>
        <w:rPr>
          <w:iCs/>
        </w:rPr>
        <w:t>levels</w:t>
      </w:r>
      <w:r w:rsidR="00EA4A4C" w:rsidRPr="002A6CF0">
        <w:rPr>
          <w:iCs/>
        </w:rPr>
        <w:t>, as necessary. They also served as senior expert</w:t>
      </w:r>
      <w:r w:rsidR="00303A3A">
        <w:rPr>
          <w:iCs/>
        </w:rPr>
        <w:t>s</w:t>
      </w:r>
      <w:r w:rsidR="00EA4A4C" w:rsidRPr="002A6CF0">
        <w:rPr>
          <w:iCs/>
        </w:rPr>
        <w:t xml:space="preserve"> and resource person</w:t>
      </w:r>
      <w:r w:rsidR="00AF21CD">
        <w:rPr>
          <w:iCs/>
        </w:rPr>
        <w:t>s</w:t>
      </w:r>
      <w:r w:rsidR="00EA4A4C" w:rsidRPr="002A6CF0">
        <w:rPr>
          <w:iCs/>
        </w:rPr>
        <w:t xml:space="preserve"> for facilitation, negotiation and collaborative dialogue involving political parties/ leaders, government and civil society actors, the media and others. Their work</w:t>
      </w:r>
      <w:r w:rsidR="00AF21CD">
        <w:rPr>
          <w:iCs/>
        </w:rPr>
        <w:t xml:space="preserve"> </w:t>
      </w:r>
      <w:r w:rsidR="00EA4A4C" w:rsidRPr="002A6CF0">
        <w:rPr>
          <w:iCs/>
        </w:rPr>
        <w:t>help</w:t>
      </w:r>
      <w:r w:rsidR="00303A3A">
        <w:rPr>
          <w:iCs/>
        </w:rPr>
        <w:t>ed</w:t>
      </w:r>
      <w:r w:rsidR="00EA4A4C" w:rsidRPr="002A6CF0">
        <w:rPr>
          <w:iCs/>
        </w:rPr>
        <w:t xml:space="preserve"> build and rebuild greater trust and mutual confidence among different sets of actors with a view to strengthen strategic relations and/or lower social and political tensions, in order to promote appropriate conditions for constructive dialogue</w:t>
      </w:r>
      <w:r w:rsidR="00532946">
        <w:rPr>
          <w:iCs/>
        </w:rPr>
        <w:t xml:space="preserve">. </w:t>
      </w:r>
    </w:p>
    <w:p w:rsidR="00EA4A4C" w:rsidRPr="002A6CF0" w:rsidRDefault="00EA4A4C" w:rsidP="00257C91">
      <w:pPr>
        <w:pStyle w:val="ListParagraph"/>
        <w:numPr>
          <w:ilvl w:val="0"/>
          <w:numId w:val="8"/>
        </w:numPr>
        <w:autoSpaceDE w:val="0"/>
        <w:autoSpaceDN w:val="0"/>
        <w:adjustRightInd w:val="0"/>
        <w:rPr>
          <w:color w:val="000000"/>
        </w:rPr>
      </w:pPr>
      <w:r w:rsidRPr="002A6CF0">
        <w:rPr>
          <w:color w:val="000000"/>
        </w:rPr>
        <w:t>In October</w:t>
      </w:r>
      <w:r w:rsidR="002B06BB" w:rsidRPr="002A6CF0">
        <w:rPr>
          <w:color w:val="000000"/>
        </w:rPr>
        <w:t xml:space="preserve"> 2012</w:t>
      </w:r>
      <w:r w:rsidRPr="002A6CF0">
        <w:rPr>
          <w:color w:val="000000"/>
        </w:rPr>
        <w:t xml:space="preserve">, a two-day seminar for second-tier political party leaders, which also included CLD’s Senior </w:t>
      </w:r>
      <w:r w:rsidR="00AF21CD">
        <w:rPr>
          <w:color w:val="000000"/>
        </w:rPr>
        <w:t>F</w:t>
      </w:r>
      <w:r w:rsidRPr="002A6CF0">
        <w:rPr>
          <w:color w:val="000000"/>
        </w:rPr>
        <w:t xml:space="preserve">acilitators, Steering </w:t>
      </w:r>
      <w:r w:rsidR="00EF7C6C" w:rsidRPr="002A6CF0">
        <w:rPr>
          <w:color w:val="000000"/>
        </w:rPr>
        <w:t>Com</w:t>
      </w:r>
      <w:r w:rsidR="00EF7C6C">
        <w:rPr>
          <w:color w:val="000000"/>
        </w:rPr>
        <w:t>mittee,</w:t>
      </w:r>
      <w:r w:rsidR="00693D3F">
        <w:rPr>
          <w:color w:val="000000"/>
        </w:rPr>
        <w:t xml:space="preserve"> and a representative of </w:t>
      </w:r>
      <w:r w:rsidR="00303A3A">
        <w:rPr>
          <w:color w:val="000000"/>
        </w:rPr>
        <w:t>the Ministry of Peace and Reconstruction (</w:t>
      </w:r>
      <w:r w:rsidRPr="002A6CF0">
        <w:rPr>
          <w:color w:val="000000"/>
        </w:rPr>
        <w:t>MOPR</w:t>
      </w:r>
      <w:r w:rsidR="00303A3A">
        <w:rPr>
          <w:color w:val="000000"/>
        </w:rPr>
        <w:t>)</w:t>
      </w:r>
      <w:r w:rsidRPr="002A6CF0">
        <w:rPr>
          <w:color w:val="000000"/>
        </w:rPr>
        <w:t xml:space="preserve"> was held in Pokhara.   The participants viewed this as an important space to </w:t>
      </w:r>
      <w:r w:rsidR="00AF21CD">
        <w:rPr>
          <w:color w:val="000000"/>
        </w:rPr>
        <w:t>share</w:t>
      </w:r>
      <w:r w:rsidR="00532946">
        <w:rPr>
          <w:color w:val="000000"/>
        </w:rPr>
        <w:t xml:space="preserve"> </w:t>
      </w:r>
      <w:r w:rsidRPr="002A6CF0">
        <w:rPr>
          <w:color w:val="000000"/>
        </w:rPr>
        <w:t>views and develop conse</w:t>
      </w:r>
      <w:r w:rsidR="00532946">
        <w:rPr>
          <w:color w:val="000000"/>
        </w:rPr>
        <w:t xml:space="preserve">nsus around ways to resolve </w:t>
      </w:r>
      <w:r w:rsidR="00303A3A">
        <w:rPr>
          <w:color w:val="000000"/>
        </w:rPr>
        <w:t xml:space="preserve">contemporary </w:t>
      </w:r>
      <w:r w:rsidRPr="002A6CF0">
        <w:rPr>
          <w:color w:val="000000"/>
        </w:rPr>
        <w:t xml:space="preserve">national political </w:t>
      </w:r>
      <w:r w:rsidR="00532946">
        <w:rPr>
          <w:color w:val="000000"/>
        </w:rPr>
        <w:t>challenges</w:t>
      </w:r>
      <w:r w:rsidR="00E05B3F">
        <w:rPr>
          <w:color w:val="000000"/>
        </w:rPr>
        <w:t>,</w:t>
      </w:r>
      <w:r w:rsidR="00532946">
        <w:rPr>
          <w:color w:val="000000"/>
        </w:rPr>
        <w:t xml:space="preserve"> including the dissolution of the Constituent Assembly and parliament.</w:t>
      </w:r>
      <w:r w:rsidRPr="002A6CF0">
        <w:rPr>
          <w:color w:val="000000"/>
        </w:rPr>
        <w:t xml:space="preserve">  </w:t>
      </w:r>
    </w:p>
    <w:p w:rsidR="00EA4A4C" w:rsidRPr="002A6CF0" w:rsidRDefault="00EA4A4C" w:rsidP="00257C91">
      <w:pPr>
        <w:pStyle w:val="ListParagraph"/>
        <w:numPr>
          <w:ilvl w:val="0"/>
          <w:numId w:val="8"/>
        </w:numPr>
        <w:autoSpaceDE w:val="0"/>
        <w:autoSpaceDN w:val="0"/>
        <w:adjustRightInd w:val="0"/>
        <w:rPr>
          <w:color w:val="000000"/>
        </w:rPr>
      </w:pPr>
      <w:r w:rsidRPr="002A6CF0">
        <w:rPr>
          <w:color w:val="000000"/>
        </w:rPr>
        <w:lastRenderedPageBreak/>
        <w:t>Mid-level government officials from five government ministries/institutions have been trained on CLD and they, along with designated focal points, act as entry points within these ministries (Ministry of Home Affairs</w:t>
      </w:r>
      <w:r w:rsidR="00303A3A">
        <w:rPr>
          <w:color w:val="000000"/>
        </w:rPr>
        <w:t xml:space="preserve"> (MOHA)</w:t>
      </w:r>
      <w:r w:rsidRPr="002A6CF0">
        <w:rPr>
          <w:color w:val="000000"/>
        </w:rPr>
        <w:t xml:space="preserve">, </w:t>
      </w:r>
      <w:r w:rsidR="00303A3A">
        <w:rPr>
          <w:color w:val="000000"/>
        </w:rPr>
        <w:t>MOPR</w:t>
      </w:r>
      <w:r w:rsidRPr="002A6CF0">
        <w:rPr>
          <w:color w:val="000000"/>
        </w:rPr>
        <w:t xml:space="preserve">, National Planning Commission, Ministry of Local Development </w:t>
      </w:r>
      <w:r w:rsidR="00303A3A">
        <w:rPr>
          <w:color w:val="000000"/>
        </w:rPr>
        <w:t xml:space="preserve">(MOLD) </w:t>
      </w:r>
      <w:r w:rsidRPr="002A6CF0">
        <w:rPr>
          <w:color w:val="000000"/>
        </w:rPr>
        <w:t>and Nepal Administrative Staff College)</w:t>
      </w:r>
      <w:r w:rsidR="00E05B3F">
        <w:rPr>
          <w:color w:val="000000"/>
        </w:rPr>
        <w:t>.</w:t>
      </w:r>
    </w:p>
    <w:p w:rsidR="00EA4A4C" w:rsidRPr="002A6CF0" w:rsidRDefault="00EA4A4C" w:rsidP="00257C91">
      <w:pPr>
        <w:pStyle w:val="ListParagraph"/>
        <w:numPr>
          <w:ilvl w:val="0"/>
          <w:numId w:val="8"/>
        </w:numPr>
        <w:autoSpaceDE w:val="0"/>
        <w:autoSpaceDN w:val="0"/>
        <w:adjustRightInd w:val="0"/>
        <w:rPr>
          <w:color w:val="000000"/>
        </w:rPr>
      </w:pPr>
      <w:r w:rsidRPr="002A6CF0">
        <w:rPr>
          <w:color w:val="000000"/>
        </w:rPr>
        <w:t xml:space="preserve">Senior political leadership of seven major political parties received </w:t>
      </w:r>
      <w:r w:rsidR="00E05B3F">
        <w:rPr>
          <w:color w:val="000000"/>
        </w:rPr>
        <w:t xml:space="preserve">an </w:t>
      </w:r>
      <w:r w:rsidRPr="002A6CF0">
        <w:rPr>
          <w:color w:val="000000"/>
        </w:rPr>
        <w:t xml:space="preserve">orientation </w:t>
      </w:r>
      <w:r w:rsidR="00E05B3F">
        <w:rPr>
          <w:color w:val="000000"/>
        </w:rPr>
        <w:t>on</w:t>
      </w:r>
      <w:r w:rsidR="00E05B3F" w:rsidRPr="002A6CF0">
        <w:rPr>
          <w:color w:val="000000"/>
        </w:rPr>
        <w:t xml:space="preserve"> </w:t>
      </w:r>
      <w:r w:rsidRPr="002A6CF0">
        <w:rPr>
          <w:color w:val="000000"/>
        </w:rPr>
        <w:t xml:space="preserve">the CLD project through </w:t>
      </w:r>
      <w:r w:rsidR="00E05B3F">
        <w:rPr>
          <w:color w:val="000000"/>
        </w:rPr>
        <w:t xml:space="preserve">a </w:t>
      </w:r>
      <w:r w:rsidRPr="002A6CF0">
        <w:rPr>
          <w:color w:val="000000"/>
        </w:rPr>
        <w:t xml:space="preserve">three-day workshop.  This included discussions on longer-term support to build individual and institutional capacities. </w:t>
      </w:r>
    </w:p>
    <w:p w:rsidR="00EA4A4C" w:rsidRPr="002A6CF0" w:rsidRDefault="00EA4A4C" w:rsidP="00EA4A4C">
      <w:pPr>
        <w:pStyle w:val="ListParagraph"/>
        <w:autoSpaceDE w:val="0"/>
        <w:autoSpaceDN w:val="0"/>
        <w:adjustRightInd w:val="0"/>
        <w:rPr>
          <w:color w:val="000000"/>
        </w:rPr>
      </w:pPr>
    </w:p>
    <w:p w:rsidR="00EA4A4C" w:rsidRPr="002A6CF0" w:rsidRDefault="00E05B3F" w:rsidP="00EA4A4C">
      <w:pPr>
        <w:autoSpaceDE w:val="0"/>
        <w:autoSpaceDN w:val="0"/>
        <w:adjustRightInd w:val="0"/>
        <w:jc w:val="both"/>
        <w:rPr>
          <w:bCs/>
          <w:color w:val="000000"/>
        </w:rPr>
      </w:pPr>
      <w:r>
        <w:rPr>
          <w:bCs/>
          <w:color w:val="000000"/>
        </w:rPr>
        <w:t>With respect to building the c</w:t>
      </w:r>
      <w:r w:rsidRPr="002A6CF0">
        <w:rPr>
          <w:bCs/>
          <w:color w:val="000000"/>
        </w:rPr>
        <w:t xml:space="preserve">apacity </w:t>
      </w:r>
      <w:r w:rsidR="00EA4A4C" w:rsidRPr="002A6CF0">
        <w:rPr>
          <w:bCs/>
          <w:color w:val="000000"/>
        </w:rPr>
        <w:t xml:space="preserve">of a critical mass of national leaders and </w:t>
      </w:r>
      <w:r>
        <w:rPr>
          <w:bCs/>
          <w:color w:val="000000"/>
        </w:rPr>
        <w:t xml:space="preserve">developing </w:t>
      </w:r>
      <w:r w:rsidR="00EA4A4C" w:rsidRPr="002A6CF0">
        <w:rPr>
          <w:bCs/>
          <w:color w:val="000000"/>
        </w:rPr>
        <w:t>key entry points:</w:t>
      </w:r>
    </w:p>
    <w:p w:rsidR="00EA4A4C" w:rsidRPr="002A6CF0" w:rsidRDefault="00EA4A4C" w:rsidP="00EA4A4C">
      <w:pPr>
        <w:autoSpaceDE w:val="0"/>
        <w:autoSpaceDN w:val="0"/>
        <w:adjustRightInd w:val="0"/>
        <w:jc w:val="both"/>
        <w:rPr>
          <w:bCs/>
          <w:color w:val="000000"/>
        </w:rPr>
      </w:pPr>
    </w:p>
    <w:p w:rsidR="00EA4A4C" w:rsidRPr="002A6CF0" w:rsidRDefault="00EA4A4C" w:rsidP="00257C91">
      <w:pPr>
        <w:pStyle w:val="ListParagraph"/>
        <w:numPr>
          <w:ilvl w:val="0"/>
          <w:numId w:val="8"/>
        </w:numPr>
        <w:autoSpaceDE w:val="0"/>
        <w:autoSpaceDN w:val="0"/>
        <w:adjustRightInd w:val="0"/>
      </w:pPr>
      <w:r w:rsidRPr="002A6CF0">
        <w:rPr>
          <w:bCs/>
        </w:rPr>
        <w:t xml:space="preserve">Working relations </w:t>
      </w:r>
      <w:r w:rsidR="006410C6">
        <w:rPr>
          <w:bCs/>
        </w:rPr>
        <w:t>were established with Women</w:t>
      </w:r>
      <w:r w:rsidR="00E05B3F">
        <w:rPr>
          <w:bCs/>
        </w:rPr>
        <w:t>’s</w:t>
      </w:r>
      <w:r w:rsidRPr="002A6CF0">
        <w:rPr>
          <w:bCs/>
        </w:rPr>
        <w:t xml:space="preserve"> Civil Society Networks and the Inter Party Women’s Alliance (IPWA). TOTs for both network</w:t>
      </w:r>
      <w:r w:rsidR="00AF21CD">
        <w:rPr>
          <w:bCs/>
        </w:rPr>
        <w:t>s were</w:t>
      </w:r>
      <w:r w:rsidRPr="002A6CF0">
        <w:rPr>
          <w:bCs/>
        </w:rPr>
        <w:t xml:space="preserve"> organized separately. </w:t>
      </w:r>
    </w:p>
    <w:p w:rsidR="00EA4A4C" w:rsidRPr="002A6CF0" w:rsidRDefault="00303A3A" w:rsidP="00257C91">
      <w:pPr>
        <w:pStyle w:val="ListParagraph"/>
        <w:numPr>
          <w:ilvl w:val="0"/>
          <w:numId w:val="8"/>
        </w:numPr>
        <w:autoSpaceDE w:val="0"/>
        <w:autoSpaceDN w:val="0"/>
        <w:adjustRightInd w:val="0"/>
      </w:pPr>
      <w:r>
        <w:rPr>
          <w:bCs/>
        </w:rPr>
        <w:t>R</w:t>
      </w:r>
      <w:r w:rsidR="00EA4A4C" w:rsidRPr="002A6CF0">
        <w:rPr>
          <w:bCs/>
        </w:rPr>
        <w:t xml:space="preserve">elationships with leading figures (Deputy and Senior Editors) in the national print media and </w:t>
      </w:r>
      <w:r w:rsidR="00E05B3F">
        <w:rPr>
          <w:bCs/>
        </w:rPr>
        <w:t xml:space="preserve">the </w:t>
      </w:r>
      <w:r w:rsidR="00EA4A4C" w:rsidRPr="002A6CF0">
        <w:rPr>
          <w:bCs/>
        </w:rPr>
        <w:t xml:space="preserve">Federation of </w:t>
      </w:r>
      <w:r w:rsidR="00241F42" w:rsidRPr="002A6CF0">
        <w:rPr>
          <w:bCs/>
        </w:rPr>
        <w:t>Nepali</w:t>
      </w:r>
      <w:r w:rsidR="00E05B3F">
        <w:rPr>
          <w:bCs/>
        </w:rPr>
        <w:t xml:space="preserve"> </w:t>
      </w:r>
      <w:r w:rsidR="006410C6" w:rsidRPr="002A6CF0">
        <w:rPr>
          <w:bCs/>
        </w:rPr>
        <w:t>Journalist</w:t>
      </w:r>
      <w:r w:rsidR="00AF21CD">
        <w:rPr>
          <w:bCs/>
        </w:rPr>
        <w:t>s</w:t>
      </w:r>
      <w:r w:rsidR="00EA4A4C" w:rsidRPr="002A6CF0">
        <w:rPr>
          <w:bCs/>
        </w:rPr>
        <w:t xml:space="preserve">, SancharikaSamuha and </w:t>
      </w:r>
      <w:r w:rsidR="00E05B3F">
        <w:rPr>
          <w:bCs/>
        </w:rPr>
        <w:t>W</w:t>
      </w:r>
      <w:r w:rsidR="00E05B3F" w:rsidRPr="002A6CF0">
        <w:rPr>
          <w:bCs/>
        </w:rPr>
        <w:t xml:space="preserve">orking </w:t>
      </w:r>
      <w:r w:rsidR="00E05B3F">
        <w:rPr>
          <w:bCs/>
        </w:rPr>
        <w:t>W</w:t>
      </w:r>
      <w:r w:rsidR="00E05B3F" w:rsidRPr="002A6CF0">
        <w:rPr>
          <w:bCs/>
        </w:rPr>
        <w:t xml:space="preserve">omen </w:t>
      </w:r>
      <w:r w:rsidR="00E05B3F">
        <w:rPr>
          <w:bCs/>
        </w:rPr>
        <w:t>J</w:t>
      </w:r>
      <w:r w:rsidR="00E05B3F" w:rsidRPr="002A6CF0">
        <w:rPr>
          <w:bCs/>
        </w:rPr>
        <w:t>ournalist</w:t>
      </w:r>
      <w:r w:rsidR="00E05B3F">
        <w:rPr>
          <w:bCs/>
        </w:rPr>
        <w:t>s</w:t>
      </w:r>
      <w:r w:rsidR="00E05B3F" w:rsidRPr="002A6CF0">
        <w:rPr>
          <w:bCs/>
        </w:rPr>
        <w:t xml:space="preserve"> </w:t>
      </w:r>
      <w:r>
        <w:rPr>
          <w:bCs/>
        </w:rPr>
        <w:t xml:space="preserve">were established </w:t>
      </w:r>
      <w:r w:rsidR="00EA4A4C" w:rsidRPr="002A6CF0">
        <w:rPr>
          <w:bCs/>
        </w:rPr>
        <w:t>through three separate workshop</w:t>
      </w:r>
      <w:r w:rsidR="00AF21CD">
        <w:rPr>
          <w:bCs/>
        </w:rPr>
        <w:t>s</w:t>
      </w:r>
      <w:r w:rsidR="00EA4A4C" w:rsidRPr="002A6CF0">
        <w:rPr>
          <w:bCs/>
        </w:rPr>
        <w:t xml:space="preserve"> focused on the media’s role </w:t>
      </w:r>
      <w:r w:rsidR="00AF21CD">
        <w:rPr>
          <w:bCs/>
        </w:rPr>
        <w:t>i</w:t>
      </w:r>
      <w:r w:rsidR="00EA4A4C" w:rsidRPr="002A6CF0">
        <w:rPr>
          <w:bCs/>
        </w:rPr>
        <w:t xml:space="preserve">n influencing dialogue processes.    </w:t>
      </w:r>
    </w:p>
    <w:p w:rsidR="00EA4A4C" w:rsidRPr="002A6CF0" w:rsidRDefault="00EA4A4C" w:rsidP="00EA4A4C">
      <w:pPr>
        <w:autoSpaceDE w:val="0"/>
        <w:autoSpaceDN w:val="0"/>
        <w:adjustRightInd w:val="0"/>
        <w:jc w:val="both"/>
        <w:rPr>
          <w:b/>
          <w:color w:val="000000"/>
        </w:rPr>
      </w:pPr>
    </w:p>
    <w:p w:rsidR="00EA4A4C" w:rsidRPr="005D4D4D" w:rsidRDefault="005D4D4D" w:rsidP="00EA4A4C">
      <w:pPr>
        <w:autoSpaceDE w:val="0"/>
        <w:autoSpaceDN w:val="0"/>
        <w:adjustRightInd w:val="0"/>
        <w:jc w:val="both"/>
        <w:rPr>
          <w:color w:val="000000"/>
        </w:rPr>
      </w:pPr>
      <w:r w:rsidRPr="005D4D4D">
        <w:rPr>
          <w:color w:val="000000"/>
        </w:rPr>
        <w:t>The program also de</w:t>
      </w:r>
      <w:r w:rsidR="00EA4A4C" w:rsidRPr="005D4D4D">
        <w:rPr>
          <w:color w:val="000000"/>
        </w:rPr>
        <w:t>velop</w:t>
      </w:r>
      <w:r w:rsidRPr="005D4D4D">
        <w:rPr>
          <w:color w:val="000000"/>
        </w:rPr>
        <w:t xml:space="preserve">ed </w:t>
      </w:r>
      <w:r w:rsidR="00EA4A4C" w:rsidRPr="005D4D4D">
        <w:rPr>
          <w:color w:val="000000"/>
        </w:rPr>
        <w:t>training and facilitation capacity at the national level</w:t>
      </w:r>
      <w:r w:rsidR="00E05B3F">
        <w:rPr>
          <w:color w:val="000000"/>
        </w:rPr>
        <w:t xml:space="preserve"> by</w:t>
      </w:r>
      <w:r w:rsidR="00EA4A4C" w:rsidRPr="005D4D4D">
        <w:rPr>
          <w:color w:val="000000"/>
        </w:rPr>
        <w:t>:</w:t>
      </w:r>
    </w:p>
    <w:p w:rsidR="008E0F0C" w:rsidRDefault="00E05B3F" w:rsidP="00257C91">
      <w:pPr>
        <w:pStyle w:val="ListParagraph"/>
        <w:numPr>
          <w:ilvl w:val="0"/>
          <w:numId w:val="8"/>
        </w:numPr>
        <w:autoSpaceDE w:val="0"/>
        <w:autoSpaceDN w:val="0"/>
        <w:adjustRightInd w:val="0"/>
        <w:spacing w:after="120"/>
      </w:pPr>
      <w:r>
        <w:t xml:space="preserve">Supporting </w:t>
      </w:r>
      <w:r w:rsidR="00EA4A4C" w:rsidRPr="002A6CF0">
        <w:t>the work of the Senior Facilitator</w:t>
      </w:r>
      <w:r>
        <w:t>s</w:t>
      </w:r>
      <w:r w:rsidR="00EA4A4C" w:rsidRPr="002A6CF0">
        <w:t xml:space="preserve"> team in the planning and execution of engagements on select</w:t>
      </w:r>
      <w:r w:rsidR="00783CE2">
        <w:t>ed</w:t>
      </w:r>
      <w:r w:rsidR="00EA4A4C" w:rsidRPr="002A6CF0">
        <w:t xml:space="preserve"> strategic issues including Land and Electoral Violence.</w:t>
      </w:r>
    </w:p>
    <w:p w:rsidR="008E0F0C" w:rsidRDefault="00EA4A4C" w:rsidP="00257C91">
      <w:pPr>
        <w:pStyle w:val="ListParagraph"/>
        <w:numPr>
          <w:ilvl w:val="0"/>
          <w:numId w:val="8"/>
        </w:numPr>
        <w:autoSpaceDE w:val="0"/>
        <w:autoSpaceDN w:val="0"/>
        <w:adjustRightInd w:val="0"/>
        <w:spacing w:after="120"/>
        <w:rPr>
          <w:color w:val="000000"/>
        </w:rPr>
      </w:pPr>
      <w:r w:rsidRPr="002A6CF0">
        <w:t xml:space="preserve">Supported the identification of possible candidates for </w:t>
      </w:r>
      <w:r w:rsidR="00E05B3F">
        <w:t xml:space="preserve">the </w:t>
      </w:r>
      <w:r w:rsidRPr="002A6CF0">
        <w:t>expansion of the Senior Facilitators team.</w:t>
      </w:r>
    </w:p>
    <w:p w:rsidR="008E0F0C" w:rsidRDefault="00E05B3F" w:rsidP="00257C91">
      <w:pPr>
        <w:pStyle w:val="ListParagraph"/>
        <w:numPr>
          <w:ilvl w:val="0"/>
          <w:numId w:val="8"/>
        </w:numPr>
        <w:autoSpaceDE w:val="0"/>
        <w:autoSpaceDN w:val="0"/>
        <w:adjustRightInd w:val="0"/>
        <w:spacing w:after="120"/>
        <w:rPr>
          <w:color w:val="000000"/>
        </w:rPr>
      </w:pPr>
      <w:r>
        <w:rPr>
          <w:color w:val="000000"/>
        </w:rPr>
        <w:t xml:space="preserve">Training </w:t>
      </w:r>
      <w:r w:rsidR="00EA4A4C" w:rsidRPr="002A6CF0">
        <w:rPr>
          <w:color w:val="000000"/>
        </w:rPr>
        <w:t xml:space="preserve">15 trainers/facilitators from </w:t>
      </w:r>
      <w:r>
        <w:rPr>
          <w:color w:val="000000"/>
        </w:rPr>
        <w:t xml:space="preserve">the </w:t>
      </w:r>
      <w:r w:rsidR="00EA4A4C" w:rsidRPr="002A6CF0">
        <w:rPr>
          <w:color w:val="000000"/>
        </w:rPr>
        <w:t xml:space="preserve">seven major parties’ training units on </w:t>
      </w:r>
      <w:r w:rsidR="00AF21CD">
        <w:rPr>
          <w:color w:val="000000"/>
        </w:rPr>
        <w:t>CLD</w:t>
      </w:r>
      <w:r w:rsidR="00EA4A4C" w:rsidRPr="002A6CF0">
        <w:rPr>
          <w:color w:val="000000"/>
        </w:rPr>
        <w:t xml:space="preserve">.  Out of the 15 participants, </w:t>
      </w:r>
      <w:r w:rsidR="00783CE2">
        <w:rPr>
          <w:color w:val="000000"/>
        </w:rPr>
        <w:t xml:space="preserve">three </w:t>
      </w:r>
      <w:r w:rsidR="00EA4A4C" w:rsidRPr="002A6CF0">
        <w:rPr>
          <w:color w:val="000000"/>
        </w:rPr>
        <w:t xml:space="preserve">were female and </w:t>
      </w:r>
      <w:r w:rsidR="00783CE2">
        <w:rPr>
          <w:color w:val="000000"/>
        </w:rPr>
        <w:t xml:space="preserve">one </w:t>
      </w:r>
      <w:r w:rsidR="00EA4A4C" w:rsidRPr="002A6CF0">
        <w:rPr>
          <w:color w:val="000000"/>
        </w:rPr>
        <w:t xml:space="preserve">was from a marginalized community. The composition of this group was determined by the political parties, which nominated participants from their respective parties.  CLD had requested that nominations be done with “diversity” as a key criterion for selection. </w:t>
      </w:r>
    </w:p>
    <w:p w:rsidR="002E7B2A" w:rsidRDefault="002B06BB" w:rsidP="002E7B2A">
      <w:pPr>
        <w:rPr>
          <w:i/>
          <w:u w:val="single"/>
        </w:rPr>
      </w:pPr>
      <w:r w:rsidRPr="00F11A91">
        <w:rPr>
          <w:i/>
          <w:u w:val="single"/>
        </w:rPr>
        <w:t>Impacts</w:t>
      </w:r>
      <w:r w:rsidR="00F11A91">
        <w:rPr>
          <w:i/>
          <w:u w:val="single"/>
        </w:rPr>
        <w:t xml:space="preserve"> of Output </w:t>
      </w:r>
      <w:r w:rsidR="00DC6CDC">
        <w:rPr>
          <w:i/>
          <w:u w:val="single"/>
        </w:rPr>
        <w:t>1 and</w:t>
      </w:r>
      <w:r w:rsidR="00F11A91">
        <w:rPr>
          <w:i/>
          <w:u w:val="single"/>
        </w:rPr>
        <w:t>2</w:t>
      </w:r>
    </w:p>
    <w:p w:rsidR="00DC6CDC" w:rsidRPr="00A04B39" w:rsidRDefault="00DC6CDC" w:rsidP="00257C91">
      <w:pPr>
        <w:pStyle w:val="ListParagraph"/>
        <w:numPr>
          <w:ilvl w:val="0"/>
          <w:numId w:val="8"/>
        </w:numPr>
        <w:rPr>
          <w:b/>
        </w:rPr>
      </w:pPr>
      <w:r w:rsidRPr="00A04B39">
        <w:rPr>
          <w:i/>
        </w:rPr>
        <w:t>The legitimization of the Collaborative Leadership and Dialogue project among a broad range of district leaders</w:t>
      </w:r>
      <w:r w:rsidR="00EC771A">
        <w:rPr>
          <w:i/>
        </w:rPr>
        <w:t xml:space="preserve"> </w:t>
      </w:r>
      <w:r w:rsidR="00EC771A" w:rsidRPr="00EC771A">
        <w:rPr>
          <w:i/>
        </w:rPr>
        <w:t>–</w:t>
      </w:r>
      <w:r w:rsidR="00EC771A">
        <w:rPr>
          <w:i/>
        </w:rPr>
        <w:t xml:space="preserve"> </w:t>
      </w:r>
      <w:r w:rsidR="00A04B39" w:rsidRPr="002A6CF0">
        <w:t xml:space="preserve">CLD has clearly been able to establish itself as a valid and significant initiative. This was evidenced by the participation of high-level political leaders in </w:t>
      </w:r>
      <w:r w:rsidR="00A04B39">
        <w:t xml:space="preserve">immersive multi-day workshops. For example the CLD event held in Pokhara </w:t>
      </w:r>
      <w:r w:rsidR="00A04B39" w:rsidRPr="002A6CF0">
        <w:t>signaled the opening of new, and potentially significant, space for dialogue among senior Nepali leaders.</w:t>
      </w:r>
      <w:r w:rsidR="00A04B39">
        <w:t xml:space="preserve"> Such participation </w:t>
      </w:r>
      <w:r w:rsidR="00A04B39" w:rsidRPr="002A6CF0">
        <w:t>has</w:t>
      </w:r>
      <w:r w:rsidRPr="002A6CF0">
        <w:t xml:space="preserve"> not only included physical presence, but active engagement </w:t>
      </w:r>
      <w:r w:rsidR="00A04B39">
        <w:t>in the process.</w:t>
      </w:r>
      <w:r w:rsidRPr="002A6CF0">
        <w:t xml:space="preserve"> In follow-up to workshops, the vast majority of participants, including government officials, receive visits from project staff and discuss the national and district level developments, as well possible ideas for dialogue.  </w:t>
      </w:r>
    </w:p>
    <w:p w:rsidR="00DC6CDC" w:rsidRPr="002A6CF0" w:rsidRDefault="00DC6CDC" w:rsidP="00DC6CDC">
      <w:pPr>
        <w:pStyle w:val="ListParagraph"/>
        <w:rPr>
          <w:b/>
        </w:rPr>
      </w:pPr>
    </w:p>
    <w:p w:rsidR="00DC6CDC" w:rsidRPr="00B55670" w:rsidRDefault="00DC6CDC" w:rsidP="00257C91">
      <w:pPr>
        <w:pStyle w:val="ListParagraph"/>
        <w:numPr>
          <w:ilvl w:val="0"/>
          <w:numId w:val="8"/>
        </w:numPr>
        <w:rPr>
          <w:u w:val="single"/>
        </w:rPr>
      </w:pPr>
      <w:r w:rsidRPr="00B55670">
        <w:rPr>
          <w:i/>
        </w:rPr>
        <w:t>The validation of collaborative leadership and dialogue as viable tools for addressing socio-political tensions –</w:t>
      </w:r>
      <w:r w:rsidR="00A04B39" w:rsidRPr="00A04B39">
        <w:t xml:space="preserve"> </w:t>
      </w:r>
      <w:r w:rsidR="00A04B39" w:rsidRPr="002A6CF0">
        <w:t xml:space="preserve">The engaged and animated participation of high-level leaders in the Pokhara event, as well as statements made them, indicated that they considered dialogue to be a critical element of any successful navigation of the many challenges facing the nation.  Prior to the Pokhara event, some senior political leaders had already spoken passionately about the impact of CLD.  Brikesh Chandra Lal, who represents </w:t>
      </w:r>
      <w:r w:rsidR="00A04B39" w:rsidRPr="002A6CF0">
        <w:lastRenderedPageBreak/>
        <w:t>Terai Madhes</w:t>
      </w:r>
      <w:r w:rsidR="00A04B39">
        <w:t xml:space="preserve"> </w:t>
      </w:r>
      <w:r w:rsidR="00A04B39" w:rsidRPr="002A6CF0">
        <w:t xml:space="preserve">Loktantrik Party on the CLD Steering Committee, </w:t>
      </w:r>
      <w:r w:rsidR="00A04B39">
        <w:t xml:space="preserve">told </w:t>
      </w:r>
      <w:r w:rsidR="00A04B39" w:rsidRPr="002A6CF0">
        <w:t>project staff that CLD has “completely changed his understanding of political negotiations” and requested training for his party’s mid and senior level leadership.</w:t>
      </w:r>
      <w:r w:rsidR="00EC771A">
        <w:t xml:space="preserve"> </w:t>
      </w:r>
    </w:p>
    <w:p w:rsidR="00B55670" w:rsidRPr="00B55670" w:rsidRDefault="00B55670" w:rsidP="00B55670">
      <w:pPr>
        <w:pStyle w:val="ListParagraph"/>
        <w:rPr>
          <w:u w:val="single"/>
        </w:rPr>
      </w:pPr>
    </w:p>
    <w:p w:rsidR="00DC6CDC" w:rsidRPr="002A6CF0" w:rsidRDefault="00DC6CDC" w:rsidP="00257C91">
      <w:pPr>
        <w:pStyle w:val="ListParagraph"/>
        <w:numPr>
          <w:ilvl w:val="0"/>
          <w:numId w:val="8"/>
        </w:numPr>
        <w:rPr>
          <w:u w:val="single"/>
        </w:rPr>
      </w:pPr>
      <w:r w:rsidRPr="00F11A91">
        <w:rPr>
          <w:i/>
        </w:rPr>
        <w:t>The emergence of new dialogue initiatives led by CLD graduates</w:t>
      </w:r>
      <w:r w:rsidRPr="002A6CF0">
        <w:t>– There have been important cases of CLD graduates moving to apply dialogue capacities.  This has been noteworthy in Janakpur (Dhanusa district) in which political parties moved, immediately following a CLD training programme, to set-up an inter-party roundtable. This group expanded to include municipal and district level authorities as well as civil society figures.  It continues to meet regularly and developed a focused agenda on urban improvement issues.  This effort receives only modest support from the CLD field staff, and appears to be very much local</w:t>
      </w:r>
      <w:r>
        <w:t>ly</w:t>
      </w:r>
      <w:r w:rsidRPr="002A6CF0">
        <w:t xml:space="preserve"> owned and driven – which is precisely the type of dialogue that will be sustainable.  </w:t>
      </w:r>
    </w:p>
    <w:p w:rsidR="00DC6CDC" w:rsidRPr="002A6CF0" w:rsidRDefault="00DC6CDC" w:rsidP="00DC6CDC">
      <w:pPr>
        <w:rPr>
          <w:u w:val="single"/>
        </w:rPr>
      </w:pPr>
    </w:p>
    <w:p w:rsidR="00DC6CDC" w:rsidRPr="00211286" w:rsidRDefault="00DC6CDC" w:rsidP="00257C91">
      <w:pPr>
        <w:pStyle w:val="ListParagraph"/>
        <w:numPr>
          <w:ilvl w:val="0"/>
          <w:numId w:val="8"/>
        </w:numPr>
        <w:rPr>
          <w:u w:val="single"/>
        </w:rPr>
      </w:pPr>
      <w:r w:rsidRPr="00211286">
        <w:rPr>
          <w:i/>
        </w:rPr>
        <w:t>The articulation of local facilitation capacities</w:t>
      </w:r>
      <w:r w:rsidRPr="00211286">
        <w:rPr>
          <w:b/>
        </w:rPr>
        <w:t xml:space="preserve"> – </w:t>
      </w:r>
      <w:r>
        <w:t>CLD convened a group of</w:t>
      </w:r>
      <w:r w:rsidRPr="002A6CF0">
        <w:t xml:space="preserve"> facilitators from Kathmandu and the pilot districts.</w:t>
      </w:r>
      <w:r>
        <w:t xml:space="preserve"> In doing so, </w:t>
      </w:r>
      <w:r w:rsidRPr="002A6CF0">
        <w:t xml:space="preserve">CLD sought to bring together distinguished individuals who appeared to play </w:t>
      </w:r>
      <w:r>
        <w:t xml:space="preserve">a </w:t>
      </w:r>
      <w:r w:rsidRPr="002A6CF0">
        <w:t>positive “bridge-building” role in their respective spheres of professional and political life.</w:t>
      </w:r>
      <w:r>
        <w:t xml:space="preserve">   </w:t>
      </w:r>
      <w:r w:rsidRPr="002A6CF0">
        <w:t>The three-day event included technical training, and reflections from Daman</w:t>
      </w:r>
      <w:r>
        <w:t>ath</w:t>
      </w:r>
      <w:r w:rsidRPr="002A6CF0">
        <w:t xml:space="preserve"> Dhungana (a nationally known facilitator involved in brokering the Comprehensive Peace Agreement).  </w:t>
      </w:r>
      <w:r>
        <w:t xml:space="preserve">This gradually expanded to include a 15-member team of mid-level facilitators, from both Kathmandu and the districts, and a six-member team of Senior Facilitators. </w:t>
      </w:r>
    </w:p>
    <w:p w:rsidR="00DC6CDC" w:rsidRPr="00211286" w:rsidRDefault="00DC6CDC" w:rsidP="00DC6CDC">
      <w:pPr>
        <w:rPr>
          <w:u w:val="single"/>
        </w:rPr>
      </w:pPr>
    </w:p>
    <w:p w:rsidR="00DC6CDC" w:rsidRPr="00255340" w:rsidRDefault="00DC6CDC" w:rsidP="00257C91">
      <w:pPr>
        <w:pStyle w:val="ListParagraph"/>
        <w:numPr>
          <w:ilvl w:val="0"/>
          <w:numId w:val="8"/>
        </w:numPr>
        <w:rPr>
          <w:b/>
        </w:rPr>
      </w:pPr>
      <w:r w:rsidRPr="00F11A91">
        <w:rPr>
          <w:i/>
        </w:rPr>
        <w:t>Supported the prevention of escalation of local tensions in Far West –</w:t>
      </w:r>
      <w:r w:rsidRPr="002A6CF0">
        <w:t xml:space="preserve"> In May 2012, in the context of heated localized tensions between the Tharu and Pahadi communities in the Far West, and particularly the Ka</w:t>
      </w:r>
      <w:r>
        <w:t>i</w:t>
      </w:r>
      <w:r w:rsidRPr="002A6CF0">
        <w:t>lali district, CLD staff engaged with local facilitators and actors, and helped develop a</w:t>
      </w:r>
      <w:r>
        <w:t>n</w:t>
      </w:r>
      <w:r w:rsidRPr="002A6CF0">
        <w:t xml:space="preserve"> informal agreement of mutual non-aggression (eg. not to attack each other’s demonstrations).  This was widely seen as a key to avoiding direct confrontation between the groups, which might have set off much more serious violence.</w:t>
      </w:r>
    </w:p>
    <w:p w:rsidR="00255340" w:rsidRPr="00255340" w:rsidRDefault="00255340" w:rsidP="00255340">
      <w:pPr>
        <w:pStyle w:val="ListParagraph"/>
        <w:rPr>
          <w:b/>
        </w:rPr>
      </w:pPr>
    </w:p>
    <w:p w:rsidR="006C13B0" w:rsidRDefault="006C13B0" w:rsidP="00F11A91">
      <w:pPr>
        <w:pStyle w:val="BodyText"/>
        <w:tabs>
          <w:tab w:val="left" w:pos="252"/>
        </w:tabs>
        <w:rPr>
          <w:rFonts w:ascii="Times New Roman" w:hAnsi="Times New Roman" w:cs="Times New Roman"/>
          <w:b/>
          <w:sz w:val="24"/>
          <w:szCs w:val="24"/>
        </w:rPr>
      </w:pPr>
      <w:r w:rsidRPr="002A6CF0">
        <w:rPr>
          <w:rFonts w:ascii="Times New Roman" w:hAnsi="Times New Roman" w:cs="Times New Roman"/>
          <w:b/>
          <w:sz w:val="24"/>
          <w:szCs w:val="24"/>
        </w:rPr>
        <w:t>Out</w:t>
      </w:r>
      <w:r w:rsidR="00F11A91">
        <w:rPr>
          <w:rFonts w:ascii="Times New Roman" w:hAnsi="Times New Roman" w:cs="Times New Roman"/>
          <w:b/>
          <w:sz w:val="24"/>
          <w:szCs w:val="24"/>
        </w:rPr>
        <w:t>p</w:t>
      </w:r>
      <w:r w:rsidRPr="002A6CF0">
        <w:rPr>
          <w:rFonts w:ascii="Times New Roman" w:hAnsi="Times New Roman" w:cs="Times New Roman"/>
          <w:b/>
          <w:sz w:val="24"/>
          <w:szCs w:val="24"/>
        </w:rPr>
        <w:t>u</w:t>
      </w:r>
      <w:r w:rsidR="00693D3F">
        <w:rPr>
          <w:rFonts w:ascii="Times New Roman" w:hAnsi="Times New Roman" w:cs="Times New Roman"/>
          <w:b/>
          <w:sz w:val="24"/>
          <w:szCs w:val="24"/>
        </w:rPr>
        <w:t>t 3</w:t>
      </w:r>
      <w:r w:rsidRPr="002A6CF0">
        <w:rPr>
          <w:rFonts w:ascii="Times New Roman" w:hAnsi="Times New Roman" w:cs="Times New Roman"/>
          <w:b/>
          <w:sz w:val="24"/>
          <w:szCs w:val="24"/>
        </w:rPr>
        <w:t>: Policies and programmes developed and implemented by national institutions to foster collaborative approaches to decision making</w:t>
      </w:r>
    </w:p>
    <w:p w:rsidR="00AF21CD" w:rsidRPr="002A6CF0" w:rsidRDefault="00AF21CD" w:rsidP="00F11A91">
      <w:pPr>
        <w:pStyle w:val="BodyText"/>
        <w:tabs>
          <w:tab w:val="left" w:pos="252"/>
        </w:tabs>
        <w:rPr>
          <w:rFonts w:ascii="Times New Roman" w:hAnsi="Times New Roman" w:cs="Times New Roman"/>
          <w:b/>
          <w:i/>
          <w:spacing w:val="-3"/>
          <w:sz w:val="24"/>
          <w:szCs w:val="24"/>
        </w:rPr>
      </w:pPr>
    </w:p>
    <w:p w:rsidR="002B06BB" w:rsidRPr="002A6CF0" w:rsidRDefault="002B06BB" w:rsidP="002B06BB">
      <w:r w:rsidRPr="002A6CF0">
        <w:t xml:space="preserve">The CPP has </w:t>
      </w:r>
      <w:r w:rsidR="00AF21CD">
        <w:t>established</w:t>
      </w:r>
      <w:r w:rsidR="00E22C71">
        <w:t xml:space="preserve"> </w:t>
      </w:r>
      <w:r w:rsidRPr="002A6CF0">
        <w:t>relationships with two important Government training institutions</w:t>
      </w:r>
      <w:r w:rsidR="00AF21CD">
        <w:t>:</w:t>
      </w:r>
      <w:r w:rsidRPr="002A6CF0">
        <w:t xml:space="preserve"> the Nepal Administrative Staff College </w:t>
      </w:r>
      <w:r w:rsidR="00AF21CD">
        <w:t xml:space="preserve">(NASC) </w:t>
      </w:r>
      <w:r w:rsidRPr="002A6CF0">
        <w:t xml:space="preserve">– which supports </w:t>
      </w:r>
      <w:r w:rsidR="00303A3A">
        <w:t>MOHA</w:t>
      </w:r>
      <w:r w:rsidR="00AF21CD">
        <w:t xml:space="preserve"> </w:t>
      </w:r>
      <w:r w:rsidRPr="002A6CF0">
        <w:t>and several other ministries and stands as the preeminent institution of this type in the nation</w:t>
      </w:r>
      <w:r w:rsidR="00E22C71">
        <w:t>;</w:t>
      </w:r>
      <w:r w:rsidR="00E22C71" w:rsidRPr="002A6CF0">
        <w:t xml:space="preserve"> </w:t>
      </w:r>
      <w:r w:rsidRPr="002A6CF0">
        <w:t xml:space="preserve">and the Local Development Training Academy </w:t>
      </w:r>
      <w:r w:rsidR="00E22C71">
        <w:t xml:space="preserve">(LDTA) </w:t>
      </w:r>
      <w:r w:rsidRPr="002A6CF0">
        <w:t xml:space="preserve">– which works primarily with </w:t>
      </w:r>
      <w:r w:rsidR="00303A3A">
        <w:t>MOLD</w:t>
      </w:r>
      <w:r w:rsidRPr="002A6CF0">
        <w:t xml:space="preserve">. </w:t>
      </w:r>
      <w:r w:rsidR="00CA3837">
        <w:t>Discussions are also underway for a similar agreement with National Center for Education Development (NCED), which provides training to the Ministry of Education.</w:t>
      </w:r>
    </w:p>
    <w:p w:rsidR="00F11A91" w:rsidRDefault="00F11A91" w:rsidP="002B06BB"/>
    <w:p w:rsidR="002B06BB" w:rsidRPr="002A6CF0" w:rsidRDefault="002B06BB" w:rsidP="002B06BB">
      <w:r w:rsidRPr="002A6CF0">
        <w:t xml:space="preserve">In the case of NASC, UNDP has signed a Letter of Agreement to establish a framework for support on the issue of Conflict Sensitivity, and </w:t>
      </w:r>
      <w:r w:rsidR="00E22C71">
        <w:t>to create</w:t>
      </w:r>
      <w:r w:rsidR="00E22C71" w:rsidRPr="002A6CF0">
        <w:t xml:space="preserve"> </w:t>
      </w:r>
      <w:r w:rsidR="00E22C71">
        <w:t xml:space="preserve">conflict sensitivity </w:t>
      </w:r>
      <w:r w:rsidRPr="002A6CF0">
        <w:t>training materials for inclusion in</w:t>
      </w:r>
      <w:r w:rsidR="00E22C71">
        <w:t>to</w:t>
      </w:r>
      <w:r w:rsidRPr="002A6CF0">
        <w:t xml:space="preserve"> the academy’s curriculum.  This lays a solid foundation for a follow-on initiative to create training materials for collaborative leadership and dialogue. </w:t>
      </w:r>
    </w:p>
    <w:p w:rsidR="00F11A91" w:rsidRDefault="00F11A91" w:rsidP="002B06BB"/>
    <w:p w:rsidR="002B06BB" w:rsidRDefault="002B06BB" w:rsidP="002B06BB">
      <w:r w:rsidRPr="002A6CF0">
        <w:lastRenderedPageBreak/>
        <w:t xml:space="preserve">The CPP relationship with LDTA is more recently established, but there is a verbal agreement with its management to proceed with training of their training teams, and creating training materials, for both conflict sensitivity and collaborative leadership and dialogue.  </w:t>
      </w:r>
    </w:p>
    <w:p w:rsidR="00FD1BDB" w:rsidRPr="002A6CF0" w:rsidRDefault="00FD1BDB" w:rsidP="002B06BB"/>
    <w:p w:rsidR="00532946" w:rsidRDefault="00532946" w:rsidP="002A6CF0">
      <w:pPr>
        <w:pStyle w:val="ListParagraph"/>
        <w:autoSpaceDE w:val="0"/>
        <w:autoSpaceDN w:val="0"/>
        <w:adjustRightInd w:val="0"/>
        <w:ind w:left="0"/>
        <w:rPr>
          <w:color w:val="000000"/>
        </w:rPr>
      </w:pPr>
      <w:r>
        <w:rPr>
          <w:color w:val="000000"/>
        </w:rPr>
        <w:t>A six</w:t>
      </w:r>
      <w:r w:rsidR="0054316B" w:rsidRPr="002A6CF0">
        <w:rPr>
          <w:color w:val="000000"/>
        </w:rPr>
        <w:t xml:space="preserve">-member team of </w:t>
      </w:r>
      <w:r w:rsidR="00FD1BDB">
        <w:rPr>
          <w:color w:val="000000"/>
        </w:rPr>
        <w:t>S</w:t>
      </w:r>
      <w:r w:rsidR="0054316B" w:rsidRPr="002A6CF0">
        <w:rPr>
          <w:color w:val="000000"/>
        </w:rPr>
        <w:t xml:space="preserve">enior </w:t>
      </w:r>
      <w:r w:rsidR="00FD1BDB">
        <w:rPr>
          <w:color w:val="000000"/>
        </w:rPr>
        <w:t>F</w:t>
      </w:r>
      <w:r w:rsidR="0054316B" w:rsidRPr="002A6CF0">
        <w:rPr>
          <w:color w:val="000000"/>
        </w:rPr>
        <w:t xml:space="preserve">acilitators who have a long history and </w:t>
      </w:r>
      <w:r w:rsidR="00FD1BDB" w:rsidRPr="002A6CF0">
        <w:rPr>
          <w:color w:val="000000"/>
        </w:rPr>
        <w:t>credibility</w:t>
      </w:r>
      <w:r w:rsidR="0054316B" w:rsidRPr="002A6CF0">
        <w:rPr>
          <w:color w:val="000000"/>
        </w:rPr>
        <w:t xml:space="preserve"> of facilitating national level </w:t>
      </w:r>
      <w:r w:rsidR="00622E60" w:rsidRPr="002A6CF0">
        <w:rPr>
          <w:color w:val="000000"/>
        </w:rPr>
        <w:t>issue</w:t>
      </w:r>
      <w:r w:rsidR="00FD1BDB">
        <w:rPr>
          <w:color w:val="000000"/>
        </w:rPr>
        <w:t>s</w:t>
      </w:r>
      <w:r w:rsidR="00622E60" w:rsidRPr="002A6CF0">
        <w:rPr>
          <w:color w:val="000000"/>
        </w:rPr>
        <w:t xml:space="preserve"> has</w:t>
      </w:r>
      <w:r w:rsidR="0054316B" w:rsidRPr="002A6CF0">
        <w:rPr>
          <w:color w:val="000000"/>
        </w:rPr>
        <w:t xml:space="preserve"> been put into place by the CLD.  </w:t>
      </w:r>
      <w:r w:rsidR="00693D3F">
        <w:rPr>
          <w:color w:val="000000"/>
        </w:rPr>
        <w:t xml:space="preserve">It includes </w:t>
      </w:r>
      <w:r w:rsidR="0054316B" w:rsidRPr="002A6CF0">
        <w:rPr>
          <w:color w:val="000000"/>
        </w:rPr>
        <w:t>Mr. Daman Nath Dhungana</w:t>
      </w:r>
      <w:r w:rsidR="00E22C71">
        <w:rPr>
          <w:color w:val="000000"/>
        </w:rPr>
        <w:t xml:space="preserve"> and</w:t>
      </w:r>
      <w:r w:rsidR="00E22C71" w:rsidRPr="002A6CF0">
        <w:rPr>
          <w:color w:val="000000"/>
        </w:rPr>
        <w:t xml:space="preserve"> </w:t>
      </w:r>
      <w:r w:rsidR="0054316B" w:rsidRPr="002A6CF0">
        <w:rPr>
          <w:color w:val="000000"/>
        </w:rPr>
        <w:t>Mr. Padma Ranta</w:t>
      </w:r>
      <w:r w:rsidR="00E22C71">
        <w:rPr>
          <w:color w:val="000000"/>
        </w:rPr>
        <w:t xml:space="preserve"> </w:t>
      </w:r>
      <w:r w:rsidR="0054316B" w:rsidRPr="002A6CF0">
        <w:rPr>
          <w:color w:val="000000"/>
        </w:rPr>
        <w:t>Tuladhar</w:t>
      </w:r>
      <w:r w:rsidR="00FD1BDB">
        <w:rPr>
          <w:color w:val="000000"/>
        </w:rPr>
        <w:t>,</w:t>
      </w:r>
      <w:r w:rsidR="00E22C71">
        <w:rPr>
          <w:color w:val="000000"/>
        </w:rPr>
        <w:t xml:space="preserve"> </w:t>
      </w:r>
      <w:r w:rsidR="00693D3F">
        <w:rPr>
          <w:color w:val="000000"/>
        </w:rPr>
        <w:t xml:space="preserve">both of whom </w:t>
      </w:r>
      <w:r w:rsidR="00FD1BDB">
        <w:rPr>
          <w:color w:val="000000"/>
        </w:rPr>
        <w:t>played a</w:t>
      </w:r>
      <w:r w:rsidR="0054316B" w:rsidRPr="002A6CF0">
        <w:rPr>
          <w:color w:val="000000"/>
        </w:rPr>
        <w:t xml:space="preserve"> significant role in </w:t>
      </w:r>
      <w:r w:rsidR="00693D3F">
        <w:rPr>
          <w:color w:val="000000"/>
        </w:rPr>
        <w:t xml:space="preserve">facilitating </w:t>
      </w:r>
      <w:r w:rsidR="0054316B" w:rsidRPr="002A6CF0">
        <w:rPr>
          <w:color w:val="000000"/>
        </w:rPr>
        <w:t>Nepal</w:t>
      </w:r>
      <w:r w:rsidR="00FD1BDB">
        <w:rPr>
          <w:color w:val="000000"/>
        </w:rPr>
        <w:t>’s</w:t>
      </w:r>
      <w:r w:rsidR="0054316B" w:rsidRPr="002A6CF0">
        <w:rPr>
          <w:color w:val="000000"/>
        </w:rPr>
        <w:t xml:space="preserve"> peace process</w:t>
      </w:r>
      <w:r w:rsidR="00FD1BDB">
        <w:rPr>
          <w:color w:val="000000"/>
        </w:rPr>
        <w:t>,</w:t>
      </w:r>
      <w:r w:rsidR="0054316B" w:rsidRPr="002A6CF0">
        <w:rPr>
          <w:color w:val="000000"/>
        </w:rPr>
        <w:t xml:space="preserve"> and Mr. Bhoj Raj Pokharel, </w:t>
      </w:r>
      <w:r w:rsidR="00E22C71">
        <w:rPr>
          <w:color w:val="000000"/>
        </w:rPr>
        <w:t xml:space="preserve">the </w:t>
      </w:r>
      <w:r w:rsidR="0054316B" w:rsidRPr="002A6CF0">
        <w:rPr>
          <w:color w:val="000000"/>
        </w:rPr>
        <w:t xml:space="preserve">former </w:t>
      </w:r>
      <w:r w:rsidR="00E22C71">
        <w:rPr>
          <w:color w:val="000000"/>
        </w:rPr>
        <w:t xml:space="preserve">chief </w:t>
      </w:r>
      <w:r w:rsidR="0054316B" w:rsidRPr="002A6CF0">
        <w:rPr>
          <w:color w:val="000000"/>
        </w:rPr>
        <w:t>election commission</w:t>
      </w:r>
      <w:r w:rsidR="00E22C71">
        <w:rPr>
          <w:color w:val="000000"/>
        </w:rPr>
        <w:t>er</w:t>
      </w:r>
      <w:r w:rsidR="0054316B" w:rsidRPr="002A6CF0">
        <w:rPr>
          <w:color w:val="000000"/>
        </w:rPr>
        <w:t xml:space="preserve"> who </w:t>
      </w:r>
      <w:r w:rsidR="00FD1BDB">
        <w:rPr>
          <w:color w:val="000000"/>
        </w:rPr>
        <w:t xml:space="preserve">oversaw the </w:t>
      </w:r>
      <w:r w:rsidR="00622E60" w:rsidRPr="002A6CF0">
        <w:rPr>
          <w:color w:val="000000"/>
        </w:rPr>
        <w:t>conduct</w:t>
      </w:r>
      <w:r w:rsidR="00FD1BDB">
        <w:rPr>
          <w:color w:val="000000"/>
        </w:rPr>
        <w:t xml:space="preserve"> of</w:t>
      </w:r>
      <w:r w:rsidR="00693D3F">
        <w:rPr>
          <w:color w:val="000000"/>
        </w:rPr>
        <w:t xml:space="preserve"> the historic </w:t>
      </w:r>
      <w:r w:rsidR="0054316B" w:rsidRPr="002A6CF0">
        <w:rPr>
          <w:color w:val="000000"/>
        </w:rPr>
        <w:t xml:space="preserve">Constitutional Assembly election. </w:t>
      </w:r>
      <w:r w:rsidR="00E22C71">
        <w:rPr>
          <w:color w:val="000000"/>
        </w:rPr>
        <w:t xml:space="preserve">In addition, the team includes </w:t>
      </w:r>
      <w:r>
        <w:rPr>
          <w:color w:val="000000"/>
        </w:rPr>
        <w:t>Durga Sob</w:t>
      </w:r>
      <w:r w:rsidR="00E22C71">
        <w:rPr>
          <w:color w:val="000000"/>
        </w:rPr>
        <w:t>,</w:t>
      </w:r>
      <w:r>
        <w:rPr>
          <w:color w:val="000000"/>
        </w:rPr>
        <w:t xml:space="preserve"> a noted Dalit and women’s right activist, </w:t>
      </w:r>
      <w:r w:rsidR="00E22C71">
        <w:rPr>
          <w:color w:val="000000"/>
        </w:rPr>
        <w:t xml:space="preserve">and </w:t>
      </w:r>
      <w:r>
        <w:rPr>
          <w:color w:val="000000"/>
        </w:rPr>
        <w:t xml:space="preserve">Vijay Kanta Karna and Chandra Kishor Jha, both respected Madhesi intellectuals.  </w:t>
      </w:r>
      <w:r w:rsidR="0054316B" w:rsidRPr="002A6CF0">
        <w:rPr>
          <w:color w:val="000000"/>
        </w:rPr>
        <w:t xml:space="preserve">This team, in conjunction with </w:t>
      </w:r>
      <w:r w:rsidR="00FD1BDB">
        <w:rPr>
          <w:color w:val="000000"/>
        </w:rPr>
        <w:t xml:space="preserve">the </w:t>
      </w:r>
      <w:r w:rsidR="0054316B" w:rsidRPr="002A6CF0">
        <w:rPr>
          <w:color w:val="000000"/>
        </w:rPr>
        <w:t>CLD</w:t>
      </w:r>
      <w:r w:rsidR="00FD1BDB">
        <w:rPr>
          <w:color w:val="000000"/>
        </w:rPr>
        <w:t xml:space="preserve"> project</w:t>
      </w:r>
      <w:r w:rsidR="0054316B" w:rsidRPr="002A6CF0">
        <w:rPr>
          <w:color w:val="000000"/>
        </w:rPr>
        <w:t xml:space="preserve">, has begun a process of identifying immediate, medium and longer-term issues for dialogue.  As part of this process, the team has been engaging with senior and mid-level members of government, political party leaders and civil society figures about the need for strengthened dialogue capacities and new spaces for cross-party collaboration. </w:t>
      </w:r>
    </w:p>
    <w:p w:rsidR="0054316B" w:rsidRPr="002A6CF0" w:rsidRDefault="0054316B" w:rsidP="002A6CF0">
      <w:pPr>
        <w:pStyle w:val="ListParagraph"/>
        <w:autoSpaceDE w:val="0"/>
        <w:autoSpaceDN w:val="0"/>
        <w:adjustRightInd w:val="0"/>
        <w:ind w:left="0"/>
      </w:pPr>
    </w:p>
    <w:p w:rsidR="0054316B" w:rsidRPr="002A6CF0" w:rsidRDefault="0054316B" w:rsidP="00241F42">
      <w:pPr>
        <w:pStyle w:val="ListParagraph"/>
        <w:autoSpaceDE w:val="0"/>
        <w:autoSpaceDN w:val="0"/>
        <w:adjustRightInd w:val="0"/>
        <w:ind w:left="0"/>
        <w:rPr>
          <w:color w:val="17365D"/>
        </w:rPr>
      </w:pPr>
      <w:r w:rsidRPr="002A6CF0">
        <w:t xml:space="preserve">To foster informed and robust public discussion of Transitional Justice issues, CLD </w:t>
      </w:r>
      <w:r w:rsidR="00E22C71">
        <w:t xml:space="preserve">supported </w:t>
      </w:r>
      <w:r w:rsidRPr="002A6CF0">
        <w:t xml:space="preserve">the Transitional Justice Resource Center </w:t>
      </w:r>
      <w:r w:rsidR="00DF0119">
        <w:t xml:space="preserve">(TJRC) </w:t>
      </w:r>
      <w:r w:rsidRPr="002A6CF0">
        <w:t>run by World Vision Advocacy Forum</w:t>
      </w:r>
      <w:r w:rsidRPr="002A6CF0">
        <w:rPr>
          <w:color w:val="17365D"/>
        </w:rPr>
        <w:t>.</w:t>
      </w:r>
      <w:r w:rsidRPr="002A6CF0">
        <w:t xml:space="preserve">  The project </w:t>
      </w:r>
      <w:r w:rsidR="00E22C71">
        <w:t xml:space="preserve">ran </w:t>
      </w:r>
      <w:r w:rsidRPr="002A6CF0">
        <w:t xml:space="preserve">in close cooperation with </w:t>
      </w:r>
      <w:r w:rsidR="00303A3A">
        <w:t>MOPR</w:t>
      </w:r>
      <w:r w:rsidR="00E22C71">
        <w:t xml:space="preserve"> to carry </w:t>
      </w:r>
      <w:r w:rsidRPr="002A6CF0">
        <w:t>out regional and Kathmandu outreach events on Transitional Justice issues. The project has</w:t>
      </w:r>
      <w:r w:rsidR="008757F2">
        <w:t xml:space="preserve"> achieved</w:t>
      </w:r>
      <w:r w:rsidRPr="002A6CF0">
        <w:t xml:space="preserve"> the following</w:t>
      </w:r>
      <w:r w:rsidR="008757F2">
        <w:t>:</w:t>
      </w:r>
    </w:p>
    <w:p w:rsidR="0054316B" w:rsidRPr="002A6CF0" w:rsidRDefault="0054316B" w:rsidP="00257C91">
      <w:pPr>
        <w:numPr>
          <w:ilvl w:val="0"/>
          <w:numId w:val="8"/>
        </w:numPr>
        <w:ind w:left="972" w:hanging="270"/>
      </w:pPr>
      <w:r w:rsidRPr="002A6CF0">
        <w:t>1</w:t>
      </w:r>
      <w:r w:rsidR="00C45898">
        <w:t>4</w:t>
      </w:r>
      <w:r w:rsidRPr="002A6CF0">
        <w:t xml:space="preserve"> fortnightly discussion </w:t>
      </w:r>
      <w:r w:rsidR="00232463">
        <w:t>meetings</w:t>
      </w:r>
      <w:r w:rsidR="00E22C71">
        <w:t xml:space="preserve"> </w:t>
      </w:r>
      <w:r w:rsidRPr="002A6CF0">
        <w:t xml:space="preserve">on </w:t>
      </w:r>
      <w:r w:rsidR="00693D3F">
        <w:t xml:space="preserve">transitional justice-related </w:t>
      </w:r>
      <w:r w:rsidRPr="002A6CF0">
        <w:t>topics with national and international resource person</w:t>
      </w:r>
      <w:r w:rsidR="008757F2">
        <w:t>s</w:t>
      </w:r>
      <w:r w:rsidRPr="002A6CF0">
        <w:t xml:space="preserve"> in which </w:t>
      </w:r>
      <w:r w:rsidR="00C45898">
        <w:t>877</w:t>
      </w:r>
      <w:r w:rsidR="00532946">
        <w:t xml:space="preserve"> </w:t>
      </w:r>
      <w:r w:rsidRPr="002A6CF0">
        <w:t>people actively participated</w:t>
      </w:r>
      <w:r w:rsidR="00693D3F">
        <w:t>.</w:t>
      </w:r>
    </w:p>
    <w:p w:rsidR="0054316B" w:rsidRPr="002A6CF0" w:rsidRDefault="00E22C71" w:rsidP="00257C91">
      <w:pPr>
        <w:numPr>
          <w:ilvl w:val="0"/>
          <w:numId w:val="8"/>
        </w:numPr>
        <w:ind w:left="972" w:hanging="270"/>
      </w:pPr>
      <w:r>
        <w:t xml:space="preserve">Provision of </w:t>
      </w:r>
      <w:r w:rsidR="0054316B" w:rsidRPr="002A6CF0">
        <w:t xml:space="preserve">a common platform to debate and discuss the urgent need </w:t>
      </w:r>
      <w:r w:rsidR="00DF0119">
        <w:t>for a</w:t>
      </w:r>
      <w:r>
        <w:t xml:space="preserve"> </w:t>
      </w:r>
      <w:r w:rsidR="00693D3F">
        <w:t xml:space="preserve">transitional justice </w:t>
      </w:r>
      <w:r w:rsidR="0054316B" w:rsidRPr="002A6CF0">
        <w:t xml:space="preserve">mechanism in Nepal. </w:t>
      </w:r>
      <w:r w:rsidR="00693D3F">
        <w:t xml:space="preserve"> TJRC held </w:t>
      </w:r>
      <w:r w:rsidR="0054316B" w:rsidRPr="002A6CF0">
        <w:t xml:space="preserve">20 interaction programmes in which 584 people participated from relevant NGO and CS groups. </w:t>
      </w:r>
      <w:r w:rsidR="00693D3F">
        <w:t xml:space="preserve">This included </w:t>
      </w:r>
      <w:r w:rsidR="0054316B" w:rsidRPr="002A6CF0">
        <w:t xml:space="preserve">5 interactions </w:t>
      </w:r>
      <w:r w:rsidR="00693D3F">
        <w:t xml:space="preserve">specifically </w:t>
      </w:r>
      <w:r w:rsidR="0054316B" w:rsidRPr="002A6CF0">
        <w:t xml:space="preserve">focused on civic campaigns against mass amnesty. </w:t>
      </w:r>
    </w:p>
    <w:p w:rsidR="0054316B" w:rsidRDefault="00EC771A" w:rsidP="00257C91">
      <w:pPr>
        <w:numPr>
          <w:ilvl w:val="0"/>
          <w:numId w:val="8"/>
        </w:numPr>
        <w:ind w:left="972" w:hanging="270"/>
      </w:pPr>
      <w:r>
        <w:t>Eight</w:t>
      </w:r>
      <w:r w:rsidR="0054316B" w:rsidRPr="002A6CF0">
        <w:t xml:space="preserve"> newsletters were published and </w:t>
      </w:r>
      <w:r w:rsidR="002B4D66">
        <w:t>6000</w:t>
      </w:r>
      <w:r w:rsidR="0054316B" w:rsidRPr="002A6CF0">
        <w:t xml:space="preserve"> copies </w:t>
      </w:r>
      <w:r w:rsidR="003B22B2">
        <w:t xml:space="preserve">were </w:t>
      </w:r>
      <w:r w:rsidR="0054316B" w:rsidRPr="002A6CF0">
        <w:t>distributed among concern</w:t>
      </w:r>
      <w:r w:rsidR="00DF0119">
        <w:t>ed</w:t>
      </w:r>
      <w:r w:rsidR="0054316B" w:rsidRPr="002A6CF0">
        <w:t xml:space="preserve"> stakeholders</w:t>
      </w:r>
      <w:r w:rsidR="002B4D66">
        <w:t xml:space="preserve">. </w:t>
      </w:r>
    </w:p>
    <w:p w:rsidR="00783CE2" w:rsidRPr="00783CE2" w:rsidRDefault="00E22C71" w:rsidP="00257C91">
      <w:pPr>
        <w:numPr>
          <w:ilvl w:val="0"/>
          <w:numId w:val="8"/>
        </w:numPr>
        <w:ind w:left="972" w:hanging="270"/>
      </w:pPr>
      <w:r w:rsidRPr="00783CE2">
        <w:rPr>
          <w:iCs/>
          <w:spacing w:val="-1"/>
        </w:rPr>
        <w:t xml:space="preserve">Furnishing of a </w:t>
      </w:r>
      <w:r w:rsidR="002B4D66" w:rsidRPr="00783CE2">
        <w:rPr>
          <w:iCs/>
          <w:spacing w:val="-1"/>
        </w:rPr>
        <w:t xml:space="preserve">resource center with 572 </w:t>
      </w:r>
      <w:r w:rsidRPr="00783CE2">
        <w:rPr>
          <w:iCs/>
          <w:spacing w:val="-1"/>
        </w:rPr>
        <w:t xml:space="preserve">resource </w:t>
      </w:r>
      <w:r w:rsidR="002B4D66" w:rsidRPr="00783CE2">
        <w:rPr>
          <w:iCs/>
          <w:spacing w:val="-1"/>
        </w:rPr>
        <w:t xml:space="preserve">materials </w:t>
      </w:r>
      <w:r w:rsidR="00155E5C" w:rsidRPr="00783CE2">
        <w:rPr>
          <w:iCs/>
          <w:spacing w:val="-1"/>
        </w:rPr>
        <w:t>including books</w:t>
      </w:r>
      <w:r w:rsidR="002B4D66" w:rsidRPr="00783CE2">
        <w:rPr>
          <w:iCs/>
          <w:spacing w:val="-1"/>
        </w:rPr>
        <w:t>, CD/DVDs and periodical</w:t>
      </w:r>
      <w:r w:rsidRPr="00783CE2">
        <w:rPr>
          <w:iCs/>
          <w:spacing w:val="-1"/>
        </w:rPr>
        <w:t xml:space="preserve">s. </w:t>
      </w:r>
    </w:p>
    <w:p w:rsidR="0054316B" w:rsidRDefault="0054316B" w:rsidP="00257C91">
      <w:pPr>
        <w:numPr>
          <w:ilvl w:val="0"/>
          <w:numId w:val="8"/>
        </w:numPr>
        <w:ind w:left="972" w:hanging="270"/>
      </w:pPr>
      <w:r w:rsidRPr="008E38CA">
        <w:t xml:space="preserve">Four regional and one national </w:t>
      </w:r>
      <w:r w:rsidR="00EC771A" w:rsidRPr="008E38CA">
        <w:t>dialogue</w:t>
      </w:r>
      <w:r w:rsidRPr="008E38CA">
        <w:t xml:space="preserve"> on</w:t>
      </w:r>
      <w:r w:rsidR="002F5E80">
        <w:t xml:space="preserve"> </w:t>
      </w:r>
      <w:r w:rsidRPr="008E38CA">
        <w:t>“</w:t>
      </w:r>
      <w:r w:rsidR="00DF0119" w:rsidRPr="008E38CA">
        <w:t>the</w:t>
      </w:r>
      <w:r w:rsidRPr="008E38CA">
        <w:t xml:space="preserve"> TJ process in Nepal” organized with civil society groups in Biratnagar, Butwal, Nepaljung and Dhangadi</w:t>
      </w:r>
      <w:r w:rsidR="00E22C71">
        <w:t>.</w:t>
      </w:r>
      <w:r w:rsidRPr="008E38CA">
        <w:t xml:space="preserve"> </w:t>
      </w:r>
    </w:p>
    <w:p w:rsidR="00B71E06" w:rsidRDefault="00B71E06" w:rsidP="00B71E06">
      <w:pPr>
        <w:pStyle w:val="BodyText"/>
        <w:ind w:left="720"/>
        <w:jc w:val="both"/>
        <w:rPr>
          <w:rFonts w:ascii="Times New Roman" w:hAnsi="Times New Roman" w:cs="Times New Roman"/>
          <w:sz w:val="24"/>
          <w:szCs w:val="24"/>
        </w:rPr>
      </w:pPr>
    </w:p>
    <w:p w:rsidR="002B06BB" w:rsidRPr="002A6CF0" w:rsidRDefault="00241F42" w:rsidP="00241F42">
      <w:pPr>
        <w:pStyle w:val="ListParagraph"/>
        <w:autoSpaceDE w:val="0"/>
        <w:autoSpaceDN w:val="0"/>
        <w:adjustRightInd w:val="0"/>
        <w:ind w:left="0"/>
      </w:pPr>
      <w:r w:rsidRPr="008E38CA">
        <w:t xml:space="preserve">To learn from </w:t>
      </w:r>
      <w:r w:rsidR="00644AB5">
        <w:t xml:space="preserve">the </w:t>
      </w:r>
      <w:r w:rsidR="00F11A91" w:rsidRPr="008E38CA">
        <w:t>experience</w:t>
      </w:r>
      <w:r w:rsidR="00DF0119" w:rsidRPr="008E38CA">
        <w:t>s</w:t>
      </w:r>
      <w:r w:rsidR="00644AB5">
        <w:t xml:space="preserve"> </w:t>
      </w:r>
      <w:r w:rsidR="00DF0119" w:rsidRPr="008E38CA">
        <w:t xml:space="preserve">of a </w:t>
      </w:r>
      <w:r w:rsidRPr="008E38CA">
        <w:t xml:space="preserve">similar </w:t>
      </w:r>
      <w:r w:rsidR="00F11A91" w:rsidRPr="008E38CA">
        <w:t>program</w:t>
      </w:r>
      <w:r w:rsidR="00DF0119" w:rsidRPr="008E38CA">
        <w:t>me</w:t>
      </w:r>
      <w:r w:rsidR="00644AB5">
        <w:t>,</w:t>
      </w:r>
      <w:r w:rsidR="00DF0119" w:rsidRPr="008E38CA">
        <w:t xml:space="preserve"> an</w:t>
      </w:r>
      <w:r w:rsidRPr="008E38CA">
        <w:t xml:space="preserve"> exchange visit </w:t>
      </w:r>
      <w:r w:rsidR="00DF0119" w:rsidRPr="008E38CA">
        <w:t>with</w:t>
      </w:r>
      <w:r w:rsidR="00532946">
        <w:t xml:space="preserve"> </w:t>
      </w:r>
      <w:r w:rsidRPr="002A6CF0">
        <w:t xml:space="preserve">UNDP Kenya’s Conflict Prevention Programme </w:t>
      </w:r>
      <w:r w:rsidR="00DF0119">
        <w:t xml:space="preserve">was </w:t>
      </w:r>
      <w:r w:rsidRPr="002A6CF0">
        <w:t>a</w:t>
      </w:r>
      <w:r w:rsidR="0054316B" w:rsidRPr="002A6CF0">
        <w:t xml:space="preserve">rranged </w:t>
      </w:r>
      <w:r w:rsidR="00DF0119">
        <w:t>in</w:t>
      </w:r>
      <w:r w:rsidR="00532946">
        <w:t xml:space="preserve"> </w:t>
      </w:r>
      <w:r w:rsidR="0054316B" w:rsidRPr="002A6CF0">
        <w:t>December</w:t>
      </w:r>
      <w:r w:rsidRPr="002A6CF0">
        <w:t xml:space="preserve"> 2012. </w:t>
      </w:r>
      <w:r w:rsidR="00DF0119">
        <w:t>The exchange of experiences provided rich learning</w:t>
      </w:r>
      <w:r w:rsidR="00A41DDC">
        <w:t xml:space="preserve">, and included exchanges on technical areas of work such as processes for selecting relevant leaders for training, comparisons of training curriculum and teaching approaches, and reflections on </w:t>
      </w:r>
      <w:r w:rsidR="00644AB5">
        <w:t xml:space="preserve">the </w:t>
      </w:r>
      <w:r w:rsidR="00A41DDC">
        <w:t>pros and cons of using national NGO partners to support the work.   The Kenya project works with a key partner, the Kenyan Institute of Governance (KIG), which has established a reputation as an entity largely above partisan interests.  In Nepal, few if any NGOs working on governance issues have this reputation</w:t>
      </w:r>
      <w:r w:rsidR="00644AB5">
        <w:t xml:space="preserve"> and resulting confidence</w:t>
      </w:r>
      <w:r w:rsidR="00A41DDC">
        <w:t>. One important conclusion for the Nepal team is that it might benefit from</w:t>
      </w:r>
      <w:r w:rsidR="00EC771A">
        <w:t xml:space="preserve"> creating space to promote sharing of knowledge and ideas among key </w:t>
      </w:r>
      <w:r w:rsidR="00BA4F5D">
        <w:t>actors that goes beyond partisan interest as KIG</w:t>
      </w:r>
    </w:p>
    <w:p w:rsidR="00783CE2" w:rsidRDefault="00783CE2" w:rsidP="002B06BB">
      <w:pPr>
        <w:rPr>
          <w:i/>
        </w:rPr>
      </w:pPr>
    </w:p>
    <w:p w:rsidR="002B06BB" w:rsidRDefault="002B06BB" w:rsidP="002B06BB">
      <w:pPr>
        <w:rPr>
          <w:i/>
        </w:rPr>
      </w:pPr>
      <w:r w:rsidRPr="002A6CF0">
        <w:rPr>
          <w:i/>
        </w:rPr>
        <w:t>Impact</w:t>
      </w:r>
      <w:r w:rsidR="00F11A91">
        <w:rPr>
          <w:i/>
        </w:rPr>
        <w:t xml:space="preserve"> of Output 3</w:t>
      </w:r>
    </w:p>
    <w:p w:rsidR="000A0D0B" w:rsidRPr="000A0D0B" w:rsidRDefault="002B06BB" w:rsidP="00257C91">
      <w:pPr>
        <w:pStyle w:val="ListParagraph"/>
        <w:numPr>
          <w:ilvl w:val="0"/>
          <w:numId w:val="8"/>
        </w:numPr>
        <w:rPr>
          <w:u w:val="single"/>
        </w:rPr>
      </w:pPr>
      <w:r w:rsidRPr="005D4D4D">
        <w:rPr>
          <w:i/>
        </w:rPr>
        <w:t>Establishment of CPP as a significant partner for important national training institutions –</w:t>
      </w:r>
      <w:r w:rsidR="009200E3">
        <w:rPr>
          <w:i/>
        </w:rPr>
        <w:t xml:space="preserve"> </w:t>
      </w:r>
      <w:r w:rsidR="00A41DDC">
        <w:t xml:space="preserve">The CPP has or is </w:t>
      </w:r>
      <w:r w:rsidR="00EF7C6C">
        <w:t>establishing</w:t>
      </w:r>
      <w:r w:rsidR="00A41DDC">
        <w:t xml:space="preserve"> partnerships with multiple national training institutions.  </w:t>
      </w:r>
      <w:r w:rsidR="00A41DDC">
        <w:lastRenderedPageBreak/>
        <w:t xml:space="preserve">This is a critical objective for the programme because it lays the foundation for the </w:t>
      </w:r>
      <w:r w:rsidR="00CA3837">
        <w:t xml:space="preserve">institutionalization, by national actors, of the </w:t>
      </w:r>
      <w:r w:rsidR="00A41DDC">
        <w:t>teaching of key collaborative leadership and dialogue skill sets</w:t>
      </w:r>
      <w:r w:rsidR="00CA3837">
        <w:t xml:space="preserve">, enabling </w:t>
      </w:r>
      <w:r w:rsidR="00A41DDC">
        <w:t xml:space="preserve">capacity-building </w:t>
      </w:r>
      <w:r w:rsidR="00CA3837">
        <w:t xml:space="preserve">to </w:t>
      </w:r>
      <w:r w:rsidR="00A41DDC">
        <w:t xml:space="preserve">continue long after the </w:t>
      </w:r>
      <w:r w:rsidR="00EF7C6C">
        <w:t>conclusion</w:t>
      </w:r>
      <w:r w:rsidR="00A41DDC">
        <w:t xml:space="preserve"> of the CPP.  </w:t>
      </w:r>
      <w:r w:rsidR="000A0D0B">
        <w:t xml:space="preserve">Outreach efforts </w:t>
      </w:r>
      <w:r w:rsidR="00CA3837">
        <w:t>will continue</w:t>
      </w:r>
      <w:r w:rsidR="000A0D0B">
        <w:t xml:space="preserve"> to expand this training approach to other government entities including possibly </w:t>
      </w:r>
      <w:r w:rsidR="009200E3">
        <w:t>MOHA</w:t>
      </w:r>
      <w:r w:rsidR="000A0D0B">
        <w:t xml:space="preserve"> and the National Police.</w:t>
      </w:r>
    </w:p>
    <w:p w:rsidR="00EF7C6C" w:rsidRPr="00EF7C6C" w:rsidRDefault="00EF7C6C" w:rsidP="002A6CF0">
      <w:pPr>
        <w:rPr>
          <w:rFonts w:ascii="Verdana" w:hAnsi="Verdana" w:cs="Arial"/>
          <w:b/>
          <w:bCs/>
          <w:sz w:val="27"/>
          <w:szCs w:val="27"/>
        </w:rPr>
      </w:pPr>
    </w:p>
    <w:p w:rsidR="002E7B2A" w:rsidRPr="005D4D4D" w:rsidRDefault="000F2D1D" w:rsidP="002A6CF0">
      <w:pPr>
        <w:rPr>
          <w:b/>
          <w:u w:val="single"/>
        </w:rPr>
      </w:pPr>
      <w:r>
        <w:rPr>
          <w:b/>
        </w:rPr>
        <w:t>Output 4</w:t>
      </w:r>
      <w:r w:rsidR="006C13B0" w:rsidRPr="005D4D4D">
        <w:rPr>
          <w:b/>
        </w:rPr>
        <w:t>: Public culture of collaborative dialogue fostered through media</w:t>
      </w:r>
    </w:p>
    <w:p w:rsidR="00F11A91" w:rsidRDefault="00F11A91" w:rsidP="00F11A91">
      <w:pPr>
        <w:autoSpaceDE w:val="0"/>
        <w:autoSpaceDN w:val="0"/>
        <w:adjustRightInd w:val="0"/>
      </w:pPr>
    </w:p>
    <w:p w:rsidR="00F11A91" w:rsidRDefault="002E7B2A" w:rsidP="00F11A91">
      <w:pPr>
        <w:autoSpaceDE w:val="0"/>
        <w:autoSpaceDN w:val="0"/>
        <w:adjustRightInd w:val="0"/>
        <w:rPr>
          <w:bCs/>
          <w:color w:val="000000"/>
        </w:rPr>
      </w:pPr>
      <w:r w:rsidRPr="002A6CF0">
        <w:t xml:space="preserve">CLD undertook a media campaign to promote positive messages related to collaborative leadership and dialogue. This included </w:t>
      </w:r>
      <w:r w:rsidRPr="002A6CF0">
        <w:rPr>
          <w:bCs/>
          <w:color w:val="000000"/>
        </w:rPr>
        <w:t xml:space="preserve">24 episodes of radio talk programmes, 12 episodes of a radio magazine, and the production of two short documentaries on CLD. </w:t>
      </w:r>
    </w:p>
    <w:p w:rsidR="002E7B2A" w:rsidRPr="002A6CF0" w:rsidRDefault="002E7B2A" w:rsidP="00F11A91">
      <w:pPr>
        <w:autoSpaceDE w:val="0"/>
        <w:autoSpaceDN w:val="0"/>
        <w:adjustRightInd w:val="0"/>
        <w:rPr>
          <w:bCs/>
          <w:color w:val="000000"/>
        </w:rPr>
      </w:pPr>
    </w:p>
    <w:p w:rsidR="00F11A91" w:rsidRPr="002A6CF0" w:rsidRDefault="00F11A91" w:rsidP="00F11A91">
      <w:r w:rsidRPr="002A6CF0">
        <w:t xml:space="preserve">Over the second half of 2012, CLD undertook a concerted effort to engage with influential media figures.  </w:t>
      </w:r>
      <w:r w:rsidR="00CA3837">
        <w:t xml:space="preserve">A  </w:t>
      </w:r>
      <w:r w:rsidRPr="002A6CF0">
        <w:t>three-day seminar for the deputy and senior editors of all the print media houses in Nepal</w:t>
      </w:r>
      <w:r w:rsidR="004A7447">
        <w:t xml:space="preserve"> </w:t>
      </w:r>
      <w:r w:rsidR="00CA3837">
        <w:t xml:space="preserve">was organised </w:t>
      </w:r>
      <w:r w:rsidR="004A7447">
        <w:t>on</w:t>
      </w:r>
      <w:r w:rsidRPr="002A6CF0">
        <w:t xml:space="preserve"> basic concepts of dialogue, as well as critical reflection on how reporting can positively or negatively impact dialogue initiatives.  A second and similar event was organized for the key members of the Federation of Nepali Journalists (FNJ).  Both events generated positive feedback, and laid the foundations for more structured CLD engagements in the future.  Planning is underway with FNJ</w:t>
      </w:r>
      <w:r w:rsidR="004A7447">
        <w:t>, Nepal Press Institute (NPI) and Center for Investigative Journalism (CIJ</w:t>
      </w:r>
      <w:r w:rsidR="00584C19">
        <w:t xml:space="preserve">) </w:t>
      </w:r>
      <w:r w:rsidR="00584C19" w:rsidRPr="002A6CF0">
        <w:t>to</w:t>
      </w:r>
      <w:r w:rsidRPr="002A6CF0">
        <w:t xml:space="preserve"> create dialogue sensitivity training for local radio broadcasters, as well </w:t>
      </w:r>
      <w:r w:rsidR="00846A34">
        <w:t>to create</w:t>
      </w:r>
      <w:r w:rsidRPr="002A6CF0">
        <w:t xml:space="preserve"> a series of articles that highlight regional examples of ongoing collaborative leadership and dialogue (eg. traditional conflict resolution mechanisms)</w:t>
      </w:r>
      <w:r w:rsidR="00846A34">
        <w:t>.</w:t>
      </w:r>
    </w:p>
    <w:p w:rsidR="002E7B2A" w:rsidRPr="002A6CF0" w:rsidRDefault="002E7B2A" w:rsidP="002E7B2A"/>
    <w:p w:rsidR="002E7B2A" w:rsidRPr="002A6CF0" w:rsidRDefault="002E7B2A" w:rsidP="002E7B2A">
      <w:pPr>
        <w:rPr>
          <w:i/>
        </w:rPr>
      </w:pPr>
      <w:r w:rsidRPr="002A6CF0">
        <w:rPr>
          <w:i/>
        </w:rPr>
        <w:t>Impact</w:t>
      </w:r>
      <w:r w:rsidR="009200E3">
        <w:rPr>
          <w:i/>
        </w:rPr>
        <w:t xml:space="preserve"> of Output 4</w:t>
      </w:r>
    </w:p>
    <w:p w:rsidR="002E7B2A" w:rsidRPr="004A7447" w:rsidRDefault="002E7B2A" w:rsidP="00257C91">
      <w:pPr>
        <w:pStyle w:val="ListParagraph"/>
        <w:numPr>
          <w:ilvl w:val="0"/>
          <w:numId w:val="9"/>
        </w:numPr>
        <w:rPr>
          <w:b/>
        </w:rPr>
      </w:pPr>
      <w:r w:rsidRPr="005D4D4D">
        <w:rPr>
          <w:i/>
        </w:rPr>
        <w:t xml:space="preserve">Publication of multiple opinion pieces by prominent journalists in support of collaborative leadership </w:t>
      </w:r>
      <w:r w:rsidR="00846A34">
        <w:rPr>
          <w:i/>
        </w:rPr>
        <w:t xml:space="preserve">and dialogue </w:t>
      </w:r>
      <w:r w:rsidRPr="005D4D4D">
        <w:rPr>
          <w:i/>
        </w:rPr>
        <w:t>as keys to overcoming the nation’s political difficulties</w:t>
      </w:r>
      <w:r w:rsidRPr="002A6CF0">
        <w:rPr>
          <w:b/>
        </w:rPr>
        <w:t xml:space="preserve"> – </w:t>
      </w:r>
      <w:r w:rsidRPr="002A6CF0">
        <w:t>In the months since CLD began engaging with the media actors, at least seven significant articles have been published in support of collaborative leadership and dialogue</w:t>
      </w:r>
      <w:r w:rsidR="00BE4BFA">
        <w:t xml:space="preserve"> in National Dailies (</w:t>
      </w:r>
      <w:r w:rsidR="00706F2F">
        <w:t xml:space="preserve">Nagarik Nepali, Rajdhani Nepali, Annapurna Post </w:t>
      </w:r>
      <w:r w:rsidR="00BE4BFA">
        <w:t>and Weekly Magazines</w:t>
      </w:r>
      <w:r w:rsidR="00706F2F">
        <w:t xml:space="preserve"> (Ghatana Ra Bichar, Sukarbar)</w:t>
      </w:r>
      <w:r w:rsidRPr="002A6CF0">
        <w:t xml:space="preserve">. Most were published by participants </w:t>
      </w:r>
      <w:r w:rsidR="00846A34">
        <w:t xml:space="preserve">of </w:t>
      </w:r>
      <w:r w:rsidRPr="002A6CF0">
        <w:t>the CLD seminar.  These articles</w:t>
      </w:r>
      <w:r w:rsidR="000A0D0B">
        <w:t xml:space="preserve">, many of which were published by leading opinion-makers, have likely made a </w:t>
      </w:r>
      <w:r w:rsidRPr="002A6CF0">
        <w:t xml:space="preserve">significant contribution to shaping the national debate about the ongoing political crisis, and helped steer the country away from confrontation and towards continued efforts to find a consensus-based solution.  </w:t>
      </w:r>
    </w:p>
    <w:p w:rsidR="004A7447" w:rsidRPr="004A7447" w:rsidRDefault="004A7447" w:rsidP="00257C91">
      <w:pPr>
        <w:pStyle w:val="ListParagraph"/>
        <w:numPr>
          <w:ilvl w:val="0"/>
          <w:numId w:val="9"/>
        </w:numPr>
      </w:pPr>
      <w:r>
        <w:rPr>
          <w:i/>
        </w:rPr>
        <w:t xml:space="preserve"> Commitment from different media agencies to follow up activities-</w:t>
      </w:r>
      <w:r w:rsidR="00846A34">
        <w:rPr>
          <w:i/>
        </w:rPr>
        <w:t xml:space="preserve"> </w:t>
      </w:r>
      <w:r w:rsidR="00846A34">
        <w:t xml:space="preserve">A </w:t>
      </w:r>
      <w:r w:rsidRPr="004A7447">
        <w:t xml:space="preserve">concept paper </w:t>
      </w:r>
      <w:r>
        <w:t xml:space="preserve">for training FM journalists </w:t>
      </w:r>
      <w:r w:rsidR="00846A34">
        <w:t xml:space="preserve">at the </w:t>
      </w:r>
      <w:r>
        <w:t xml:space="preserve">local level </w:t>
      </w:r>
      <w:r w:rsidR="00846A34">
        <w:t xml:space="preserve">was </w:t>
      </w:r>
      <w:r>
        <w:t xml:space="preserve">developed by NPI, </w:t>
      </w:r>
      <w:r w:rsidR="00846A34">
        <w:t xml:space="preserve">and a proposal for </w:t>
      </w:r>
      <w:r>
        <w:t>Media fellowship</w:t>
      </w:r>
      <w:r w:rsidR="00846A34">
        <w:t>s</w:t>
      </w:r>
      <w:r>
        <w:t xml:space="preserve"> to explore the existing practice</w:t>
      </w:r>
      <w:r w:rsidR="00846A34">
        <w:t>s</w:t>
      </w:r>
      <w:r>
        <w:t xml:space="preserve"> of </w:t>
      </w:r>
      <w:r w:rsidR="00846A34">
        <w:t xml:space="preserve">CLD </w:t>
      </w:r>
      <w:r>
        <w:t>was developed by CIJ</w:t>
      </w:r>
      <w:r w:rsidR="00846A34">
        <w:t>.</w:t>
      </w:r>
      <w:r>
        <w:t xml:space="preserve"> CPP is process</w:t>
      </w:r>
      <w:r w:rsidR="00846A34">
        <w:t>ing</w:t>
      </w:r>
      <w:r>
        <w:t xml:space="preserve"> for small grant</w:t>
      </w:r>
      <w:r w:rsidR="00846A34">
        <w:t>s to allow for the implementation of these proposals</w:t>
      </w:r>
      <w:r>
        <w:t xml:space="preserve">.  </w:t>
      </w:r>
    </w:p>
    <w:p w:rsidR="008130FF" w:rsidRDefault="008130FF" w:rsidP="00DF4C99">
      <w:pPr>
        <w:pStyle w:val="ListParagraph"/>
        <w:ind w:left="360"/>
      </w:pPr>
    </w:p>
    <w:p w:rsidR="00BA4F5D" w:rsidRDefault="00BA4F5D" w:rsidP="00257C91">
      <w:pPr>
        <w:pStyle w:val="ListParagraph"/>
        <w:numPr>
          <w:ilvl w:val="0"/>
          <w:numId w:val="1"/>
        </w:numPr>
        <w:spacing w:after="160" w:line="264" w:lineRule="auto"/>
        <w:jc w:val="both"/>
        <w:rPr>
          <w:b/>
        </w:rPr>
      </w:pPr>
      <w:r w:rsidRPr="00BA4F5D">
        <w:rPr>
          <w:b/>
        </w:rPr>
        <w:t>Challenges/ Lessons Learned</w:t>
      </w:r>
    </w:p>
    <w:p w:rsidR="00472C03" w:rsidRPr="00472C03" w:rsidRDefault="00472C03" w:rsidP="00472C03">
      <w:pPr>
        <w:spacing w:after="160" w:line="264" w:lineRule="auto"/>
        <w:jc w:val="both"/>
        <w:rPr>
          <w:b/>
        </w:rPr>
      </w:pPr>
      <w:r w:rsidRPr="00472C03">
        <w:rPr>
          <w:b/>
        </w:rPr>
        <w:t>Challenges:</w:t>
      </w:r>
    </w:p>
    <w:p w:rsidR="00BA4F5D" w:rsidRPr="001E6373" w:rsidRDefault="00BA4F5D" w:rsidP="00257C91">
      <w:pPr>
        <w:pStyle w:val="ListParagraph"/>
        <w:numPr>
          <w:ilvl w:val="0"/>
          <w:numId w:val="10"/>
        </w:numPr>
        <w:contextualSpacing w:val="0"/>
        <w:jc w:val="both"/>
      </w:pPr>
      <w:r>
        <w:t>Ensuring the mainstreaming of</w:t>
      </w:r>
      <w:r w:rsidRPr="001E6373">
        <w:t xml:space="preserve"> GESI in the programme intervention has been a challenge.   It has </w:t>
      </w:r>
      <w:r>
        <w:t xml:space="preserve">been </w:t>
      </w:r>
      <w:r w:rsidRPr="001E6373">
        <w:t>realized that efforts to include women and marginalized groups in reasonable numbers have to be improved and strengthened substantively. The representation of women and marginalized group</w:t>
      </w:r>
      <w:r>
        <w:t>s</w:t>
      </w:r>
      <w:r w:rsidRPr="001E6373">
        <w:t xml:space="preserve"> in political</w:t>
      </w:r>
      <w:r>
        <w:t xml:space="preserve"> parties</w:t>
      </w:r>
      <w:r w:rsidRPr="001E6373">
        <w:t xml:space="preserve">, civil society and </w:t>
      </w:r>
      <w:r w:rsidRPr="001E6373">
        <w:lastRenderedPageBreak/>
        <w:t>government is very nominal</w:t>
      </w:r>
      <w:r>
        <w:t>.</w:t>
      </w:r>
      <w:r w:rsidRPr="001E6373">
        <w:t xml:space="preserve"> </w:t>
      </w:r>
      <w:r>
        <w:t>T</w:t>
      </w:r>
      <w:r w:rsidRPr="001E6373">
        <w:t xml:space="preserve">herefore CPP </w:t>
      </w:r>
      <w:r w:rsidR="002B0D7F">
        <w:t xml:space="preserve">has initiated the process to develop </w:t>
      </w:r>
      <w:r w:rsidR="002B0D7F" w:rsidRPr="001E6373">
        <w:t>a</w:t>
      </w:r>
      <w:r>
        <w:t xml:space="preserve"> </w:t>
      </w:r>
      <w:r w:rsidRPr="001E6373">
        <w:t>GESI operational strategy to overcome the</w:t>
      </w:r>
      <w:r>
        <w:t>se</w:t>
      </w:r>
      <w:r w:rsidRPr="001E6373">
        <w:t xml:space="preserve"> specific challenges of the programme.  </w:t>
      </w:r>
    </w:p>
    <w:p w:rsidR="00BA4F5D" w:rsidRDefault="00BA4F5D" w:rsidP="00257C91">
      <w:pPr>
        <w:pStyle w:val="ListParagraph"/>
        <w:numPr>
          <w:ilvl w:val="0"/>
          <w:numId w:val="10"/>
        </w:numPr>
        <w:contextualSpacing w:val="0"/>
        <w:jc w:val="both"/>
      </w:pPr>
      <w:r w:rsidRPr="00B07D4F">
        <w:t xml:space="preserve">Frequent transfer of staff in the government institutions is a long term challenge for the programme. Therefore, our strategy </w:t>
      </w:r>
      <w:r w:rsidR="00B10BA7">
        <w:t xml:space="preserve">focuses </w:t>
      </w:r>
      <w:r w:rsidRPr="00B07D4F">
        <w:t>on engaging more than one person</w:t>
      </w:r>
      <w:r>
        <w:t xml:space="preserve"> from each of these institutions</w:t>
      </w:r>
      <w:r w:rsidRPr="00B07D4F">
        <w:t xml:space="preserve"> to retain the institutional memory</w:t>
      </w:r>
      <w:r>
        <w:t>.</w:t>
      </w:r>
    </w:p>
    <w:p w:rsidR="008B089E" w:rsidRDefault="00BA4F5D" w:rsidP="00257C91">
      <w:pPr>
        <w:pStyle w:val="ListParagraph"/>
        <w:numPr>
          <w:ilvl w:val="0"/>
          <w:numId w:val="10"/>
        </w:numPr>
        <w:tabs>
          <w:tab w:val="left" w:pos="252"/>
        </w:tabs>
        <w:spacing w:before="120" w:after="160" w:line="271" w:lineRule="auto"/>
        <w:jc w:val="both"/>
      </w:pPr>
      <w:r w:rsidRPr="002A6CF0">
        <w:t>T</w:t>
      </w:r>
      <w:r>
        <w:t xml:space="preserve">raining of Facilitator </w:t>
      </w:r>
      <w:r w:rsidR="002B0D7F">
        <w:t>(TOF</w:t>
      </w:r>
      <w:r>
        <w:t>)</w:t>
      </w:r>
      <w:r w:rsidRPr="002A6CF0">
        <w:t xml:space="preserve"> graduates from </w:t>
      </w:r>
      <w:r>
        <w:t xml:space="preserve">the local levels have focused </w:t>
      </w:r>
      <w:r w:rsidRPr="002A6CF0">
        <w:t xml:space="preserve">on using </w:t>
      </w:r>
      <w:r>
        <w:t xml:space="preserve">the </w:t>
      </w:r>
      <w:r w:rsidRPr="002A6CF0">
        <w:t>dialogue forum</w:t>
      </w:r>
      <w:r>
        <w:t>s</w:t>
      </w:r>
      <w:r w:rsidRPr="002A6CF0">
        <w:t xml:space="preserve"> to discuss development issues rather than more difficult peacebuilding issues</w:t>
      </w:r>
      <w:r>
        <w:t>.</w:t>
      </w:r>
      <w:r w:rsidRPr="002A6CF0">
        <w:t xml:space="preserve"> </w:t>
      </w:r>
      <w:r>
        <w:t>N</w:t>
      </w:r>
      <w:r w:rsidRPr="002A6CF0">
        <w:t>ecessary human resource</w:t>
      </w:r>
      <w:r>
        <w:t>s</w:t>
      </w:r>
      <w:r w:rsidRPr="002A6CF0">
        <w:t xml:space="preserve"> and logistical capacity in field offices</w:t>
      </w:r>
      <w:r w:rsidR="002B0D7F">
        <w:t xml:space="preserve"> </w:t>
      </w:r>
      <w:r>
        <w:t xml:space="preserve">is important to </w:t>
      </w:r>
      <w:r w:rsidRPr="002A6CF0">
        <w:t xml:space="preserve">allow for robust support </w:t>
      </w:r>
      <w:r>
        <w:t xml:space="preserve">to </w:t>
      </w:r>
      <w:r w:rsidRPr="002A6CF0">
        <w:t xml:space="preserve">local actors on emerging dialogue ideas.  It </w:t>
      </w:r>
      <w:r>
        <w:t xml:space="preserve">was </w:t>
      </w:r>
      <w:r w:rsidRPr="002A6CF0">
        <w:t>difficult to support such process</w:t>
      </w:r>
      <w:r>
        <w:t>es</w:t>
      </w:r>
      <w:r w:rsidRPr="002A6CF0">
        <w:t xml:space="preserve"> with the only one technical staff</w:t>
      </w:r>
      <w:r>
        <w:t xml:space="preserve"> member</w:t>
      </w:r>
      <w:r w:rsidR="00B10BA7">
        <w:t xml:space="preserve"> in the field</w:t>
      </w:r>
      <w:r w:rsidRPr="002A6CF0">
        <w:t xml:space="preserve">.  </w:t>
      </w:r>
    </w:p>
    <w:p w:rsidR="00472C03" w:rsidRPr="00EE6E2B" w:rsidRDefault="00472C03" w:rsidP="00257C91">
      <w:pPr>
        <w:pStyle w:val="ListParagraph"/>
        <w:numPr>
          <w:ilvl w:val="0"/>
          <w:numId w:val="10"/>
        </w:numPr>
        <w:tabs>
          <w:tab w:val="left" w:pos="252"/>
        </w:tabs>
        <w:spacing w:before="120" w:after="160" w:line="271" w:lineRule="auto"/>
        <w:jc w:val="both"/>
      </w:pPr>
      <w:r w:rsidRPr="008B089E">
        <w:rPr>
          <w:bCs/>
          <w:lang w:val="en-GB"/>
        </w:rPr>
        <w:t>Hiring</w:t>
      </w:r>
      <w:r w:rsidRPr="008B089E">
        <w:rPr>
          <w:lang w:val="en-GB"/>
        </w:rPr>
        <w:t xml:space="preserve"> a staff that represents Nepal’s huge diversity also presents a challenge, in particular to ensure that traditionally marginalised groups enjoy equal opportunity. Therefore the recruitment process </w:t>
      </w:r>
      <w:r w:rsidR="008B089E">
        <w:rPr>
          <w:lang w:val="en-GB"/>
        </w:rPr>
        <w:t xml:space="preserve">demand </w:t>
      </w:r>
      <w:r w:rsidRPr="008B089E">
        <w:rPr>
          <w:lang w:val="en-GB"/>
        </w:rPr>
        <w:t>much more time than usual to make the team more inclusive.</w:t>
      </w:r>
      <w:r w:rsidRPr="008B089E" w:rsidDel="00810B72">
        <w:rPr>
          <w:lang w:val="en-GB"/>
        </w:rPr>
        <w:t xml:space="preserve"> </w:t>
      </w:r>
    </w:p>
    <w:p w:rsidR="00BA4F5D" w:rsidRDefault="00BA4F5D" w:rsidP="00BA4F5D">
      <w:pPr>
        <w:pStyle w:val="BodyText"/>
        <w:jc w:val="both"/>
        <w:rPr>
          <w:rFonts w:ascii="Times New Roman" w:hAnsi="Times New Roman" w:cs="Times New Roman"/>
          <w:b/>
          <w:sz w:val="24"/>
          <w:szCs w:val="24"/>
        </w:rPr>
      </w:pPr>
      <w:r w:rsidRPr="002A6CF0">
        <w:rPr>
          <w:rFonts w:ascii="Times New Roman" w:hAnsi="Times New Roman" w:cs="Times New Roman"/>
          <w:b/>
          <w:sz w:val="24"/>
          <w:szCs w:val="24"/>
        </w:rPr>
        <w:t>Lessons Learned:</w:t>
      </w:r>
    </w:p>
    <w:p w:rsidR="008B089E" w:rsidRPr="002A6CF0" w:rsidRDefault="008B089E" w:rsidP="00BA4F5D">
      <w:pPr>
        <w:pStyle w:val="BodyText"/>
        <w:jc w:val="both"/>
        <w:rPr>
          <w:rFonts w:ascii="Times New Roman" w:hAnsi="Times New Roman" w:cs="Times New Roman"/>
          <w:sz w:val="24"/>
          <w:szCs w:val="24"/>
        </w:rPr>
      </w:pPr>
    </w:p>
    <w:p w:rsidR="00BA4F5D" w:rsidRPr="00F75FF7" w:rsidRDefault="00F75FF7" w:rsidP="00257C91">
      <w:pPr>
        <w:pStyle w:val="BodyText"/>
        <w:numPr>
          <w:ilvl w:val="0"/>
          <w:numId w:val="11"/>
        </w:numPr>
        <w:jc w:val="both"/>
        <w:rPr>
          <w:rFonts w:ascii="Times New Roman" w:hAnsi="Times New Roman" w:cs="Times New Roman"/>
          <w:sz w:val="24"/>
          <w:szCs w:val="24"/>
        </w:rPr>
      </w:pPr>
      <w:r w:rsidRPr="00F75FF7">
        <w:rPr>
          <w:rFonts w:ascii="Times New Roman" w:hAnsi="Times New Roman" w:cs="Times New Roman"/>
          <w:sz w:val="24"/>
          <w:szCs w:val="24"/>
        </w:rPr>
        <w:t xml:space="preserve">One of the </w:t>
      </w:r>
      <w:r w:rsidR="00BA4F5D" w:rsidRPr="00F75FF7">
        <w:rPr>
          <w:rFonts w:ascii="Times New Roman" w:hAnsi="Times New Roman" w:cs="Times New Roman"/>
          <w:sz w:val="24"/>
          <w:szCs w:val="24"/>
        </w:rPr>
        <w:t xml:space="preserve">most important lesson learned for CPP </w:t>
      </w:r>
      <w:r w:rsidR="00D52826" w:rsidRPr="00F75FF7">
        <w:rPr>
          <w:rFonts w:ascii="Times New Roman" w:hAnsi="Times New Roman" w:cs="Times New Roman"/>
          <w:sz w:val="24"/>
          <w:szCs w:val="24"/>
        </w:rPr>
        <w:t>and the recommendation</w:t>
      </w:r>
      <w:r w:rsidRPr="00F75FF7">
        <w:rPr>
          <w:rFonts w:ascii="Times New Roman" w:hAnsi="Times New Roman" w:cs="Times New Roman"/>
          <w:sz w:val="24"/>
          <w:szCs w:val="24"/>
        </w:rPr>
        <w:t xml:space="preserve"> from forward looking assessment mission </w:t>
      </w:r>
      <w:r w:rsidR="00BA4F5D" w:rsidRPr="00F75FF7">
        <w:rPr>
          <w:rFonts w:ascii="Times New Roman" w:hAnsi="Times New Roman" w:cs="Times New Roman"/>
          <w:sz w:val="24"/>
          <w:szCs w:val="24"/>
        </w:rPr>
        <w:t xml:space="preserve">is that support for ongoing and emerging dialogue at the district level, which is the essence of the next phase of the programme, requires more intensive and sustained levels of engagement by programme staff than what was required in the earlier stages of the programme (outreach and training). As a result, CPP has begun a process of expanding its field staff, and </w:t>
      </w:r>
      <w:r w:rsidRPr="00F75FF7">
        <w:rPr>
          <w:rFonts w:ascii="Times New Roman" w:hAnsi="Times New Roman" w:cs="Times New Roman"/>
          <w:sz w:val="24"/>
          <w:szCs w:val="24"/>
        </w:rPr>
        <w:t>also initiated the process to</w:t>
      </w:r>
      <w:r w:rsidR="00BA4F5D" w:rsidRPr="00F75FF7">
        <w:rPr>
          <w:rFonts w:ascii="Times New Roman" w:hAnsi="Times New Roman" w:cs="Times New Roman"/>
          <w:sz w:val="24"/>
          <w:szCs w:val="24"/>
        </w:rPr>
        <w:t xml:space="preserve"> have additional, and more senior, technical staff on the ground</w:t>
      </w:r>
      <w:r w:rsidRPr="00F75FF7">
        <w:rPr>
          <w:rFonts w:ascii="Times New Roman" w:hAnsi="Times New Roman" w:cs="Times New Roman"/>
          <w:sz w:val="24"/>
          <w:szCs w:val="24"/>
        </w:rPr>
        <w:t xml:space="preserve">. </w:t>
      </w:r>
    </w:p>
    <w:p w:rsidR="00BA4F5D" w:rsidRDefault="00BA4F5D" w:rsidP="00257C91">
      <w:pPr>
        <w:pStyle w:val="BodyTex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To expand the working space for CPP, strong coordination with government partner like MOPR and LPCs is taking shape. </w:t>
      </w:r>
    </w:p>
    <w:p w:rsidR="00BA4F5D" w:rsidRPr="00255340" w:rsidRDefault="00BA4F5D" w:rsidP="00257C91">
      <w:pPr>
        <w:pStyle w:val="BodyText"/>
        <w:numPr>
          <w:ilvl w:val="0"/>
          <w:numId w:val="11"/>
        </w:numPr>
        <w:jc w:val="both"/>
        <w:rPr>
          <w:rFonts w:ascii="Times New Roman" w:hAnsi="Times New Roman" w:cs="Times New Roman"/>
          <w:sz w:val="24"/>
          <w:szCs w:val="24"/>
        </w:rPr>
      </w:pPr>
      <w:r w:rsidRPr="00255340">
        <w:rPr>
          <w:rFonts w:ascii="Times New Roman" w:hAnsi="Times New Roman" w:cs="Times New Roman"/>
          <w:sz w:val="24"/>
          <w:szCs w:val="24"/>
        </w:rPr>
        <w:t>It is realized that contribution of the Senior facilitator is a key factor to engage political leaders in dialogue processes</w:t>
      </w:r>
      <w:r w:rsidR="002D69DE">
        <w:rPr>
          <w:rFonts w:ascii="Times New Roman" w:hAnsi="Times New Roman" w:cs="Times New Roman"/>
          <w:sz w:val="24"/>
          <w:szCs w:val="24"/>
        </w:rPr>
        <w:t xml:space="preserve"> therefore CLD</w:t>
      </w:r>
      <w:r w:rsidR="00F75FF7">
        <w:rPr>
          <w:rFonts w:ascii="Times New Roman" w:hAnsi="Times New Roman" w:cs="Times New Roman"/>
          <w:sz w:val="24"/>
          <w:szCs w:val="24"/>
        </w:rPr>
        <w:t xml:space="preserve"> is engaging </w:t>
      </w:r>
      <w:r w:rsidR="002D69DE" w:rsidRPr="00255340">
        <w:rPr>
          <w:rFonts w:ascii="Times New Roman" w:hAnsi="Times New Roman" w:cs="Times New Roman"/>
          <w:sz w:val="24"/>
          <w:szCs w:val="24"/>
        </w:rPr>
        <w:t>senior</w:t>
      </w:r>
      <w:r w:rsidRPr="00255340">
        <w:rPr>
          <w:rFonts w:ascii="Times New Roman" w:hAnsi="Times New Roman" w:cs="Times New Roman"/>
          <w:sz w:val="24"/>
          <w:szCs w:val="24"/>
        </w:rPr>
        <w:t xml:space="preserve"> facilitator</w:t>
      </w:r>
      <w:r w:rsidR="00F75FF7">
        <w:rPr>
          <w:rFonts w:ascii="Times New Roman" w:hAnsi="Times New Roman" w:cs="Times New Roman"/>
          <w:sz w:val="24"/>
          <w:szCs w:val="24"/>
        </w:rPr>
        <w:t>s</w:t>
      </w:r>
      <w:r w:rsidRPr="00255340">
        <w:rPr>
          <w:rFonts w:ascii="Times New Roman" w:hAnsi="Times New Roman" w:cs="Times New Roman"/>
          <w:sz w:val="24"/>
          <w:szCs w:val="24"/>
        </w:rPr>
        <w:t xml:space="preserve"> </w:t>
      </w:r>
      <w:r w:rsidR="002D69DE">
        <w:rPr>
          <w:rFonts w:ascii="Times New Roman" w:hAnsi="Times New Roman" w:cs="Times New Roman"/>
          <w:sz w:val="24"/>
          <w:szCs w:val="24"/>
        </w:rPr>
        <w:t xml:space="preserve">in </w:t>
      </w:r>
      <w:r w:rsidRPr="00255340">
        <w:rPr>
          <w:rFonts w:ascii="Times New Roman" w:hAnsi="Times New Roman" w:cs="Times New Roman"/>
          <w:sz w:val="24"/>
          <w:szCs w:val="24"/>
        </w:rPr>
        <w:t xml:space="preserve">most </w:t>
      </w:r>
      <w:r w:rsidR="00F75FF7">
        <w:rPr>
          <w:rFonts w:ascii="Times New Roman" w:hAnsi="Times New Roman" w:cs="Times New Roman"/>
          <w:sz w:val="24"/>
          <w:szCs w:val="24"/>
        </w:rPr>
        <w:t xml:space="preserve">of the </w:t>
      </w:r>
      <w:r w:rsidRPr="00255340">
        <w:rPr>
          <w:rFonts w:ascii="Times New Roman" w:hAnsi="Times New Roman" w:cs="Times New Roman"/>
          <w:sz w:val="24"/>
          <w:szCs w:val="24"/>
        </w:rPr>
        <w:t xml:space="preserve">workshops. </w:t>
      </w:r>
    </w:p>
    <w:p w:rsidR="00BA4F5D" w:rsidRDefault="00BA4F5D" w:rsidP="00257C91">
      <w:pPr>
        <w:pStyle w:val="BodyText"/>
        <w:numPr>
          <w:ilvl w:val="0"/>
          <w:numId w:val="11"/>
        </w:numPr>
        <w:jc w:val="both"/>
        <w:rPr>
          <w:rFonts w:ascii="Times New Roman" w:hAnsi="Times New Roman" w:cs="Times New Roman"/>
          <w:sz w:val="24"/>
          <w:szCs w:val="24"/>
        </w:rPr>
      </w:pPr>
      <w:r>
        <w:rPr>
          <w:rFonts w:ascii="Times New Roman" w:hAnsi="Times New Roman" w:cs="Times New Roman"/>
          <w:sz w:val="24"/>
          <w:szCs w:val="24"/>
        </w:rPr>
        <w:t>S</w:t>
      </w:r>
      <w:r w:rsidRPr="00616F9F">
        <w:rPr>
          <w:rFonts w:ascii="Times New Roman" w:hAnsi="Times New Roman" w:cs="Times New Roman"/>
          <w:sz w:val="24"/>
          <w:szCs w:val="24"/>
        </w:rPr>
        <w:t xml:space="preserve">coping missions, consultative meetings with different stakeholders, </w:t>
      </w:r>
      <w:r>
        <w:rPr>
          <w:rFonts w:ascii="Times New Roman" w:hAnsi="Times New Roman" w:cs="Times New Roman"/>
          <w:sz w:val="24"/>
          <w:szCs w:val="24"/>
        </w:rPr>
        <w:t xml:space="preserve">and </w:t>
      </w:r>
      <w:r w:rsidRPr="00616F9F">
        <w:rPr>
          <w:rFonts w:ascii="Times New Roman" w:hAnsi="Times New Roman" w:cs="Times New Roman"/>
          <w:sz w:val="24"/>
          <w:szCs w:val="24"/>
        </w:rPr>
        <w:t xml:space="preserve">entry point workshops with political party leaders in the </w:t>
      </w:r>
      <w:r>
        <w:rPr>
          <w:rFonts w:ascii="Times New Roman" w:hAnsi="Times New Roman" w:cs="Times New Roman"/>
          <w:sz w:val="24"/>
          <w:szCs w:val="24"/>
        </w:rPr>
        <w:t xml:space="preserve">beginning </w:t>
      </w:r>
      <w:r w:rsidRPr="00616F9F">
        <w:rPr>
          <w:rFonts w:ascii="Times New Roman" w:hAnsi="Times New Roman" w:cs="Times New Roman"/>
          <w:sz w:val="24"/>
          <w:szCs w:val="24"/>
        </w:rPr>
        <w:t>of programme implementation have helped to lay out a strong foundation for the programme</w:t>
      </w:r>
      <w:r>
        <w:rPr>
          <w:rFonts w:ascii="Times New Roman" w:hAnsi="Times New Roman" w:cs="Times New Roman"/>
          <w:sz w:val="24"/>
          <w:szCs w:val="24"/>
        </w:rPr>
        <w:t xml:space="preserve">. Because of these foundational activities, the program in the Far West was able to establish itself very quickly. </w:t>
      </w:r>
    </w:p>
    <w:p w:rsidR="007A20D6" w:rsidRPr="00616F9F" w:rsidRDefault="007A20D6" w:rsidP="00BA4F5D">
      <w:pPr>
        <w:pStyle w:val="BodyText"/>
        <w:jc w:val="both"/>
        <w:rPr>
          <w:rFonts w:ascii="Times New Roman" w:hAnsi="Times New Roman" w:cs="Times New Roman"/>
          <w:sz w:val="24"/>
          <w:szCs w:val="24"/>
        </w:rPr>
      </w:pPr>
    </w:p>
    <w:p w:rsidR="00472C03" w:rsidRPr="004F1471" w:rsidRDefault="00472C03" w:rsidP="00472C03">
      <w:pPr>
        <w:pStyle w:val="ListParagraph"/>
        <w:widowControl w:val="0"/>
        <w:spacing w:after="160" w:line="264" w:lineRule="auto"/>
        <w:ind w:left="0"/>
        <w:contextualSpacing w:val="0"/>
        <w:jc w:val="both"/>
        <w:rPr>
          <w:bCs/>
          <w:lang w:eastAsia="ja-JP"/>
        </w:rPr>
      </w:pPr>
      <w:r>
        <w:rPr>
          <w:b/>
          <w:szCs w:val="21"/>
          <w:lang w:eastAsia="ja-JP"/>
        </w:rPr>
        <w:t>IV: Qualitative A</w:t>
      </w:r>
      <w:r w:rsidRPr="004F1471">
        <w:rPr>
          <w:b/>
          <w:szCs w:val="21"/>
          <w:lang w:eastAsia="ja-JP"/>
        </w:rPr>
        <w:t>ssessment</w:t>
      </w:r>
      <w:r w:rsidRPr="004F1471">
        <w:rPr>
          <w:szCs w:val="21"/>
          <w:lang w:eastAsia="ja-JP"/>
        </w:rPr>
        <w:t xml:space="preserve"> </w:t>
      </w:r>
    </w:p>
    <w:p w:rsidR="007A20D6" w:rsidRPr="00583C69" w:rsidRDefault="007A20D6" w:rsidP="007A20D6">
      <w:pPr>
        <w:pStyle w:val="BodyText"/>
        <w:jc w:val="both"/>
        <w:rPr>
          <w:rFonts w:ascii="Times New Roman" w:hAnsi="Times New Roman" w:cs="Times New Roman"/>
        </w:rPr>
      </w:pPr>
      <w:r>
        <w:rPr>
          <w:rFonts w:ascii="Times New Roman" w:hAnsi="Times New Roman" w:cs="Times New Roman"/>
          <w:sz w:val="24"/>
          <w:szCs w:val="24"/>
        </w:rPr>
        <w:t>CLD has</w:t>
      </w:r>
      <w:r w:rsidRPr="002A6CF0">
        <w:rPr>
          <w:rFonts w:ascii="Times New Roman" w:hAnsi="Times New Roman" w:cs="Times New Roman"/>
          <w:sz w:val="24"/>
          <w:szCs w:val="24"/>
        </w:rPr>
        <w:t xml:space="preserve"> </w:t>
      </w:r>
      <w:r w:rsidRPr="002A6CF0">
        <w:rPr>
          <w:rFonts w:ascii="Times New Roman" w:hAnsi="Times New Roman" w:cs="Times New Roman"/>
          <w:bCs/>
          <w:color w:val="000000"/>
          <w:sz w:val="24"/>
          <w:szCs w:val="24"/>
          <w:lang w:val="en-AU"/>
        </w:rPr>
        <w:t xml:space="preserve">worked with political, civil society, government, youth, women and ethnic leaders at both local and national levels to strengthen their capacities in constructive negotiation, mediation, facilitation of dialogue processes, consensus building, communications, leadership and trust building. </w:t>
      </w:r>
      <w:r>
        <w:rPr>
          <w:rFonts w:ascii="Times New Roman" w:hAnsi="Times New Roman" w:cs="Times New Roman"/>
          <w:sz w:val="24"/>
          <w:szCs w:val="24"/>
        </w:rPr>
        <w:t>One significant observable change is that many district-level leaders express an interest in using dialogue as a tool to address development and social challenges in their respective areas.   Before engaging with the CLD project, many of these same leaders tended to view such challenges as zero-sum problems in which some parties would win and others would lose. Some examples include, f</w:t>
      </w:r>
      <w:r w:rsidRPr="00583C69">
        <w:rPr>
          <w:rFonts w:ascii="Times New Roman" w:hAnsi="Times New Roman" w:cs="Times New Roman"/>
          <w:sz w:val="24"/>
          <w:szCs w:val="24"/>
        </w:rPr>
        <w:t>or</w:t>
      </w:r>
      <w:r>
        <w:rPr>
          <w:rFonts w:ascii="Times New Roman" w:hAnsi="Times New Roman" w:cs="Times New Roman"/>
          <w:sz w:val="24"/>
          <w:szCs w:val="24"/>
        </w:rPr>
        <w:t xml:space="preserve"> instance: (a</w:t>
      </w:r>
      <w:r w:rsidRPr="00583C69">
        <w:rPr>
          <w:rFonts w:ascii="Times New Roman" w:hAnsi="Times New Roman" w:cs="Times New Roman"/>
          <w:sz w:val="24"/>
          <w:szCs w:val="24"/>
        </w:rPr>
        <w:t xml:space="preserve">) </w:t>
      </w:r>
      <w:r>
        <w:rPr>
          <w:rFonts w:ascii="Times New Roman" w:hAnsi="Times New Roman" w:cs="Times New Roman"/>
          <w:sz w:val="24"/>
          <w:szCs w:val="24"/>
        </w:rPr>
        <w:t xml:space="preserve">In Kailali, a series of trainings and dialogue sessions </w:t>
      </w:r>
      <w:r w:rsidRPr="00583C69">
        <w:rPr>
          <w:rFonts w:ascii="Times New Roman" w:hAnsi="Times New Roman" w:cs="Times New Roman"/>
          <w:sz w:val="24"/>
          <w:szCs w:val="24"/>
        </w:rPr>
        <w:t xml:space="preserve">helped to create </w:t>
      </w:r>
      <w:r>
        <w:rPr>
          <w:rFonts w:ascii="Times New Roman" w:hAnsi="Times New Roman" w:cs="Times New Roman"/>
          <w:sz w:val="24"/>
          <w:szCs w:val="24"/>
        </w:rPr>
        <w:t xml:space="preserve">a </w:t>
      </w:r>
      <w:r w:rsidRPr="00583C69">
        <w:rPr>
          <w:rFonts w:ascii="Times New Roman" w:hAnsi="Times New Roman" w:cs="Times New Roman"/>
          <w:sz w:val="24"/>
          <w:szCs w:val="24"/>
        </w:rPr>
        <w:t>conducive environment for the political parties to come togeth</w:t>
      </w:r>
      <w:r>
        <w:rPr>
          <w:rFonts w:ascii="Times New Roman" w:hAnsi="Times New Roman" w:cs="Times New Roman"/>
          <w:sz w:val="24"/>
          <w:szCs w:val="24"/>
        </w:rPr>
        <w:t xml:space="preserve">er and discuss inter-ethnic tensions.  The result has been the creation of a standing informal forum of </w:t>
      </w:r>
      <w:r>
        <w:rPr>
          <w:rFonts w:ascii="Times New Roman" w:hAnsi="Times New Roman" w:cs="Times New Roman"/>
          <w:sz w:val="24"/>
          <w:szCs w:val="24"/>
        </w:rPr>
        <w:lastRenderedPageBreak/>
        <w:t xml:space="preserve">the political parties and a markedly improved relationship between the leaders associated with the two different ethnic groups (Tharus and Pahadis).   (b) In Janakpur, </w:t>
      </w:r>
      <w:r w:rsidRPr="00583C69">
        <w:rPr>
          <w:rFonts w:ascii="Times New Roman" w:hAnsi="Times New Roman" w:cs="Times New Roman"/>
          <w:sz w:val="24"/>
          <w:szCs w:val="24"/>
        </w:rPr>
        <w:t xml:space="preserve">political and civil society leaders successfully </w:t>
      </w:r>
      <w:r>
        <w:rPr>
          <w:rFonts w:ascii="Times New Roman" w:hAnsi="Times New Roman" w:cs="Times New Roman"/>
          <w:sz w:val="24"/>
          <w:szCs w:val="24"/>
        </w:rPr>
        <w:t>addressed a dispute related to the</w:t>
      </w:r>
      <w:r w:rsidRPr="00583C69">
        <w:rPr>
          <w:rFonts w:ascii="Times New Roman" w:hAnsi="Times New Roman" w:cs="Times New Roman"/>
          <w:sz w:val="24"/>
          <w:szCs w:val="24"/>
        </w:rPr>
        <w:t xml:space="preserve"> </w:t>
      </w:r>
      <w:r>
        <w:rPr>
          <w:rFonts w:ascii="Times New Roman" w:hAnsi="Times New Roman" w:cs="Times New Roman"/>
          <w:sz w:val="24"/>
          <w:szCs w:val="24"/>
        </w:rPr>
        <w:t xml:space="preserve">identification of a future landfill site, </w:t>
      </w:r>
      <w:r w:rsidRPr="00583C69">
        <w:rPr>
          <w:rFonts w:ascii="Times New Roman" w:hAnsi="Times New Roman" w:cs="Times New Roman"/>
          <w:sz w:val="24"/>
          <w:szCs w:val="24"/>
        </w:rPr>
        <w:t xml:space="preserve">which was a prerequisite to receive </w:t>
      </w:r>
      <w:r>
        <w:rPr>
          <w:rFonts w:ascii="Times New Roman" w:hAnsi="Times New Roman" w:cs="Times New Roman"/>
          <w:sz w:val="24"/>
          <w:szCs w:val="24"/>
        </w:rPr>
        <w:t xml:space="preserve">more than USD $18 million </w:t>
      </w:r>
      <w:r w:rsidRPr="00583C69">
        <w:rPr>
          <w:rFonts w:ascii="Times New Roman" w:hAnsi="Times New Roman" w:cs="Times New Roman"/>
          <w:sz w:val="24"/>
          <w:szCs w:val="24"/>
        </w:rPr>
        <w:t>for an Integrated Urban Development projec</w:t>
      </w:r>
      <w:r>
        <w:rPr>
          <w:rFonts w:ascii="Times New Roman" w:hAnsi="Times New Roman" w:cs="Times New Roman"/>
          <w:sz w:val="24"/>
          <w:szCs w:val="24"/>
        </w:rPr>
        <w:t>t</w:t>
      </w:r>
      <w:r w:rsidR="003B79F8">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7A20D6" w:rsidRPr="002A6CF0" w:rsidRDefault="007A20D6" w:rsidP="000E2DE8">
      <w:pPr>
        <w:pStyle w:val="BodyText"/>
        <w:framePr w:w="9990" w:wrap="auto" w:hAnchor="text"/>
        <w:ind w:left="720" w:hanging="360"/>
        <w:jc w:val="both"/>
        <w:rPr>
          <w:rFonts w:ascii="Times New Roman" w:hAnsi="Times New Roman" w:cs="Times New Roman"/>
          <w:bCs/>
          <w:sz w:val="24"/>
          <w:szCs w:val="24"/>
        </w:rPr>
        <w:sectPr w:rsidR="007A20D6" w:rsidRPr="002A6CF0" w:rsidSect="000E2DE8">
          <w:footerReference w:type="default" r:id="rId10"/>
          <w:footerReference w:type="first" r:id="rId11"/>
          <w:pgSz w:w="12240" w:h="15840" w:code="1"/>
          <w:pgMar w:top="1170" w:right="1440" w:bottom="1440" w:left="1440" w:header="720" w:footer="418" w:gutter="0"/>
          <w:cols w:space="720"/>
          <w:docGrid w:linePitch="360"/>
        </w:sectPr>
      </w:pPr>
    </w:p>
    <w:p w:rsidR="00C416C0" w:rsidRPr="002A6CF0" w:rsidRDefault="00D111CD" w:rsidP="00C416C0">
      <w:pPr>
        <w:pStyle w:val="BodyText"/>
        <w:tabs>
          <w:tab w:val="left" w:pos="360"/>
        </w:tabs>
        <w:ind w:left="720"/>
        <w:jc w:val="both"/>
        <w:rPr>
          <w:rFonts w:ascii="Times New Roman" w:hAnsi="Times New Roman" w:cs="Times New Roman"/>
          <w:bCs/>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3" behindDoc="0" locked="0" layoutInCell="1" allowOverlap="1">
                <wp:simplePos x="0" y="0"/>
                <wp:positionH relativeFrom="column">
                  <wp:posOffset>-518160</wp:posOffset>
                </wp:positionH>
                <wp:positionV relativeFrom="paragraph">
                  <wp:posOffset>-178435</wp:posOffset>
                </wp:positionV>
                <wp:extent cx="9446260" cy="291465"/>
                <wp:effectExtent l="0" t="0" r="2159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BA4F5D" w:rsidRPr="001613F4" w:rsidRDefault="00BA4F5D" w:rsidP="00EF101E">
                            <w:pPr>
                              <w:jc w:val="center"/>
                              <w:rPr>
                                <w:b/>
                              </w:rPr>
                            </w:pPr>
                            <w:r>
                              <w:rPr>
                                <w:b/>
                              </w:rPr>
                              <w:t>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CJLxJ2KwIAAFAEAAAOAAAAAAAAAAAAAAAAAC4CAABkcnMv&#10;ZTJvRG9jLnhtbFBLAQItABQABgAIAAAAIQC2f+Y93gAAAAsBAAAPAAAAAAAAAAAAAAAAAIUEAABk&#10;cnMvZG93bnJldi54bWxQSwUGAAAAAAQABADzAAAAkAUAAAAA&#10;" fillcolor="#f2f2f2" strokecolor="#d8d8d8">
                <v:textbox>
                  <w:txbxContent>
                    <w:p w:rsidR="00BA4F5D" w:rsidRPr="001613F4" w:rsidRDefault="00BA4F5D" w:rsidP="00EF101E">
                      <w:pPr>
                        <w:jc w:val="center"/>
                        <w:rPr>
                          <w:b/>
                        </w:rPr>
                      </w:pPr>
                      <w:r>
                        <w:rPr>
                          <w:b/>
                        </w:rPr>
                        <w:t>i) Indicator Based Performance Assessment:</w:t>
                      </w:r>
                    </w:p>
                  </w:txbxContent>
                </v:textbox>
              </v:shape>
            </w:pict>
          </mc:Fallback>
        </mc:AlternateContent>
      </w:r>
    </w:p>
    <w:p w:rsidR="0070645E" w:rsidRPr="002A6CF0" w:rsidRDefault="0070645E" w:rsidP="000803A0">
      <w:pPr>
        <w:pStyle w:val="BodyText"/>
        <w:jc w:val="both"/>
        <w:rPr>
          <w:rFonts w:ascii="Times New Roman" w:hAnsi="Times New Roman" w:cs="Times New Roman"/>
          <w:bCs/>
          <w:sz w:val="24"/>
          <w:szCs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4230"/>
        <w:gridCol w:w="2970"/>
        <w:gridCol w:w="1890"/>
      </w:tblGrid>
      <w:tr w:rsidR="0028595B" w:rsidRPr="002A6CF0" w:rsidTr="00A51AF6">
        <w:tc>
          <w:tcPr>
            <w:tcW w:w="6030" w:type="dxa"/>
            <w:tcBorders>
              <w:bottom w:val="single" w:sz="4" w:space="0" w:color="000000"/>
            </w:tcBorders>
            <w:shd w:val="clear" w:color="auto" w:fill="auto"/>
          </w:tcPr>
          <w:p w:rsidR="0028595B" w:rsidRPr="0064485B" w:rsidRDefault="0028595B" w:rsidP="0028595B">
            <w:pPr>
              <w:pStyle w:val="BodyText"/>
              <w:jc w:val="both"/>
              <w:rPr>
                <w:rFonts w:ascii="Times New Roman" w:hAnsi="Times New Roman" w:cs="Times New Roman"/>
                <w:b/>
                <w:bCs/>
                <w:sz w:val="24"/>
                <w:szCs w:val="24"/>
              </w:rPr>
            </w:pPr>
            <w:r w:rsidRPr="0064485B">
              <w:rPr>
                <w:rFonts w:ascii="Times New Roman" w:hAnsi="Times New Roman" w:cs="Times New Roman"/>
                <w:b/>
                <w:bCs/>
                <w:sz w:val="24"/>
                <w:szCs w:val="24"/>
              </w:rPr>
              <w:t>Strategic outcome:</w:t>
            </w:r>
          </w:p>
        </w:tc>
        <w:tc>
          <w:tcPr>
            <w:tcW w:w="9090" w:type="dxa"/>
            <w:gridSpan w:val="3"/>
            <w:tcBorders>
              <w:bottom w:val="single" w:sz="4" w:space="0" w:color="000000"/>
            </w:tcBorders>
            <w:shd w:val="clear" w:color="auto" w:fill="auto"/>
          </w:tcPr>
          <w:p w:rsidR="0028595B" w:rsidRPr="002A6CF0" w:rsidRDefault="0064485B" w:rsidP="006C78B5">
            <w:pPr>
              <w:rPr>
                <w:b/>
              </w:rPr>
            </w:pPr>
            <w:r w:rsidRPr="002A6CF0">
              <w:rPr>
                <w:bCs/>
                <w:iCs/>
                <w:spacing w:val="-2"/>
              </w:rPr>
              <w:t>Political, civil society and governmental actors have helped prevent conflict and consolidate the peace through developing, applying and sustaining capacities of collaborative leadership, dialogue and conflict sensitivity</w:t>
            </w:r>
          </w:p>
        </w:tc>
      </w:tr>
      <w:tr w:rsidR="002F626C" w:rsidRPr="002A6CF0" w:rsidTr="006C78B5">
        <w:tc>
          <w:tcPr>
            <w:tcW w:w="6030" w:type="dxa"/>
            <w:tcBorders>
              <w:bottom w:val="single" w:sz="4" w:space="0" w:color="000000"/>
            </w:tcBorders>
            <w:shd w:val="clear" w:color="auto" w:fill="auto"/>
          </w:tcPr>
          <w:p w:rsidR="008375DF" w:rsidRPr="002A6CF0" w:rsidRDefault="008375DF" w:rsidP="008D685F">
            <w:pPr>
              <w:pStyle w:val="BodyText"/>
              <w:jc w:val="both"/>
              <w:rPr>
                <w:rFonts w:ascii="Times New Roman" w:hAnsi="Times New Roman" w:cs="Times New Roman"/>
                <w:bCs/>
                <w:sz w:val="24"/>
                <w:szCs w:val="24"/>
              </w:rPr>
            </w:pPr>
          </w:p>
        </w:tc>
        <w:tc>
          <w:tcPr>
            <w:tcW w:w="4230" w:type="dxa"/>
            <w:tcBorders>
              <w:bottom w:val="single" w:sz="4" w:space="0" w:color="000000"/>
            </w:tcBorders>
            <w:shd w:val="clear" w:color="auto" w:fill="auto"/>
          </w:tcPr>
          <w:p w:rsidR="008375DF" w:rsidRPr="002A6CF0" w:rsidRDefault="008375DF" w:rsidP="00A51AF6">
            <w:pPr>
              <w:jc w:val="center"/>
              <w:rPr>
                <w:b/>
              </w:rPr>
            </w:pPr>
            <w:r w:rsidRPr="002A6CF0">
              <w:rPr>
                <w:b/>
                <w:u w:val="single"/>
              </w:rPr>
              <w:t>Achieved</w:t>
            </w:r>
            <w:r w:rsidRPr="002A6CF0">
              <w:rPr>
                <w:b/>
              </w:rPr>
              <w:t xml:space="preserve"> Indicator Targets</w:t>
            </w:r>
          </w:p>
        </w:tc>
        <w:tc>
          <w:tcPr>
            <w:tcW w:w="2970" w:type="dxa"/>
            <w:tcBorders>
              <w:bottom w:val="single" w:sz="4" w:space="0" w:color="000000"/>
            </w:tcBorders>
            <w:shd w:val="clear" w:color="auto" w:fill="auto"/>
          </w:tcPr>
          <w:p w:rsidR="008375DF" w:rsidRPr="002A6CF0" w:rsidRDefault="008375DF" w:rsidP="00A51AF6">
            <w:pPr>
              <w:jc w:val="center"/>
              <w:rPr>
                <w:b/>
              </w:rPr>
            </w:pPr>
            <w:r w:rsidRPr="002A6CF0">
              <w:rPr>
                <w:b/>
              </w:rPr>
              <w:t>Reasons for Variance with Planned Target (if any)</w:t>
            </w:r>
          </w:p>
        </w:tc>
        <w:tc>
          <w:tcPr>
            <w:tcW w:w="1890" w:type="dxa"/>
            <w:tcBorders>
              <w:bottom w:val="single" w:sz="4" w:space="0" w:color="000000"/>
            </w:tcBorders>
            <w:shd w:val="clear" w:color="auto" w:fill="auto"/>
          </w:tcPr>
          <w:p w:rsidR="008375DF" w:rsidRPr="002A6CF0" w:rsidRDefault="008375DF" w:rsidP="00A51AF6">
            <w:pPr>
              <w:jc w:val="center"/>
              <w:rPr>
                <w:b/>
              </w:rPr>
            </w:pPr>
            <w:r w:rsidRPr="002A6CF0">
              <w:rPr>
                <w:b/>
              </w:rPr>
              <w:t>Source of Verification</w:t>
            </w:r>
          </w:p>
        </w:tc>
      </w:tr>
      <w:tr w:rsidR="00375B49" w:rsidRPr="002A6CF0" w:rsidTr="006C78B5">
        <w:trPr>
          <w:trHeight w:val="1470"/>
        </w:trPr>
        <w:tc>
          <w:tcPr>
            <w:tcW w:w="6030" w:type="dxa"/>
            <w:tcBorders>
              <w:top w:val="single" w:sz="4" w:space="0" w:color="auto"/>
              <w:left w:val="single" w:sz="4" w:space="0" w:color="auto"/>
              <w:bottom w:val="nil"/>
              <w:right w:val="single" w:sz="4" w:space="0" w:color="auto"/>
            </w:tcBorders>
            <w:shd w:val="clear" w:color="auto" w:fill="auto"/>
          </w:tcPr>
          <w:p w:rsidR="008375DF" w:rsidRDefault="008375DF" w:rsidP="008375DF">
            <w:pPr>
              <w:pStyle w:val="ListParagraph"/>
              <w:tabs>
                <w:tab w:val="left" w:pos="252"/>
              </w:tabs>
              <w:ind w:left="0"/>
              <w:contextualSpacing w:val="0"/>
            </w:pPr>
            <w:r w:rsidRPr="002A6CF0">
              <w:rPr>
                <w:b/>
              </w:rPr>
              <w:t>Output 1</w:t>
            </w:r>
            <w:r>
              <w:rPr>
                <w:b/>
              </w:rPr>
              <w:t xml:space="preserve"> </w:t>
            </w:r>
            <w:r w:rsidRPr="002A6CF0">
              <w:t>Local level leaders (civil society, political and governmental) have prevented and mitigated conflict/tension and established/</w:t>
            </w:r>
            <w:r w:rsidR="00375B49">
              <w:t xml:space="preserve"> </w:t>
            </w:r>
            <w:r w:rsidRPr="002A6CF0">
              <w:t>implemented joint socio-political and developmental visions, programmes and agendas through dialogue</w:t>
            </w:r>
          </w:p>
          <w:p w:rsidR="005D328C" w:rsidRDefault="005D328C" w:rsidP="005D328C">
            <w:pPr>
              <w:pStyle w:val="ListParagraph"/>
              <w:spacing w:line="276" w:lineRule="auto"/>
              <w:ind w:left="0"/>
              <w:rPr>
                <w:b/>
              </w:rPr>
            </w:pPr>
          </w:p>
          <w:p w:rsidR="005D328C" w:rsidRPr="00375B49" w:rsidRDefault="005D328C" w:rsidP="005D328C">
            <w:pPr>
              <w:pStyle w:val="ListParagraph"/>
              <w:spacing w:line="276" w:lineRule="auto"/>
              <w:ind w:left="0"/>
            </w:pPr>
            <w:r w:rsidRPr="002A6CF0">
              <w:rPr>
                <w:b/>
              </w:rPr>
              <w:t>Indicator 1.1.</w:t>
            </w:r>
            <w:r w:rsidRPr="00375B49">
              <w:t># of leaders that operate with dialogue as a preferred leadership skill set (political, government and civil society)</w:t>
            </w:r>
          </w:p>
          <w:p w:rsidR="005D328C" w:rsidRDefault="005D328C" w:rsidP="005D328C">
            <w:pPr>
              <w:rPr>
                <w:b/>
              </w:rPr>
            </w:pPr>
          </w:p>
          <w:p w:rsidR="005D328C" w:rsidRPr="00375B49" w:rsidRDefault="005D328C" w:rsidP="005D328C">
            <w:pPr>
              <w:rPr>
                <w:b/>
              </w:rPr>
            </w:pPr>
            <w:r w:rsidRPr="002A6CF0">
              <w:rPr>
                <w:b/>
              </w:rPr>
              <w:t>Planned Target:</w:t>
            </w:r>
            <w:r w:rsidRPr="002A6CF0">
              <w:rPr>
                <w:i/>
              </w:rPr>
              <w:t xml:space="preserve"> </w:t>
            </w:r>
            <w:r w:rsidRPr="00375B49">
              <w:t>300 leaders exposed to dialogue as a leadership skill set</w:t>
            </w:r>
          </w:p>
          <w:p w:rsidR="008375DF" w:rsidRPr="008375DF" w:rsidRDefault="008375DF" w:rsidP="008375DF">
            <w:pPr>
              <w:pStyle w:val="ListParagraph"/>
              <w:tabs>
                <w:tab w:val="left" w:pos="252"/>
              </w:tabs>
              <w:ind w:left="0"/>
              <w:contextualSpacing w:val="0"/>
            </w:pPr>
          </w:p>
        </w:tc>
        <w:tc>
          <w:tcPr>
            <w:tcW w:w="4230" w:type="dxa"/>
            <w:tcBorders>
              <w:top w:val="single" w:sz="4" w:space="0" w:color="auto"/>
              <w:left w:val="single" w:sz="4" w:space="0" w:color="auto"/>
              <w:bottom w:val="nil"/>
              <w:right w:val="single" w:sz="4" w:space="0" w:color="auto"/>
            </w:tcBorders>
            <w:shd w:val="clear" w:color="auto" w:fill="auto"/>
          </w:tcPr>
          <w:p w:rsidR="008375DF" w:rsidRPr="005D328C" w:rsidRDefault="00B55670" w:rsidP="00B10BA7">
            <w:pPr>
              <w:pStyle w:val="BodyText"/>
              <w:jc w:val="both"/>
              <w:rPr>
                <w:rFonts w:ascii="Times New Roman" w:hAnsi="Times New Roman" w:cs="Times New Roman"/>
                <w:bCs/>
                <w:sz w:val="24"/>
                <w:szCs w:val="24"/>
              </w:rPr>
            </w:pPr>
            <w:r w:rsidRPr="005D328C">
              <w:rPr>
                <w:rFonts w:ascii="Times New Roman" w:hAnsi="Times New Roman" w:cs="Times New Roman"/>
                <w:i/>
                <w:sz w:val="24"/>
                <w:szCs w:val="24"/>
              </w:rPr>
              <w:t>6</w:t>
            </w:r>
            <w:r w:rsidR="00B10BA7">
              <w:rPr>
                <w:rFonts w:ascii="Times New Roman" w:hAnsi="Times New Roman" w:cs="Times New Roman"/>
                <w:i/>
                <w:sz w:val="24"/>
                <w:szCs w:val="24"/>
              </w:rPr>
              <w:t>48</w:t>
            </w:r>
            <w:r w:rsidR="00127DC7">
              <w:rPr>
                <w:rFonts w:ascii="Times New Roman" w:hAnsi="Times New Roman" w:cs="Times New Roman"/>
                <w:i/>
                <w:sz w:val="24"/>
                <w:szCs w:val="24"/>
              </w:rPr>
              <w:t xml:space="preserve"> </w:t>
            </w:r>
            <w:r w:rsidRPr="005D328C">
              <w:rPr>
                <w:rFonts w:ascii="Times New Roman" w:hAnsi="Times New Roman" w:cs="Times New Roman"/>
                <w:i/>
                <w:sz w:val="24"/>
                <w:szCs w:val="24"/>
              </w:rPr>
              <w:t xml:space="preserve">political, civic including media and government leaders have been exposed to CLD and have participated in 2 /3 day workshops on CLD. Most of the graduates of CLD training programmes speak effusively about the importance of dialogue tools and approaches. It has become a widely accepted notion that consensus-building through dialogue stands as the preferred option for dealing with differences.  It bears mention that confrontation and violence, to date, have not been promoted by most leaders as a valid means to resolving current problems. </w:t>
            </w:r>
          </w:p>
        </w:tc>
        <w:tc>
          <w:tcPr>
            <w:tcW w:w="2970" w:type="dxa"/>
            <w:tcBorders>
              <w:top w:val="single" w:sz="4" w:space="0" w:color="auto"/>
              <w:left w:val="single" w:sz="4" w:space="0" w:color="auto"/>
              <w:bottom w:val="nil"/>
              <w:right w:val="single" w:sz="4" w:space="0" w:color="auto"/>
            </w:tcBorders>
            <w:shd w:val="clear" w:color="auto" w:fill="auto"/>
          </w:tcPr>
          <w:p w:rsidR="008375DF" w:rsidRPr="002A6CF0" w:rsidRDefault="005D328C" w:rsidP="008D685F">
            <w:pPr>
              <w:pStyle w:val="BodyText"/>
              <w:jc w:val="both"/>
              <w:rPr>
                <w:rFonts w:ascii="Times New Roman" w:hAnsi="Times New Roman" w:cs="Times New Roman"/>
                <w:bCs/>
                <w:sz w:val="24"/>
                <w:szCs w:val="24"/>
              </w:rPr>
            </w:pPr>
            <w:r w:rsidRPr="005D4D4D">
              <w:rPr>
                <w:rFonts w:ascii="Times New Roman" w:hAnsi="Times New Roman" w:cs="Times New Roman"/>
                <w:bCs/>
                <w:i/>
                <w:sz w:val="24"/>
                <w:szCs w:val="24"/>
              </w:rPr>
              <w:t xml:space="preserve">Due to higher demand </w:t>
            </w:r>
            <w:r>
              <w:rPr>
                <w:rFonts w:ascii="Times New Roman" w:hAnsi="Times New Roman" w:cs="Times New Roman"/>
                <w:bCs/>
                <w:i/>
                <w:sz w:val="24"/>
                <w:szCs w:val="24"/>
              </w:rPr>
              <w:t xml:space="preserve">for </w:t>
            </w:r>
            <w:r w:rsidRPr="005D4D4D">
              <w:rPr>
                <w:rFonts w:ascii="Times New Roman" w:hAnsi="Times New Roman" w:cs="Times New Roman"/>
                <w:bCs/>
                <w:i/>
                <w:sz w:val="24"/>
                <w:szCs w:val="24"/>
              </w:rPr>
              <w:t>the program</w:t>
            </w:r>
            <w:r>
              <w:rPr>
                <w:rFonts w:ascii="Times New Roman" w:hAnsi="Times New Roman" w:cs="Times New Roman"/>
                <w:bCs/>
                <w:i/>
                <w:sz w:val="24"/>
                <w:szCs w:val="24"/>
              </w:rPr>
              <w:t>me’s support</w:t>
            </w:r>
            <w:r w:rsidRPr="005D4D4D">
              <w:rPr>
                <w:rFonts w:ascii="Times New Roman" w:hAnsi="Times New Roman" w:cs="Times New Roman"/>
                <w:bCs/>
                <w:i/>
                <w:sz w:val="24"/>
                <w:szCs w:val="24"/>
              </w:rPr>
              <w:t xml:space="preserve"> the number of leaders trained </w:t>
            </w:r>
            <w:r>
              <w:rPr>
                <w:rFonts w:ascii="Times New Roman" w:hAnsi="Times New Roman" w:cs="Times New Roman"/>
                <w:bCs/>
                <w:i/>
                <w:sz w:val="24"/>
                <w:szCs w:val="24"/>
              </w:rPr>
              <w:t>on CLD</w:t>
            </w:r>
            <w:r w:rsidRPr="005D4D4D">
              <w:rPr>
                <w:rFonts w:ascii="Times New Roman" w:hAnsi="Times New Roman" w:cs="Times New Roman"/>
                <w:bCs/>
                <w:i/>
                <w:sz w:val="24"/>
                <w:szCs w:val="24"/>
              </w:rPr>
              <w:t xml:space="preserve"> is higher than plan</w:t>
            </w:r>
            <w:r>
              <w:rPr>
                <w:rFonts w:ascii="Times New Roman" w:hAnsi="Times New Roman" w:cs="Times New Roman"/>
                <w:bCs/>
                <w:i/>
                <w:sz w:val="24"/>
                <w:szCs w:val="24"/>
              </w:rPr>
              <w:t>ned</w:t>
            </w:r>
          </w:p>
        </w:tc>
        <w:tc>
          <w:tcPr>
            <w:tcW w:w="1890" w:type="dxa"/>
            <w:tcBorders>
              <w:top w:val="single" w:sz="4" w:space="0" w:color="auto"/>
              <w:left w:val="single" w:sz="4" w:space="0" w:color="auto"/>
              <w:bottom w:val="nil"/>
              <w:right w:val="single" w:sz="4" w:space="0" w:color="auto"/>
            </w:tcBorders>
            <w:shd w:val="clear" w:color="auto" w:fill="auto"/>
          </w:tcPr>
          <w:p w:rsidR="008375DF" w:rsidRPr="002A6CF0" w:rsidRDefault="005D328C" w:rsidP="008D685F">
            <w:pPr>
              <w:pStyle w:val="BodyText"/>
              <w:jc w:val="both"/>
              <w:rPr>
                <w:rFonts w:ascii="Times New Roman" w:hAnsi="Times New Roman" w:cs="Times New Roman"/>
                <w:bCs/>
                <w:sz w:val="24"/>
                <w:szCs w:val="24"/>
              </w:rPr>
            </w:pPr>
            <w:r w:rsidRPr="005D4D4D">
              <w:rPr>
                <w:rFonts w:ascii="Times New Roman" w:hAnsi="Times New Roman" w:cs="Times New Roman"/>
                <w:bCs/>
                <w:i/>
                <w:sz w:val="24"/>
                <w:szCs w:val="24"/>
              </w:rPr>
              <w:t>List of training participants of 2 and 3 days   CLD introductory training</w:t>
            </w:r>
          </w:p>
        </w:tc>
      </w:tr>
      <w:tr w:rsidR="00375B49" w:rsidRPr="002A6CF0" w:rsidTr="005D328C">
        <w:trPr>
          <w:trHeight w:val="75"/>
        </w:trPr>
        <w:tc>
          <w:tcPr>
            <w:tcW w:w="6030" w:type="dxa"/>
            <w:tcBorders>
              <w:top w:val="nil"/>
              <w:left w:val="single" w:sz="4" w:space="0" w:color="auto"/>
              <w:bottom w:val="single" w:sz="4" w:space="0" w:color="auto"/>
              <w:right w:val="single" w:sz="4" w:space="0" w:color="auto"/>
            </w:tcBorders>
            <w:shd w:val="clear" w:color="auto" w:fill="auto"/>
          </w:tcPr>
          <w:p w:rsidR="008375DF" w:rsidRPr="002A6CF0" w:rsidRDefault="008375DF" w:rsidP="005D328C">
            <w:pPr>
              <w:rPr>
                <w:bCs/>
              </w:rPr>
            </w:pPr>
          </w:p>
        </w:tc>
        <w:tc>
          <w:tcPr>
            <w:tcW w:w="4230" w:type="dxa"/>
            <w:tcBorders>
              <w:top w:val="nil"/>
              <w:left w:val="single" w:sz="4" w:space="0" w:color="auto"/>
              <w:bottom w:val="single" w:sz="4" w:space="0" w:color="auto"/>
              <w:right w:val="single" w:sz="4" w:space="0" w:color="auto"/>
            </w:tcBorders>
            <w:shd w:val="clear" w:color="auto" w:fill="auto"/>
          </w:tcPr>
          <w:p w:rsidR="008375DF" w:rsidRPr="002A6CF0" w:rsidRDefault="008375DF" w:rsidP="005D328C">
            <w:pPr>
              <w:pStyle w:val="ListParagraph"/>
              <w:spacing w:line="276" w:lineRule="auto"/>
              <w:ind w:left="0"/>
              <w:rPr>
                <w:bCs/>
              </w:rPr>
            </w:pPr>
          </w:p>
        </w:tc>
        <w:tc>
          <w:tcPr>
            <w:tcW w:w="2970" w:type="dxa"/>
            <w:tcBorders>
              <w:top w:val="nil"/>
              <w:left w:val="single" w:sz="4" w:space="0" w:color="auto"/>
              <w:bottom w:val="single" w:sz="4" w:space="0" w:color="auto"/>
              <w:right w:val="single" w:sz="4" w:space="0" w:color="auto"/>
            </w:tcBorders>
            <w:shd w:val="clear" w:color="auto" w:fill="auto"/>
          </w:tcPr>
          <w:p w:rsidR="008375DF" w:rsidRPr="005D4D4D" w:rsidRDefault="008375DF" w:rsidP="00A26472">
            <w:pPr>
              <w:pStyle w:val="BodyText"/>
              <w:jc w:val="both"/>
              <w:rPr>
                <w:rFonts w:ascii="Times New Roman" w:hAnsi="Times New Roman" w:cs="Times New Roman"/>
                <w:bCs/>
                <w:i/>
                <w:sz w:val="24"/>
                <w:szCs w:val="24"/>
              </w:rPr>
            </w:pPr>
          </w:p>
        </w:tc>
        <w:tc>
          <w:tcPr>
            <w:tcW w:w="1890" w:type="dxa"/>
            <w:tcBorders>
              <w:top w:val="nil"/>
              <w:left w:val="single" w:sz="4" w:space="0" w:color="auto"/>
              <w:bottom w:val="single" w:sz="4" w:space="0" w:color="auto"/>
              <w:right w:val="single" w:sz="4" w:space="0" w:color="auto"/>
            </w:tcBorders>
            <w:shd w:val="clear" w:color="auto" w:fill="auto"/>
          </w:tcPr>
          <w:p w:rsidR="008375DF" w:rsidRPr="005D4D4D" w:rsidRDefault="008375DF" w:rsidP="008D685F">
            <w:pPr>
              <w:pStyle w:val="BodyText"/>
              <w:jc w:val="both"/>
              <w:rPr>
                <w:rFonts w:ascii="Times New Roman" w:hAnsi="Times New Roman" w:cs="Times New Roman"/>
                <w:bCs/>
                <w:i/>
                <w:sz w:val="24"/>
                <w:szCs w:val="24"/>
              </w:rPr>
            </w:pPr>
          </w:p>
        </w:tc>
      </w:tr>
      <w:tr w:rsidR="002F626C" w:rsidRPr="002A6CF0" w:rsidTr="006C78B5">
        <w:trPr>
          <w:trHeight w:val="1322"/>
        </w:trPr>
        <w:tc>
          <w:tcPr>
            <w:tcW w:w="6030" w:type="dxa"/>
            <w:tcBorders>
              <w:top w:val="single" w:sz="4" w:space="0" w:color="auto"/>
              <w:left w:val="single" w:sz="4" w:space="0" w:color="auto"/>
              <w:bottom w:val="nil"/>
              <w:right w:val="single" w:sz="4" w:space="0" w:color="auto"/>
            </w:tcBorders>
            <w:shd w:val="clear" w:color="auto" w:fill="auto"/>
          </w:tcPr>
          <w:p w:rsidR="008375DF" w:rsidRDefault="008375DF" w:rsidP="007678A1">
            <w:pPr>
              <w:pStyle w:val="ListParagraph"/>
              <w:spacing w:line="276" w:lineRule="auto"/>
              <w:ind w:left="0"/>
            </w:pPr>
            <w:r w:rsidRPr="002A6CF0">
              <w:rPr>
                <w:b/>
              </w:rPr>
              <w:t>Output 2</w:t>
            </w:r>
            <w:r w:rsidRPr="002A6CF0">
              <w:t xml:space="preserve">  National level leaders (civil society, political and governmental) have collaboratively established and implemented policies, programmes and shared agendas on critical issues to consolidate the peace and prevent conflict</w:t>
            </w:r>
          </w:p>
          <w:p w:rsidR="00C25BEC" w:rsidRDefault="00C25BEC" w:rsidP="00C25BEC">
            <w:pPr>
              <w:pStyle w:val="ListParagraph"/>
              <w:spacing w:line="276" w:lineRule="auto"/>
              <w:ind w:left="0"/>
              <w:rPr>
                <w:b/>
              </w:rPr>
            </w:pPr>
          </w:p>
          <w:p w:rsidR="00C25BEC" w:rsidRPr="002A6CF0" w:rsidRDefault="00C25BEC" w:rsidP="00C25BEC">
            <w:pPr>
              <w:pStyle w:val="ListParagraph"/>
              <w:spacing w:line="276" w:lineRule="auto"/>
              <w:ind w:left="0"/>
              <w:rPr>
                <w:i/>
              </w:rPr>
            </w:pPr>
            <w:r w:rsidRPr="002A6CF0">
              <w:rPr>
                <w:b/>
              </w:rPr>
              <w:t xml:space="preserve">Indicator  2.1 </w:t>
            </w:r>
            <w:r w:rsidRPr="008375DF">
              <w:t># of trainers and facilitators at the national and local levels that are able to apply skills to specific issues</w:t>
            </w:r>
          </w:p>
          <w:p w:rsidR="00C25BEC" w:rsidRDefault="00C25BEC" w:rsidP="000A5666">
            <w:pPr>
              <w:rPr>
                <w:b/>
              </w:rPr>
            </w:pPr>
          </w:p>
          <w:p w:rsidR="008375DF" w:rsidRPr="000A5666" w:rsidRDefault="00C25BEC" w:rsidP="000A5666">
            <w:r w:rsidRPr="000A5666">
              <w:rPr>
                <w:b/>
              </w:rPr>
              <w:t>Planned Target:</w:t>
            </w:r>
            <w:r w:rsidRPr="002A6CF0">
              <w:t xml:space="preserve"> 40 trainers/ facilitators developed on CLD</w:t>
            </w:r>
          </w:p>
        </w:tc>
        <w:tc>
          <w:tcPr>
            <w:tcW w:w="4230" w:type="dxa"/>
            <w:tcBorders>
              <w:top w:val="single" w:sz="4" w:space="0" w:color="auto"/>
              <w:left w:val="single" w:sz="4" w:space="0" w:color="auto"/>
              <w:bottom w:val="nil"/>
              <w:right w:val="single" w:sz="4" w:space="0" w:color="auto"/>
            </w:tcBorders>
            <w:shd w:val="clear" w:color="auto" w:fill="auto"/>
          </w:tcPr>
          <w:p w:rsidR="005D328C" w:rsidRPr="002A6CF0" w:rsidRDefault="005D328C" w:rsidP="005D328C">
            <w:pPr>
              <w:pStyle w:val="ListParagraph"/>
              <w:spacing w:line="276" w:lineRule="auto"/>
              <w:ind w:left="0"/>
              <w:rPr>
                <w:i/>
              </w:rPr>
            </w:pPr>
            <w:r w:rsidRPr="002A6CF0">
              <w:rPr>
                <w:i/>
              </w:rPr>
              <w:t>62 trainers and facilitators developed at the national and local levels that are able to apply skills to specific issues.</w:t>
            </w:r>
          </w:p>
          <w:p w:rsidR="005D328C" w:rsidRDefault="005D328C" w:rsidP="005D328C">
            <w:pPr>
              <w:pStyle w:val="ListParagraph"/>
              <w:spacing w:line="276" w:lineRule="auto"/>
              <w:ind w:left="0"/>
              <w:rPr>
                <w:i/>
              </w:rPr>
            </w:pPr>
          </w:p>
          <w:p w:rsidR="00C25BEC" w:rsidRDefault="00C25BEC" w:rsidP="00C25BEC">
            <w:pPr>
              <w:pStyle w:val="ListParagraph"/>
              <w:ind w:left="0"/>
              <w:rPr>
                <w:i/>
              </w:rPr>
            </w:pPr>
          </w:p>
          <w:p w:rsidR="00C25BEC" w:rsidRPr="008375DF" w:rsidRDefault="00C25BEC" w:rsidP="00C25BEC">
            <w:pPr>
              <w:pStyle w:val="ListParagraph"/>
              <w:spacing w:line="276" w:lineRule="auto"/>
              <w:ind w:left="0"/>
            </w:pPr>
            <w:r>
              <w:rPr>
                <w:i/>
              </w:rPr>
              <w:t>Six</w:t>
            </w:r>
            <w:r w:rsidRPr="002A6CF0">
              <w:rPr>
                <w:i/>
              </w:rPr>
              <w:t xml:space="preserve"> government agencies</w:t>
            </w:r>
            <w:r>
              <w:rPr>
                <w:i/>
              </w:rPr>
              <w:t>, seven</w:t>
            </w:r>
            <w:r w:rsidRPr="002A6CF0">
              <w:rPr>
                <w:i/>
              </w:rPr>
              <w:t xml:space="preserve"> political parties at the central level, 22 political parties at the local levels, 10 youth wings of political parties, 10 student wings of political parties</w:t>
            </w:r>
            <w:r>
              <w:rPr>
                <w:i/>
              </w:rPr>
              <w:t xml:space="preserve"> participated in </w:t>
            </w:r>
            <w:r w:rsidRPr="002A6CF0">
              <w:rPr>
                <w:i/>
              </w:rPr>
              <w:t>CLD workshops</w:t>
            </w:r>
          </w:p>
        </w:tc>
        <w:tc>
          <w:tcPr>
            <w:tcW w:w="2970" w:type="dxa"/>
            <w:tcBorders>
              <w:top w:val="single" w:sz="4" w:space="0" w:color="auto"/>
              <w:left w:val="single" w:sz="4" w:space="0" w:color="auto"/>
              <w:bottom w:val="nil"/>
              <w:right w:val="single" w:sz="4" w:space="0" w:color="auto"/>
            </w:tcBorders>
            <w:shd w:val="clear" w:color="auto" w:fill="auto"/>
          </w:tcPr>
          <w:p w:rsidR="008375DF" w:rsidRPr="005D4D4D" w:rsidRDefault="005D328C" w:rsidP="00BC2F04">
            <w:pPr>
              <w:pStyle w:val="BodyText"/>
              <w:jc w:val="both"/>
              <w:rPr>
                <w:rFonts w:ascii="Times New Roman" w:hAnsi="Times New Roman" w:cs="Times New Roman"/>
                <w:bCs/>
                <w:i/>
                <w:sz w:val="24"/>
                <w:szCs w:val="24"/>
              </w:rPr>
            </w:pPr>
            <w:r w:rsidRPr="005D4D4D">
              <w:rPr>
                <w:rFonts w:ascii="Times New Roman" w:hAnsi="Times New Roman" w:cs="Times New Roman"/>
                <w:bCs/>
                <w:i/>
                <w:sz w:val="24"/>
                <w:szCs w:val="24"/>
              </w:rPr>
              <w:t xml:space="preserve">Due to </w:t>
            </w:r>
            <w:r>
              <w:rPr>
                <w:rFonts w:ascii="Times New Roman" w:hAnsi="Times New Roman" w:cs="Times New Roman"/>
                <w:bCs/>
                <w:i/>
                <w:sz w:val="24"/>
                <w:szCs w:val="24"/>
              </w:rPr>
              <w:t xml:space="preserve">higher demand at </w:t>
            </w:r>
            <w:r w:rsidRPr="005D4D4D">
              <w:rPr>
                <w:rFonts w:ascii="Times New Roman" w:hAnsi="Times New Roman" w:cs="Times New Roman"/>
                <w:bCs/>
                <w:i/>
                <w:sz w:val="24"/>
                <w:szCs w:val="24"/>
              </w:rPr>
              <w:t>different level</w:t>
            </w:r>
            <w:r>
              <w:rPr>
                <w:rFonts w:ascii="Times New Roman" w:hAnsi="Times New Roman" w:cs="Times New Roman"/>
                <w:bCs/>
                <w:i/>
                <w:sz w:val="24"/>
                <w:szCs w:val="24"/>
              </w:rPr>
              <w:t xml:space="preserve">s (national/local) </w:t>
            </w:r>
            <w:r w:rsidRPr="005D4D4D">
              <w:rPr>
                <w:rFonts w:ascii="Times New Roman" w:hAnsi="Times New Roman" w:cs="Times New Roman"/>
                <w:bCs/>
                <w:i/>
                <w:sz w:val="24"/>
                <w:szCs w:val="24"/>
              </w:rPr>
              <w:t>of trainer</w:t>
            </w:r>
            <w:r>
              <w:rPr>
                <w:rFonts w:ascii="Times New Roman" w:hAnsi="Times New Roman" w:cs="Times New Roman"/>
                <w:bCs/>
                <w:i/>
                <w:sz w:val="24"/>
                <w:szCs w:val="24"/>
              </w:rPr>
              <w:t>s</w:t>
            </w:r>
            <w:r w:rsidRPr="005D4D4D">
              <w:rPr>
                <w:rFonts w:ascii="Times New Roman" w:hAnsi="Times New Roman" w:cs="Times New Roman"/>
                <w:bCs/>
                <w:i/>
                <w:sz w:val="24"/>
                <w:szCs w:val="24"/>
              </w:rPr>
              <w:t xml:space="preserve"> as well as facilitator</w:t>
            </w:r>
            <w:r>
              <w:rPr>
                <w:rFonts w:ascii="Times New Roman" w:hAnsi="Times New Roman" w:cs="Times New Roman"/>
                <w:bCs/>
                <w:i/>
                <w:sz w:val="24"/>
                <w:szCs w:val="24"/>
              </w:rPr>
              <w:t>s</w:t>
            </w:r>
          </w:p>
        </w:tc>
        <w:tc>
          <w:tcPr>
            <w:tcW w:w="1890" w:type="dxa"/>
            <w:tcBorders>
              <w:top w:val="single" w:sz="4" w:space="0" w:color="auto"/>
              <w:left w:val="single" w:sz="4" w:space="0" w:color="auto"/>
              <w:bottom w:val="nil"/>
              <w:right w:val="single" w:sz="4" w:space="0" w:color="auto"/>
            </w:tcBorders>
            <w:shd w:val="clear" w:color="auto" w:fill="auto"/>
          </w:tcPr>
          <w:p w:rsidR="008375DF" w:rsidRPr="005D4D4D" w:rsidRDefault="005D328C" w:rsidP="008D685F">
            <w:pPr>
              <w:pStyle w:val="BodyText"/>
              <w:jc w:val="both"/>
              <w:rPr>
                <w:rFonts w:ascii="Times New Roman" w:hAnsi="Times New Roman" w:cs="Times New Roman"/>
                <w:bCs/>
                <w:i/>
                <w:sz w:val="24"/>
                <w:szCs w:val="24"/>
              </w:rPr>
            </w:pPr>
            <w:r>
              <w:rPr>
                <w:rFonts w:ascii="Times New Roman" w:hAnsi="Times New Roman" w:cs="Times New Roman"/>
                <w:bCs/>
                <w:i/>
                <w:sz w:val="24"/>
                <w:szCs w:val="24"/>
              </w:rPr>
              <w:t>Lists of p</w:t>
            </w:r>
            <w:r w:rsidRPr="005D4D4D">
              <w:rPr>
                <w:rFonts w:ascii="Times New Roman" w:hAnsi="Times New Roman" w:cs="Times New Roman"/>
                <w:bCs/>
                <w:i/>
                <w:sz w:val="24"/>
                <w:szCs w:val="24"/>
              </w:rPr>
              <w:t>articipants</w:t>
            </w:r>
          </w:p>
        </w:tc>
      </w:tr>
      <w:tr w:rsidR="00375B49" w:rsidRPr="002A6CF0" w:rsidTr="00C25BEC">
        <w:trPr>
          <w:trHeight w:val="75"/>
        </w:trPr>
        <w:tc>
          <w:tcPr>
            <w:tcW w:w="6030" w:type="dxa"/>
            <w:tcBorders>
              <w:top w:val="nil"/>
              <w:left w:val="single" w:sz="4" w:space="0" w:color="auto"/>
              <w:bottom w:val="single" w:sz="4" w:space="0" w:color="auto"/>
              <w:right w:val="single" w:sz="4" w:space="0" w:color="auto"/>
            </w:tcBorders>
            <w:shd w:val="clear" w:color="auto" w:fill="auto"/>
          </w:tcPr>
          <w:p w:rsidR="008375DF" w:rsidRPr="002A6CF0" w:rsidRDefault="008375DF" w:rsidP="008375DF">
            <w:pPr>
              <w:pStyle w:val="ListParagraph"/>
              <w:spacing w:line="276" w:lineRule="auto"/>
              <w:ind w:left="0"/>
              <w:rPr>
                <w:b/>
              </w:rPr>
            </w:pPr>
          </w:p>
        </w:tc>
        <w:tc>
          <w:tcPr>
            <w:tcW w:w="4230" w:type="dxa"/>
            <w:tcBorders>
              <w:top w:val="nil"/>
              <w:left w:val="single" w:sz="4" w:space="0" w:color="auto"/>
              <w:bottom w:val="single" w:sz="4" w:space="0" w:color="auto"/>
              <w:right w:val="single" w:sz="4" w:space="0" w:color="auto"/>
            </w:tcBorders>
            <w:shd w:val="clear" w:color="auto" w:fill="auto"/>
          </w:tcPr>
          <w:p w:rsidR="008375DF" w:rsidRPr="002A6CF0" w:rsidRDefault="008375DF" w:rsidP="005D328C">
            <w:pPr>
              <w:pStyle w:val="ListParagraph"/>
              <w:spacing w:line="276" w:lineRule="auto"/>
              <w:ind w:left="0"/>
              <w:rPr>
                <w:i/>
              </w:rPr>
            </w:pPr>
          </w:p>
        </w:tc>
        <w:tc>
          <w:tcPr>
            <w:tcW w:w="2970" w:type="dxa"/>
            <w:tcBorders>
              <w:top w:val="nil"/>
              <w:left w:val="single" w:sz="4" w:space="0" w:color="auto"/>
              <w:bottom w:val="single" w:sz="4" w:space="0" w:color="auto"/>
              <w:right w:val="single" w:sz="4" w:space="0" w:color="auto"/>
            </w:tcBorders>
            <w:shd w:val="clear" w:color="auto" w:fill="auto"/>
          </w:tcPr>
          <w:p w:rsidR="008375DF" w:rsidRPr="005D4D4D" w:rsidRDefault="008375DF" w:rsidP="00375B49">
            <w:pPr>
              <w:pStyle w:val="BodyText"/>
              <w:jc w:val="both"/>
              <w:rPr>
                <w:rFonts w:ascii="Times New Roman" w:hAnsi="Times New Roman" w:cs="Times New Roman"/>
                <w:bCs/>
                <w:i/>
                <w:sz w:val="24"/>
                <w:szCs w:val="24"/>
              </w:rPr>
            </w:pPr>
          </w:p>
        </w:tc>
        <w:tc>
          <w:tcPr>
            <w:tcW w:w="1890" w:type="dxa"/>
            <w:tcBorders>
              <w:top w:val="nil"/>
              <w:left w:val="single" w:sz="4" w:space="0" w:color="auto"/>
              <w:bottom w:val="single" w:sz="4" w:space="0" w:color="auto"/>
              <w:right w:val="single" w:sz="4" w:space="0" w:color="auto"/>
            </w:tcBorders>
            <w:shd w:val="clear" w:color="auto" w:fill="auto"/>
          </w:tcPr>
          <w:p w:rsidR="008375DF" w:rsidRPr="005D4D4D" w:rsidRDefault="008375DF" w:rsidP="008375DF">
            <w:pPr>
              <w:pStyle w:val="BodyText"/>
              <w:jc w:val="both"/>
              <w:rPr>
                <w:rFonts w:ascii="Times New Roman" w:hAnsi="Times New Roman" w:cs="Times New Roman"/>
                <w:bCs/>
                <w:i/>
                <w:sz w:val="24"/>
                <w:szCs w:val="24"/>
              </w:rPr>
            </w:pPr>
          </w:p>
        </w:tc>
      </w:tr>
      <w:tr w:rsidR="002F626C" w:rsidRPr="002A6CF0" w:rsidTr="006C78B5">
        <w:trPr>
          <w:trHeight w:val="993"/>
        </w:trPr>
        <w:tc>
          <w:tcPr>
            <w:tcW w:w="6030" w:type="dxa"/>
            <w:tcBorders>
              <w:top w:val="single" w:sz="4" w:space="0" w:color="auto"/>
              <w:left w:val="single" w:sz="4" w:space="0" w:color="auto"/>
              <w:bottom w:val="nil"/>
              <w:right w:val="single" w:sz="4" w:space="0" w:color="auto"/>
            </w:tcBorders>
            <w:shd w:val="clear" w:color="auto" w:fill="auto"/>
          </w:tcPr>
          <w:p w:rsidR="008375DF" w:rsidRPr="00375B49" w:rsidRDefault="008375DF" w:rsidP="00375B49">
            <w:pPr>
              <w:pStyle w:val="BodyText"/>
              <w:tabs>
                <w:tab w:val="left" w:pos="252"/>
              </w:tabs>
              <w:rPr>
                <w:rFonts w:ascii="Times New Roman" w:hAnsi="Times New Roman" w:cs="Times New Roman"/>
                <w:sz w:val="24"/>
                <w:szCs w:val="24"/>
              </w:rPr>
            </w:pPr>
            <w:r w:rsidRPr="002A6CF0">
              <w:rPr>
                <w:rFonts w:ascii="Times New Roman" w:hAnsi="Times New Roman" w:cs="Times New Roman"/>
                <w:b/>
                <w:sz w:val="24"/>
                <w:szCs w:val="24"/>
              </w:rPr>
              <w:lastRenderedPageBreak/>
              <w:t>Output 3</w:t>
            </w:r>
            <w:r w:rsidRPr="002A6CF0">
              <w:rPr>
                <w:rFonts w:ascii="Times New Roman" w:hAnsi="Times New Roman" w:cs="Times New Roman"/>
                <w:sz w:val="24"/>
                <w:szCs w:val="24"/>
              </w:rPr>
              <w:t xml:space="preserve">  Policies and programmes developed and implemented by national institutions to foster collaborative approaches to decision making</w:t>
            </w:r>
          </w:p>
        </w:tc>
        <w:tc>
          <w:tcPr>
            <w:tcW w:w="4230" w:type="dxa"/>
            <w:tcBorders>
              <w:top w:val="single" w:sz="4" w:space="0" w:color="auto"/>
              <w:left w:val="single" w:sz="4" w:space="0" w:color="auto"/>
              <w:bottom w:val="nil"/>
              <w:right w:val="single" w:sz="4" w:space="0" w:color="auto"/>
            </w:tcBorders>
            <w:shd w:val="clear" w:color="auto" w:fill="auto"/>
          </w:tcPr>
          <w:p w:rsidR="00127DC7" w:rsidRDefault="00127DC7" w:rsidP="00127DC7">
            <w:pPr>
              <w:tabs>
                <w:tab w:val="left" w:pos="1096"/>
              </w:tabs>
              <w:rPr>
                <w:i/>
              </w:rPr>
            </w:pPr>
            <w:r>
              <w:rPr>
                <w:i/>
              </w:rPr>
              <w:t>Four Hu</w:t>
            </w:r>
            <w:r w:rsidRPr="002A6CF0">
              <w:rPr>
                <w:i/>
              </w:rPr>
              <w:t xml:space="preserve">man rights organizations in Banke </w:t>
            </w:r>
            <w:r>
              <w:rPr>
                <w:i/>
              </w:rPr>
              <w:t xml:space="preserve">applied </w:t>
            </w:r>
            <w:r w:rsidRPr="002A6CF0">
              <w:rPr>
                <w:i/>
              </w:rPr>
              <w:t>CLD to issues related to service delivery, security and peace.</w:t>
            </w:r>
          </w:p>
          <w:p w:rsidR="008375DF" w:rsidRPr="002A6CF0" w:rsidRDefault="008375DF" w:rsidP="008375DF">
            <w:pPr>
              <w:pStyle w:val="ListParagraph"/>
              <w:spacing w:line="276" w:lineRule="auto"/>
              <w:ind w:left="0"/>
              <w:rPr>
                <w:bCs/>
              </w:rPr>
            </w:pPr>
          </w:p>
        </w:tc>
        <w:tc>
          <w:tcPr>
            <w:tcW w:w="2970" w:type="dxa"/>
            <w:tcBorders>
              <w:top w:val="single" w:sz="4" w:space="0" w:color="auto"/>
              <w:left w:val="single" w:sz="4" w:space="0" w:color="auto"/>
              <w:bottom w:val="nil"/>
              <w:right w:val="single" w:sz="4" w:space="0" w:color="auto"/>
            </w:tcBorders>
            <w:shd w:val="clear" w:color="auto" w:fill="auto"/>
          </w:tcPr>
          <w:p w:rsidR="008375DF" w:rsidRPr="005D4D4D" w:rsidRDefault="008375DF" w:rsidP="005D4D4D">
            <w:pPr>
              <w:pStyle w:val="BodyText"/>
              <w:jc w:val="both"/>
              <w:rPr>
                <w:rFonts w:ascii="Times New Roman" w:hAnsi="Times New Roman" w:cs="Times New Roman"/>
                <w:bCs/>
                <w:i/>
                <w:sz w:val="24"/>
                <w:szCs w:val="24"/>
              </w:rPr>
            </w:pPr>
          </w:p>
        </w:tc>
        <w:tc>
          <w:tcPr>
            <w:tcW w:w="1890" w:type="dxa"/>
            <w:tcBorders>
              <w:top w:val="single" w:sz="4" w:space="0" w:color="auto"/>
              <w:left w:val="single" w:sz="4" w:space="0" w:color="auto"/>
              <w:bottom w:val="nil"/>
              <w:right w:val="single" w:sz="4" w:space="0" w:color="auto"/>
            </w:tcBorders>
            <w:shd w:val="clear" w:color="auto" w:fill="auto"/>
          </w:tcPr>
          <w:p w:rsidR="008375DF" w:rsidRPr="006410C6" w:rsidRDefault="00C25BEC" w:rsidP="008D685F">
            <w:pPr>
              <w:pStyle w:val="BodyText"/>
              <w:jc w:val="both"/>
              <w:rPr>
                <w:rFonts w:ascii="Times New Roman" w:hAnsi="Times New Roman" w:cs="Times New Roman"/>
                <w:bCs/>
                <w:i/>
                <w:sz w:val="24"/>
                <w:szCs w:val="24"/>
              </w:rPr>
            </w:pPr>
            <w:r w:rsidRPr="006410C6">
              <w:rPr>
                <w:rFonts w:ascii="Times New Roman" w:hAnsi="Times New Roman" w:cs="Times New Roman"/>
                <w:bCs/>
                <w:i/>
                <w:sz w:val="24"/>
                <w:szCs w:val="24"/>
              </w:rPr>
              <w:t>Grant agreement document</w:t>
            </w:r>
          </w:p>
          <w:p w:rsidR="008375DF" w:rsidRPr="006410C6" w:rsidRDefault="008375DF" w:rsidP="008D685F">
            <w:pPr>
              <w:pStyle w:val="BodyText"/>
              <w:jc w:val="both"/>
              <w:rPr>
                <w:rFonts w:ascii="Times New Roman" w:hAnsi="Times New Roman" w:cs="Times New Roman"/>
                <w:bCs/>
                <w:i/>
                <w:sz w:val="24"/>
                <w:szCs w:val="24"/>
              </w:rPr>
            </w:pPr>
          </w:p>
        </w:tc>
      </w:tr>
      <w:tr w:rsidR="002F626C" w:rsidRPr="002A6CF0" w:rsidTr="006C78B5">
        <w:trPr>
          <w:trHeight w:val="1193"/>
        </w:trPr>
        <w:tc>
          <w:tcPr>
            <w:tcW w:w="6030" w:type="dxa"/>
            <w:tcBorders>
              <w:top w:val="nil"/>
              <w:left w:val="single" w:sz="4" w:space="0" w:color="auto"/>
              <w:bottom w:val="single" w:sz="4" w:space="0" w:color="auto"/>
              <w:right w:val="single" w:sz="4" w:space="0" w:color="auto"/>
            </w:tcBorders>
            <w:shd w:val="clear" w:color="auto" w:fill="auto"/>
          </w:tcPr>
          <w:p w:rsidR="008375DF" w:rsidRPr="008375DF" w:rsidRDefault="008375DF" w:rsidP="008375DF">
            <w:pPr>
              <w:pStyle w:val="ListParagraph"/>
              <w:spacing w:line="276" w:lineRule="auto"/>
              <w:ind w:left="0"/>
            </w:pPr>
            <w:r w:rsidRPr="002A6CF0">
              <w:rPr>
                <w:b/>
              </w:rPr>
              <w:t xml:space="preserve">Indicator  3.1 </w:t>
            </w:r>
            <w:r w:rsidRPr="008375DF">
              <w:t># systems/ mechanisms established and/or supported that links leaders and facilitators to key strategic issues to mitigate tensions and conflicts</w:t>
            </w:r>
          </w:p>
          <w:p w:rsidR="00C25BEC" w:rsidRDefault="00C25BEC" w:rsidP="008375DF">
            <w:pPr>
              <w:pStyle w:val="BodyText"/>
              <w:tabs>
                <w:tab w:val="left" w:pos="252"/>
              </w:tabs>
              <w:rPr>
                <w:rFonts w:ascii="Times New Roman" w:hAnsi="Times New Roman" w:cs="Times New Roman"/>
                <w:b/>
                <w:sz w:val="24"/>
                <w:szCs w:val="24"/>
              </w:rPr>
            </w:pPr>
          </w:p>
          <w:p w:rsidR="008375DF" w:rsidRPr="002A6CF0" w:rsidRDefault="008375DF" w:rsidP="008375DF">
            <w:pPr>
              <w:pStyle w:val="BodyText"/>
              <w:tabs>
                <w:tab w:val="left" w:pos="252"/>
              </w:tabs>
              <w:rPr>
                <w:rFonts w:ascii="Times New Roman" w:hAnsi="Times New Roman" w:cs="Times New Roman"/>
                <w:b/>
                <w:sz w:val="24"/>
                <w:szCs w:val="24"/>
              </w:rPr>
            </w:pPr>
            <w:r w:rsidRPr="008375DF">
              <w:rPr>
                <w:rFonts w:ascii="Times New Roman" w:hAnsi="Times New Roman" w:cs="Times New Roman"/>
                <w:b/>
                <w:sz w:val="24"/>
                <w:szCs w:val="24"/>
              </w:rPr>
              <w:t>Planned Target:</w:t>
            </w:r>
            <w:r w:rsidRPr="002A6CF0">
              <w:rPr>
                <w:i/>
              </w:rPr>
              <w:t xml:space="preserve"> </w:t>
            </w:r>
            <w:r w:rsidRPr="008375DF">
              <w:rPr>
                <w:rFonts w:ascii="Times New Roman" w:hAnsi="Times New Roman" w:cs="Times New Roman"/>
                <w:sz w:val="24"/>
                <w:szCs w:val="24"/>
              </w:rPr>
              <w:t>2 local level institution</w:t>
            </w:r>
            <w:r>
              <w:rPr>
                <w:rFonts w:ascii="Times New Roman" w:hAnsi="Times New Roman" w:cs="Times New Roman"/>
                <w:sz w:val="24"/>
                <w:szCs w:val="24"/>
              </w:rPr>
              <w:t>s</w:t>
            </w:r>
            <w:r w:rsidRPr="008375DF">
              <w:rPr>
                <w:rFonts w:ascii="Times New Roman" w:hAnsi="Times New Roman" w:cs="Times New Roman"/>
                <w:sz w:val="24"/>
                <w:szCs w:val="24"/>
              </w:rPr>
              <w:t xml:space="preserve"> supported to promote and apply CLD</w:t>
            </w:r>
          </w:p>
        </w:tc>
        <w:tc>
          <w:tcPr>
            <w:tcW w:w="4230" w:type="dxa"/>
            <w:tcBorders>
              <w:top w:val="nil"/>
              <w:left w:val="single" w:sz="4" w:space="0" w:color="auto"/>
              <w:bottom w:val="single" w:sz="4" w:space="0" w:color="auto"/>
              <w:right w:val="single" w:sz="4" w:space="0" w:color="auto"/>
            </w:tcBorders>
            <w:shd w:val="clear" w:color="auto" w:fill="auto"/>
          </w:tcPr>
          <w:p w:rsidR="008375DF" w:rsidRPr="002A6CF0" w:rsidRDefault="008375DF" w:rsidP="005D328C">
            <w:pPr>
              <w:pStyle w:val="ListParagraph"/>
              <w:spacing w:line="276" w:lineRule="auto"/>
              <w:ind w:left="0"/>
              <w:rPr>
                <w:i/>
              </w:rPr>
            </w:pPr>
          </w:p>
        </w:tc>
        <w:tc>
          <w:tcPr>
            <w:tcW w:w="2970" w:type="dxa"/>
            <w:tcBorders>
              <w:top w:val="nil"/>
              <w:left w:val="single" w:sz="4" w:space="0" w:color="auto"/>
              <w:bottom w:val="single" w:sz="4" w:space="0" w:color="auto"/>
              <w:right w:val="single" w:sz="4" w:space="0" w:color="auto"/>
            </w:tcBorders>
            <w:shd w:val="clear" w:color="auto" w:fill="auto"/>
          </w:tcPr>
          <w:p w:rsidR="008375DF" w:rsidRPr="005D4D4D" w:rsidRDefault="008375DF" w:rsidP="005D4D4D">
            <w:pPr>
              <w:pStyle w:val="BodyText"/>
              <w:jc w:val="both"/>
              <w:rPr>
                <w:rFonts w:ascii="Times New Roman" w:hAnsi="Times New Roman" w:cs="Times New Roman"/>
                <w:bCs/>
                <w:i/>
                <w:sz w:val="24"/>
                <w:szCs w:val="24"/>
              </w:rPr>
            </w:pPr>
          </w:p>
        </w:tc>
        <w:tc>
          <w:tcPr>
            <w:tcW w:w="1890" w:type="dxa"/>
            <w:tcBorders>
              <w:top w:val="nil"/>
              <w:left w:val="single" w:sz="4" w:space="0" w:color="auto"/>
              <w:bottom w:val="single" w:sz="4" w:space="0" w:color="auto"/>
              <w:right w:val="single" w:sz="4" w:space="0" w:color="auto"/>
            </w:tcBorders>
            <w:shd w:val="clear" w:color="auto" w:fill="auto"/>
          </w:tcPr>
          <w:p w:rsidR="008375DF" w:rsidRPr="006410C6" w:rsidRDefault="008375DF" w:rsidP="008D685F">
            <w:pPr>
              <w:pStyle w:val="BodyText"/>
              <w:jc w:val="both"/>
              <w:rPr>
                <w:rFonts w:ascii="Times New Roman" w:hAnsi="Times New Roman" w:cs="Times New Roman"/>
                <w:bCs/>
                <w:i/>
                <w:sz w:val="24"/>
                <w:szCs w:val="24"/>
              </w:rPr>
            </w:pPr>
          </w:p>
        </w:tc>
      </w:tr>
      <w:tr w:rsidR="002F626C" w:rsidRPr="002A6CF0" w:rsidTr="006C78B5">
        <w:trPr>
          <w:trHeight w:val="687"/>
        </w:trPr>
        <w:tc>
          <w:tcPr>
            <w:tcW w:w="6030" w:type="dxa"/>
            <w:tcBorders>
              <w:top w:val="single" w:sz="4" w:space="0" w:color="auto"/>
              <w:left w:val="single" w:sz="4" w:space="0" w:color="auto"/>
              <w:bottom w:val="nil"/>
              <w:right w:val="single" w:sz="4" w:space="0" w:color="auto"/>
            </w:tcBorders>
            <w:shd w:val="clear" w:color="auto" w:fill="auto"/>
          </w:tcPr>
          <w:p w:rsidR="00C25BEC" w:rsidRDefault="008375DF" w:rsidP="00C25BEC">
            <w:pPr>
              <w:spacing w:line="276" w:lineRule="auto"/>
              <w:rPr>
                <w:b/>
              </w:rPr>
            </w:pPr>
            <w:r w:rsidRPr="002A6CF0">
              <w:rPr>
                <w:b/>
              </w:rPr>
              <w:t>Output 4</w:t>
            </w:r>
            <w:r w:rsidR="002F626C">
              <w:rPr>
                <w:b/>
              </w:rPr>
              <w:t xml:space="preserve"> </w:t>
            </w:r>
            <w:r w:rsidRPr="002A6CF0">
              <w:t>Public culture of collaborative dialogue fostered through medi</w:t>
            </w:r>
            <w:r>
              <w:t>a</w:t>
            </w:r>
            <w:r w:rsidR="00C25BEC" w:rsidRPr="008375DF">
              <w:rPr>
                <w:b/>
              </w:rPr>
              <w:t xml:space="preserve"> </w:t>
            </w:r>
          </w:p>
          <w:p w:rsidR="00C25BEC" w:rsidRDefault="00C25BEC" w:rsidP="00C25BEC">
            <w:pPr>
              <w:spacing w:line="276" w:lineRule="auto"/>
              <w:rPr>
                <w:b/>
              </w:rPr>
            </w:pPr>
          </w:p>
          <w:p w:rsidR="00C25BEC" w:rsidRPr="008375DF" w:rsidRDefault="00C25BEC" w:rsidP="00C25BEC">
            <w:pPr>
              <w:spacing w:line="276" w:lineRule="auto"/>
              <w:rPr>
                <w:i/>
              </w:rPr>
            </w:pPr>
            <w:r w:rsidRPr="008375DF">
              <w:rPr>
                <w:b/>
              </w:rPr>
              <w:t>Indicator  4.1</w:t>
            </w:r>
            <w:r w:rsidRPr="008375DF">
              <w:rPr>
                <w:i/>
              </w:rPr>
              <w:t># of institutions/ organizations supported to promote and apply CLD in specific thematic areas</w:t>
            </w:r>
          </w:p>
          <w:p w:rsidR="00C25BEC" w:rsidRDefault="00C25BEC" w:rsidP="00C25BEC">
            <w:pPr>
              <w:pStyle w:val="ListParagraph"/>
              <w:ind w:left="0"/>
              <w:rPr>
                <w:b/>
              </w:rPr>
            </w:pPr>
          </w:p>
          <w:p w:rsidR="00C25BEC" w:rsidRPr="002A6CF0" w:rsidRDefault="00C25BEC" w:rsidP="00C25BEC">
            <w:pPr>
              <w:pStyle w:val="ListParagraph"/>
              <w:ind w:left="0"/>
              <w:rPr>
                <w:i/>
              </w:rPr>
            </w:pPr>
            <w:r w:rsidRPr="002A6CF0">
              <w:rPr>
                <w:b/>
              </w:rPr>
              <w:t>Planned Target:</w:t>
            </w:r>
            <w:r w:rsidRPr="002A6CF0">
              <w:rPr>
                <w:i/>
              </w:rPr>
              <w:t xml:space="preserve"> Capacity  of key government institutions developed</w:t>
            </w:r>
          </w:p>
          <w:p w:rsidR="008375DF" w:rsidRPr="008375DF" w:rsidRDefault="008375DF" w:rsidP="002F626C">
            <w:pPr>
              <w:rPr>
                <w:i/>
                <w:spacing w:val="-3"/>
              </w:rPr>
            </w:pPr>
          </w:p>
        </w:tc>
        <w:tc>
          <w:tcPr>
            <w:tcW w:w="4230" w:type="dxa"/>
            <w:tcBorders>
              <w:top w:val="single" w:sz="4" w:space="0" w:color="auto"/>
              <w:left w:val="single" w:sz="4" w:space="0" w:color="auto"/>
              <w:bottom w:val="nil"/>
              <w:right w:val="single" w:sz="4" w:space="0" w:color="auto"/>
            </w:tcBorders>
            <w:shd w:val="clear" w:color="auto" w:fill="auto"/>
          </w:tcPr>
          <w:p w:rsidR="008375DF" w:rsidRDefault="008375DF" w:rsidP="00725CBF">
            <w:pPr>
              <w:pStyle w:val="ListParagraph"/>
              <w:spacing w:line="276" w:lineRule="auto"/>
              <w:ind w:left="0"/>
              <w:rPr>
                <w:i/>
              </w:rPr>
            </w:pPr>
            <w:r>
              <w:rPr>
                <w:i/>
              </w:rPr>
              <w:t xml:space="preserve"> </w:t>
            </w:r>
            <w:r w:rsidR="00C25BEC">
              <w:rPr>
                <w:i/>
              </w:rPr>
              <w:t>Media strategy along with 2 documentary, 12 radio magazine and 12 talks shows produced</w:t>
            </w:r>
          </w:p>
          <w:p w:rsidR="00C25BEC" w:rsidRDefault="00C25BEC" w:rsidP="00725CBF">
            <w:pPr>
              <w:pStyle w:val="ListParagraph"/>
              <w:spacing w:line="276" w:lineRule="auto"/>
              <w:ind w:left="0"/>
              <w:rPr>
                <w:i/>
              </w:rPr>
            </w:pPr>
          </w:p>
          <w:p w:rsidR="00C25BEC" w:rsidRPr="00C25BEC" w:rsidRDefault="00494E12" w:rsidP="00494E12">
            <w:pPr>
              <w:pStyle w:val="ListParagraph"/>
              <w:spacing w:line="276" w:lineRule="auto"/>
              <w:ind w:left="0"/>
              <w:rPr>
                <w:bCs/>
                <w:i/>
              </w:rPr>
            </w:pPr>
            <w:r>
              <w:rPr>
                <w:i/>
              </w:rPr>
              <w:t>A</w:t>
            </w:r>
            <w:r w:rsidR="00C25BEC" w:rsidRPr="00C25BEC">
              <w:rPr>
                <w:i/>
              </w:rPr>
              <w:t>rticles have been published in</w:t>
            </w:r>
            <w:r w:rsidRPr="00C25BEC">
              <w:rPr>
                <w:i/>
              </w:rPr>
              <w:t xml:space="preserve"> National Dailies </w:t>
            </w:r>
            <w:r>
              <w:rPr>
                <w:i/>
              </w:rPr>
              <w:t xml:space="preserve">in </w:t>
            </w:r>
            <w:r w:rsidR="00C25BEC" w:rsidRPr="00C25BEC">
              <w:rPr>
                <w:i/>
              </w:rPr>
              <w:t xml:space="preserve">support of </w:t>
            </w:r>
            <w:r>
              <w:rPr>
                <w:i/>
              </w:rPr>
              <w:t>CLD. M</w:t>
            </w:r>
            <w:r w:rsidR="00C25BEC" w:rsidRPr="00C25BEC">
              <w:rPr>
                <w:i/>
              </w:rPr>
              <w:t xml:space="preserve">any of </w:t>
            </w:r>
            <w:r>
              <w:rPr>
                <w:i/>
              </w:rPr>
              <w:t xml:space="preserve">these articles </w:t>
            </w:r>
            <w:r w:rsidR="00C25BEC" w:rsidRPr="00C25BEC">
              <w:rPr>
                <w:i/>
              </w:rPr>
              <w:t xml:space="preserve"> were published by leading opinion-makers</w:t>
            </w:r>
            <w:r>
              <w:rPr>
                <w:i/>
              </w:rPr>
              <w:t xml:space="preserve"> who participated in the CLD workshop</w:t>
            </w:r>
          </w:p>
        </w:tc>
        <w:tc>
          <w:tcPr>
            <w:tcW w:w="2970" w:type="dxa"/>
            <w:tcBorders>
              <w:top w:val="single" w:sz="4" w:space="0" w:color="auto"/>
              <w:left w:val="single" w:sz="4" w:space="0" w:color="auto"/>
              <w:bottom w:val="nil"/>
              <w:right w:val="single" w:sz="4" w:space="0" w:color="auto"/>
            </w:tcBorders>
            <w:shd w:val="clear" w:color="auto" w:fill="auto"/>
          </w:tcPr>
          <w:p w:rsidR="008375DF" w:rsidRPr="009D1A72" w:rsidRDefault="008375DF" w:rsidP="009D1A72">
            <w:pPr>
              <w:pStyle w:val="BodyText"/>
              <w:jc w:val="both"/>
              <w:rPr>
                <w:rFonts w:ascii="Times New Roman" w:hAnsi="Times New Roman" w:cs="Times New Roman"/>
                <w:bCs/>
                <w:i/>
                <w:sz w:val="24"/>
                <w:szCs w:val="24"/>
              </w:rPr>
            </w:pPr>
          </w:p>
        </w:tc>
        <w:tc>
          <w:tcPr>
            <w:tcW w:w="1890" w:type="dxa"/>
            <w:tcBorders>
              <w:top w:val="single" w:sz="4" w:space="0" w:color="auto"/>
              <w:left w:val="single" w:sz="4" w:space="0" w:color="auto"/>
              <w:bottom w:val="nil"/>
              <w:right w:val="single" w:sz="4" w:space="0" w:color="auto"/>
            </w:tcBorders>
            <w:shd w:val="clear" w:color="auto" w:fill="auto"/>
          </w:tcPr>
          <w:p w:rsidR="00C25BEC" w:rsidRPr="009D1A72" w:rsidRDefault="00C25BEC" w:rsidP="00C25BEC">
            <w:pPr>
              <w:pStyle w:val="BodyText"/>
              <w:jc w:val="both"/>
              <w:rPr>
                <w:rFonts w:ascii="Times New Roman" w:hAnsi="Times New Roman" w:cs="Times New Roman"/>
                <w:bCs/>
                <w:i/>
                <w:sz w:val="24"/>
                <w:szCs w:val="24"/>
              </w:rPr>
            </w:pPr>
            <w:r w:rsidRPr="009D1A72">
              <w:rPr>
                <w:rFonts w:ascii="Times New Roman" w:hAnsi="Times New Roman" w:cs="Times New Roman"/>
                <w:bCs/>
                <w:i/>
                <w:sz w:val="24"/>
                <w:szCs w:val="24"/>
              </w:rPr>
              <w:t>Media strategy document</w:t>
            </w:r>
          </w:p>
          <w:p w:rsidR="00C25BEC" w:rsidRPr="009D1A72" w:rsidRDefault="00C25BEC" w:rsidP="00C25BEC">
            <w:pPr>
              <w:pStyle w:val="BodyText"/>
              <w:jc w:val="both"/>
              <w:rPr>
                <w:rFonts w:ascii="Times New Roman" w:hAnsi="Times New Roman" w:cs="Times New Roman"/>
                <w:bCs/>
                <w:i/>
                <w:sz w:val="24"/>
                <w:szCs w:val="24"/>
              </w:rPr>
            </w:pPr>
            <w:r w:rsidRPr="009D1A72">
              <w:rPr>
                <w:rFonts w:ascii="Times New Roman" w:hAnsi="Times New Roman" w:cs="Times New Roman"/>
                <w:bCs/>
                <w:i/>
                <w:sz w:val="24"/>
                <w:szCs w:val="24"/>
              </w:rPr>
              <w:t xml:space="preserve">CDs of Radio programs </w:t>
            </w:r>
          </w:p>
          <w:p w:rsidR="008375DF" w:rsidRDefault="008375DF" w:rsidP="008375DF">
            <w:pPr>
              <w:pStyle w:val="BodyText"/>
              <w:jc w:val="both"/>
              <w:rPr>
                <w:rFonts w:ascii="Times New Roman" w:hAnsi="Times New Roman" w:cs="Times New Roman"/>
                <w:bCs/>
                <w:sz w:val="24"/>
                <w:szCs w:val="24"/>
              </w:rPr>
            </w:pPr>
          </w:p>
          <w:p w:rsidR="00494E12" w:rsidRPr="00494E12" w:rsidRDefault="00494E12" w:rsidP="008375DF">
            <w:pPr>
              <w:pStyle w:val="BodyText"/>
              <w:jc w:val="both"/>
              <w:rPr>
                <w:rFonts w:ascii="Times New Roman" w:hAnsi="Times New Roman" w:cs="Times New Roman"/>
                <w:bCs/>
                <w:i/>
                <w:sz w:val="24"/>
                <w:szCs w:val="24"/>
              </w:rPr>
            </w:pPr>
            <w:r w:rsidRPr="00494E12">
              <w:rPr>
                <w:rFonts w:ascii="Times New Roman" w:hAnsi="Times New Roman" w:cs="Times New Roman"/>
                <w:bCs/>
                <w:i/>
                <w:sz w:val="24"/>
                <w:szCs w:val="24"/>
              </w:rPr>
              <w:t xml:space="preserve">Newspaper articles </w:t>
            </w:r>
          </w:p>
        </w:tc>
      </w:tr>
      <w:tr w:rsidR="002F626C" w:rsidRPr="002A6CF0" w:rsidTr="00C25BEC">
        <w:trPr>
          <w:trHeight w:val="75"/>
        </w:trPr>
        <w:tc>
          <w:tcPr>
            <w:tcW w:w="6030" w:type="dxa"/>
            <w:tcBorders>
              <w:top w:val="nil"/>
              <w:left w:val="single" w:sz="4" w:space="0" w:color="auto"/>
              <w:bottom w:val="single" w:sz="4" w:space="0" w:color="auto"/>
              <w:right w:val="single" w:sz="4" w:space="0" w:color="auto"/>
            </w:tcBorders>
            <w:shd w:val="clear" w:color="auto" w:fill="auto"/>
          </w:tcPr>
          <w:p w:rsidR="008375DF" w:rsidRPr="002A6CF0" w:rsidRDefault="008375DF" w:rsidP="00C25BEC">
            <w:pPr>
              <w:pStyle w:val="ListParagraph"/>
              <w:ind w:left="0"/>
              <w:rPr>
                <w:b/>
              </w:rPr>
            </w:pPr>
          </w:p>
        </w:tc>
        <w:tc>
          <w:tcPr>
            <w:tcW w:w="4230" w:type="dxa"/>
            <w:tcBorders>
              <w:top w:val="nil"/>
              <w:left w:val="single" w:sz="4" w:space="0" w:color="auto"/>
              <w:bottom w:val="single" w:sz="4" w:space="0" w:color="auto"/>
              <w:right w:val="single" w:sz="4" w:space="0" w:color="auto"/>
            </w:tcBorders>
            <w:shd w:val="clear" w:color="auto" w:fill="auto"/>
          </w:tcPr>
          <w:p w:rsidR="008375DF" w:rsidRDefault="008375DF" w:rsidP="008375DF">
            <w:pPr>
              <w:pStyle w:val="ListParagraph"/>
              <w:spacing w:line="276" w:lineRule="auto"/>
              <w:ind w:left="0"/>
              <w:rPr>
                <w:i/>
              </w:rPr>
            </w:pPr>
          </w:p>
          <w:p w:rsidR="008375DF" w:rsidRDefault="008375DF" w:rsidP="008375DF">
            <w:pPr>
              <w:pStyle w:val="ListParagraph"/>
              <w:ind w:left="0"/>
              <w:rPr>
                <w:i/>
              </w:rPr>
            </w:pPr>
          </w:p>
        </w:tc>
        <w:tc>
          <w:tcPr>
            <w:tcW w:w="2970" w:type="dxa"/>
            <w:tcBorders>
              <w:top w:val="nil"/>
              <w:left w:val="single" w:sz="4" w:space="0" w:color="auto"/>
              <w:bottom w:val="single" w:sz="4" w:space="0" w:color="auto"/>
              <w:right w:val="single" w:sz="4" w:space="0" w:color="auto"/>
            </w:tcBorders>
            <w:shd w:val="clear" w:color="auto" w:fill="auto"/>
          </w:tcPr>
          <w:p w:rsidR="008375DF" w:rsidRDefault="008375DF" w:rsidP="008375DF">
            <w:pPr>
              <w:pStyle w:val="BodyText"/>
              <w:jc w:val="both"/>
              <w:rPr>
                <w:rFonts w:ascii="Times New Roman" w:hAnsi="Times New Roman" w:cs="Times New Roman"/>
                <w:bCs/>
                <w:i/>
                <w:sz w:val="24"/>
                <w:szCs w:val="24"/>
              </w:rPr>
            </w:pPr>
          </w:p>
        </w:tc>
        <w:tc>
          <w:tcPr>
            <w:tcW w:w="1890" w:type="dxa"/>
            <w:tcBorders>
              <w:top w:val="nil"/>
              <w:left w:val="single" w:sz="4" w:space="0" w:color="auto"/>
              <w:bottom w:val="single" w:sz="4" w:space="0" w:color="auto"/>
              <w:right w:val="single" w:sz="4" w:space="0" w:color="auto"/>
            </w:tcBorders>
            <w:shd w:val="clear" w:color="auto" w:fill="auto"/>
          </w:tcPr>
          <w:p w:rsidR="008375DF" w:rsidRDefault="008375DF" w:rsidP="008375DF">
            <w:pPr>
              <w:pStyle w:val="BodyText"/>
              <w:ind w:left="252"/>
              <w:jc w:val="both"/>
              <w:rPr>
                <w:rFonts w:ascii="Times New Roman" w:hAnsi="Times New Roman" w:cs="Times New Roman"/>
                <w:bCs/>
                <w:i/>
                <w:sz w:val="24"/>
                <w:szCs w:val="24"/>
              </w:rPr>
            </w:pPr>
          </w:p>
          <w:p w:rsidR="008375DF" w:rsidRDefault="008375DF" w:rsidP="008375DF">
            <w:pPr>
              <w:pStyle w:val="BodyText"/>
              <w:ind w:left="252"/>
              <w:jc w:val="both"/>
              <w:rPr>
                <w:rFonts w:ascii="Times New Roman" w:hAnsi="Times New Roman" w:cs="Times New Roman"/>
                <w:bCs/>
                <w:i/>
                <w:sz w:val="24"/>
                <w:szCs w:val="24"/>
              </w:rPr>
            </w:pPr>
          </w:p>
          <w:p w:rsidR="008375DF" w:rsidRDefault="008375DF" w:rsidP="008375DF">
            <w:pPr>
              <w:pStyle w:val="BodyText"/>
              <w:ind w:left="252"/>
              <w:jc w:val="both"/>
              <w:rPr>
                <w:rFonts w:ascii="Times New Roman" w:hAnsi="Times New Roman" w:cs="Times New Roman"/>
                <w:bCs/>
                <w:i/>
                <w:sz w:val="24"/>
                <w:szCs w:val="24"/>
              </w:rPr>
            </w:pPr>
          </w:p>
          <w:p w:rsidR="008375DF" w:rsidRDefault="008375DF" w:rsidP="008375DF">
            <w:pPr>
              <w:pStyle w:val="BodyText"/>
              <w:ind w:left="252"/>
              <w:jc w:val="both"/>
              <w:rPr>
                <w:rFonts w:ascii="Times New Roman" w:hAnsi="Times New Roman" w:cs="Times New Roman"/>
                <w:bCs/>
                <w:i/>
                <w:sz w:val="24"/>
                <w:szCs w:val="24"/>
              </w:rPr>
            </w:pPr>
          </w:p>
          <w:p w:rsidR="008375DF" w:rsidRDefault="008375DF" w:rsidP="008375DF">
            <w:pPr>
              <w:pStyle w:val="BodyText"/>
              <w:ind w:left="252"/>
              <w:jc w:val="both"/>
              <w:rPr>
                <w:rFonts w:ascii="Times New Roman" w:hAnsi="Times New Roman" w:cs="Times New Roman"/>
                <w:bCs/>
                <w:i/>
                <w:sz w:val="24"/>
                <w:szCs w:val="24"/>
              </w:rPr>
            </w:pPr>
          </w:p>
          <w:p w:rsidR="008375DF" w:rsidRDefault="008375DF" w:rsidP="008375DF">
            <w:pPr>
              <w:pStyle w:val="BodyText"/>
              <w:ind w:left="252"/>
              <w:jc w:val="both"/>
              <w:rPr>
                <w:rFonts w:ascii="Times New Roman" w:hAnsi="Times New Roman" w:cs="Times New Roman"/>
                <w:bCs/>
                <w:i/>
                <w:sz w:val="24"/>
                <w:szCs w:val="24"/>
              </w:rPr>
            </w:pPr>
          </w:p>
          <w:p w:rsidR="008375DF" w:rsidRDefault="008375DF" w:rsidP="008375DF">
            <w:pPr>
              <w:pStyle w:val="BodyText"/>
              <w:ind w:left="252"/>
              <w:jc w:val="both"/>
              <w:rPr>
                <w:rFonts w:ascii="Times New Roman" w:hAnsi="Times New Roman" w:cs="Times New Roman"/>
                <w:bCs/>
                <w:i/>
                <w:sz w:val="24"/>
                <w:szCs w:val="24"/>
              </w:rPr>
            </w:pPr>
          </w:p>
          <w:p w:rsidR="008375DF" w:rsidRPr="009D1A72" w:rsidRDefault="008375DF" w:rsidP="008375DF">
            <w:pPr>
              <w:pStyle w:val="BodyText"/>
              <w:ind w:left="252"/>
              <w:jc w:val="both"/>
              <w:rPr>
                <w:rFonts w:ascii="Times New Roman" w:hAnsi="Times New Roman" w:cs="Times New Roman"/>
                <w:bCs/>
                <w:i/>
                <w:sz w:val="24"/>
                <w:szCs w:val="24"/>
              </w:rPr>
            </w:pPr>
          </w:p>
          <w:p w:rsidR="008375DF" w:rsidRPr="009D1A72" w:rsidRDefault="008375DF" w:rsidP="00C25BEC">
            <w:pPr>
              <w:pStyle w:val="BodyText"/>
              <w:jc w:val="both"/>
              <w:rPr>
                <w:rFonts w:ascii="Times New Roman" w:hAnsi="Times New Roman" w:cs="Times New Roman"/>
                <w:bCs/>
                <w:i/>
                <w:sz w:val="24"/>
                <w:szCs w:val="24"/>
              </w:rPr>
            </w:pPr>
          </w:p>
        </w:tc>
      </w:tr>
    </w:tbl>
    <w:p w:rsidR="00AC7FD3" w:rsidRPr="002A6CF0" w:rsidRDefault="00AC7FD3" w:rsidP="00CA38FE">
      <w:pPr>
        <w:pStyle w:val="BodyText"/>
        <w:tabs>
          <w:tab w:val="left" w:pos="360"/>
        </w:tabs>
        <w:ind w:left="720"/>
        <w:jc w:val="both"/>
        <w:rPr>
          <w:rFonts w:ascii="Times New Roman" w:hAnsi="Times New Roman" w:cs="Times New Roman"/>
          <w:sz w:val="24"/>
          <w:szCs w:val="24"/>
        </w:rPr>
      </w:pPr>
    </w:p>
    <w:p w:rsidR="00AC7FD3" w:rsidRPr="002A6CF0" w:rsidRDefault="00AC7FD3" w:rsidP="0036774E">
      <w:pPr>
        <w:pStyle w:val="BodyText"/>
        <w:jc w:val="both"/>
        <w:rPr>
          <w:rFonts w:ascii="Times New Roman" w:hAnsi="Times New Roman" w:cs="Times New Roman"/>
          <w:sz w:val="24"/>
          <w:szCs w:val="24"/>
        </w:rPr>
      </w:pPr>
    </w:p>
    <w:p w:rsidR="00FA6787" w:rsidRPr="002A6CF0" w:rsidRDefault="00FA6787" w:rsidP="00FA6787">
      <w:pPr>
        <w:pStyle w:val="BodyText"/>
        <w:jc w:val="both"/>
        <w:rPr>
          <w:rFonts w:ascii="Times New Roman" w:hAnsi="Times New Roman" w:cs="Times New Roman"/>
          <w:sz w:val="24"/>
          <w:szCs w:val="24"/>
        </w:rPr>
        <w:sectPr w:rsidR="00FA6787" w:rsidRPr="002A6CF0" w:rsidSect="006F301D">
          <w:pgSz w:w="15840" w:h="12240" w:orient="landscape" w:code="1"/>
          <w:pgMar w:top="806" w:right="810" w:bottom="810" w:left="1354" w:header="720" w:footer="418" w:gutter="0"/>
          <w:cols w:space="720"/>
          <w:docGrid w:linePitch="360"/>
        </w:sectPr>
      </w:pPr>
    </w:p>
    <w:p w:rsidR="00DD2243" w:rsidRPr="002A6CF0" w:rsidRDefault="00A001B8" w:rsidP="00FA6787">
      <w:pPr>
        <w:pStyle w:val="BodyText"/>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9C7CDF">
        <w:rPr>
          <w:rFonts w:ascii="Times New Roman" w:hAnsi="Times New Roman" w:cs="Times New Roman"/>
          <w:b/>
          <w:sz w:val="24"/>
          <w:szCs w:val="24"/>
        </w:rPr>
        <w:t>i</w:t>
      </w:r>
      <w:r>
        <w:rPr>
          <w:rFonts w:ascii="Times New Roman" w:hAnsi="Times New Roman" w:cs="Times New Roman"/>
          <w:b/>
          <w:sz w:val="24"/>
          <w:szCs w:val="24"/>
        </w:rPr>
        <w:t xml:space="preserve">) </w:t>
      </w:r>
      <w:r w:rsidR="0068496F" w:rsidRPr="002A6CF0">
        <w:rPr>
          <w:rFonts w:ascii="Times New Roman" w:hAnsi="Times New Roman" w:cs="Times New Roman"/>
          <w:b/>
          <w:sz w:val="24"/>
          <w:szCs w:val="24"/>
        </w:rPr>
        <w:t>A</w:t>
      </w:r>
      <w:r w:rsidR="00A31200">
        <w:rPr>
          <w:rFonts w:ascii="Times New Roman" w:hAnsi="Times New Roman" w:cs="Times New Roman"/>
          <w:b/>
          <w:sz w:val="24"/>
          <w:szCs w:val="24"/>
        </w:rPr>
        <w:t xml:space="preserve"> </w:t>
      </w:r>
      <w:r w:rsidR="0068496F" w:rsidRPr="002A6CF0">
        <w:rPr>
          <w:rFonts w:ascii="Times New Roman" w:hAnsi="Times New Roman" w:cs="Times New Roman"/>
          <w:b/>
          <w:sz w:val="24"/>
          <w:szCs w:val="24"/>
        </w:rPr>
        <w:t xml:space="preserve">Specific </w:t>
      </w:r>
      <w:r w:rsidR="00DD2243" w:rsidRPr="002A6CF0">
        <w:rPr>
          <w:rFonts w:ascii="Times New Roman" w:hAnsi="Times New Roman" w:cs="Times New Roman"/>
          <w:b/>
          <w:sz w:val="24"/>
          <w:szCs w:val="24"/>
        </w:rPr>
        <w:t>Story</w:t>
      </w:r>
      <w:r w:rsidR="00616F9F">
        <w:rPr>
          <w:rFonts w:ascii="Times New Roman" w:hAnsi="Times New Roman" w:cs="Times New Roman"/>
          <w:b/>
          <w:sz w:val="24"/>
          <w:szCs w:val="24"/>
        </w:rPr>
        <w:t>- 1</w:t>
      </w:r>
    </w:p>
    <w:p w:rsidR="008777F7" w:rsidRDefault="008777F7" w:rsidP="008777F7">
      <w:pPr>
        <w:ind w:left="360"/>
        <w:jc w:val="both"/>
      </w:pPr>
    </w:p>
    <w:p w:rsidR="00A31200" w:rsidRDefault="00A31200" w:rsidP="008777F7">
      <w:pPr>
        <w:ind w:left="360"/>
        <w:jc w:val="both"/>
      </w:pPr>
      <w:r>
        <w:t xml:space="preserve">Story </w:t>
      </w:r>
      <w:r w:rsidR="00A06237">
        <w:t>1:</w:t>
      </w:r>
      <w:r>
        <w:t xml:space="preserve"> CLD at the institutional level</w:t>
      </w:r>
    </w:p>
    <w:p w:rsidR="00695BAC" w:rsidRPr="007C05C7" w:rsidRDefault="008777F7" w:rsidP="00695BAC">
      <w:pPr>
        <w:ind w:left="360"/>
        <w:jc w:val="both"/>
        <w:rPr>
          <w:color w:val="FF0000"/>
        </w:rPr>
      </w:pPr>
      <w:r w:rsidRPr="008777F7">
        <w:t xml:space="preserve">Asian Development Bank (ADB) had committed NRS 1,62,12,56,000 (roughly USD $18 million) for a major five-year development initiative for Janakpur including </w:t>
      </w:r>
      <w:r w:rsidR="00A31200">
        <w:t xml:space="preserve">establishment of a </w:t>
      </w:r>
      <w:r w:rsidRPr="008777F7">
        <w:t>landfill, road widening, and sewage system</w:t>
      </w:r>
      <w:r w:rsidR="00A31200">
        <w:t xml:space="preserve"> development</w:t>
      </w:r>
      <w:r w:rsidRPr="008777F7">
        <w:t xml:space="preserve">. </w:t>
      </w:r>
      <w:r w:rsidR="00695BAC" w:rsidRPr="00B93D91">
        <w:t xml:space="preserve">The Janakpur authorities, however, were unable to come to a consensus that would meet the basic conditions for the initiative to move forward.  The parties were required submit a long-pending land title for a proposed landfill site within a strict two week timeframe. The situation seemed intractable and the feasibly of the entire initiative was under threat as the conflicting parties could not reach agreement. </w:t>
      </w:r>
    </w:p>
    <w:p w:rsidR="008777F7" w:rsidRPr="008777F7" w:rsidRDefault="008777F7" w:rsidP="008777F7">
      <w:pPr>
        <w:pStyle w:val="ListParagraph"/>
        <w:jc w:val="both"/>
      </w:pPr>
    </w:p>
    <w:p w:rsidR="008777F7" w:rsidRDefault="008777F7" w:rsidP="008777F7">
      <w:pPr>
        <w:ind w:left="360"/>
        <w:jc w:val="both"/>
      </w:pPr>
      <w:r w:rsidRPr="008777F7">
        <w:t xml:space="preserve">CLD </w:t>
      </w:r>
      <w:r w:rsidR="00A31200" w:rsidRPr="008777F7">
        <w:t>ha</w:t>
      </w:r>
      <w:r w:rsidR="00A31200">
        <w:t>d</w:t>
      </w:r>
      <w:r w:rsidR="00A31200" w:rsidRPr="008777F7">
        <w:t xml:space="preserve"> </w:t>
      </w:r>
      <w:r w:rsidRPr="008777F7">
        <w:t xml:space="preserve">been working with Janakpur municipal authorities and political parties for over a year, helping them </w:t>
      </w:r>
      <w:r w:rsidR="00A31200">
        <w:t xml:space="preserve">to </w:t>
      </w:r>
      <w:r w:rsidRPr="008777F7">
        <w:t>create a local forum for discussi</w:t>
      </w:r>
      <w:r w:rsidR="00A31200">
        <w:t>ng</w:t>
      </w:r>
      <w:r w:rsidRPr="008777F7">
        <w:t xml:space="preserve"> urban development issues.  This forum has been </w:t>
      </w:r>
      <w:r w:rsidR="007E0702">
        <w:t>successful</w:t>
      </w:r>
      <w:r w:rsidRPr="008777F7">
        <w:t xml:space="preserve"> </w:t>
      </w:r>
      <w:r w:rsidR="007E0702">
        <w:t>in bringing</w:t>
      </w:r>
      <w:r w:rsidRPr="008777F7">
        <w:t xml:space="preserve"> the parties together on a regular basis for discussions</w:t>
      </w:r>
      <w:r w:rsidR="007E0702">
        <w:t xml:space="preserve">, </w:t>
      </w:r>
      <w:r w:rsidR="00A31200">
        <w:t xml:space="preserve">a major </w:t>
      </w:r>
      <w:r w:rsidR="007E0702">
        <w:t>shift from</w:t>
      </w:r>
      <w:r w:rsidR="00A31200">
        <w:t xml:space="preserve"> a previous situation where the parties were hardly speaking to each other</w:t>
      </w:r>
      <w:r w:rsidRPr="008777F7">
        <w:t xml:space="preserve">. The ADB situation seemed like a perfect opportunity to put the forum to test with a real challenge.  </w:t>
      </w:r>
    </w:p>
    <w:p w:rsidR="008777F7" w:rsidRPr="008777F7" w:rsidRDefault="008777F7" w:rsidP="008777F7">
      <w:pPr>
        <w:ind w:left="360"/>
        <w:jc w:val="both"/>
      </w:pPr>
    </w:p>
    <w:p w:rsidR="008777F7" w:rsidRDefault="008777F7" w:rsidP="008777F7">
      <w:pPr>
        <w:ind w:left="360"/>
        <w:jc w:val="both"/>
      </w:pPr>
      <w:r w:rsidRPr="008777F7">
        <w:t xml:space="preserve">On 11-12 June, </w:t>
      </w:r>
      <w:r w:rsidR="00E36CCB">
        <w:t>CLD</w:t>
      </w:r>
      <w:r w:rsidR="00E36CCB" w:rsidRPr="008777F7">
        <w:t xml:space="preserve"> </w:t>
      </w:r>
      <w:r w:rsidRPr="008777F7">
        <w:t xml:space="preserve">organized a workshop with the political parties and municipal authorities </w:t>
      </w:r>
      <w:r w:rsidR="007E0702">
        <w:t xml:space="preserve">in Kathmandu </w:t>
      </w:r>
      <w:r w:rsidRPr="008777F7">
        <w:t>to find a solution</w:t>
      </w:r>
      <w:r w:rsidR="007E0702">
        <w:t xml:space="preserve"> on the issue, and broadly discuss about Janakpur development issues</w:t>
      </w:r>
      <w:r w:rsidRPr="008777F7">
        <w:t>.  This workshop provided a platform for approaching the national authorities in a unified manner.  On the afternoon of the second day</w:t>
      </w:r>
      <w:r w:rsidR="007E0702">
        <w:t xml:space="preserve"> of the workshop</w:t>
      </w:r>
      <w:r w:rsidRPr="008777F7">
        <w:t xml:space="preserve">, the </w:t>
      </w:r>
      <w:r w:rsidR="00A31200">
        <w:t xml:space="preserve">participants </w:t>
      </w:r>
      <w:r w:rsidRPr="008777F7">
        <w:t>all went together to m</w:t>
      </w:r>
      <w:r w:rsidR="00A31200">
        <w:t>e</w:t>
      </w:r>
      <w:r w:rsidRPr="008777F7">
        <w:t>et with Secretaries from the M</w:t>
      </w:r>
      <w:r w:rsidR="00A31200">
        <w:t xml:space="preserve">inistry </w:t>
      </w:r>
      <w:r w:rsidRPr="008777F7">
        <w:t>o</w:t>
      </w:r>
      <w:r w:rsidR="00A31200">
        <w:t xml:space="preserve">f </w:t>
      </w:r>
      <w:r w:rsidRPr="008777F7">
        <w:t>F</w:t>
      </w:r>
      <w:r w:rsidR="00A31200">
        <w:t xml:space="preserve">ederal Affairs and </w:t>
      </w:r>
      <w:r w:rsidRPr="008777F7">
        <w:t>L</w:t>
      </w:r>
      <w:r w:rsidR="00A31200">
        <w:t xml:space="preserve">ocal </w:t>
      </w:r>
      <w:r w:rsidRPr="008777F7">
        <w:t>D</w:t>
      </w:r>
      <w:r w:rsidR="00A31200">
        <w:t>evelopment</w:t>
      </w:r>
      <w:r w:rsidRPr="008777F7">
        <w:t>, M</w:t>
      </w:r>
      <w:r w:rsidR="00A31200">
        <w:t xml:space="preserve">inistry </w:t>
      </w:r>
      <w:r w:rsidRPr="008777F7">
        <w:t>o</w:t>
      </w:r>
      <w:r w:rsidR="00A31200">
        <w:t xml:space="preserve">f </w:t>
      </w:r>
      <w:r w:rsidRPr="008777F7">
        <w:t>U</w:t>
      </w:r>
      <w:r w:rsidR="00A31200">
        <w:t xml:space="preserve">rban </w:t>
      </w:r>
      <w:r w:rsidRPr="008777F7">
        <w:t>D</w:t>
      </w:r>
      <w:r w:rsidR="00A31200">
        <w:t>evelopment</w:t>
      </w:r>
      <w:r w:rsidRPr="008777F7">
        <w:t xml:space="preserve"> and M</w:t>
      </w:r>
      <w:r w:rsidR="00A31200">
        <w:t xml:space="preserve">inistry </w:t>
      </w:r>
      <w:r w:rsidRPr="008777F7">
        <w:t>o</w:t>
      </w:r>
      <w:r w:rsidR="00A31200">
        <w:t xml:space="preserve">f </w:t>
      </w:r>
      <w:r w:rsidRPr="008777F7">
        <w:t>L</w:t>
      </w:r>
      <w:r w:rsidR="00A31200">
        <w:t xml:space="preserve">and </w:t>
      </w:r>
      <w:r w:rsidRPr="008777F7">
        <w:t>R</w:t>
      </w:r>
      <w:r w:rsidR="00A31200">
        <w:t xml:space="preserve">eform and </w:t>
      </w:r>
      <w:r w:rsidRPr="008777F7">
        <w:t>M</w:t>
      </w:r>
      <w:r w:rsidR="00A31200">
        <w:t>anagement (MOLRM)</w:t>
      </w:r>
      <w:r w:rsidRPr="008777F7">
        <w:t xml:space="preserve">. They returned to Godavari to continue </w:t>
      </w:r>
      <w:r w:rsidR="007E0702">
        <w:t>with an honest dialogue among themselves</w:t>
      </w:r>
      <w:r w:rsidRPr="008777F7">
        <w:t>.  The following day</w:t>
      </w:r>
      <w:r w:rsidR="00A06237">
        <w:t xml:space="preserve">, </w:t>
      </w:r>
      <w:r w:rsidRPr="008777F7">
        <w:t>the</w:t>
      </w:r>
      <w:r w:rsidR="00A31200">
        <w:t xml:space="preserve"> participants</w:t>
      </w:r>
      <w:r w:rsidRPr="008777F7">
        <w:t xml:space="preserve"> </w:t>
      </w:r>
      <w:r w:rsidR="00717BFE">
        <w:t>set up a meeting</w:t>
      </w:r>
      <w:r w:rsidRPr="008777F7">
        <w:t xml:space="preserve"> with President Ram Baran Yadav (who is </w:t>
      </w:r>
      <w:r w:rsidR="00717BFE">
        <w:t xml:space="preserve">also </w:t>
      </w:r>
      <w:r w:rsidRPr="008777F7">
        <w:t xml:space="preserve">from Janakpur), and all </w:t>
      </w:r>
      <w:r w:rsidR="00717BFE">
        <w:t>went</w:t>
      </w:r>
      <w:r w:rsidR="00717BFE" w:rsidRPr="008777F7">
        <w:t xml:space="preserve"> </w:t>
      </w:r>
      <w:r w:rsidRPr="008777F7">
        <w:t xml:space="preserve">together to see him.  The CLD team </w:t>
      </w:r>
      <w:r w:rsidR="00717BFE">
        <w:t>coordinated, and guided the stakeholders for all these activities.</w:t>
      </w:r>
      <w:r w:rsidRPr="008777F7">
        <w:t xml:space="preserve"> </w:t>
      </w:r>
      <w:r w:rsidR="00717BFE">
        <w:t>As a result of the iniitiative supported by the CLD, the authorizes were able to find a solution. The</w:t>
      </w:r>
      <w:r w:rsidR="00A31200">
        <w:t xml:space="preserve"> </w:t>
      </w:r>
      <w:r w:rsidRPr="008777F7">
        <w:t xml:space="preserve">MoLRM </w:t>
      </w:r>
      <w:r w:rsidR="00717BFE">
        <w:t>agreed to provide the land. I</w:t>
      </w:r>
      <w:r w:rsidR="00717BFE" w:rsidRPr="008777F7">
        <w:t xml:space="preserve">n </w:t>
      </w:r>
      <w:r w:rsidR="00717BFE">
        <w:t>return,</w:t>
      </w:r>
      <w:r w:rsidR="00717BFE" w:rsidRPr="008777F7">
        <w:t xml:space="preserve"> </w:t>
      </w:r>
      <w:r w:rsidRPr="008777F7">
        <w:t>the municipality</w:t>
      </w:r>
      <w:r w:rsidR="00717BFE">
        <w:t xml:space="preserve"> agreed to pay the long due payment to the trust under the MoLRM.</w:t>
      </w:r>
    </w:p>
    <w:p w:rsidR="00616F9F" w:rsidRDefault="00616F9F" w:rsidP="008777F7">
      <w:pPr>
        <w:ind w:left="360"/>
        <w:jc w:val="both"/>
      </w:pPr>
    </w:p>
    <w:p w:rsidR="00616F9F" w:rsidRDefault="00616F9F" w:rsidP="008777F7">
      <w:pPr>
        <w:ind w:left="360"/>
        <w:jc w:val="both"/>
      </w:pPr>
      <w:r>
        <w:t xml:space="preserve">Story </w:t>
      </w:r>
      <w:r w:rsidR="00255340">
        <w:t>2:</w:t>
      </w:r>
      <w:r w:rsidR="00A31200">
        <w:t xml:space="preserve"> CLD at the community level</w:t>
      </w:r>
    </w:p>
    <w:p w:rsidR="00616F9F" w:rsidRPr="00616F9F" w:rsidRDefault="00616F9F" w:rsidP="00616F9F">
      <w:pPr>
        <w:ind w:left="360"/>
        <w:jc w:val="both"/>
        <w:rPr>
          <w:iCs/>
        </w:rPr>
      </w:pPr>
      <w:r w:rsidRPr="00616F9F">
        <w:rPr>
          <w:iCs/>
        </w:rPr>
        <w:t xml:space="preserve">Ms. Rama Chaudhary (name changed) is from Kohalpur of Banke district. She was trafficked to India and rescued by </w:t>
      </w:r>
      <w:r w:rsidR="00255340">
        <w:rPr>
          <w:iCs/>
        </w:rPr>
        <w:t xml:space="preserve">an NGO called </w:t>
      </w:r>
      <w:r w:rsidR="00255340" w:rsidRPr="00616F9F">
        <w:rPr>
          <w:iCs/>
        </w:rPr>
        <w:t xml:space="preserve">SAATHI. </w:t>
      </w:r>
      <w:r w:rsidRPr="00616F9F">
        <w:rPr>
          <w:iCs/>
        </w:rPr>
        <w:t>After her return, she faced non-acceptance from her family and society. Knowing this situation, Ms. Kamala of S</w:t>
      </w:r>
      <w:r w:rsidR="00255340">
        <w:rPr>
          <w:iCs/>
        </w:rPr>
        <w:t>A</w:t>
      </w:r>
      <w:r w:rsidRPr="00616F9F">
        <w:rPr>
          <w:iCs/>
        </w:rPr>
        <w:t>ATHI</w:t>
      </w:r>
      <w:r w:rsidR="00255340">
        <w:rPr>
          <w:iCs/>
        </w:rPr>
        <w:t xml:space="preserve"> who is a CLD graduate</w:t>
      </w:r>
      <w:r w:rsidR="00A31200">
        <w:rPr>
          <w:iCs/>
        </w:rPr>
        <w:t>,</w:t>
      </w:r>
      <w:r w:rsidRPr="00616F9F">
        <w:rPr>
          <w:iCs/>
        </w:rPr>
        <w:t xml:space="preserve"> </w:t>
      </w:r>
      <w:r w:rsidR="00255340">
        <w:rPr>
          <w:iCs/>
        </w:rPr>
        <w:t xml:space="preserve">convened </w:t>
      </w:r>
      <w:r w:rsidR="003B79F8" w:rsidRPr="00616F9F">
        <w:rPr>
          <w:iCs/>
        </w:rPr>
        <w:t>dialogue</w:t>
      </w:r>
      <w:r w:rsidRPr="00616F9F">
        <w:rPr>
          <w:iCs/>
        </w:rPr>
        <w:t xml:space="preserve"> </w:t>
      </w:r>
      <w:r w:rsidR="00255340">
        <w:rPr>
          <w:iCs/>
        </w:rPr>
        <w:t>at different levels in coordination with Safer Migration Network. She met Rama’s family and neighborhoods and organized</w:t>
      </w:r>
      <w:r w:rsidR="003B79F8">
        <w:rPr>
          <w:iCs/>
        </w:rPr>
        <w:t xml:space="preserve"> series of dialogue with them i</w:t>
      </w:r>
      <w:r w:rsidR="00255340">
        <w:rPr>
          <w:iCs/>
        </w:rPr>
        <w:t xml:space="preserve">n order to create a </w:t>
      </w:r>
      <w:r w:rsidR="003B79F8">
        <w:rPr>
          <w:iCs/>
        </w:rPr>
        <w:t xml:space="preserve">favorable </w:t>
      </w:r>
      <w:r w:rsidR="00255340">
        <w:rPr>
          <w:iCs/>
        </w:rPr>
        <w:t xml:space="preserve">environment for Rama. After </w:t>
      </w:r>
      <w:r w:rsidR="003B79F8">
        <w:rPr>
          <w:iCs/>
        </w:rPr>
        <w:t xml:space="preserve">several rounds of dialogue Kamala was able to convince Rama’s family and neighborhoods who later welcomed her. </w:t>
      </w:r>
      <w:r w:rsidRPr="00616F9F">
        <w:rPr>
          <w:iCs/>
        </w:rPr>
        <w:t xml:space="preserve"> </w:t>
      </w:r>
      <w:r w:rsidR="003B79F8">
        <w:rPr>
          <w:iCs/>
        </w:rPr>
        <w:t xml:space="preserve">Rama is socially accepted now, is married </w:t>
      </w:r>
      <w:r w:rsidRPr="00616F9F">
        <w:rPr>
          <w:iCs/>
        </w:rPr>
        <w:t>and runs a tailoring shop.</w:t>
      </w:r>
    </w:p>
    <w:p w:rsidR="009C7CDF" w:rsidRPr="00FA3F1D" w:rsidRDefault="009C7CDF" w:rsidP="009C7CDF">
      <w:pPr>
        <w:pStyle w:val="BodyText"/>
        <w:spacing w:before="240" w:after="160" w:line="264" w:lineRule="auto"/>
        <w:jc w:val="both"/>
        <w:rPr>
          <w:rFonts w:ascii="Times New Roman" w:hAnsi="Times New Roman"/>
          <w:b/>
          <w:sz w:val="24"/>
        </w:rPr>
      </w:pPr>
      <w:r w:rsidRPr="00FA3F1D">
        <w:rPr>
          <w:rFonts w:ascii="Times New Roman" w:hAnsi="Times New Roman"/>
          <w:b/>
          <w:sz w:val="24"/>
        </w:rPr>
        <w:t xml:space="preserve">V: Monitoring Arrangements </w:t>
      </w:r>
    </w:p>
    <w:p w:rsidR="00F73140" w:rsidRDefault="00C7719A" w:rsidP="00AA219E">
      <w:pPr>
        <w:pStyle w:val="BodyText"/>
        <w:spacing w:after="160" w:line="264" w:lineRule="auto"/>
        <w:ind w:left="420"/>
        <w:jc w:val="both"/>
        <w:rPr>
          <w:rFonts w:ascii="Times New Roman" w:hAnsi="Times New Roman" w:cs="Times New Roman"/>
          <w:sz w:val="24"/>
          <w:szCs w:val="24"/>
        </w:rPr>
      </w:pPr>
      <w:r>
        <w:rPr>
          <w:rFonts w:ascii="Times New Roman" w:hAnsi="Times New Roman" w:cs="Times New Roman"/>
          <w:sz w:val="24"/>
          <w:szCs w:val="24"/>
        </w:rPr>
        <w:t xml:space="preserve">The CPP programme staff were primarily responsible for monitoring the Programme activites and results. During the internal programme review meetings it was realized that CPP needs a fully dedicated person to maintain a good M&amp;E system. It was essential also because </w:t>
      </w:r>
      <w:r w:rsidR="00F73140">
        <w:rPr>
          <w:rFonts w:ascii="Times New Roman" w:hAnsi="Times New Roman" w:cs="Times New Roman"/>
          <w:sz w:val="24"/>
          <w:szCs w:val="24"/>
        </w:rPr>
        <w:t>the CPP had planned to scale up its programme in different regions.</w:t>
      </w:r>
    </w:p>
    <w:p w:rsidR="008B576B" w:rsidRDefault="00F73140" w:rsidP="00AA219E">
      <w:pPr>
        <w:pStyle w:val="BodyText"/>
        <w:spacing w:after="160" w:line="264" w:lineRule="auto"/>
        <w:ind w:left="420"/>
        <w:jc w:val="both"/>
        <w:rPr>
          <w:rFonts w:ascii="Times New Roman" w:hAnsi="Times New Roman" w:cs="Times New Roman"/>
          <w:sz w:val="24"/>
          <w:szCs w:val="24"/>
        </w:rPr>
      </w:pPr>
      <w:r>
        <w:rPr>
          <w:rFonts w:ascii="Times New Roman" w:hAnsi="Times New Roman" w:cs="Times New Roman"/>
          <w:sz w:val="24"/>
          <w:szCs w:val="24"/>
        </w:rPr>
        <w:t xml:space="preserve">CPP hired a fully dedicated M&amp;E officer from early 2013, finalized M&amp;E framework and </w:t>
      </w:r>
      <w:r w:rsidR="008B576B">
        <w:rPr>
          <w:rFonts w:ascii="Times New Roman" w:hAnsi="Times New Roman" w:cs="Times New Roman"/>
          <w:sz w:val="24"/>
          <w:szCs w:val="24"/>
        </w:rPr>
        <w:t>strengthened outcome</w:t>
      </w:r>
      <w:r>
        <w:rPr>
          <w:rFonts w:ascii="Times New Roman" w:hAnsi="Times New Roman" w:cs="Times New Roman"/>
          <w:sz w:val="24"/>
          <w:szCs w:val="24"/>
        </w:rPr>
        <w:t xml:space="preserve"> and output indicators based monitoring system. </w:t>
      </w:r>
      <w:r w:rsidR="008B576B">
        <w:rPr>
          <w:rFonts w:ascii="Times New Roman" w:hAnsi="Times New Roman" w:cs="Times New Roman"/>
          <w:sz w:val="24"/>
          <w:szCs w:val="24"/>
        </w:rPr>
        <w:t xml:space="preserve">The quarterly progamme review process has been initiated to be more responsive and relevant as per the changing context and inform programming process based on challenges and lessons learned.  </w:t>
      </w:r>
    </w:p>
    <w:p w:rsidR="007A20D6" w:rsidRDefault="00AA219E" w:rsidP="00B71E06">
      <w:pPr>
        <w:pStyle w:val="BodyText"/>
        <w:ind w:firstLine="360"/>
        <w:rPr>
          <w:rFonts w:ascii="Times New Roman" w:hAnsi="Times New Roman"/>
          <w:sz w:val="24"/>
        </w:rPr>
      </w:pPr>
      <w:r>
        <w:rPr>
          <w:rFonts w:ascii="Times New Roman" w:hAnsi="Times New Roman" w:cs="Times New Roman"/>
          <w:sz w:val="24"/>
          <w:szCs w:val="24"/>
        </w:rPr>
        <w:lastRenderedPageBreak/>
        <w:t xml:space="preserve">Monitoring </w:t>
      </w:r>
      <w:r w:rsidR="008B576B">
        <w:rPr>
          <w:rFonts w:ascii="Times New Roman" w:hAnsi="Times New Roman" w:cs="Times New Roman"/>
          <w:sz w:val="24"/>
          <w:szCs w:val="24"/>
        </w:rPr>
        <w:t xml:space="preserve">is </w:t>
      </w:r>
      <w:r>
        <w:rPr>
          <w:rFonts w:ascii="Times New Roman" w:hAnsi="Times New Roman" w:cs="Times New Roman"/>
          <w:sz w:val="24"/>
          <w:szCs w:val="24"/>
        </w:rPr>
        <w:t xml:space="preserve">further strengthened </w:t>
      </w:r>
      <w:r w:rsidR="008B576B">
        <w:rPr>
          <w:rFonts w:ascii="Times New Roman" w:hAnsi="Times New Roman" w:cs="Times New Roman"/>
          <w:sz w:val="24"/>
          <w:szCs w:val="24"/>
        </w:rPr>
        <w:t>through regular</w:t>
      </w:r>
      <w:r>
        <w:rPr>
          <w:rFonts w:ascii="Times New Roman" w:hAnsi="Times New Roman" w:cs="Times New Roman"/>
          <w:sz w:val="24"/>
          <w:szCs w:val="24"/>
        </w:rPr>
        <w:t xml:space="preserve"> </w:t>
      </w:r>
      <w:r w:rsidR="008B576B">
        <w:rPr>
          <w:rFonts w:ascii="Times New Roman" w:hAnsi="Times New Roman" w:cs="Times New Roman"/>
          <w:sz w:val="24"/>
          <w:szCs w:val="24"/>
        </w:rPr>
        <w:t xml:space="preserve">field monitoring </w:t>
      </w:r>
      <w:r>
        <w:rPr>
          <w:rFonts w:ascii="Times New Roman" w:hAnsi="Times New Roman" w:cs="Times New Roman"/>
          <w:sz w:val="24"/>
          <w:szCs w:val="24"/>
        </w:rPr>
        <w:t xml:space="preserve">missions by </w:t>
      </w:r>
      <w:r w:rsidR="008B576B">
        <w:rPr>
          <w:rFonts w:ascii="Times New Roman" w:hAnsi="Times New Roman" w:cs="Times New Roman"/>
          <w:sz w:val="24"/>
          <w:szCs w:val="24"/>
        </w:rPr>
        <w:t>the Central</w:t>
      </w:r>
      <w:r>
        <w:rPr>
          <w:rFonts w:ascii="Times New Roman" w:hAnsi="Times New Roman" w:cs="Times New Roman"/>
          <w:sz w:val="24"/>
          <w:szCs w:val="24"/>
        </w:rPr>
        <w:t xml:space="preserve"> Office</w:t>
      </w:r>
      <w:r w:rsidR="008B576B">
        <w:rPr>
          <w:rFonts w:ascii="Times New Roman" w:hAnsi="Times New Roman" w:cs="Times New Roman"/>
          <w:sz w:val="24"/>
          <w:szCs w:val="24"/>
        </w:rPr>
        <w:t>.</w:t>
      </w:r>
    </w:p>
    <w:sectPr w:rsidR="007A20D6"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34" w:rsidRDefault="00611834">
      <w:r>
        <w:separator/>
      </w:r>
    </w:p>
  </w:endnote>
  <w:endnote w:type="continuationSeparator" w:id="0">
    <w:p w:rsidR="00611834" w:rsidRDefault="0061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5D" w:rsidRDefault="00BA4F5D">
    <w:pPr>
      <w:pStyle w:val="Footer"/>
      <w:pBdr>
        <w:top w:val="single" w:sz="4" w:space="1" w:color="auto"/>
      </w:pBdr>
      <w:tabs>
        <w:tab w:val="clear" w:pos="4320"/>
        <w:tab w:val="clear" w:pos="8640"/>
        <w:tab w:val="center" w:pos="4500"/>
        <w:tab w:val="right" w:pos="9000"/>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5D" w:rsidRDefault="00BA4F5D">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sidR="00631D4F">
      <w:rPr>
        <w:rFonts w:ascii="Arial" w:hAnsi="Arial" w:cs="Arial"/>
        <w:sz w:val="18"/>
        <w:szCs w:val="18"/>
      </w:rPr>
      <w:fldChar w:fldCharType="begin"/>
    </w:r>
    <w:r>
      <w:rPr>
        <w:rFonts w:ascii="Arial" w:hAnsi="Arial" w:cs="Arial"/>
        <w:sz w:val="18"/>
        <w:szCs w:val="18"/>
      </w:rPr>
      <w:instrText xml:space="preserve"> PAGE   \* MERGEFORMAT </w:instrText>
    </w:r>
    <w:r w:rsidR="00631D4F">
      <w:rPr>
        <w:rFonts w:ascii="Arial" w:hAnsi="Arial" w:cs="Arial"/>
        <w:sz w:val="18"/>
        <w:szCs w:val="18"/>
      </w:rPr>
      <w:fldChar w:fldCharType="separate"/>
    </w:r>
    <w:r>
      <w:rPr>
        <w:rFonts w:ascii="Arial" w:hAnsi="Arial" w:cs="Arial"/>
        <w:noProof/>
        <w:sz w:val="18"/>
        <w:szCs w:val="18"/>
      </w:rPr>
      <w:t>5</w:t>
    </w:r>
    <w:r w:rsidR="00631D4F">
      <w:rPr>
        <w:rFonts w:ascii="Arial" w:hAnsi="Arial" w:cs="Arial"/>
        <w:sz w:val="18"/>
        <w:szCs w:val="18"/>
      </w:rPr>
      <w:fldChar w:fldCharType="end"/>
    </w:r>
    <w:r>
      <w:rPr>
        <w:rFonts w:ascii="Arial" w:hAnsi="Arial" w:cs="Arial"/>
        <w:sz w:val="18"/>
        <w:szCs w:val="18"/>
      </w:rPr>
      <w:t xml:space="preserve"> of </w:t>
    </w:r>
    <w:fldSimple w:instr=" NUMPAGES   \* MERGEFORMAT ">
      <w:r w:rsidR="0024041F" w:rsidRPr="0024041F">
        <w:rPr>
          <w:rFonts w:ascii="Arial" w:hAnsi="Arial" w:cs="Arial"/>
          <w:noProof/>
          <w:sz w:val="18"/>
          <w:szCs w:val="18"/>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34" w:rsidRDefault="00611834">
      <w:r>
        <w:separator/>
      </w:r>
    </w:p>
  </w:footnote>
  <w:footnote w:type="continuationSeparator" w:id="0">
    <w:p w:rsidR="00611834" w:rsidRDefault="00611834">
      <w:r>
        <w:continuationSeparator/>
      </w:r>
    </w:p>
  </w:footnote>
  <w:footnote w:id="1">
    <w:p w:rsidR="000E2DE8" w:rsidRPr="00F83DC8" w:rsidRDefault="000E2DE8" w:rsidP="000E2DE8">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0E2DE8" w:rsidRDefault="000E2DE8" w:rsidP="000E2DE8">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0E2DE8" w:rsidRDefault="000E2DE8" w:rsidP="000E2DE8">
      <w:pPr>
        <w:pStyle w:val="FootnoteText"/>
      </w:pPr>
      <w:r>
        <w:rPr>
          <w:rStyle w:val="FootnoteReference"/>
        </w:rPr>
        <w:footnoteRef/>
      </w:r>
      <w:r>
        <w:t xml:space="preserve"> The MPTF Office Project Reference Number is the same number as the one on the Notification message. It is also referred to as  “Project ID” on the project’s factsheet page on the </w:t>
      </w:r>
      <w:hyperlink r:id="rId1" w:history="1">
        <w:r w:rsidRPr="00F80443">
          <w:rPr>
            <w:rStyle w:val="Hyperlink"/>
          </w:rPr>
          <w:t>MPTF Office GATEWAY</w:t>
        </w:r>
      </w:hyperlink>
      <w:r>
        <w:t>.</w:t>
      </w:r>
    </w:p>
  </w:footnote>
  <w:footnote w:id="4">
    <w:p w:rsidR="000E2DE8" w:rsidRDefault="000E2DE8" w:rsidP="000E2DE8">
      <w:pPr>
        <w:pStyle w:val="FootnoteText"/>
      </w:pPr>
      <w:r>
        <w:rPr>
          <w:rStyle w:val="FootnoteReference"/>
        </w:rPr>
        <w:footnoteRef/>
      </w:r>
      <w:r>
        <w:t xml:space="preserve"> The MPTF/JP Contribution is the amount transferred to the Participating UN Organizations – see </w:t>
      </w:r>
      <w:hyperlink r:id="rId2" w:history="1">
        <w:r w:rsidRPr="00F80443">
          <w:rPr>
            <w:rStyle w:val="Hyperlink"/>
          </w:rPr>
          <w:t>MPTF Office GATEWAY</w:t>
        </w:r>
      </w:hyperlink>
      <w:r>
        <w:t xml:space="preserve"> </w:t>
      </w:r>
    </w:p>
  </w:footnote>
  <w:footnote w:id="5">
    <w:p w:rsidR="000E2DE8" w:rsidRDefault="000E2DE8" w:rsidP="000E2DE8">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0E2DE8" w:rsidRDefault="000E2DE8" w:rsidP="000E2DE8">
      <w:pPr>
        <w:pStyle w:val="FootnoteText"/>
      </w:pPr>
      <w:r>
        <w:rPr>
          <w:rStyle w:val="FootnoteReference"/>
        </w:rPr>
        <w:footnoteRef/>
      </w:r>
      <w:r>
        <w:t xml:space="preserve"> As per approval of the original project document by the relevant decision-making body/Steering Committee.</w:t>
      </w:r>
    </w:p>
  </w:footnote>
  <w:footnote w:id="7">
    <w:p w:rsidR="000E2DE8" w:rsidRDefault="000E2DE8" w:rsidP="000E2DE8">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Please see </w:t>
      </w:r>
      <w:hyperlink r:id="rId4" w:history="1">
        <w:r w:rsidRPr="00C850A3">
          <w:rPr>
            <w:rStyle w:val="Hyperlink"/>
          </w:rPr>
          <w:t>MPTF Office Closure Guidelines</w:t>
        </w:r>
      </w:hyperlink>
      <w:r>
        <w:t xml:space="preserve">.   </w:t>
      </w:r>
    </w:p>
  </w:footnote>
  <w:footnote w:id="8">
    <w:p w:rsidR="000E2DE8" w:rsidRDefault="000E2DE8" w:rsidP="000E2DE8">
      <w:pPr>
        <w:pStyle w:val="FootnoteText"/>
      </w:pPr>
      <w:r>
        <w:rPr>
          <w:rStyle w:val="FootnoteReference"/>
        </w:rPr>
        <w:footnoteRef/>
      </w:r>
      <w:r>
        <w:t xml:space="preserve"> Financial Closure requires the return of unspent balances and submission of the </w:t>
      </w:r>
      <w:hyperlink r:id="rId5" w:history="1">
        <w:r w:rsidRPr="00545BEC">
          <w:rPr>
            <w:rStyle w:val="Hyperlink"/>
          </w:rPr>
          <w:t>Certified Final Financial Statement and Report.</w:t>
        </w:r>
      </w:hyperlink>
      <w:r>
        <w:t xml:space="preserve"> </w:t>
      </w:r>
    </w:p>
  </w:footnote>
  <w:footnote w:id="9">
    <w:p w:rsidR="007A20D6" w:rsidRDefault="007A20D6" w:rsidP="007A20D6">
      <w:pPr>
        <w:pStyle w:val="FootnoteText"/>
      </w:pPr>
      <w:r>
        <w:rPr>
          <w:rStyle w:val="FootnoteReference"/>
        </w:rPr>
        <w:t xml:space="preserve">1 </w:t>
      </w:r>
      <w:r>
        <w:t xml:space="preserve"> Source: minutes of the meeting and reports from the field. For details refer to success story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7A4E"/>
    <w:multiLevelType w:val="hybridMultilevel"/>
    <w:tmpl w:val="8A62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570"/>
    <w:multiLevelType w:val="hybridMultilevel"/>
    <w:tmpl w:val="012092BC"/>
    <w:lvl w:ilvl="0" w:tplc="A0624842">
      <w:start w:val="1"/>
      <w:numFmt w:val="upperRoman"/>
      <w:lvlText w:val="%1."/>
      <w:lvlJc w:val="left"/>
      <w:pPr>
        <w:tabs>
          <w:tab w:val="num" w:pos="720"/>
        </w:tabs>
        <w:ind w:left="72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DEA3F4A"/>
    <w:multiLevelType w:val="hybridMultilevel"/>
    <w:tmpl w:val="EA5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2029F3"/>
    <w:multiLevelType w:val="multilevel"/>
    <w:tmpl w:val="1024B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D1009"/>
    <w:multiLevelType w:val="hybridMultilevel"/>
    <w:tmpl w:val="6D7C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46240"/>
    <w:multiLevelType w:val="hybridMultilevel"/>
    <w:tmpl w:val="96E4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0"/>
  </w:num>
  <w:num w:numId="5">
    <w:abstractNumId w:val="4"/>
  </w:num>
  <w:num w:numId="6">
    <w:abstractNumId w:val="12"/>
  </w:num>
  <w:num w:numId="7">
    <w:abstractNumId w:val="5"/>
  </w:num>
  <w:num w:numId="8">
    <w:abstractNumId w:val="3"/>
  </w:num>
  <w:num w:numId="9">
    <w:abstractNumId w:val="9"/>
  </w:num>
  <w:num w:numId="10">
    <w:abstractNumId w:val="1"/>
  </w:num>
  <w:num w:numId="11">
    <w:abstractNumId w:val="11"/>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0149"/>
    <w:rsid w:val="00003AEB"/>
    <w:rsid w:val="000078BC"/>
    <w:rsid w:val="00007ECE"/>
    <w:rsid w:val="000121B0"/>
    <w:rsid w:val="000134CC"/>
    <w:rsid w:val="00015168"/>
    <w:rsid w:val="00016418"/>
    <w:rsid w:val="0001784D"/>
    <w:rsid w:val="00023835"/>
    <w:rsid w:val="00024F9B"/>
    <w:rsid w:val="000308D4"/>
    <w:rsid w:val="00031DC9"/>
    <w:rsid w:val="0004023F"/>
    <w:rsid w:val="00043245"/>
    <w:rsid w:val="00045134"/>
    <w:rsid w:val="00050FA9"/>
    <w:rsid w:val="0005278E"/>
    <w:rsid w:val="00052FF4"/>
    <w:rsid w:val="00064352"/>
    <w:rsid w:val="00066978"/>
    <w:rsid w:val="000803A0"/>
    <w:rsid w:val="00085C04"/>
    <w:rsid w:val="00090D90"/>
    <w:rsid w:val="00092501"/>
    <w:rsid w:val="00094B2F"/>
    <w:rsid w:val="00096711"/>
    <w:rsid w:val="000968C1"/>
    <w:rsid w:val="000978CA"/>
    <w:rsid w:val="000A0D0B"/>
    <w:rsid w:val="000A126F"/>
    <w:rsid w:val="000A146E"/>
    <w:rsid w:val="000A14F3"/>
    <w:rsid w:val="000A5536"/>
    <w:rsid w:val="000A5666"/>
    <w:rsid w:val="000B09FF"/>
    <w:rsid w:val="000B1368"/>
    <w:rsid w:val="000B268A"/>
    <w:rsid w:val="000B599B"/>
    <w:rsid w:val="000B7D96"/>
    <w:rsid w:val="000C0119"/>
    <w:rsid w:val="000C03EE"/>
    <w:rsid w:val="000C0B78"/>
    <w:rsid w:val="000C2A11"/>
    <w:rsid w:val="000C35B0"/>
    <w:rsid w:val="000C656D"/>
    <w:rsid w:val="000D2F85"/>
    <w:rsid w:val="000D498F"/>
    <w:rsid w:val="000D6D9C"/>
    <w:rsid w:val="000E2DE8"/>
    <w:rsid w:val="000F23F3"/>
    <w:rsid w:val="000F2D1D"/>
    <w:rsid w:val="000F65A4"/>
    <w:rsid w:val="00105897"/>
    <w:rsid w:val="00106A96"/>
    <w:rsid w:val="00107760"/>
    <w:rsid w:val="00107E3F"/>
    <w:rsid w:val="001114B2"/>
    <w:rsid w:val="0011469D"/>
    <w:rsid w:val="00114C7D"/>
    <w:rsid w:val="0011699C"/>
    <w:rsid w:val="00122622"/>
    <w:rsid w:val="0012303A"/>
    <w:rsid w:val="00123EC0"/>
    <w:rsid w:val="00124B56"/>
    <w:rsid w:val="00124FA6"/>
    <w:rsid w:val="00126292"/>
    <w:rsid w:val="00127DC7"/>
    <w:rsid w:val="00132552"/>
    <w:rsid w:val="0013530A"/>
    <w:rsid w:val="0013612C"/>
    <w:rsid w:val="00136A69"/>
    <w:rsid w:val="00144ED5"/>
    <w:rsid w:val="0014549D"/>
    <w:rsid w:val="00145891"/>
    <w:rsid w:val="0015472D"/>
    <w:rsid w:val="00155E5C"/>
    <w:rsid w:val="0015763B"/>
    <w:rsid w:val="001602DF"/>
    <w:rsid w:val="00160579"/>
    <w:rsid w:val="001649DC"/>
    <w:rsid w:val="00165038"/>
    <w:rsid w:val="00166951"/>
    <w:rsid w:val="00170DD0"/>
    <w:rsid w:val="00171470"/>
    <w:rsid w:val="001737DA"/>
    <w:rsid w:val="001756BF"/>
    <w:rsid w:val="001767EF"/>
    <w:rsid w:val="001854AB"/>
    <w:rsid w:val="00193B41"/>
    <w:rsid w:val="001957DC"/>
    <w:rsid w:val="00197C6B"/>
    <w:rsid w:val="001A2C73"/>
    <w:rsid w:val="001A5801"/>
    <w:rsid w:val="001A6C5F"/>
    <w:rsid w:val="001C1E68"/>
    <w:rsid w:val="001C209F"/>
    <w:rsid w:val="001D242B"/>
    <w:rsid w:val="001D4CA5"/>
    <w:rsid w:val="001D4F94"/>
    <w:rsid w:val="001D757B"/>
    <w:rsid w:val="001E101F"/>
    <w:rsid w:val="001E21A6"/>
    <w:rsid w:val="001E2946"/>
    <w:rsid w:val="001E5E20"/>
    <w:rsid w:val="001E6373"/>
    <w:rsid w:val="001F1AF6"/>
    <w:rsid w:val="001F4683"/>
    <w:rsid w:val="001F4D9E"/>
    <w:rsid w:val="001F58EF"/>
    <w:rsid w:val="00204B81"/>
    <w:rsid w:val="00205F81"/>
    <w:rsid w:val="00206941"/>
    <w:rsid w:val="00211286"/>
    <w:rsid w:val="0021182F"/>
    <w:rsid w:val="00212FEB"/>
    <w:rsid w:val="00213E87"/>
    <w:rsid w:val="00215D1B"/>
    <w:rsid w:val="00217939"/>
    <w:rsid w:val="002179BB"/>
    <w:rsid w:val="00220D29"/>
    <w:rsid w:val="00232463"/>
    <w:rsid w:val="00233E28"/>
    <w:rsid w:val="0023517B"/>
    <w:rsid w:val="0023529C"/>
    <w:rsid w:val="002356CD"/>
    <w:rsid w:val="0024041F"/>
    <w:rsid w:val="00240B16"/>
    <w:rsid w:val="00241DAA"/>
    <w:rsid w:val="00241F42"/>
    <w:rsid w:val="00243F99"/>
    <w:rsid w:val="00251130"/>
    <w:rsid w:val="0025238C"/>
    <w:rsid w:val="00255340"/>
    <w:rsid w:val="00255B0E"/>
    <w:rsid w:val="0025606E"/>
    <w:rsid w:val="00257C91"/>
    <w:rsid w:val="00261234"/>
    <w:rsid w:val="002637DC"/>
    <w:rsid w:val="00263A76"/>
    <w:rsid w:val="00267D88"/>
    <w:rsid w:val="0027001F"/>
    <w:rsid w:val="00270043"/>
    <w:rsid w:val="00274F02"/>
    <w:rsid w:val="00275A4A"/>
    <w:rsid w:val="002769C0"/>
    <w:rsid w:val="002801C6"/>
    <w:rsid w:val="002805D4"/>
    <w:rsid w:val="00280FB9"/>
    <w:rsid w:val="00284411"/>
    <w:rsid w:val="0028595B"/>
    <w:rsid w:val="002A02A4"/>
    <w:rsid w:val="002A3031"/>
    <w:rsid w:val="002A340B"/>
    <w:rsid w:val="002A5950"/>
    <w:rsid w:val="002A6952"/>
    <w:rsid w:val="002A6CF0"/>
    <w:rsid w:val="002A7665"/>
    <w:rsid w:val="002B06BB"/>
    <w:rsid w:val="002B0D7F"/>
    <w:rsid w:val="002B14C9"/>
    <w:rsid w:val="002B2B6B"/>
    <w:rsid w:val="002B4D66"/>
    <w:rsid w:val="002C126A"/>
    <w:rsid w:val="002C4915"/>
    <w:rsid w:val="002C4A03"/>
    <w:rsid w:val="002C690B"/>
    <w:rsid w:val="002C6E2F"/>
    <w:rsid w:val="002D5C59"/>
    <w:rsid w:val="002D69DE"/>
    <w:rsid w:val="002D6B27"/>
    <w:rsid w:val="002E1776"/>
    <w:rsid w:val="002E50CF"/>
    <w:rsid w:val="002E77D1"/>
    <w:rsid w:val="002E7B05"/>
    <w:rsid w:val="002E7B2A"/>
    <w:rsid w:val="002F1156"/>
    <w:rsid w:val="002F3EFE"/>
    <w:rsid w:val="002F5953"/>
    <w:rsid w:val="002F5E80"/>
    <w:rsid w:val="002F626C"/>
    <w:rsid w:val="00303A3A"/>
    <w:rsid w:val="0030509D"/>
    <w:rsid w:val="00310168"/>
    <w:rsid w:val="00310C19"/>
    <w:rsid w:val="003121FB"/>
    <w:rsid w:val="00312685"/>
    <w:rsid w:val="00314A5F"/>
    <w:rsid w:val="00320722"/>
    <w:rsid w:val="00320895"/>
    <w:rsid w:val="0032350E"/>
    <w:rsid w:val="00330077"/>
    <w:rsid w:val="0033662C"/>
    <w:rsid w:val="003369D5"/>
    <w:rsid w:val="0034386B"/>
    <w:rsid w:val="00346939"/>
    <w:rsid w:val="00346CB7"/>
    <w:rsid w:val="00346FFE"/>
    <w:rsid w:val="00351A14"/>
    <w:rsid w:val="00353CD0"/>
    <w:rsid w:val="00356D08"/>
    <w:rsid w:val="00360431"/>
    <w:rsid w:val="00360501"/>
    <w:rsid w:val="00360945"/>
    <w:rsid w:val="0036774E"/>
    <w:rsid w:val="00372A95"/>
    <w:rsid w:val="00375B49"/>
    <w:rsid w:val="00375FFA"/>
    <w:rsid w:val="003806B4"/>
    <w:rsid w:val="003815EF"/>
    <w:rsid w:val="00382573"/>
    <w:rsid w:val="003879DF"/>
    <w:rsid w:val="00390F98"/>
    <w:rsid w:val="00395E82"/>
    <w:rsid w:val="00396D76"/>
    <w:rsid w:val="003A1AF5"/>
    <w:rsid w:val="003A77A2"/>
    <w:rsid w:val="003B0303"/>
    <w:rsid w:val="003B1DFF"/>
    <w:rsid w:val="003B22B2"/>
    <w:rsid w:val="003B454A"/>
    <w:rsid w:val="003B79F8"/>
    <w:rsid w:val="003C1A52"/>
    <w:rsid w:val="003C3941"/>
    <w:rsid w:val="003C3FC0"/>
    <w:rsid w:val="003C4D74"/>
    <w:rsid w:val="003D13A8"/>
    <w:rsid w:val="003D210A"/>
    <w:rsid w:val="003D3325"/>
    <w:rsid w:val="003D4222"/>
    <w:rsid w:val="003D4331"/>
    <w:rsid w:val="003D4CDA"/>
    <w:rsid w:val="003E51E4"/>
    <w:rsid w:val="003E62C0"/>
    <w:rsid w:val="003F446E"/>
    <w:rsid w:val="003F480D"/>
    <w:rsid w:val="003F5497"/>
    <w:rsid w:val="003F6918"/>
    <w:rsid w:val="003F6ABC"/>
    <w:rsid w:val="00405A55"/>
    <w:rsid w:val="0041185F"/>
    <w:rsid w:val="004160BF"/>
    <w:rsid w:val="0041757A"/>
    <w:rsid w:val="00417B11"/>
    <w:rsid w:val="00422D8B"/>
    <w:rsid w:val="00423E99"/>
    <w:rsid w:val="0042485A"/>
    <w:rsid w:val="00427179"/>
    <w:rsid w:val="004321E9"/>
    <w:rsid w:val="00432267"/>
    <w:rsid w:val="00435C09"/>
    <w:rsid w:val="00442C6B"/>
    <w:rsid w:val="00442F4C"/>
    <w:rsid w:val="0044408D"/>
    <w:rsid w:val="00450349"/>
    <w:rsid w:val="00452ED1"/>
    <w:rsid w:val="00455DEA"/>
    <w:rsid w:val="00456CE1"/>
    <w:rsid w:val="00457775"/>
    <w:rsid w:val="004600E3"/>
    <w:rsid w:val="004658BE"/>
    <w:rsid w:val="00465B26"/>
    <w:rsid w:val="00466449"/>
    <w:rsid w:val="00466DEB"/>
    <w:rsid w:val="00466E3B"/>
    <w:rsid w:val="00470009"/>
    <w:rsid w:val="00470743"/>
    <w:rsid w:val="00471235"/>
    <w:rsid w:val="00472C03"/>
    <w:rsid w:val="0047708F"/>
    <w:rsid w:val="00480C5E"/>
    <w:rsid w:val="00482220"/>
    <w:rsid w:val="004863CF"/>
    <w:rsid w:val="00490F0E"/>
    <w:rsid w:val="0049327D"/>
    <w:rsid w:val="00494E12"/>
    <w:rsid w:val="004A0A50"/>
    <w:rsid w:val="004A3824"/>
    <w:rsid w:val="004A4E20"/>
    <w:rsid w:val="004A7447"/>
    <w:rsid w:val="004B3940"/>
    <w:rsid w:val="004B3DEB"/>
    <w:rsid w:val="004B5AAB"/>
    <w:rsid w:val="004C046C"/>
    <w:rsid w:val="004C62BF"/>
    <w:rsid w:val="004C6C3B"/>
    <w:rsid w:val="004D0D38"/>
    <w:rsid w:val="004D1571"/>
    <w:rsid w:val="004D52B0"/>
    <w:rsid w:val="004E275D"/>
    <w:rsid w:val="004E4B51"/>
    <w:rsid w:val="004E7392"/>
    <w:rsid w:val="004F5F38"/>
    <w:rsid w:val="004F6B31"/>
    <w:rsid w:val="004F71AC"/>
    <w:rsid w:val="005014CA"/>
    <w:rsid w:val="00510055"/>
    <w:rsid w:val="00510D98"/>
    <w:rsid w:val="00521F30"/>
    <w:rsid w:val="005223E2"/>
    <w:rsid w:val="00525D35"/>
    <w:rsid w:val="0052663C"/>
    <w:rsid w:val="005268DC"/>
    <w:rsid w:val="0052760B"/>
    <w:rsid w:val="00532946"/>
    <w:rsid w:val="00532A92"/>
    <w:rsid w:val="0053545E"/>
    <w:rsid w:val="005356D3"/>
    <w:rsid w:val="00535A1B"/>
    <w:rsid w:val="00537107"/>
    <w:rsid w:val="00537CAD"/>
    <w:rsid w:val="00540142"/>
    <w:rsid w:val="00540389"/>
    <w:rsid w:val="0054316B"/>
    <w:rsid w:val="005443BB"/>
    <w:rsid w:val="005473D7"/>
    <w:rsid w:val="00555A12"/>
    <w:rsid w:val="0055789D"/>
    <w:rsid w:val="005578E7"/>
    <w:rsid w:val="00573DAD"/>
    <w:rsid w:val="00577132"/>
    <w:rsid w:val="00581F54"/>
    <w:rsid w:val="00582363"/>
    <w:rsid w:val="00583C69"/>
    <w:rsid w:val="00584C19"/>
    <w:rsid w:val="0058622B"/>
    <w:rsid w:val="005877C3"/>
    <w:rsid w:val="00591C0B"/>
    <w:rsid w:val="0059646F"/>
    <w:rsid w:val="00597171"/>
    <w:rsid w:val="00597E52"/>
    <w:rsid w:val="005A0F3F"/>
    <w:rsid w:val="005A3912"/>
    <w:rsid w:val="005B1CBB"/>
    <w:rsid w:val="005B1F46"/>
    <w:rsid w:val="005B4B46"/>
    <w:rsid w:val="005B607F"/>
    <w:rsid w:val="005C0233"/>
    <w:rsid w:val="005C1731"/>
    <w:rsid w:val="005C3AFF"/>
    <w:rsid w:val="005C76B8"/>
    <w:rsid w:val="005D27D4"/>
    <w:rsid w:val="005D328C"/>
    <w:rsid w:val="005D3696"/>
    <w:rsid w:val="005D4D4D"/>
    <w:rsid w:val="005D5245"/>
    <w:rsid w:val="005D5D53"/>
    <w:rsid w:val="005D746B"/>
    <w:rsid w:val="005E4EDD"/>
    <w:rsid w:val="005F0467"/>
    <w:rsid w:val="005F2980"/>
    <w:rsid w:val="006002EE"/>
    <w:rsid w:val="00601E0F"/>
    <w:rsid w:val="006020B1"/>
    <w:rsid w:val="00603A7A"/>
    <w:rsid w:val="006053F9"/>
    <w:rsid w:val="006103DB"/>
    <w:rsid w:val="00610EB4"/>
    <w:rsid w:val="006117B9"/>
    <w:rsid w:val="00611834"/>
    <w:rsid w:val="00615E8B"/>
    <w:rsid w:val="00616F9F"/>
    <w:rsid w:val="00617CFC"/>
    <w:rsid w:val="00620475"/>
    <w:rsid w:val="006207FA"/>
    <w:rsid w:val="00622E60"/>
    <w:rsid w:val="00623AB2"/>
    <w:rsid w:val="00631D4F"/>
    <w:rsid w:val="00636936"/>
    <w:rsid w:val="006410C6"/>
    <w:rsid w:val="00641437"/>
    <w:rsid w:val="00642CD8"/>
    <w:rsid w:val="006447B1"/>
    <w:rsid w:val="0064485B"/>
    <w:rsid w:val="00644AB5"/>
    <w:rsid w:val="00645E3A"/>
    <w:rsid w:val="00650E20"/>
    <w:rsid w:val="0065590C"/>
    <w:rsid w:val="00655D27"/>
    <w:rsid w:val="00656759"/>
    <w:rsid w:val="00657F9D"/>
    <w:rsid w:val="006602F1"/>
    <w:rsid w:val="00665C96"/>
    <w:rsid w:val="00673516"/>
    <w:rsid w:val="00675934"/>
    <w:rsid w:val="0068496F"/>
    <w:rsid w:val="00685670"/>
    <w:rsid w:val="00685ABC"/>
    <w:rsid w:val="00687BF6"/>
    <w:rsid w:val="00693899"/>
    <w:rsid w:val="00693D3F"/>
    <w:rsid w:val="00695BAC"/>
    <w:rsid w:val="006A02C4"/>
    <w:rsid w:val="006A1378"/>
    <w:rsid w:val="006B1DEC"/>
    <w:rsid w:val="006B42EB"/>
    <w:rsid w:val="006C13B0"/>
    <w:rsid w:val="006C6F93"/>
    <w:rsid w:val="006C78B5"/>
    <w:rsid w:val="006D3D21"/>
    <w:rsid w:val="006E3927"/>
    <w:rsid w:val="006E7057"/>
    <w:rsid w:val="006F0344"/>
    <w:rsid w:val="006F0970"/>
    <w:rsid w:val="006F1D4C"/>
    <w:rsid w:val="006F301D"/>
    <w:rsid w:val="006F4639"/>
    <w:rsid w:val="006F4E81"/>
    <w:rsid w:val="006F7271"/>
    <w:rsid w:val="00701188"/>
    <w:rsid w:val="0070317A"/>
    <w:rsid w:val="0070378C"/>
    <w:rsid w:val="007041E5"/>
    <w:rsid w:val="0070460B"/>
    <w:rsid w:val="0070583F"/>
    <w:rsid w:val="0070645E"/>
    <w:rsid w:val="00706F2F"/>
    <w:rsid w:val="007100E0"/>
    <w:rsid w:val="00711441"/>
    <w:rsid w:val="0071347B"/>
    <w:rsid w:val="0071507D"/>
    <w:rsid w:val="00717598"/>
    <w:rsid w:val="00717BFE"/>
    <w:rsid w:val="00717C7A"/>
    <w:rsid w:val="00723C79"/>
    <w:rsid w:val="00725252"/>
    <w:rsid w:val="00725CBF"/>
    <w:rsid w:val="00730077"/>
    <w:rsid w:val="0073084A"/>
    <w:rsid w:val="00733BB2"/>
    <w:rsid w:val="007416AC"/>
    <w:rsid w:val="007418FC"/>
    <w:rsid w:val="00744618"/>
    <w:rsid w:val="00747763"/>
    <w:rsid w:val="007501B3"/>
    <w:rsid w:val="00751E22"/>
    <w:rsid w:val="00754D34"/>
    <w:rsid w:val="00760206"/>
    <w:rsid w:val="00761A24"/>
    <w:rsid w:val="007626D9"/>
    <w:rsid w:val="00763690"/>
    <w:rsid w:val="00764769"/>
    <w:rsid w:val="0076522F"/>
    <w:rsid w:val="00766AF4"/>
    <w:rsid w:val="00766B02"/>
    <w:rsid w:val="007678A1"/>
    <w:rsid w:val="00771F7F"/>
    <w:rsid w:val="007723A7"/>
    <w:rsid w:val="0077310A"/>
    <w:rsid w:val="00773149"/>
    <w:rsid w:val="00774E33"/>
    <w:rsid w:val="00782335"/>
    <w:rsid w:val="0078330D"/>
    <w:rsid w:val="00783CE2"/>
    <w:rsid w:val="007A20D6"/>
    <w:rsid w:val="007A7481"/>
    <w:rsid w:val="007B641A"/>
    <w:rsid w:val="007C14A5"/>
    <w:rsid w:val="007D144D"/>
    <w:rsid w:val="007D37BA"/>
    <w:rsid w:val="007D76F9"/>
    <w:rsid w:val="007E0702"/>
    <w:rsid w:val="007E1033"/>
    <w:rsid w:val="007E464F"/>
    <w:rsid w:val="007E4FE2"/>
    <w:rsid w:val="007F1E32"/>
    <w:rsid w:val="007F5010"/>
    <w:rsid w:val="0080284B"/>
    <w:rsid w:val="00807A04"/>
    <w:rsid w:val="00810B72"/>
    <w:rsid w:val="00811DC6"/>
    <w:rsid w:val="008130FF"/>
    <w:rsid w:val="00813AC1"/>
    <w:rsid w:val="00814B1B"/>
    <w:rsid w:val="0082670A"/>
    <w:rsid w:val="00826E75"/>
    <w:rsid w:val="00832740"/>
    <w:rsid w:val="008375DF"/>
    <w:rsid w:val="0084010D"/>
    <w:rsid w:val="00843477"/>
    <w:rsid w:val="00846A34"/>
    <w:rsid w:val="00846B54"/>
    <w:rsid w:val="00847324"/>
    <w:rsid w:val="008552F1"/>
    <w:rsid w:val="00857CFA"/>
    <w:rsid w:val="00862256"/>
    <w:rsid w:val="008654FB"/>
    <w:rsid w:val="00865FF9"/>
    <w:rsid w:val="008678FD"/>
    <w:rsid w:val="008679D3"/>
    <w:rsid w:val="00872B6C"/>
    <w:rsid w:val="0087336E"/>
    <w:rsid w:val="00875706"/>
    <w:rsid w:val="008757F2"/>
    <w:rsid w:val="008777F7"/>
    <w:rsid w:val="008809EA"/>
    <w:rsid w:val="00881946"/>
    <w:rsid w:val="0088302C"/>
    <w:rsid w:val="008877E3"/>
    <w:rsid w:val="00890C05"/>
    <w:rsid w:val="00892409"/>
    <w:rsid w:val="008926FE"/>
    <w:rsid w:val="008954F8"/>
    <w:rsid w:val="008A295D"/>
    <w:rsid w:val="008B089E"/>
    <w:rsid w:val="008B576B"/>
    <w:rsid w:val="008B609E"/>
    <w:rsid w:val="008C1C25"/>
    <w:rsid w:val="008C224A"/>
    <w:rsid w:val="008C3A05"/>
    <w:rsid w:val="008C443A"/>
    <w:rsid w:val="008C479C"/>
    <w:rsid w:val="008C493E"/>
    <w:rsid w:val="008C7B0B"/>
    <w:rsid w:val="008D05CD"/>
    <w:rsid w:val="008D49CD"/>
    <w:rsid w:val="008D685F"/>
    <w:rsid w:val="008D76B2"/>
    <w:rsid w:val="008E0959"/>
    <w:rsid w:val="008E0F0C"/>
    <w:rsid w:val="008E38CA"/>
    <w:rsid w:val="008E50CF"/>
    <w:rsid w:val="008E5B7B"/>
    <w:rsid w:val="008E5BE7"/>
    <w:rsid w:val="008E650C"/>
    <w:rsid w:val="008E6BFB"/>
    <w:rsid w:val="008E775C"/>
    <w:rsid w:val="008F12AC"/>
    <w:rsid w:val="008F2AC2"/>
    <w:rsid w:val="008F2BCF"/>
    <w:rsid w:val="008F7746"/>
    <w:rsid w:val="00903ED8"/>
    <w:rsid w:val="00906395"/>
    <w:rsid w:val="0090783A"/>
    <w:rsid w:val="00910018"/>
    <w:rsid w:val="00915000"/>
    <w:rsid w:val="00916967"/>
    <w:rsid w:val="009200E3"/>
    <w:rsid w:val="0092093C"/>
    <w:rsid w:val="00925EE6"/>
    <w:rsid w:val="009261CF"/>
    <w:rsid w:val="00937093"/>
    <w:rsid w:val="00942A18"/>
    <w:rsid w:val="00943B5F"/>
    <w:rsid w:val="00953BFD"/>
    <w:rsid w:val="00954264"/>
    <w:rsid w:val="00954AD0"/>
    <w:rsid w:val="00962458"/>
    <w:rsid w:val="00962E51"/>
    <w:rsid w:val="009654E0"/>
    <w:rsid w:val="0096704B"/>
    <w:rsid w:val="00967129"/>
    <w:rsid w:val="00971F63"/>
    <w:rsid w:val="0097453F"/>
    <w:rsid w:val="009764FE"/>
    <w:rsid w:val="00976DCC"/>
    <w:rsid w:val="00976E29"/>
    <w:rsid w:val="00983256"/>
    <w:rsid w:val="00983606"/>
    <w:rsid w:val="009848E7"/>
    <w:rsid w:val="009854A5"/>
    <w:rsid w:val="00986BA5"/>
    <w:rsid w:val="00994057"/>
    <w:rsid w:val="00995566"/>
    <w:rsid w:val="009B286A"/>
    <w:rsid w:val="009B3EC0"/>
    <w:rsid w:val="009C05C5"/>
    <w:rsid w:val="009C1C57"/>
    <w:rsid w:val="009C491E"/>
    <w:rsid w:val="009C54B4"/>
    <w:rsid w:val="009C5C27"/>
    <w:rsid w:val="009C7423"/>
    <w:rsid w:val="009C7CDF"/>
    <w:rsid w:val="009D0955"/>
    <w:rsid w:val="009D1A72"/>
    <w:rsid w:val="009D4FB1"/>
    <w:rsid w:val="009D5D55"/>
    <w:rsid w:val="009D68F1"/>
    <w:rsid w:val="009E1FDA"/>
    <w:rsid w:val="009E384F"/>
    <w:rsid w:val="009E3952"/>
    <w:rsid w:val="009E7543"/>
    <w:rsid w:val="009F043F"/>
    <w:rsid w:val="009F3E07"/>
    <w:rsid w:val="009F5AF1"/>
    <w:rsid w:val="009F649C"/>
    <w:rsid w:val="00A001B8"/>
    <w:rsid w:val="00A013D7"/>
    <w:rsid w:val="00A026AF"/>
    <w:rsid w:val="00A03233"/>
    <w:rsid w:val="00A04B39"/>
    <w:rsid w:val="00A06237"/>
    <w:rsid w:val="00A06DA5"/>
    <w:rsid w:val="00A153F2"/>
    <w:rsid w:val="00A17088"/>
    <w:rsid w:val="00A17B13"/>
    <w:rsid w:val="00A23616"/>
    <w:rsid w:val="00A2458B"/>
    <w:rsid w:val="00A26472"/>
    <w:rsid w:val="00A26D80"/>
    <w:rsid w:val="00A30CE0"/>
    <w:rsid w:val="00A310A3"/>
    <w:rsid w:val="00A31200"/>
    <w:rsid w:val="00A32FDA"/>
    <w:rsid w:val="00A33A02"/>
    <w:rsid w:val="00A359B9"/>
    <w:rsid w:val="00A41DDC"/>
    <w:rsid w:val="00A46E8F"/>
    <w:rsid w:val="00A51AF6"/>
    <w:rsid w:val="00A61216"/>
    <w:rsid w:val="00A65EFC"/>
    <w:rsid w:val="00A7197E"/>
    <w:rsid w:val="00A734CD"/>
    <w:rsid w:val="00A73BDF"/>
    <w:rsid w:val="00A74397"/>
    <w:rsid w:val="00A81AC4"/>
    <w:rsid w:val="00A81E35"/>
    <w:rsid w:val="00A81EFE"/>
    <w:rsid w:val="00A82D0D"/>
    <w:rsid w:val="00A862D6"/>
    <w:rsid w:val="00A90980"/>
    <w:rsid w:val="00A9121A"/>
    <w:rsid w:val="00A91552"/>
    <w:rsid w:val="00A91A74"/>
    <w:rsid w:val="00A93049"/>
    <w:rsid w:val="00A93A54"/>
    <w:rsid w:val="00A94383"/>
    <w:rsid w:val="00A96288"/>
    <w:rsid w:val="00AA219E"/>
    <w:rsid w:val="00AA4D9C"/>
    <w:rsid w:val="00AA6424"/>
    <w:rsid w:val="00AB0274"/>
    <w:rsid w:val="00AB0ABC"/>
    <w:rsid w:val="00AB36A9"/>
    <w:rsid w:val="00AB4503"/>
    <w:rsid w:val="00AC0117"/>
    <w:rsid w:val="00AC0B78"/>
    <w:rsid w:val="00AC2CF0"/>
    <w:rsid w:val="00AC4360"/>
    <w:rsid w:val="00AC5D88"/>
    <w:rsid w:val="00AC6753"/>
    <w:rsid w:val="00AC6E12"/>
    <w:rsid w:val="00AC7FD3"/>
    <w:rsid w:val="00AD1065"/>
    <w:rsid w:val="00AD1908"/>
    <w:rsid w:val="00AD1CE7"/>
    <w:rsid w:val="00AD1FA8"/>
    <w:rsid w:val="00AD3286"/>
    <w:rsid w:val="00AD4F41"/>
    <w:rsid w:val="00AD7BFD"/>
    <w:rsid w:val="00AE1F6B"/>
    <w:rsid w:val="00AE3237"/>
    <w:rsid w:val="00AE3459"/>
    <w:rsid w:val="00AE4A17"/>
    <w:rsid w:val="00AF21CD"/>
    <w:rsid w:val="00AF6095"/>
    <w:rsid w:val="00AF7B8F"/>
    <w:rsid w:val="00B07D4F"/>
    <w:rsid w:val="00B10622"/>
    <w:rsid w:val="00B10BA7"/>
    <w:rsid w:val="00B11C4C"/>
    <w:rsid w:val="00B17EEB"/>
    <w:rsid w:val="00B21C60"/>
    <w:rsid w:val="00B24CE1"/>
    <w:rsid w:val="00B26E7E"/>
    <w:rsid w:val="00B27172"/>
    <w:rsid w:val="00B30E23"/>
    <w:rsid w:val="00B36B8A"/>
    <w:rsid w:val="00B447C7"/>
    <w:rsid w:val="00B460A1"/>
    <w:rsid w:val="00B50BD2"/>
    <w:rsid w:val="00B54645"/>
    <w:rsid w:val="00B54704"/>
    <w:rsid w:val="00B55670"/>
    <w:rsid w:val="00B6773F"/>
    <w:rsid w:val="00B67EEC"/>
    <w:rsid w:val="00B71E06"/>
    <w:rsid w:val="00B72C73"/>
    <w:rsid w:val="00B72F0B"/>
    <w:rsid w:val="00B734EC"/>
    <w:rsid w:val="00B74478"/>
    <w:rsid w:val="00B746AB"/>
    <w:rsid w:val="00B7777C"/>
    <w:rsid w:val="00B84453"/>
    <w:rsid w:val="00B84BA4"/>
    <w:rsid w:val="00B912E2"/>
    <w:rsid w:val="00B93D91"/>
    <w:rsid w:val="00B97FBF"/>
    <w:rsid w:val="00BA3272"/>
    <w:rsid w:val="00BA3663"/>
    <w:rsid w:val="00BA4F5D"/>
    <w:rsid w:val="00BA5995"/>
    <w:rsid w:val="00BB0A3A"/>
    <w:rsid w:val="00BB17B3"/>
    <w:rsid w:val="00BB1EF4"/>
    <w:rsid w:val="00BB294F"/>
    <w:rsid w:val="00BB3696"/>
    <w:rsid w:val="00BB54D7"/>
    <w:rsid w:val="00BB5A76"/>
    <w:rsid w:val="00BB5AE0"/>
    <w:rsid w:val="00BB7074"/>
    <w:rsid w:val="00BC2F04"/>
    <w:rsid w:val="00BD17AE"/>
    <w:rsid w:val="00BE25ED"/>
    <w:rsid w:val="00BE31C8"/>
    <w:rsid w:val="00BE343A"/>
    <w:rsid w:val="00BE3B0B"/>
    <w:rsid w:val="00BE4BFA"/>
    <w:rsid w:val="00BE5B12"/>
    <w:rsid w:val="00BF0F8A"/>
    <w:rsid w:val="00BF1CC9"/>
    <w:rsid w:val="00C02CA8"/>
    <w:rsid w:val="00C02EB6"/>
    <w:rsid w:val="00C04E8D"/>
    <w:rsid w:val="00C15D69"/>
    <w:rsid w:val="00C17F79"/>
    <w:rsid w:val="00C2162B"/>
    <w:rsid w:val="00C21861"/>
    <w:rsid w:val="00C23B8B"/>
    <w:rsid w:val="00C2533A"/>
    <w:rsid w:val="00C25BEC"/>
    <w:rsid w:val="00C26EC4"/>
    <w:rsid w:val="00C27554"/>
    <w:rsid w:val="00C34035"/>
    <w:rsid w:val="00C37214"/>
    <w:rsid w:val="00C37AE2"/>
    <w:rsid w:val="00C416C0"/>
    <w:rsid w:val="00C41F9C"/>
    <w:rsid w:val="00C45898"/>
    <w:rsid w:val="00C54B7D"/>
    <w:rsid w:val="00C5660F"/>
    <w:rsid w:val="00C5695E"/>
    <w:rsid w:val="00C57AA9"/>
    <w:rsid w:val="00C57C0B"/>
    <w:rsid w:val="00C60354"/>
    <w:rsid w:val="00C65065"/>
    <w:rsid w:val="00C73742"/>
    <w:rsid w:val="00C7719A"/>
    <w:rsid w:val="00C80CE4"/>
    <w:rsid w:val="00C81746"/>
    <w:rsid w:val="00C823DA"/>
    <w:rsid w:val="00C82A2B"/>
    <w:rsid w:val="00C85B34"/>
    <w:rsid w:val="00C87E85"/>
    <w:rsid w:val="00C91B1F"/>
    <w:rsid w:val="00C94870"/>
    <w:rsid w:val="00C96F44"/>
    <w:rsid w:val="00CA01FE"/>
    <w:rsid w:val="00CA0DEC"/>
    <w:rsid w:val="00CA33AC"/>
    <w:rsid w:val="00CA3837"/>
    <w:rsid w:val="00CA38BE"/>
    <w:rsid w:val="00CA38FE"/>
    <w:rsid w:val="00CA4207"/>
    <w:rsid w:val="00CB52C4"/>
    <w:rsid w:val="00CB7573"/>
    <w:rsid w:val="00CC660A"/>
    <w:rsid w:val="00CC6E5F"/>
    <w:rsid w:val="00CD34FE"/>
    <w:rsid w:val="00CD4E4C"/>
    <w:rsid w:val="00CD522D"/>
    <w:rsid w:val="00CD7AF1"/>
    <w:rsid w:val="00CE49E6"/>
    <w:rsid w:val="00CE500A"/>
    <w:rsid w:val="00CE54A7"/>
    <w:rsid w:val="00CE5560"/>
    <w:rsid w:val="00CF40A2"/>
    <w:rsid w:val="00CF414A"/>
    <w:rsid w:val="00CF4774"/>
    <w:rsid w:val="00CF69D4"/>
    <w:rsid w:val="00CF7E86"/>
    <w:rsid w:val="00D00906"/>
    <w:rsid w:val="00D00E18"/>
    <w:rsid w:val="00D02772"/>
    <w:rsid w:val="00D02FD3"/>
    <w:rsid w:val="00D10850"/>
    <w:rsid w:val="00D111CD"/>
    <w:rsid w:val="00D111DE"/>
    <w:rsid w:val="00D139C9"/>
    <w:rsid w:val="00D14F94"/>
    <w:rsid w:val="00D16F5E"/>
    <w:rsid w:val="00D218C2"/>
    <w:rsid w:val="00D2236E"/>
    <w:rsid w:val="00D24A1F"/>
    <w:rsid w:val="00D3390F"/>
    <w:rsid w:val="00D35F2B"/>
    <w:rsid w:val="00D36941"/>
    <w:rsid w:val="00D369DF"/>
    <w:rsid w:val="00D4003B"/>
    <w:rsid w:val="00D42A0B"/>
    <w:rsid w:val="00D444C1"/>
    <w:rsid w:val="00D47E71"/>
    <w:rsid w:val="00D5127E"/>
    <w:rsid w:val="00D52826"/>
    <w:rsid w:val="00D55FE8"/>
    <w:rsid w:val="00D6369A"/>
    <w:rsid w:val="00D658DF"/>
    <w:rsid w:val="00D72043"/>
    <w:rsid w:val="00D72415"/>
    <w:rsid w:val="00D72A60"/>
    <w:rsid w:val="00D7553F"/>
    <w:rsid w:val="00D767A2"/>
    <w:rsid w:val="00D86A12"/>
    <w:rsid w:val="00D9058B"/>
    <w:rsid w:val="00D92A87"/>
    <w:rsid w:val="00D93484"/>
    <w:rsid w:val="00D94E6E"/>
    <w:rsid w:val="00D951F2"/>
    <w:rsid w:val="00D952B2"/>
    <w:rsid w:val="00DA3DCF"/>
    <w:rsid w:val="00DA4002"/>
    <w:rsid w:val="00DA7635"/>
    <w:rsid w:val="00DB514C"/>
    <w:rsid w:val="00DB6417"/>
    <w:rsid w:val="00DB64B1"/>
    <w:rsid w:val="00DB72BD"/>
    <w:rsid w:val="00DC09D3"/>
    <w:rsid w:val="00DC12DE"/>
    <w:rsid w:val="00DC2F33"/>
    <w:rsid w:val="00DC6CDC"/>
    <w:rsid w:val="00DD14BB"/>
    <w:rsid w:val="00DD2243"/>
    <w:rsid w:val="00DD308B"/>
    <w:rsid w:val="00DD3BAE"/>
    <w:rsid w:val="00DD4C1A"/>
    <w:rsid w:val="00DD6EE0"/>
    <w:rsid w:val="00DD736F"/>
    <w:rsid w:val="00DE2EC9"/>
    <w:rsid w:val="00DE47F4"/>
    <w:rsid w:val="00DE6E89"/>
    <w:rsid w:val="00DF0119"/>
    <w:rsid w:val="00DF1FC2"/>
    <w:rsid w:val="00DF4C99"/>
    <w:rsid w:val="00E02981"/>
    <w:rsid w:val="00E03D74"/>
    <w:rsid w:val="00E04F31"/>
    <w:rsid w:val="00E04F42"/>
    <w:rsid w:val="00E05B3F"/>
    <w:rsid w:val="00E06AA3"/>
    <w:rsid w:val="00E06CC1"/>
    <w:rsid w:val="00E10174"/>
    <w:rsid w:val="00E20026"/>
    <w:rsid w:val="00E20C3E"/>
    <w:rsid w:val="00E222D3"/>
    <w:rsid w:val="00E22C71"/>
    <w:rsid w:val="00E24DE1"/>
    <w:rsid w:val="00E30984"/>
    <w:rsid w:val="00E35E16"/>
    <w:rsid w:val="00E364B9"/>
    <w:rsid w:val="00E36CCB"/>
    <w:rsid w:val="00E43310"/>
    <w:rsid w:val="00E52100"/>
    <w:rsid w:val="00E5235E"/>
    <w:rsid w:val="00E527F5"/>
    <w:rsid w:val="00E571C3"/>
    <w:rsid w:val="00E626BD"/>
    <w:rsid w:val="00E64927"/>
    <w:rsid w:val="00E7048D"/>
    <w:rsid w:val="00E72340"/>
    <w:rsid w:val="00E8097F"/>
    <w:rsid w:val="00EA3B64"/>
    <w:rsid w:val="00EA4366"/>
    <w:rsid w:val="00EA4A4C"/>
    <w:rsid w:val="00EA795A"/>
    <w:rsid w:val="00EB1471"/>
    <w:rsid w:val="00EB1A36"/>
    <w:rsid w:val="00EB42D7"/>
    <w:rsid w:val="00EB559E"/>
    <w:rsid w:val="00EB580A"/>
    <w:rsid w:val="00EB5ED0"/>
    <w:rsid w:val="00EB7260"/>
    <w:rsid w:val="00EC2E93"/>
    <w:rsid w:val="00EC4CE5"/>
    <w:rsid w:val="00EC53DC"/>
    <w:rsid w:val="00EC61FB"/>
    <w:rsid w:val="00EC7307"/>
    <w:rsid w:val="00EC771A"/>
    <w:rsid w:val="00ED068F"/>
    <w:rsid w:val="00ED7D51"/>
    <w:rsid w:val="00EE031C"/>
    <w:rsid w:val="00EE0977"/>
    <w:rsid w:val="00EE1BD1"/>
    <w:rsid w:val="00EE4B56"/>
    <w:rsid w:val="00EE6C4E"/>
    <w:rsid w:val="00EF024F"/>
    <w:rsid w:val="00EF101E"/>
    <w:rsid w:val="00EF13E7"/>
    <w:rsid w:val="00EF3B16"/>
    <w:rsid w:val="00EF5825"/>
    <w:rsid w:val="00EF6E14"/>
    <w:rsid w:val="00EF7C6C"/>
    <w:rsid w:val="00EF7C96"/>
    <w:rsid w:val="00F000D7"/>
    <w:rsid w:val="00F01182"/>
    <w:rsid w:val="00F0199B"/>
    <w:rsid w:val="00F0475F"/>
    <w:rsid w:val="00F06ED4"/>
    <w:rsid w:val="00F113CF"/>
    <w:rsid w:val="00F11A91"/>
    <w:rsid w:val="00F1764E"/>
    <w:rsid w:val="00F207F5"/>
    <w:rsid w:val="00F22A76"/>
    <w:rsid w:val="00F25119"/>
    <w:rsid w:val="00F26045"/>
    <w:rsid w:val="00F316CE"/>
    <w:rsid w:val="00F33E1A"/>
    <w:rsid w:val="00F41298"/>
    <w:rsid w:val="00F41837"/>
    <w:rsid w:val="00F418E8"/>
    <w:rsid w:val="00F46998"/>
    <w:rsid w:val="00F51A19"/>
    <w:rsid w:val="00F54BEC"/>
    <w:rsid w:val="00F60A98"/>
    <w:rsid w:val="00F61F6D"/>
    <w:rsid w:val="00F61F8D"/>
    <w:rsid w:val="00F65954"/>
    <w:rsid w:val="00F66338"/>
    <w:rsid w:val="00F66FD0"/>
    <w:rsid w:val="00F70AB5"/>
    <w:rsid w:val="00F70AC8"/>
    <w:rsid w:val="00F719EA"/>
    <w:rsid w:val="00F73140"/>
    <w:rsid w:val="00F751A1"/>
    <w:rsid w:val="00F755E7"/>
    <w:rsid w:val="00F75FF7"/>
    <w:rsid w:val="00F7637C"/>
    <w:rsid w:val="00F77B53"/>
    <w:rsid w:val="00F80140"/>
    <w:rsid w:val="00F80443"/>
    <w:rsid w:val="00F80D48"/>
    <w:rsid w:val="00F81681"/>
    <w:rsid w:val="00F87ACD"/>
    <w:rsid w:val="00F93AF2"/>
    <w:rsid w:val="00F971C2"/>
    <w:rsid w:val="00F9796C"/>
    <w:rsid w:val="00FA09AD"/>
    <w:rsid w:val="00FA2048"/>
    <w:rsid w:val="00FA2EBE"/>
    <w:rsid w:val="00FA51FC"/>
    <w:rsid w:val="00FA6787"/>
    <w:rsid w:val="00FB1210"/>
    <w:rsid w:val="00FB64F8"/>
    <w:rsid w:val="00FB7ECA"/>
    <w:rsid w:val="00FC36F8"/>
    <w:rsid w:val="00FD032B"/>
    <w:rsid w:val="00FD0629"/>
    <w:rsid w:val="00FD1BDB"/>
    <w:rsid w:val="00FD3737"/>
    <w:rsid w:val="00FD506B"/>
    <w:rsid w:val="00FD5475"/>
    <w:rsid w:val="00FD77BF"/>
    <w:rsid w:val="00FE0753"/>
    <w:rsid w:val="00FE3224"/>
    <w:rsid w:val="00FE38BF"/>
    <w:rsid w:val="00FE4925"/>
    <w:rsid w:val="00FE7EC1"/>
    <w:rsid w:val="00FF2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6AD47B-9927-48F0-BCE4-600D4EF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link w:val="ListParagraphChar"/>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59"/>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styleId="NoSpacing">
    <w:name w:val="No Spacing"/>
    <w:uiPriority w:val="1"/>
    <w:qFormat/>
    <w:rsid w:val="002E7B0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B268A"/>
    <w:rPr>
      <w:sz w:val="24"/>
      <w:szCs w:val="24"/>
    </w:rPr>
  </w:style>
  <w:style w:type="character" w:customStyle="1" w:styleId="ListParagraphChar">
    <w:name w:val="List Paragraph Char"/>
    <w:link w:val="ListParagraph"/>
    <w:uiPriority w:val="34"/>
    <w:rsid w:val="001E6373"/>
    <w:rPr>
      <w:sz w:val="24"/>
      <w:szCs w:val="24"/>
    </w:rPr>
  </w:style>
  <w:style w:type="character" w:customStyle="1" w:styleId="BodyTextChar">
    <w:name w:val="Body Text Char"/>
    <w:basedOn w:val="DefaultParagraphFont"/>
    <w:link w:val="BodyText"/>
    <w:rsid w:val="00A001B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2136">
      <w:bodyDiv w:val="1"/>
      <w:marLeft w:val="0"/>
      <w:marRight w:val="0"/>
      <w:marTop w:val="0"/>
      <w:marBottom w:val="0"/>
      <w:divBdr>
        <w:top w:val="none" w:sz="0" w:space="0" w:color="auto"/>
        <w:left w:val="none" w:sz="0" w:space="0" w:color="auto"/>
        <w:bottom w:val="none" w:sz="0" w:space="0" w:color="auto"/>
        <w:right w:val="none" w:sz="0" w:space="0" w:color="auto"/>
      </w:divBdr>
    </w:div>
    <w:div w:id="333458583">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36024899">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 Id="rId5" Type="http://schemas.openxmlformats.org/officeDocument/2006/relationships/hyperlink" Target="http://mdtf.undp.org/document/download/5388" TargetMode="External"/><Relationship Id="rId4" Type="http://schemas.openxmlformats.org/officeDocument/2006/relationships/hyperlink" Target="http://mdtf.undp.org/document/download/5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5F43-DEE1-4BC2-9B5F-F61921E6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5345</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35745</CharactersWithSpaces>
  <SharedDoc>false</SharedDoc>
  <HLinks>
    <vt:vector size="30" baseType="variant">
      <vt:variant>
        <vt:i4>655442</vt:i4>
      </vt:variant>
      <vt:variant>
        <vt:i4>6</vt:i4>
      </vt:variant>
      <vt:variant>
        <vt:i4>0</vt:i4>
      </vt:variant>
      <vt:variant>
        <vt:i4>5</vt:i4>
      </vt:variant>
      <vt:variant>
        <vt:lpwstr>http://mptf.undp.org/</vt:lpwstr>
      </vt:variant>
      <vt:variant>
        <vt:lpwstr/>
      </vt:variant>
      <vt:variant>
        <vt:i4>2293874</vt:i4>
      </vt:variant>
      <vt:variant>
        <vt:i4>3</vt:i4>
      </vt:variant>
      <vt:variant>
        <vt:i4>0</vt:i4>
      </vt:variant>
      <vt:variant>
        <vt:i4>5</vt:i4>
      </vt:variant>
      <vt:variant>
        <vt:lpwstr>../AppData/Local/Microsoft/AppData/Local/Microsoft/Windows/Temporary Internet Files/Content.Outlook/AppData/Local/Microsoft/Windows/Temporary Internet Files/Content.Outlook/EPG6TJ9O/):  http:/www.undg.org/docs/12316/UNDG-RBM Handbook-2012.pdf</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Silla Ristimaki</cp:lastModifiedBy>
  <cp:revision>4</cp:revision>
  <cp:lastPrinted>2014-04-07T05:27:00Z</cp:lastPrinted>
  <dcterms:created xsi:type="dcterms:W3CDTF">2014-07-07T10:44:00Z</dcterms:created>
  <dcterms:modified xsi:type="dcterms:W3CDTF">2014-07-07T11:26:00Z</dcterms:modified>
</cp:coreProperties>
</file>