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A0" w:rsidRPr="00937EBB" w:rsidRDefault="00A165B9" w:rsidP="005F5F7D">
      <w:pPr>
        <w:bidi w:val="0"/>
        <w:spacing w:after="0" w:line="240" w:lineRule="auto"/>
      </w:pPr>
      <w:r w:rsidRPr="00937EBB">
        <w:rPr>
          <w:rFonts w:ascii="Arial" w:hAnsi="Arial"/>
          <w:noProof/>
          <w:spacing w:val="-3"/>
          <w:sz w:val="20"/>
        </w:rPr>
        <w:drawing>
          <wp:anchor distT="0" distB="0" distL="114300" distR="114300" simplePos="0" relativeHeight="251661312" behindDoc="1" locked="0" layoutInCell="1" allowOverlap="1" wp14:anchorId="79844346" wp14:editId="6215C14D">
            <wp:simplePos x="0" y="0"/>
            <wp:positionH relativeFrom="column">
              <wp:posOffset>3921760</wp:posOffset>
            </wp:positionH>
            <wp:positionV relativeFrom="paragraph">
              <wp:posOffset>-353060</wp:posOffset>
            </wp:positionV>
            <wp:extent cx="1440180" cy="1090295"/>
            <wp:effectExtent l="19050" t="0" r="7620" b="0"/>
            <wp:wrapNone/>
            <wp:docPr id="3" name="Picture 1"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triangle"/>
                    <pic:cNvPicPr>
                      <a:picLocks noChangeAspect="1" noChangeArrowheads="1"/>
                    </pic:cNvPicPr>
                  </pic:nvPicPr>
                  <pic:blipFill>
                    <a:blip r:embed="rId8" cstate="print"/>
                    <a:srcRect/>
                    <a:stretch>
                      <a:fillRect/>
                    </a:stretch>
                  </pic:blipFill>
                  <pic:spPr bwMode="auto">
                    <a:xfrm>
                      <a:off x="0" y="0"/>
                      <a:ext cx="1440180" cy="1090295"/>
                    </a:xfrm>
                    <a:prstGeom prst="rect">
                      <a:avLst/>
                    </a:prstGeom>
                    <a:noFill/>
                    <a:ln w="9525">
                      <a:noFill/>
                      <a:miter lim="800000"/>
                      <a:headEnd/>
                      <a:tailEnd/>
                    </a:ln>
                  </pic:spPr>
                </pic:pic>
              </a:graphicData>
            </a:graphic>
          </wp:anchor>
        </w:drawing>
      </w:r>
      <w:r w:rsidR="004407A0" w:rsidRPr="00937EBB">
        <w:rPr>
          <w:rFonts w:ascii="Arial" w:hAnsi="Arial"/>
          <w:noProof/>
          <w:spacing w:val="-3"/>
          <w:sz w:val="20"/>
        </w:rPr>
        <w:drawing>
          <wp:inline distT="0" distB="0" distL="0" distR="0" wp14:anchorId="77A594E4" wp14:editId="264DDA94">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p>
    <w:p w:rsidR="004407A0" w:rsidRPr="00937EBB" w:rsidRDefault="004407A0" w:rsidP="005F5F7D">
      <w:pPr>
        <w:bidi w:val="0"/>
        <w:spacing w:after="0" w:line="240" w:lineRule="auto"/>
        <w:rPr>
          <w:lang w:bidi="ar-YE"/>
        </w:rPr>
      </w:pPr>
    </w:p>
    <w:p w:rsidR="0049366C" w:rsidRPr="00937EBB" w:rsidRDefault="00A165B9" w:rsidP="005F5F7D">
      <w:pPr>
        <w:bidi w:val="0"/>
        <w:spacing w:after="0" w:line="240" w:lineRule="auto"/>
        <w:jc w:val="center"/>
        <w:rPr>
          <w:rFonts w:ascii="Calibri" w:hAnsi="Calibri" w:cs="Arial"/>
          <w:b/>
          <w:sz w:val="28"/>
        </w:rPr>
      </w:pPr>
      <w:r w:rsidRPr="00937EBB">
        <w:rPr>
          <w:rFonts w:ascii="Calibri" w:hAnsi="Calibri" w:cs="Arial"/>
          <w:b/>
          <w:sz w:val="28"/>
        </w:rPr>
        <w:t>PEACEBUILDING FUND</w:t>
      </w:r>
      <w:r w:rsidR="00B653CC" w:rsidRPr="00937EBB">
        <w:rPr>
          <w:rFonts w:ascii="Calibri" w:hAnsi="Calibri" w:cs="Arial"/>
          <w:b/>
          <w:sz w:val="28"/>
        </w:rPr>
        <w:t xml:space="preserve"> </w:t>
      </w:r>
    </w:p>
    <w:p w:rsidR="00B626E7" w:rsidRPr="00937EBB" w:rsidRDefault="00AE5D41" w:rsidP="005F5F7D">
      <w:pPr>
        <w:bidi w:val="0"/>
        <w:spacing w:after="0" w:line="240" w:lineRule="auto"/>
        <w:jc w:val="center"/>
        <w:rPr>
          <w:rFonts w:ascii="Calibri" w:hAnsi="Calibri" w:cs="Arial"/>
          <w:b/>
          <w:sz w:val="28"/>
        </w:rPr>
      </w:pPr>
      <w:r>
        <w:rPr>
          <w:rFonts w:ascii="Calibri" w:hAnsi="Calibri" w:cs="Arial"/>
          <w:b/>
          <w:sz w:val="28"/>
        </w:rPr>
        <w:t xml:space="preserve">Mid-Year </w:t>
      </w:r>
      <w:r w:rsidRPr="00937EBB">
        <w:rPr>
          <w:rFonts w:ascii="Calibri" w:hAnsi="Calibri" w:cs="Arial"/>
          <w:b/>
          <w:sz w:val="28"/>
        </w:rPr>
        <w:t xml:space="preserve">Project Report </w:t>
      </w:r>
      <w:r w:rsidR="00937EBB" w:rsidRPr="00937EBB">
        <w:rPr>
          <w:rFonts w:ascii="Calibri" w:hAnsi="Calibri" w:cs="Arial"/>
          <w:b/>
          <w:sz w:val="28"/>
        </w:rPr>
        <w:t>(in compliance with program suspension)</w:t>
      </w:r>
    </w:p>
    <w:p w:rsidR="00D96699" w:rsidRPr="00937EBB" w:rsidRDefault="00D96699" w:rsidP="005F5F7D">
      <w:pPr>
        <w:bidi w:val="0"/>
        <w:spacing w:after="0" w:line="240" w:lineRule="auto"/>
        <w:jc w:val="both"/>
        <w:rPr>
          <w:b/>
          <w:bCs/>
          <w:lang w:bidi="ar-YE"/>
        </w:rPr>
      </w:pPr>
    </w:p>
    <w:p w:rsidR="00D96699" w:rsidRPr="00937EBB" w:rsidRDefault="00D96699" w:rsidP="005F5F7D">
      <w:pPr>
        <w:bidi w:val="0"/>
        <w:spacing w:after="0" w:line="240" w:lineRule="auto"/>
        <w:jc w:val="both"/>
        <w:rPr>
          <w:lang w:bidi="ar-YE"/>
        </w:rPr>
      </w:pPr>
    </w:p>
    <w:tbl>
      <w:tblPr>
        <w:tblStyle w:val="TableGrid"/>
        <w:tblW w:w="10619" w:type="dxa"/>
        <w:tblInd w:w="-431" w:type="dxa"/>
        <w:tblLook w:val="04A0" w:firstRow="1" w:lastRow="0" w:firstColumn="1" w:lastColumn="0" w:noHBand="0" w:noVBand="1"/>
      </w:tblPr>
      <w:tblGrid>
        <w:gridCol w:w="4949"/>
        <w:gridCol w:w="5670"/>
      </w:tblGrid>
      <w:tr w:rsidR="00C00B67" w:rsidRPr="00937EBB" w:rsidTr="00C00B67">
        <w:tc>
          <w:tcPr>
            <w:tcW w:w="10619" w:type="dxa"/>
            <w:gridSpan w:val="2"/>
          </w:tcPr>
          <w:p w:rsidR="00C00B67" w:rsidRPr="00C00B67" w:rsidRDefault="00C00B67" w:rsidP="00C00B67">
            <w:pPr>
              <w:bidi w:val="0"/>
              <w:jc w:val="both"/>
              <w:rPr>
                <w:lang w:bidi="ar-YE"/>
              </w:rPr>
            </w:pPr>
            <w:r w:rsidRPr="00937EBB">
              <w:rPr>
                <w:b/>
                <w:bCs/>
                <w:lang w:bidi="ar-YE"/>
              </w:rPr>
              <w:t xml:space="preserve">Project Title: </w:t>
            </w:r>
            <w:r w:rsidR="003741D0" w:rsidRPr="006C2994">
              <w:rPr>
                <w:rStyle w:val="apple-style-span"/>
                <w:bCs/>
                <w:sz w:val="20"/>
                <w:szCs w:val="20"/>
              </w:rPr>
              <w:t>Livelihood and Economic Recovery: Strengthening Social Cohesion and Community Resilience</w:t>
            </w:r>
          </w:p>
        </w:tc>
      </w:tr>
      <w:tr w:rsidR="00D96699" w:rsidRPr="00937EBB" w:rsidTr="00C00B67">
        <w:tc>
          <w:tcPr>
            <w:tcW w:w="10619" w:type="dxa"/>
            <w:gridSpan w:val="2"/>
          </w:tcPr>
          <w:p w:rsidR="00D96699" w:rsidRPr="00937EBB" w:rsidRDefault="00D96699" w:rsidP="00937EBB">
            <w:pPr>
              <w:pStyle w:val="Default"/>
              <w:rPr>
                <w:rFonts w:asciiTheme="minorHAnsi" w:hAnsiTheme="minorHAnsi"/>
                <w:sz w:val="22"/>
                <w:szCs w:val="22"/>
              </w:rPr>
            </w:pPr>
            <w:r w:rsidRPr="00937EBB">
              <w:rPr>
                <w:rFonts w:asciiTheme="minorHAnsi" w:hAnsiTheme="minorHAnsi" w:cstheme="minorBidi"/>
                <w:b/>
                <w:bCs/>
                <w:color w:val="auto"/>
                <w:sz w:val="22"/>
                <w:szCs w:val="22"/>
                <w:lang w:bidi="ar-YE"/>
              </w:rPr>
              <w:t>Priority Plan Outcome</w:t>
            </w:r>
            <w:r w:rsidRPr="00937EBB">
              <w:rPr>
                <w:rFonts w:asciiTheme="minorHAnsi" w:hAnsiTheme="minorHAnsi" w:cstheme="minorBidi"/>
                <w:color w:val="auto"/>
                <w:sz w:val="22"/>
                <w:szCs w:val="22"/>
                <w:lang w:bidi="ar-YE"/>
              </w:rPr>
              <w:t xml:space="preserve">: </w:t>
            </w:r>
            <w:r w:rsidR="003741D0">
              <w:rPr>
                <w:rFonts w:asciiTheme="minorHAnsi" w:hAnsiTheme="minorHAnsi" w:cstheme="minorBidi"/>
                <w:color w:val="auto"/>
                <w:sz w:val="22"/>
                <w:szCs w:val="22"/>
                <w:lang w:bidi="ar-YE"/>
              </w:rPr>
              <w:t>Strengthened social cohesion at sub-national and community level and increase resilience to conflict</w:t>
            </w:r>
            <w:r w:rsidR="003741D0" w:rsidRPr="001A39EF">
              <w:rPr>
                <w:sz w:val="22"/>
                <w:szCs w:val="22"/>
              </w:rPr>
              <w:t>.</w:t>
            </w:r>
          </w:p>
        </w:tc>
      </w:tr>
      <w:tr w:rsidR="00F9108B" w:rsidRPr="00937EBB" w:rsidTr="00C00B67">
        <w:tc>
          <w:tcPr>
            <w:tcW w:w="4949" w:type="dxa"/>
          </w:tcPr>
          <w:p w:rsidR="00F9108B" w:rsidRPr="00937EBB" w:rsidRDefault="00F9108B" w:rsidP="005F5F7D">
            <w:pPr>
              <w:bidi w:val="0"/>
              <w:rPr>
                <w:lang w:bidi="ar-YE"/>
              </w:rPr>
            </w:pPr>
            <w:r w:rsidRPr="00937EBB">
              <w:rPr>
                <w:b/>
              </w:rPr>
              <w:t>Recipient UN Organizations</w:t>
            </w:r>
            <w:r w:rsidRPr="00937EBB">
              <w:rPr>
                <w:lang w:bidi="ar-YE"/>
              </w:rPr>
              <w:t xml:space="preserve">: </w:t>
            </w:r>
          </w:p>
          <w:p w:rsidR="00F9108B" w:rsidRPr="00937EBB" w:rsidRDefault="003741D0" w:rsidP="005F5F7D">
            <w:pPr>
              <w:autoSpaceDE w:val="0"/>
              <w:autoSpaceDN w:val="0"/>
              <w:bidi w:val="0"/>
              <w:adjustRightInd w:val="0"/>
              <w:rPr>
                <w:lang w:bidi="ar-YE"/>
              </w:rPr>
            </w:pPr>
            <w:r>
              <w:rPr>
                <w:lang w:bidi="ar-YE"/>
              </w:rPr>
              <w:t>UNDP</w:t>
            </w:r>
          </w:p>
        </w:tc>
        <w:tc>
          <w:tcPr>
            <w:tcW w:w="5670" w:type="dxa"/>
          </w:tcPr>
          <w:p w:rsidR="00300D7F" w:rsidRPr="00937EBB" w:rsidRDefault="00F9108B" w:rsidP="005F5F7D">
            <w:pPr>
              <w:autoSpaceDE w:val="0"/>
              <w:autoSpaceDN w:val="0"/>
              <w:bidi w:val="0"/>
              <w:adjustRightInd w:val="0"/>
              <w:rPr>
                <w:lang w:bidi="ar-YE"/>
              </w:rPr>
            </w:pPr>
            <w:r w:rsidRPr="00937EBB">
              <w:rPr>
                <w:b/>
                <w:bCs/>
                <w:lang w:bidi="ar-YE"/>
              </w:rPr>
              <w:t>Project duration</w:t>
            </w:r>
            <w:r w:rsidRPr="00937EBB">
              <w:rPr>
                <w:lang w:bidi="ar-YE"/>
              </w:rPr>
              <w:t xml:space="preserve">: </w:t>
            </w:r>
          </w:p>
          <w:p w:rsidR="00300D7F" w:rsidRPr="00937EBB" w:rsidRDefault="00300D7F" w:rsidP="005F5F7D">
            <w:pPr>
              <w:autoSpaceDE w:val="0"/>
              <w:autoSpaceDN w:val="0"/>
              <w:bidi w:val="0"/>
              <w:adjustRightInd w:val="0"/>
              <w:rPr>
                <w:lang w:bidi="ar-YE"/>
              </w:rPr>
            </w:pPr>
            <w:r w:rsidRPr="00937EBB">
              <w:rPr>
                <w:lang w:bidi="ar-YE"/>
              </w:rPr>
              <w:t xml:space="preserve">Start Date: </w:t>
            </w:r>
            <w:bookmarkStart w:id="0" w:name="_GoBack"/>
            <w:bookmarkEnd w:id="0"/>
          </w:p>
          <w:p w:rsidR="00F9108B" w:rsidRPr="00937EBB" w:rsidRDefault="00300D7F" w:rsidP="00937EBB">
            <w:pPr>
              <w:autoSpaceDE w:val="0"/>
              <w:autoSpaceDN w:val="0"/>
              <w:bidi w:val="0"/>
              <w:adjustRightInd w:val="0"/>
              <w:rPr>
                <w:b/>
                <w:bCs/>
                <w:lang w:bidi="ar-YE"/>
              </w:rPr>
            </w:pPr>
            <w:r w:rsidRPr="00937EBB">
              <w:rPr>
                <w:lang w:bidi="ar-YE"/>
              </w:rPr>
              <w:t>E</w:t>
            </w:r>
            <w:r w:rsidR="00F9108B" w:rsidRPr="00937EBB">
              <w:rPr>
                <w:lang w:bidi="ar-YE"/>
              </w:rPr>
              <w:t xml:space="preserve">nd date: </w:t>
            </w:r>
          </w:p>
        </w:tc>
      </w:tr>
      <w:tr w:rsidR="00D96699" w:rsidRPr="00937EBB" w:rsidTr="00C00B67">
        <w:tc>
          <w:tcPr>
            <w:tcW w:w="4949" w:type="dxa"/>
          </w:tcPr>
          <w:p w:rsidR="00F9108B" w:rsidRPr="00937EBB" w:rsidRDefault="00F9108B" w:rsidP="005F5F7D">
            <w:pPr>
              <w:autoSpaceDE w:val="0"/>
              <w:autoSpaceDN w:val="0"/>
              <w:bidi w:val="0"/>
              <w:adjustRightInd w:val="0"/>
              <w:rPr>
                <w:rFonts w:cs="Times-Bold"/>
                <w:b/>
                <w:bCs/>
                <w:sz w:val="23"/>
                <w:szCs w:val="23"/>
              </w:rPr>
            </w:pPr>
            <w:r w:rsidRPr="00937EBB">
              <w:rPr>
                <w:rFonts w:cs="Times-Bold"/>
                <w:b/>
                <w:bCs/>
                <w:sz w:val="23"/>
                <w:szCs w:val="23"/>
              </w:rPr>
              <w:t xml:space="preserve">Total Project Cost: </w:t>
            </w:r>
          </w:p>
          <w:p w:rsidR="00F9108B" w:rsidRPr="00937EBB" w:rsidRDefault="00445FAF" w:rsidP="005F5F7D">
            <w:pPr>
              <w:autoSpaceDE w:val="0"/>
              <w:autoSpaceDN w:val="0"/>
              <w:bidi w:val="0"/>
              <w:adjustRightInd w:val="0"/>
              <w:rPr>
                <w:rFonts w:cs="Times-Roman"/>
                <w:sz w:val="21"/>
                <w:szCs w:val="21"/>
              </w:rPr>
            </w:pPr>
            <w:r w:rsidRPr="00937EBB">
              <w:rPr>
                <w:rFonts w:cs="Times-Roman"/>
                <w:sz w:val="21"/>
                <w:szCs w:val="21"/>
              </w:rPr>
              <w:t>Peacebuilding Fund</w:t>
            </w:r>
            <w:r w:rsidR="003741D0">
              <w:rPr>
                <w:lang w:bidi="ar-YE"/>
              </w:rPr>
              <w:t>:4.800,000</w:t>
            </w:r>
          </w:p>
          <w:p w:rsidR="00F9108B" w:rsidRPr="00937EBB" w:rsidRDefault="00F9108B" w:rsidP="005F5F7D">
            <w:pPr>
              <w:autoSpaceDE w:val="0"/>
              <w:autoSpaceDN w:val="0"/>
              <w:bidi w:val="0"/>
              <w:adjustRightInd w:val="0"/>
              <w:rPr>
                <w:rFonts w:cs="Times-Roman"/>
                <w:sz w:val="21"/>
                <w:szCs w:val="21"/>
              </w:rPr>
            </w:pPr>
            <w:r w:rsidRPr="00937EBB">
              <w:rPr>
                <w:rFonts w:cs="Times-Roman"/>
                <w:sz w:val="21"/>
                <w:szCs w:val="21"/>
              </w:rPr>
              <w:t xml:space="preserve">Government Input: </w:t>
            </w:r>
            <w:r w:rsidR="00880B61">
              <w:rPr>
                <w:rFonts w:cs="Times-Roman"/>
                <w:sz w:val="21"/>
                <w:szCs w:val="21"/>
              </w:rPr>
              <w:t>NA</w:t>
            </w:r>
          </w:p>
          <w:p w:rsidR="00F9108B" w:rsidRPr="00937EBB" w:rsidRDefault="00F9108B" w:rsidP="005F5F7D">
            <w:pPr>
              <w:autoSpaceDE w:val="0"/>
              <w:autoSpaceDN w:val="0"/>
              <w:bidi w:val="0"/>
              <w:adjustRightInd w:val="0"/>
              <w:rPr>
                <w:rFonts w:cs="Times-Roman"/>
                <w:sz w:val="21"/>
                <w:szCs w:val="21"/>
              </w:rPr>
            </w:pPr>
            <w:proofErr w:type="spellStart"/>
            <w:r w:rsidRPr="00937EBB">
              <w:rPr>
                <w:rFonts w:cs="Times-Roman"/>
                <w:sz w:val="21"/>
                <w:szCs w:val="21"/>
              </w:rPr>
              <w:t>Other:</w:t>
            </w:r>
            <w:r w:rsidR="00880B61">
              <w:rPr>
                <w:rFonts w:cs="Times-Roman"/>
                <w:sz w:val="21"/>
                <w:szCs w:val="21"/>
              </w:rPr>
              <w:t>NA</w:t>
            </w:r>
            <w:proofErr w:type="spellEnd"/>
          </w:p>
          <w:p w:rsidR="00F9108B" w:rsidRPr="00937EBB" w:rsidRDefault="00F9108B" w:rsidP="00445FAF">
            <w:pPr>
              <w:bidi w:val="0"/>
              <w:rPr>
                <w:lang w:bidi="ar-YE"/>
              </w:rPr>
            </w:pPr>
          </w:p>
        </w:tc>
        <w:tc>
          <w:tcPr>
            <w:tcW w:w="5670" w:type="dxa"/>
          </w:tcPr>
          <w:p w:rsidR="00937EBB" w:rsidRPr="00937EBB" w:rsidRDefault="00D96699" w:rsidP="00937EBB">
            <w:pPr>
              <w:autoSpaceDE w:val="0"/>
              <w:autoSpaceDN w:val="0"/>
              <w:bidi w:val="0"/>
              <w:adjustRightInd w:val="0"/>
              <w:rPr>
                <w:rFonts w:cs="Times-Roman"/>
                <w:sz w:val="21"/>
                <w:szCs w:val="21"/>
              </w:rPr>
            </w:pPr>
            <w:r w:rsidRPr="00937EBB">
              <w:rPr>
                <w:b/>
                <w:bCs/>
                <w:lang w:bidi="ar-YE"/>
              </w:rPr>
              <w:t>Implementing Partners</w:t>
            </w:r>
            <w:r w:rsidRPr="00937EBB">
              <w:rPr>
                <w:lang w:bidi="ar-YE"/>
              </w:rPr>
              <w:t xml:space="preserve">: </w:t>
            </w:r>
            <w:r w:rsidR="003741D0">
              <w:rPr>
                <w:lang w:bidi="ar-YE"/>
              </w:rPr>
              <w:t>Social Fund for Development, Ministry of Planning International Cooperation/ Agriculture and Irrigation/ Fisheries/ Technical and vocational Training/ Social Welfare and Labor/ Government Based National NGOs/ District councils and CSOs</w:t>
            </w:r>
          </w:p>
          <w:p w:rsidR="00D96699" w:rsidRPr="00937EBB" w:rsidRDefault="00D96699" w:rsidP="005F5F7D">
            <w:pPr>
              <w:autoSpaceDE w:val="0"/>
              <w:autoSpaceDN w:val="0"/>
              <w:bidi w:val="0"/>
              <w:adjustRightInd w:val="0"/>
              <w:rPr>
                <w:rFonts w:cs="Times-Roman"/>
                <w:sz w:val="21"/>
                <w:szCs w:val="21"/>
              </w:rPr>
            </w:pPr>
          </w:p>
        </w:tc>
      </w:tr>
    </w:tbl>
    <w:p w:rsidR="00D96699" w:rsidRPr="00937EBB" w:rsidRDefault="00D96699" w:rsidP="005F5F7D">
      <w:pPr>
        <w:bidi w:val="0"/>
        <w:spacing w:after="0" w:line="240" w:lineRule="auto"/>
        <w:jc w:val="both"/>
        <w:rPr>
          <w:b/>
          <w:bCs/>
          <w:lang w:bidi="ar-YE"/>
        </w:rPr>
      </w:pPr>
    </w:p>
    <w:p w:rsidR="000C0AE6" w:rsidRPr="00937EBB" w:rsidRDefault="000C0AE6" w:rsidP="00937EBB">
      <w:pPr>
        <w:bidi w:val="0"/>
        <w:spacing w:after="0" w:line="240" w:lineRule="auto"/>
        <w:ind w:left="360"/>
        <w:jc w:val="both"/>
        <w:rPr>
          <w:b/>
          <w:bCs/>
          <w:lang w:bidi="ar-YE"/>
        </w:rPr>
      </w:pPr>
    </w:p>
    <w:p w:rsidR="00C00B67" w:rsidRDefault="009809C0" w:rsidP="00C00B67">
      <w:pPr>
        <w:pStyle w:val="ListParagraph"/>
        <w:numPr>
          <w:ilvl w:val="0"/>
          <w:numId w:val="4"/>
        </w:numPr>
        <w:spacing w:after="0" w:line="240" w:lineRule="auto"/>
        <w:ind w:left="360" w:firstLine="0"/>
        <w:rPr>
          <w:b/>
          <w:bCs/>
          <w:lang w:bidi="ar-YE"/>
        </w:rPr>
      </w:pPr>
      <w:r>
        <w:rPr>
          <w:b/>
          <w:bCs/>
          <w:lang w:bidi="ar-YE"/>
        </w:rPr>
        <w:t>Brief s</w:t>
      </w:r>
      <w:r w:rsidR="008379EA" w:rsidRPr="00937EBB">
        <w:rPr>
          <w:b/>
          <w:bCs/>
          <w:lang w:bidi="ar-YE"/>
        </w:rPr>
        <w:t>ummary of the project status and key results</w:t>
      </w:r>
      <w:r>
        <w:rPr>
          <w:b/>
          <w:bCs/>
          <w:lang w:bidi="ar-YE"/>
        </w:rPr>
        <w:t xml:space="preserve"> as of 31 March 2015.</w:t>
      </w:r>
    </w:p>
    <w:p w:rsidR="00C00B67" w:rsidRDefault="00C00B67" w:rsidP="00C00B67">
      <w:pPr>
        <w:pStyle w:val="ListParagraph"/>
        <w:spacing w:after="0" w:line="240" w:lineRule="auto"/>
        <w:ind w:left="360"/>
        <w:rPr>
          <w:b/>
          <w:bCs/>
          <w:lang w:bidi="ar-YE"/>
        </w:rPr>
      </w:pPr>
    </w:p>
    <w:p w:rsidR="007038A6" w:rsidRPr="007038A6" w:rsidRDefault="007038A6" w:rsidP="007038A6">
      <w:pPr>
        <w:pStyle w:val="ListParagraph"/>
        <w:numPr>
          <w:ilvl w:val="0"/>
          <w:numId w:val="12"/>
        </w:numPr>
        <w:ind w:left="252"/>
        <w:jc w:val="both"/>
        <w:rPr>
          <w:b/>
          <w:bCs/>
          <w:sz w:val="20"/>
          <w:szCs w:val="20"/>
        </w:rPr>
      </w:pPr>
      <w:r w:rsidRPr="00CA7693">
        <w:rPr>
          <w:b/>
          <w:bCs/>
          <w:sz w:val="20"/>
          <w:szCs w:val="20"/>
        </w:rPr>
        <w:t>Inclusive Community Development Committees (CDCs), including female, youth, IDP, marginalized and vulnerable group representation linked to local authorities and trained in conflict sensitive development and is implementing conflict sensitive projects.</w:t>
      </w:r>
    </w:p>
    <w:p w:rsidR="007038A6" w:rsidRPr="003970A7" w:rsidRDefault="007038A6" w:rsidP="007038A6">
      <w:pPr>
        <w:bidi w:val="0"/>
        <w:jc w:val="both"/>
        <w:rPr>
          <w:sz w:val="20"/>
          <w:szCs w:val="20"/>
        </w:rPr>
      </w:pPr>
      <w:r w:rsidRPr="003970A7">
        <w:rPr>
          <w:sz w:val="20"/>
          <w:szCs w:val="20"/>
        </w:rPr>
        <w:t>This output</w:t>
      </w:r>
      <w:r w:rsidRPr="003970A7">
        <w:rPr>
          <w:rFonts w:cs="Lucida Grande"/>
          <w:color w:val="000000"/>
          <w:sz w:val="20"/>
          <w:szCs w:val="20"/>
        </w:rPr>
        <w:t xml:space="preserve"> includes female, youth, internally displaced people (IDP), marginalized and vulnerable group representation, linked to local authorities and trained in conflict sensitive development are implementing conflict sensitive projects”</w:t>
      </w:r>
      <w:r w:rsidRPr="003970A7">
        <w:rPr>
          <w:sz w:val="20"/>
          <w:szCs w:val="20"/>
        </w:rPr>
        <w:t xml:space="preserve"> takes place in three governorates, </w:t>
      </w:r>
      <w:proofErr w:type="spellStart"/>
      <w:r w:rsidRPr="003970A7">
        <w:rPr>
          <w:sz w:val="20"/>
          <w:szCs w:val="20"/>
        </w:rPr>
        <w:t>Hadramaut</w:t>
      </w:r>
      <w:proofErr w:type="spellEnd"/>
      <w:r w:rsidRPr="003970A7">
        <w:rPr>
          <w:sz w:val="20"/>
          <w:szCs w:val="20"/>
        </w:rPr>
        <w:t xml:space="preserve">, </w:t>
      </w:r>
      <w:proofErr w:type="spellStart"/>
      <w:r w:rsidRPr="003970A7">
        <w:rPr>
          <w:sz w:val="20"/>
          <w:szCs w:val="20"/>
        </w:rPr>
        <w:t>Hajjah</w:t>
      </w:r>
      <w:proofErr w:type="spellEnd"/>
      <w:r w:rsidRPr="003970A7">
        <w:rPr>
          <w:sz w:val="20"/>
          <w:szCs w:val="20"/>
        </w:rPr>
        <w:t xml:space="preserve"> and </w:t>
      </w:r>
      <w:proofErr w:type="spellStart"/>
      <w:r w:rsidRPr="003970A7">
        <w:rPr>
          <w:sz w:val="20"/>
          <w:szCs w:val="20"/>
        </w:rPr>
        <w:t>Sa’ada</w:t>
      </w:r>
      <w:proofErr w:type="spellEnd"/>
      <w:r w:rsidRPr="003970A7">
        <w:rPr>
          <w:sz w:val="20"/>
          <w:szCs w:val="20"/>
        </w:rPr>
        <w:t xml:space="preserve">. </w:t>
      </w:r>
    </w:p>
    <w:p w:rsidR="007038A6" w:rsidRPr="003970A7" w:rsidRDefault="007038A6" w:rsidP="007038A6">
      <w:pPr>
        <w:bidi w:val="0"/>
        <w:jc w:val="both"/>
        <w:rPr>
          <w:b/>
          <w:bCs/>
          <w:color w:val="4F81BD" w:themeColor="accent1"/>
          <w:sz w:val="20"/>
          <w:szCs w:val="20"/>
        </w:rPr>
      </w:pPr>
      <w:proofErr w:type="spellStart"/>
      <w:r w:rsidRPr="003970A7">
        <w:rPr>
          <w:b/>
          <w:bCs/>
          <w:color w:val="4F81BD" w:themeColor="accent1"/>
          <w:sz w:val="20"/>
          <w:szCs w:val="20"/>
        </w:rPr>
        <w:t>Sa’ada</w:t>
      </w:r>
      <w:proofErr w:type="spellEnd"/>
      <w:r w:rsidRPr="003970A7">
        <w:rPr>
          <w:b/>
          <w:bCs/>
          <w:color w:val="4F81BD" w:themeColor="accent1"/>
          <w:sz w:val="20"/>
          <w:szCs w:val="20"/>
        </w:rPr>
        <w:t xml:space="preserve"> Governorate</w:t>
      </w:r>
    </w:p>
    <w:p w:rsidR="007038A6" w:rsidRPr="003970A7" w:rsidRDefault="007038A6" w:rsidP="007038A6">
      <w:pPr>
        <w:bidi w:val="0"/>
        <w:jc w:val="both"/>
        <w:rPr>
          <w:sz w:val="20"/>
          <w:szCs w:val="20"/>
        </w:rPr>
      </w:pPr>
      <w:r w:rsidRPr="003970A7">
        <w:rPr>
          <w:sz w:val="20"/>
          <w:szCs w:val="20"/>
        </w:rPr>
        <w:t xml:space="preserve">So far, 10 CDCs have been established and about 30 percent of CDCs members are women.  Their members and local NGOs have been trained on conflict analysis to develop community development plans. </w:t>
      </w:r>
    </w:p>
    <w:p w:rsidR="007038A6" w:rsidRPr="003970A7" w:rsidRDefault="007038A6" w:rsidP="007038A6">
      <w:pPr>
        <w:bidi w:val="0"/>
        <w:jc w:val="both"/>
        <w:rPr>
          <w:b/>
          <w:bCs/>
          <w:color w:val="4F81BD" w:themeColor="accent1"/>
          <w:sz w:val="20"/>
          <w:szCs w:val="20"/>
        </w:rPr>
      </w:pPr>
      <w:proofErr w:type="spellStart"/>
      <w:r w:rsidRPr="003970A7">
        <w:rPr>
          <w:b/>
          <w:bCs/>
          <w:color w:val="4F81BD" w:themeColor="accent1"/>
          <w:sz w:val="20"/>
          <w:szCs w:val="20"/>
        </w:rPr>
        <w:t>Hajjah</w:t>
      </w:r>
      <w:proofErr w:type="spellEnd"/>
      <w:r w:rsidRPr="003970A7">
        <w:rPr>
          <w:b/>
          <w:bCs/>
          <w:color w:val="4F81BD" w:themeColor="accent1"/>
          <w:sz w:val="20"/>
          <w:szCs w:val="20"/>
        </w:rPr>
        <w:t xml:space="preserve"> Governorate</w:t>
      </w:r>
    </w:p>
    <w:p w:rsidR="007038A6" w:rsidRPr="003970A7" w:rsidRDefault="007038A6" w:rsidP="007038A6">
      <w:pPr>
        <w:bidi w:val="0"/>
        <w:jc w:val="both"/>
        <w:rPr>
          <w:sz w:val="20"/>
          <w:szCs w:val="20"/>
        </w:rPr>
      </w:pPr>
      <w:r w:rsidRPr="003970A7">
        <w:rPr>
          <w:sz w:val="20"/>
          <w:szCs w:val="20"/>
        </w:rPr>
        <w:t xml:space="preserve">CDCs will be established in the beginning of the second quarter.  The delay in </w:t>
      </w:r>
      <w:proofErr w:type="spellStart"/>
      <w:r w:rsidRPr="003970A7">
        <w:rPr>
          <w:sz w:val="20"/>
          <w:szCs w:val="20"/>
        </w:rPr>
        <w:t>Hajjah</w:t>
      </w:r>
      <w:proofErr w:type="spellEnd"/>
      <w:r w:rsidRPr="003970A7">
        <w:rPr>
          <w:sz w:val="20"/>
          <w:szCs w:val="20"/>
        </w:rPr>
        <w:t xml:space="preserve"> was caused due to a disagreement with the local authority on target districts.  The new target districts (</w:t>
      </w:r>
      <w:proofErr w:type="spellStart"/>
      <w:r w:rsidRPr="003970A7">
        <w:rPr>
          <w:sz w:val="20"/>
          <w:szCs w:val="20"/>
        </w:rPr>
        <w:t>Bakil</w:t>
      </w:r>
      <w:proofErr w:type="spellEnd"/>
      <w:r w:rsidRPr="003970A7">
        <w:rPr>
          <w:sz w:val="20"/>
          <w:szCs w:val="20"/>
        </w:rPr>
        <w:t xml:space="preserve"> </w:t>
      </w:r>
      <w:proofErr w:type="spellStart"/>
      <w:r w:rsidRPr="003970A7">
        <w:rPr>
          <w:sz w:val="20"/>
          <w:szCs w:val="20"/>
        </w:rPr>
        <w:t>Almir</w:t>
      </w:r>
      <w:proofErr w:type="spellEnd"/>
      <w:r w:rsidRPr="003970A7">
        <w:rPr>
          <w:sz w:val="20"/>
          <w:szCs w:val="20"/>
        </w:rPr>
        <w:t xml:space="preserve"> and </w:t>
      </w:r>
      <w:proofErr w:type="spellStart"/>
      <w:r w:rsidRPr="003970A7">
        <w:rPr>
          <w:sz w:val="20"/>
          <w:szCs w:val="20"/>
        </w:rPr>
        <w:t>Mustaba</w:t>
      </w:r>
      <w:proofErr w:type="spellEnd"/>
      <w:r w:rsidRPr="003970A7">
        <w:rPr>
          <w:sz w:val="20"/>
          <w:szCs w:val="20"/>
        </w:rPr>
        <w:t xml:space="preserve">) have been approved in early February 2015 and minimum eight CDCs will be established in the beginning of April 2015. By the end of 2015, 80 percent of output 1 will be delivered assuming the situation in which UNDP can continue to work in the target geographical areas: In total, 20 CDCs will be established and 12 conflict sensitive projects will be implemented. </w:t>
      </w:r>
    </w:p>
    <w:p w:rsidR="007038A6" w:rsidRPr="003970A7" w:rsidRDefault="007038A6" w:rsidP="007038A6">
      <w:pPr>
        <w:bidi w:val="0"/>
        <w:jc w:val="both"/>
        <w:rPr>
          <w:b/>
          <w:bCs/>
          <w:color w:val="4F81BD" w:themeColor="accent1"/>
          <w:sz w:val="20"/>
          <w:szCs w:val="20"/>
        </w:rPr>
      </w:pPr>
      <w:proofErr w:type="spellStart"/>
      <w:r w:rsidRPr="003970A7">
        <w:rPr>
          <w:b/>
          <w:bCs/>
          <w:color w:val="4F81BD" w:themeColor="accent1"/>
          <w:sz w:val="20"/>
          <w:szCs w:val="20"/>
        </w:rPr>
        <w:t>Hadramout</w:t>
      </w:r>
      <w:proofErr w:type="spellEnd"/>
      <w:r w:rsidRPr="003970A7">
        <w:rPr>
          <w:b/>
          <w:bCs/>
          <w:color w:val="4F81BD" w:themeColor="accent1"/>
          <w:sz w:val="20"/>
          <w:szCs w:val="20"/>
        </w:rPr>
        <w:t xml:space="preserve"> Governorate</w:t>
      </w:r>
    </w:p>
    <w:p w:rsidR="007038A6" w:rsidRPr="003970A7" w:rsidRDefault="007038A6" w:rsidP="007038A6">
      <w:pPr>
        <w:bidi w:val="0"/>
        <w:jc w:val="both"/>
        <w:rPr>
          <w:sz w:val="20"/>
          <w:szCs w:val="20"/>
        </w:rPr>
      </w:pPr>
      <w:r w:rsidRPr="003970A7">
        <w:rPr>
          <w:sz w:val="20"/>
          <w:szCs w:val="20"/>
        </w:rPr>
        <w:t xml:space="preserve">PBF activities in </w:t>
      </w:r>
      <w:proofErr w:type="spellStart"/>
      <w:r>
        <w:rPr>
          <w:sz w:val="20"/>
          <w:szCs w:val="20"/>
        </w:rPr>
        <w:t>Haradmout</w:t>
      </w:r>
      <w:proofErr w:type="spellEnd"/>
      <w:r w:rsidRPr="003970A7">
        <w:rPr>
          <w:sz w:val="20"/>
          <w:szCs w:val="20"/>
        </w:rPr>
        <w:t xml:space="preserve"> are managed entirely by IOM. An extensive coordination work between IOM &amp; UNDP was done to kick off the activities. This process delayed the start of the project but will allow a smooth implementation as all issues have been discussed &amp; cleared.</w:t>
      </w:r>
    </w:p>
    <w:p w:rsidR="007038A6" w:rsidRPr="003970A7" w:rsidRDefault="007038A6" w:rsidP="007038A6">
      <w:pPr>
        <w:bidi w:val="0"/>
        <w:jc w:val="both"/>
        <w:rPr>
          <w:sz w:val="20"/>
          <w:szCs w:val="20"/>
        </w:rPr>
      </w:pPr>
      <w:r w:rsidRPr="003970A7">
        <w:rPr>
          <w:sz w:val="20"/>
          <w:szCs w:val="20"/>
        </w:rPr>
        <w:lastRenderedPageBreak/>
        <w:t xml:space="preserve">IOM conducted two missions in </w:t>
      </w:r>
      <w:proofErr w:type="spellStart"/>
      <w:r w:rsidRPr="003970A7">
        <w:rPr>
          <w:sz w:val="20"/>
          <w:szCs w:val="20"/>
        </w:rPr>
        <w:t>Hadramout</w:t>
      </w:r>
      <w:proofErr w:type="spellEnd"/>
      <w:r w:rsidRPr="003970A7">
        <w:rPr>
          <w:sz w:val="20"/>
          <w:szCs w:val="20"/>
        </w:rPr>
        <w:t xml:space="preserve"> and briefed the local authority about the project; the local authority expressed their support to the project and committed to facilitate its implementation.</w:t>
      </w:r>
    </w:p>
    <w:p w:rsidR="007038A6" w:rsidRPr="003970A7" w:rsidRDefault="007038A6" w:rsidP="007038A6">
      <w:pPr>
        <w:bidi w:val="0"/>
        <w:jc w:val="both"/>
        <w:rPr>
          <w:sz w:val="20"/>
          <w:szCs w:val="20"/>
        </w:rPr>
      </w:pPr>
    </w:p>
    <w:p w:rsidR="007038A6" w:rsidRDefault="007038A6" w:rsidP="007038A6">
      <w:pPr>
        <w:pStyle w:val="ListParagraph"/>
        <w:spacing w:after="0" w:line="240" w:lineRule="auto"/>
        <w:ind w:left="360"/>
        <w:rPr>
          <w:b/>
          <w:bCs/>
          <w:lang w:bidi="ar-YE"/>
        </w:rPr>
      </w:pPr>
    </w:p>
    <w:p w:rsidR="007038A6" w:rsidRPr="007038A6" w:rsidRDefault="007038A6" w:rsidP="007038A6">
      <w:pPr>
        <w:tabs>
          <w:tab w:val="left" w:pos="-720"/>
          <w:tab w:val="left" w:pos="4500"/>
        </w:tabs>
        <w:suppressAutoHyphens/>
        <w:bidi w:val="0"/>
        <w:jc w:val="both"/>
        <w:rPr>
          <w:b/>
          <w:bCs/>
          <w:sz w:val="20"/>
          <w:szCs w:val="20"/>
        </w:rPr>
      </w:pPr>
      <w:r w:rsidRPr="00756C14">
        <w:rPr>
          <w:b/>
          <w:bCs/>
          <w:sz w:val="20"/>
          <w:szCs w:val="20"/>
        </w:rPr>
        <w:t>(</w:t>
      </w:r>
      <w:r w:rsidRPr="00756C14">
        <w:rPr>
          <w:sz w:val="20"/>
          <w:szCs w:val="20"/>
        </w:rPr>
        <w:t>2</w:t>
      </w:r>
      <w:r w:rsidRPr="00756C14">
        <w:rPr>
          <w:b/>
          <w:bCs/>
          <w:sz w:val="20"/>
          <w:szCs w:val="20"/>
        </w:rPr>
        <w:t>) Contribute to livelihoods stabilization of populations affected by the conflict, at risk of return to violence through creation of short – term employment creation to rehabilitate and restore social and economic infrastructure;</w:t>
      </w:r>
    </w:p>
    <w:p w:rsidR="007038A6" w:rsidRPr="00756C14" w:rsidRDefault="007038A6" w:rsidP="007038A6">
      <w:pPr>
        <w:bidi w:val="0"/>
        <w:jc w:val="both"/>
        <w:rPr>
          <w:b/>
          <w:bCs/>
          <w:color w:val="4F81BD" w:themeColor="accent1"/>
          <w:sz w:val="20"/>
          <w:szCs w:val="20"/>
        </w:rPr>
      </w:pPr>
      <w:proofErr w:type="spellStart"/>
      <w:r w:rsidRPr="00756C14">
        <w:rPr>
          <w:b/>
          <w:bCs/>
          <w:color w:val="4F81BD" w:themeColor="accent1"/>
          <w:sz w:val="20"/>
          <w:szCs w:val="20"/>
        </w:rPr>
        <w:t>Hajjah</w:t>
      </w:r>
      <w:proofErr w:type="spellEnd"/>
      <w:r w:rsidRPr="00756C14">
        <w:rPr>
          <w:b/>
          <w:bCs/>
          <w:color w:val="4F81BD" w:themeColor="accent1"/>
          <w:sz w:val="20"/>
          <w:szCs w:val="20"/>
        </w:rPr>
        <w:t xml:space="preserve"> Governorate: Abs &amp; </w:t>
      </w:r>
      <w:proofErr w:type="spellStart"/>
      <w:r w:rsidRPr="00756C14">
        <w:rPr>
          <w:b/>
          <w:bCs/>
          <w:color w:val="4F81BD" w:themeColor="accent1"/>
          <w:sz w:val="20"/>
          <w:szCs w:val="20"/>
        </w:rPr>
        <w:t>Khayran</w:t>
      </w:r>
      <w:proofErr w:type="spellEnd"/>
      <w:r w:rsidRPr="00756C14">
        <w:rPr>
          <w:b/>
          <w:bCs/>
          <w:color w:val="4F81BD" w:themeColor="accent1"/>
          <w:sz w:val="20"/>
          <w:szCs w:val="20"/>
        </w:rPr>
        <w:t xml:space="preserve"> Al </w:t>
      </w:r>
      <w:proofErr w:type="spellStart"/>
      <w:r w:rsidRPr="00756C14">
        <w:rPr>
          <w:b/>
          <w:bCs/>
          <w:color w:val="4F81BD" w:themeColor="accent1"/>
          <w:sz w:val="20"/>
          <w:szCs w:val="20"/>
        </w:rPr>
        <w:t>Muhraq</w:t>
      </w:r>
      <w:proofErr w:type="spellEnd"/>
      <w:r w:rsidRPr="00756C14">
        <w:rPr>
          <w:b/>
          <w:bCs/>
          <w:color w:val="4F81BD" w:themeColor="accent1"/>
          <w:sz w:val="20"/>
          <w:szCs w:val="20"/>
        </w:rPr>
        <w:t xml:space="preserve"> districts</w:t>
      </w:r>
    </w:p>
    <w:p w:rsidR="007038A6" w:rsidRPr="003970A7" w:rsidRDefault="007038A6" w:rsidP="007038A6">
      <w:pPr>
        <w:bidi w:val="0"/>
        <w:jc w:val="both"/>
        <w:rPr>
          <w:sz w:val="20"/>
          <w:szCs w:val="20"/>
        </w:rPr>
      </w:pPr>
      <w:r w:rsidRPr="003970A7">
        <w:rPr>
          <w:sz w:val="20"/>
          <w:szCs w:val="20"/>
        </w:rPr>
        <w:t xml:space="preserve">UNDP has started its activities in Abs and </w:t>
      </w:r>
      <w:proofErr w:type="spellStart"/>
      <w:r w:rsidRPr="003970A7">
        <w:rPr>
          <w:sz w:val="20"/>
          <w:szCs w:val="20"/>
        </w:rPr>
        <w:t>Khairan</w:t>
      </w:r>
      <w:proofErr w:type="spellEnd"/>
      <w:r w:rsidRPr="003970A7">
        <w:rPr>
          <w:sz w:val="20"/>
          <w:szCs w:val="20"/>
        </w:rPr>
        <w:t xml:space="preserve"> </w:t>
      </w:r>
      <w:proofErr w:type="spellStart"/>
      <w:r w:rsidRPr="003970A7">
        <w:rPr>
          <w:sz w:val="20"/>
          <w:szCs w:val="20"/>
        </w:rPr>
        <w:t>Almuharraq</w:t>
      </w:r>
      <w:proofErr w:type="spellEnd"/>
      <w:r w:rsidRPr="003970A7">
        <w:rPr>
          <w:sz w:val="20"/>
          <w:szCs w:val="20"/>
        </w:rPr>
        <w:t xml:space="preserve"> districts. The target beneficiary number is 295 youth, of which 200 are women and 95 are men. A market assessment was conducted and viable micro-business opportunities for MSME creation were identified. Participants are being enrolled, and immediate employment opportunities (cash for work) have been initiated for the 200 women focusing on community-based awareness raising in the field of water, hygiene and sanitation promotion. This campaign will reach a total of 30,000 persons.</w:t>
      </w:r>
    </w:p>
    <w:p w:rsidR="007038A6" w:rsidRPr="00756C14" w:rsidRDefault="007038A6" w:rsidP="007038A6">
      <w:pPr>
        <w:bidi w:val="0"/>
        <w:jc w:val="both"/>
        <w:rPr>
          <w:b/>
          <w:bCs/>
          <w:color w:val="4F81BD" w:themeColor="accent1"/>
          <w:sz w:val="20"/>
          <w:szCs w:val="20"/>
        </w:rPr>
      </w:pPr>
      <w:proofErr w:type="spellStart"/>
      <w:r w:rsidRPr="00756C14">
        <w:rPr>
          <w:b/>
          <w:bCs/>
          <w:color w:val="4F81BD" w:themeColor="accent1"/>
          <w:sz w:val="20"/>
          <w:szCs w:val="20"/>
        </w:rPr>
        <w:t>Hajja</w:t>
      </w:r>
      <w:proofErr w:type="spellEnd"/>
      <w:r w:rsidRPr="00756C14">
        <w:rPr>
          <w:b/>
          <w:bCs/>
          <w:color w:val="4F81BD" w:themeColor="accent1"/>
          <w:sz w:val="20"/>
          <w:szCs w:val="20"/>
        </w:rPr>
        <w:t xml:space="preserve"> Governorate: </w:t>
      </w:r>
      <w:proofErr w:type="spellStart"/>
      <w:r w:rsidRPr="00756C14">
        <w:rPr>
          <w:b/>
          <w:bCs/>
          <w:color w:val="4F81BD" w:themeColor="accent1"/>
          <w:sz w:val="20"/>
          <w:szCs w:val="20"/>
        </w:rPr>
        <w:t>Bakil</w:t>
      </w:r>
      <w:proofErr w:type="spellEnd"/>
      <w:r w:rsidRPr="00756C14">
        <w:rPr>
          <w:b/>
          <w:bCs/>
          <w:color w:val="4F81BD" w:themeColor="accent1"/>
          <w:sz w:val="20"/>
          <w:szCs w:val="20"/>
        </w:rPr>
        <w:t xml:space="preserve"> Al Mir and </w:t>
      </w:r>
      <w:proofErr w:type="spellStart"/>
      <w:r w:rsidRPr="00756C14">
        <w:rPr>
          <w:b/>
          <w:bCs/>
          <w:color w:val="4F81BD" w:themeColor="accent1"/>
          <w:sz w:val="20"/>
          <w:szCs w:val="20"/>
        </w:rPr>
        <w:t>Mustaba</w:t>
      </w:r>
      <w:proofErr w:type="spellEnd"/>
      <w:r w:rsidRPr="00756C14">
        <w:rPr>
          <w:b/>
          <w:bCs/>
          <w:color w:val="4F81BD" w:themeColor="accent1"/>
          <w:sz w:val="20"/>
          <w:szCs w:val="20"/>
        </w:rPr>
        <w:t xml:space="preserve"> districts:</w:t>
      </w:r>
    </w:p>
    <w:p w:rsidR="007038A6" w:rsidRPr="003970A7" w:rsidRDefault="007038A6" w:rsidP="007038A6">
      <w:pPr>
        <w:bidi w:val="0"/>
        <w:jc w:val="both"/>
        <w:rPr>
          <w:sz w:val="20"/>
          <w:szCs w:val="20"/>
        </w:rPr>
      </w:pPr>
      <w:r w:rsidRPr="003970A7">
        <w:rPr>
          <w:sz w:val="20"/>
          <w:szCs w:val="20"/>
        </w:rPr>
        <w:t xml:space="preserve">The activities have been delayed as these target districts have been approved in early Feb 2015, after negotiation with </w:t>
      </w:r>
      <w:proofErr w:type="spellStart"/>
      <w:r w:rsidRPr="003970A7">
        <w:rPr>
          <w:sz w:val="20"/>
          <w:szCs w:val="20"/>
        </w:rPr>
        <w:t>Hajja</w:t>
      </w:r>
      <w:proofErr w:type="spellEnd"/>
      <w:r w:rsidRPr="003970A7">
        <w:rPr>
          <w:sz w:val="20"/>
          <w:szCs w:val="20"/>
        </w:rPr>
        <w:t xml:space="preserve"> governor. The UN agencies have paid a joint visit to these districts and met with local authority and agreed on the targeted communities. However, the local authority took long time to communicate the selection in writing as agreed. The reason is, </w:t>
      </w:r>
      <w:r>
        <w:rPr>
          <w:sz w:val="20"/>
          <w:szCs w:val="20"/>
        </w:rPr>
        <w:t>the selection process has created community tension over who is the neediest community. To avoid further escalation and delay, UNDP advised the local authority to communicate to local people the criteria of selection and to hold a meeting with social figures to elaborate more on this process.</w:t>
      </w:r>
    </w:p>
    <w:p w:rsidR="007038A6" w:rsidRPr="003970A7" w:rsidRDefault="007038A6" w:rsidP="007038A6">
      <w:pPr>
        <w:bidi w:val="0"/>
        <w:jc w:val="both"/>
        <w:rPr>
          <w:sz w:val="20"/>
          <w:szCs w:val="20"/>
        </w:rPr>
      </w:pPr>
      <w:r w:rsidRPr="003970A7">
        <w:rPr>
          <w:sz w:val="20"/>
          <w:szCs w:val="20"/>
        </w:rPr>
        <w:t xml:space="preserve">As per the project work plan, WFP is planning to implement the Cash for Work (CFW) by June-July 2015. WFP and its implementing partner (local NGO) will work in the districts of </w:t>
      </w:r>
      <w:proofErr w:type="spellStart"/>
      <w:r w:rsidRPr="003970A7">
        <w:rPr>
          <w:sz w:val="20"/>
          <w:szCs w:val="20"/>
        </w:rPr>
        <w:t>Mustaba</w:t>
      </w:r>
      <w:proofErr w:type="spellEnd"/>
      <w:r w:rsidRPr="003970A7">
        <w:rPr>
          <w:sz w:val="20"/>
          <w:szCs w:val="20"/>
        </w:rPr>
        <w:t xml:space="preserve"> and </w:t>
      </w:r>
      <w:proofErr w:type="spellStart"/>
      <w:r w:rsidRPr="003970A7">
        <w:rPr>
          <w:sz w:val="20"/>
          <w:szCs w:val="20"/>
        </w:rPr>
        <w:t>Bakil</w:t>
      </w:r>
      <w:proofErr w:type="spellEnd"/>
      <w:r w:rsidRPr="003970A7">
        <w:rPr>
          <w:sz w:val="20"/>
          <w:szCs w:val="20"/>
        </w:rPr>
        <w:t xml:space="preserve"> </w:t>
      </w:r>
      <w:proofErr w:type="spellStart"/>
      <w:r w:rsidRPr="003970A7">
        <w:rPr>
          <w:sz w:val="20"/>
          <w:szCs w:val="20"/>
        </w:rPr>
        <w:t>Almeer</w:t>
      </w:r>
      <w:proofErr w:type="spellEnd"/>
      <w:r w:rsidRPr="003970A7">
        <w:rPr>
          <w:sz w:val="20"/>
          <w:szCs w:val="20"/>
        </w:rPr>
        <w:t xml:space="preserve"> of </w:t>
      </w:r>
      <w:proofErr w:type="spellStart"/>
      <w:r w:rsidRPr="003970A7">
        <w:rPr>
          <w:sz w:val="20"/>
          <w:szCs w:val="20"/>
        </w:rPr>
        <w:t>Hajjah</w:t>
      </w:r>
      <w:proofErr w:type="spellEnd"/>
      <w:r w:rsidRPr="003970A7">
        <w:rPr>
          <w:sz w:val="20"/>
          <w:szCs w:val="20"/>
        </w:rPr>
        <w:t xml:space="preserve"> governorate. Currently the two entities are holding preparatory meetings and exchange project documents, in order to sign a partnership agreement.</w:t>
      </w:r>
    </w:p>
    <w:p w:rsidR="007038A6" w:rsidRDefault="007038A6" w:rsidP="007038A6">
      <w:pPr>
        <w:bidi w:val="0"/>
        <w:spacing w:before="240"/>
        <w:jc w:val="both"/>
        <w:rPr>
          <w:sz w:val="20"/>
          <w:szCs w:val="20"/>
        </w:rPr>
      </w:pPr>
      <w:r w:rsidRPr="003970A7">
        <w:rPr>
          <w:sz w:val="20"/>
          <w:szCs w:val="20"/>
        </w:rPr>
        <w:t xml:space="preserve">For FAO, the implementation of 3*6 was delayed given the political turmoil, yet good progress has been made in terms of renewed dialogue with the relevant authorities at respective Governorate levels in order to get full endorsement regarding priority areas. FAO Project Managers were recruited for </w:t>
      </w:r>
      <w:proofErr w:type="spellStart"/>
      <w:r w:rsidRPr="003970A7">
        <w:rPr>
          <w:sz w:val="20"/>
          <w:szCs w:val="20"/>
        </w:rPr>
        <w:t>Hajjah</w:t>
      </w:r>
      <w:proofErr w:type="spellEnd"/>
      <w:r w:rsidRPr="003970A7">
        <w:rPr>
          <w:sz w:val="20"/>
          <w:szCs w:val="20"/>
        </w:rPr>
        <w:t xml:space="preserve"> and market assessments were conducted to define the potential value chains development activities. A value chain specialist - </w:t>
      </w:r>
      <w:r w:rsidRPr="00756C14">
        <w:rPr>
          <w:sz w:val="20"/>
          <w:szCs w:val="20"/>
        </w:rPr>
        <w:t xml:space="preserve">who will be assisted by a Farmer Field Schools (FFS) </w:t>
      </w:r>
      <w:r w:rsidR="008007A5">
        <w:rPr>
          <w:sz w:val="20"/>
          <w:szCs w:val="20"/>
        </w:rPr>
        <w:t xml:space="preserve">- </w:t>
      </w:r>
      <w:r w:rsidRPr="003970A7">
        <w:rPr>
          <w:sz w:val="20"/>
          <w:szCs w:val="20"/>
        </w:rPr>
        <w:t xml:space="preserve">is being recruited and will provide remote support in both districts. </w:t>
      </w:r>
    </w:p>
    <w:p w:rsidR="007038A6" w:rsidRPr="003970A7" w:rsidRDefault="007038A6" w:rsidP="007038A6">
      <w:pPr>
        <w:bidi w:val="0"/>
        <w:spacing w:before="240"/>
        <w:jc w:val="both"/>
        <w:rPr>
          <w:sz w:val="20"/>
          <w:szCs w:val="20"/>
        </w:rPr>
      </w:pPr>
      <w:r>
        <w:rPr>
          <w:sz w:val="20"/>
          <w:szCs w:val="20"/>
        </w:rPr>
        <w:t xml:space="preserve">UNHCR has identified </w:t>
      </w:r>
      <w:proofErr w:type="spellStart"/>
      <w:r>
        <w:rPr>
          <w:sz w:val="20"/>
          <w:szCs w:val="20"/>
        </w:rPr>
        <w:t>Mustaba</w:t>
      </w:r>
      <w:proofErr w:type="spellEnd"/>
      <w:r>
        <w:rPr>
          <w:sz w:val="20"/>
          <w:szCs w:val="20"/>
        </w:rPr>
        <w:t xml:space="preserve"> district to </w:t>
      </w:r>
      <w:r w:rsidR="0088200D">
        <w:rPr>
          <w:sz w:val="20"/>
          <w:szCs w:val="20"/>
        </w:rPr>
        <w:t>implement</w:t>
      </w:r>
      <w:r>
        <w:rPr>
          <w:sz w:val="20"/>
          <w:szCs w:val="20"/>
        </w:rPr>
        <w:t xml:space="preserve"> the rehabilitation of 50 transitional shelters to vulnerable people.</w:t>
      </w:r>
    </w:p>
    <w:p w:rsidR="007038A6" w:rsidRPr="00756C14" w:rsidRDefault="007038A6" w:rsidP="007038A6">
      <w:pPr>
        <w:bidi w:val="0"/>
        <w:jc w:val="both"/>
        <w:rPr>
          <w:b/>
          <w:bCs/>
          <w:color w:val="4F81BD" w:themeColor="accent1"/>
          <w:sz w:val="20"/>
          <w:szCs w:val="20"/>
        </w:rPr>
      </w:pPr>
      <w:proofErr w:type="spellStart"/>
      <w:r w:rsidRPr="00756C14">
        <w:rPr>
          <w:b/>
          <w:bCs/>
          <w:color w:val="4F81BD" w:themeColor="accent1"/>
          <w:sz w:val="20"/>
          <w:szCs w:val="20"/>
        </w:rPr>
        <w:t>Sa’ada</w:t>
      </w:r>
      <w:proofErr w:type="spellEnd"/>
      <w:r w:rsidRPr="00756C14">
        <w:rPr>
          <w:b/>
          <w:bCs/>
          <w:color w:val="4F81BD" w:themeColor="accent1"/>
          <w:sz w:val="20"/>
          <w:szCs w:val="20"/>
        </w:rPr>
        <w:t xml:space="preserve"> Governorate</w:t>
      </w:r>
    </w:p>
    <w:p w:rsidR="007038A6" w:rsidRPr="003970A7" w:rsidRDefault="007038A6" w:rsidP="007038A6">
      <w:pPr>
        <w:bidi w:val="0"/>
        <w:jc w:val="both"/>
        <w:rPr>
          <w:sz w:val="20"/>
          <w:szCs w:val="20"/>
        </w:rPr>
      </w:pPr>
      <w:r w:rsidRPr="003970A7">
        <w:rPr>
          <w:sz w:val="20"/>
          <w:szCs w:val="20"/>
        </w:rPr>
        <w:t xml:space="preserve">A market assessment has been finalized by UNDP and the implementing partner (local NGO) has been selected and contract signed; targeting 345 youth in </w:t>
      </w:r>
      <w:proofErr w:type="spellStart"/>
      <w:r w:rsidRPr="003970A7">
        <w:rPr>
          <w:sz w:val="20"/>
          <w:szCs w:val="20"/>
        </w:rPr>
        <w:t>Sa’ada</w:t>
      </w:r>
      <w:proofErr w:type="spellEnd"/>
      <w:r w:rsidRPr="003970A7">
        <w:rPr>
          <w:sz w:val="20"/>
          <w:szCs w:val="20"/>
        </w:rPr>
        <w:t xml:space="preserve"> and Al </w:t>
      </w:r>
      <w:proofErr w:type="spellStart"/>
      <w:r w:rsidRPr="003970A7">
        <w:rPr>
          <w:sz w:val="20"/>
          <w:szCs w:val="20"/>
        </w:rPr>
        <w:t>Dhaher</w:t>
      </w:r>
      <w:proofErr w:type="spellEnd"/>
      <w:r w:rsidRPr="003970A7">
        <w:rPr>
          <w:sz w:val="20"/>
          <w:szCs w:val="20"/>
        </w:rPr>
        <w:t xml:space="preserve"> district.</w:t>
      </w:r>
    </w:p>
    <w:p w:rsidR="007038A6" w:rsidRDefault="007038A6" w:rsidP="0088200D">
      <w:pPr>
        <w:bidi w:val="0"/>
        <w:jc w:val="both"/>
        <w:rPr>
          <w:sz w:val="20"/>
          <w:szCs w:val="20"/>
        </w:rPr>
      </w:pPr>
      <w:r w:rsidRPr="003970A7">
        <w:rPr>
          <w:sz w:val="20"/>
          <w:szCs w:val="20"/>
        </w:rPr>
        <w:t>The detailed work plan has been shared with local authority and the implementation is expected to start in April 2015.</w:t>
      </w:r>
    </w:p>
    <w:p w:rsidR="007038A6" w:rsidRDefault="007038A6" w:rsidP="007038A6">
      <w:pPr>
        <w:bidi w:val="0"/>
        <w:jc w:val="both"/>
        <w:rPr>
          <w:sz w:val="20"/>
          <w:szCs w:val="20"/>
        </w:rPr>
      </w:pPr>
      <w:r>
        <w:rPr>
          <w:sz w:val="20"/>
          <w:szCs w:val="20"/>
        </w:rPr>
        <w:t>Rehabilitation of Women Center</w:t>
      </w:r>
      <w:r w:rsidRPr="00234456">
        <w:rPr>
          <w:sz w:val="20"/>
          <w:szCs w:val="20"/>
        </w:rPr>
        <w:t xml:space="preserve"> has faced a challenge as IDP families have moved into the remaining structure, demanding the reconstruction of their destroyed houses. UNHCR and UNDP are working with authorities to find a solution for these families. Due to this previously unforeseen constraint, the work plan for this activity ha</w:t>
      </w:r>
      <w:r>
        <w:rPr>
          <w:sz w:val="20"/>
          <w:szCs w:val="20"/>
        </w:rPr>
        <w:t>s been adjusted till this issue is cleared, hopefully by April 2015.</w:t>
      </w:r>
    </w:p>
    <w:p w:rsidR="007038A6" w:rsidRDefault="007038A6" w:rsidP="007038A6">
      <w:pPr>
        <w:bidi w:val="0"/>
        <w:jc w:val="both"/>
        <w:rPr>
          <w:sz w:val="20"/>
          <w:szCs w:val="20"/>
        </w:rPr>
      </w:pPr>
    </w:p>
    <w:p w:rsidR="007038A6" w:rsidRPr="003970A7" w:rsidRDefault="007038A6" w:rsidP="007038A6">
      <w:pPr>
        <w:bidi w:val="0"/>
        <w:jc w:val="both"/>
        <w:rPr>
          <w:sz w:val="20"/>
          <w:szCs w:val="20"/>
        </w:rPr>
      </w:pPr>
      <w:r>
        <w:rPr>
          <w:sz w:val="20"/>
          <w:szCs w:val="20"/>
        </w:rPr>
        <w:lastRenderedPageBreak/>
        <w:t>Out of 100 t</w:t>
      </w:r>
      <w:r w:rsidRPr="008B43CC">
        <w:rPr>
          <w:sz w:val="20"/>
          <w:szCs w:val="20"/>
        </w:rPr>
        <w:t xml:space="preserve">ransitional shelters </w:t>
      </w:r>
      <w:r>
        <w:rPr>
          <w:sz w:val="20"/>
          <w:szCs w:val="20"/>
        </w:rPr>
        <w:t xml:space="preserve">in </w:t>
      </w:r>
      <w:proofErr w:type="spellStart"/>
      <w:r>
        <w:rPr>
          <w:sz w:val="20"/>
          <w:szCs w:val="20"/>
        </w:rPr>
        <w:t>Sa’ada</w:t>
      </w:r>
      <w:proofErr w:type="spellEnd"/>
      <w:r>
        <w:rPr>
          <w:sz w:val="20"/>
          <w:szCs w:val="20"/>
        </w:rPr>
        <w:t xml:space="preserve">, so far, 40 shelters have been constructed in Al </w:t>
      </w:r>
      <w:proofErr w:type="spellStart"/>
      <w:r>
        <w:rPr>
          <w:sz w:val="20"/>
          <w:szCs w:val="20"/>
        </w:rPr>
        <w:t>Dhaher</w:t>
      </w:r>
      <w:proofErr w:type="spellEnd"/>
      <w:r>
        <w:rPr>
          <w:sz w:val="20"/>
          <w:szCs w:val="20"/>
        </w:rPr>
        <w:t xml:space="preserve"> district to support IDPs durable solutions. The remaining 50 shelters, will be implemented in </w:t>
      </w:r>
      <w:proofErr w:type="spellStart"/>
      <w:r>
        <w:rPr>
          <w:sz w:val="20"/>
          <w:szCs w:val="20"/>
        </w:rPr>
        <w:t>Hajja</w:t>
      </w:r>
      <w:proofErr w:type="spellEnd"/>
      <w:r>
        <w:rPr>
          <w:sz w:val="20"/>
          <w:szCs w:val="20"/>
        </w:rPr>
        <w:t xml:space="preserve"> governorate.</w:t>
      </w:r>
    </w:p>
    <w:p w:rsidR="007038A6" w:rsidRPr="00756C14" w:rsidRDefault="007038A6" w:rsidP="007038A6">
      <w:pPr>
        <w:bidi w:val="0"/>
        <w:jc w:val="both"/>
        <w:rPr>
          <w:b/>
          <w:bCs/>
          <w:color w:val="4F81BD" w:themeColor="accent1"/>
          <w:sz w:val="20"/>
          <w:szCs w:val="20"/>
        </w:rPr>
      </w:pPr>
      <w:proofErr w:type="spellStart"/>
      <w:r w:rsidRPr="00756C14">
        <w:rPr>
          <w:b/>
          <w:bCs/>
          <w:color w:val="4F81BD" w:themeColor="accent1"/>
          <w:sz w:val="20"/>
          <w:szCs w:val="20"/>
        </w:rPr>
        <w:t>Hadramout</w:t>
      </w:r>
      <w:proofErr w:type="spellEnd"/>
      <w:r w:rsidRPr="00756C14">
        <w:rPr>
          <w:b/>
          <w:bCs/>
          <w:color w:val="4F81BD" w:themeColor="accent1"/>
          <w:sz w:val="20"/>
          <w:szCs w:val="20"/>
        </w:rPr>
        <w:t xml:space="preserve"> Governorate</w:t>
      </w:r>
    </w:p>
    <w:p w:rsidR="007038A6" w:rsidRPr="003970A7" w:rsidRDefault="007038A6" w:rsidP="007038A6">
      <w:pPr>
        <w:jc w:val="right"/>
        <w:rPr>
          <w:sz w:val="20"/>
          <w:szCs w:val="20"/>
        </w:rPr>
      </w:pPr>
      <w:r w:rsidRPr="003970A7">
        <w:rPr>
          <w:sz w:val="20"/>
          <w:szCs w:val="20"/>
        </w:rPr>
        <w:t>UNDP has finalized its agreement with IOM to implement YEEP activities targeting 297 youth.</w:t>
      </w:r>
    </w:p>
    <w:p w:rsidR="007038A6" w:rsidRPr="003970A7" w:rsidRDefault="007038A6" w:rsidP="007038A6">
      <w:pPr>
        <w:bidi w:val="0"/>
        <w:jc w:val="both"/>
        <w:rPr>
          <w:sz w:val="20"/>
          <w:szCs w:val="20"/>
        </w:rPr>
      </w:pPr>
      <w:r w:rsidRPr="003970A7">
        <w:rPr>
          <w:sz w:val="20"/>
          <w:szCs w:val="20"/>
        </w:rPr>
        <w:t>While and extensive coordination work between IOM &amp; UNDP was done to kick off the activities. This process delayed the start of the project, yet it paved the road for smooth implementation as all issues have been discussed &amp; cleared.</w:t>
      </w:r>
    </w:p>
    <w:p w:rsidR="007038A6" w:rsidRDefault="007038A6" w:rsidP="007038A6">
      <w:pPr>
        <w:bidi w:val="0"/>
        <w:jc w:val="both"/>
        <w:rPr>
          <w:sz w:val="20"/>
          <w:szCs w:val="20"/>
        </w:rPr>
      </w:pPr>
      <w:r w:rsidRPr="003970A7">
        <w:rPr>
          <w:sz w:val="20"/>
          <w:szCs w:val="20"/>
        </w:rPr>
        <w:t xml:space="preserve">IOM conducted two missions in </w:t>
      </w:r>
      <w:proofErr w:type="spellStart"/>
      <w:r w:rsidRPr="003970A7">
        <w:rPr>
          <w:sz w:val="20"/>
          <w:szCs w:val="20"/>
        </w:rPr>
        <w:t>Hadramout</w:t>
      </w:r>
      <w:proofErr w:type="spellEnd"/>
      <w:r w:rsidRPr="003970A7">
        <w:rPr>
          <w:sz w:val="20"/>
          <w:szCs w:val="20"/>
        </w:rPr>
        <w:t xml:space="preserve"> and briefed the local authority about the project; the local authority expressed their support to the project and committed to facilitate its implementation.</w:t>
      </w:r>
    </w:p>
    <w:p w:rsidR="007038A6" w:rsidRDefault="007038A6" w:rsidP="007038A6">
      <w:pPr>
        <w:bidi w:val="0"/>
        <w:jc w:val="both"/>
        <w:rPr>
          <w:sz w:val="20"/>
          <w:szCs w:val="20"/>
        </w:rPr>
      </w:pPr>
      <w:r w:rsidRPr="00756C14">
        <w:rPr>
          <w:b/>
          <w:bCs/>
          <w:color w:val="4F81BD" w:themeColor="accent1"/>
          <w:sz w:val="20"/>
          <w:szCs w:val="20"/>
        </w:rPr>
        <w:t>ILO technical support</w:t>
      </w:r>
    </w:p>
    <w:p w:rsidR="007038A6" w:rsidRPr="00756C14" w:rsidRDefault="007038A6" w:rsidP="007038A6">
      <w:pPr>
        <w:autoSpaceDE w:val="0"/>
        <w:autoSpaceDN w:val="0"/>
        <w:bidi w:val="0"/>
        <w:adjustRightInd w:val="0"/>
        <w:rPr>
          <w:sz w:val="20"/>
          <w:szCs w:val="20"/>
        </w:rPr>
      </w:pPr>
      <w:r w:rsidRPr="00756C14">
        <w:rPr>
          <w:sz w:val="20"/>
          <w:szCs w:val="20"/>
        </w:rPr>
        <w:t xml:space="preserve">The project tackles the provision of business start-up training to the beneficiaries of the 3X6 </w:t>
      </w:r>
      <w:proofErr w:type="spellStart"/>
      <w:r w:rsidRPr="00756C14">
        <w:rPr>
          <w:sz w:val="20"/>
          <w:szCs w:val="20"/>
        </w:rPr>
        <w:t>programme</w:t>
      </w:r>
      <w:proofErr w:type="spellEnd"/>
      <w:r w:rsidRPr="00756C14">
        <w:rPr>
          <w:sz w:val="20"/>
          <w:szCs w:val="20"/>
        </w:rPr>
        <w:t xml:space="preserve"> of UNDP. Literate and illiterate youth will be provided with basic business management training using the ILO My First Business </w:t>
      </w:r>
      <w:proofErr w:type="spellStart"/>
      <w:r w:rsidRPr="00756C14">
        <w:rPr>
          <w:sz w:val="20"/>
          <w:szCs w:val="20"/>
        </w:rPr>
        <w:t>Programme</w:t>
      </w:r>
      <w:proofErr w:type="spellEnd"/>
      <w:r>
        <w:rPr>
          <w:sz w:val="20"/>
          <w:szCs w:val="20"/>
        </w:rPr>
        <w:t xml:space="preserve"> (MFB)</w:t>
      </w:r>
      <w:r w:rsidRPr="00756C14">
        <w:rPr>
          <w:sz w:val="20"/>
          <w:szCs w:val="20"/>
        </w:rPr>
        <w:t xml:space="preserve">, as well a curriculum specifically developed for illiterate target group.  Two </w:t>
      </w:r>
      <w:proofErr w:type="spellStart"/>
      <w:r w:rsidRPr="00756C14">
        <w:rPr>
          <w:sz w:val="20"/>
          <w:szCs w:val="20"/>
        </w:rPr>
        <w:t>ToTs</w:t>
      </w:r>
      <w:proofErr w:type="spellEnd"/>
      <w:r w:rsidRPr="00756C14">
        <w:rPr>
          <w:sz w:val="20"/>
          <w:szCs w:val="20"/>
        </w:rPr>
        <w:t xml:space="preserve"> workshops were held for the My First Business </w:t>
      </w:r>
      <w:proofErr w:type="spellStart"/>
      <w:r w:rsidRPr="00756C14">
        <w:rPr>
          <w:sz w:val="20"/>
          <w:szCs w:val="20"/>
        </w:rPr>
        <w:t>Programme</w:t>
      </w:r>
      <w:proofErr w:type="spellEnd"/>
      <w:r w:rsidRPr="00756C14">
        <w:rPr>
          <w:sz w:val="20"/>
          <w:szCs w:val="20"/>
        </w:rPr>
        <w:t xml:space="preserve">. </w:t>
      </w:r>
    </w:p>
    <w:p w:rsidR="007038A6" w:rsidRPr="00756C14" w:rsidRDefault="007038A6" w:rsidP="007038A6">
      <w:pPr>
        <w:pStyle w:val="ListParagraph"/>
        <w:numPr>
          <w:ilvl w:val="0"/>
          <w:numId w:val="13"/>
        </w:numPr>
        <w:autoSpaceDE w:val="0"/>
        <w:autoSpaceDN w:val="0"/>
        <w:adjustRightInd w:val="0"/>
        <w:rPr>
          <w:sz w:val="20"/>
          <w:szCs w:val="20"/>
        </w:rPr>
      </w:pPr>
      <w:r w:rsidRPr="00756C14">
        <w:rPr>
          <w:sz w:val="20"/>
          <w:szCs w:val="20"/>
        </w:rPr>
        <w:t xml:space="preserve">An entrepreneurship training </w:t>
      </w:r>
      <w:proofErr w:type="spellStart"/>
      <w:r w:rsidRPr="00756C14">
        <w:rPr>
          <w:sz w:val="20"/>
          <w:szCs w:val="20"/>
        </w:rPr>
        <w:t>programme</w:t>
      </w:r>
      <w:proofErr w:type="spellEnd"/>
      <w:r w:rsidRPr="00756C14">
        <w:rPr>
          <w:sz w:val="20"/>
          <w:szCs w:val="20"/>
        </w:rPr>
        <w:t xml:space="preserve"> targeting illiterate youth was developed. Due to the prevailing situation in Yemen, the selection of trainers was made via Skype.</w:t>
      </w:r>
    </w:p>
    <w:p w:rsidR="007038A6" w:rsidRPr="00756C14" w:rsidRDefault="007038A6" w:rsidP="007038A6">
      <w:pPr>
        <w:pStyle w:val="ListParagraph"/>
        <w:numPr>
          <w:ilvl w:val="0"/>
          <w:numId w:val="13"/>
        </w:numPr>
        <w:autoSpaceDE w:val="0"/>
        <w:autoSpaceDN w:val="0"/>
        <w:adjustRightInd w:val="0"/>
        <w:rPr>
          <w:sz w:val="20"/>
          <w:szCs w:val="20"/>
        </w:rPr>
      </w:pPr>
      <w:r>
        <w:rPr>
          <w:sz w:val="20"/>
          <w:szCs w:val="20"/>
        </w:rPr>
        <w:t xml:space="preserve">The TOT on the </w:t>
      </w:r>
      <w:r w:rsidRPr="00756C14">
        <w:rPr>
          <w:sz w:val="20"/>
          <w:szCs w:val="20"/>
        </w:rPr>
        <w:t xml:space="preserve">provision of the illiterate </w:t>
      </w:r>
      <w:proofErr w:type="spellStart"/>
      <w:r w:rsidRPr="00756C14">
        <w:rPr>
          <w:sz w:val="20"/>
          <w:szCs w:val="20"/>
        </w:rPr>
        <w:t>programme</w:t>
      </w:r>
      <w:proofErr w:type="spellEnd"/>
      <w:r w:rsidRPr="00756C14">
        <w:rPr>
          <w:sz w:val="20"/>
          <w:szCs w:val="20"/>
        </w:rPr>
        <w:t xml:space="preserve"> was postponed twice due to the security situation.</w:t>
      </w:r>
    </w:p>
    <w:p w:rsidR="007038A6" w:rsidRDefault="007038A6" w:rsidP="007038A6">
      <w:pPr>
        <w:bidi w:val="0"/>
        <w:jc w:val="both"/>
        <w:rPr>
          <w:sz w:val="20"/>
          <w:szCs w:val="20"/>
        </w:rPr>
      </w:pPr>
    </w:p>
    <w:p w:rsidR="007038A6" w:rsidRDefault="007038A6" w:rsidP="007038A6">
      <w:pPr>
        <w:bidi w:val="0"/>
        <w:jc w:val="both"/>
        <w:rPr>
          <w:sz w:val="20"/>
          <w:szCs w:val="20"/>
        </w:rPr>
      </w:pPr>
      <w:r>
        <w:rPr>
          <w:sz w:val="20"/>
          <w:szCs w:val="20"/>
        </w:rPr>
        <w:t>ILO contribution is targeting all three governorates of project.</w:t>
      </w:r>
    </w:p>
    <w:p w:rsidR="007038A6" w:rsidRDefault="007038A6" w:rsidP="007038A6">
      <w:pPr>
        <w:bidi w:val="0"/>
        <w:jc w:val="both"/>
        <w:rPr>
          <w:sz w:val="20"/>
          <w:szCs w:val="20"/>
        </w:rPr>
      </w:pPr>
    </w:p>
    <w:p w:rsidR="007038A6" w:rsidRPr="007038A6" w:rsidRDefault="007038A6" w:rsidP="007038A6">
      <w:pPr>
        <w:bidi w:val="0"/>
        <w:jc w:val="both"/>
        <w:rPr>
          <w:b/>
          <w:bCs/>
          <w:sz w:val="20"/>
          <w:szCs w:val="20"/>
          <w:lang w:val="en-GB"/>
        </w:rPr>
      </w:pPr>
      <w:r w:rsidRPr="00CA7693">
        <w:rPr>
          <w:sz w:val="20"/>
          <w:szCs w:val="20"/>
        </w:rPr>
        <w:t xml:space="preserve">(3) </w:t>
      </w:r>
      <w:r w:rsidRPr="00CA7693">
        <w:rPr>
          <w:b/>
          <w:bCs/>
          <w:sz w:val="20"/>
          <w:szCs w:val="20"/>
        </w:rPr>
        <w:t xml:space="preserve">Women led civil society </w:t>
      </w:r>
      <w:proofErr w:type="spellStart"/>
      <w:r w:rsidRPr="00CA7693">
        <w:rPr>
          <w:b/>
          <w:bCs/>
          <w:sz w:val="20"/>
          <w:szCs w:val="20"/>
        </w:rPr>
        <w:t>organisations</w:t>
      </w:r>
      <w:proofErr w:type="spellEnd"/>
      <w:r w:rsidRPr="00CA7693">
        <w:rPr>
          <w:b/>
          <w:bCs/>
          <w:sz w:val="20"/>
          <w:szCs w:val="20"/>
        </w:rPr>
        <w:t xml:space="preserve"> monitoring and implementing peacebuilding activities</w:t>
      </w:r>
    </w:p>
    <w:p w:rsidR="007038A6" w:rsidRPr="007038A6" w:rsidRDefault="007038A6" w:rsidP="007038A6">
      <w:pPr>
        <w:bidi w:val="0"/>
        <w:jc w:val="both"/>
        <w:rPr>
          <w:sz w:val="20"/>
          <w:szCs w:val="20"/>
        </w:rPr>
      </w:pPr>
      <w:r w:rsidRPr="003970A7">
        <w:rPr>
          <w:sz w:val="20"/>
          <w:szCs w:val="20"/>
        </w:rPr>
        <w:t xml:space="preserve">This component, include provision of livelihood assets to FHH and vulnerable groups, </w:t>
      </w:r>
      <w:r>
        <w:rPr>
          <w:sz w:val="20"/>
          <w:szCs w:val="20"/>
        </w:rPr>
        <w:t xml:space="preserve">will be implemented </w:t>
      </w:r>
      <w:r w:rsidRPr="003970A7">
        <w:rPr>
          <w:sz w:val="20"/>
          <w:szCs w:val="20"/>
        </w:rPr>
        <w:t xml:space="preserve">in </w:t>
      </w:r>
      <w:proofErr w:type="spellStart"/>
      <w:proofErr w:type="gramStart"/>
      <w:r w:rsidRPr="003970A7">
        <w:rPr>
          <w:sz w:val="20"/>
          <w:szCs w:val="20"/>
        </w:rPr>
        <w:t>Sa’ada</w:t>
      </w:r>
      <w:proofErr w:type="spellEnd"/>
      <w:r w:rsidRPr="003970A7">
        <w:rPr>
          <w:sz w:val="20"/>
          <w:szCs w:val="20"/>
        </w:rPr>
        <w:t xml:space="preserve">  by</w:t>
      </w:r>
      <w:proofErr w:type="gramEnd"/>
      <w:r w:rsidRPr="003970A7">
        <w:rPr>
          <w:sz w:val="20"/>
          <w:szCs w:val="20"/>
        </w:rPr>
        <w:t xml:space="preserve"> UNDP (66hh) and in </w:t>
      </w:r>
      <w:proofErr w:type="spellStart"/>
      <w:r w:rsidRPr="003970A7">
        <w:rPr>
          <w:sz w:val="20"/>
          <w:szCs w:val="20"/>
        </w:rPr>
        <w:t>Hadramout</w:t>
      </w:r>
      <w:proofErr w:type="spellEnd"/>
      <w:r w:rsidRPr="003970A7">
        <w:rPr>
          <w:sz w:val="20"/>
          <w:szCs w:val="20"/>
        </w:rPr>
        <w:t xml:space="preserve"> by IOM (400hh); total is 466hh</w:t>
      </w:r>
    </w:p>
    <w:p w:rsidR="007038A6" w:rsidRPr="003970A7" w:rsidRDefault="007038A6" w:rsidP="007038A6">
      <w:pPr>
        <w:bidi w:val="0"/>
        <w:jc w:val="both"/>
        <w:rPr>
          <w:b/>
          <w:bCs/>
          <w:color w:val="4F81BD" w:themeColor="accent1"/>
          <w:sz w:val="20"/>
          <w:szCs w:val="20"/>
        </w:rPr>
      </w:pPr>
      <w:proofErr w:type="spellStart"/>
      <w:r w:rsidRPr="003970A7">
        <w:rPr>
          <w:b/>
          <w:bCs/>
          <w:color w:val="4F81BD" w:themeColor="accent1"/>
          <w:sz w:val="20"/>
          <w:szCs w:val="20"/>
        </w:rPr>
        <w:t>Sa’ada</w:t>
      </w:r>
      <w:proofErr w:type="spellEnd"/>
      <w:r w:rsidRPr="003970A7">
        <w:rPr>
          <w:b/>
          <w:bCs/>
          <w:color w:val="4F81BD" w:themeColor="accent1"/>
          <w:sz w:val="20"/>
          <w:szCs w:val="20"/>
        </w:rPr>
        <w:t xml:space="preserve"> Governorate</w:t>
      </w:r>
    </w:p>
    <w:p w:rsidR="007038A6" w:rsidRPr="003970A7" w:rsidRDefault="007038A6" w:rsidP="007038A6">
      <w:pPr>
        <w:bidi w:val="0"/>
        <w:jc w:val="both"/>
        <w:rPr>
          <w:sz w:val="20"/>
          <w:szCs w:val="20"/>
        </w:rPr>
      </w:pPr>
      <w:r w:rsidRPr="003970A7">
        <w:rPr>
          <w:sz w:val="20"/>
          <w:szCs w:val="20"/>
        </w:rPr>
        <w:t>UNDP has made the following progress:</w:t>
      </w:r>
    </w:p>
    <w:p w:rsidR="007038A6" w:rsidRPr="003970A7" w:rsidRDefault="007038A6" w:rsidP="007038A6">
      <w:pPr>
        <w:pStyle w:val="ListParagraph"/>
        <w:numPr>
          <w:ilvl w:val="0"/>
          <w:numId w:val="14"/>
        </w:numPr>
        <w:ind w:left="360" w:hanging="180"/>
        <w:rPr>
          <w:sz w:val="20"/>
          <w:szCs w:val="20"/>
        </w:rPr>
      </w:pPr>
      <w:r w:rsidRPr="003970A7">
        <w:rPr>
          <w:sz w:val="20"/>
          <w:szCs w:val="20"/>
        </w:rPr>
        <w:t>A women base NGO has been selected. They've experience with UNDP in the same component in 2013</w:t>
      </w:r>
    </w:p>
    <w:p w:rsidR="007038A6" w:rsidRPr="003970A7" w:rsidRDefault="007038A6" w:rsidP="007038A6">
      <w:pPr>
        <w:pStyle w:val="ListParagraph"/>
        <w:numPr>
          <w:ilvl w:val="0"/>
          <w:numId w:val="14"/>
        </w:numPr>
        <w:ind w:left="360" w:hanging="180"/>
        <w:rPr>
          <w:sz w:val="20"/>
          <w:szCs w:val="20"/>
        </w:rPr>
      </w:pPr>
      <w:r w:rsidRPr="003970A7">
        <w:rPr>
          <w:sz w:val="20"/>
          <w:szCs w:val="20"/>
        </w:rPr>
        <w:t>Finalization of the 1st draft of the budget and work plan.</w:t>
      </w:r>
    </w:p>
    <w:p w:rsidR="007038A6" w:rsidRPr="003970A7" w:rsidRDefault="007038A6" w:rsidP="007038A6">
      <w:pPr>
        <w:pStyle w:val="ListParagraph"/>
        <w:numPr>
          <w:ilvl w:val="0"/>
          <w:numId w:val="14"/>
        </w:numPr>
        <w:ind w:left="360" w:hanging="180"/>
        <w:rPr>
          <w:sz w:val="20"/>
          <w:szCs w:val="20"/>
        </w:rPr>
      </w:pPr>
      <w:r w:rsidRPr="003970A7">
        <w:rPr>
          <w:sz w:val="20"/>
          <w:szCs w:val="20"/>
        </w:rPr>
        <w:t xml:space="preserve">Agreed with the local authority on the targeted district, as per the project document (Al </w:t>
      </w:r>
      <w:proofErr w:type="spellStart"/>
      <w:r w:rsidRPr="003970A7">
        <w:rPr>
          <w:sz w:val="20"/>
          <w:szCs w:val="20"/>
        </w:rPr>
        <w:t>Dhaher</w:t>
      </w:r>
      <w:proofErr w:type="spellEnd"/>
      <w:r w:rsidRPr="003970A7">
        <w:rPr>
          <w:sz w:val="20"/>
          <w:szCs w:val="20"/>
        </w:rPr>
        <w:t xml:space="preserve"> district) and criteria for selection of beneficiaries.</w:t>
      </w:r>
    </w:p>
    <w:p w:rsidR="0088200D" w:rsidRPr="003970A7" w:rsidRDefault="0088200D" w:rsidP="0088200D">
      <w:pPr>
        <w:bidi w:val="0"/>
        <w:jc w:val="both"/>
        <w:rPr>
          <w:b/>
          <w:bCs/>
          <w:color w:val="4F81BD" w:themeColor="accent1"/>
          <w:sz w:val="20"/>
          <w:szCs w:val="20"/>
        </w:rPr>
      </w:pPr>
      <w:proofErr w:type="spellStart"/>
      <w:r w:rsidRPr="003970A7">
        <w:rPr>
          <w:b/>
          <w:bCs/>
          <w:color w:val="4F81BD" w:themeColor="accent1"/>
          <w:sz w:val="20"/>
          <w:szCs w:val="20"/>
        </w:rPr>
        <w:t>Hadramout</w:t>
      </w:r>
      <w:proofErr w:type="spellEnd"/>
      <w:r w:rsidRPr="003970A7">
        <w:rPr>
          <w:b/>
          <w:bCs/>
          <w:color w:val="4F81BD" w:themeColor="accent1"/>
          <w:sz w:val="20"/>
          <w:szCs w:val="20"/>
        </w:rPr>
        <w:t xml:space="preserve"> Governorate</w:t>
      </w:r>
    </w:p>
    <w:p w:rsidR="0088200D" w:rsidRPr="003970A7" w:rsidRDefault="0088200D" w:rsidP="0088200D">
      <w:pPr>
        <w:bidi w:val="0"/>
        <w:jc w:val="both"/>
        <w:rPr>
          <w:sz w:val="20"/>
          <w:szCs w:val="20"/>
        </w:rPr>
      </w:pPr>
      <w:r w:rsidRPr="003970A7">
        <w:rPr>
          <w:sz w:val="20"/>
          <w:szCs w:val="20"/>
        </w:rPr>
        <w:t>IOM has made the following progress:</w:t>
      </w:r>
    </w:p>
    <w:p w:rsidR="0088200D" w:rsidRPr="003970A7" w:rsidRDefault="0088200D" w:rsidP="0088200D">
      <w:pPr>
        <w:pStyle w:val="ListParagraph"/>
        <w:numPr>
          <w:ilvl w:val="0"/>
          <w:numId w:val="15"/>
        </w:numPr>
        <w:jc w:val="both"/>
        <w:rPr>
          <w:sz w:val="20"/>
          <w:szCs w:val="20"/>
        </w:rPr>
      </w:pPr>
      <w:r w:rsidRPr="003970A7">
        <w:rPr>
          <w:sz w:val="20"/>
          <w:szCs w:val="20"/>
        </w:rPr>
        <w:t xml:space="preserve">Extensive coordination work with local authority </w:t>
      </w:r>
      <w:r>
        <w:rPr>
          <w:sz w:val="20"/>
          <w:szCs w:val="20"/>
        </w:rPr>
        <w:t xml:space="preserve">has been </w:t>
      </w:r>
      <w:r w:rsidRPr="003970A7">
        <w:rPr>
          <w:sz w:val="20"/>
          <w:szCs w:val="20"/>
        </w:rPr>
        <w:t xml:space="preserve">finalized. </w:t>
      </w:r>
    </w:p>
    <w:p w:rsidR="0088200D" w:rsidRPr="003970A7" w:rsidRDefault="0088200D" w:rsidP="0088200D">
      <w:pPr>
        <w:pStyle w:val="ListParagraph"/>
        <w:numPr>
          <w:ilvl w:val="0"/>
          <w:numId w:val="15"/>
        </w:numPr>
        <w:jc w:val="both"/>
        <w:rPr>
          <w:sz w:val="20"/>
          <w:szCs w:val="20"/>
        </w:rPr>
      </w:pPr>
      <w:r w:rsidRPr="003970A7">
        <w:rPr>
          <w:sz w:val="20"/>
          <w:szCs w:val="20"/>
        </w:rPr>
        <w:t>Criteria of selection has been developed and agreed with local authority.</w:t>
      </w:r>
    </w:p>
    <w:p w:rsidR="0088200D" w:rsidRPr="003970A7" w:rsidRDefault="0088200D" w:rsidP="0088200D">
      <w:pPr>
        <w:pStyle w:val="ListParagraph"/>
        <w:numPr>
          <w:ilvl w:val="0"/>
          <w:numId w:val="15"/>
        </w:numPr>
        <w:jc w:val="both"/>
        <w:rPr>
          <w:sz w:val="20"/>
          <w:szCs w:val="20"/>
        </w:rPr>
      </w:pPr>
      <w:r w:rsidRPr="003970A7">
        <w:rPr>
          <w:sz w:val="20"/>
          <w:szCs w:val="20"/>
        </w:rPr>
        <w:t>A process of selecting an implementing partner is ongoing and expected to be finalized by beginning of second quarter.</w:t>
      </w:r>
    </w:p>
    <w:p w:rsidR="007038A6" w:rsidRDefault="007038A6" w:rsidP="007038A6">
      <w:pPr>
        <w:bidi w:val="0"/>
        <w:jc w:val="both"/>
        <w:rPr>
          <w:sz w:val="20"/>
          <w:szCs w:val="20"/>
        </w:rPr>
      </w:pPr>
    </w:p>
    <w:p w:rsidR="007038A6" w:rsidRDefault="007038A6" w:rsidP="007038A6">
      <w:pPr>
        <w:pStyle w:val="ListParagraph"/>
        <w:spacing w:after="0" w:line="240" w:lineRule="auto"/>
        <w:ind w:left="360"/>
        <w:rPr>
          <w:b/>
          <w:bCs/>
          <w:lang w:bidi="ar-YE"/>
        </w:rPr>
      </w:pPr>
    </w:p>
    <w:p w:rsidR="006A485C" w:rsidRDefault="00574624" w:rsidP="00C00B67">
      <w:pPr>
        <w:pStyle w:val="ListParagraph"/>
        <w:numPr>
          <w:ilvl w:val="0"/>
          <w:numId w:val="4"/>
        </w:numPr>
        <w:spacing w:after="0" w:line="240" w:lineRule="auto"/>
        <w:ind w:left="360" w:firstLine="0"/>
        <w:rPr>
          <w:b/>
          <w:bCs/>
          <w:lang w:bidi="ar-YE"/>
        </w:rPr>
      </w:pPr>
      <w:r>
        <w:rPr>
          <w:b/>
          <w:bCs/>
        </w:rPr>
        <w:t xml:space="preserve">Implementation </w:t>
      </w:r>
      <w:r w:rsidR="006A485C" w:rsidRPr="00C00B67">
        <w:rPr>
          <w:b/>
          <w:bCs/>
        </w:rPr>
        <w:t>of the Proje</w:t>
      </w:r>
      <w:r>
        <w:rPr>
          <w:b/>
          <w:bCs/>
        </w:rPr>
        <w:t>ct’s Activities</w:t>
      </w:r>
      <w:r w:rsidR="009809C0">
        <w:rPr>
          <w:b/>
          <w:bCs/>
        </w:rPr>
        <w:t>, 1 April 2014 -31 March 2015</w:t>
      </w:r>
      <w:r>
        <w:rPr>
          <w:b/>
          <w:bCs/>
        </w:rPr>
        <w:t>.</w:t>
      </w:r>
    </w:p>
    <w:p w:rsidR="00C00B67" w:rsidRDefault="00C00B67" w:rsidP="00C00B67">
      <w:pPr>
        <w:pStyle w:val="ListParagraph"/>
        <w:rPr>
          <w:b/>
          <w:bCs/>
          <w:lang w:bidi="ar-YE"/>
        </w:rPr>
      </w:pPr>
    </w:p>
    <w:tbl>
      <w:tblPr>
        <w:tblStyle w:val="TableGrid2"/>
        <w:tblpPr w:leftFromText="180" w:rightFromText="180" w:vertAnchor="text" w:horzAnchor="margin" w:tblpYSpec="center"/>
        <w:tblW w:w="10188" w:type="dxa"/>
        <w:tblLook w:val="04A0" w:firstRow="1" w:lastRow="0" w:firstColumn="1" w:lastColumn="0" w:noHBand="0" w:noVBand="1"/>
      </w:tblPr>
      <w:tblGrid>
        <w:gridCol w:w="3256"/>
        <w:gridCol w:w="2432"/>
        <w:gridCol w:w="2430"/>
        <w:gridCol w:w="2070"/>
      </w:tblGrid>
      <w:tr w:rsidR="00574624" w:rsidRPr="00937EBB" w:rsidTr="001A1D45">
        <w:trPr>
          <w:trHeight w:val="759"/>
        </w:trPr>
        <w:tc>
          <w:tcPr>
            <w:tcW w:w="3256" w:type="dxa"/>
            <w:shd w:val="clear" w:color="auto" w:fill="C4BC96" w:themeFill="background2" w:themeFillShade="BF"/>
          </w:tcPr>
          <w:p w:rsidR="00574624" w:rsidRPr="009809C0" w:rsidRDefault="00574624" w:rsidP="009809C0">
            <w:pPr>
              <w:jc w:val="center"/>
              <w:rPr>
                <w:b/>
                <w:bCs/>
              </w:rPr>
            </w:pPr>
            <w:r w:rsidRPr="009809C0">
              <w:rPr>
                <w:b/>
                <w:bCs/>
              </w:rPr>
              <w:t>Project Outcome/Output</w:t>
            </w:r>
          </w:p>
        </w:tc>
        <w:tc>
          <w:tcPr>
            <w:tcW w:w="2432" w:type="dxa"/>
            <w:shd w:val="clear" w:color="auto" w:fill="C4BC96" w:themeFill="background2" w:themeFillShade="BF"/>
          </w:tcPr>
          <w:p w:rsidR="00574624" w:rsidRPr="009809C0" w:rsidRDefault="009F398A" w:rsidP="009F398A">
            <w:pPr>
              <w:jc w:val="center"/>
              <w:rPr>
                <w:bCs/>
                <w:sz w:val="20"/>
                <w:szCs w:val="20"/>
                <w:lang w:bidi="ar-YE"/>
              </w:rPr>
            </w:pPr>
            <w:r w:rsidRPr="009F398A">
              <w:rPr>
                <w:b/>
                <w:bCs/>
              </w:rPr>
              <w:t xml:space="preserve">Planned Progress </w:t>
            </w:r>
          </w:p>
        </w:tc>
        <w:tc>
          <w:tcPr>
            <w:tcW w:w="2430" w:type="dxa"/>
            <w:shd w:val="clear" w:color="auto" w:fill="C4BC96" w:themeFill="background2" w:themeFillShade="BF"/>
          </w:tcPr>
          <w:p w:rsidR="00574624" w:rsidRPr="009809C0" w:rsidRDefault="009F398A" w:rsidP="009F398A">
            <w:pPr>
              <w:jc w:val="center"/>
              <w:rPr>
                <w:bCs/>
                <w:sz w:val="20"/>
                <w:szCs w:val="20"/>
              </w:rPr>
            </w:pPr>
            <w:r w:rsidRPr="009F398A">
              <w:rPr>
                <w:b/>
                <w:bCs/>
              </w:rPr>
              <w:t xml:space="preserve">Actual progress </w:t>
            </w:r>
            <w:r w:rsidRPr="009F398A">
              <w:rPr>
                <w:rFonts w:hint="cs"/>
                <w:b/>
                <w:bCs/>
                <w:rtl/>
              </w:rPr>
              <w:t xml:space="preserve"> </w:t>
            </w:r>
          </w:p>
        </w:tc>
        <w:tc>
          <w:tcPr>
            <w:tcW w:w="2070" w:type="dxa"/>
            <w:shd w:val="clear" w:color="auto" w:fill="C4BC96" w:themeFill="background2" w:themeFillShade="BF"/>
          </w:tcPr>
          <w:p w:rsidR="00574624" w:rsidRPr="009809C0" w:rsidRDefault="00574624" w:rsidP="00827E04">
            <w:pPr>
              <w:jc w:val="center"/>
              <w:rPr>
                <w:b/>
                <w:bCs/>
              </w:rPr>
            </w:pPr>
            <w:r w:rsidRPr="009809C0">
              <w:rPr>
                <w:b/>
                <w:bCs/>
              </w:rPr>
              <w:t>Explanation</w:t>
            </w:r>
          </w:p>
        </w:tc>
      </w:tr>
      <w:tr w:rsidR="00574624" w:rsidRPr="00937EBB" w:rsidTr="001A1D45">
        <w:trPr>
          <w:trHeight w:val="331"/>
        </w:trPr>
        <w:tc>
          <w:tcPr>
            <w:tcW w:w="3256" w:type="dxa"/>
            <w:shd w:val="clear" w:color="auto" w:fill="F2F2F2" w:themeFill="background1" w:themeFillShade="F2"/>
          </w:tcPr>
          <w:p w:rsidR="001A1D45" w:rsidRPr="007B7740" w:rsidRDefault="00880B61" w:rsidP="001A1D45">
            <w:pPr>
              <w:pStyle w:val="ListParagraph"/>
              <w:numPr>
                <w:ilvl w:val="0"/>
                <w:numId w:val="16"/>
              </w:numPr>
              <w:ind w:left="29"/>
              <w:rPr>
                <w:rFonts w:cs="Arial"/>
                <w:i/>
                <w:iCs/>
                <w:sz w:val="20"/>
                <w:szCs w:val="20"/>
              </w:rPr>
            </w:pPr>
            <w:r w:rsidRPr="00880B61">
              <w:rPr>
                <w:b/>
                <w:bCs/>
                <w:sz w:val="20"/>
                <w:szCs w:val="20"/>
              </w:rPr>
              <w:t>Outcome 1</w:t>
            </w:r>
            <w:r>
              <w:rPr>
                <w:sz w:val="20"/>
                <w:szCs w:val="20"/>
              </w:rPr>
              <w:t xml:space="preserve">: </w:t>
            </w:r>
            <w:r w:rsidR="003E5FCA">
              <w:rPr>
                <w:sz w:val="20"/>
                <w:szCs w:val="20"/>
              </w:rPr>
              <w:t xml:space="preserve">Project </w:t>
            </w:r>
            <w:r w:rsidR="001A1D45">
              <w:rPr>
                <w:sz w:val="20"/>
                <w:szCs w:val="20"/>
              </w:rPr>
              <w:t>outcome:</w:t>
            </w:r>
            <w:r w:rsidR="001A1D45" w:rsidRPr="007B7740">
              <w:rPr>
                <w:rFonts w:cs="Arial"/>
                <w:i/>
                <w:iCs/>
                <w:sz w:val="20"/>
                <w:szCs w:val="20"/>
              </w:rPr>
              <w:t xml:space="preserve"> Youth, women, IDPs and other marginalized populations of conflict affected communities drive peace consolidations and economic recovery.</w:t>
            </w:r>
          </w:p>
          <w:p w:rsidR="00574624" w:rsidRPr="009809C0" w:rsidRDefault="00880B61" w:rsidP="001A1D45">
            <w:pPr>
              <w:bidi w:val="0"/>
              <w:jc w:val="both"/>
              <w:rPr>
                <w:sz w:val="20"/>
                <w:szCs w:val="20"/>
              </w:rPr>
            </w:pPr>
            <w:r w:rsidRPr="00880B61">
              <w:rPr>
                <w:rFonts w:cs="Arial"/>
                <w:b/>
                <w:bCs/>
                <w:i/>
                <w:iCs/>
                <w:sz w:val="20"/>
                <w:szCs w:val="20"/>
              </w:rPr>
              <w:t>Outcome 2</w:t>
            </w:r>
            <w:r>
              <w:rPr>
                <w:rFonts w:cs="Arial"/>
                <w:i/>
                <w:iCs/>
                <w:sz w:val="20"/>
                <w:szCs w:val="20"/>
              </w:rPr>
              <w:t>:</w:t>
            </w:r>
            <w:r w:rsidR="001A1D45">
              <w:rPr>
                <w:rFonts w:cs="Arial"/>
                <w:i/>
                <w:iCs/>
                <w:sz w:val="20"/>
                <w:szCs w:val="20"/>
              </w:rPr>
              <w:t xml:space="preserve"> </w:t>
            </w:r>
            <w:r w:rsidR="001A1D45" w:rsidRPr="007B7740">
              <w:rPr>
                <w:rFonts w:cs="Arial"/>
                <w:i/>
                <w:iCs/>
                <w:sz w:val="20"/>
                <w:szCs w:val="20"/>
              </w:rPr>
              <w:t>Local community structures manage livelihood stabilization through conflict sensitive socio-economic development planning contributing to peaceful transition (priority area 3)</w:t>
            </w:r>
          </w:p>
        </w:tc>
        <w:tc>
          <w:tcPr>
            <w:tcW w:w="2432" w:type="dxa"/>
          </w:tcPr>
          <w:p w:rsidR="00574624" w:rsidRPr="00937EBB" w:rsidRDefault="00574624" w:rsidP="003E5FCA">
            <w:pPr>
              <w:bidi w:val="0"/>
              <w:jc w:val="center"/>
              <w:rPr>
                <w:lang w:bidi="ar-YE"/>
              </w:rPr>
            </w:pPr>
          </w:p>
        </w:tc>
        <w:tc>
          <w:tcPr>
            <w:tcW w:w="2430" w:type="dxa"/>
          </w:tcPr>
          <w:p w:rsidR="00574624" w:rsidRPr="00937EBB" w:rsidRDefault="00574624" w:rsidP="001A1D45">
            <w:pPr>
              <w:rPr>
                <w:lang w:bidi="ar-YE"/>
              </w:rPr>
            </w:pPr>
          </w:p>
        </w:tc>
        <w:tc>
          <w:tcPr>
            <w:tcW w:w="2070" w:type="dxa"/>
          </w:tcPr>
          <w:p w:rsidR="00574624" w:rsidRPr="00937EBB" w:rsidRDefault="00574624" w:rsidP="00827E04">
            <w:pPr>
              <w:jc w:val="center"/>
              <w:rPr>
                <w:lang w:bidi="ar-YE"/>
              </w:rPr>
            </w:pPr>
          </w:p>
        </w:tc>
      </w:tr>
      <w:tr w:rsidR="00574624" w:rsidRPr="00937EBB" w:rsidTr="001A1D45">
        <w:trPr>
          <w:trHeight w:val="331"/>
        </w:trPr>
        <w:tc>
          <w:tcPr>
            <w:tcW w:w="3256" w:type="dxa"/>
            <w:shd w:val="clear" w:color="auto" w:fill="F2F2F2" w:themeFill="background1" w:themeFillShade="F2"/>
          </w:tcPr>
          <w:p w:rsidR="001A1D45" w:rsidRPr="007B7740" w:rsidRDefault="00574624" w:rsidP="001A1D45">
            <w:pPr>
              <w:bidi w:val="0"/>
              <w:rPr>
                <w:rFonts w:cs="Arial"/>
                <w:i/>
                <w:iCs/>
                <w:sz w:val="20"/>
                <w:szCs w:val="20"/>
              </w:rPr>
            </w:pPr>
            <w:r w:rsidRPr="004E75BB">
              <w:rPr>
                <w:b/>
                <w:bCs/>
                <w:sz w:val="20"/>
                <w:szCs w:val="20"/>
              </w:rPr>
              <w:t>Output 1.1</w:t>
            </w:r>
            <w:r w:rsidR="001A1D45">
              <w:rPr>
                <w:sz w:val="20"/>
                <w:szCs w:val="20"/>
              </w:rPr>
              <w:t>:</w:t>
            </w:r>
            <w:r w:rsidR="001A1D45" w:rsidRPr="007B7740">
              <w:rPr>
                <w:rFonts w:cs="Arial"/>
                <w:i/>
                <w:iCs/>
                <w:sz w:val="20"/>
                <w:szCs w:val="20"/>
              </w:rPr>
              <w:t xml:space="preserve"> Inclusive Community Development Committees (CDCs) including female, youth, IDP, marginalized and vulnerable group representation, linked to local authorities and trained in conflict sensitive development are implementing conflict sensitive projects</w:t>
            </w:r>
            <w:r w:rsidR="001A1D45">
              <w:rPr>
                <w:rFonts w:cs="Arial"/>
                <w:i/>
                <w:iCs/>
                <w:sz w:val="20"/>
                <w:szCs w:val="20"/>
              </w:rPr>
              <w:t>.</w:t>
            </w:r>
          </w:p>
          <w:p w:rsidR="00574624" w:rsidRPr="001A1D45" w:rsidRDefault="00574624" w:rsidP="001A1D45">
            <w:pPr>
              <w:jc w:val="right"/>
              <w:rPr>
                <w:sz w:val="20"/>
                <w:szCs w:val="20"/>
                <w:rtl/>
                <w:lang w:bidi="ar-YE"/>
              </w:rPr>
            </w:pPr>
          </w:p>
        </w:tc>
        <w:tc>
          <w:tcPr>
            <w:tcW w:w="2432" w:type="dxa"/>
          </w:tcPr>
          <w:p w:rsidR="00574624" w:rsidRPr="00937EBB" w:rsidRDefault="00574624" w:rsidP="00827E04">
            <w:pPr>
              <w:jc w:val="center"/>
              <w:rPr>
                <w:lang w:bidi="ar-YE"/>
              </w:rPr>
            </w:pPr>
          </w:p>
        </w:tc>
        <w:tc>
          <w:tcPr>
            <w:tcW w:w="2430" w:type="dxa"/>
          </w:tcPr>
          <w:p w:rsidR="00574624" w:rsidRPr="00937EBB" w:rsidRDefault="001A1D45" w:rsidP="00827E04">
            <w:pPr>
              <w:jc w:val="center"/>
              <w:rPr>
                <w:lang w:bidi="ar-YE"/>
              </w:rPr>
            </w:pPr>
            <w:r>
              <w:rPr>
                <w:lang w:bidi="ar-YE"/>
              </w:rPr>
              <w:t>10 %</w:t>
            </w:r>
          </w:p>
        </w:tc>
        <w:tc>
          <w:tcPr>
            <w:tcW w:w="2070" w:type="dxa"/>
          </w:tcPr>
          <w:p w:rsidR="00574624" w:rsidRPr="00937EBB" w:rsidRDefault="00574624" w:rsidP="00827E04">
            <w:pPr>
              <w:jc w:val="center"/>
              <w:rPr>
                <w:lang w:bidi="ar-YE"/>
              </w:rPr>
            </w:pPr>
          </w:p>
        </w:tc>
      </w:tr>
      <w:tr w:rsidR="00574624" w:rsidRPr="00937EBB" w:rsidTr="001A1D45">
        <w:trPr>
          <w:trHeight w:val="350"/>
        </w:trPr>
        <w:tc>
          <w:tcPr>
            <w:tcW w:w="3256" w:type="dxa"/>
            <w:shd w:val="clear" w:color="auto" w:fill="F2F2F2" w:themeFill="background1" w:themeFillShade="F2"/>
          </w:tcPr>
          <w:p w:rsidR="00574624" w:rsidRPr="009809C0" w:rsidRDefault="00574624" w:rsidP="001A1D45">
            <w:pPr>
              <w:jc w:val="right"/>
              <w:rPr>
                <w:sz w:val="20"/>
                <w:szCs w:val="20"/>
                <w:rtl/>
                <w:lang w:bidi="ar-YE"/>
              </w:rPr>
            </w:pPr>
            <w:r w:rsidRPr="004E75BB">
              <w:rPr>
                <w:b/>
                <w:bCs/>
                <w:sz w:val="20"/>
                <w:szCs w:val="20"/>
              </w:rPr>
              <w:t>Output 1.2</w:t>
            </w:r>
            <w:r w:rsidR="00037B9E">
              <w:rPr>
                <w:sz w:val="20"/>
                <w:szCs w:val="20"/>
              </w:rPr>
              <w:t xml:space="preserve">: </w:t>
            </w:r>
            <w:r w:rsidR="002D40FE" w:rsidRPr="007B7740">
              <w:rPr>
                <w:rFonts w:cs="Arial"/>
                <w:i/>
                <w:iCs/>
                <w:sz w:val="20"/>
                <w:szCs w:val="20"/>
              </w:rPr>
              <w:t xml:space="preserve"> Contribute to livelihoods stabilization of populations affected by conflict, at risk of return to violence through creation of short-term employment creation to</w:t>
            </w:r>
            <w:r w:rsidR="002D40FE">
              <w:rPr>
                <w:rFonts w:cs="Arial"/>
                <w:i/>
                <w:iCs/>
                <w:sz w:val="20"/>
                <w:szCs w:val="20"/>
              </w:rPr>
              <w:t xml:space="preserve"> </w:t>
            </w:r>
            <w:r w:rsidR="002D40FE" w:rsidRPr="007B7740">
              <w:rPr>
                <w:rFonts w:cs="Arial"/>
                <w:i/>
                <w:iCs/>
                <w:sz w:val="20"/>
                <w:szCs w:val="20"/>
              </w:rPr>
              <w:t xml:space="preserve"> rehabilitate and restore social and economic infrastructure</w:t>
            </w:r>
          </w:p>
        </w:tc>
        <w:tc>
          <w:tcPr>
            <w:tcW w:w="2432" w:type="dxa"/>
          </w:tcPr>
          <w:p w:rsidR="00574624" w:rsidRPr="00937EBB" w:rsidRDefault="00574624" w:rsidP="00827E04">
            <w:pPr>
              <w:jc w:val="center"/>
            </w:pPr>
          </w:p>
        </w:tc>
        <w:tc>
          <w:tcPr>
            <w:tcW w:w="2430" w:type="dxa"/>
          </w:tcPr>
          <w:p w:rsidR="00574624" w:rsidRPr="00937EBB" w:rsidRDefault="00C44E00" w:rsidP="00827E04">
            <w:pPr>
              <w:jc w:val="center"/>
            </w:pPr>
            <w:r>
              <w:t>21%</w:t>
            </w:r>
          </w:p>
        </w:tc>
        <w:tc>
          <w:tcPr>
            <w:tcW w:w="2070" w:type="dxa"/>
          </w:tcPr>
          <w:p w:rsidR="00574624" w:rsidRPr="00937EBB" w:rsidRDefault="00574624" w:rsidP="00827E04">
            <w:pPr>
              <w:jc w:val="center"/>
            </w:pPr>
          </w:p>
        </w:tc>
      </w:tr>
      <w:tr w:rsidR="00574624" w:rsidRPr="00937EBB" w:rsidTr="001A1D45">
        <w:trPr>
          <w:trHeight w:val="331"/>
        </w:trPr>
        <w:tc>
          <w:tcPr>
            <w:tcW w:w="3256" w:type="dxa"/>
            <w:shd w:val="clear" w:color="auto" w:fill="F2F2F2" w:themeFill="background1" w:themeFillShade="F2"/>
          </w:tcPr>
          <w:p w:rsidR="00574624" w:rsidRPr="009809C0" w:rsidRDefault="00574624" w:rsidP="001A1D45">
            <w:pPr>
              <w:jc w:val="right"/>
              <w:rPr>
                <w:sz w:val="20"/>
                <w:szCs w:val="20"/>
                <w:rtl/>
                <w:lang w:bidi="ar-YE"/>
              </w:rPr>
            </w:pPr>
            <w:r w:rsidRPr="004E75BB">
              <w:rPr>
                <w:b/>
                <w:bCs/>
                <w:sz w:val="20"/>
                <w:szCs w:val="20"/>
              </w:rPr>
              <w:t>Output 1.3</w:t>
            </w:r>
            <w:r w:rsidR="00C44E00">
              <w:rPr>
                <w:sz w:val="20"/>
                <w:szCs w:val="20"/>
              </w:rPr>
              <w:t xml:space="preserve">: </w:t>
            </w:r>
            <w:r w:rsidR="00C44E00" w:rsidRPr="007B7740">
              <w:rPr>
                <w:rFonts w:cs="Arial"/>
                <w:i/>
                <w:iCs/>
                <w:sz w:val="20"/>
                <w:szCs w:val="20"/>
              </w:rPr>
              <w:t xml:space="preserve"> Women led civil organizations monitoring and implementing peacebuilding activities</w:t>
            </w:r>
          </w:p>
        </w:tc>
        <w:tc>
          <w:tcPr>
            <w:tcW w:w="2432" w:type="dxa"/>
          </w:tcPr>
          <w:p w:rsidR="00574624" w:rsidRPr="00937EBB" w:rsidRDefault="00574624" w:rsidP="00827E04">
            <w:pPr>
              <w:jc w:val="center"/>
              <w:rPr>
                <w:lang w:bidi="ar-YE"/>
              </w:rPr>
            </w:pPr>
          </w:p>
        </w:tc>
        <w:tc>
          <w:tcPr>
            <w:tcW w:w="2430" w:type="dxa"/>
          </w:tcPr>
          <w:p w:rsidR="00574624" w:rsidRPr="00937EBB" w:rsidRDefault="00C44E00" w:rsidP="00827E04">
            <w:pPr>
              <w:jc w:val="center"/>
              <w:rPr>
                <w:lang w:bidi="ar-YE"/>
              </w:rPr>
            </w:pPr>
            <w:r>
              <w:rPr>
                <w:lang w:bidi="ar-YE"/>
              </w:rPr>
              <w:t>10%</w:t>
            </w:r>
          </w:p>
        </w:tc>
        <w:tc>
          <w:tcPr>
            <w:tcW w:w="2070" w:type="dxa"/>
          </w:tcPr>
          <w:p w:rsidR="00574624" w:rsidRPr="00937EBB" w:rsidRDefault="00574624" w:rsidP="00827E04">
            <w:pPr>
              <w:jc w:val="center"/>
            </w:pPr>
          </w:p>
        </w:tc>
      </w:tr>
    </w:tbl>
    <w:p w:rsidR="00574624" w:rsidRDefault="00574624" w:rsidP="00C00B67">
      <w:pPr>
        <w:pStyle w:val="ListParagraph"/>
        <w:rPr>
          <w:b/>
          <w:bCs/>
          <w:lang w:bidi="ar-YE"/>
        </w:rPr>
      </w:pPr>
    </w:p>
    <w:p w:rsidR="00574624" w:rsidRDefault="00574624" w:rsidP="00C00B67">
      <w:pPr>
        <w:pStyle w:val="ListParagraph"/>
        <w:rPr>
          <w:b/>
          <w:bCs/>
          <w:lang w:bidi="ar-YE"/>
        </w:rPr>
      </w:pPr>
    </w:p>
    <w:p w:rsidR="00574624" w:rsidRDefault="00574624" w:rsidP="00C00B67">
      <w:pPr>
        <w:pStyle w:val="ListParagraph"/>
        <w:rPr>
          <w:b/>
          <w:bCs/>
          <w:lang w:bidi="ar-YE"/>
        </w:rPr>
      </w:pPr>
    </w:p>
    <w:p w:rsidR="00574624" w:rsidRDefault="00574624"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4E75BB" w:rsidRDefault="004E75BB" w:rsidP="00C00B67">
      <w:pPr>
        <w:pStyle w:val="ListParagraph"/>
        <w:rPr>
          <w:b/>
          <w:bCs/>
          <w:lang w:bidi="ar-YE"/>
        </w:rPr>
      </w:pPr>
    </w:p>
    <w:p w:rsidR="005B16A5" w:rsidRPr="00C00B67" w:rsidRDefault="00C00B67" w:rsidP="005F5F7D">
      <w:pPr>
        <w:pStyle w:val="ListParagraph"/>
        <w:numPr>
          <w:ilvl w:val="0"/>
          <w:numId w:val="4"/>
        </w:numPr>
        <w:spacing w:after="0" w:line="240" w:lineRule="auto"/>
        <w:ind w:left="360" w:firstLine="0"/>
        <w:rPr>
          <w:b/>
          <w:bCs/>
          <w:lang w:bidi="ar-YE"/>
        </w:rPr>
      </w:pPr>
      <w:r w:rsidRPr="00C00B67">
        <w:rPr>
          <w:b/>
          <w:bCs/>
          <w:lang w:bidi="ar-YE"/>
        </w:rPr>
        <w:lastRenderedPageBreak/>
        <w:t>Financial reporting against Outputs</w:t>
      </w:r>
    </w:p>
    <w:p w:rsidR="00C00B67" w:rsidRPr="00937EBB" w:rsidRDefault="00C00B67" w:rsidP="00C00B67">
      <w:pPr>
        <w:bidi w:val="0"/>
        <w:spacing w:after="0" w:line="240" w:lineRule="auto"/>
        <w:rPr>
          <w:b/>
          <w:bCs/>
          <w:lang w:bidi="ar-YE"/>
        </w:rPr>
      </w:pPr>
    </w:p>
    <w:p w:rsidR="002832EE" w:rsidRPr="00937EBB" w:rsidRDefault="002832EE" w:rsidP="005F5F7D">
      <w:pPr>
        <w:bidi w:val="0"/>
        <w:spacing w:after="0" w:line="240" w:lineRule="auto"/>
        <w:rPr>
          <w:lang w:bidi="ar-YE"/>
        </w:rPr>
      </w:pPr>
    </w:p>
    <w:tbl>
      <w:tblPr>
        <w:tblStyle w:val="TableGrid2"/>
        <w:tblpPr w:leftFromText="180" w:rightFromText="180" w:vertAnchor="text" w:horzAnchor="margin" w:tblpX="-147" w:tblpYSpec="center"/>
        <w:tblW w:w="10406" w:type="dxa"/>
        <w:tblLook w:val="04A0" w:firstRow="1" w:lastRow="0" w:firstColumn="1" w:lastColumn="0" w:noHBand="0" w:noVBand="1"/>
      </w:tblPr>
      <w:tblGrid>
        <w:gridCol w:w="2781"/>
        <w:gridCol w:w="1609"/>
        <w:gridCol w:w="1572"/>
        <w:gridCol w:w="1629"/>
        <w:gridCol w:w="1398"/>
        <w:gridCol w:w="1417"/>
      </w:tblGrid>
      <w:tr w:rsidR="002832EE" w:rsidRPr="00937EBB" w:rsidTr="004E75BB">
        <w:trPr>
          <w:trHeight w:val="759"/>
        </w:trPr>
        <w:tc>
          <w:tcPr>
            <w:tcW w:w="10406" w:type="dxa"/>
            <w:gridSpan w:val="6"/>
            <w:shd w:val="clear" w:color="auto" w:fill="C4BC96" w:themeFill="background2" w:themeFillShade="BF"/>
          </w:tcPr>
          <w:p w:rsidR="002832EE" w:rsidRPr="00937EBB" w:rsidRDefault="00C00B67" w:rsidP="004E75BB">
            <w:pPr>
              <w:jc w:val="center"/>
              <w:rPr>
                <w:b/>
                <w:bCs/>
                <w:sz w:val="32"/>
                <w:szCs w:val="32"/>
                <w:lang w:bidi="ar-YE"/>
              </w:rPr>
            </w:pPr>
            <w:r>
              <w:rPr>
                <w:b/>
                <w:bCs/>
                <w:sz w:val="32"/>
                <w:szCs w:val="32"/>
              </w:rPr>
              <w:t>Expenditures 1 April</w:t>
            </w:r>
            <w:r w:rsidR="002832EE" w:rsidRPr="00937EBB">
              <w:rPr>
                <w:b/>
                <w:bCs/>
                <w:sz w:val="32"/>
                <w:szCs w:val="32"/>
              </w:rPr>
              <w:t xml:space="preserve"> 2014</w:t>
            </w:r>
            <w:r>
              <w:rPr>
                <w:b/>
                <w:bCs/>
                <w:sz w:val="32"/>
                <w:szCs w:val="32"/>
              </w:rPr>
              <w:t>- 31 March 2015</w:t>
            </w:r>
          </w:p>
        </w:tc>
      </w:tr>
      <w:tr w:rsidR="002832EE" w:rsidRPr="00937EBB" w:rsidTr="004E75BB">
        <w:trPr>
          <w:trHeight w:val="759"/>
        </w:trPr>
        <w:tc>
          <w:tcPr>
            <w:tcW w:w="2781" w:type="dxa"/>
            <w:shd w:val="clear" w:color="auto" w:fill="C4BC96" w:themeFill="background2" w:themeFillShade="BF"/>
          </w:tcPr>
          <w:p w:rsidR="002832EE" w:rsidRPr="00937EBB" w:rsidRDefault="00574624" w:rsidP="004E75BB">
            <w:pPr>
              <w:jc w:val="center"/>
              <w:rPr>
                <w:b/>
                <w:bCs/>
                <w:sz w:val="24"/>
                <w:szCs w:val="24"/>
              </w:rPr>
            </w:pPr>
            <w:r>
              <w:rPr>
                <w:b/>
                <w:bCs/>
                <w:sz w:val="24"/>
                <w:szCs w:val="24"/>
              </w:rPr>
              <w:t>Project Outcome/Output</w:t>
            </w:r>
          </w:p>
          <w:p w:rsidR="002832EE" w:rsidRPr="00937EBB" w:rsidRDefault="002832EE" w:rsidP="004E75BB">
            <w:pPr>
              <w:jc w:val="center"/>
              <w:rPr>
                <w:b/>
                <w:bCs/>
                <w:sz w:val="24"/>
                <w:szCs w:val="24"/>
              </w:rPr>
            </w:pPr>
          </w:p>
        </w:tc>
        <w:tc>
          <w:tcPr>
            <w:tcW w:w="1609" w:type="dxa"/>
            <w:shd w:val="clear" w:color="auto" w:fill="C4BC96" w:themeFill="background2" w:themeFillShade="BF"/>
          </w:tcPr>
          <w:p w:rsidR="002832EE" w:rsidRPr="00937EBB" w:rsidRDefault="002832EE" w:rsidP="004E75BB">
            <w:pPr>
              <w:jc w:val="center"/>
              <w:rPr>
                <w:b/>
                <w:bCs/>
                <w:sz w:val="24"/>
                <w:szCs w:val="24"/>
              </w:rPr>
            </w:pPr>
            <w:r w:rsidRPr="00937EBB">
              <w:rPr>
                <w:b/>
                <w:bCs/>
                <w:sz w:val="24"/>
                <w:szCs w:val="24"/>
              </w:rPr>
              <w:t>Budget</w:t>
            </w:r>
          </w:p>
        </w:tc>
        <w:tc>
          <w:tcPr>
            <w:tcW w:w="1572" w:type="dxa"/>
            <w:shd w:val="clear" w:color="auto" w:fill="C4BC96" w:themeFill="background2" w:themeFillShade="BF"/>
          </w:tcPr>
          <w:p w:rsidR="002832EE" w:rsidRPr="00937EBB" w:rsidRDefault="002832EE" w:rsidP="004E75BB">
            <w:pPr>
              <w:jc w:val="center"/>
              <w:rPr>
                <w:b/>
                <w:bCs/>
                <w:sz w:val="24"/>
                <w:szCs w:val="24"/>
              </w:rPr>
            </w:pPr>
            <w:r w:rsidRPr="00937EBB">
              <w:rPr>
                <w:b/>
                <w:bCs/>
                <w:sz w:val="24"/>
                <w:szCs w:val="24"/>
              </w:rPr>
              <w:t>Total expenses</w:t>
            </w:r>
          </w:p>
        </w:tc>
        <w:tc>
          <w:tcPr>
            <w:tcW w:w="1629" w:type="dxa"/>
            <w:shd w:val="clear" w:color="auto" w:fill="C4BC96" w:themeFill="background2" w:themeFillShade="BF"/>
          </w:tcPr>
          <w:p w:rsidR="002832EE" w:rsidRPr="00937EBB" w:rsidRDefault="002832EE" w:rsidP="004E75BB">
            <w:pPr>
              <w:jc w:val="center"/>
              <w:rPr>
                <w:b/>
                <w:bCs/>
                <w:sz w:val="24"/>
                <w:szCs w:val="24"/>
              </w:rPr>
            </w:pPr>
            <w:r w:rsidRPr="00937EBB">
              <w:rPr>
                <w:b/>
                <w:bCs/>
                <w:sz w:val="24"/>
                <w:szCs w:val="24"/>
              </w:rPr>
              <w:t>Commitments</w:t>
            </w:r>
          </w:p>
        </w:tc>
        <w:tc>
          <w:tcPr>
            <w:tcW w:w="1398" w:type="dxa"/>
            <w:shd w:val="clear" w:color="auto" w:fill="C4BC96" w:themeFill="background2" w:themeFillShade="BF"/>
          </w:tcPr>
          <w:p w:rsidR="002832EE" w:rsidRPr="00937EBB" w:rsidRDefault="002832EE" w:rsidP="004E75BB">
            <w:pPr>
              <w:jc w:val="center"/>
              <w:rPr>
                <w:b/>
                <w:bCs/>
                <w:sz w:val="24"/>
                <w:szCs w:val="24"/>
              </w:rPr>
            </w:pPr>
            <w:r w:rsidRPr="00937EBB">
              <w:rPr>
                <w:b/>
                <w:bCs/>
                <w:sz w:val="24"/>
                <w:szCs w:val="24"/>
              </w:rPr>
              <w:t>Balance</w:t>
            </w:r>
          </w:p>
        </w:tc>
        <w:tc>
          <w:tcPr>
            <w:tcW w:w="1417" w:type="dxa"/>
            <w:shd w:val="clear" w:color="auto" w:fill="C4BC96" w:themeFill="background2" w:themeFillShade="BF"/>
          </w:tcPr>
          <w:p w:rsidR="002832EE" w:rsidRPr="00937EBB" w:rsidRDefault="002832EE" w:rsidP="004E75BB">
            <w:pPr>
              <w:jc w:val="center"/>
              <w:rPr>
                <w:b/>
                <w:bCs/>
                <w:sz w:val="24"/>
                <w:szCs w:val="24"/>
              </w:rPr>
            </w:pPr>
            <w:r w:rsidRPr="00937EBB">
              <w:rPr>
                <w:b/>
                <w:bCs/>
                <w:sz w:val="24"/>
                <w:szCs w:val="24"/>
              </w:rPr>
              <w:t>% utilization</w:t>
            </w:r>
          </w:p>
        </w:tc>
      </w:tr>
      <w:tr w:rsidR="004E75BB" w:rsidRPr="00937EBB" w:rsidTr="004E75BB">
        <w:trPr>
          <w:trHeight w:val="331"/>
        </w:trPr>
        <w:tc>
          <w:tcPr>
            <w:tcW w:w="2781" w:type="dxa"/>
            <w:shd w:val="clear" w:color="auto" w:fill="F2F2F2" w:themeFill="background1" w:themeFillShade="F2"/>
          </w:tcPr>
          <w:p w:rsidR="004E75BB" w:rsidRPr="007B7740" w:rsidRDefault="004E75BB" w:rsidP="004E75BB">
            <w:pPr>
              <w:pStyle w:val="ListParagraph"/>
              <w:numPr>
                <w:ilvl w:val="0"/>
                <w:numId w:val="16"/>
              </w:numPr>
              <w:ind w:left="29"/>
              <w:rPr>
                <w:rFonts w:cs="Arial"/>
                <w:i/>
                <w:iCs/>
                <w:sz w:val="20"/>
                <w:szCs w:val="20"/>
              </w:rPr>
            </w:pPr>
            <w:r w:rsidRPr="00880B61">
              <w:rPr>
                <w:b/>
                <w:bCs/>
                <w:sz w:val="20"/>
                <w:szCs w:val="20"/>
              </w:rPr>
              <w:t>Outcome 1</w:t>
            </w:r>
            <w:r>
              <w:rPr>
                <w:sz w:val="20"/>
                <w:szCs w:val="20"/>
              </w:rPr>
              <w:t>: Project outcome:</w:t>
            </w:r>
            <w:r w:rsidRPr="007B7740">
              <w:rPr>
                <w:rFonts w:cs="Arial"/>
                <w:i/>
                <w:iCs/>
                <w:sz w:val="20"/>
                <w:szCs w:val="20"/>
              </w:rPr>
              <w:t xml:space="preserve"> Youth, women, IDPs and other marginalized populations of conflict affected communities drive peace consolidations and economic recovery.</w:t>
            </w:r>
          </w:p>
          <w:p w:rsidR="004E75BB" w:rsidRPr="009809C0" w:rsidRDefault="004E75BB" w:rsidP="004E75BB">
            <w:pPr>
              <w:bidi w:val="0"/>
              <w:jc w:val="both"/>
              <w:rPr>
                <w:sz w:val="20"/>
                <w:szCs w:val="20"/>
              </w:rPr>
            </w:pPr>
            <w:r w:rsidRPr="00880B61">
              <w:rPr>
                <w:rFonts w:cs="Arial"/>
                <w:b/>
                <w:bCs/>
                <w:i/>
                <w:iCs/>
                <w:sz w:val="20"/>
                <w:szCs w:val="20"/>
              </w:rPr>
              <w:t>Outcome 2</w:t>
            </w:r>
            <w:r>
              <w:rPr>
                <w:rFonts w:cs="Arial"/>
                <w:i/>
                <w:iCs/>
                <w:sz w:val="20"/>
                <w:szCs w:val="20"/>
              </w:rPr>
              <w:t xml:space="preserve">: </w:t>
            </w:r>
            <w:r w:rsidRPr="007B7740">
              <w:rPr>
                <w:rFonts w:cs="Arial"/>
                <w:i/>
                <w:iCs/>
                <w:sz w:val="20"/>
                <w:szCs w:val="20"/>
              </w:rPr>
              <w:t>Local community structures manage livelihood stabilization through conflict sensitive socio-economic development planning contributing to peaceful transition (priority area 3)</w:t>
            </w:r>
          </w:p>
        </w:tc>
        <w:tc>
          <w:tcPr>
            <w:tcW w:w="1609" w:type="dxa"/>
            <w:shd w:val="clear" w:color="auto" w:fill="F2F2F2" w:themeFill="background1" w:themeFillShade="F2"/>
          </w:tcPr>
          <w:p w:rsidR="004E75BB" w:rsidRPr="00937EBB" w:rsidRDefault="004E75BB" w:rsidP="004E75BB">
            <w:pPr>
              <w:jc w:val="center"/>
            </w:pPr>
          </w:p>
        </w:tc>
        <w:tc>
          <w:tcPr>
            <w:tcW w:w="1572" w:type="dxa"/>
          </w:tcPr>
          <w:p w:rsidR="004E75BB" w:rsidRPr="00937EBB" w:rsidRDefault="004E75BB" w:rsidP="004E75BB">
            <w:pPr>
              <w:jc w:val="center"/>
              <w:rPr>
                <w:lang w:bidi="ar-YE"/>
              </w:rPr>
            </w:pPr>
          </w:p>
        </w:tc>
        <w:tc>
          <w:tcPr>
            <w:tcW w:w="1629" w:type="dxa"/>
          </w:tcPr>
          <w:p w:rsidR="004E75BB" w:rsidRPr="00937EBB" w:rsidRDefault="004E75BB" w:rsidP="004E75BB">
            <w:pPr>
              <w:jc w:val="center"/>
            </w:pPr>
          </w:p>
        </w:tc>
        <w:tc>
          <w:tcPr>
            <w:tcW w:w="1398" w:type="dxa"/>
          </w:tcPr>
          <w:p w:rsidR="004E75BB" w:rsidRPr="00937EBB" w:rsidRDefault="004E75BB" w:rsidP="004E75BB">
            <w:pPr>
              <w:jc w:val="center"/>
            </w:pPr>
          </w:p>
        </w:tc>
        <w:tc>
          <w:tcPr>
            <w:tcW w:w="1417" w:type="dxa"/>
          </w:tcPr>
          <w:p w:rsidR="004E75BB" w:rsidRPr="00937EBB" w:rsidRDefault="004E75BB" w:rsidP="004E75BB"/>
        </w:tc>
      </w:tr>
      <w:tr w:rsidR="004E75BB" w:rsidRPr="00937EBB" w:rsidTr="004E75BB">
        <w:trPr>
          <w:trHeight w:val="331"/>
        </w:trPr>
        <w:tc>
          <w:tcPr>
            <w:tcW w:w="2781" w:type="dxa"/>
            <w:shd w:val="clear" w:color="auto" w:fill="F2F2F2" w:themeFill="background1" w:themeFillShade="F2"/>
          </w:tcPr>
          <w:p w:rsidR="004E75BB" w:rsidRPr="007B7740" w:rsidRDefault="004E75BB" w:rsidP="004E75BB">
            <w:pPr>
              <w:bidi w:val="0"/>
              <w:rPr>
                <w:rFonts w:cs="Arial"/>
                <w:i/>
                <w:iCs/>
                <w:sz w:val="20"/>
                <w:szCs w:val="20"/>
              </w:rPr>
            </w:pPr>
            <w:r w:rsidRPr="004E75BB">
              <w:rPr>
                <w:b/>
                <w:bCs/>
                <w:sz w:val="20"/>
                <w:szCs w:val="20"/>
              </w:rPr>
              <w:t>Output 1.1</w:t>
            </w:r>
            <w:r>
              <w:rPr>
                <w:sz w:val="20"/>
                <w:szCs w:val="20"/>
              </w:rPr>
              <w:t>:</w:t>
            </w:r>
            <w:r w:rsidRPr="007B7740">
              <w:rPr>
                <w:rFonts w:cs="Arial"/>
                <w:i/>
                <w:iCs/>
                <w:sz w:val="20"/>
                <w:szCs w:val="20"/>
              </w:rPr>
              <w:t xml:space="preserve"> Inclusive Community Development Committees (CDCs) including female, youth, IDP, marginalized and vulnerable group representation, linked to local authorities and trained in conflict sensitive development are implementing conflict sensitive projects</w:t>
            </w:r>
            <w:r>
              <w:rPr>
                <w:rFonts w:cs="Arial"/>
                <w:i/>
                <w:iCs/>
                <w:sz w:val="20"/>
                <w:szCs w:val="20"/>
              </w:rPr>
              <w:t>.</w:t>
            </w:r>
          </w:p>
          <w:p w:rsidR="004E75BB" w:rsidRPr="001A1D45" w:rsidRDefault="004E75BB" w:rsidP="004E75BB">
            <w:pPr>
              <w:jc w:val="right"/>
              <w:rPr>
                <w:sz w:val="20"/>
                <w:szCs w:val="20"/>
                <w:rtl/>
                <w:lang w:bidi="ar-YE"/>
              </w:rPr>
            </w:pPr>
          </w:p>
        </w:tc>
        <w:tc>
          <w:tcPr>
            <w:tcW w:w="1609" w:type="dxa"/>
            <w:shd w:val="clear" w:color="auto" w:fill="F2F2F2" w:themeFill="background1" w:themeFillShade="F2"/>
          </w:tcPr>
          <w:p w:rsidR="004E75BB" w:rsidRPr="00937EBB" w:rsidRDefault="004E75BB" w:rsidP="004E75BB">
            <w:pPr>
              <w:jc w:val="center"/>
            </w:pPr>
          </w:p>
        </w:tc>
        <w:tc>
          <w:tcPr>
            <w:tcW w:w="1572" w:type="dxa"/>
          </w:tcPr>
          <w:p w:rsidR="004E75BB" w:rsidRPr="00937EBB" w:rsidRDefault="004E75BB" w:rsidP="004E75BB">
            <w:pPr>
              <w:jc w:val="center"/>
            </w:pPr>
            <w:r>
              <w:t>12%</w:t>
            </w:r>
          </w:p>
        </w:tc>
        <w:tc>
          <w:tcPr>
            <w:tcW w:w="1629" w:type="dxa"/>
          </w:tcPr>
          <w:p w:rsidR="004E75BB" w:rsidRPr="00937EBB" w:rsidRDefault="004E75BB" w:rsidP="004E75BB">
            <w:pPr>
              <w:jc w:val="center"/>
              <w:rPr>
                <w:lang w:bidi="ar-YE"/>
              </w:rPr>
            </w:pPr>
          </w:p>
        </w:tc>
        <w:tc>
          <w:tcPr>
            <w:tcW w:w="1398" w:type="dxa"/>
          </w:tcPr>
          <w:p w:rsidR="004E75BB" w:rsidRPr="00937EBB" w:rsidRDefault="004E75BB" w:rsidP="004E75BB">
            <w:pPr>
              <w:jc w:val="center"/>
            </w:pPr>
          </w:p>
        </w:tc>
        <w:tc>
          <w:tcPr>
            <w:tcW w:w="1417" w:type="dxa"/>
          </w:tcPr>
          <w:p w:rsidR="004E75BB" w:rsidRPr="00937EBB" w:rsidRDefault="004E75BB" w:rsidP="004E75BB">
            <w:r w:rsidRPr="00937EBB">
              <w:t>%</w:t>
            </w:r>
          </w:p>
        </w:tc>
      </w:tr>
      <w:tr w:rsidR="004E75BB" w:rsidRPr="00937EBB" w:rsidTr="004E75BB">
        <w:trPr>
          <w:trHeight w:val="350"/>
        </w:trPr>
        <w:tc>
          <w:tcPr>
            <w:tcW w:w="2781" w:type="dxa"/>
            <w:shd w:val="clear" w:color="auto" w:fill="F2F2F2" w:themeFill="background1" w:themeFillShade="F2"/>
          </w:tcPr>
          <w:p w:rsidR="004E75BB" w:rsidRPr="009809C0" w:rsidRDefault="004E75BB" w:rsidP="004E75BB">
            <w:pPr>
              <w:jc w:val="right"/>
              <w:rPr>
                <w:sz w:val="20"/>
                <w:szCs w:val="20"/>
                <w:rtl/>
                <w:lang w:bidi="ar-YE"/>
              </w:rPr>
            </w:pPr>
            <w:r w:rsidRPr="004E75BB">
              <w:rPr>
                <w:b/>
                <w:bCs/>
                <w:sz w:val="20"/>
                <w:szCs w:val="20"/>
              </w:rPr>
              <w:t>Output 1.2</w:t>
            </w:r>
            <w:r>
              <w:rPr>
                <w:sz w:val="20"/>
                <w:szCs w:val="20"/>
              </w:rPr>
              <w:t xml:space="preserve">: </w:t>
            </w:r>
            <w:r w:rsidRPr="007B7740">
              <w:rPr>
                <w:rFonts w:cs="Arial"/>
                <w:i/>
                <w:iCs/>
                <w:sz w:val="20"/>
                <w:szCs w:val="20"/>
              </w:rPr>
              <w:t xml:space="preserve"> Contribute to livelihoods stabilization of populations affected by conflict, at risk of return to violence through creation of short-term employment creation to</w:t>
            </w:r>
            <w:r>
              <w:rPr>
                <w:rFonts w:cs="Arial"/>
                <w:i/>
                <w:iCs/>
                <w:sz w:val="20"/>
                <w:szCs w:val="20"/>
              </w:rPr>
              <w:t xml:space="preserve"> </w:t>
            </w:r>
            <w:r w:rsidRPr="007B7740">
              <w:rPr>
                <w:rFonts w:cs="Arial"/>
                <w:i/>
                <w:iCs/>
                <w:sz w:val="20"/>
                <w:szCs w:val="20"/>
              </w:rPr>
              <w:t xml:space="preserve"> rehabilitate and restore social and economic infrastructure</w:t>
            </w:r>
          </w:p>
        </w:tc>
        <w:tc>
          <w:tcPr>
            <w:tcW w:w="1609" w:type="dxa"/>
            <w:shd w:val="clear" w:color="auto" w:fill="F2F2F2" w:themeFill="background1" w:themeFillShade="F2"/>
          </w:tcPr>
          <w:p w:rsidR="004E75BB" w:rsidRPr="00937EBB" w:rsidRDefault="004E75BB" w:rsidP="004E75BB">
            <w:pPr>
              <w:jc w:val="center"/>
              <w:rPr>
                <w:lang w:bidi="ar-YE"/>
              </w:rPr>
            </w:pPr>
          </w:p>
        </w:tc>
        <w:tc>
          <w:tcPr>
            <w:tcW w:w="1572" w:type="dxa"/>
          </w:tcPr>
          <w:p w:rsidR="004E75BB" w:rsidRPr="00937EBB" w:rsidRDefault="004E75BB" w:rsidP="004E75BB">
            <w:pPr>
              <w:jc w:val="center"/>
              <w:rPr>
                <w:lang w:bidi="ar-YE"/>
              </w:rPr>
            </w:pPr>
            <w:r>
              <w:rPr>
                <w:lang w:bidi="ar-YE"/>
              </w:rPr>
              <w:t>38%</w:t>
            </w:r>
          </w:p>
        </w:tc>
        <w:tc>
          <w:tcPr>
            <w:tcW w:w="1629" w:type="dxa"/>
          </w:tcPr>
          <w:p w:rsidR="004E75BB" w:rsidRPr="00937EBB" w:rsidRDefault="004E75BB" w:rsidP="004E75BB">
            <w:pPr>
              <w:jc w:val="center"/>
            </w:pPr>
          </w:p>
        </w:tc>
        <w:tc>
          <w:tcPr>
            <w:tcW w:w="1398" w:type="dxa"/>
          </w:tcPr>
          <w:p w:rsidR="004E75BB" w:rsidRPr="00937EBB" w:rsidRDefault="004E75BB" w:rsidP="004E75BB">
            <w:pPr>
              <w:jc w:val="center"/>
            </w:pPr>
          </w:p>
        </w:tc>
        <w:tc>
          <w:tcPr>
            <w:tcW w:w="1417" w:type="dxa"/>
          </w:tcPr>
          <w:p w:rsidR="004E75BB" w:rsidRPr="00937EBB" w:rsidRDefault="004E75BB" w:rsidP="004E75BB">
            <w:r w:rsidRPr="00937EBB">
              <w:t>%</w:t>
            </w:r>
          </w:p>
        </w:tc>
      </w:tr>
      <w:tr w:rsidR="004E75BB" w:rsidRPr="00937EBB" w:rsidTr="004E75BB">
        <w:trPr>
          <w:trHeight w:val="331"/>
        </w:trPr>
        <w:tc>
          <w:tcPr>
            <w:tcW w:w="2781" w:type="dxa"/>
            <w:shd w:val="clear" w:color="auto" w:fill="F2F2F2" w:themeFill="background1" w:themeFillShade="F2"/>
          </w:tcPr>
          <w:p w:rsidR="004E75BB" w:rsidRPr="009809C0" w:rsidRDefault="004E75BB" w:rsidP="004E75BB">
            <w:pPr>
              <w:jc w:val="right"/>
              <w:rPr>
                <w:sz w:val="20"/>
                <w:szCs w:val="20"/>
                <w:rtl/>
                <w:lang w:bidi="ar-YE"/>
              </w:rPr>
            </w:pPr>
            <w:r w:rsidRPr="004E75BB">
              <w:rPr>
                <w:b/>
                <w:bCs/>
                <w:sz w:val="20"/>
                <w:szCs w:val="20"/>
              </w:rPr>
              <w:t>Output 1.3</w:t>
            </w:r>
            <w:r>
              <w:rPr>
                <w:sz w:val="20"/>
                <w:szCs w:val="20"/>
              </w:rPr>
              <w:t xml:space="preserve">: </w:t>
            </w:r>
            <w:r w:rsidRPr="007B7740">
              <w:rPr>
                <w:rFonts w:cs="Arial"/>
                <w:i/>
                <w:iCs/>
                <w:sz w:val="20"/>
                <w:szCs w:val="20"/>
              </w:rPr>
              <w:t xml:space="preserve"> Women led civil organizations monitoring and implementing peacebuilding activities</w:t>
            </w:r>
          </w:p>
        </w:tc>
        <w:tc>
          <w:tcPr>
            <w:tcW w:w="1609" w:type="dxa"/>
            <w:shd w:val="clear" w:color="auto" w:fill="F2F2F2" w:themeFill="background1" w:themeFillShade="F2"/>
          </w:tcPr>
          <w:p w:rsidR="004E75BB" w:rsidRPr="00937EBB" w:rsidRDefault="004E75BB" w:rsidP="004E75BB">
            <w:pPr>
              <w:jc w:val="center"/>
            </w:pPr>
          </w:p>
        </w:tc>
        <w:tc>
          <w:tcPr>
            <w:tcW w:w="1572" w:type="dxa"/>
          </w:tcPr>
          <w:p w:rsidR="004E75BB" w:rsidRPr="00937EBB" w:rsidRDefault="004E75BB" w:rsidP="004E75BB">
            <w:pPr>
              <w:jc w:val="center"/>
              <w:rPr>
                <w:lang w:bidi="ar-YE"/>
              </w:rPr>
            </w:pPr>
            <w:r>
              <w:rPr>
                <w:lang w:bidi="ar-YE"/>
              </w:rPr>
              <w:t>5%</w:t>
            </w:r>
          </w:p>
        </w:tc>
        <w:tc>
          <w:tcPr>
            <w:tcW w:w="1629" w:type="dxa"/>
          </w:tcPr>
          <w:p w:rsidR="004E75BB" w:rsidRPr="00937EBB" w:rsidRDefault="004E75BB" w:rsidP="004E75BB">
            <w:pPr>
              <w:jc w:val="center"/>
            </w:pPr>
          </w:p>
        </w:tc>
        <w:tc>
          <w:tcPr>
            <w:tcW w:w="1398" w:type="dxa"/>
          </w:tcPr>
          <w:p w:rsidR="004E75BB" w:rsidRPr="00937EBB" w:rsidRDefault="004E75BB" w:rsidP="004E75BB">
            <w:pPr>
              <w:jc w:val="center"/>
            </w:pPr>
          </w:p>
        </w:tc>
        <w:tc>
          <w:tcPr>
            <w:tcW w:w="1417" w:type="dxa"/>
          </w:tcPr>
          <w:p w:rsidR="004E75BB" w:rsidRPr="00937EBB" w:rsidRDefault="004E75BB" w:rsidP="004E75BB">
            <w:r>
              <w:rPr>
                <w:rtl/>
              </w:rPr>
              <w:t>%</w:t>
            </w:r>
          </w:p>
        </w:tc>
      </w:tr>
      <w:tr w:rsidR="002832EE" w:rsidRPr="00937EBB" w:rsidTr="004E75BB">
        <w:trPr>
          <w:trHeight w:val="350"/>
        </w:trPr>
        <w:tc>
          <w:tcPr>
            <w:tcW w:w="2781" w:type="dxa"/>
            <w:shd w:val="clear" w:color="auto" w:fill="F2F2F2" w:themeFill="background1" w:themeFillShade="F2"/>
          </w:tcPr>
          <w:p w:rsidR="002832EE" w:rsidRPr="00937EBB" w:rsidRDefault="002832EE" w:rsidP="004E75BB">
            <w:pPr>
              <w:jc w:val="right"/>
              <w:rPr>
                <w:b/>
                <w:bCs/>
              </w:rPr>
            </w:pPr>
            <w:r w:rsidRPr="00937EBB">
              <w:rPr>
                <w:b/>
                <w:bCs/>
              </w:rPr>
              <w:t>Total</w:t>
            </w:r>
          </w:p>
        </w:tc>
        <w:tc>
          <w:tcPr>
            <w:tcW w:w="1609" w:type="dxa"/>
            <w:shd w:val="clear" w:color="auto" w:fill="F2F2F2" w:themeFill="background1" w:themeFillShade="F2"/>
          </w:tcPr>
          <w:p w:rsidR="002832EE" w:rsidRPr="00937EBB" w:rsidRDefault="002832EE" w:rsidP="004E75BB">
            <w:pPr>
              <w:jc w:val="center"/>
            </w:pPr>
          </w:p>
        </w:tc>
        <w:tc>
          <w:tcPr>
            <w:tcW w:w="1572" w:type="dxa"/>
          </w:tcPr>
          <w:p w:rsidR="002832EE" w:rsidRPr="00937EBB" w:rsidRDefault="002832EE" w:rsidP="004E75BB">
            <w:pPr>
              <w:jc w:val="center"/>
            </w:pPr>
          </w:p>
        </w:tc>
        <w:tc>
          <w:tcPr>
            <w:tcW w:w="1629" w:type="dxa"/>
          </w:tcPr>
          <w:p w:rsidR="002832EE" w:rsidRPr="00937EBB" w:rsidRDefault="002832EE" w:rsidP="004E75BB">
            <w:pPr>
              <w:jc w:val="center"/>
            </w:pPr>
          </w:p>
        </w:tc>
        <w:tc>
          <w:tcPr>
            <w:tcW w:w="1398" w:type="dxa"/>
          </w:tcPr>
          <w:p w:rsidR="002832EE" w:rsidRPr="00937EBB" w:rsidRDefault="002832EE" w:rsidP="004E75BB">
            <w:pPr>
              <w:jc w:val="center"/>
            </w:pPr>
          </w:p>
        </w:tc>
        <w:tc>
          <w:tcPr>
            <w:tcW w:w="1417" w:type="dxa"/>
          </w:tcPr>
          <w:p w:rsidR="002832EE" w:rsidRPr="00937EBB" w:rsidRDefault="002832EE" w:rsidP="004E75BB">
            <w:r w:rsidRPr="00937EBB">
              <w:t xml:space="preserve"> %</w:t>
            </w:r>
          </w:p>
        </w:tc>
      </w:tr>
    </w:tbl>
    <w:p w:rsidR="002832EE" w:rsidRDefault="002832EE" w:rsidP="005F5F7D">
      <w:pPr>
        <w:bidi w:val="0"/>
        <w:spacing w:after="0" w:line="240" w:lineRule="auto"/>
        <w:ind w:left="360"/>
        <w:rPr>
          <w:rFonts w:asciiTheme="majorBidi" w:hAnsiTheme="majorBidi" w:cstheme="majorBidi"/>
          <w:b/>
          <w:bCs/>
          <w:lang w:bidi="ar-YE"/>
        </w:rPr>
      </w:pPr>
    </w:p>
    <w:p w:rsidR="009809C0" w:rsidRPr="00937EBB" w:rsidRDefault="009809C0" w:rsidP="009809C0">
      <w:pPr>
        <w:bidi w:val="0"/>
        <w:spacing w:after="0" w:line="240" w:lineRule="auto"/>
        <w:ind w:left="360"/>
        <w:rPr>
          <w:rFonts w:asciiTheme="majorBidi" w:hAnsiTheme="majorBidi" w:cstheme="majorBidi"/>
          <w:b/>
          <w:bCs/>
          <w:lang w:bidi="ar-YE"/>
        </w:rPr>
      </w:pPr>
    </w:p>
    <w:p w:rsidR="0083304C" w:rsidRDefault="00574624" w:rsidP="0083304C">
      <w:pPr>
        <w:pStyle w:val="ListParagraph"/>
        <w:numPr>
          <w:ilvl w:val="0"/>
          <w:numId w:val="4"/>
        </w:numPr>
        <w:spacing w:after="0" w:line="240" w:lineRule="auto"/>
        <w:jc w:val="both"/>
        <w:rPr>
          <w:b/>
        </w:rPr>
      </w:pPr>
      <w:r>
        <w:rPr>
          <w:b/>
        </w:rPr>
        <w:t>Indicate any f</w:t>
      </w:r>
      <w:r w:rsidR="0083304C" w:rsidRPr="00574624">
        <w:rPr>
          <w:b/>
        </w:rPr>
        <w:t>unds obligated</w:t>
      </w:r>
      <w:r w:rsidR="00C00B67" w:rsidRPr="00574624">
        <w:rPr>
          <w:b/>
        </w:rPr>
        <w:t xml:space="preserve"> through a </w:t>
      </w:r>
      <w:r w:rsidR="00C00B67" w:rsidRPr="00574624">
        <w:rPr>
          <w:b/>
          <w:u w:val="single"/>
        </w:rPr>
        <w:t>signed contract</w:t>
      </w:r>
      <w:r w:rsidR="00C00B67" w:rsidRPr="00574624">
        <w:rPr>
          <w:b/>
        </w:rPr>
        <w:t xml:space="preserve"> from </w:t>
      </w:r>
      <w:r w:rsidR="0083304C" w:rsidRPr="00574624">
        <w:rPr>
          <w:b/>
        </w:rPr>
        <w:t>31 March 2015 to 10 April 2015</w:t>
      </w:r>
      <w:r>
        <w:rPr>
          <w:b/>
        </w:rPr>
        <w:t>, and append the contract to this template as an annex</w:t>
      </w:r>
      <w:r w:rsidR="0083304C" w:rsidRPr="00574624">
        <w:rPr>
          <w:b/>
        </w:rPr>
        <w:t>:</w:t>
      </w:r>
    </w:p>
    <w:p w:rsidR="00574624" w:rsidRPr="00574624" w:rsidRDefault="00574624" w:rsidP="00574624">
      <w:pPr>
        <w:pStyle w:val="ListParagraph"/>
        <w:spacing w:after="0" w:line="240" w:lineRule="auto"/>
        <w:jc w:val="both"/>
        <w:rPr>
          <w:b/>
        </w:rPr>
      </w:pPr>
    </w:p>
    <w:tbl>
      <w:tblPr>
        <w:tblStyle w:val="TableGrid"/>
        <w:tblW w:w="0" w:type="auto"/>
        <w:tblInd w:w="18" w:type="dxa"/>
        <w:tblLook w:val="04A0" w:firstRow="1" w:lastRow="0" w:firstColumn="1" w:lastColumn="0" w:noHBand="0" w:noVBand="1"/>
      </w:tblPr>
      <w:tblGrid>
        <w:gridCol w:w="1244"/>
        <w:gridCol w:w="3162"/>
        <w:gridCol w:w="2113"/>
        <w:gridCol w:w="2950"/>
      </w:tblGrid>
      <w:tr w:rsidR="0083304C" w:rsidRPr="0083304C" w:rsidTr="00444786">
        <w:tc>
          <w:tcPr>
            <w:tcW w:w="1260" w:type="dxa"/>
          </w:tcPr>
          <w:p w:rsidR="0083304C" w:rsidRPr="00444786" w:rsidRDefault="0083304C" w:rsidP="0083304C">
            <w:pPr>
              <w:jc w:val="right"/>
              <w:rPr>
                <w:lang w:val="en-GB"/>
              </w:rPr>
            </w:pPr>
            <w:r w:rsidRPr="00444786">
              <w:rPr>
                <w:rFonts w:eastAsiaTheme="minorEastAsia" w:cs="Arial"/>
                <w:lang w:val="en-GB" w:eastAsia="en-GB"/>
              </w:rPr>
              <w:t>Output #</w:t>
            </w:r>
          </w:p>
        </w:tc>
        <w:tc>
          <w:tcPr>
            <w:tcW w:w="3240" w:type="dxa"/>
          </w:tcPr>
          <w:p w:rsidR="0083304C" w:rsidRPr="00444786" w:rsidRDefault="0083304C" w:rsidP="0083304C">
            <w:pPr>
              <w:bidi w:val="0"/>
              <w:jc w:val="both"/>
              <w:rPr>
                <w:rFonts w:eastAsiaTheme="minorEastAsia" w:cs="Arial"/>
                <w:lang w:val="en-GB" w:eastAsia="en-GB"/>
              </w:rPr>
            </w:pPr>
            <w:r w:rsidRPr="00444786">
              <w:rPr>
                <w:rFonts w:eastAsiaTheme="minorEastAsia" w:cs="Arial"/>
                <w:lang w:val="en-GB" w:eastAsia="en-GB"/>
              </w:rPr>
              <w:t>Contracting agent name</w:t>
            </w:r>
          </w:p>
          <w:p w:rsidR="0083304C" w:rsidRPr="00444786" w:rsidRDefault="0083304C" w:rsidP="0083304C">
            <w:pPr>
              <w:jc w:val="right"/>
              <w:rPr>
                <w:lang w:val="en-GB"/>
              </w:rPr>
            </w:pPr>
            <w:r w:rsidRPr="00444786">
              <w:rPr>
                <w:rFonts w:eastAsiaTheme="minorEastAsia" w:cs="Arial"/>
                <w:lang w:val="en-GB" w:eastAsia="en-GB"/>
              </w:rPr>
              <w:t>(institutional or individual)</w:t>
            </w:r>
          </w:p>
        </w:tc>
        <w:tc>
          <w:tcPr>
            <w:tcW w:w="2160" w:type="dxa"/>
          </w:tcPr>
          <w:p w:rsidR="00095B11" w:rsidRPr="00444786" w:rsidRDefault="00095B11" w:rsidP="00095B11">
            <w:r>
              <w:t xml:space="preserve">Duration and Date of the Contract </w:t>
            </w:r>
          </w:p>
        </w:tc>
        <w:tc>
          <w:tcPr>
            <w:tcW w:w="3035" w:type="dxa"/>
          </w:tcPr>
          <w:p w:rsidR="0083304C" w:rsidRPr="00095B11" w:rsidRDefault="00095B11" w:rsidP="00095B11">
            <w:pPr>
              <w:jc w:val="right"/>
            </w:pPr>
            <w:r>
              <w:t>Contract Amount</w:t>
            </w:r>
          </w:p>
        </w:tc>
      </w:tr>
      <w:tr w:rsidR="0083304C" w:rsidTr="00444786">
        <w:tc>
          <w:tcPr>
            <w:tcW w:w="1260" w:type="dxa"/>
          </w:tcPr>
          <w:p w:rsidR="0083304C" w:rsidRPr="00444786" w:rsidRDefault="0083304C" w:rsidP="0083304C">
            <w:pPr>
              <w:rPr>
                <w:lang w:val="en-GB"/>
              </w:rPr>
            </w:pPr>
          </w:p>
        </w:tc>
        <w:tc>
          <w:tcPr>
            <w:tcW w:w="3240" w:type="dxa"/>
          </w:tcPr>
          <w:p w:rsidR="0083304C" w:rsidRPr="00444786" w:rsidRDefault="0083304C" w:rsidP="0083304C">
            <w:pPr>
              <w:rPr>
                <w:lang w:val="en-GB"/>
              </w:rPr>
            </w:pPr>
          </w:p>
        </w:tc>
        <w:tc>
          <w:tcPr>
            <w:tcW w:w="2160" w:type="dxa"/>
          </w:tcPr>
          <w:p w:rsidR="0083304C" w:rsidRPr="00444786" w:rsidRDefault="0083304C" w:rsidP="0083304C">
            <w:pPr>
              <w:rPr>
                <w:lang w:val="en-GB"/>
              </w:rPr>
            </w:pPr>
          </w:p>
        </w:tc>
        <w:tc>
          <w:tcPr>
            <w:tcW w:w="3035" w:type="dxa"/>
          </w:tcPr>
          <w:p w:rsidR="0083304C" w:rsidRPr="00444786" w:rsidRDefault="0083304C" w:rsidP="0083304C">
            <w:pPr>
              <w:rPr>
                <w:lang w:val="en-GB"/>
              </w:rPr>
            </w:pPr>
          </w:p>
        </w:tc>
      </w:tr>
      <w:tr w:rsidR="0083304C" w:rsidTr="00444786">
        <w:tc>
          <w:tcPr>
            <w:tcW w:w="1260" w:type="dxa"/>
          </w:tcPr>
          <w:p w:rsidR="0083304C" w:rsidRPr="00444786" w:rsidRDefault="0083304C" w:rsidP="0083304C">
            <w:pPr>
              <w:rPr>
                <w:lang w:val="en-GB"/>
              </w:rPr>
            </w:pPr>
          </w:p>
        </w:tc>
        <w:tc>
          <w:tcPr>
            <w:tcW w:w="3240" w:type="dxa"/>
          </w:tcPr>
          <w:p w:rsidR="0083304C" w:rsidRPr="00444786" w:rsidRDefault="0083304C" w:rsidP="0083304C">
            <w:pPr>
              <w:rPr>
                <w:lang w:val="en-GB"/>
              </w:rPr>
            </w:pPr>
          </w:p>
        </w:tc>
        <w:tc>
          <w:tcPr>
            <w:tcW w:w="2160" w:type="dxa"/>
          </w:tcPr>
          <w:p w:rsidR="0083304C" w:rsidRPr="00444786" w:rsidRDefault="0083304C" w:rsidP="0083304C">
            <w:pPr>
              <w:rPr>
                <w:lang w:val="en-GB"/>
              </w:rPr>
            </w:pPr>
          </w:p>
        </w:tc>
        <w:tc>
          <w:tcPr>
            <w:tcW w:w="3035" w:type="dxa"/>
          </w:tcPr>
          <w:p w:rsidR="0083304C" w:rsidRPr="00444786" w:rsidRDefault="0083304C" w:rsidP="0083304C">
            <w:pPr>
              <w:rPr>
                <w:lang w:val="en-GB"/>
              </w:rPr>
            </w:pPr>
          </w:p>
        </w:tc>
      </w:tr>
    </w:tbl>
    <w:p w:rsidR="008241F3" w:rsidRPr="00937EBB" w:rsidRDefault="008241F3" w:rsidP="005F5F7D">
      <w:pPr>
        <w:bidi w:val="0"/>
        <w:spacing w:after="0" w:line="240" w:lineRule="auto"/>
        <w:rPr>
          <w:rFonts w:asciiTheme="majorBidi" w:hAnsiTheme="majorBidi" w:cstheme="majorBidi"/>
          <w:b/>
          <w:bCs/>
          <w:lang w:bidi="ar-YE"/>
        </w:rPr>
      </w:pPr>
    </w:p>
    <w:p w:rsidR="008241F3" w:rsidRDefault="008241F3" w:rsidP="005F5F7D">
      <w:pPr>
        <w:bidi w:val="0"/>
        <w:spacing w:after="0" w:line="240" w:lineRule="auto"/>
        <w:rPr>
          <w:rFonts w:asciiTheme="majorBidi" w:hAnsiTheme="majorBidi" w:cstheme="majorBidi"/>
          <w:b/>
          <w:bCs/>
          <w:lang w:bidi="ar-YE"/>
        </w:rPr>
      </w:pPr>
    </w:p>
    <w:p w:rsidR="009809C0" w:rsidRPr="00937EBB" w:rsidRDefault="009809C0" w:rsidP="009809C0">
      <w:pPr>
        <w:bidi w:val="0"/>
        <w:spacing w:after="0" w:line="240" w:lineRule="auto"/>
        <w:rPr>
          <w:rFonts w:asciiTheme="majorBidi" w:hAnsiTheme="majorBidi" w:cstheme="majorBidi"/>
          <w:b/>
          <w:bCs/>
          <w:lang w:bidi="ar-YE"/>
        </w:rPr>
      </w:pPr>
    </w:p>
    <w:p w:rsidR="002832EE" w:rsidRPr="00C00B67" w:rsidRDefault="002832EE" w:rsidP="00C00B67">
      <w:pPr>
        <w:pStyle w:val="ListParagraph"/>
        <w:numPr>
          <w:ilvl w:val="0"/>
          <w:numId w:val="4"/>
        </w:numPr>
        <w:spacing w:after="0" w:line="240" w:lineRule="auto"/>
        <w:rPr>
          <w:b/>
          <w:bCs/>
        </w:rPr>
      </w:pPr>
      <w:r w:rsidRPr="00C00B67">
        <w:rPr>
          <w:b/>
          <w:bCs/>
          <w:lang w:bidi="ar-YE"/>
        </w:rPr>
        <w:t xml:space="preserve">Based on the </w:t>
      </w:r>
      <w:r w:rsidR="00ED5ED2">
        <w:rPr>
          <w:b/>
          <w:bCs/>
          <w:lang w:bidi="ar-YE"/>
        </w:rPr>
        <w:t xml:space="preserve">project’s </w:t>
      </w:r>
      <w:r w:rsidRPr="00C00B67">
        <w:rPr>
          <w:b/>
          <w:bCs/>
          <w:lang w:bidi="ar-YE"/>
        </w:rPr>
        <w:t xml:space="preserve"> </w:t>
      </w:r>
      <w:r w:rsidR="0083304C">
        <w:rPr>
          <w:b/>
          <w:bCs/>
          <w:lang w:bidi="ar-YE"/>
        </w:rPr>
        <w:t xml:space="preserve">total </w:t>
      </w:r>
      <w:r w:rsidR="00C00B67">
        <w:rPr>
          <w:b/>
          <w:bCs/>
          <w:lang w:bidi="ar-YE"/>
        </w:rPr>
        <w:t>contractual commitments</w:t>
      </w:r>
      <w:r w:rsidR="00ED5ED2">
        <w:rPr>
          <w:b/>
          <w:bCs/>
          <w:lang w:bidi="ar-YE"/>
        </w:rPr>
        <w:t xml:space="preserve"> as of 10 April 2015, please indicate recurrent cost amounts and duration:</w:t>
      </w:r>
    </w:p>
    <w:p w:rsidR="006812BA" w:rsidRPr="00937EBB" w:rsidRDefault="006812BA" w:rsidP="005A34A1">
      <w:pPr>
        <w:bidi w:val="0"/>
        <w:spacing w:after="0" w:line="240" w:lineRule="auto"/>
        <w:jc w:val="both"/>
        <w:rPr>
          <w:rFonts w:eastAsiaTheme="minorEastAsia"/>
          <w:lang w:eastAsia="en-GB"/>
        </w:rPr>
      </w:pPr>
    </w:p>
    <w:p w:rsidR="006812BA" w:rsidRPr="00937EBB" w:rsidRDefault="006812BA" w:rsidP="006812BA">
      <w:pPr>
        <w:bidi w:val="0"/>
        <w:spacing w:after="0" w:line="240" w:lineRule="auto"/>
        <w:jc w:val="both"/>
        <w:rPr>
          <w:rFonts w:eastAsiaTheme="minorEastAsia" w:cs="Arial"/>
          <w:lang w:eastAsia="en-GB"/>
        </w:rPr>
      </w:pPr>
    </w:p>
    <w:tbl>
      <w:tblPr>
        <w:tblStyle w:val="TableGrid"/>
        <w:tblW w:w="0" w:type="auto"/>
        <w:tblLook w:val="04A0" w:firstRow="1" w:lastRow="0" w:firstColumn="1" w:lastColumn="0" w:noHBand="0" w:noVBand="1"/>
      </w:tblPr>
      <w:tblGrid>
        <w:gridCol w:w="1258"/>
        <w:gridCol w:w="3152"/>
        <w:gridCol w:w="1762"/>
        <w:gridCol w:w="1618"/>
        <w:gridCol w:w="1697"/>
      </w:tblGrid>
      <w:tr w:rsidR="00ED5ED2" w:rsidTr="00444786">
        <w:tc>
          <w:tcPr>
            <w:tcW w:w="1278" w:type="dxa"/>
          </w:tcPr>
          <w:p w:rsidR="00ED5ED2" w:rsidRDefault="00ED5ED2" w:rsidP="00162593">
            <w:pPr>
              <w:bidi w:val="0"/>
              <w:jc w:val="both"/>
              <w:rPr>
                <w:rFonts w:eastAsiaTheme="minorEastAsia" w:cs="Arial"/>
                <w:lang w:eastAsia="en-GB"/>
              </w:rPr>
            </w:pPr>
            <w:r>
              <w:rPr>
                <w:rFonts w:eastAsiaTheme="minorEastAsia" w:cs="Arial"/>
                <w:lang w:eastAsia="en-GB"/>
              </w:rPr>
              <w:t>Output #</w:t>
            </w:r>
          </w:p>
        </w:tc>
        <w:tc>
          <w:tcPr>
            <w:tcW w:w="3240" w:type="dxa"/>
          </w:tcPr>
          <w:p w:rsidR="00ED5ED2" w:rsidRDefault="00ED5ED2" w:rsidP="00162593">
            <w:pPr>
              <w:bidi w:val="0"/>
              <w:jc w:val="both"/>
              <w:rPr>
                <w:rFonts w:eastAsiaTheme="minorEastAsia" w:cs="Arial"/>
                <w:lang w:eastAsia="en-GB"/>
              </w:rPr>
            </w:pPr>
            <w:r>
              <w:rPr>
                <w:rFonts w:eastAsiaTheme="minorEastAsia" w:cs="Arial"/>
                <w:lang w:eastAsia="en-GB"/>
              </w:rPr>
              <w:t>Contracting agent name</w:t>
            </w:r>
          </w:p>
          <w:p w:rsidR="00ED5ED2" w:rsidRDefault="00ED5ED2" w:rsidP="00ED5ED2">
            <w:pPr>
              <w:bidi w:val="0"/>
              <w:jc w:val="both"/>
              <w:rPr>
                <w:rFonts w:eastAsiaTheme="minorEastAsia" w:cs="Arial"/>
                <w:lang w:eastAsia="en-GB"/>
              </w:rPr>
            </w:pPr>
            <w:r>
              <w:rPr>
                <w:rFonts w:eastAsiaTheme="minorEastAsia" w:cs="Arial"/>
                <w:lang w:eastAsia="en-GB"/>
              </w:rPr>
              <w:t xml:space="preserve">(institutional or individual) </w:t>
            </w:r>
          </w:p>
        </w:tc>
        <w:tc>
          <w:tcPr>
            <w:tcW w:w="1800" w:type="dxa"/>
          </w:tcPr>
          <w:p w:rsidR="00ED5ED2" w:rsidRDefault="00444786" w:rsidP="00444786">
            <w:pPr>
              <w:bidi w:val="0"/>
              <w:jc w:val="both"/>
              <w:rPr>
                <w:rFonts w:eastAsiaTheme="minorEastAsia" w:cs="Arial"/>
                <w:lang w:eastAsia="en-GB"/>
              </w:rPr>
            </w:pPr>
            <w:r>
              <w:rPr>
                <w:rFonts w:eastAsiaTheme="minorEastAsia" w:cs="Arial"/>
                <w:lang w:eastAsia="en-GB"/>
              </w:rPr>
              <w:t>Contract a</w:t>
            </w:r>
            <w:r w:rsidR="00ED5ED2">
              <w:rPr>
                <w:rFonts w:eastAsiaTheme="minorEastAsia" w:cs="Arial"/>
                <w:lang w:eastAsia="en-GB"/>
              </w:rPr>
              <w:t xml:space="preserve">mount </w:t>
            </w:r>
          </w:p>
        </w:tc>
        <w:tc>
          <w:tcPr>
            <w:tcW w:w="1648" w:type="dxa"/>
          </w:tcPr>
          <w:p w:rsidR="00ED5ED2" w:rsidRDefault="00ED5ED2" w:rsidP="00162593">
            <w:pPr>
              <w:bidi w:val="0"/>
              <w:jc w:val="both"/>
              <w:rPr>
                <w:rFonts w:eastAsiaTheme="minorEastAsia" w:cs="Arial"/>
                <w:lang w:eastAsia="en-GB"/>
              </w:rPr>
            </w:pPr>
            <w:r>
              <w:rPr>
                <w:rFonts w:eastAsiaTheme="minorEastAsia" w:cs="Arial"/>
                <w:lang w:eastAsia="en-GB"/>
              </w:rPr>
              <w:t>Duration</w:t>
            </w:r>
          </w:p>
        </w:tc>
        <w:tc>
          <w:tcPr>
            <w:tcW w:w="1747" w:type="dxa"/>
          </w:tcPr>
          <w:p w:rsidR="00ED5ED2" w:rsidRDefault="00ED5ED2" w:rsidP="00162593">
            <w:pPr>
              <w:bidi w:val="0"/>
              <w:jc w:val="both"/>
              <w:rPr>
                <w:rFonts w:eastAsiaTheme="minorEastAsia" w:cs="Arial"/>
                <w:lang w:eastAsia="en-GB"/>
              </w:rPr>
            </w:pPr>
            <w:r>
              <w:rPr>
                <w:rFonts w:eastAsiaTheme="minorEastAsia" w:cs="Arial"/>
                <w:lang w:eastAsia="en-GB"/>
              </w:rPr>
              <w:t xml:space="preserve">$ Total </w:t>
            </w:r>
          </w:p>
        </w:tc>
      </w:tr>
      <w:tr w:rsidR="00ED5ED2" w:rsidTr="00444786">
        <w:tc>
          <w:tcPr>
            <w:tcW w:w="1278" w:type="dxa"/>
          </w:tcPr>
          <w:p w:rsidR="00ED5ED2" w:rsidRDefault="00ED5ED2" w:rsidP="00162593">
            <w:pPr>
              <w:bidi w:val="0"/>
              <w:jc w:val="both"/>
              <w:rPr>
                <w:rFonts w:eastAsiaTheme="minorEastAsia" w:cs="Arial"/>
                <w:lang w:eastAsia="en-GB"/>
              </w:rPr>
            </w:pPr>
          </w:p>
        </w:tc>
        <w:tc>
          <w:tcPr>
            <w:tcW w:w="3240" w:type="dxa"/>
          </w:tcPr>
          <w:p w:rsidR="00ED5ED2" w:rsidRDefault="00ED5ED2" w:rsidP="00162593">
            <w:pPr>
              <w:bidi w:val="0"/>
              <w:jc w:val="both"/>
              <w:rPr>
                <w:rFonts w:eastAsiaTheme="minorEastAsia" w:cs="Arial"/>
                <w:lang w:eastAsia="en-GB"/>
              </w:rPr>
            </w:pPr>
          </w:p>
        </w:tc>
        <w:tc>
          <w:tcPr>
            <w:tcW w:w="1800" w:type="dxa"/>
          </w:tcPr>
          <w:p w:rsidR="00ED5ED2" w:rsidRDefault="00ED5ED2" w:rsidP="00162593">
            <w:pPr>
              <w:bidi w:val="0"/>
              <w:jc w:val="both"/>
              <w:rPr>
                <w:rFonts w:eastAsiaTheme="minorEastAsia" w:cs="Arial"/>
                <w:lang w:eastAsia="en-GB"/>
              </w:rPr>
            </w:pPr>
          </w:p>
        </w:tc>
        <w:tc>
          <w:tcPr>
            <w:tcW w:w="1648" w:type="dxa"/>
          </w:tcPr>
          <w:p w:rsidR="00ED5ED2" w:rsidRDefault="00ED5ED2" w:rsidP="00162593">
            <w:pPr>
              <w:bidi w:val="0"/>
              <w:jc w:val="both"/>
              <w:rPr>
                <w:rFonts w:eastAsiaTheme="minorEastAsia" w:cs="Arial"/>
                <w:lang w:eastAsia="en-GB"/>
              </w:rPr>
            </w:pPr>
          </w:p>
        </w:tc>
        <w:tc>
          <w:tcPr>
            <w:tcW w:w="1747" w:type="dxa"/>
          </w:tcPr>
          <w:p w:rsidR="00ED5ED2" w:rsidRDefault="00ED5ED2" w:rsidP="00162593">
            <w:pPr>
              <w:bidi w:val="0"/>
              <w:jc w:val="both"/>
              <w:rPr>
                <w:rFonts w:eastAsiaTheme="minorEastAsia" w:cs="Arial"/>
                <w:lang w:eastAsia="en-GB"/>
              </w:rPr>
            </w:pPr>
          </w:p>
        </w:tc>
      </w:tr>
      <w:tr w:rsidR="00ED5ED2" w:rsidTr="00444786">
        <w:tc>
          <w:tcPr>
            <w:tcW w:w="1278" w:type="dxa"/>
          </w:tcPr>
          <w:p w:rsidR="00ED5ED2" w:rsidRDefault="00ED5ED2" w:rsidP="00162593">
            <w:pPr>
              <w:bidi w:val="0"/>
              <w:jc w:val="both"/>
              <w:rPr>
                <w:rFonts w:eastAsiaTheme="minorEastAsia" w:cs="Arial"/>
                <w:lang w:eastAsia="en-GB"/>
              </w:rPr>
            </w:pPr>
          </w:p>
        </w:tc>
        <w:tc>
          <w:tcPr>
            <w:tcW w:w="3240" w:type="dxa"/>
          </w:tcPr>
          <w:p w:rsidR="00ED5ED2" w:rsidRDefault="00ED5ED2" w:rsidP="00162593">
            <w:pPr>
              <w:bidi w:val="0"/>
              <w:jc w:val="both"/>
              <w:rPr>
                <w:rFonts w:eastAsiaTheme="minorEastAsia" w:cs="Arial"/>
                <w:lang w:eastAsia="en-GB"/>
              </w:rPr>
            </w:pPr>
          </w:p>
        </w:tc>
        <w:tc>
          <w:tcPr>
            <w:tcW w:w="1800" w:type="dxa"/>
          </w:tcPr>
          <w:p w:rsidR="00ED5ED2" w:rsidRDefault="00ED5ED2" w:rsidP="00162593">
            <w:pPr>
              <w:bidi w:val="0"/>
              <w:jc w:val="both"/>
              <w:rPr>
                <w:rFonts w:eastAsiaTheme="minorEastAsia" w:cs="Arial"/>
                <w:lang w:eastAsia="en-GB"/>
              </w:rPr>
            </w:pPr>
          </w:p>
        </w:tc>
        <w:tc>
          <w:tcPr>
            <w:tcW w:w="1648" w:type="dxa"/>
          </w:tcPr>
          <w:p w:rsidR="00ED5ED2" w:rsidRDefault="00ED5ED2" w:rsidP="00162593">
            <w:pPr>
              <w:bidi w:val="0"/>
              <w:jc w:val="both"/>
              <w:rPr>
                <w:rFonts w:eastAsiaTheme="minorEastAsia" w:cs="Arial"/>
                <w:lang w:eastAsia="en-GB"/>
              </w:rPr>
            </w:pPr>
          </w:p>
        </w:tc>
        <w:tc>
          <w:tcPr>
            <w:tcW w:w="1747" w:type="dxa"/>
          </w:tcPr>
          <w:p w:rsidR="00ED5ED2" w:rsidRDefault="00ED5ED2" w:rsidP="00162593">
            <w:pPr>
              <w:bidi w:val="0"/>
              <w:jc w:val="both"/>
              <w:rPr>
                <w:rFonts w:eastAsiaTheme="minorEastAsia" w:cs="Arial"/>
                <w:lang w:eastAsia="en-GB"/>
              </w:rPr>
            </w:pPr>
          </w:p>
        </w:tc>
      </w:tr>
      <w:tr w:rsidR="00ED5ED2" w:rsidTr="00444786">
        <w:tc>
          <w:tcPr>
            <w:tcW w:w="1278" w:type="dxa"/>
          </w:tcPr>
          <w:p w:rsidR="00ED5ED2" w:rsidRDefault="00ED5ED2" w:rsidP="00162593">
            <w:pPr>
              <w:bidi w:val="0"/>
              <w:jc w:val="both"/>
              <w:rPr>
                <w:rFonts w:eastAsiaTheme="minorEastAsia" w:cs="Arial"/>
                <w:lang w:eastAsia="en-GB"/>
              </w:rPr>
            </w:pPr>
          </w:p>
        </w:tc>
        <w:tc>
          <w:tcPr>
            <w:tcW w:w="3240" w:type="dxa"/>
          </w:tcPr>
          <w:p w:rsidR="00ED5ED2" w:rsidRDefault="00ED5ED2" w:rsidP="00162593">
            <w:pPr>
              <w:bidi w:val="0"/>
              <w:jc w:val="both"/>
              <w:rPr>
                <w:rFonts w:eastAsiaTheme="minorEastAsia" w:cs="Arial"/>
                <w:lang w:eastAsia="en-GB"/>
              </w:rPr>
            </w:pPr>
          </w:p>
        </w:tc>
        <w:tc>
          <w:tcPr>
            <w:tcW w:w="1800" w:type="dxa"/>
          </w:tcPr>
          <w:p w:rsidR="00ED5ED2" w:rsidRDefault="00ED5ED2" w:rsidP="00162593">
            <w:pPr>
              <w:bidi w:val="0"/>
              <w:jc w:val="both"/>
              <w:rPr>
                <w:rFonts w:eastAsiaTheme="minorEastAsia" w:cs="Arial"/>
                <w:lang w:eastAsia="en-GB"/>
              </w:rPr>
            </w:pPr>
          </w:p>
        </w:tc>
        <w:tc>
          <w:tcPr>
            <w:tcW w:w="1648" w:type="dxa"/>
          </w:tcPr>
          <w:p w:rsidR="00ED5ED2" w:rsidRDefault="00ED5ED2" w:rsidP="00162593">
            <w:pPr>
              <w:bidi w:val="0"/>
              <w:jc w:val="both"/>
              <w:rPr>
                <w:rFonts w:eastAsiaTheme="minorEastAsia" w:cs="Arial"/>
                <w:lang w:eastAsia="en-GB"/>
              </w:rPr>
            </w:pPr>
          </w:p>
        </w:tc>
        <w:tc>
          <w:tcPr>
            <w:tcW w:w="1747" w:type="dxa"/>
          </w:tcPr>
          <w:p w:rsidR="00ED5ED2" w:rsidRDefault="00ED5ED2" w:rsidP="00162593">
            <w:pPr>
              <w:bidi w:val="0"/>
              <w:jc w:val="both"/>
              <w:rPr>
                <w:rFonts w:eastAsiaTheme="minorEastAsia" w:cs="Arial"/>
                <w:lang w:eastAsia="en-GB"/>
              </w:rPr>
            </w:pPr>
          </w:p>
        </w:tc>
      </w:tr>
      <w:tr w:rsidR="00ED5ED2" w:rsidTr="00444786">
        <w:tc>
          <w:tcPr>
            <w:tcW w:w="1278" w:type="dxa"/>
          </w:tcPr>
          <w:p w:rsidR="00ED5ED2" w:rsidRDefault="00ED5ED2" w:rsidP="00162593">
            <w:pPr>
              <w:bidi w:val="0"/>
              <w:jc w:val="both"/>
              <w:rPr>
                <w:rFonts w:eastAsiaTheme="minorEastAsia" w:cs="Arial"/>
                <w:lang w:eastAsia="en-GB"/>
              </w:rPr>
            </w:pPr>
          </w:p>
        </w:tc>
        <w:tc>
          <w:tcPr>
            <w:tcW w:w="3240" w:type="dxa"/>
          </w:tcPr>
          <w:p w:rsidR="00ED5ED2" w:rsidRDefault="00ED5ED2" w:rsidP="00162593">
            <w:pPr>
              <w:bidi w:val="0"/>
              <w:jc w:val="both"/>
              <w:rPr>
                <w:rFonts w:eastAsiaTheme="minorEastAsia" w:cs="Arial"/>
                <w:lang w:eastAsia="en-GB"/>
              </w:rPr>
            </w:pPr>
          </w:p>
        </w:tc>
        <w:tc>
          <w:tcPr>
            <w:tcW w:w="1800" w:type="dxa"/>
          </w:tcPr>
          <w:p w:rsidR="00ED5ED2" w:rsidRDefault="00ED5ED2" w:rsidP="00162593">
            <w:pPr>
              <w:bidi w:val="0"/>
              <w:jc w:val="both"/>
              <w:rPr>
                <w:rFonts w:eastAsiaTheme="minorEastAsia" w:cs="Arial"/>
                <w:lang w:eastAsia="en-GB"/>
              </w:rPr>
            </w:pPr>
          </w:p>
        </w:tc>
        <w:tc>
          <w:tcPr>
            <w:tcW w:w="1648" w:type="dxa"/>
          </w:tcPr>
          <w:p w:rsidR="00ED5ED2" w:rsidRDefault="00ED5ED2" w:rsidP="00162593">
            <w:pPr>
              <w:bidi w:val="0"/>
              <w:jc w:val="both"/>
              <w:rPr>
                <w:rFonts w:eastAsiaTheme="minorEastAsia" w:cs="Arial"/>
                <w:lang w:eastAsia="en-GB"/>
              </w:rPr>
            </w:pPr>
          </w:p>
        </w:tc>
        <w:tc>
          <w:tcPr>
            <w:tcW w:w="1747" w:type="dxa"/>
          </w:tcPr>
          <w:p w:rsidR="00ED5ED2" w:rsidRDefault="00ED5ED2" w:rsidP="00162593">
            <w:pPr>
              <w:bidi w:val="0"/>
              <w:jc w:val="both"/>
              <w:rPr>
                <w:rFonts w:eastAsiaTheme="minorEastAsia" w:cs="Arial"/>
                <w:lang w:eastAsia="en-GB"/>
              </w:rPr>
            </w:pPr>
          </w:p>
        </w:tc>
      </w:tr>
      <w:tr w:rsidR="00ED5ED2" w:rsidTr="00444786">
        <w:tc>
          <w:tcPr>
            <w:tcW w:w="1278" w:type="dxa"/>
          </w:tcPr>
          <w:p w:rsidR="00ED5ED2" w:rsidRDefault="00ED5ED2" w:rsidP="00162593">
            <w:pPr>
              <w:bidi w:val="0"/>
              <w:jc w:val="both"/>
              <w:rPr>
                <w:rFonts w:eastAsiaTheme="minorEastAsia" w:cs="Arial"/>
                <w:lang w:eastAsia="en-GB"/>
              </w:rPr>
            </w:pPr>
          </w:p>
        </w:tc>
        <w:tc>
          <w:tcPr>
            <w:tcW w:w="3240" w:type="dxa"/>
          </w:tcPr>
          <w:p w:rsidR="00ED5ED2" w:rsidRDefault="00ED5ED2" w:rsidP="00162593">
            <w:pPr>
              <w:bidi w:val="0"/>
              <w:jc w:val="both"/>
              <w:rPr>
                <w:rFonts w:eastAsiaTheme="minorEastAsia" w:cs="Arial"/>
                <w:lang w:eastAsia="en-GB"/>
              </w:rPr>
            </w:pPr>
          </w:p>
        </w:tc>
        <w:tc>
          <w:tcPr>
            <w:tcW w:w="1800" w:type="dxa"/>
          </w:tcPr>
          <w:p w:rsidR="00ED5ED2" w:rsidRDefault="00ED5ED2" w:rsidP="00162593">
            <w:pPr>
              <w:bidi w:val="0"/>
              <w:jc w:val="both"/>
              <w:rPr>
                <w:rFonts w:eastAsiaTheme="minorEastAsia" w:cs="Arial"/>
                <w:lang w:eastAsia="en-GB"/>
              </w:rPr>
            </w:pPr>
          </w:p>
        </w:tc>
        <w:tc>
          <w:tcPr>
            <w:tcW w:w="1648" w:type="dxa"/>
          </w:tcPr>
          <w:p w:rsidR="00ED5ED2" w:rsidRDefault="00ED5ED2" w:rsidP="00162593">
            <w:pPr>
              <w:bidi w:val="0"/>
              <w:jc w:val="both"/>
              <w:rPr>
                <w:rFonts w:eastAsiaTheme="minorEastAsia" w:cs="Arial"/>
                <w:lang w:eastAsia="en-GB"/>
              </w:rPr>
            </w:pPr>
          </w:p>
        </w:tc>
        <w:tc>
          <w:tcPr>
            <w:tcW w:w="1747" w:type="dxa"/>
          </w:tcPr>
          <w:p w:rsidR="00ED5ED2" w:rsidRDefault="00ED5ED2" w:rsidP="00162593">
            <w:pPr>
              <w:bidi w:val="0"/>
              <w:jc w:val="both"/>
              <w:rPr>
                <w:rFonts w:eastAsiaTheme="minorEastAsia" w:cs="Arial"/>
                <w:lang w:eastAsia="en-GB"/>
              </w:rPr>
            </w:pPr>
          </w:p>
        </w:tc>
      </w:tr>
    </w:tbl>
    <w:p w:rsidR="00162593" w:rsidRDefault="00162593" w:rsidP="00162593">
      <w:pPr>
        <w:bidi w:val="0"/>
        <w:spacing w:after="0" w:line="240" w:lineRule="auto"/>
        <w:jc w:val="both"/>
        <w:rPr>
          <w:rFonts w:eastAsiaTheme="minorEastAsia" w:cs="Arial"/>
          <w:lang w:eastAsia="en-GB"/>
        </w:rPr>
      </w:pPr>
    </w:p>
    <w:tbl>
      <w:tblPr>
        <w:tblStyle w:val="TableGrid"/>
        <w:tblW w:w="0" w:type="auto"/>
        <w:tblLook w:val="04A0" w:firstRow="1" w:lastRow="0" w:firstColumn="1" w:lastColumn="0" w:noHBand="0" w:noVBand="1"/>
      </w:tblPr>
      <w:tblGrid>
        <w:gridCol w:w="7755"/>
        <w:gridCol w:w="1732"/>
      </w:tblGrid>
      <w:tr w:rsidR="00D83E2E" w:rsidTr="00D83E2E">
        <w:tc>
          <w:tcPr>
            <w:tcW w:w="7938" w:type="dxa"/>
          </w:tcPr>
          <w:p w:rsidR="00D83E2E" w:rsidRPr="00D83E2E" w:rsidRDefault="00D83E2E" w:rsidP="00D83E2E">
            <w:pPr>
              <w:bidi w:val="0"/>
              <w:jc w:val="both"/>
              <w:rPr>
                <w:rFonts w:eastAsiaTheme="minorEastAsia" w:cs="Arial"/>
                <w:b/>
                <w:lang w:eastAsia="en-GB"/>
              </w:rPr>
            </w:pPr>
            <w:r w:rsidRPr="00D83E2E">
              <w:rPr>
                <w:rFonts w:eastAsiaTheme="minorEastAsia" w:cs="Arial"/>
                <w:b/>
                <w:lang w:eastAsia="en-GB"/>
              </w:rPr>
              <w:t>Anticipated balance left in project budget after meeting all contractual obligations as of 10 April 2015</w:t>
            </w:r>
          </w:p>
        </w:tc>
        <w:tc>
          <w:tcPr>
            <w:tcW w:w="1775" w:type="dxa"/>
          </w:tcPr>
          <w:p w:rsidR="00D83E2E" w:rsidRDefault="00D83E2E" w:rsidP="00D83E2E">
            <w:pPr>
              <w:bidi w:val="0"/>
              <w:jc w:val="both"/>
              <w:rPr>
                <w:rFonts w:eastAsiaTheme="minorEastAsia" w:cs="Arial"/>
                <w:lang w:eastAsia="en-GB"/>
              </w:rPr>
            </w:pPr>
          </w:p>
        </w:tc>
      </w:tr>
    </w:tbl>
    <w:p w:rsidR="00D83E2E" w:rsidRPr="00937EBB" w:rsidRDefault="00D83E2E" w:rsidP="009809C0">
      <w:pPr>
        <w:bidi w:val="0"/>
        <w:spacing w:after="0" w:line="240" w:lineRule="auto"/>
        <w:jc w:val="both"/>
        <w:rPr>
          <w:rFonts w:eastAsiaTheme="minorEastAsia" w:cs="Arial"/>
          <w:lang w:eastAsia="en-GB"/>
        </w:rPr>
      </w:pPr>
    </w:p>
    <w:sectPr w:rsidR="00D83E2E" w:rsidRPr="00937EBB" w:rsidSect="000C0AE6">
      <w:footerReference w:type="default" r:id="rId10"/>
      <w:pgSz w:w="11906" w:h="16838"/>
      <w:pgMar w:top="1440"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9B" w:rsidRDefault="00E0549B" w:rsidP="004407A0">
      <w:pPr>
        <w:spacing w:after="0" w:line="240" w:lineRule="auto"/>
      </w:pPr>
      <w:r>
        <w:separator/>
      </w:r>
    </w:p>
  </w:endnote>
  <w:endnote w:type="continuationSeparator" w:id="0">
    <w:p w:rsidR="00E0549B" w:rsidRDefault="00E0549B" w:rsidP="0044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250473"/>
      <w:docPartObj>
        <w:docPartGallery w:val="Page Numbers (Bottom of Page)"/>
        <w:docPartUnique/>
      </w:docPartObj>
    </w:sdtPr>
    <w:sdtEndPr>
      <w:rPr>
        <w:noProof/>
      </w:rPr>
    </w:sdtEndPr>
    <w:sdtContent>
      <w:p w:rsidR="009B5F8D" w:rsidRDefault="009B5F8D">
        <w:pPr>
          <w:pStyle w:val="Footer"/>
          <w:jc w:val="center"/>
        </w:pPr>
        <w:r>
          <w:fldChar w:fldCharType="begin"/>
        </w:r>
        <w:r>
          <w:instrText xml:space="preserve"> PAGE   \* MERGEFORMAT </w:instrText>
        </w:r>
        <w:r>
          <w:fldChar w:fldCharType="separate"/>
        </w:r>
        <w:r w:rsidR="00AE5D41">
          <w:rPr>
            <w:noProof/>
            <w:rtl/>
          </w:rPr>
          <w:t>6</w:t>
        </w:r>
        <w:r>
          <w:rPr>
            <w:noProof/>
          </w:rPr>
          <w:fldChar w:fldCharType="end"/>
        </w:r>
      </w:p>
    </w:sdtContent>
  </w:sdt>
  <w:p w:rsidR="009B5F8D" w:rsidRDefault="009B5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9B" w:rsidRDefault="00E0549B" w:rsidP="004407A0">
      <w:pPr>
        <w:spacing w:after="0" w:line="240" w:lineRule="auto"/>
      </w:pPr>
      <w:r>
        <w:separator/>
      </w:r>
    </w:p>
  </w:footnote>
  <w:footnote w:type="continuationSeparator" w:id="0">
    <w:p w:rsidR="00E0549B" w:rsidRDefault="00E0549B" w:rsidP="00440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D6F"/>
    <w:multiLevelType w:val="hybridMultilevel"/>
    <w:tmpl w:val="5872809A"/>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7CB"/>
    <w:multiLevelType w:val="hybridMultilevel"/>
    <w:tmpl w:val="9CC2434A"/>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317B3"/>
    <w:multiLevelType w:val="hybridMultilevel"/>
    <w:tmpl w:val="AAA27CA0"/>
    <w:lvl w:ilvl="0" w:tplc="B9CE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80652"/>
    <w:multiLevelType w:val="hybridMultilevel"/>
    <w:tmpl w:val="46D824C0"/>
    <w:lvl w:ilvl="0" w:tplc="B9CE92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73BC6"/>
    <w:multiLevelType w:val="hybridMultilevel"/>
    <w:tmpl w:val="CBD6528A"/>
    <w:lvl w:ilvl="0" w:tplc="C616B7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5D3A"/>
    <w:multiLevelType w:val="hybridMultilevel"/>
    <w:tmpl w:val="74F45504"/>
    <w:lvl w:ilvl="0" w:tplc="6B40D54E">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03EA4"/>
    <w:multiLevelType w:val="hybridMultilevel"/>
    <w:tmpl w:val="9ED6F6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FBA7C2D"/>
    <w:multiLevelType w:val="hybridMultilevel"/>
    <w:tmpl w:val="53DCAEB6"/>
    <w:lvl w:ilvl="0" w:tplc="6B40D54E">
      <w:start w:val="3"/>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93888"/>
    <w:multiLevelType w:val="hybridMultilevel"/>
    <w:tmpl w:val="98462E64"/>
    <w:lvl w:ilvl="0" w:tplc="370C1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647A4"/>
    <w:multiLevelType w:val="hybridMultilevel"/>
    <w:tmpl w:val="1E7CE1AA"/>
    <w:lvl w:ilvl="0" w:tplc="9E68735E">
      <w:numFmt w:val="bullet"/>
      <w:lvlText w:val="-"/>
      <w:lvlJc w:val="left"/>
      <w:pPr>
        <w:ind w:left="720" w:hanging="360"/>
      </w:pPr>
      <w:rPr>
        <w:rFonts w:ascii="Calibri" w:eastAsiaTheme="minorHAnsi" w:hAnsi="Calibri"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86A20AE"/>
    <w:multiLevelType w:val="hybridMultilevel"/>
    <w:tmpl w:val="01CC6D54"/>
    <w:lvl w:ilvl="0" w:tplc="D3E6998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8372D"/>
    <w:multiLevelType w:val="hybridMultilevel"/>
    <w:tmpl w:val="E25EE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F2CB2"/>
    <w:multiLevelType w:val="hybridMultilevel"/>
    <w:tmpl w:val="C7E68130"/>
    <w:lvl w:ilvl="0" w:tplc="A998D6C4">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70E9F"/>
    <w:multiLevelType w:val="hybridMultilevel"/>
    <w:tmpl w:val="14660A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65E7B9B"/>
    <w:multiLevelType w:val="hybridMultilevel"/>
    <w:tmpl w:val="5E0687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A321115"/>
    <w:multiLevelType w:val="hybridMultilevel"/>
    <w:tmpl w:val="FD36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
  </w:num>
  <w:num w:numId="4">
    <w:abstractNumId w:val="0"/>
  </w:num>
  <w:num w:numId="5">
    <w:abstractNumId w:val="10"/>
  </w:num>
  <w:num w:numId="6">
    <w:abstractNumId w:val="6"/>
  </w:num>
  <w:num w:numId="7">
    <w:abstractNumId w:val="12"/>
  </w:num>
  <w:num w:numId="8">
    <w:abstractNumId w:val="1"/>
  </w:num>
  <w:num w:numId="9">
    <w:abstractNumId w:val="7"/>
  </w:num>
  <w:num w:numId="10">
    <w:abstractNumId w:val="5"/>
  </w:num>
  <w:num w:numId="11">
    <w:abstractNumId w:val="3"/>
  </w:num>
  <w:num w:numId="12">
    <w:abstractNumId w:val="8"/>
  </w:num>
  <w:num w:numId="13">
    <w:abstractNumId w:val="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14"/>
    <w:rsid w:val="0003252D"/>
    <w:rsid w:val="00037B9E"/>
    <w:rsid w:val="0004659B"/>
    <w:rsid w:val="000638BB"/>
    <w:rsid w:val="00080EF2"/>
    <w:rsid w:val="000936DF"/>
    <w:rsid w:val="00095B11"/>
    <w:rsid w:val="000A7B96"/>
    <w:rsid w:val="000A7F0E"/>
    <w:rsid w:val="000C0AE6"/>
    <w:rsid w:val="000C6B49"/>
    <w:rsid w:val="000D11C4"/>
    <w:rsid w:val="000D29CF"/>
    <w:rsid w:val="000D3463"/>
    <w:rsid w:val="000D3E55"/>
    <w:rsid w:val="000D752A"/>
    <w:rsid w:val="000E2415"/>
    <w:rsid w:val="000F458B"/>
    <w:rsid w:val="00117055"/>
    <w:rsid w:val="00122C88"/>
    <w:rsid w:val="00124CB3"/>
    <w:rsid w:val="001302FB"/>
    <w:rsid w:val="00132BE8"/>
    <w:rsid w:val="001350D7"/>
    <w:rsid w:val="0013727F"/>
    <w:rsid w:val="00137284"/>
    <w:rsid w:val="001445A3"/>
    <w:rsid w:val="00147988"/>
    <w:rsid w:val="00162593"/>
    <w:rsid w:val="00183DC0"/>
    <w:rsid w:val="001A0E97"/>
    <w:rsid w:val="001A1D45"/>
    <w:rsid w:val="001A27EA"/>
    <w:rsid w:val="001A2823"/>
    <w:rsid w:val="001B3646"/>
    <w:rsid w:val="001B6C83"/>
    <w:rsid w:val="001D0ADA"/>
    <w:rsid w:val="001F06B5"/>
    <w:rsid w:val="001F4A44"/>
    <w:rsid w:val="00204E84"/>
    <w:rsid w:val="00223BA5"/>
    <w:rsid w:val="00231A6A"/>
    <w:rsid w:val="00234C09"/>
    <w:rsid w:val="00240459"/>
    <w:rsid w:val="00243857"/>
    <w:rsid w:val="002832EE"/>
    <w:rsid w:val="002B2E47"/>
    <w:rsid w:val="002B6509"/>
    <w:rsid w:val="002C08F6"/>
    <w:rsid w:val="002C2224"/>
    <w:rsid w:val="002D40FE"/>
    <w:rsid w:val="002E34F1"/>
    <w:rsid w:val="00300D7F"/>
    <w:rsid w:val="00346EC4"/>
    <w:rsid w:val="0035660B"/>
    <w:rsid w:val="00366ACA"/>
    <w:rsid w:val="003741D0"/>
    <w:rsid w:val="0038387F"/>
    <w:rsid w:val="003A3565"/>
    <w:rsid w:val="003A5A3E"/>
    <w:rsid w:val="003A6D8C"/>
    <w:rsid w:val="003B2F14"/>
    <w:rsid w:val="003B5F5F"/>
    <w:rsid w:val="003C076B"/>
    <w:rsid w:val="003C3D47"/>
    <w:rsid w:val="003E4CA3"/>
    <w:rsid w:val="003E5FCA"/>
    <w:rsid w:val="00401346"/>
    <w:rsid w:val="00407CF4"/>
    <w:rsid w:val="00413DBA"/>
    <w:rsid w:val="00424D74"/>
    <w:rsid w:val="004407A0"/>
    <w:rsid w:val="00444786"/>
    <w:rsid w:val="00444DF7"/>
    <w:rsid w:val="00445FAF"/>
    <w:rsid w:val="00450D6A"/>
    <w:rsid w:val="004522A8"/>
    <w:rsid w:val="00474D8D"/>
    <w:rsid w:val="00482D57"/>
    <w:rsid w:val="00486E37"/>
    <w:rsid w:val="00491240"/>
    <w:rsid w:val="00491714"/>
    <w:rsid w:val="00492FDD"/>
    <w:rsid w:val="0049366C"/>
    <w:rsid w:val="004A3D42"/>
    <w:rsid w:val="004A5DD3"/>
    <w:rsid w:val="004B2A94"/>
    <w:rsid w:val="004C1B22"/>
    <w:rsid w:val="004C6D33"/>
    <w:rsid w:val="004D5AE9"/>
    <w:rsid w:val="004E70E8"/>
    <w:rsid w:val="004E75BB"/>
    <w:rsid w:val="004F7CDE"/>
    <w:rsid w:val="005022BC"/>
    <w:rsid w:val="00502AFF"/>
    <w:rsid w:val="0050310D"/>
    <w:rsid w:val="00512D03"/>
    <w:rsid w:val="00517FB5"/>
    <w:rsid w:val="00527139"/>
    <w:rsid w:val="0053393A"/>
    <w:rsid w:val="005563E0"/>
    <w:rsid w:val="00564871"/>
    <w:rsid w:val="00572C6F"/>
    <w:rsid w:val="00574343"/>
    <w:rsid w:val="00574624"/>
    <w:rsid w:val="00583D5D"/>
    <w:rsid w:val="0058535E"/>
    <w:rsid w:val="005A34A1"/>
    <w:rsid w:val="005B16A5"/>
    <w:rsid w:val="005B772E"/>
    <w:rsid w:val="005C3F18"/>
    <w:rsid w:val="005C55A0"/>
    <w:rsid w:val="005D1A2F"/>
    <w:rsid w:val="005D5A3F"/>
    <w:rsid w:val="005F5F7D"/>
    <w:rsid w:val="00602C63"/>
    <w:rsid w:val="006317EE"/>
    <w:rsid w:val="00632764"/>
    <w:rsid w:val="00650007"/>
    <w:rsid w:val="00657806"/>
    <w:rsid w:val="00663F59"/>
    <w:rsid w:val="006775CB"/>
    <w:rsid w:val="006812BA"/>
    <w:rsid w:val="006866AF"/>
    <w:rsid w:val="006A485C"/>
    <w:rsid w:val="006C2267"/>
    <w:rsid w:val="006C6E1F"/>
    <w:rsid w:val="006D02D8"/>
    <w:rsid w:val="006E45E4"/>
    <w:rsid w:val="006F10F2"/>
    <w:rsid w:val="006F2FBA"/>
    <w:rsid w:val="006F360E"/>
    <w:rsid w:val="006F4DFF"/>
    <w:rsid w:val="006F64CD"/>
    <w:rsid w:val="007038A6"/>
    <w:rsid w:val="007176D8"/>
    <w:rsid w:val="00750757"/>
    <w:rsid w:val="00751104"/>
    <w:rsid w:val="00776CC5"/>
    <w:rsid w:val="007910E5"/>
    <w:rsid w:val="007A13DF"/>
    <w:rsid w:val="007C36DF"/>
    <w:rsid w:val="007D0BD8"/>
    <w:rsid w:val="008007A5"/>
    <w:rsid w:val="008046B5"/>
    <w:rsid w:val="008064A5"/>
    <w:rsid w:val="008241F3"/>
    <w:rsid w:val="00830187"/>
    <w:rsid w:val="0083304C"/>
    <w:rsid w:val="008379EA"/>
    <w:rsid w:val="0084293A"/>
    <w:rsid w:val="0084333D"/>
    <w:rsid w:val="008626F7"/>
    <w:rsid w:val="00862B30"/>
    <w:rsid w:val="00876B12"/>
    <w:rsid w:val="00877EA2"/>
    <w:rsid w:val="00880B61"/>
    <w:rsid w:val="00881241"/>
    <w:rsid w:val="0088200D"/>
    <w:rsid w:val="00894BEC"/>
    <w:rsid w:val="00895748"/>
    <w:rsid w:val="00897ABC"/>
    <w:rsid w:val="008A2DD7"/>
    <w:rsid w:val="008B7F9C"/>
    <w:rsid w:val="008E43A4"/>
    <w:rsid w:val="008E6681"/>
    <w:rsid w:val="008E66C4"/>
    <w:rsid w:val="008F0AEF"/>
    <w:rsid w:val="00901997"/>
    <w:rsid w:val="00906D7A"/>
    <w:rsid w:val="00912086"/>
    <w:rsid w:val="00916574"/>
    <w:rsid w:val="00931491"/>
    <w:rsid w:val="00931A56"/>
    <w:rsid w:val="00937EBB"/>
    <w:rsid w:val="00952426"/>
    <w:rsid w:val="00952C06"/>
    <w:rsid w:val="00956808"/>
    <w:rsid w:val="0096134F"/>
    <w:rsid w:val="00974828"/>
    <w:rsid w:val="00977054"/>
    <w:rsid w:val="009809C0"/>
    <w:rsid w:val="0099255A"/>
    <w:rsid w:val="009B5F8D"/>
    <w:rsid w:val="009C431A"/>
    <w:rsid w:val="009D3F44"/>
    <w:rsid w:val="009E06CC"/>
    <w:rsid w:val="009F398A"/>
    <w:rsid w:val="009F4388"/>
    <w:rsid w:val="00A165B9"/>
    <w:rsid w:val="00A2244B"/>
    <w:rsid w:val="00A225FB"/>
    <w:rsid w:val="00A30929"/>
    <w:rsid w:val="00A41DBC"/>
    <w:rsid w:val="00A43AB7"/>
    <w:rsid w:val="00A52EE8"/>
    <w:rsid w:val="00A74F92"/>
    <w:rsid w:val="00A8019A"/>
    <w:rsid w:val="00A81362"/>
    <w:rsid w:val="00A86DDD"/>
    <w:rsid w:val="00AD1C1B"/>
    <w:rsid w:val="00AE3316"/>
    <w:rsid w:val="00AE3877"/>
    <w:rsid w:val="00AE5D41"/>
    <w:rsid w:val="00AF173C"/>
    <w:rsid w:val="00B11C4B"/>
    <w:rsid w:val="00B20ED2"/>
    <w:rsid w:val="00B22C59"/>
    <w:rsid w:val="00B360A4"/>
    <w:rsid w:val="00B36AFA"/>
    <w:rsid w:val="00B47406"/>
    <w:rsid w:val="00B626E7"/>
    <w:rsid w:val="00B653CC"/>
    <w:rsid w:val="00B74617"/>
    <w:rsid w:val="00B96895"/>
    <w:rsid w:val="00BA3654"/>
    <w:rsid w:val="00BB5338"/>
    <w:rsid w:val="00BC581C"/>
    <w:rsid w:val="00BC7A5C"/>
    <w:rsid w:val="00BD305A"/>
    <w:rsid w:val="00BD4687"/>
    <w:rsid w:val="00C00B67"/>
    <w:rsid w:val="00C06412"/>
    <w:rsid w:val="00C133CA"/>
    <w:rsid w:val="00C3393B"/>
    <w:rsid w:val="00C44E00"/>
    <w:rsid w:val="00C469C9"/>
    <w:rsid w:val="00C5298B"/>
    <w:rsid w:val="00C66876"/>
    <w:rsid w:val="00C739EA"/>
    <w:rsid w:val="00CA086A"/>
    <w:rsid w:val="00CB39A3"/>
    <w:rsid w:val="00CB7DB0"/>
    <w:rsid w:val="00CC6A67"/>
    <w:rsid w:val="00CD02BC"/>
    <w:rsid w:val="00CD1D60"/>
    <w:rsid w:val="00CD2013"/>
    <w:rsid w:val="00CD2C23"/>
    <w:rsid w:val="00CD42D6"/>
    <w:rsid w:val="00CD7144"/>
    <w:rsid w:val="00CE57CF"/>
    <w:rsid w:val="00D15E3C"/>
    <w:rsid w:val="00D25639"/>
    <w:rsid w:val="00D35B8B"/>
    <w:rsid w:val="00D43385"/>
    <w:rsid w:val="00D52B21"/>
    <w:rsid w:val="00D53B3D"/>
    <w:rsid w:val="00D65A7F"/>
    <w:rsid w:val="00D661D7"/>
    <w:rsid w:val="00D729BE"/>
    <w:rsid w:val="00D83E2E"/>
    <w:rsid w:val="00D84462"/>
    <w:rsid w:val="00D94B94"/>
    <w:rsid w:val="00D96699"/>
    <w:rsid w:val="00DA57D5"/>
    <w:rsid w:val="00DE5074"/>
    <w:rsid w:val="00DE5A55"/>
    <w:rsid w:val="00DF5110"/>
    <w:rsid w:val="00E0549B"/>
    <w:rsid w:val="00E05A9B"/>
    <w:rsid w:val="00E0692F"/>
    <w:rsid w:val="00E20C4D"/>
    <w:rsid w:val="00E21434"/>
    <w:rsid w:val="00E24F53"/>
    <w:rsid w:val="00E26C87"/>
    <w:rsid w:val="00E60025"/>
    <w:rsid w:val="00E67C13"/>
    <w:rsid w:val="00E72B83"/>
    <w:rsid w:val="00E87501"/>
    <w:rsid w:val="00E962D2"/>
    <w:rsid w:val="00EA715E"/>
    <w:rsid w:val="00EC6A2E"/>
    <w:rsid w:val="00ED100D"/>
    <w:rsid w:val="00ED5ED2"/>
    <w:rsid w:val="00ED61BD"/>
    <w:rsid w:val="00EE3D87"/>
    <w:rsid w:val="00F00955"/>
    <w:rsid w:val="00F03C6E"/>
    <w:rsid w:val="00F07599"/>
    <w:rsid w:val="00F10B8E"/>
    <w:rsid w:val="00F1216D"/>
    <w:rsid w:val="00F1385F"/>
    <w:rsid w:val="00F14833"/>
    <w:rsid w:val="00F23D80"/>
    <w:rsid w:val="00F256F3"/>
    <w:rsid w:val="00F26B58"/>
    <w:rsid w:val="00F270F2"/>
    <w:rsid w:val="00F37E4C"/>
    <w:rsid w:val="00F46BF7"/>
    <w:rsid w:val="00F471C4"/>
    <w:rsid w:val="00F47572"/>
    <w:rsid w:val="00F52250"/>
    <w:rsid w:val="00F5405D"/>
    <w:rsid w:val="00F54EB0"/>
    <w:rsid w:val="00F57B06"/>
    <w:rsid w:val="00F62CB4"/>
    <w:rsid w:val="00F64560"/>
    <w:rsid w:val="00F9108B"/>
    <w:rsid w:val="00F94557"/>
    <w:rsid w:val="00F966DC"/>
    <w:rsid w:val="00FA1D40"/>
    <w:rsid w:val="00FA236E"/>
    <w:rsid w:val="00FA72C3"/>
    <w:rsid w:val="00FC2F22"/>
    <w:rsid w:val="00FE0B7F"/>
    <w:rsid w:val="00FE5949"/>
    <w:rsid w:val="00FF0FF1"/>
    <w:rsid w:val="00FF53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0CDC-1276-438E-9E06-F200C472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ADB,single space"/>
    <w:basedOn w:val="Normal"/>
    <w:link w:val="FootnoteTextChar"/>
    <w:rsid w:val="004407A0"/>
    <w:pPr>
      <w:widowControl w:val="0"/>
      <w:bidi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aliases w:val="ft Char,ADB Char,single space Char"/>
    <w:basedOn w:val="DefaultParagraphFont"/>
    <w:link w:val="FootnoteText"/>
    <w:rsid w:val="004407A0"/>
    <w:rPr>
      <w:rFonts w:ascii="Times New Roman" w:eastAsia="Times New Roman" w:hAnsi="Times New Roman" w:cs="Times New Roman"/>
      <w:snapToGrid w:val="0"/>
      <w:sz w:val="20"/>
      <w:szCs w:val="20"/>
      <w:lang w:val="en-GB"/>
    </w:rPr>
  </w:style>
  <w:style w:type="character" w:styleId="FootnoteReference">
    <w:name w:val="footnote reference"/>
    <w:rsid w:val="004407A0"/>
    <w:rPr>
      <w:vertAlign w:val="superscript"/>
    </w:rPr>
  </w:style>
  <w:style w:type="character" w:styleId="Hyperlink">
    <w:name w:val="Hyperlink"/>
    <w:uiPriority w:val="99"/>
    <w:unhideWhenUsed/>
    <w:rsid w:val="004407A0"/>
    <w:rPr>
      <w:color w:val="0000FF"/>
      <w:u w:val="single"/>
    </w:rPr>
  </w:style>
  <w:style w:type="paragraph" w:styleId="BalloonText">
    <w:name w:val="Balloon Text"/>
    <w:basedOn w:val="Normal"/>
    <w:link w:val="BalloonTextChar"/>
    <w:uiPriority w:val="99"/>
    <w:semiHidden/>
    <w:unhideWhenUsed/>
    <w:rsid w:val="0044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A0"/>
    <w:rPr>
      <w:rFonts w:ascii="Tahoma" w:hAnsi="Tahoma" w:cs="Tahoma"/>
      <w:sz w:val="16"/>
      <w:szCs w:val="16"/>
    </w:rPr>
  </w:style>
  <w:style w:type="paragraph" w:styleId="ListParagraph">
    <w:name w:val="List Paragraph"/>
    <w:basedOn w:val="Normal"/>
    <w:link w:val="ListParagraphChar"/>
    <w:uiPriority w:val="34"/>
    <w:qFormat/>
    <w:rsid w:val="008E66C4"/>
    <w:pPr>
      <w:bidi w:val="0"/>
      <w:ind w:left="720"/>
      <w:contextualSpacing/>
    </w:pPr>
  </w:style>
  <w:style w:type="character" w:customStyle="1" w:styleId="ListParagraphChar">
    <w:name w:val="List Paragraph Char"/>
    <w:link w:val="ListParagraph"/>
    <w:uiPriority w:val="99"/>
    <w:locked/>
    <w:rsid w:val="008E66C4"/>
  </w:style>
  <w:style w:type="paragraph" w:styleId="PlainText">
    <w:name w:val="Plain Text"/>
    <w:basedOn w:val="Normal"/>
    <w:link w:val="PlainTextChar"/>
    <w:uiPriority w:val="99"/>
    <w:unhideWhenUsed/>
    <w:rsid w:val="0084293A"/>
    <w:pPr>
      <w:bidi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93A"/>
    <w:rPr>
      <w:rFonts w:ascii="Calibri" w:hAnsi="Calibri"/>
      <w:szCs w:val="21"/>
    </w:rPr>
  </w:style>
  <w:style w:type="table" w:customStyle="1" w:styleId="TableGrid2">
    <w:name w:val="Table Grid2"/>
    <w:basedOn w:val="TableNormal"/>
    <w:next w:val="TableGrid"/>
    <w:uiPriority w:val="5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B96"/>
  </w:style>
  <w:style w:type="paragraph" w:styleId="Footer">
    <w:name w:val="footer"/>
    <w:basedOn w:val="Normal"/>
    <w:link w:val="FooterChar"/>
    <w:uiPriority w:val="99"/>
    <w:unhideWhenUsed/>
    <w:rsid w:val="000A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B96"/>
  </w:style>
  <w:style w:type="paragraph" w:customStyle="1" w:styleId="Default">
    <w:name w:val="Default"/>
    <w:rsid w:val="00D9669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37EBB"/>
    <w:rPr>
      <w:sz w:val="16"/>
      <w:szCs w:val="16"/>
    </w:rPr>
  </w:style>
  <w:style w:type="paragraph" w:styleId="CommentText">
    <w:name w:val="annotation text"/>
    <w:basedOn w:val="Normal"/>
    <w:link w:val="CommentTextChar"/>
    <w:uiPriority w:val="99"/>
    <w:semiHidden/>
    <w:unhideWhenUsed/>
    <w:rsid w:val="00937EBB"/>
    <w:pPr>
      <w:spacing w:line="240" w:lineRule="auto"/>
    </w:pPr>
    <w:rPr>
      <w:sz w:val="20"/>
      <w:szCs w:val="20"/>
    </w:rPr>
  </w:style>
  <w:style w:type="character" w:customStyle="1" w:styleId="CommentTextChar">
    <w:name w:val="Comment Text Char"/>
    <w:basedOn w:val="DefaultParagraphFont"/>
    <w:link w:val="CommentText"/>
    <w:uiPriority w:val="99"/>
    <w:semiHidden/>
    <w:rsid w:val="00937EBB"/>
    <w:rPr>
      <w:sz w:val="20"/>
      <w:szCs w:val="20"/>
    </w:rPr>
  </w:style>
  <w:style w:type="paragraph" w:styleId="CommentSubject">
    <w:name w:val="annotation subject"/>
    <w:basedOn w:val="CommentText"/>
    <w:next w:val="CommentText"/>
    <w:link w:val="CommentSubjectChar"/>
    <w:uiPriority w:val="99"/>
    <w:semiHidden/>
    <w:unhideWhenUsed/>
    <w:rsid w:val="00937EBB"/>
    <w:rPr>
      <w:b/>
      <w:bCs/>
    </w:rPr>
  </w:style>
  <w:style w:type="character" w:customStyle="1" w:styleId="CommentSubjectChar">
    <w:name w:val="Comment Subject Char"/>
    <w:basedOn w:val="CommentTextChar"/>
    <w:link w:val="CommentSubject"/>
    <w:uiPriority w:val="99"/>
    <w:semiHidden/>
    <w:rsid w:val="00937EBB"/>
    <w:rPr>
      <w:b/>
      <w:bCs/>
      <w:sz w:val="20"/>
      <w:szCs w:val="20"/>
    </w:rPr>
  </w:style>
  <w:style w:type="character" w:customStyle="1" w:styleId="apple-style-span">
    <w:name w:val="apple-style-span"/>
    <w:basedOn w:val="DefaultParagraphFont"/>
    <w:rsid w:val="0037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0C9ED-4265-44CC-ACC9-D6CE8CF9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mohammed</cp:lastModifiedBy>
  <cp:revision>3</cp:revision>
  <cp:lastPrinted>2015-03-22T11:10:00Z</cp:lastPrinted>
  <dcterms:created xsi:type="dcterms:W3CDTF">2015-09-03T17:40:00Z</dcterms:created>
  <dcterms:modified xsi:type="dcterms:W3CDTF">2015-09-04T19:15:00Z</dcterms:modified>
</cp:coreProperties>
</file>