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0" w:rsidRPr="00937EBB" w:rsidRDefault="00A165B9" w:rsidP="00F50154">
      <w:pPr>
        <w:bidi w:val="0"/>
        <w:spacing w:after="0" w:line="240" w:lineRule="auto"/>
        <w:jc w:val="both"/>
      </w:pPr>
      <w:r w:rsidRPr="00937EBB">
        <w:rPr>
          <w:rFonts w:ascii="Arial" w:hAnsi="Arial"/>
          <w:noProof/>
          <w:spacing w:val="-3"/>
          <w:sz w:val="20"/>
        </w:rPr>
        <w:drawing>
          <wp:anchor distT="0" distB="0" distL="114300" distR="114300" simplePos="0" relativeHeight="251661312" behindDoc="1" locked="0" layoutInCell="1" allowOverlap="1" wp14:anchorId="79844346" wp14:editId="6215C14D">
            <wp:simplePos x="0" y="0"/>
            <wp:positionH relativeFrom="column">
              <wp:posOffset>3921760</wp:posOffset>
            </wp:positionH>
            <wp:positionV relativeFrom="paragraph">
              <wp:posOffset>-353060</wp:posOffset>
            </wp:positionV>
            <wp:extent cx="1440180" cy="1090295"/>
            <wp:effectExtent l="19050" t="0" r="7620" b="0"/>
            <wp:wrapNone/>
            <wp:docPr id="3" name="Picture 1"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triangle"/>
                    <pic:cNvPicPr>
                      <a:picLocks noChangeAspect="1" noChangeArrowheads="1"/>
                    </pic:cNvPicPr>
                  </pic:nvPicPr>
                  <pic:blipFill>
                    <a:blip r:embed="rId8" cstate="print"/>
                    <a:srcRect/>
                    <a:stretch>
                      <a:fillRect/>
                    </a:stretch>
                  </pic:blipFill>
                  <pic:spPr bwMode="auto">
                    <a:xfrm>
                      <a:off x="0" y="0"/>
                      <a:ext cx="1440180" cy="1090295"/>
                    </a:xfrm>
                    <a:prstGeom prst="rect">
                      <a:avLst/>
                    </a:prstGeom>
                    <a:noFill/>
                    <a:ln w="9525">
                      <a:noFill/>
                      <a:miter lim="800000"/>
                      <a:headEnd/>
                      <a:tailEnd/>
                    </a:ln>
                  </pic:spPr>
                </pic:pic>
              </a:graphicData>
            </a:graphic>
          </wp:anchor>
        </w:drawing>
      </w:r>
      <w:r w:rsidR="004407A0" w:rsidRPr="00937EBB">
        <w:rPr>
          <w:rFonts w:ascii="Arial" w:hAnsi="Arial"/>
          <w:noProof/>
          <w:spacing w:val="-3"/>
          <w:sz w:val="20"/>
        </w:rPr>
        <w:drawing>
          <wp:inline distT="0" distB="0" distL="0" distR="0" wp14:anchorId="77A594E4" wp14:editId="264DDA94">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p>
    <w:p w:rsidR="004407A0" w:rsidRPr="00937EBB" w:rsidRDefault="004407A0" w:rsidP="00F50154">
      <w:pPr>
        <w:bidi w:val="0"/>
        <w:spacing w:after="0" w:line="240" w:lineRule="auto"/>
        <w:jc w:val="both"/>
        <w:rPr>
          <w:lang w:bidi="ar-YE"/>
        </w:rPr>
      </w:pPr>
    </w:p>
    <w:p w:rsidR="0049366C" w:rsidRPr="00937EBB" w:rsidRDefault="00A165B9" w:rsidP="00C114D6">
      <w:pPr>
        <w:bidi w:val="0"/>
        <w:spacing w:after="0" w:line="240" w:lineRule="auto"/>
        <w:jc w:val="center"/>
        <w:rPr>
          <w:rFonts w:ascii="Calibri" w:hAnsi="Calibri" w:cs="Arial"/>
          <w:b/>
          <w:sz w:val="28"/>
        </w:rPr>
      </w:pPr>
      <w:r w:rsidRPr="00937EBB">
        <w:rPr>
          <w:rFonts w:ascii="Calibri" w:hAnsi="Calibri" w:cs="Arial"/>
          <w:b/>
          <w:sz w:val="28"/>
        </w:rPr>
        <w:t>PEACEBUILDING FUND</w:t>
      </w:r>
    </w:p>
    <w:p w:rsidR="00B626E7" w:rsidRPr="00937EBB" w:rsidRDefault="00C114D6" w:rsidP="00C114D6">
      <w:pPr>
        <w:bidi w:val="0"/>
        <w:spacing w:after="0" w:line="240" w:lineRule="auto"/>
        <w:jc w:val="center"/>
        <w:rPr>
          <w:rFonts w:ascii="Calibri" w:hAnsi="Calibri" w:cs="Arial"/>
          <w:b/>
          <w:sz w:val="28"/>
        </w:rPr>
      </w:pPr>
      <w:r>
        <w:rPr>
          <w:rFonts w:ascii="Calibri" w:hAnsi="Calibri" w:cs="Arial"/>
          <w:b/>
          <w:sz w:val="28"/>
        </w:rPr>
        <w:t xml:space="preserve">Mid-Year </w:t>
      </w:r>
      <w:r w:rsidRPr="00937EBB">
        <w:rPr>
          <w:rFonts w:ascii="Calibri" w:hAnsi="Calibri" w:cs="Arial"/>
          <w:b/>
          <w:sz w:val="28"/>
        </w:rPr>
        <w:t xml:space="preserve">Project Report </w:t>
      </w:r>
      <w:r w:rsidR="00937EBB" w:rsidRPr="00937EBB">
        <w:rPr>
          <w:rFonts w:ascii="Calibri" w:hAnsi="Calibri" w:cs="Arial"/>
          <w:b/>
          <w:sz w:val="28"/>
        </w:rPr>
        <w:t>(in compliance with program suspension)</w:t>
      </w:r>
    </w:p>
    <w:p w:rsidR="00D96699" w:rsidRPr="00937EBB" w:rsidRDefault="00D96699" w:rsidP="00F50154">
      <w:pPr>
        <w:bidi w:val="0"/>
        <w:spacing w:after="0" w:line="240" w:lineRule="auto"/>
        <w:jc w:val="both"/>
        <w:rPr>
          <w:b/>
          <w:bCs/>
          <w:lang w:bidi="ar-YE"/>
        </w:rPr>
      </w:pPr>
      <w:bookmarkStart w:id="0" w:name="_GoBack"/>
    </w:p>
    <w:bookmarkEnd w:id="0"/>
    <w:p w:rsidR="00D96699" w:rsidRPr="00937EBB" w:rsidRDefault="00D96699" w:rsidP="00F50154">
      <w:pPr>
        <w:bidi w:val="0"/>
        <w:spacing w:after="0" w:line="240" w:lineRule="auto"/>
        <w:jc w:val="both"/>
        <w:rPr>
          <w:lang w:bidi="ar-YE"/>
        </w:rPr>
      </w:pPr>
    </w:p>
    <w:tbl>
      <w:tblPr>
        <w:tblStyle w:val="TableGrid"/>
        <w:tblW w:w="10619" w:type="dxa"/>
        <w:tblInd w:w="-431" w:type="dxa"/>
        <w:tblLook w:val="04A0" w:firstRow="1" w:lastRow="0" w:firstColumn="1" w:lastColumn="0" w:noHBand="0" w:noVBand="1"/>
      </w:tblPr>
      <w:tblGrid>
        <w:gridCol w:w="4949"/>
        <w:gridCol w:w="5670"/>
      </w:tblGrid>
      <w:tr w:rsidR="00C00B67" w:rsidRPr="00937EBB" w:rsidTr="00C00B67">
        <w:tc>
          <w:tcPr>
            <w:tcW w:w="10619" w:type="dxa"/>
            <w:gridSpan w:val="2"/>
          </w:tcPr>
          <w:p w:rsidR="00C00B67" w:rsidRPr="003930C2" w:rsidRDefault="00C00B67" w:rsidP="00F50154">
            <w:pPr>
              <w:pStyle w:val="Default"/>
              <w:jc w:val="both"/>
              <w:rPr>
                <w:rFonts w:asciiTheme="minorHAnsi" w:hAnsiTheme="minorHAnsi" w:cstheme="minorBidi"/>
                <w:b/>
                <w:bCs/>
                <w:color w:val="auto"/>
                <w:sz w:val="22"/>
                <w:szCs w:val="22"/>
                <w:lang w:bidi="ar-YE"/>
              </w:rPr>
            </w:pPr>
            <w:r w:rsidRPr="003930C2">
              <w:rPr>
                <w:rFonts w:asciiTheme="minorHAnsi" w:hAnsiTheme="minorHAnsi" w:cstheme="minorBidi"/>
                <w:b/>
                <w:bCs/>
                <w:color w:val="auto"/>
                <w:sz w:val="22"/>
                <w:szCs w:val="22"/>
                <w:lang w:bidi="ar-YE"/>
              </w:rPr>
              <w:t>Project Title:</w:t>
            </w:r>
            <w:r w:rsidRPr="003930C2">
              <w:rPr>
                <w:rFonts w:asciiTheme="minorHAnsi" w:hAnsiTheme="minorHAnsi" w:cstheme="minorBidi"/>
                <w:color w:val="auto"/>
                <w:sz w:val="22"/>
                <w:szCs w:val="22"/>
                <w:lang w:bidi="ar-YE"/>
              </w:rPr>
              <w:t xml:space="preserve"> </w:t>
            </w:r>
            <w:r w:rsidR="004436CA" w:rsidRPr="004436CA">
              <w:rPr>
                <w:rFonts w:asciiTheme="minorHAnsi" w:hAnsiTheme="minorHAnsi" w:cstheme="minorBidi"/>
                <w:color w:val="auto"/>
                <w:sz w:val="22"/>
                <w:szCs w:val="22"/>
                <w:lang w:bidi="ar-YE"/>
              </w:rPr>
              <w:t>PBF/YEM/D-1 Joint Emergency Capacity Development Support to National NGOs working in c</w:t>
            </w:r>
            <w:r w:rsidR="004436CA">
              <w:rPr>
                <w:rFonts w:asciiTheme="minorHAnsi" w:hAnsiTheme="minorHAnsi" w:cstheme="minorBidi"/>
                <w:color w:val="auto"/>
                <w:sz w:val="22"/>
                <w:szCs w:val="22"/>
                <w:lang w:bidi="ar-YE"/>
              </w:rPr>
              <w:t>ommunities affected by conflict.</w:t>
            </w:r>
          </w:p>
        </w:tc>
      </w:tr>
      <w:tr w:rsidR="00D96699" w:rsidRPr="00937EBB" w:rsidTr="00C00B67">
        <w:tc>
          <w:tcPr>
            <w:tcW w:w="10619" w:type="dxa"/>
            <w:gridSpan w:val="2"/>
          </w:tcPr>
          <w:p w:rsidR="00D96699" w:rsidRPr="00937EBB" w:rsidRDefault="00D96699" w:rsidP="00F50154">
            <w:pPr>
              <w:pStyle w:val="Default"/>
              <w:jc w:val="both"/>
              <w:rPr>
                <w:rFonts w:asciiTheme="minorHAnsi" w:hAnsiTheme="minorHAnsi"/>
                <w:sz w:val="22"/>
                <w:szCs w:val="22"/>
              </w:rPr>
            </w:pPr>
            <w:r w:rsidRPr="00937EBB">
              <w:rPr>
                <w:rFonts w:asciiTheme="minorHAnsi" w:hAnsiTheme="minorHAnsi" w:cstheme="minorBidi"/>
                <w:b/>
                <w:bCs/>
                <w:color w:val="auto"/>
                <w:sz w:val="22"/>
                <w:szCs w:val="22"/>
                <w:lang w:bidi="ar-YE"/>
              </w:rPr>
              <w:t>Priority Plan Outcome</w:t>
            </w:r>
            <w:r w:rsidRPr="00937EBB">
              <w:rPr>
                <w:rFonts w:asciiTheme="minorHAnsi" w:hAnsiTheme="minorHAnsi" w:cstheme="minorBidi"/>
                <w:color w:val="auto"/>
                <w:sz w:val="22"/>
                <w:szCs w:val="22"/>
                <w:lang w:bidi="ar-YE"/>
              </w:rPr>
              <w:t xml:space="preserve">: </w:t>
            </w:r>
            <w:r w:rsidR="004436CA" w:rsidRPr="004436CA">
              <w:rPr>
                <w:rFonts w:asciiTheme="minorHAnsi" w:hAnsiTheme="minorHAnsi" w:cstheme="minorBidi"/>
                <w:color w:val="auto"/>
                <w:sz w:val="22"/>
                <w:szCs w:val="22"/>
                <w:lang w:bidi="ar-YE"/>
              </w:rPr>
              <w:t>Strengthened social cohesion at the sub-national and community level increases resilience to conflict</w:t>
            </w:r>
            <w:r w:rsidR="004436CA">
              <w:rPr>
                <w:rFonts w:asciiTheme="minorHAnsi" w:hAnsiTheme="minorHAnsi" w:cstheme="minorBidi"/>
                <w:color w:val="auto"/>
                <w:sz w:val="22"/>
                <w:szCs w:val="22"/>
                <w:lang w:bidi="ar-YE"/>
              </w:rPr>
              <w:t>.</w:t>
            </w:r>
          </w:p>
        </w:tc>
      </w:tr>
      <w:tr w:rsidR="00F9108B" w:rsidRPr="00937EBB" w:rsidTr="00C00B67">
        <w:tc>
          <w:tcPr>
            <w:tcW w:w="4949" w:type="dxa"/>
          </w:tcPr>
          <w:p w:rsidR="00F9108B" w:rsidRPr="00937EBB" w:rsidRDefault="00F9108B" w:rsidP="00F50154">
            <w:pPr>
              <w:bidi w:val="0"/>
              <w:jc w:val="both"/>
              <w:rPr>
                <w:lang w:bidi="ar-YE"/>
              </w:rPr>
            </w:pPr>
            <w:r w:rsidRPr="00937EBB">
              <w:rPr>
                <w:b/>
              </w:rPr>
              <w:t>Recipient UN Organizations</w:t>
            </w:r>
            <w:r w:rsidRPr="00937EBB">
              <w:rPr>
                <w:lang w:bidi="ar-YE"/>
              </w:rPr>
              <w:t xml:space="preserve">: </w:t>
            </w:r>
            <w:r w:rsidR="004436CA">
              <w:rPr>
                <w:lang w:bidi="ar-YE"/>
              </w:rPr>
              <w:t>UNDP</w:t>
            </w:r>
          </w:p>
          <w:p w:rsidR="00F9108B" w:rsidRPr="00937EBB" w:rsidRDefault="00F9108B" w:rsidP="00F50154">
            <w:pPr>
              <w:autoSpaceDE w:val="0"/>
              <w:autoSpaceDN w:val="0"/>
              <w:bidi w:val="0"/>
              <w:adjustRightInd w:val="0"/>
              <w:jc w:val="both"/>
              <w:rPr>
                <w:lang w:bidi="ar-YE"/>
              </w:rPr>
            </w:pPr>
          </w:p>
        </w:tc>
        <w:tc>
          <w:tcPr>
            <w:tcW w:w="5670" w:type="dxa"/>
          </w:tcPr>
          <w:p w:rsidR="00300D7F" w:rsidRPr="00937EBB" w:rsidRDefault="00F9108B" w:rsidP="00F50154">
            <w:pPr>
              <w:autoSpaceDE w:val="0"/>
              <w:autoSpaceDN w:val="0"/>
              <w:bidi w:val="0"/>
              <w:adjustRightInd w:val="0"/>
              <w:jc w:val="both"/>
              <w:rPr>
                <w:lang w:bidi="ar-YE"/>
              </w:rPr>
            </w:pPr>
            <w:r w:rsidRPr="00937EBB">
              <w:rPr>
                <w:b/>
                <w:bCs/>
                <w:lang w:bidi="ar-YE"/>
              </w:rPr>
              <w:t>Project duration</w:t>
            </w:r>
            <w:r w:rsidRPr="00937EBB">
              <w:rPr>
                <w:lang w:bidi="ar-YE"/>
              </w:rPr>
              <w:t xml:space="preserve">: </w:t>
            </w:r>
          </w:p>
          <w:p w:rsidR="00300D7F" w:rsidRPr="00937EBB" w:rsidRDefault="00300D7F" w:rsidP="00F50154">
            <w:pPr>
              <w:autoSpaceDE w:val="0"/>
              <w:autoSpaceDN w:val="0"/>
              <w:bidi w:val="0"/>
              <w:adjustRightInd w:val="0"/>
              <w:jc w:val="both"/>
              <w:rPr>
                <w:lang w:bidi="ar-YE"/>
              </w:rPr>
            </w:pPr>
            <w:r w:rsidRPr="00937EBB">
              <w:rPr>
                <w:lang w:bidi="ar-YE"/>
              </w:rPr>
              <w:t xml:space="preserve">Start Date: </w:t>
            </w:r>
            <w:r w:rsidR="004436CA">
              <w:rPr>
                <w:lang w:bidi="ar-YE"/>
              </w:rPr>
              <w:t>25.07.2014</w:t>
            </w:r>
          </w:p>
          <w:p w:rsidR="00F9108B" w:rsidRPr="00937EBB" w:rsidRDefault="00300D7F" w:rsidP="00F50154">
            <w:pPr>
              <w:autoSpaceDE w:val="0"/>
              <w:autoSpaceDN w:val="0"/>
              <w:bidi w:val="0"/>
              <w:adjustRightInd w:val="0"/>
              <w:jc w:val="both"/>
              <w:rPr>
                <w:b/>
                <w:bCs/>
                <w:lang w:bidi="ar-YE"/>
              </w:rPr>
            </w:pPr>
            <w:r w:rsidRPr="00937EBB">
              <w:rPr>
                <w:lang w:bidi="ar-YE"/>
              </w:rPr>
              <w:t>E</w:t>
            </w:r>
            <w:r w:rsidR="00F9108B" w:rsidRPr="00937EBB">
              <w:rPr>
                <w:lang w:bidi="ar-YE"/>
              </w:rPr>
              <w:t xml:space="preserve">nd date: </w:t>
            </w:r>
            <w:r w:rsidR="004436CA">
              <w:rPr>
                <w:lang w:bidi="ar-YE"/>
              </w:rPr>
              <w:t>31.07.2016</w:t>
            </w:r>
          </w:p>
        </w:tc>
      </w:tr>
      <w:tr w:rsidR="00D96699" w:rsidRPr="00937EBB" w:rsidTr="00C00B67">
        <w:tc>
          <w:tcPr>
            <w:tcW w:w="4949" w:type="dxa"/>
          </w:tcPr>
          <w:p w:rsidR="00F9108B" w:rsidRPr="00937EBB" w:rsidRDefault="00F9108B" w:rsidP="00F50154">
            <w:pPr>
              <w:autoSpaceDE w:val="0"/>
              <w:autoSpaceDN w:val="0"/>
              <w:bidi w:val="0"/>
              <w:adjustRightInd w:val="0"/>
              <w:jc w:val="both"/>
              <w:rPr>
                <w:rFonts w:cs="Times-Bold"/>
                <w:b/>
                <w:bCs/>
                <w:sz w:val="23"/>
                <w:szCs w:val="23"/>
              </w:rPr>
            </w:pPr>
            <w:r w:rsidRPr="00937EBB">
              <w:rPr>
                <w:rFonts w:cs="Times-Bold"/>
                <w:b/>
                <w:bCs/>
                <w:sz w:val="23"/>
                <w:szCs w:val="23"/>
              </w:rPr>
              <w:t xml:space="preserve">Total Project Cost: </w:t>
            </w:r>
          </w:p>
          <w:p w:rsidR="00F9108B" w:rsidRPr="00937EBB" w:rsidRDefault="00445FAF" w:rsidP="00F50154">
            <w:pPr>
              <w:autoSpaceDE w:val="0"/>
              <w:autoSpaceDN w:val="0"/>
              <w:bidi w:val="0"/>
              <w:adjustRightInd w:val="0"/>
              <w:jc w:val="both"/>
              <w:rPr>
                <w:rFonts w:cs="Times-Roman"/>
                <w:sz w:val="21"/>
                <w:szCs w:val="21"/>
              </w:rPr>
            </w:pPr>
            <w:r w:rsidRPr="00937EBB">
              <w:rPr>
                <w:rFonts w:cs="Times-Roman"/>
                <w:sz w:val="21"/>
                <w:szCs w:val="21"/>
              </w:rPr>
              <w:t>Peacebuilding Fund</w:t>
            </w:r>
            <w:r w:rsidR="00F9108B" w:rsidRPr="00937EBB">
              <w:rPr>
                <w:rFonts w:cs="Times-Roman"/>
                <w:sz w:val="21"/>
                <w:szCs w:val="21"/>
              </w:rPr>
              <w:t xml:space="preserve">: </w:t>
            </w:r>
            <w:r w:rsidR="004436CA">
              <w:rPr>
                <w:rFonts w:cs="Times-Roman"/>
                <w:sz w:val="21"/>
                <w:szCs w:val="21"/>
              </w:rPr>
              <w:t>US$1,000,000</w:t>
            </w:r>
          </w:p>
          <w:p w:rsidR="00F9108B" w:rsidRPr="00937EBB" w:rsidRDefault="00F9108B" w:rsidP="00F50154">
            <w:pPr>
              <w:autoSpaceDE w:val="0"/>
              <w:autoSpaceDN w:val="0"/>
              <w:bidi w:val="0"/>
              <w:adjustRightInd w:val="0"/>
              <w:jc w:val="both"/>
              <w:rPr>
                <w:rFonts w:cs="Times-Roman"/>
                <w:sz w:val="21"/>
                <w:szCs w:val="21"/>
              </w:rPr>
            </w:pPr>
            <w:r w:rsidRPr="00937EBB">
              <w:rPr>
                <w:rFonts w:cs="Times-Roman"/>
                <w:sz w:val="21"/>
                <w:szCs w:val="21"/>
              </w:rPr>
              <w:t xml:space="preserve">Government Input: </w:t>
            </w:r>
          </w:p>
          <w:p w:rsidR="00F9108B" w:rsidRPr="00937EBB" w:rsidRDefault="00F9108B" w:rsidP="00F50154">
            <w:pPr>
              <w:autoSpaceDE w:val="0"/>
              <w:autoSpaceDN w:val="0"/>
              <w:bidi w:val="0"/>
              <w:adjustRightInd w:val="0"/>
              <w:jc w:val="both"/>
              <w:rPr>
                <w:rFonts w:cs="Times-Roman"/>
                <w:sz w:val="21"/>
                <w:szCs w:val="21"/>
              </w:rPr>
            </w:pPr>
            <w:r w:rsidRPr="00937EBB">
              <w:rPr>
                <w:rFonts w:cs="Times-Roman"/>
                <w:sz w:val="21"/>
                <w:szCs w:val="21"/>
              </w:rPr>
              <w:t>Other:</w:t>
            </w:r>
            <w:r w:rsidR="004436CA">
              <w:rPr>
                <w:rFonts w:cs="Times-Roman"/>
                <w:sz w:val="21"/>
                <w:szCs w:val="21"/>
              </w:rPr>
              <w:t xml:space="preserve"> US$457,596</w:t>
            </w:r>
          </w:p>
          <w:p w:rsidR="00F9108B" w:rsidRPr="00937EBB" w:rsidRDefault="00F9108B" w:rsidP="00F50154">
            <w:pPr>
              <w:bidi w:val="0"/>
              <w:jc w:val="both"/>
              <w:rPr>
                <w:lang w:bidi="ar-YE"/>
              </w:rPr>
            </w:pPr>
          </w:p>
        </w:tc>
        <w:tc>
          <w:tcPr>
            <w:tcW w:w="5670" w:type="dxa"/>
          </w:tcPr>
          <w:p w:rsidR="00937EBB" w:rsidRPr="00937EBB" w:rsidRDefault="00D96699" w:rsidP="00F50154">
            <w:pPr>
              <w:autoSpaceDE w:val="0"/>
              <w:autoSpaceDN w:val="0"/>
              <w:bidi w:val="0"/>
              <w:adjustRightInd w:val="0"/>
              <w:jc w:val="both"/>
              <w:rPr>
                <w:rFonts w:cs="Times-Roman"/>
                <w:sz w:val="21"/>
                <w:szCs w:val="21"/>
              </w:rPr>
            </w:pPr>
            <w:r w:rsidRPr="00937EBB">
              <w:rPr>
                <w:b/>
                <w:bCs/>
                <w:lang w:bidi="ar-YE"/>
              </w:rPr>
              <w:t>Implementing Partners</w:t>
            </w:r>
            <w:r w:rsidRPr="00937EBB">
              <w:rPr>
                <w:lang w:bidi="ar-YE"/>
              </w:rPr>
              <w:t xml:space="preserve">: </w:t>
            </w:r>
            <w:r w:rsidR="004436CA">
              <w:rPr>
                <w:lang w:bidi="ar-YE"/>
              </w:rPr>
              <w:t>Ministry of Planning and International Cooperation, Ministry of Social Affairs and Labour (Government), WFP, UNICEF and UNFPA (United Nations) Humanitarian Forum (CSO</w:t>
            </w:r>
            <w:r w:rsidR="004436CA">
              <w:rPr>
                <w:rFonts w:cs="Arial"/>
                <w:lang w:bidi="ar-YE"/>
              </w:rPr>
              <w:t xml:space="preserve">) </w:t>
            </w:r>
            <w:r w:rsidR="004436CA">
              <w:rPr>
                <w:lang w:bidi="ar-YE"/>
              </w:rPr>
              <w:t>Social Fund for Development (Quasi-governmental)</w:t>
            </w:r>
          </w:p>
          <w:p w:rsidR="00D96699" w:rsidRPr="00937EBB" w:rsidRDefault="00D96699" w:rsidP="00F50154">
            <w:pPr>
              <w:autoSpaceDE w:val="0"/>
              <w:autoSpaceDN w:val="0"/>
              <w:bidi w:val="0"/>
              <w:adjustRightInd w:val="0"/>
              <w:jc w:val="both"/>
              <w:rPr>
                <w:rFonts w:cs="Times-Roman"/>
                <w:sz w:val="21"/>
                <w:szCs w:val="21"/>
              </w:rPr>
            </w:pPr>
          </w:p>
        </w:tc>
      </w:tr>
    </w:tbl>
    <w:p w:rsidR="00D96699" w:rsidRPr="00937EBB" w:rsidRDefault="00D96699" w:rsidP="00F50154">
      <w:pPr>
        <w:bidi w:val="0"/>
        <w:spacing w:after="0" w:line="240" w:lineRule="auto"/>
        <w:jc w:val="both"/>
        <w:rPr>
          <w:b/>
          <w:bCs/>
          <w:lang w:bidi="ar-YE"/>
        </w:rPr>
      </w:pPr>
    </w:p>
    <w:p w:rsidR="000C0AE6" w:rsidRPr="00937EBB" w:rsidRDefault="000C0AE6" w:rsidP="00F50154">
      <w:pPr>
        <w:bidi w:val="0"/>
        <w:spacing w:after="0" w:line="240" w:lineRule="auto"/>
        <w:ind w:left="360"/>
        <w:jc w:val="both"/>
        <w:rPr>
          <w:b/>
          <w:bCs/>
          <w:lang w:bidi="ar-YE"/>
        </w:rPr>
      </w:pPr>
    </w:p>
    <w:p w:rsidR="00C00B67" w:rsidRDefault="009809C0" w:rsidP="00F50154">
      <w:pPr>
        <w:pStyle w:val="ListParagraph"/>
        <w:numPr>
          <w:ilvl w:val="0"/>
          <w:numId w:val="4"/>
        </w:numPr>
        <w:spacing w:after="0" w:line="240" w:lineRule="auto"/>
        <w:ind w:left="360" w:firstLine="0"/>
        <w:jc w:val="both"/>
        <w:rPr>
          <w:b/>
          <w:bCs/>
          <w:lang w:bidi="ar-YE"/>
        </w:rPr>
      </w:pPr>
      <w:r>
        <w:rPr>
          <w:b/>
          <w:bCs/>
          <w:lang w:bidi="ar-YE"/>
        </w:rPr>
        <w:t>Brief s</w:t>
      </w:r>
      <w:r w:rsidR="008379EA" w:rsidRPr="00937EBB">
        <w:rPr>
          <w:b/>
          <w:bCs/>
          <w:lang w:bidi="ar-YE"/>
        </w:rPr>
        <w:t>ummary of the project status and key results</w:t>
      </w:r>
      <w:r>
        <w:rPr>
          <w:b/>
          <w:bCs/>
          <w:lang w:bidi="ar-YE"/>
        </w:rPr>
        <w:t xml:space="preserve"> as of 31 March 2015.</w:t>
      </w:r>
    </w:p>
    <w:p w:rsidR="003930C2" w:rsidRDefault="003930C2" w:rsidP="00F50154">
      <w:pPr>
        <w:pStyle w:val="ListParagraph"/>
        <w:spacing w:after="0" w:line="240" w:lineRule="auto"/>
        <w:ind w:left="360"/>
        <w:jc w:val="both"/>
        <w:rPr>
          <w:b/>
          <w:bCs/>
          <w:lang w:bidi="ar-YE"/>
        </w:rPr>
      </w:pPr>
    </w:p>
    <w:p w:rsidR="003930C2" w:rsidRDefault="003930C2" w:rsidP="00F50154">
      <w:pPr>
        <w:pStyle w:val="Header"/>
        <w:widowControl w:val="0"/>
        <w:tabs>
          <w:tab w:val="clear" w:pos="4680"/>
          <w:tab w:val="clear" w:pos="9360"/>
        </w:tabs>
        <w:bidi w:val="0"/>
        <w:ind w:left="360"/>
        <w:jc w:val="both"/>
        <w:rPr>
          <w:rFonts w:eastAsia="Times New Roman" w:cs="Times New Roman"/>
        </w:rPr>
      </w:pPr>
      <w:r w:rsidRPr="003930C2">
        <w:rPr>
          <w:rFonts w:eastAsia="Times New Roman" w:cs="Times New Roman"/>
        </w:rPr>
        <w:t xml:space="preserve">As of the end of the first quarter of 2015 implementation of the project was proceeding as planned. </w:t>
      </w:r>
      <w:r w:rsidRPr="00D80607">
        <w:rPr>
          <w:rFonts w:eastAsia="Times New Roman" w:cs="Times New Roman"/>
        </w:rPr>
        <w:t xml:space="preserve">The project is building the capacity of NNGOs in core development and in thematic areas. The importance of the project is recognized by all stakeholders in Yemen, especially in the current </w:t>
      </w:r>
      <w:r>
        <w:rPr>
          <w:rFonts w:eastAsia="Times New Roman" w:cs="Times New Roman"/>
        </w:rPr>
        <w:t>conflict</w:t>
      </w:r>
      <w:r w:rsidRPr="00D80607">
        <w:rPr>
          <w:rFonts w:eastAsia="Times New Roman" w:cs="Times New Roman"/>
        </w:rPr>
        <w:t xml:space="preserve"> situation, as it equips credible and capable NNGOs with </w:t>
      </w:r>
      <w:r w:rsidRPr="00D80607">
        <w:rPr>
          <w:rFonts w:cs="Times New Roman"/>
          <w:color w:val="000000"/>
        </w:rPr>
        <w:t>conflict mitigation, prevention and sensitive skills that they can adopt and replicate</w:t>
      </w:r>
      <w:r w:rsidRPr="00D80607">
        <w:rPr>
          <w:rFonts w:eastAsia="Times New Roman" w:cs="Times New Roman"/>
        </w:rPr>
        <w:t xml:space="preserve"> to implement high quality and conflict sensitive projects, in partnership with international humanitarian and development actors. </w:t>
      </w:r>
    </w:p>
    <w:p w:rsidR="003930C2" w:rsidRPr="00D80607" w:rsidRDefault="003930C2" w:rsidP="00F50154">
      <w:pPr>
        <w:pStyle w:val="Header"/>
        <w:widowControl w:val="0"/>
        <w:tabs>
          <w:tab w:val="clear" w:pos="4680"/>
          <w:tab w:val="clear" w:pos="9360"/>
        </w:tabs>
        <w:bidi w:val="0"/>
        <w:ind w:left="360"/>
        <w:jc w:val="both"/>
        <w:rPr>
          <w:rFonts w:eastAsia="Times New Roman" w:cs="Times New Roman"/>
        </w:rPr>
      </w:pPr>
    </w:p>
    <w:p w:rsidR="003930C2" w:rsidRPr="003930C2" w:rsidRDefault="003930C2" w:rsidP="00F50154">
      <w:pPr>
        <w:bidi w:val="0"/>
        <w:ind w:left="360"/>
        <w:jc w:val="both"/>
        <w:rPr>
          <w:rFonts w:eastAsia="Times New Roman" w:cs="Times New Roman"/>
        </w:rPr>
      </w:pPr>
      <w:r w:rsidRPr="003930C2">
        <w:rPr>
          <w:rFonts w:eastAsia="Times New Roman" w:cs="Times New Roman"/>
        </w:rPr>
        <w:t>Activities planned for 2014 and for the 1st quarter of 2015 are related to Output 1 (conducting training activities) and 4 (management and monitoring). The field survey and capacity assessment of identified NNGOs has been completed and although this activity was field oriented and involved travelling to 8 governorates, no significant difficulties related to the political situation in Yemen were encountered.</w:t>
      </w:r>
    </w:p>
    <w:p w:rsidR="003930C2" w:rsidRDefault="003930C2" w:rsidP="00F50154">
      <w:pPr>
        <w:bidi w:val="0"/>
        <w:ind w:left="360"/>
        <w:jc w:val="both"/>
        <w:rPr>
          <w:lang w:bidi="ar-YE"/>
        </w:rPr>
      </w:pPr>
      <w:r>
        <w:rPr>
          <w:lang w:bidi="ar-YE"/>
        </w:rPr>
        <w:t>On March 31, 2015 the pre-training program targeting NGOs with particularly low capacities was completed. In this phase of the project selected National NGOs represent 10 Governorates: the 6 Governorates included in the first (OCHA-funded) phases of the training activities (Aden, Al Baydha, Hajjah, Abyan, Sa’ada, Amran) plus 4 new governorates (Taiz, Ibb, Hadramout and Socotra) already targeted for other interventions funded through the Peace Building Fund. The objective of the pre-training program is to advance the NGOs whose skill level was assessed as particularly low to a level where they will be able to participate in the next training programs (core and thematic training). Pre-training activities were successfully complete despite the deteriorating security situation.</w:t>
      </w:r>
    </w:p>
    <w:p w:rsidR="003930C2" w:rsidRDefault="003930C2" w:rsidP="00F50154">
      <w:pPr>
        <w:bidi w:val="0"/>
        <w:ind w:left="360"/>
        <w:jc w:val="both"/>
        <w:rPr>
          <w:lang w:bidi="ar-YE"/>
        </w:rPr>
      </w:pPr>
      <w:r>
        <w:rPr>
          <w:lang w:bidi="ar-YE"/>
        </w:rPr>
        <w:t xml:space="preserve">Between March and </w:t>
      </w:r>
      <w:r w:rsidR="00F50154">
        <w:rPr>
          <w:lang w:bidi="ar-YE"/>
        </w:rPr>
        <w:t xml:space="preserve">early </w:t>
      </w:r>
      <w:r>
        <w:rPr>
          <w:lang w:bidi="ar-YE"/>
        </w:rPr>
        <w:t xml:space="preserve">April 2015, the international consultant tasked with expanding and enriching the training materials by adding a clearer peace building and human rights dimension (including a focus </w:t>
      </w:r>
      <w:r>
        <w:rPr>
          <w:lang w:bidi="ar-YE"/>
        </w:rPr>
        <w:lastRenderedPageBreak/>
        <w:t xml:space="preserve">on humanitarian principles) </w:t>
      </w:r>
      <w:r w:rsidR="00F50154">
        <w:rPr>
          <w:lang w:bidi="ar-YE"/>
        </w:rPr>
        <w:t>has</w:t>
      </w:r>
      <w:r>
        <w:rPr>
          <w:lang w:bidi="ar-YE"/>
        </w:rPr>
        <w:t xml:space="preserve"> started operating from his place of recruitment, maintaining communications with project staff through email and frequent phone calls.</w:t>
      </w:r>
    </w:p>
    <w:p w:rsidR="003930C2" w:rsidRDefault="003930C2" w:rsidP="00130A3C">
      <w:pPr>
        <w:pStyle w:val="NormalWeb"/>
        <w:shd w:val="clear" w:color="auto" w:fill="FFFFFF"/>
        <w:ind w:left="360"/>
        <w:jc w:val="both"/>
        <w:rPr>
          <w:rFonts w:ascii="Calibri" w:hAnsi="Calibri" w:cs="Arial"/>
          <w:sz w:val="22"/>
          <w:szCs w:val="22"/>
          <w:lang w:bidi="ar-YE"/>
        </w:rPr>
      </w:pPr>
      <w:r w:rsidRPr="00B44BFC">
        <w:rPr>
          <w:rFonts w:ascii="Calibri" w:hAnsi="Calibri" w:cs="Arial"/>
          <w:sz w:val="22"/>
          <w:szCs w:val="22"/>
          <w:lang w:bidi="ar-YE"/>
        </w:rPr>
        <w:t xml:space="preserve">Following communications from the PBSO, </w:t>
      </w:r>
      <w:r w:rsidR="00F50154">
        <w:rPr>
          <w:rFonts w:ascii="Calibri" w:hAnsi="Calibri" w:cs="Arial"/>
          <w:sz w:val="22"/>
          <w:szCs w:val="22"/>
          <w:lang w:bidi="ar-YE"/>
        </w:rPr>
        <w:t>as of April 10</w:t>
      </w:r>
      <w:r w:rsidR="00F50154" w:rsidRPr="00F50154">
        <w:rPr>
          <w:rFonts w:ascii="Calibri" w:hAnsi="Calibri" w:cs="Arial"/>
          <w:sz w:val="22"/>
          <w:szCs w:val="22"/>
          <w:vertAlign w:val="superscript"/>
          <w:lang w:bidi="ar-YE"/>
        </w:rPr>
        <w:t>th</w:t>
      </w:r>
      <w:r w:rsidR="00F50154">
        <w:rPr>
          <w:rFonts w:ascii="Calibri" w:hAnsi="Calibri" w:cs="Arial"/>
          <w:sz w:val="22"/>
          <w:szCs w:val="22"/>
          <w:lang w:bidi="ar-YE"/>
        </w:rPr>
        <w:t xml:space="preserve">, 2015 </w:t>
      </w:r>
      <w:r w:rsidRPr="00B44BFC">
        <w:rPr>
          <w:rFonts w:ascii="Calibri" w:hAnsi="Calibri" w:cs="Arial"/>
          <w:sz w:val="22"/>
          <w:szCs w:val="22"/>
          <w:lang w:bidi="ar-YE"/>
        </w:rPr>
        <w:t xml:space="preserve">all training activities have been </w:t>
      </w:r>
      <w:r w:rsidR="00F50154">
        <w:rPr>
          <w:rFonts w:ascii="Calibri" w:hAnsi="Calibri" w:cs="Arial"/>
          <w:sz w:val="22"/>
          <w:szCs w:val="22"/>
          <w:lang w:bidi="ar-YE"/>
        </w:rPr>
        <w:t>suspended.</w:t>
      </w:r>
      <w:r w:rsidRPr="00B44BFC">
        <w:rPr>
          <w:rFonts w:ascii="Calibri" w:hAnsi="Calibri" w:cs="Arial"/>
          <w:sz w:val="22"/>
          <w:szCs w:val="22"/>
          <w:lang w:bidi="ar-YE"/>
        </w:rPr>
        <w:t xml:space="preserve"> </w:t>
      </w:r>
      <w:r w:rsidR="00F50154">
        <w:rPr>
          <w:rFonts w:ascii="Calibri" w:hAnsi="Calibri" w:cs="Arial"/>
          <w:sz w:val="22"/>
          <w:szCs w:val="22"/>
          <w:lang w:bidi="ar-YE"/>
        </w:rPr>
        <w:t>P</w:t>
      </w:r>
      <w:r w:rsidRPr="00B44BFC">
        <w:rPr>
          <w:rFonts w:ascii="Calibri" w:hAnsi="Calibri" w:cs="Arial"/>
          <w:sz w:val="22"/>
          <w:szCs w:val="22"/>
          <w:lang w:bidi="ar-YE"/>
        </w:rPr>
        <w:t xml:space="preserve">roject staff </w:t>
      </w:r>
      <w:r w:rsidR="00B36BED">
        <w:rPr>
          <w:rFonts w:ascii="Calibri" w:hAnsi="Calibri" w:cs="Arial"/>
          <w:sz w:val="22"/>
          <w:szCs w:val="22"/>
          <w:lang w:bidi="ar-YE"/>
        </w:rPr>
        <w:t>have developed a feasibility plan (attached) to identify how project activities could still be implemented in the current fluid environment with adequate management of risks for all stakeholders.</w:t>
      </w:r>
      <w:r w:rsidR="00130A3C">
        <w:rPr>
          <w:rFonts w:ascii="Calibri" w:hAnsi="Calibri" w:cs="Arial"/>
          <w:sz w:val="22"/>
          <w:szCs w:val="22"/>
          <w:lang w:bidi="ar-YE"/>
        </w:rPr>
        <w:t xml:space="preserve"> The project staff would be happy to work with PBSO to identify any gaps in the information provided. </w:t>
      </w:r>
    </w:p>
    <w:p w:rsidR="00130A3C" w:rsidRPr="00B44BFC" w:rsidRDefault="00130A3C" w:rsidP="00B36BED">
      <w:pPr>
        <w:pStyle w:val="NormalWeb"/>
        <w:shd w:val="clear" w:color="auto" w:fill="FFFFFF"/>
        <w:ind w:left="360"/>
        <w:jc w:val="both"/>
        <w:rPr>
          <w:rFonts w:ascii="Calibri" w:hAnsi="Calibri" w:cs="Arial"/>
          <w:sz w:val="22"/>
          <w:szCs w:val="22"/>
          <w:lang w:bidi="ar-YE"/>
        </w:rPr>
      </w:pPr>
    </w:p>
    <w:p w:rsidR="009809C0" w:rsidRPr="00130A3C" w:rsidRDefault="00130A3C" w:rsidP="00130A3C">
      <w:pPr>
        <w:pStyle w:val="ListParagraph"/>
        <w:spacing w:after="0" w:line="240" w:lineRule="auto"/>
        <w:ind w:left="360"/>
        <w:jc w:val="both"/>
        <w:rPr>
          <w:lang w:bidi="ar-YE"/>
        </w:rPr>
      </w:pPr>
      <w:r>
        <w:rPr>
          <w:lang w:bidi="ar-YE"/>
        </w:rPr>
        <w:t>UNDP would like to take this opportunity to reiterate that t</w:t>
      </w:r>
      <w:r w:rsidRPr="00130A3C">
        <w:rPr>
          <w:lang w:bidi="ar-YE"/>
        </w:rPr>
        <w:t>he need for th</w:t>
      </w:r>
      <w:r>
        <w:rPr>
          <w:lang w:bidi="ar-YE"/>
        </w:rPr>
        <w:t>e continuation of the project’s activities</w:t>
      </w:r>
      <w:r w:rsidRPr="00130A3C">
        <w:rPr>
          <w:lang w:bidi="ar-YE"/>
        </w:rPr>
        <w:t xml:space="preserve"> </w:t>
      </w:r>
      <w:r>
        <w:rPr>
          <w:lang w:bidi="ar-YE"/>
        </w:rPr>
        <w:t>has been highlighted by both the development and humanitarian community –  as the scarcity of qualified implementing partners on the ground is one of the main constraints to the delivery of conflict sensitive assistance, in particular in the areas targeted by the project – traditionally underserved.</w:t>
      </w:r>
    </w:p>
    <w:p w:rsidR="009809C0" w:rsidRDefault="009809C0" w:rsidP="00F50154">
      <w:pPr>
        <w:pStyle w:val="ListParagraph"/>
        <w:spacing w:after="0" w:line="240" w:lineRule="auto"/>
        <w:ind w:left="360"/>
        <w:jc w:val="both"/>
        <w:rPr>
          <w:b/>
          <w:bCs/>
          <w:lang w:bidi="ar-YE"/>
        </w:rPr>
      </w:pPr>
    </w:p>
    <w:p w:rsidR="006A485C" w:rsidRDefault="00574624" w:rsidP="00F50154">
      <w:pPr>
        <w:pStyle w:val="ListParagraph"/>
        <w:numPr>
          <w:ilvl w:val="0"/>
          <w:numId w:val="4"/>
        </w:numPr>
        <w:spacing w:after="0" w:line="240" w:lineRule="auto"/>
        <w:ind w:left="360" w:firstLine="0"/>
        <w:jc w:val="both"/>
        <w:rPr>
          <w:b/>
          <w:bCs/>
          <w:lang w:bidi="ar-YE"/>
        </w:rPr>
      </w:pPr>
      <w:r>
        <w:rPr>
          <w:b/>
          <w:bCs/>
        </w:rPr>
        <w:t xml:space="preserve">Implementation </w:t>
      </w:r>
      <w:r w:rsidR="006A485C" w:rsidRPr="00C00B67">
        <w:rPr>
          <w:b/>
          <w:bCs/>
        </w:rPr>
        <w:t>of the Proje</w:t>
      </w:r>
      <w:r>
        <w:rPr>
          <w:b/>
          <w:bCs/>
        </w:rPr>
        <w:t>ct’s Activities</w:t>
      </w:r>
      <w:r w:rsidR="009809C0">
        <w:rPr>
          <w:b/>
          <w:bCs/>
        </w:rPr>
        <w:t>, 1 April 2014 -31 March 2015</w:t>
      </w:r>
      <w:r>
        <w:rPr>
          <w:b/>
          <w:bCs/>
        </w:rPr>
        <w:t>.</w:t>
      </w:r>
    </w:p>
    <w:p w:rsidR="00C00B67" w:rsidRDefault="00C00B67" w:rsidP="00F50154">
      <w:pPr>
        <w:pStyle w:val="ListParagraph"/>
        <w:jc w:val="both"/>
        <w:rPr>
          <w:b/>
          <w:bCs/>
          <w:lang w:bidi="ar-YE"/>
        </w:rPr>
      </w:pPr>
    </w:p>
    <w:tbl>
      <w:tblPr>
        <w:tblStyle w:val="TableGrid2"/>
        <w:tblpPr w:leftFromText="180" w:rightFromText="180" w:vertAnchor="text" w:horzAnchor="margin" w:tblpYSpec="center"/>
        <w:tblW w:w="9521" w:type="dxa"/>
        <w:tblLook w:val="04A0" w:firstRow="1" w:lastRow="0" w:firstColumn="1" w:lastColumn="0" w:noHBand="0" w:noVBand="1"/>
      </w:tblPr>
      <w:tblGrid>
        <w:gridCol w:w="3759"/>
        <w:gridCol w:w="2720"/>
        <w:gridCol w:w="1388"/>
        <w:gridCol w:w="1654"/>
      </w:tblGrid>
      <w:tr w:rsidR="00574624" w:rsidRPr="00937EBB" w:rsidTr="002A5168">
        <w:trPr>
          <w:trHeight w:val="759"/>
        </w:trPr>
        <w:tc>
          <w:tcPr>
            <w:tcW w:w="3865" w:type="dxa"/>
            <w:shd w:val="clear" w:color="auto" w:fill="C4BC96" w:themeFill="background2" w:themeFillShade="BF"/>
          </w:tcPr>
          <w:p w:rsidR="00574624" w:rsidRPr="009809C0" w:rsidRDefault="00574624" w:rsidP="00F50154">
            <w:pPr>
              <w:bidi w:val="0"/>
              <w:jc w:val="both"/>
              <w:rPr>
                <w:b/>
                <w:bCs/>
              </w:rPr>
            </w:pPr>
            <w:r w:rsidRPr="009809C0">
              <w:rPr>
                <w:b/>
                <w:bCs/>
              </w:rPr>
              <w:lastRenderedPageBreak/>
              <w:t>Project Outcome/Output</w:t>
            </w:r>
          </w:p>
        </w:tc>
        <w:tc>
          <w:tcPr>
            <w:tcW w:w="2790" w:type="dxa"/>
            <w:shd w:val="clear" w:color="auto" w:fill="C4BC96" w:themeFill="background2" w:themeFillShade="BF"/>
          </w:tcPr>
          <w:p w:rsidR="00574624" w:rsidRPr="009809C0" w:rsidRDefault="009F398A" w:rsidP="00F50154">
            <w:pPr>
              <w:bidi w:val="0"/>
              <w:jc w:val="both"/>
              <w:rPr>
                <w:bCs/>
                <w:sz w:val="20"/>
                <w:szCs w:val="20"/>
                <w:lang w:bidi="ar-YE"/>
              </w:rPr>
            </w:pPr>
            <w:r w:rsidRPr="009F398A">
              <w:rPr>
                <w:b/>
                <w:bCs/>
              </w:rPr>
              <w:t xml:space="preserve">Planned Progress </w:t>
            </w:r>
          </w:p>
        </w:tc>
        <w:tc>
          <w:tcPr>
            <w:tcW w:w="1403" w:type="dxa"/>
            <w:shd w:val="clear" w:color="auto" w:fill="C4BC96" w:themeFill="background2" w:themeFillShade="BF"/>
          </w:tcPr>
          <w:p w:rsidR="00574624" w:rsidRPr="009809C0" w:rsidRDefault="009F398A" w:rsidP="00F50154">
            <w:pPr>
              <w:bidi w:val="0"/>
              <w:jc w:val="both"/>
              <w:rPr>
                <w:bCs/>
                <w:sz w:val="20"/>
                <w:szCs w:val="20"/>
              </w:rPr>
            </w:pPr>
            <w:r w:rsidRPr="009F398A">
              <w:rPr>
                <w:b/>
                <w:bCs/>
              </w:rPr>
              <w:t xml:space="preserve">Actual progress </w:t>
            </w:r>
            <w:r w:rsidRPr="009F398A">
              <w:rPr>
                <w:rFonts w:hint="cs"/>
                <w:b/>
                <w:bCs/>
                <w:rtl/>
              </w:rPr>
              <w:t xml:space="preserve"> </w:t>
            </w:r>
          </w:p>
        </w:tc>
        <w:tc>
          <w:tcPr>
            <w:tcW w:w="1463" w:type="dxa"/>
            <w:shd w:val="clear" w:color="auto" w:fill="C4BC96" w:themeFill="background2" w:themeFillShade="BF"/>
          </w:tcPr>
          <w:p w:rsidR="00574624" w:rsidRPr="009809C0" w:rsidRDefault="00574624" w:rsidP="00F50154">
            <w:pPr>
              <w:bidi w:val="0"/>
              <w:jc w:val="both"/>
              <w:rPr>
                <w:b/>
                <w:bCs/>
              </w:rPr>
            </w:pPr>
            <w:r w:rsidRPr="009809C0">
              <w:rPr>
                <w:b/>
                <w:bCs/>
              </w:rPr>
              <w:t>Explanation</w:t>
            </w:r>
          </w:p>
        </w:tc>
      </w:tr>
      <w:tr w:rsidR="00574624" w:rsidRPr="00937EBB" w:rsidTr="002A5168">
        <w:trPr>
          <w:trHeight w:val="331"/>
        </w:trPr>
        <w:tc>
          <w:tcPr>
            <w:tcW w:w="3865" w:type="dxa"/>
            <w:shd w:val="clear" w:color="auto" w:fill="F2F2F2" w:themeFill="background1" w:themeFillShade="F2"/>
          </w:tcPr>
          <w:p w:rsidR="00574624" w:rsidRPr="009809C0" w:rsidRDefault="003930C2" w:rsidP="00F50154">
            <w:pPr>
              <w:bidi w:val="0"/>
              <w:jc w:val="both"/>
              <w:rPr>
                <w:sz w:val="20"/>
                <w:szCs w:val="20"/>
                <w:lang w:bidi="ar-YE"/>
              </w:rPr>
            </w:pPr>
            <w:r>
              <w:rPr>
                <w:sz w:val="20"/>
                <w:szCs w:val="20"/>
                <w:lang w:bidi="ar-YE"/>
              </w:rPr>
              <w:t>Project Outcome</w:t>
            </w:r>
            <w:r w:rsidR="002A5168">
              <w:rPr>
                <w:sz w:val="20"/>
                <w:szCs w:val="20"/>
                <w:lang w:bidi="ar-YE"/>
              </w:rPr>
              <w:t xml:space="preserve">: </w:t>
            </w:r>
            <w:r w:rsidR="002A5168" w:rsidRPr="00D80607">
              <w:rPr>
                <w:rFonts w:eastAsia="Times New Roman" w:cs="Times New Roman"/>
              </w:rPr>
              <w:t xml:space="preserve"> Governorate Based NGOs (GB NGOs) in Yemen are sustainable, reliable and professional partners, for the Government of Yemen, UN agencies and international partners  and thus increase the national capacity to: deliver aid to in need that cater to the distinct needs of  men, woman, girls and boys in need.</w:t>
            </w:r>
          </w:p>
        </w:tc>
        <w:tc>
          <w:tcPr>
            <w:tcW w:w="2790" w:type="dxa"/>
          </w:tcPr>
          <w:p w:rsidR="00574624" w:rsidRPr="00937EBB" w:rsidRDefault="00574624" w:rsidP="00F50154">
            <w:pPr>
              <w:bidi w:val="0"/>
              <w:jc w:val="both"/>
              <w:rPr>
                <w:rtl/>
                <w:lang w:bidi="ar-YE"/>
              </w:rPr>
            </w:pPr>
          </w:p>
        </w:tc>
        <w:tc>
          <w:tcPr>
            <w:tcW w:w="1403" w:type="dxa"/>
          </w:tcPr>
          <w:p w:rsidR="00574624" w:rsidRPr="00937EBB" w:rsidRDefault="00574624" w:rsidP="00F50154">
            <w:pPr>
              <w:bidi w:val="0"/>
              <w:jc w:val="both"/>
              <w:rPr>
                <w:lang w:bidi="ar-YE"/>
              </w:rPr>
            </w:pPr>
          </w:p>
        </w:tc>
        <w:tc>
          <w:tcPr>
            <w:tcW w:w="1463" w:type="dxa"/>
          </w:tcPr>
          <w:p w:rsidR="00574624" w:rsidRPr="00937EBB" w:rsidRDefault="00574624" w:rsidP="00F50154">
            <w:pPr>
              <w:bidi w:val="0"/>
              <w:jc w:val="both"/>
            </w:pPr>
          </w:p>
        </w:tc>
      </w:tr>
      <w:tr w:rsidR="00574624" w:rsidRPr="00937EBB" w:rsidTr="002A5168">
        <w:trPr>
          <w:trHeight w:val="331"/>
        </w:trPr>
        <w:tc>
          <w:tcPr>
            <w:tcW w:w="3865" w:type="dxa"/>
            <w:shd w:val="clear" w:color="auto" w:fill="F2F2F2" w:themeFill="background1" w:themeFillShade="F2"/>
          </w:tcPr>
          <w:p w:rsidR="00574624" w:rsidRPr="009809C0" w:rsidRDefault="00574624" w:rsidP="00F50154">
            <w:pPr>
              <w:bidi w:val="0"/>
              <w:jc w:val="both"/>
              <w:rPr>
                <w:sz w:val="20"/>
                <w:szCs w:val="20"/>
              </w:rPr>
            </w:pPr>
            <w:r w:rsidRPr="009809C0">
              <w:rPr>
                <w:sz w:val="20"/>
                <w:szCs w:val="20"/>
              </w:rPr>
              <w:t>Output 1.1</w:t>
            </w:r>
            <w:r w:rsidR="002A5168">
              <w:rPr>
                <w:sz w:val="20"/>
                <w:szCs w:val="20"/>
              </w:rPr>
              <w:t xml:space="preserve">: </w:t>
            </w:r>
            <w:r w:rsidR="002A5168">
              <w:rPr>
                <w:rFonts w:eastAsia="Times New Roman" w:cs="Times New Roman"/>
              </w:rPr>
              <w:t xml:space="preserve"> Governorate based NGOs (GB NGOs</w:t>
            </w:r>
            <w:r w:rsidR="002A5168" w:rsidRPr="00D80607">
              <w:rPr>
                <w:rFonts w:eastAsia="Times New Roman" w:cs="Times New Roman"/>
              </w:rPr>
              <w:t>) in priority conflict affected governorates have the capa</w:t>
            </w:r>
            <w:r w:rsidR="002A5168">
              <w:rPr>
                <w:rFonts w:eastAsia="Times New Roman" w:cs="Times New Roman"/>
              </w:rPr>
              <w:t xml:space="preserve">city to implement high quality </w:t>
            </w:r>
            <w:r w:rsidR="002A5168" w:rsidRPr="00D80607">
              <w:rPr>
                <w:rFonts w:eastAsia="Times New Roman" w:cs="Times New Roman"/>
              </w:rPr>
              <w:t>conflict sensitive projects.</w:t>
            </w:r>
          </w:p>
        </w:tc>
        <w:tc>
          <w:tcPr>
            <w:tcW w:w="2790" w:type="dxa"/>
          </w:tcPr>
          <w:p w:rsidR="00574624" w:rsidRPr="00937EBB" w:rsidRDefault="003E0BE7" w:rsidP="00F50154">
            <w:pPr>
              <w:bidi w:val="0"/>
              <w:jc w:val="both"/>
              <w:rPr>
                <w:lang w:bidi="ar-YE"/>
              </w:rPr>
            </w:pPr>
            <w:r>
              <w:rPr>
                <w:lang w:bidi="ar-YE"/>
              </w:rPr>
              <w:t>As of March 31</w:t>
            </w:r>
            <w:r w:rsidRPr="003E0BE7">
              <w:rPr>
                <w:vertAlign w:val="superscript"/>
                <w:lang w:bidi="ar-YE"/>
              </w:rPr>
              <w:t>st</w:t>
            </w:r>
            <w:r>
              <w:rPr>
                <w:lang w:bidi="ar-YE"/>
              </w:rPr>
              <w:t xml:space="preserve"> 2015 the project was delivering according to the workplan. The project staff is in place, the NGOs selected in collaboration with humanitarian partners; pre-trainings have been completed and the core training activities were scheduled to take place during Q2 to be followed by thematic trainings in Q3. A consultant had been recruited to revise the training modules in collaboration with project stakeholders and his work was proceeding punctually. </w:t>
            </w:r>
          </w:p>
        </w:tc>
        <w:tc>
          <w:tcPr>
            <w:tcW w:w="1403" w:type="dxa"/>
          </w:tcPr>
          <w:p w:rsidR="00574624" w:rsidRPr="00937EBB" w:rsidRDefault="003E0BE7" w:rsidP="003E0BE7">
            <w:pPr>
              <w:bidi w:val="0"/>
              <w:jc w:val="both"/>
            </w:pPr>
            <w:r>
              <w:rPr>
                <w:rFonts w:eastAsia="Times New Roman" w:cs="Times New Roman"/>
              </w:rPr>
              <w:t>40</w:t>
            </w:r>
            <w:r w:rsidR="002A5168" w:rsidRPr="00D80607">
              <w:rPr>
                <w:rFonts w:eastAsia="Times New Roman" w:cs="Times New Roman"/>
              </w:rPr>
              <w:t>%</w:t>
            </w:r>
          </w:p>
        </w:tc>
        <w:tc>
          <w:tcPr>
            <w:tcW w:w="1463" w:type="dxa"/>
          </w:tcPr>
          <w:p w:rsidR="00574624" w:rsidRPr="00937EBB" w:rsidRDefault="003E0BE7" w:rsidP="003E0BE7">
            <w:pPr>
              <w:bidi w:val="0"/>
              <w:jc w:val="both"/>
            </w:pPr>
            <w:r>
              <w:t xml:space="preserve">The PBF is the major donor of the project that has received humanitarian funding in 2014. As the OCHA seed grant was time bound to the end of 2014, these funds have been given priority in spending in consideration of the longer duration of the PBF grant. The 40% progress is thus referring exclusively to the PBF-funded portion. Overall implementation of this output is about 60% as of March 2015. </w:t>
            </w:r>
          </w:p>
        </w:tc>
      </w:tr>
      <w:tr w:rsidR="00574624" w:rsidRPr="00937EBB" w:rsidTr="002A5168">
        <w:trPr>
          <w:trHeight w:val="350"/>
        </w:trPr>
        <w:tc>
          <w:tcPr>
            <w:tcW w:w="3865" w:type="dxa"/>
            <w:shd w:val="clear" w:color="auto" w:fill="F2F2F2" w:themeFill="background1" w:themeFillShade="F2"/>
          </w:tcPr>
          <w:p w:rsidR="00574624" w:rsidRPr="009809C0" w:rsidRDefault="00574624" w:rsidP="00F50154">
            <w:pPr>
              <w:bidi w:val="0"/>
              <w:jc w:val="both"/>
              <w:rPr>
                <w:sz w:val="20"/>
                <w:szCs w:val="20"/>
              </w:rPr>
            </w:pPr>
            <w:r w:rsidRPr="009809C0">
              <w:rPr>
                <w:sz w:val="20"/>
                <w:szCs w:val="20"/>
              </w:rPr>
              <w:t>Output 1.2</w:t>
            </w:r>
            <w:r w:rsidR="002A5168">
              <w:rPr>
                <w:sz w:val="20"/>
                <w:szCs w:val="20"/>
              </w:rPr>
              <w:t xml:space="preserve">: </w:t>
            </w:r>
            <w:r w:rsidR="002A5168" w:rsidRPr="00D80607">
              <w:rPr>
                <w:rFonts w:eastAsia="Times New Roman" w:cs="Times New Roman"/>
              </w:rPr>
              <w:t xml:space="preserve"> GBNGOs implement peacebuilding and conflict sensitive interventions in target areas</w:t>
            </w:r>
          </w:p>
        </w:tc>
        <w:tc>
          <w:tcPr>
            <w:tcW w:w="2790" w:type="dxa"/>
          </w:tcPr>
          <w:p w:rsidR="00574624" w:rsidRPr="00937EBB" w:rsidRDefault="003E0BE7" w:rsidP="00F50154">
            <w:pPr>
              <w:bidi w:val="0"/>
              <w:jc w:val="both"/>
              <w:rPr>
                <w:rtl/>
                <w:lang w:bidi="ar-YE"/>
              </w:rPr>
            </w:pPr>
            <w:r>
              <w:rPr>
                <w:lang w:bidi="ar-YE"/>
              </w:rPr>
              <w:t xml:space="preserve">After the training activities were terminated in Q2 and Q3 2015 – selected NGOs would have been allocated small grants to implement under the mentoring of UN Agencies, as per signed MoU. However the training activities were not completed and it is now forecasted that the </w:t>
            </w:r>
            <w:r w:rsidR="00327AB0">
              <w:rPr>
                <w:lang w:bidi="ar-YE"/>
              </w:rPr>
              <w:t xml:space="preserve">grants would not be disbursed </w:t>
            </w:r>
            <w:r w:rsidR="00327AB0">
              <w:rPr>
                <w:lang w:bidi="ar-YE"/>
              </w:rPr>
              <w:lastRenderedPageBreak/>
              <w:t>(pending approval of activities resumption) before December 2015.</w:t>
            </w:r>
          </w:p>
        </w:tc>
        <w:tc>
          <w:tcPr>
            <w:tcW w:w="1403" w:type="dxa"/>
          </w:tcPr>
          <w:p w:rsidR="00574624" w:rsidRPr="00937EBB" w:rsidRDefault="002A5168" w:rsidP="00F50154">
            <w:pPr>
              <w:bidi w:val="0"/>
              <w:jc w:val="both"/>
            </w:pPr>
            <w:r>
              <w:rPr>
                <w:rFonts w:eastAsia="Times New Roman" w:cs="Times New Roman"/>
              </w:rPr>
              <w:lastRenderedPageBreak/>
              <w:t>0%</w:t>
            </w:r>
          </w:p>
        </w:tc>
        <w:tc>
          <w:tcPr>
            <w:tcW w:w="1463" w:type="dxa"/>
          </w:tcPr>
          <w:p w:rsidR="00574624" w:rsidRPr="00937EBB" w:rsidRDefault="002A5168" w:rsidP="003664D9">
            <w:pPr>
              <w:bidi w:val="0"/>
              <w:jc w:val="both"/>
            </w:pPr>
            <w:r w:rsidRPr="00D80607">
              <w:rPr>
                <w:rFonts w:eastAsia="Times New Roman" w:cs="Times New Roman"/>
              </w:rPr>
              <w:t xml:space="preserve">This output </w:t>
            </w:r>
            <w:r w:rsidR="0029010F">
              <w:rPr>
                <w:rFonts w:eastAsia="Times New Roman" w:cs="Times New Roman"/>
              </w:rPr>
              <w:t>was planned to</w:t>
            </w:r>
            <w:r w:rsidRPr="00D80607">
              <w:rPr>
                <w:rFonts w:eastAsia="Times New Roman" w:cs="Times New Roman"/>
              </w:rPr>
              <w:t xml:space="preserve"> be achieved by </w:t>
            </w:r>
            <w:r w:rsidR="003E0BE7">
              <w:rPr>
                <w:rFonts w:eastAsia="Times New Roman" w:cs="Times New Roman"/>
              </w:rPr>
              <w:t>February 2016</w:t>
            </w:r>
            <w:r w:rsidRPr="00D80607">
              <w:rPr>
                <w:rFonts w:eastAsia="Times New Roman" w:cs="Times New Roman"/>
              </w:rPr>
              <w:t xml:space="preserve"> after </w:t>
            </w:r>
            <w:r w:rsidR="003664D9">
              <w:rPr>
                <w:rFonts w:eastAsia="Times New Roman" w:cs="Times New Roman"/>
              </w:rPr>
              <w:t>the end of</w:t>
            </w:r>
            <w:r w:rsidRPr="00D80607">
              <w:rPr>
                <w:rFonts w:eastAsia="Times New Roman" w:cs="Times New Roman"/>
              </w:rPr>
              <w:t xml:space="preserve"> the three training programs which will equip NNGOs with the capacities to </w:t>
            </w:r>
            <w:r w:rsidRPr="00D80607">
              <w:rPr>
                <w:rFonts w:eastAsia="Times New Roman" w:cs="Times New Roman"/>
              </w:rPr>
              <w:lastRenderedPageBreak/>
              <w:t>implement such projects</w:t>
            </w:r>
          </w:p>
        </w:tc>
      </w:tr>
      <w:tr w:rsidR="00574624" w:rsidRPr="00937EBB" w:rsidTr="002A5168">
        <w:trPr>
          <w:trHeight w:val="331"/>
        </w:trPr>
        <w:tc>
          <w:tcPr>
            <w:tcW w:w="3865" w:type="dxa"/>
            <w:shd w:val="clear" w:color="auto" w:fill="F2F2F2" w:themeFill="background1" w:themeFillShade="F2"/>
          </w:tcPr>
          <w:p w:rsidR="00574624" w:rsidRPr="009809C0" w:rsidRDefault="00574624" w:rsidP="00F50154">
            <w:pPr>
              <w:bidi w:val="0"/>
              <w:jc w:val="both"/>
              <w:rPr>
                <w:sz w:val="20"/>
                <w:szCs w:val="20"/>
              </w:rPr>
            </w:pPr>
            <w:r w:rsidRPr="009809C0">
              <w:rPr>
                <w:sz w:val="20"/>
                <w:szCs w:val="20"/>
              </w:rPr>
              <w:lastRenderedPageBreak/>
              <w:t>Output 1.3</w:t>
            </w:r>
            <w:r w:rsidR="002A5168">
              <w:rPr>
                <w:sz w:val="20"/>
                <w:szCs w:val="20"/>
              </w:rPr>
              <w:t xml:space="preserve">: </w:t>
            </w:r>
            <w:r w:rsidR="002A5168" w:rsidRPr="00D80607">
              <w:rPr>
                <w:rFonts w:eastAsia="Times New Roman" w:cs="Times New Roman"/>
              </w:rPr>
              <w:t xml:space="preserve"> An online pool of accredited GBNGOs established to facilitate partnerships of GBNGOs with the government, national and international development and humanitarian agencies</w:t>
            </w:r>
          </w:p>
        </w:tc>
        <w:tc>
          <w:tcPr>
            <w:tcW w:w="2790" w:type="dxa"/>
          </w:tcPr>
          <w:p w:rsidR="00574624" w:rsidRPr="00937EBB" w:rsidRDefault="00327AB0" w:rsidP="00F50154">
            <w:pPr>
              <w:bidi w:val="0"/>
              <w:jc w:val="both"/>
              <w:rPr>
                <w:rtl/>
                <w:lang w:bidi="ar-YE"/>
              </w:rPr>
            </w:pPr>
            <w:r>
              <w:rPr>
                <w:lang w:bidi="ar-YE"/>
              </w:rPr>
              <w:t>The online pool was planned to be established after the end of the training activities in Q2 and Q3 2015. No expenditure has been registered as of March 2015 under this output.</w:t>
            </w:r>
          </w:p>
        </w:tc>
        <w:tc>
          <w:tcPr>
            <w:tcW w:w="1403" w:type="dxa"/>
          </w:tcPr>
          <w:p w:rsidR="00574624" w:rsidRPr="00937EBB" w:rsidRDefault="002A5168" w:rsidP="00F50154">
            <w:pPr>
              <w:bidi w:val="0"/>
              <w:jc w:val="both"/>
            </w:pPr>
            <w:r>
              <w:rPr>
                <w:rFonts w:eastAsia="Times New Roman" w:cs="Times New Roman"/>
              </w:rPr>
              <w:t>0%</w:t>
            </w:r>
          </w:p>
        </w:tc>
        <w:tc>
          <w:tcPr>
            <w:tcW w:w="1463" w:type="dxa"/>
          </w:tcPr>
          <w:p w:rsidR="00574624" w:rsidRPr="00937EBB" w:rsidRDefault="002A5168" w:rsidP="0029010F">
            <w:pPr>
              <w:bidi w:val="0"/>
              <w:jc w:val="both"/>
            </w:pPr>
            <w:r w:rsidRPr="00D80607">
              <w:rPr>
                <w:rFonts w:eastAsia="Times New Roman" w:cs="Times New Roman"/>
              </w:rPr>
              <w:t xml:space="preserve">The online pool </w:t>
            </w:r>
            <w:r w:rsidR="0029010F">
              <w:rPr>
                <w:rFonts w:eastAsia="Times New Roman" w:cs="Times New Roman"/>
              </w:rPr>
              <w:t>was scheduled to</w:t>
            </w:r>
            <w:r w:rsidRPr="00D80607">
              <w:rPr>
                <w:rFonts w:eastAsia="Times New Roman" w:cs="Times New Roman"/>
              </w:rPr>
              <w:t xml:space="preserve"> be established in the third quarter of 2015</w:t>
            </w:r>
            <w:r w:rsidR="0029010F">
              <w:rPr>
                <w:rFonts w:eastAsia="Times New Roman" w:cs="Times New Roman"/>
              </w:rPr>
              <w:t>.</w:t>
            </w:r>
          </w:p>
        </w:tc>
      </w:tr>
      <w:tr w:rsidR="00574624" w:rsidRPr="00937EBB" w:rsidTr="002A5168">
        <w:trPr>
          <w:trHeight w:val="350"/>
        </w:trPr>
        <w:tc>
          <w:tcPr>
            <w:tcW w:w="3865" w:type="dxa"/>
            <w:shd w:val="clear" w:color="auto" w:fill="F2F2F2" w:themeFill="background1" w:themeFillShade="F2"/>
          </w:tcPr>
          <w:p w:rsidR="00574624" w:rsidRPr="009809C0" w:rsidRDefault="00574624" w:rsidP="00F50154">
            <w:pPr>
              <w:bidi w:val="0"/>
              <w:jc w:val="both"/>
              <w:rPr>
                <w:sz w:val="20"/>
                <w:szCs w:val="20"/>
                <w:rtl/>
                <w:lang w:bidi="ar-YE"/>
              </w:rPr>
            </w:pPr>
            <w:r w:rsidRPr="009809C0">
              <w:rPr>
                <w:sz w:val="20"/>
                <w:szCs w:val="20"/>
              </w:rPr>
              <w:t>Output 1.4</w:t>
            </w:r>
            <w:r w:rsidR="002A5168">
              <w:rPr>
                <w:sz w:val="20"/>
                <w:szCs w:val="20"/>
              </w:rPr>
              <w:t xml:space="preserve">: </w:t>
            </w:r>
            <w:r w:rsidR="002A5168" w:rsidRPr="00D80607">
              <w:rPr>
                <w:rFonts w:eastAsia="Times New Roman" w:cs="Times New Roman"/>
              </w:rPr>
              <w:t xml:space="preserve"> Management and monitoring of the project</w:t>
            </w:r>
          </w:p>
        </w:tc>
        <w:tc>
          <w:tcPr>
            <w:tcW w:w="2790" w:type="dxa"/>
          </w:tcPr>
          <w:p w:rsidR="00574624" w:rsidRPr="00937EBB" w:rsidRDefault="0029010F" w:rsidP="00F50154">
            <w:pPr>
              <w:bidi w:val="0"/>
              <w:jc w:val="both"/>
              <w:rPr>
                <w:rtl/>
                <w:lang w:bidi="ar-YE"/>
              </w:rPr>
            </w:pPr>
            <w:r>
              <w:rPr>
                <w:lang w:bidi="ar-YE"/>
              </w:rPr>
              <w:t>As of March 31</w:t>
            </w:r>
            <w:r w:rsidRPr="0029010F">
              <w:rPr>
                <w:vertAlign w:val="superscript"/>
                <w:lang w:bidi="ar-YE"/>
              </w:rPr>
              <w:t>st</w:t>
            </w:r>
            <w:r>
              <w:rPr>
                <w:lang w:bidi="ar-YE"/>
              </w:rPr>
              <w:t xml:space="preserve">, all project support staff was recruited and operational. Project reports were delivered as planned. </w:t>
            </w:r>
          </w:p>
        </w:tc>
        <w:tc>
          <w:tcPr>
            <w:tcW w:w="1403" w:type="dxa"/>
          </w:tcPr>
          <w:p w:rsidR="00574624" w:rsidRPr="00937EBB" w:rsidRDefault="00327AB0" w:rsidP="00F50154">
            <w:pPr>
              <w:bidi w:val="0"/>
              <w:jc w:val="both"/>
              <w:rPr>
                <w:rtl/>
                <w:lang w:bidi="ar-YE"/>
              </w:rPr>
            </w:pPr>
            <w:r>
              <w:rPr>
                <w:rFonts w:eastAsia="Times New Roman" w:cs="Times New Roman"/>
              </w:rPr>
              <w:t>25</w:t>
            </w:r>
            <w:r w:rsidR="002A5168" w:rsidRPr="00D80607">
              <w:rPr>
                <w:rFonts w:eastAsia="Times New Roman" w:cs="Times New Roman"/>
              </w:rPr>
              <w:t>%</w:t>
            </w:r>
            <w:r>
              <w:rPr>
                <w:rFonts w:eastAsia="Times New Roman" w:cs="Times New Roman"/>
              </w:rPr>
              <w:t xml:space="preserve"> on an annual basis</w:t>
            </w:r>
          </w:p>
        </w:tc>
        <w:tc>
          <w:tcPr>
            <w:tcW w:w="1463" w:type="dxa"/>
          </w:tcPr>
          <w:p w:rsidR="00574624" w:rsidRPr="00937EBB" w:rsidRDefault="00327AB0" w:rsidP="00F50154">
            <w:pPr>
              <w:bidi w:val="0"/>
              <w:jc w:val="both"/>
            </w:pPr>
            <w:r>
              <w:t>Project management and monitoring was proceeding as planned.</w:t>
            </w:r>
          </w:p>
        </w:tc>
      </w:tr>
    </w:tbl>
    <w:p w:rsidR="00574624" w:rsidRDefault="00574624" w:rsidP="00F50154">
      <w:pPr>
        <w:pStyle w:val="ListParagraph"/>
        <w:jc w:val="both"/>
        <w:rPr>
          <w:b/>
          <w:bCs/>
          <w:lang w:bidi="ar-YE"/>
        </w:rPr>
      </w:pPr>
    </w:p>
    <w:p w:rsidR="00574624" w:rsidRDefault="00574624" w:rsidP="00F50154">
      <w:pPr>
        <w:pStyle w:val="ListParagraph"/>
        <w:jc w:val="both"/>
        <w:rPr>
          <w:b/>
          <w:bCs/>
          <w:lang w:bidi="ar-YE"/>
        </w:rPr>
      </w:pPr>
    </w:p>
    <w:p w:rsidR="00574624" w:rsidRDefault="00574624" w:rsidP="00F50154">
      <w:pPr>
        <w:pStyle w:val="ListParagraph"/>
        <w:jc w:val="both"/>
        <w:rPr>
          <w:b/>
          <w:bCs/>
          <w:lang w:bidi="ar-YE"/>
        </w:rPr>
      </w:pPr>
    </w:p>
    <w:p w:rsidR="00574624" w:rsidRDefault="00574624" w:rsidP="00F50154">
      <w:pPr>
        <w:pStyle w:val="ListParagraph"/>
        <w:jc w:val="both"/>
        <w:rPr>
          <w:b/>
          <w:bCs/>
          <w:lang w:bidi="ar-YE"/>
        </w:rPr>
      </w:pPr>
    </w:p>
    <w:p w:rsidR="005B16A5" w:rsidRPr="00C00B67" w:rsidRDefault="00C00B67" w:rsidP="00F50154">
      <w:pPr>
        <w:pStyle w:val="ListParagraph"/>
        <w:numPr>
          <w:ilvl w:val="0"/>
          <w:numId w:val="4"/>
        </w:numPr>
        <w:spacing w:after="0" w:line="240" w:lineRule="auto"/>
        <w:ind w:left="360" w:firstLine="0"/>
        <w:jc w:val="both"/>
        <w:rPr>
          <w:b/>
          <w:bCs/>
          <w:lang w:bidi="ar-YE"/>
        </w:rPr>
      </w:pPr>
      <w:r w:rsidRPr="00C00B67">
        <w:rPr>
          <w:b/>
          <w:bCs/>
          <w:lang w:bidi="ar-YE"/>
        </w:rPr>
        <w:t>Financial reporting against Outputs</w:t>
      </w:r>
    </w:p>
    <w:p w:rsidR="00C00B67" w:rsidRPr="00937EBB" w:rsidRDefault="00C00B67" w:rsidP="00F50154">
      <w:pPr>
        <w:bidi w:val="0"/>
        <w:spacing w:after="0" w:line="240" w:lineRule="auto"/>
        <w:jc w:val="both"/>
        <w:rPr>
          <w:b/>
          <w:bCs/>
          <w:lang w:bidi="ar-YE"/>
        </w:rPr>
      </w:pPr>
    </w:p>
    <w:p w:rsidR="002832EE" w:rsidRPr="00937EBB" w:rsidRDefault="002832EE" w:rsidP="00F50154">
      <w:pPr>
        <w:bidi w:val="0"/>
        <w:spacing w:after="0" w:line="240" w:lineRule="auto"/>
        <w:jc w:val="both"/>
        <w:rPr>
          <w:lang w:bidi="ar-YE"/>
        </w:rPr>
      </w:pPr>
    </w:p>
    <w:tbl>
      <w:tblPr>
        <w:tblStyle w:val="TableGrid2"/>
        <w:tblpPr w:leftFromText="180" w:rightFromText="180" w:vertAnchor="text" w:horzAnchor="margin" w:tblpYSpec="center"/>
        <w:tblW w:w="10259" w:type="dxa"/>
        <w:tblLook w:val="04A0" w:firstRow="1" w:lastRow="0" w:firstColumn="1" w:lastColumn="0" w:noHBand="0" w:noVBand="1"/>
      </w:tblPr>
      <w:tblGrid>
        <w:gridCol w:w="2227"/>
        <w:gridCol w:w="1691"/>
        <w:gridCol w:w="1551"/>
        <w:gridCol w:w="1904"/>
        <w:gridCol w:w="1461"/>
        <w:gridCol w:w="1425"/>
      </w:tblGrid>
      <w:tr w:rsidR="002832EE" w:rsidRPr="00937EBB" w:rsidTr="002832EE">
        <w:trPr>
          <w:trHeight w:val="759"/>
        </w:trPr>
        <w:tc>
          <w:tcPr>
            <w:tcW w:w="10259" w:type="dxa"/>
            <w:gridSpan w:val="6"/>
            <w:shd w:val="clear" w:color="auto" w:fill="C4BC96" w:themeFill="background2" w:themeFillShade="BF"/>
          </w:tcPr>
          <w:p w:rsidR="002832EE" w:rsidRPr="00937EBB" w:rsidRDefault="00C00B67" w:rsidP="00F50154">
            <w:pPr>
              <w:bidi w:val="0"/>
              <w:jc w:val="both"/>
              <w:rPr>
                <w:b/>
                <w:bCs/>
                <w:sz w:val="32"/>
                <w:szCs w:val="32"/>
                <w:rtl/>
                <w:lang w:bidi="ar-YE"/>
              </w:rPr>
            </w:pPr>
            <w:r>
              <w:rPr>
                <w:b/>
                <w:bCs/>
                <w:sz w:val="32"/>
                <w:szCs w:val="32"/>
              </w:rPr>
              <w:t>Expenditures 1 April</w:t>
            </w:r>
            <w:r w:rsidR="002832EE" w:rsidRPr="00937EBB">
              <w:rPr>
                <w:b/>
                <w:bCs/>
                <w:sz w:val="32"/>
                <w:szCs w:val="32"/>
              </w:rPr>
              <w:t xml:space="preserve"> 2014</w:t>
            </w:r>
            <w:r>
              <w:rPr>
                <w:b/>
                <w:bCs/>
                <w:sz w:val="32"/>
                <w:szCs w:val="32"/>
              </w:rPr>
              <w:t>- 31 March 2015</w:t>
            </w:r>
          </w:p>
        </w:tc>
      </w:tr>
      <w:tr w:rsidR="002832EE" w:rsidRPr="00937EBB" w:rsidTr="002832EE">
        <w:trPr>
          <w:trHeight w:val="759"/>
        </w:trPr>
        <w:tc>
          <w:tcPr>
            <w:tcW w:w="2233" w:type="dxa"/>
            <w:shd w:val="clear" w:color="auto" w:fill="C4BC96" w:themeFill="background2" w:themeFillShade="BF"/>
          </w:tcPr>
          <w:p w:rsidR="002832EE" w:rsidRPr="00937EBB" w:rsidRDefault="00574624" w:rsidP="00F50154">
            <w:pPr>
              <w:bidi w:val="0"/>
              <w:jc w:val="both"/>
              <w:rPr>
                <w:b/>
                <w:bCs/>
                <w:sz w:val="24"/>
                <w:szCs w:val="24"/>
              </w:rPr>
            </w:pPr>
            <w:r>
              <w:rPr>
                <w:b/>
                <w:bCs/>
                <w:sz w:val="24"/>
                <w:szCs w:val="24"/>
              </w:rPr>
              <w:t>Project Outcome/Output</w:t>
            </w:r>
          </w:p>
          <w:p w:rsidR="002832EE" w:rsidRPr="00937EBB" w:rsidRDefault="002832EE" w:rsidP="00F50154">
            <w:pPr>
              <w:bidi w:val="0"/>
              <w:jc w:val="both"/>
              <w:rPr>
                <w:b/>
                <w:bCs/>
                <w:sz w:val="24"/>
                <w:szCs w:val="24"/>
              </w:rPr>
            </w:pPr>
          </w:p>
        </w:tc>
        <w:tc>
          <w:tcPr>
            <w:tcW w:w="1702" w:type="dxa"/>
            <w:shd w:val="clear" w:color="auto" w:fill="C4BC96" w:themeFill="background2" w:themeFillShade="BF"/>
          </w:tcPr>
          <w:p w:rsidR="002832EE" w:rsidRPr="00937EBB" w:rsidRDefault="002832EE" w:rsidP="00F50154">
            <w:pPr>
              <w:bidi w:val="0"/>
              <w:jc w:val="both"/>
              <w:rPr>
                <w:b/>
                <w:bCs/>
                <w:sz w:val="24"/>
                <w:szCs w:val="24"/>
              </w:rPr>
            </w:pPr>
            <w:r w:rsidRPr="00937EBB">
              <w:rPr>
                <w:b/>
                <w:bCs/>
                <w:sz w:val="24"/>
                <w:szCs w:val="24"/>
              </w:rPr>
              <w:t>Budget</w:t>
            </w:r>
          </w:p>
        </w:tc>
        <w:tc>
          <w:tcPr>
            <w:tcW w:w="1559" w:type="dxa"/>
            <w:shd w:val="clear" w:color="auto" w:fill="C4BC96" w:themeFill="background2" w:themeFillShade="BF"/>
          </w:tcPr>
          <w:p w:rsidR="002832EE" w:rsidRPr="00937EBB" w:rsidRDefault="002832EE" w:rsidP="00F50154">
            <w:pPr>
              <w:bidi w:val="0"/>
              <w:jc w:val="both"/>
              <w:rPr>
                <w:b/>
                <w:bCs/>
                <w:sz w:val="24"/>
                <w:szCs w:val="24"/>
              </w:rPr>
            </w:pPr>
            <w:r w:rsidRPr="00937EBB">
              <w:rPr>
                <w:b/>
                <w:bCs/>
                <w:sz w:val="24"/>
                <w:szCs w:val="24"/>
              </w:rPr>
              <w:t>Total expenses</w:t>
            </w:r>
          </w:p>
        </w:tc>
        <w:tc>
          <w:tcPr>
            <w:tcW w:w="1911" w:type="dxa"/>
            <w:shd w:val="clear" w:color="auto" w:fill="C4BC96" w:themeFill="background2" w:themeFillShade="BF"/>
          </w:tcPr>
          <w:p w:rsidR="002832EE" w:rsidRPr="00937EBB" w:rsidRDefault="002832EE" w:rsidP="00F50154">
            <w:pPr>
              <w:bidi w:val="0"/>
              <w:jc w:val="both"/>
              <w:rPr>
                <w:b/>
                <w:bCs/>
                <w:sz w:val="24"/>
                <w:szCs w:val="24"/>
              </w:rPr>
            </w:pPr>
            <w:r w:rsidRPr="00937EBB">
              <w:rPr>
                <w:b/>
                <w:bCs/>
                <w:sz w:val="24"/>
                <w:szCs w:val="24"/>
              </w:rPr>
              <w:t>Commitments</w:t>
            </w:r>
          </w:p>
        </w:tc>
        <w:tc>
          <w:tcPr>
            <w:tcW w:w="1424" w:type="dxa"/>
            <w:shd w:val="clear" w:color="auto" w:fill="C4BC96" w:themeFill="background2" w:themeFillShade="BF"/>
          </w:tcPr>
          <w:p w:rsidR="002832EE" w:rsidRPr="00937EBB" w:rsidRDefault="002832EE" w:rsidP="00F50154">
            <w:pPr>
              <w:bidi w:val="0"/>
              <w:jc w:val="both"/>
              <w:rPr>
                <w:b/>
                <w:bCs/>
                <w:sz w:val="24"/>
                <w:szCs w:val="24"/>
              </w:rPr>
            </w:pPr>
            <w:r w:rsidRPr="00937EBB">
              <w:rPr>
                <w:b/>
                <w:bCs/>
                <w:sz w:val="24"/>
                <w:szCs w:val="24"/>
              </w:rPr>
              <w:t>Balance</w:t>
            </w:r>
          </w:p>
        </w:tc>
        <w:tc>
          <w:tcPr>
            <w:tcW w:w="1430" w:type="dxa"/>
            <w:shd w:val="clear" w:color="auto" w:fill="C4BC96" w:themeFill="background2" w:themeFillShade="BF"/>
          </w:tcPr>
          <w:p w:rsidR="002832EE" w:rsidRPr="00937EBB" w:rsidRDefault="002832EE" w:rsidP="00F50154">
            <w:pPr>
              <w:bidi w:val="0"/>
              <w:jc w:val="both"/>
              <w:rPr>
                <w:b/>
                <w:bCs/>
                <w:sz w:val="24"/>
                <w:szCs w:val="24"/>
              </w:rPr>
            </w:pPr>
            <w:r w:rsidRPr="00937EBB">
              <w:rPr>
                <w:b/>
                <w:bCs/>
                <w:sz w:val="24"/>
                <w:szCs w:val="24"/>
              </w:rPr>
              <w:t>% utilization</w:t>
            </w:r>
          </w:p>
        </w:tc>
      </w:tr>
      <w:tr w:rsidR="00574624" w:rsidRPr="00937EBB" w:rsidTr="002832EE">
        <w:trPr>
          <w:trHeight w:val="331"/>
        </w:trPr>
        <w:tc>
          <w:tcPr>
            <w:tcW w:w="2233" w:type="dxa"/>
            <w:shd w:val="clear" w:color="auto" w:fill="F2F2F2" w:themeFill="background1" w:themeFillShade="F2"/>
          </w:tcPr>
          <w:p w:rsidR="00574624" w:rsidRPr="00937EBB" w:rsidRDefault="003930C2" w:rsidP="00F50154">
            <w:pPr>
              <w:bidi w:val="0"/>
              <w:jc w:val="both"/>
            </w:pPr>
            <w:r>
              <w:t>Project Outcome</w:t>
            </w:r>
          </w:p>
        </w:tc>
        <w:tc>
          <w:tcPr>
            <w:tcW w:w="1702" w:type="dxa"/>
            <w:shd w:val="clear" w:color="auto" w:fill="F2F2F2" w:themeFill="background1" w:themeFillShade="F2"/>
          </w:tcPr>
          <w:p w:rsidR="00574624" w:rsidRPr="00937EBB" w:rsidRDefault="00574624" w:rsidP="00F50154">
            <w:pPr>
              <w:bidi w:val="0"/>
              <w:jc w:val="both"/>
            </w:pPr>
          </w:p>
        </w:tc>
        <w:tc>
          <w:tcPr>
            <w:tcW w:w="1559" w:type="dxa"/>
          </w:tcPr>
          <w:p w:rsidR="00574624" w:rsidRPr="00937EBB" w:rsidRDefault="00574624" w:rsidP="00F50154">
            <w:pPr>
              <w:bidi w:val="0"/>
              <w:jc w:val="both"/>
            </w:pPr>
          </w:p>
        </w:tc>
        <w:tc>
          <w:tcPr>
            <w:tcW w:w="1911" w:type="dxa"/>
          </w:tcPr>
          <w:p w:rsidR="00574624" w:rsidRPr="00937EBB" w:rsidRDefault="00574624" w:rsidP="00F50154">
            <w:pPr>
              <w:bidi w:val="0"/>
              <w:jc w:val="both"/>
            </w:pPr>
          </w:p>
        </w:tc>
        <w:tc>
          <w:tcPr>
            <w:tcW w:w="1424" w:type="dxa"/>
          </w:tcPr>
          <w:p w:rsidR="00574624" w:rsidRPr="00937EBB" w:rsidRDefault="00574624" w:rsidP="00F50154">
            <w:pPr>
              <w:bidi w:val="0"/>
              <w:jc w:val="both"/>
            </w:pPr>
          </w:p>
        </w:tc>
        <w:tc>
          <w:tcPr>
            <w:tcW w:w="1430" w:type="dxa"/>
          </w:tcPr>
          <w:p w:rsidR="00574624" w:rsidRPr="00937EBB" w:rsidRDefault="00574624" w:rsidP="00F50154">
            <w:pPr>
              <w:bidi w:val="0"/>
              <w:jc w:val="both"/>
            </w:pPr>
          </w:p>
        </w:tc>
      </w:tr>
      <w:tr w:rsidR="002832EE" w:rsidRPr="00937EBB" w:rsidTr="002832EE">
        <w:trPr>
          <w:trHeight w:val="331"/>
        </w:trPr>
        <w:tc>
          <w:tcPr>
            <w:tcW w:w="2233" w:type="dxa"/>
            <w:shd w:val="clear" w:color="auto" w:fill="F2F2F2" w:themeFill="background1" w:themeFillShade="F2"/>
          </w:tcPr>
          <w:p w:rsidR="002832EE" w:rsidRPr="00937EBB" w:rsidRDefault="002832EE" w:rsidP="00F50154">
            <w:pPr>
              <w:bidi w:val="0"/>
              <w:jc w:val="both"/>
            </w:pPr>
            <w:r w:rsidRPr="00937EBB">
              <w:t>Output 1.1</w:t>
            </w:r>
            <w:r w:rsidR="00881BE8">
              <w:rPr>
                <w:rStyle w:val="FootnoteReference"/>
              </w:rPr>
              <w:footnoteReference w:id="1"/>
            </w:r>
          </w:p>
        </w:tc>
        <w:tc>
          <w:tcPr>
            <w:tcW w:w="1702" w:type="dxa"/>
            <w:shd w:val="clear" w:color="auto" w:fill="F2F2F2" w:themeFill="background1" w:themeFillShade="F2"/>
          </w:tcPr>
          <w:p w:rsidR="002832EE" w:rsidRPr="00937EBB" w:rsidRDefault="00EE7FC3" w:rsidP="00F50154">
            <w:pPr>
              <w:bidi w:val="0"/>
              <w:jc w:val="both"/>
            </w:pPr>
            <w:r>
              <w:t>275,427.68</w:t>
            </w:r>
          </w:p>
        </w:tc>
        <w:tc>
          <w:tcPr>
            <w:tcW w:w="1559" w:type="dxa"/>
          </w:tcPr>
          <w:p w:rsidR="002832EE" w:rsidRPr="00937EBB" w:rsidRDefault="00EE7FC3" w:rsidP="00F50154">
            <w:pPr>
              <w:bidi w:val="0"/>
              <w:jc w:val="both"/>
            </w:pPr>
            <w:r>
              <w:t>223,400</w:t>
            </w:r>
          </w:p>
        </w:tc>
        <w:tc>
          <w:tcPr>
            <w:tcW w:w="1911" w:type="dxa"/>
          </w:tcPr>
          <w:p w:rsidR="002832EE" w:rsidRPr="00937EBB" w:rsidRDefault="002832EE" w:rsidP="00F50154">
            <w:pPr>
              <w:bidi w:val="0"/>
              <w:jc w:val="both"/>
            </w:pPr>
          </w:p>
        </w:tc>
        <w:tc>
          <w:tcPr>
            <w:tcW w:w="1424" w:type="dxa"/>
          </w:tcPr>
          <w:p w:rsidR="002832EE" w:rsidRPr="00937EBB" w:rsidRDefault="00D144E1" w:rsidP="00F50154">
            <w:pPr>
              <w:bidi w:val="0"/>
              <w:jc w:val="both"/>
            </w:pPr>
            <w:r>
              <w:t>US$</w:t>
            </w:r>
            <w:r w:rsidR="00EE7FC3">
              <w:t>52,027.78</w:t>
            </w:r>
          </w:p>
        </w:tc>
        <w:tc>
          <w:tcPr>
            <w:tcW w:w="1430" w:type="dxa"/>
          </w:tcPr>
          <w:p w:rsidR="002832EE" w:rsidRPr="00937EBB" w:rsidRDefault="00EE7FC3" w:rsidP="00F50154">
            <w:pPr>
              <w:bidi w:val="0"/>
              <w:jc w:val="both"/>
            </w:pPr>
            <w:r>
              <w:t>81</w:t>
            </w:r>
            <w:r w:rsidR="002832EE" w:rsidRPr="00937EBB">
              <w:t>%</w:t>
            </w:r>
          </w:p>
        </w:tc>
      </w:tr>
      <w:tr w:rsidR="002832EE" w:rsidRPr="00937EBB" w:rsidTr="002832EE">
        <w:trPr>
          <w:trHeight w:val="350"/>
        </w:trPr>
        <w:tc>
          <w:tcPr>
            <w:tcW w:w="2233" w:type="dxa"/>
            <w:shd w:val="clear" w:color="auto" w:fill="F2F2F2" w:themeFill="background1" w:themeFillShade="F2"/>
          </w:tcPr>
          <w:p w:rsidR="002832EE" w:rsidRPr="00937EBB" w:rsidRDefault="002832EE" w:rsidP="00F50154">
            <w:pPr>
              <w:bidi w:val="0"/>
              <w:jc w:val="both"/>
            </w:pPr>
            <w:r w:rsidRPr="00937EBB">
              <w:t>Output 1.2</w:t>
            </w:r>
            <w:r w:rsidR="00881BE8">
              <w:rPr>
                <w:rStyle w:val="FootnoteReference"/>
              </w:rPr>
              <w:footnoteReference w:id="2"/>
            </w:r>
          </w:p>
        </w:tc>
        <w:tc>
          <w:tcPr>
            <w:tcW w:w="1702" w:type="dxa"/>
            <w:shd w:val="clear" w:color="auto" w:fill="F2F2F2" w:themeFill="background1" w:themeFillShade="F2"/>
          </w:tcPr>
          <w:p w:rsidR="002832EE" w:rsidRPr="00937EBB" w:rsidRDefault="00EE7FC3" w:rsidP="00F50154">
            <w:pPr>
              <w:bidi w:val="0"/>
              <w:jc w:val="both"/>
            </w:pPr>
            <w:r>
              <w:t>0</w:t>
            </w:r>
          </w:p>
        </w:tc>
        <w:tc>
          <w:tcPr>
            <w:tcW w:w="1559" w:type="dxa"/>
          </w:tcPr>
          <w:p w:rsidR="002832EE" w:rsidRPr="00937EBB" w:rsidRDefault="00583A7A" w:rsidP="00F50154">
            <w:pPr>
              <w:bidi w:val="0"/>
              <w:jc w:val="both"/>
            </w:pPr>
            <w:r>
              <w:t>0</w:t>
            </w:r>
          </w:p>
        </w:tc>
        <w:tc>
          <w:tcPr>
            <w:tcW w:w="1911" w:type="dxa"/>
          </w:tcPr>
          <w:p w:rsidR="002832EE" w:rsidRPr="00937EBB" w:rsidRDefault="002832EE" w:rsidP="00F50154">
            <w:pPr>
              <w:bidi w:val="0"/>
              <w:jc w:val="both"/>
            </w:pPr>
          </w:p>
        </w:tc>
        <w:tc>
          <w:tcPr>
            <w:tcW w:w="1424" w:type="dxa"/>
          </w:tcPr>
          <w:p w:rsidR="002832EE" w:rsidRPr="00937EBB" w:rsidRDefault="002832EE" w:rsidP="00F50154">
            <w:pPr>
              <w:bidi w:val="0"/>
              <w:jc w:val="both"/>
            </w:pPr>
          </w:p>
        </w:tc>
        <w:tc>
          <w:tcPr>
            <w:tcW w:w="1430" w:type="dxa"/>
          </w:tcPr>
          <w:p w:rsidR="002832EE" w:rsidRPr="00937EBB" w:rsidRDefault="004F2B4B" w:rsidP="00F50154">
            <w:pPr>
              <w:bidi w:val="0"/>
              <w:jc w:val="both"/>
            </w:pPr>
            <w:r>
              <w:t>0</w:t>
            </w:r>
            <w:r w:rsidR="002832EE" w:rsidRPr="00937EBB">
              <w:t>%</w:t>
            </w:r>
          </w:p>
        </w:tc>
      </w:tr>
      <w:tr w:rsidR="002832EE" w:rsidRPr="00937EBB" w:rsidTr="002832EE">
        <w:trPr>
          <w:trHeight w:val="331"/>
        </w:trPr>
        <w:tc>
          <w:tcPr>
            <w:tcW w:w="2233" w:type="dxa"/>
            <w:shd w:val="clear" w:color="auto" w:fill="F2F2F2" w:themeFill="background1" w:themeFillShade="F2"/>
          </w:tcPr>
          <w:p w:rsidR="002832EE" w:rsidRPr="00937EBB" w:rsidRDefault="002832EE" w:rsidP="00F50154">
            <w:pPr>
              <w:bidi w:val="0"/>
              <w:jc w:val="both"/>
            </w:pPr>
            <w:r w:rsidRPr="00937EBB">
              <w:t>Output 1.3</w:t>
            </w:r>
            <w:r w:rsidR="00EE7FC3">
              <w:rPr>
                <w:rStyle w:val="FootnoteReference"/>
              </w:rPr>
              <w:footnoteReference w:id="3"/>
            </w:r>
          </w:p>
        </w:tc>
        <w:tc>
          <w:tcPr>
            <w:tcW w:w="1702" w:type="dxa"/>
            <w:shd w:val="clear" w:color="auto" w:fill="F2F2F2" w:themeFill="background1" w:themeFillShade="F2"/>
          </w:tcPr>
          <w:p w:rsidR="002832EE" w:rsidRPr="00937EBB" w:rsidRDefault="00EE7FC3" w:rsidP="00F50154">
            <w:pPr>
              <w:bidi w:val="0"/>
              <w:jc w:val="both"/>
            </w:pPr>
            <w:r>
              <w:t>0</w:t>
            </w:r>
          </w:p>
        </w:tc>
        <w:tc>
          <w:tcPr>
            <w:tcW w:w="1559" w:type="dxa"/>
          </w:tcPr>
          <w:p w:rsidR="002832EE" w:rsidRPr="00937EBB" w:rsidRDefault="00E61F10" w:rsidP="00F50154">
            <w:pPr>
              <w:bidi w:val="0"/>
              <w:jc w:val="both"/>
            </w:pPr>
            <w:r>
              <w:t>0</w:t>
            </w:r>
          </w:p>
        </w:tc>
        <w:tc>
          <w:tcPr>
            <w:tcW w:w="1911" w:type="dxa"/>
          </w:tcPr>
          <w:p w:rsidR="002832EE" w:rsidRPr="00937EBB" w:rsidRDefault="002832EE" w:rsidP="00F50154">
            <w:pPr>
              <w:bidi w:val="0"/>
              <w:jc w:val="both"/>
            </w:pPr>
          </w:p>
        </w:tc>
        <w:tc>
          <w:tcPr>
            <w:tcW w:w="1424" w:type="dxa"/>
          </w:tcPr>
          <w:p w:rsidR="002832EE" w:rsidRPr="00937EBB" w:rsidRDefault="002832EE" w:rsidP="00F50154">
            <w:pPr>
              <w:bidi w:val="0"/>
              <w:jc w:val="both"/>
            </w:pPr>
          </w:p>
        </w:tc>
        <w:tc>
          <w:tcPr>
            <w:tcW w:w="1430" w:type="dxa"/>
          </w:tcPr>
          <w:p w:rsidR="002832EE" w:rsidRPr="00937EBB" w:rsidRDefault="00E61F10" w:rsidP="00F50154">
            <w:pPr>
              <w:bidi w:val="0"/>
              <w:jc w:val="both"/>
            </w:pPr>
            <w:r>
              <w:t>0</w:t>
            </w:r>
            <w:r w:rsidR="00C00B67">
              <w:rPr>
                <w:rtl/>
              </w:rPr>
              <w:t>%</w:t>
            </w:r>
          </w:p>
        </w:tc>
      </w:tr>
      <w:tr w:rsidR="002832EE" w:rsidRPr="00937EBB" w:rsidTr="002832EE">
        <w:trPr>
          <w:trHeight w:val="350"/>
        </w:trPr>
        <w:tc>
          <w:tcPr>
            <w:tcW w:w="2233" w:type="dxa"/>
            <w:shd w:val="clear" w:color="auto" w:fill="F2F2F2" w:themeFill="background1" w:themeFillShade="F2"/>
          </w:tcPr>
          <w:p w:rsidR="002832EE" w:rsidRPr="00937EBB" w:rsidRDefault="002832EE" w:rsidP="00F50154">
            <w:pPr>
              <w:bidi w:val="0"/>
              <w:jc w:val="both"/>
            </w:pPr>
            <w:r w:rsidRPr="00937EBB">
              <w:t>Output 1.4</w:t>
            </w:r>
            <w:r w:rsidR="00583A7A">
              <w:rPr>
                <w:rStyle w:val="FootnoteReference"/>
              </w:rPr>
              <w:footnoteReference w:id="4"/>
            </w:r>
          </w:p>
        </w:tc>
        <w:tc>
          <w:tcPr>
            <w:tcW w:w="1702" w:type="dxa"/>
            <w:shd w:val="clear" w:color="auto" w:fill="F2F2F2" w:themeFill="background1" w:themeFillShade="F2"/>
          </w:tcPr>
          <w:p w:rsidR="002832EE" w:rsidRPr="00937EBB" w:rsidRDefault="00D144E1" w:rsidP="00F50154">
            <w:pPr>
              <w:bidi w:val="0"/>
              <w:jc w:val="both"/>
            </w:pPr>
            <w:r>
              <w:t>63.243.71</w:t>
            </w:r>
          </w:p>
        </w:tc>
        <w:tc>
          <w:tcPr>
            <w:tcW w:w="1559" w:type="dxa"/>
          </w:tcPr>
          <w:p w:rsidR="002832EE" w:rsidRPr="00937EBB" w:rsidRDefault="00D144E1" w:rsidP="00F50154">
            <w:pPr>
              <w:bidi w:val="0"/>
              <w:jc w:val="both"/>
            </w:pPr>
            <w:r>
              <w:t>63,999.71</w:t>
            </w:r>
            <w:r w:rsidR="004F43A6">
              <w:rPr>
                <w:rStyle w:val="FootnoteReference"/>
              </w:rPr>
              <w:footnoteReference w:id="5"/>
            </w:r>
          </w:p>
        </w:tc>
        <w:tc>
          <w:tcPr>
            <w:tcW w:w="1911" w:type="dxa"/>
          </w:tcPr>
          <w:p w:rsidR="002832EE" w:rsidRPr="00937EBB" w:rsidRDefault="002832EE" w:rsidP="00F50154">
            <w:pPr>
              <w:bidi w:val="0"/>
              <w:jc w:val="both"/>
            </w:pPr>
          </w:p>
        </w:tc>
        <w:tc>
          <w:tcPr>
            <w:tcW w:w="1424" w:type="dxa"/>
          </w:tcPr>
          <w:p w:rsidR="002832EE" w:rsidRPr="00937EBB" w:rsidRDefault="00D144E1" w:rsidP="007138EA">
            <w:pPr>
              <w:bidi w:val="0"/>
              <w:jc w:val="both"/>
            </w:pPr>
            <w:r>
              <w:t>-$US$</w:t>
            </w:r>
            <w:r w:rsidR="007138EA">
              <w:t>756</w:t>
            </w:r>
          </w:p>
        </w:tc>
        <w:tc>
          <w:tcPr>
            <w:tcW w:w="1430" w:type="dxa"/>
          </w:tcPr>
          <w:p w:rsidR="002832EE" w:rsidRPr="00937EBB" w:rsidRDefault="005D648F" w:rsidP="007138EA">
            <w:pPr>
              <w:bidi w:val="0"/>
              <w:jc w:val="both"/>
            </w:pPr>
            <w:r>
              <w:t>10</w:t>
            </w:r>
            <w:r w:rsidR="007138EA">
              <w:t>0</w:t>
            </w:r>
            <w:r w:rsidR="00C00B67">
              <w:rPr>
                <w:rtl/>
              </w:rPr>
              <w:t>%</w:t>
            </w:r>
          </w:p>
        </w:tc>
      </w:tr>
      <w:tr w:rsidR="002832EE" w:rsidRPr="00937EBB" w:rsidTr="002832EE">
        <w:trPr>
          <w:trHeight w:val="350"/>
        </w:trPr>
        <w:tc>
          <w:tcPr>
            <w:tcW w:w="2233" w:type="dxa"/>
            <w:shd w:val="clear" w:color="auto" w:fill="F2F2F2" w:themeFill="background1" w:themeFillShade="F2"/>
          </w:tcPr>
          <w:p w:rsidR="002832EE" w:rsidRPr="00937EBB" w:rsidRDefault="002832EE" w:rsidP="00F50154">
            <w:pPr>
              <w:bidi w:val="0"/>
              <w:jc w:val="both"/>
              <w:rPr>
                <w:b/>
                <w:bCs/>
              </w:rPr>
            </w:pPr>
            <w:r w:rsidRPr="00937EBB">
              <w:rPr>
                <w:b/>
                <w:bCs/>
              </w:rPr>
              <w:t>Total</w:t>
            </w:r>
          </w:p>
        </w:tc>
        <w:tc>
          <w:tcPr>
            <w:tcW w:w="1702" w:type="dxa"/>
            <w:shd w:val="clear" w:color="auto" w:fill="F2F2F2" w:themeFill="background1" w:themeFillShade="F2"/>
          </w:tcPr>
          <w:p w:rsidR="002832EE" w:rsidRPr="00937EBB" w:rsidRDefault="0072766C" w:rsidP="00F50154">
            <w:pPr>
              <w:bidi w:val="0"/>
              <w:jc w:val="both"/>
            </w:pPr>
            <w:r>
              <w:t>338,671.39</w:t>
            </w:r>
          </w:p>
        </w:tc>
        <w:tc>
          <w:tcPr>
            <w:tcW w:w="1559" w:type="dxa"/>
          </w:tcPr>
          <w:p w:rsidR="002832EE" w:rsidRPr="00937EBB" w:rsidRDefault="0072766C" w:rsidP="00F50154">
            <w:pPr>
              <w:bidi w:val="0"/>
              <w:jc w:val="both"/>
            </w:pPr>
            <w:r>
              <w:t>287,399.71</w:t>
            </w:r>
          </w:p>
        </w:tc>
        <w:tc>
          <w:tcPr>
            <w:tcW w:w="1911" w:type="dxa"/>
          </w:tcPr>
          <w:p w:rsidR="002832EE" w:rsidRPr="00937EBB" w:rsidRDefault="002832EE" w:rsidP="00F50154">
            <w:pPr>
              <w:bidi w:val="0"/>
              <w:jc w:val="both"/>
            </w:pPr>
          </w:p>
        </w:tc>
        <w:tc>
          <w:tcPr>
            <w:tcW w:w="1424" w:type="dxa"/>
          </w:tcPr>
          <w:p w:rsidR="002832EE" w:rsidRPr="00937EBB" w:rsidRDefault="0072766C" w:rsidP="00F50154">
            <w:pPr>
              <w:bidi w:val="0"/>
              <w:jc w:val="both"/>
            </w:pPr>
            <w:r>
              <w:t>51,271.78</w:t>
            </w:r>
          </w:p>
        </w:tc>
        <w:tc>
          <w:tcPr>
            <w:tcW w:w="1430" w:type="dxa"/>
          </w:tcPr>
          <w:p w:rsidR="002832EE" w:rsidRPr="00937EBB" w:rsidRDefault="002832EE" w:rsidP="00F50154">
            <w:pPr>
              <w:bidi w:val="0"/>
              <w:jc w:val="both"/>
            </w:pPr>
            <w:r w:rsidRPr="00937EBB">
              <w:t xml:space="preserve"> </w:t>
            </w:r>
            <w:r w:rsidR="006B3612">
              <w:t>85</w:t>
            </w:r>
            <w:r w:rsidRPr="00937EBB">
              <w:t>%</w:t>
            </w:r>
          </w:p>
        </w:tc>
      </w:tr>
    </w:tbl>
    <w:p w:rsidR="002832EE" w:rsidRDefault="002832EE" w:rsidP="00F50154">
      <w:pPr>
        <w:bidi w:val="0"/>
        <w:spacing w:after="0" w:line="240" w:lineRule="auto"/>
        <w:ind w:left="360"/>
        <w:jc w:val="both"/>
        <w:rPr>
          <w:rFonts w:asciiTheme="majorBidi" w:hAnsiTheme="majorBidi" w:cstheme="majorBidi"/>
          <w:b/>
          <w:bCs/>
          <w:lang w:bidi="ar-YE"/>
        </w:rPr>
      </w:pPr>
    </w:p>
    <w:p w:rsidR="009809C0" w:rsidRPr="00937EBB" w:rsidRDefault="009809C0" w:rsidP="00F50154">
      <w:pPr>
        <w:bidi w:val="0"/>
        <w:spacing w:after="0" w:line="240" w:lineRule="auto"/>
        <w:ind w:left="360"/>
        <w:jc w:val="both"/>
        <w:rPr>
          <w:rFonts w:asciiTheme="majorBidi" w:hAnsiTheme="majorBidi" w:cstheme="majorBidi"/>
          <w:b/>
          <w:bCs/>
          <w:lang w:bidi="ar-YE"/>
        </w:rPr>
      </w:pPr>
    </w:p>
    <w:p w:rsidR="0083304C" w:rsidRDefault="00574624" w:rsidP="00F50154">
      <w:pPr>
        <w:pStyle w:val="ListParagraph"/>
        <w:numPr>
          <w:ilvl w:val="0"/>
          <w:numId w:val="4"/>
        </w:numPr>
        <w:spacing w:after="0" w:line="240" w:lineRule="auto"/>
        <w:jc w:val="both"/>
        <w:rPr>
          <w:b/>
        </w:rPr>
      </w:pPr>
      <w:r>
        <w:rPr>
          <w:b/>
        </w:rPr>
        <w:t>Indicate any f</w:t>
      </w:r>
      <w:r w:rsidR="0083304C" w:rsidRPr="00574624">
        <w:rPr>
          <w:b/>
        </w:rPr>
        <w:t>unds obligated</w:t>
      </w:r>
      <w:r w:rsidR="00C00B67" w:rsidRPr="00574624">
        <w:rPr>
          <w:b/>
        </w:rPr>
        <w:t xml:space="preserve"> through a </w:t>
      </w:r>
      <w:r w:rsidR="00C00B67" w:rsidRPr="00574624">
        <w:rPr>
          <w:b/>
          <w:u w:val="single"/>
        </w:rPr>
        <w:t>signed contract</w:t>
      </w:r>
      <w:r w:rsidR="00C00B67" w:rsidRPr="00574624">
        <w:rPr>
          <w:b/>
        </w:rPr>
        <w:t xml:space="preserve"> from </w:t>
      </w:r>
      <w:r w:rsidR="0083304C" w:rsidRPr="00574624">
        <w:rPr>
          <w:b/>
        </w:rPr>
        <w:t>31 March 2015 to 10 April 2015</w:t>
      </w:r>
      <w:r>
        <w:rPr>
          <w:b/>
        </w:rPr>
        <w:t>, and append the contract to this template as an annex</w:t>
      </w:r>
      <w:r w:rsidR="0083304C" w:rsidRPr="00574624">
        <w:rPr>
          <w:b/>
        </w:rPr>
        <w:t>:</w:t>
      </w:r>
    </w:p>
    <w:p w:rsidR="00574624" w:rsidRPr="00574624" w:rsidRDefault="00574624" w:rsidP="00F50154">
      <w:pPr>
        <w:pStyle w:val="ListParagraph"/>
        <w:spacing w:after="0" w:line="240" w:lineRule="auto"/>
        <w:jc w:val="both"/>
        <w:rPr>
          <w:b/>
        </w:rPr>
      </w:pPr>
    </w:p>
    <w:tbl>
      <w:tblPr>
        <w:tblStyle w:val="TableGrid"/>
        <w:tblW w:w="0" w:type="auto"/>
        <w:tblInd w:w="18" w:type="dxa"/>
        <w:tblLook w:val="04A0" w:firstRow="1" w:lastRow="0" w:firstColumn="1" w:lastColumn="0" w:noHBand="0" w:noVBand="1"/>
      </w:tblPr>
      <w:tblGrid>
        <w:gridCol w:w="1242"/>
        <w:gridCol w:w="3155"/>
        <w:gridCol w:w="2120"/>
        <w:gridCol w:w="2952"/>
      </w:tblGrid>
      <w:tr w:rsidR="0083304C" w:rsidRPr="0083304C" w:rsidTr="00444786">
        <w:tc>
          <w:tcPr>
            <w:tcW w:w="1260" w:type="dxa"/>
          </w:tcPr>
          <w:p w:rsidR="0083304C" w:rsidRPr="00444786" w:rsidRDefault="0083304C" w:rsidP="00F50154">
            <w:pPr>
              <w:bidi w:val="0"/>
              <w:jc w:val="both"/>
              <w:rPr>
                <w:lang w:val="en-GB"/>
              </w:rPr>
            </w:pPr>
            <w:r w:rsidRPr="00444786">
              <w:rPr>
                <w:rFonts w:eastAsiaTheme="minorEastAsia" w:cs="Arial"/>
                <w:lang w:val="en-GB" w:eastAsia="en-GB"/>
              </w:rPr>
              <w:lastRenderedPageBreak/>
              <w:t>Output #</w:t>
            </w:r>
          </w:p>
        </w:tc>
        <w:tc>
          <w:tcPr>
            <w:tcW w:w="3240" w:type="dxa"/>
          </w:tcPr>
          <w:p w:rsidR="0083304C" w:rsidRPr="00444786" w:rsidRDefault="0083304C" w:rsidP="00F50154">
            <w:pPr>
              <w:bidi w:val="0"/>
              <w:jc w:val="both"/>
              <w:rPr>
                <w:rFonts w:eastAsiaTheme="minorEastAsia" w:cs="Arial"/>
                <w:lang w:val="en-GB" w:eastAsia="en-GB"/>
              </w:rPr>
            </w:pPr>
            <w:r w:rsidRPr="00444786">
              <w:rPr>
                <w:rFonts w:eastAsiaTheme="minorEastAsia" w:cs="Arial"/>
                <w:lang w:val="en-GB" w:eastAsia="en-GB"/>
              </w:rPr>
              <w:t>Contracting agent name</w:t>
            </w:r>
          </w:p>
          <w:p w:rsidR="0083304C" w:rsidRPr="00444786" w:rsidRDefault="0083304C" w:rsidP="00F50154">
            <w:pPr>
              <w:bidi w:val="0"/>
              <w:jc w:val="both"/>
              <w:rPr>
                <w:lang w:val="en-GB"/>
              </w:rPr>
            </w:pPr>
            <w:r w:rsidRPr="00444786">
              <w:rPr>
                <w:rFonts w:eastAsiaTheme="minorEastAsia" w:cs="Arial"/>
                <w:lang w:val="en-GB" w:eastAsia="en-GB"/>
              </w:rPr>
              <w:t>(institutional or individual)</w:t>
            </w:r>
          </w:p>
        </w:tc>
        <w:tc>
          <w:tcPr>
            <w:tcW w:w="2160" w:type="dxa"/>
          </w:tcPr>
          <w:p w:rsidR="00095B11" w:rsidRPr="00444786" w:rsidRDefault="00095B11" w:rsidP="00F50154">
            <w:pPr>
              <w:bidi w:val="0"/>
              <w:jc w:val="both"/>
            </w:pPr>
            <w:r>
              <w:t xml:space="preserve">Duration and Date of the Contract </w:t>
            </w:r>
          </w:p>
        </w:tc>
        <w:tc>
          <w:tcPr>
            <w:tcW w:w="3035" w:type="dxa"/>
          </w:tcPr>
          <w:p w:rsidR="0083304C" w:rsidRPr="00095B11" w:rsidRDefault="00095B11" w:rsidP="00F50154">
            <w:pPr>
              <w:bidi w:val="0"/>
              <w:jc w:val="both"/>
            </w:pPr>
            <w:r>
              <w:t>Contract Amount</w:t>
            </w:r>
          </w:p>
        </w:tc>
      </w:tr>
      <w:tr w:rsidR="0083304C" w:rsidTr="00444786">
        <w:tc>
          <w:tcPr>
            <w:tcW w:w="1260" w:type="dxa"/>
          </w:tcPr>
          <w:p w:rsidR="0083304C" w:rsidRPr="00444786" w:rsidRDefault="00881BE8" w:rsidP="00F50154">
            <w:pPr>
              <w:bidi w:val="0"/>
              <w:jc w:val="both"/>
              <w:rPr>
                <w:lang w:val="en-GB"/>
              </w:rPr>
            </w:pPr>
            <w:r>
              <w:rPr>
                <w:lang w:val="en-GB"/>
              </w:rPr>
              <w:t>Output 1.1</w:t>
            </w:r>
          </w:p>
        </w:tc>
        <w:tc>
          <w:tcPr>
            <w:tcW w:w="3240" w:type="dxa"/>
          </w:tcPr>
          <w:p w:rsidR="0083304C" w:rsidRPr="00444786" w:rsidRDefault="00881BE8" w:rsidP="00F50154">
            <w:pPr>
              <w:bidi w:val="0"/>
              <w:jc w:val="both"/>
              <w:rPr>
                <w:lang w:val="en-GB"/>
              </w:rPr>
            </w:pPr>
            <w:r>
              <w:rPr>
                <w:lang w:val="en-GB"/>
              </w:rPr>
              <w:t>Sayed Ahmed Ibrahim Abdelkader</w:t>
            </w:r>
          </w:p>
        </w:tc>
        <w:tc>
          <w:tcPr>
            <w:tcW w:w="2160" w:type="dxa"/>
          </w:tcPr>
          <w:p w:rsidR="0083304C" w:rsidRPr="00444786" w:rsidRDefault="00881BE8" w:rsidP="00F50154">
            <w:pPr>
              <w:bidi w:val="0"/>
              <w:jc w:val="both"/>
              <w:rPr>
                <w:lang w:val="en-GB"/>
              </w:rPr>
            </w:pPr>
            <w:r>
              <w:rPr>
                <w:lang w:val="en-GB"/>
              </w:rPr>
              <w:t>08/02/15 to 08/12/2015 (100 days)</w:t>
            </w:r>
          </w:p>
        </w:tc>
        <w:tc>
          <w:tcPr>
            <w:tcW w:w="3035" w:type="dxa"/>
          </w:tcPr>
          <w:p w:rsidR="0083304C" w:rsidRPr="00444786" w:rsidRDefault="00881BE8" w:rsidP="00F50154">
            <w:pPr>
              <w:bidi w:val="0"/>
              <w:jc w:val="both"/>
              <w:rPr>
                <w:lang w:val="en-GB"/>
              </w:rPr>
            </w:pPr>
            <w:r>
              <w:rPr>
                <w:lang w:val="en-GB"/>
              </w:rPr>
              <w:t>US$54,300</w:t>
            </w:r>
          </w:p>
        </w:tc>
      </w:tr>
      <w:tr w:rsidR="0083304C" w:rsidTr="00444786">
        <w:tc>
          <w:tcPr>
            <w:tcW w:w="1260" w:type="dxa"/>
          </w:tcPr>
          <w:p w:rsidR="0083304C" w:rsidRPr="00444786" w:rsidRDefault="0083304C" w:rsidP="00F50154">
            <w:pPr>
              <w:bidi w:val="0"/>
              <w:jc w:val="both"/>
              <w:rPr>
                <w:lang w:val="en-GB"/>
              </w:rPr>
            </w:pPr>
          </w:p>
        </w:tc>
        <w:tc>
          <w:tcPr>
            <w:tcW w:w="3240" w:type="dxa"/>
          </w:tcPr>
          <w:p w:rsidR="0083304C" w:rsidRPr="00444786" w:rsidRDefault="0083304C" w:rsidP="00F50154">
            <w:pPr>
              <w:bidi w:val="0"/>
              <w:jc w:val="both"/>
              <w:rPr>
                <w:lang w:val="en-GB"/>
              </w:rPr>
            </w:pPr>
          </w:p>
        </w:tc>
        <w:tc>
          <w:tcPr>
            <w:tcW w:w="2160" w:type="dxa"/>
          </w:tcPr>
          <w:p w:rsidR="0083304C" w:rsidRPr="00444786" w:rsidRDefault="0083304C" w:rsidP="00F50154">
            <w:pPr>
              <w:bidi w:val="0"/>
              <w:jc w:val="both"/>
              <w:rPr>
                <w:lang w:val="en-GB"/>
              </w:rPr>
            </w:pPr>
          </w:p>
        </w:tc>
        <w:tc>
          <w:tcPr>
            <w:tcW w:w="3035" w:type="dxa"/>
          </w:tcPr>
          <w:p w:rsidR="0083304C" w:rsidRPr="00444786" w:rsidRDefault="0083304C" w:rsidP="00F50154">
            <w:pPr>
              <w:bidi w:val="0"/>
              <w:jc w:val="both"/>
              <w:rPr>
                <w:lang w:val="en-GB"/>
              </w:rPr>
            </w:pPr>
          </w:p>
        </w:tc>
      </w:tr>
    </w:tbl>
    <w:p w:rsidR="008241F3" w:rsidRPr="00937EBB" w:rsidRDefault="008241F3" w:rsidP="00F50154">
      <w:pPr>
        <w:bidi w:val="0"/>
        <w:spacing w:after="0" w:line="240" w:lineRule="auto"/>
        <w:jc w:val="both"/>
        <w:rPr>
          <w:rFonts w:asciiTheme="majorBidi" w:hAnsiTheme="majorBidi" w:cstheme="majorBidi"/>
          <w:b/>
          <w:bCs/>
          <w:lang w:bidi="ar-YE"/>
        </w:rPr>
      </w:pPr>
    </w:p>
    <w:p w:rsidR="008241F3" w:rsidRDefault="008241F3" w:rsidP="00F50154">
      <w:pPr>
        <w:bidi w:val="0"/>
        <w:spacing w:after="0" w:line="240" w:lineRule="auto"/>
        <w:jc w:val="both"/>
        <w:rPr>
          <w:rFonts w:asciiTheme="majorBidi" w:hAnsiTheme="majorBidi" w:cstheme="majorBidi"/>
          <w:b/>
          <w:bCs/>
          <w:lang w:bidi="ar-YE"/>
        </w:rPr>
      </w:pPr>
    </w:p>
    <w:p w:rsidR="009809C0" w:rsidRPr="00937EBB" w:rsidRDefault="009809C0" w:rsidP="00F50154">
      <w:pPr>
        <w:bidi w:val="0"/>
        <w:spacing w:after="0" w:line="240" w:lineRule="auto"/>
        <w:jc w:val="both"/>
        <w:rPr>
          <w:rFonts w:asciiTheme="majorBidi" w:hAnsiTheme="majorBidi" w:cstheme="majorBidi"/>
          <w:b/>
          <w:bCs/>
          <w:lang w:bidi="ar-YE"/>
        </w:rPr>
      </w:pPr>
    </w:p>
    <w:p w:rsidR="002832EE" w:rsidRPr="00C00B67" w:rsidRDefault="002832EE" w:rsidP="00F50154">
      <w:pPr>
        <w:pStyle w:val="ListParagraph"/>
        <w:numPr>
          <w:ilvl w:val="0"/>
          <w:numId w:val="4"/>
        </w:numPr>
        <w:spacing w:after="0" w:line="240" w:lineRule="auto"/>
        <w:jc w:val="both"/>
        <w:rPr>
          <w:b/>
          <w:bCs/>
        </w:rPr>
      </w:pPr>
      <w:r w:rsidRPr="00C00B67">
        <w:rPr>
          <w:b/>
          <w:bCs/>
          <w:lang w:bidi="ar-YE"/>
        </w:rPr>
        <w:t xml:space="preserve">Based on the </w:t>
      </w:r>
      <w:r w:rsidR="00ED5ED2">
        <w:rPr>
          <w:b/>
          <w:bCs/>
          <w:lang w:bidi="ar-YE"/>
        </w:rPr>
        <w:t xml:space="preserve">project’s </w:t>
      </w:r>
      <w:r w:rsidRPr="00C00B67">
        <w:rPr>
          <w:b/>
          <w:bCs/>
          <w:lang w:bidi="ar-YE"/>
        </w:rPr>
        <w:t xml:space="preserve"> </w:t>
      </w:r>
      <w:r w:rsidR="0083304C">
        <w:rPr>
          <w:b/>
          <w:bCs/>
          <w:lang w:bidi="ar-YE"/>
        </w:rPr>
        <w:t xml:space="preserve">total </w:t>
      </w:r>
      <w:r w:rsidR="00C00B67">
        <w:rPr>
          <w:b/>
          <w:bCs/>
          <w:lang w:bidi="ar-YE"/>
        </w:rPr>
        <w:t>contractual commitments</w:t>
      </w:r>
      <w:r w:rsidR="00ED5ED2">
        <w:rPr>
          <w:b/>
          <w:bCs/>
          <w:lang w:bidi="ar-YE"/>
        </w:rPr>
        <w:t xml:space="preserve"> as of 10 April 2015, please indicate recurrent cost amounts and duration:</w:t>
      </w:r>
    </w:p>
    <w:p w:rsidR="006812BA" w:rsidRPr="00937EBB" w:rsidRDefault="006812BA" w:rsidP="00F50154">
      <w:pPr>
        <w:bidi w:val="0"/>
        <w:spacing w:after="0" w:line="240" w:lineRule="auto"/>
        <w:jc w:val="both"/>
        <w:rPr>
          <w:rFonts w:eastAsiaTheme="minorEastAsia"/>
          <w:lang w:eastAsia="en-GB"/>
        </w:rPr>
      </w:pPr>
    </w:p>
    <w:p w:rsidR="006812BA" w:rsidRPr="00937EBB" w:rsidRDefault="006812BA" w:rsidP="00F50154">
      <w:pPr>
        <w:bidi w:val="0"/>
        <w:spacing w:after="0" w:line="240" w:lineRule="auto"/>
        <w:jc w:val="both"/>
        <w:rPr>
          <w:rFonts w:eastAsiaTheme="minorEastAsia" w:cs="Arial"/>
          <w:lang w:eastAsia="en-GB"/>
        </w:rPr>
      </w:pPr>
    </w:p>
    <w:tbl>
      <w:tblPr>
        <w:tblStyle w:val="TableGrid"/>
        <w:tblW w:w="0" w:type="auto"/>
        <w:tblLook w:val="04A0" w:firstRow="1" w:lastRow="0" w:firstColumn="1" w:lastColumn="0" w:noHBand="0" w:noVBand="1"/>
      </w:tblPr>
      <w:tblGrid>
        <w:gridCol w:w="1256"/>
        <w:gridCol w:w="3142"/>
        <w:gridCol w:w="1756"/>
        <w:gridCol w:w="1613"/>
        <w:gridCol w:w="1720"/>
      </w:tblGrid>
      <w:tr w:rsidR="00E118B6" w:rsidTr="00444786">
        <w:tc>
          <w:tcPr>
            <w:tcW w:w="1278" w:type="dxa"/>
          </w:tcPr>
          <w:p w:rsidR="00ED5ED2" w:rsidRDefault="00ED5ED2" w:rsidP="00F50154">
            <w:pPr>
              <w:bidi w:val="0"/>
              <w:jc w:val="both"/>
              <w:rPr>
                <w:rFonts w:eastAsiaTheme="minorEastAsia" w:cs="Arial"/>
                <w:lang w:eastAsia="en-GB"/>
              </w:rPr>
            </w:pPr>
            <w:r>
              <w:rPr>
                <w:rFonts w:eastAsiaTheme="minorEastAsia" w:cs="Arial"/>
                <w:lang w:eastAsia="en-GB"/>
              </w:rPr>
              <w:t>Output #</w:t>
            </w:r>
          </w:p>
        </w:tc>
        <w:tc>
          <w:tcPr>
            <w:tcW w:w="3240" w:type="dxa"/>
          </w:tcPr>
          <w:p w:rsidR="00ED5ED2" w:rsidRDefault="00ED5ED2" w:rsidP="00F50154">
            <w:pPr>
              <w:bidi w:val="0"/>
              <w:jc w:val="both"/>
              <w:rPr>
                <w:rFonts w:eastAsiaTheme="minorEastAsia" w:cs="Arial"/>
                <w:lang w:eastAsia="en-GB"/>
              </w:rPr>
            </w:pPr>
            <w:r>
              <w:rPr>
                <w:rFonts w:eastAsiaTheme="minorEastAsia" w:cs="Arial"/>
                <w:lang w:eastAsia="en-GB"/>
              </w:rPr>
              <w:t>Contracting agent name</w:t>
            </w:r>
          </w:p>
          <w:p w:rsidR="00ED5ED2" w:rsidRDefault="00ED5ED2" w:rsidP="00F50154">
            <w:pPr>
              <w:bidi w:val="0"/>
              <w:jc w:val="both"/>
              <w:rPr>
                <w:rFonts w:eastAsiaTheme="minorEastAsia" w:cs="Arial"/>
                <w:lang w:eastAsia="en-GB"/>
              </w:rPr>
            </w:pPr>
            <w:r>
              <w:rPr>
                <w:rFonts w:eastAsiaTheme="minorEastAsia" w:cs="Arial"/>
                <w:lang w:eastAsia="en-GB"/>
              </w:rPr>
              <w:t xml:space="preserve">(institutional or individual) </w:t>
            </w:r>
          </w:p>
        </w:tc>
        <w:tc>
          <w:tcPr>
            <w:tcW w:w="1800" w:type="dxa"/>
          </w:tcPr>
          <w:p w:rsidR="00ED5ED2" w:rsidRDefault="00444786" w:rsidP="00F50154">
            <w:pPr>
              <w:bidi w:val="0"/>
              <w:jc w:val="both"/>
              <w:rPr>
                <w:rFonts w:eastAsiaTheme="minorEastAsia" w:cs="Arial"/>
                <w:lang w:eastAsia="en-GB"/>
              </w:rPr>
            </w:pPr>
            <w:r>
              <w:rPr>
                <w:rFonts w:eastAsiaTheme="minorEastAsia" w:cs="Arial"/>
                <w:lang w:eastAsia="en-GB"/>
              </w:rPr>
              <w:t>Contract a</w:t>
            </w:r>
            <w:r w:rsidR="00ED5ED2">
              <w:rPr>
                <w:rFonts w:eastAsiaTheme="minorEastAsia" w:cs="Arial"/>
                <w:lang w:eastAsia="en-GB"/>
              </w:rPr>
              <w:t xml:space="preserve">mount </w:t>
            </w:r>
          </w:p>
        </w:tc>
        <w:tc>
          <w:tcPr>
            <w:tcW w:w="1648" w:type="dxa"/>
          </w:tcPr>
          <w:p w:rsidR="00ED5ED2" w:rsidRDefault="00ED5ED2" w:rsidP="00F50154">
            <w:pPr>
              <w:bidi w:val="0"/>
              <w:jc w:val="both"/>
              <w:rPr>
                <w:rFonts w:eastAsiaTheme="minorEastAsia" w:cs="Arial"/>
                <w:lang w:eastAsia="en-GB"/>
              </w:rPr>
            </w:pPr>
            <w:r>
              <w:rPr>
                <w:rFonts w:eastAsiaTheme="minorEastAsia" w:cs="Arial"/>
                <w:lang w:eastAsia="en-GB"/>
              </w:rPr>
              <w:t>Duration</w:t>
            </w:r>
          </w:p>
        </w:tc>
        <w:tc>
          <w:tcPr>
            <w:tcW w:w="1747" w:type="dxa"/>
          </w:tcPr>
          <w:p w:rsidR="00ED5ED2" w:rsidRDefault="00ED5ED2" w:rsidP="00F50154">
            <w:pPr>
              <w:bidi w:val="0"/>
              <w:jc w:val="both"/>
              <w:rPr>
                <w:rFonts w:eastAsiaTheme="minorEastAsia" w:cs="Arial"/>
                <w:lang w:eastAsia="en-GB"/>
              </w:rPr>
            </w:pPr>
            <w:r>
              <w:rPr>
                <w:rFonts w:eastAsiaTheme="minorEastAsia" w:cs="Arial"/>
                <w:lang w:eastAsia="en-GB"/>
              </w:rPr>
              <w:t xml:space="preserve">$ Total </w:t>
            </w:r>
          </w:p>
        </w:tc>
      </w:tr>
      <w:tr w:rsidR="00E118B6" w:rsidTr="00444786">
        <w:tc>
          <w:tcPr>
            <w:tcW w:w="1278" w:type="dxa"/>
          </w:tcPr>
          <w:p w:rsidR="00ED5ED2" w:rsidRDefault="00E118B6" w:rsidP="00F50154">
            <w:pPr>
              <w:bidi w:val="0"/>
              <w:jc w:val="both"/>
              <w:rPr>
                <w:rFonts w:eastAsiaTheme="minorEastAsia" w:cs="Arial"/>
                <w:lang w:eastAsia="en-GB"/>
              </w:rPr>
            </w:pPr>
            <w:r>
              <w:rPr>
                <w:rFonts w:eastAsiaTheme="minorEastAsia" w:cs="Arial"/>
                <w:lang w:eastAsia="en-GB"/>
              </w:rPr>
              <w:t>1.1</w:t>
            </w:r>
          </w:p>
        </w:tc>
        <w:tc>
          <w:tcPr>
            <w:tcW w:w="3240" w:type="dxa"/>
          </w:tcPr>
          <w:p w:rsidR="00ED5ED2" w:rsidRDefault="00E118B6" w:rsidP="00BF69C9">
            <w:pPr>
              <w:bidi w:val="0"/>
              <w:rPr>
                <w:rFonts w:eastAsiaTheme="minorEastAsia" w:cs="Arial"/>
                <w:lang w:eastAsia="en-GB"/>
              </w:rPr>
            </w:pPr>
            <w:r>
              <w:rPr>
                <w:lang w:val="en-GB"/>
              </w:rPr>
              <w:t>Sayed Ahmed Ibrahim Abdelkader</w:t>
            </w:r>
          </w:p>
        </w:tc>
        <w:tc>
          <w:tcPr>
            <w:tcW w:w="1800" w:type="dxa"/>
          </w:tcPr>
          <w:p w:rsidR="00ED5ED2" w:rsidRDefault="00E118B6" w:rsidP="00F50154">
            <w:pPr>
              <w:bidi w:val="0"/>
              <w:jc w:val="both"/>
              <w:rPr>
                <w:rFonts w:eastAsiaTheme="minorEastAsia" w:cs="Arial"/>
                <w:lang w:eastAsia="en-GB"/>
              </w:rPr>
            </w:pPr>
            <w:r>
              <w:rPr>
                <w:rFonts w:eastAsiaTheme="minorEastAsia" w:cs="Arial"/>
                <w:lang w:eastAsia="en-GB"/>
              </w:rPr>
              <w:t>54,300</w:t>
            </w:r>
          </w:p>
        </w:tc>
        <w:tc>
          <w:tcPr>
            <w:tcW w:w="1648" w:type="dxa"/>
          </w:tcPr>
          <w:p w:rsidR="00ED5ED2" w:rsidRDefault="00E118B6" w:rsidP="00F50154">
            <w:pPr>
              <w:bidi w:val="0"/>
              <w:jc w:val="both"/>
              <w:rPr>
                <w:rFonts w:eastAsiaTheme="minorEastAsia" w:cs="Arial"/>
                <w:lang w:eastAsia="en-GB"/>
              </w:rPr>
            </w:pPr>
            <w:r>
              <w:rPr>
                <w:rFonts w:eastAsiaTheme="minorEastAsia" w:cs="Arial"/>
                <w:lang w:eastAsia="en-GB"/>
              </w:rPr>
              <w:t>100 days</w:t>
            </w:r>
          </w:p>
        </w:tc>
        <w:tc>
          <w:tcPr>
            <w:tcW w:w="1747" w:type="dxa"/>
          </w:tcPr>
          <w:p w:rsidR="00ED5ED2" w:rsidRDefault="00BF69C9" w:rsidP="00F50154">
            <w:pPr>
              <w:bidi w:val="0"/>
              <w:jc w:val="both"/>
              <w:rPr>
                <w:rFonts w:eastAsiaTheme="minorEastAsia" w:cs="Arial"/>
                <w:lang w:eastAsia="en-GB"/>
              </w:rPr>
            </w:pPr>
            <w:r>
              <w:rPr>
                <w:rFonts w:eastAsiaTheme="minorEastAsia" w:cs="Arial"/>
                <w:lang w:eastAsia="en-GB"/>
              </w:rPr>
              <w:t>US$</w:t>
            </w:r>
            <w:r w:rsidR="00E118B6">
              <w:rPr>
                <w:rFonts w:eastAsiaTheme="minorEastAsia" w:cs="Arial"/>
                <w:lang w:eastAsia="en-GB"/>
              </w:rPr>
              <w:t>54,300</w:t>
            </w:r>
          </w:p>
        </w:tc>
      </w:tr>
      <w:tr w:rsidR="00E118B6" w:rsidTr="00444786">
        <w:tc>
          <w:tcPr>
            <w:tcW w:w="1278" w:type="dxa"/>
          </w:tcPr>
          <w:p w:rsidR="00ED5ED2" w:rsidRDefault="00E118B6" w:rsidP="00F50154">
            <w:pPr>
              <w:bidi w:val="0"/>
              <w:jc w:val="both"/>
              <w:rPr>
                <w:rFonts w:eastAsiaTheme="minorEastAsia" w:cs="Arial"/>
                <w:lang w:eastAsia="en-GB"/>
              </w:rPr>
            </w:pPr>
            <w:r>
              <w:rPr>
                <w:rFonts w:eastAsiaTheme="minorEastAsia" w:cs="Arial"/>
                <w:lang w:eastAsia="en-GB"/>
              </w:rPr>
              <w:t>1.4</w:t>
            </w:r>
          </w:p>
        </w:tc>
        <w:tc>
          <w:tcPr>
            <w:tcW w:w="3240" w:type="dxa"/>
          </w:tcPr>
          <w:p w:rsidR="00ED5ED2" w:rsidRDefault="00E118B6" w:rsidP="00F50154">
            <w:pPr>
              <w:bidi w:val="0"/>
              <w:jc w:val="both"/>
              <w:rPr>
                <w:rFonts w:eastAsiaTheme="minorEastAsia" w:cs="Arial"/>
                <w:lang w:eastAsia="en-GB"/>
              </w:rPr>
            </w:pPr>
            <w:r>
              <w:rPr>
                <w:rFonts w:eastAsiaTheme="minorEastAsia" w:cs="Arial"/>
                <w:lang w:eastAsia="en-GB"/>
              </w:rPr>
              <w:t>Salaries for project staff</w:t>
            </w:r>
          </w:p>
        </w:tc>
        <w:tc>
          <w:tcPr>
            <w:tcW w:w="1800" w:type="dxa"/>
          </w:tcPr>
          <w:p w:rsidR="00ED5ED2" w:rsidRDefault="00BF69C9" w:rsidP="00F50154">
            <w:pPr>
              <w:bidi w:val="0"/>
              <w:jc w:val="both"/>
              <w:rPr>
                <w:rFonts w:eastAsiaTheme="minorEastAsia" w:cs="Arial"/>
                <w:lang w:eastAsia="en-GB"/>
              </w:rPr>
            </w:pPr>
            <w:r>
              <w:rPr>
                <w:rFonts w:eastAsiaTheme="minorEastAsia" w:cs="Arial"/>
                <w:lang w:eastAsia="en-GB"/>
              </w:rPr>
              <w:t>100,353</w:t>
            </w:r>
          </w:p>
        </w:tc>
        <w:tc>
          <w:tcPr>
            <w:tcW w:w="1648" w:type="dxa"/>
          </w:tcPr>
          <w:p w:rsidR="00ED5ED2" w:rsidRDefault="004F2B4B" w:rsidP="00F50154">
            <w:pPr>
              <w:bidi w:val="0"/>
              <w:jc w:val="both"/>
              <w:rPr>
                <w:rFonts w:eastAsiaTheme="minorEastAsia" w:cs="Arial"/>
                <w:lang w:eastAsia="en-GB"/>
              </w:rPr>
            </w:pPr>
            <w:r>
              <w:rPr>
                <w:rFonts w:eastAsiaTheme="minorEastAsia" w:cs="Arial"/>
                <w:lang w:eastAsia="en-GB"/>
              </w:rPr>
              <w:t>A</w:t>
            </w:r>
            <w:r w:rsidR="00E118B6">
              <w:rPr>
                <w:rFonts w:eastAsiaTheme="minorEastAsia" w:cs="Arial"/>
                <w:lang w:eastAsia="en-GB"/>
              </w:rPr>
              <w:t>nnual</w:t>
            </w:r>
          </w:p>
        </w:tc>
        <w:tc>
          <w:tcPr>
            <w:tcW w:w="1747" w:type="dxa"/>
          </w:tcPr>
          <w:p w:rsidR="00ED5ED2" w:rsidRPr="00056EB3" w:rsidRDefault="00BF69C9" w:rsidP="00056EB3">
            <w:pPr>
              <w:bidi w:val="0"/>
              <w:jc w:val="both"/>
              <w:rPr>
                <w:rFonts w:eastAsiaTheme="minorEastAsia" w:cs="Arial"/>
                <w:lang w:eastAsia="en-GB"/>
              </w:rPr>
            </w:pPr>
            <w:r>
              <w:rPr>
                <w:rFonts w:eastAsiaTheme="minorEastAsia" w:cs="Arial"/>
                <w:lang w:eastAsia="en-GB"/>
              </w:rPr>
              <w:t>US$</w:t>
            </w:r>
            <w:r w:rsidR="00056EB3">
              <w:rPr>
                <w:rFonts w:ascii="Calibri" w:hAnsi="Calibri"/>
                <w:color w:val="000000"/>
              </w:rPr>
              <w:t>79,273</w:t>
            </w:r>
            <w:r w:rsidR="002477B9">
              <w:rPr>
                <w:rStyle w:val="FootnoteReference"/>
                <w:rFonts w:ascii="Calibri" w:hAnsi="Calibri"/>
                <w:color w:val="000000"/>
              </w:rPr>
              <w:footnoteReference w:id="6"/>
            </w:r>
          </w:p>
        </w:tc>
      </w:tr>
      <w:tr w:rsidR="00E118B6" w:rsidTr="00444786">
        <w:tc>
          <w:tcPr>
            <w:tcW w:w="1278" w:type="dxa"/>
          </w:tcPr>
          <w:p w:rsidR="00ED5ED2" w:rsidRDefault="00E118B6" w:rsidP="00F50154">
            <w:pPr>
              <w:bidi w:val="0"/>
              <w:jc w:val="both"/>
              <w:rPr>
                <w:rFonts w:eastAsiaTheme="minorEastAsia" w:cs="Arial"/>
                <w:lang w:eastAsia="en-GB"/>
              </w:rPr>
            </w:pPr>
            <w:r>
              <w:rPr>
                <w:rFonts w:eastAsiaTheme="minorEastAsia" w:cs="Arial"/>
                <w:lang w:eastAsia="en-GB"/>
              </w:rPr>
              <w:t>1.4</w:t>
            </w:r>
          </w:p>
        </w:tc>
        <w:tc>
          <w:tcPr>
            <w:tcW w:w="3240" w:type="dxa"/>
          </w:tcPr>
          <w:p w:rsidR="00ED5ED2" w:rsidRDefault="00E118B6" w:rsidP="00F50154">
            <w:pPr>
              <w:bidi w:val="0"/>
              <w:jc w:val="both"/>
              <w:rPr>
                <w:rFonts w:eastAsiaTheme="minorEastAsia" w:cs="Arial"/>
                <w:lang w:eastAsia="en-GB"/>
              </w:rPr>
            </w:pPr>
            <w:r>
              <w:rPr>
                <w:rFonts w:eastAsiaTheme="minorEastAsia" w:cs="Arial"/>
                <w:lang w:eastAsia="en-GB"/>
              </w:rPr>
              <w:t>Direct project costs</w:t>
            </w:r>
          </w:p>
        </w:tc>
        <w:tc>
          <w:tcPr>
            <w:tcW w:w="1800" w:type="dxa"/>
          </w:tcPr>
          <w:p w:rsidR="00ED5ED2" w:rsidRDefault="00E118B6" w:rsidP="00F50154">
            <w:pPr>
              <w:bidi w:val="0"/>
              <w:jc w:val="both"/>
              <w:rPr>
                <w:rFonts w:eastAsiaTheme="minorEastAsia" w:cs="Arial"/>
                <w:lang w:eastAsia="en-GB"/>
              </w:rPr>
            </w:pPr>
            <w:r>
              <w:rPr>
                <w:rFonts w:eastAsiaTheme="minorEastAsia" w:cs="Arial"/>
                <w:lang w:eastAsia="en-GB"/>
              </w:rPr>
              <w:t>N/A</w:t>
            </w:r>
          </w:p>
        </w:tc>
        <w:tc>
          <w:tcPr>
            <w:tcW w:w="1648" w:type="dxa"/>
          </w:tcPr>
          <w:p w:rsidR="00ED5ED2" w:rsidRDefault="004F2B4B" w:rsidP="00F50154">
            <w:pPr>
              <w:bidi w:val="0"/>
              <w:jc w:val="both"/>
              <w:rPr>
                <w:rFonts w:eastAsiaTheme="minorEastAsia" w:cs="Arial"/>
                <w:lang w:eastAsia="en-GB"/>
              </w:rPr>
            </w:pPr>
            <w:r>
              <w:rPr>
                <w:rFonts w:eastAsiaTheme="minorEastAsia" w:cs="Arial"/>
                <w:lang w:eastAsia="en-GB"/>
              </w:rPr>
              <w:t>A</w:t>
            </w:r>
            <w:r w:rsidR="00E118B6">
              <w:rPr>
                <w:rFonts w:eastAsiaTheme="minorEastAsia" w:cs="Arial"/>
                <w:lang w:eastAsia="en-GB"/>
              </w:rPr>
              <w:t>nnual</w:t>
            </w:r>
          </w:p>
        </w:tc>
        <w:tc>
          <w:tcPr>
            <w:tcW w:w="1747" w:type="dxa"/>
          </w:tcPr>
          <w:p w:rsidR="002477B9" w:rsidRPr="002477B9" w:rsidRDefault="002477B9" w:rsidP="002477B9">
            <w:pPr>
              <w:bidi w:val="0"/>
              <w:rPr>
                <w:rFonts w:eastAsiaTheme="minorEastAsia" w:cs="Arial"/>
                <w:lang w:eastAsia="en-GB"/>
              </w:rPr>
            </w:pPr>
            <w:r>
              <w:rPr>
                <w:rFonts w:eastAsiaTheme="minorEastAsia" w:cs="Arial"/>
                <w:lang w:eastAsia="en-GB"/>
              </w:rPr>
              <w:t>US$40,579</w:t>
            </w:r>
          </w:p>
          <w:p w:rsidR="00ED5ED2" w:rsidRDefault="00ED5ED2" w:rsidP="002477B9">
            <w:pPr>
              <w:bidi w:val="0"/>
              <w:jc w:val="both"/>
              <w:rPr>
                <w:rFonts w:eastAsiaTheme="minorEastAsia" w:cs="Arial"/>
                <w:lang w:eastAsia="en-GB"/>
              </w:rPr>
            </w:pPr>
          </w:p>
        </w:tc>
      </w:tr>
      <w:tr w:rsidR="00E118B6" w:rsidTr="00444786">
        <w:tc>
          <w:tcPr>
            <w:tcW w:w="1278" w:type="dxa"/>
          </w:tcPr>
          <w:p w:rsidR="00ED5ED2" w:rsidRDefault="00E118B6" w:rsidP="00F50154">
            <w:pPr>
              <w:bidi w:val="0"/>
              <w:jc w:val="both"/>
              <w:rPr>
                <w:rFonts w:eastAsiaTheme="minorEastAsia" w:cs="Arial"/>
                <w:lang w:eastAsia="en-GB"/>
              </w:rPr>
            </w:pPr>
            <w:r>
              <w:rPr>
                <w:rFonts w:eastAsiaTheme="minorEastAsia" w:cs="Arial"/>
                <w:lang w:eastAsia="en-GB"/>
              </w:rPr>
              <w:t>1.4</w:t>
            </w:r>
          </w:p>
        </w:tc>
        <w:tc>
          <w:tcPr>
            <w:tcW w:w="3240" w:type="dxa"/>
          </w:tcPr>
          <w:p w:rsidR="00ED5ED2" w:rsidRDefault="00E118B6" w:rsidP="00F50154">
            <w:pPr>
              <w:bidi w:val="0"/>
              <w:jc w:val="both"/>
              <w:rPr>
                <w:rFonts w:eastAsiaTheme="minorEastAsia" w:cs="Arial"/>
                <w:lang w:eastAsia="en-GB"/>
              </w:rPr>
            </w:pPr>
            <w:r>
              <w:rPr>
                <w:rFonts w:eastAsiaTheme="minorEastAsia" w:cs="Arial"/>
                <w:lang w:eastAsia="en-GB"/>
              </w:rPr>
              <w:t>GMS</w:t>
            </w:r>
          </w:p>
        </w:tc>
        <w:tc>
          <w:tcPr>
            <w:tcW w:w="1800" w:type="dxa"/>
          </w:tcPr>
          <w:p w:rsidR="00ED5ED2" w:rsidRDefault="00E118B6" w:rsidP="00F50154">
            <w:pPr>
              <w:bidi w:val="0"/>
              <w:jc w:val="both"/>
              <w:rPr>
                <w:rFonts w:eastAsiaTheme="minorEastAsia" w:cs="Arial"/>
                <w:lang w:eastAsia="en-GB"/>
              </w:rPr>
            </w:pPr>
            <w:r>
              <w:rPr>
                <w:rFonts w:eastAsiaTheme="minorEastAsia" w:cs="Arial"/>
                <w:lang w:eastAsia="en-GB"/>
              </w:rPr>
              <w:t>N/A</w:t>
            </w:r>
          </w:p>
        </w:tc>
        <w:tc>
          <w:tcPr>
            <w:tcW w:w="1648" w:type="dxa"/>
          </w:tcPr>
          <w:p w:rsidR="00ED5ED2" w:rsidRDefault="00E118B6" w:rsidP="00F50154">
            <w:pPr>
              <w:bidi w:val="0"/>
              <w:jc w:val="both"/>
              <w:rPr>
                <w:rFonts w:eastAsiaTheme="minorEastAsia" w:cs="Arial"/>
                <w:lang w:eastAsia="en-GB"/>
              </w:rPr>
            </w:pPr>
            <w:r>
              <w:rPr>
                <w:rFonts w:eastAsiaTheme="minorEastAsia" w:cs="Arial"/>
                <w:lang w:eastAsia="en-GB"/>
              </w:rPr>
              <w:t>Annual</w:t>
            </w:r>
          </w:p>
        </w:tc>
        <w:tc>
          <w:tcPr>
            <w:tcW w:w="1747" w:type="dxa"/>
          </w:tcPr>
          <w:p w:rsidR="00ED5ED2" w:rsidRDefault="00BF69C9" w:rsidP="00F50154">
            <w:pPr>
              <w:bidi w:val="0"/>
              <w:jc w:val="both"/>
              <w:rPr>
                <w:rFonts w:eastAsiaTheme="minorEastAsia" w:cs="Arial"/>
                <w:lang w:eastAsia="en-GB"/>
              </w:rPr>
            </w:pPr>
            <w:r>
              <w:rPr>
                <w:rFonts w:eastAsiaTheme="minorEastAsia" w:cs="Arial"/>
                <w:lang w:eastAsia="en-GB"/>
              </w:rPr>
              <w:t>US$</w:t>
            </w:r>
            <w:r w:rsidR="002477B9">
              <w:rPr>
                <w:rFonts w:eastAsiaTheme="minorEastAsia" w:cs="Arial"/>
                <w:lang w:eastAsia="en-GB"/>
              </w:rPr>
              <w:t>65,421</w:t>
            </w:r>
          </w:p>
        </w:tc>
      </w:tr>
      <w:tr w:rsidR="00E118B6" w:rsidTr="00444786">
        <w:tc>
          <w:tcPr>
            <w:tcW w:w="1278" w:type="dxa"/>
          </w:tcPr>
          <w:p w:rsidR="00ED5ED2" w:rsidRDefault="00D94867" w:rsidP="00F50154">
            <w:pPr>
              <w:bidi w:val="0"/>
              <w:jc w:val="both"/>
              <w:rPr>
                <w:rFonts w:eastAsiaTheme="minorEastAsia" w:cs="Arial"/>
                <w:lang w:eastAsia="en-GB"/>
              </w:rPr>
            </w:pPr>
            <w:r>
              <w:rPr>
                <w:rFonts w:eastAsiaTheme="minorEastAsia" w:cs="Arial"/>
                <w:lang w:eastAsia="en-GB"/>
              </w:rPr>
              <w:t>1.4</w:t>
            </w:r>
          </w:p>
        </w:tc>
        <w:tc>
          <w:tcPr>
            <w:tcW w:w="3240" w:type="dxa"/>
          </w:tcPr>
          <w:p w:rsidR="00ED5ED2" w:rsidRDefault="003D7706" w:rsidP="00F50154">
            <w:pPr>
              <w:bidi w:val="0"/>
              <w:jc w:val="both"/>
              <w:rPr>
                <w:rFonts w:eastAsiaTheme="minorEastAsia" w:cs="Arial"/>
                <w:lang w:eastAsia="en-GB"/>
              </w:rPr>
            </w:pPr>
            <w:r>
              <w:rPr>
                <w:rFonts w:eastAsiaTheme="minorEastAsia" w:cs="Arial"/>
                <w:lang w:eastAsia="en-GB"/>
              </w:rPr>
              <w:t>Management costs for IP</w:t>
            </w:r>
          </w:p>
        </w:tc>
        <w:tc>
          <w:tcPr>
            <w:tcW w:w="1800" w:type="dxa"/>
          </w:tcPr>
          <w:p w:rsidR="00ED5ED2" w:rsidRDefault="00D94867" w:rsidP="00F50154">
            <w:pPr>
              <w:bidi w:val="0"/>
              <w:jc w:val="both"/>
              <w:rPr>
                <w:rFonts w:eastAsiaTheme="minorEastAsia" w:cs="Arial"/>
                <w:lang w:eastAsia="en-GB"/>
              </w:rPr>
            </w:pPr>
            <w:r>
              <w:rPr>
                <w:rFonts w:eastAsiaTheme="minorEastAsia" w:cs="Arial"/>
                <w:lang w:eastAsia="en-GB"/>
              </w:rPr>
              <w:t>88,330</w:t>
            </w:r>
          </w:p>
        </w:tc>
        <w:tc>
          <w:tcPr>
            <w:tcW w:w="1648" w:type="dxa"/>
          </w:tcPr>
          <w:p w:rsidR="00ED5ED2" w:rsidRDefault="00D94867" w:rsidP="00F50154">
            <w:pPr>
              <w:bidi w:val="0"/>
              <w:jc w:val="both"/>
              <w:rPr>
                <w:rFonts w:eastAsiaTheme="minorEastAsia" w:cs="Arial"/>
                <w:lang w:eastAsia="en-GB"/>
              </w:rPr>
            </w:pPr>
            <w:r>
              <w:rPr>
                <w:rFonts w:eastAsiaTheme="minorEastAsia" w:cs="Arial"/>
                <w:lang w:eastAsia="en-GB"/>
              </w:rPr>
              <w:t>Annual</w:t>
            </w:r>
          </w:p>
        </w:tc>
        <w:tc>
          <w:tcPr>
            <w:tcW w:w="1747" w:type="dxa"/>
          </w:tcPr>
          <w:p w:rsidR="00ED5ED2" w:rsidRDefault="00D94867" w:rsidP="00F50154">
            <w:pPr>
              <w:bidi w:val="0"/>
              <w:jc w:val="both"/>
              <w:rPr>
                <w:rFonts w:eastAsiaTheme="minorEastAsia" w:cs="Arial"/>
                <w:lang w:eastAsia="en-GB"/>
              </w:rPr>
            </w:pPr>
            <w:r>
              <w:rPr>
                <w:rFonts w:eastAsiaTheme="minorEastAsia" w:cs="Arial"/>
                <w:lang w:eastAsia="en-GB"/>
              </w:rPr>
              <w:t>US$22,100</w:t>
            </w:r>
            <w:r>
              <w:rPr>
                <w:rStyle w:val="FootnoteReference"/>
                <w:rFonts w:eastAsiaTheme="minorEastAsia" w:cs="Arial"/>
                <w:lang w:eastAsia="en-GB"/>
              </w:rPr>
              <w:footnoteReference w:id="7"/>
            </w:r>
          </w:p>
        </w:tc>
      </w:tr>
    </w:tbl>
    <w:p w:rsidR="00162593" w:rsidRDefault="00162593" w:rsidP="00F50154">
      <w:pPr>
        <w:bidi w:val="0"/>
        <w:spacing w:after="0" w:line="240" w:lineRule="auto"/>
        <w:jc w:val="both"/>
        <w:rPr>
          <w:rFonts w:eastAsiaTheme="minorEastAsia" w:cs="Arial"/>
          <w:lang w:eastAsia="en-GB"/>
        </w:rPr>
      </w:pPr>
    </w:p>
    <w:tbl>
      <w:tblPr>
        <w:tblStyle w:val="TableGrid"/>
        <w:tblW w:w="0" w:type="auto"/>
        <w:tblLook w:val="04A0" w:firstRow="1" w:lastRow="0" w:firstColumn="1" w:lastColumn="0" w:noHBand="0" w:noVBand="1"/>
      </w:tblPr>
      <w:tblGrid>
        <w:gridCol w:w="7727"/>
        <w:gridCol w:w="1760"/>
      </w:tblGrid>
      <w:tr w:rsidR="00D83E2E" w:rsidTr="00D83E2E">
        <w:tc>
          <w:tcPr>
            <w:tcW w:w="7938" w:type="dxa"/>
          </w:tcPr>
          <w:p w:rsidR="00D83E2E" w:rsidRPr="00D83E2E" w:rsidRDefault="00D83E2E" w:rsidP="00F50154">
            <w:pPr>
              <w:bidi w:val="0"/>
              <w:jc w:val="both"/>
              <w:rPr>
                <w:rFonts w:eastAsiaTheme="minorEastAsia" w:cs="Arial"/>
                <w:b/>
                <w:lang w:eastAsia="en-GB"/>
              </w:rPr>
            </w:pPr>
            <w:r w:rsidRPr="00D83E2E">
              <w:rPr>
                <w:rFonts w:eastAsiaTheme="minorEastAsia" w:cs="Arial"/>
                <w:b/>
                <w:lang w:eastAsia="en-GB"/>
              </w:rPr>
              <w:t>Anticipated balance left in project budget after meeting all contractual obligations as of 10 April 2015</w:t>
            </w:r>
          </w:p>
        </w:tc>
        <w:tc>
          <w:tcPr>
            <w:tcW w:w="1775" w:type="dxa"/>
          </w:tcPr>
          <w:p w:rsidR="00D83E2E" w:rsidRDefault="00BF69C9" w:rsidP="00F50154">
            <w:pPr>
              <w:bidi w:val="0"/>
              <w:jc w:val="both"/>
              <w:rPr>
                <w:rFonts w:eastAsiaTheme="minorEastAsia" w:cs="Arial"/>
                <w:lang w:eastAsia="en-GB"/>
              </w:rPr>
            </w:pPr>
            <w:r>
              <w:rPr>
                <w:rFonts w:eastAsiaTheme="minorEastAsia" w:cs="Arial"/>
                <w:lang w:eastAsia="en-GB"/>
              </w:rPr>
              <w:t>US$</w:t>
            </w:r>
            <w:r w:rsidR="002477B9">
              <w:rPr>
                <w:rFonts w:eastAsiaTheme="minorEastAsia" w:cs="Arial"/>
                <w:lang w:eastAsia="en-GB"/>
              </w:rPr>
              <w:t>450,927</w:t>
            </w:r>
          </w:p>
          <w:p w:rsidR="00BF69C9" w:rsidRDefault="00BF69C9" w:rsidP="00BF69C9">
            <w:pPr>
              <w:bidi w:val="0"/>
              <w:jc w:val="both"/>
              <w:rPr>
                <w:rFonts w:eastAsiaTheme="minorEastAsia" w:cs="Arial"/>
                <w:lang w:eastAsia="en-GB"/>
              </w:rPr>
            </w:pPr>
          </w:p>
        </w:tc>
      </w:tr>
    </w:tbl>
    <w:p w:rsidR="00D83E2E" w:rsidRPr="00937EBB" w:rsidRDefault="00D83E2E" w:rsidP="00F50154">
      <w:pPr>
        <w:bidi w:val="0"/>
        <w:spacing w:after="0" w:line="240" w:lineRule="auto"/>
        <w:jc w:val="both"/>
        <w:rPr>
          <w:rFonts w:eastAsiaTheme="minorEastAsia" w:cs="Arial"/>
          <w:lang w:eastAsia="en-GB"/>
        </w:rPr>
      </w:pPr>
    </w:p>
    <w:sectPr w:rsidR="00D83E2E" w:rsidRPr="00937EBB" w:rsidSect="000C0AE6">
      <w:footerReference w:type="default" r:id="rId10"/>
      <w:pgSz w:w="11906" w:h="16838"/>
      <w:pgMar w:top="1440"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9E" w:rsidRDefault="00BE189E" w:rsidP="004407A0">
      <w:pPr>
        <w:spacing w:after="0" w:line="240" w:lineRule="auto"/>
      </w:pPr>
      <w:r>
        <w:separator/>
      </w:r>
    </w:p>
  </w:endnote>
  <w:endnote w:type="continuationSeparator" w:id="0">
    <w:p w:rsidR="00BE189E" w:rsidRDefault="00BE189E" w:rsidP="0044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50473"/>
      <w:docPartObj>
        <w:docPartGallery w:val="Page Numbers (Bottom of Page)"/>
        <w:docPartUnique/>
      </w:docPartObj>
    </w:sdtPr>
    <w:sdtEndPr>
      <w:rPr>
        <w:noProof/>
      </w:rPr>
    </w:sdtEndPr>
    <w:sdtContent>
      <w:p w:rsidR="009B5F8D" w:rsidRDefault="009B5F8D">
        <w:pPr>
          <w:pStyle w:val="Footer"/>
          <w:jc w:val="center"/>
        </w:pPr>
        <w:r>
          <w:fldChar w:fldCharType="begin"/>
        </w:r>
        <w:r>
          <w:instrText xml:space="preserve"> PAGE   \* MERGEFORMAT </w:instrText>
        </w:r>
        <w:r>
          <w:fldChar w:fldCharType="separate"/>
        </w:r>
        <w:r w:rsidR="00C114D6">
          <w:rPr>
            <w:noProof/>
            <w:rtl/>
          </w:rPr>
          <w:t>5</w:t>
        </w:r>
        <w:r>
          <w:rPr>
            <w:noProof/>
          </w:rPr>
          <w:fldChar w:fldCharType="end"/>
        </w:r>
      </w:p>
    </w:sdtContent>
  </w:sdt>
  <w:p w:rsidR="009B5F8D" w:rsidRDefault="009B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9E" w:rsidRDefault="00BE189E" w:rsidP="004407A0">
      <w:pPr>
        <w:spacing w:after="0" w:line="240" w:lineRule="auto"/>
      </w:pPr>
      <w:r>
        <w:separator/>
      </w:r>
    </w:p>
  </w:footnote>
  <w:footnote w:type="continuationSeparator" w:id="0">
    <w:p w:rsidR="00BE189E" w:rsidRDefault="00BE189E" w:rsidP="004407A0">
      <w:pPr>
        <w:spacing w:after="0" w:line="240" w:lineRule="auto"/>
      </w:pPr>
      <w:r>
        <w:continuationSeparator/>
      </w:r>
    </w:p>
  </w:footnote>
  <w:footnote w:id="1">
    <w:p w:rsidR="00881BE8" w:rsidRPr="00881BE8" w:rsidRDefault="00881BE8" w:rsidP="00583A7A">
      <w:pPr>
        <w:pStyle w:val="FootnoteText"/>
      </w:pPr>
      <w:r>
        <w:rPr>
          <w:rStyle w:val="FootnoteReference"/>
        </w:rPr>
        <w:footnoteRef/>
      </w:r>
      <w:r>
        <w:t xml:space="preserve"> Overall budget </w:t>
      </w:r>
      <w:r w:rsidR="00D76AAE">
        <w:t xml:space="preserve">[to the end of the project] </w:t>
      </w:r>
      <w:r>
        <w:t xml:space="preserve">for Output 1.1 </w:t>
      </w:r>
      <w:r w:rsidR="00583A7A">
        <w:t>US$616,200</w:t>
      </w:r>
      <w:r w:rsidR="00D76AAE">
        <w:t xml:space="preserve"> </w:t>
      </w:r>
    </w:p>
  </w:footnote>
  <w:footnote w:id="2">
    <w:p w:rsidR="00881BE8" w:rsidRPr="00881BE8" w:rsidRDefault="00881BE8" w:rsidP="00881BE8">
      <w:pPr>
        <w:pStyle w:val="FootnoteText"/>
      </w:pPr>
      <w:r>
        <w:rPr>
          <w:rStyle w:val="FootnoteReference"/>
        </w:rPr>
        <w:footnoteRef/>
      </w:r>
      <w:r>
        <w:t xml:space="preserve"> Budget for this Output to be allocated in Q4 2015 for a total US$30,000</w:t>
      </w:r>
    </w:p>
  </w:footnote>
  <w:footnote w:id="3">
    <w:p w:rsidR="00EE7FC3" w:rsidRPr="00EE7FC3" w:rsidRDefault="00EE7FC3" w:rsidP="00881BE8">
      <w:pPr>
        <w:pStyle w:val="FootnoteText"/>
        <w:rPr>
          <w:lang w:val="en-US"/>
        </w:rPr>
      </w:pPr>
      <w:r>
        <w:rPr>
          <w:rStyle w:val="FootnoteReference"/>
        </w:rPr>
        <w:footnoteRef/>
      </w:r>
      <w:r>
        <w:t xml:space="preserve"> </w:t>
      </w:r>
      <w:r>
        <w:rPr>
          <w:lang w:val="en-US"/>
        </w:rPr>
        <w:t xml:space="preserve">Budget for this </w:t>
      </w:r>
      <w:r w:rsidR="00881BE8">
        <w:rPr>
          <w:lang w:val="en-US"/>
        </w:rPr>
        <w:t>Output</w:t>
      </w:r>
      <w:r>
        <w:rPr>
          <w:lang w:val="en-US"/>
        </w:rPr>
        <w:t xml:space="preserve"> planned to be allocated in </w:t>
      </w:r>
      <w:r w:rsidR="00881BE8">
        <w:rPr>
          <w:lang w:val="en-US"/>
        </w:rPr>
        <w:t>Q3 2015 for a total US$30,000 (</w:t>
      </w:r>
      <w:r w:rsidR="00881BE8" w:rsidRPr="004F2B4B">
        <w:rPr>
          <w:highlight w:val="yellow"/>
          <w:lang w:val="en-US"/>
        </w:rPr>
        <w:t>from UNDP resources</w:t>
      </w:r>
      <w:r w:rsidR="00881BE8">
        <w:rPr>
          <w:lang w:val="en-US"/>
        </w:rPr>
        <w:t>).</w:t>
      </w:r>
    </w:p>
  </w:footnote>
  <w:footnote w:id="4">
    <w:p w:rsidR="00583A7A" w:rsidRPr="00583A7A" w:rsidRDefault="00583A7A">
      <w:pPr>
        <w:pStyle w:val="FootnoteText"/>
        <w:rPr>
          <w:lang w:val="en-US"/>
        </w:rPr>
      </w:pPr>
      <w:r>
        <w:rPr>
          <w:rStyle w:val="FootnoteReference"/>
        </w:rPr>
        <w:footnoteRef/>
      </w:r>
      <w:r>
        <w:t xml:space="preserve"> </w:t>
      </w:r>
      <w:r>
        <w:rPr>
          <w:lang w:val="en-US"/>
        </w:rPr>
        <w:t xml:space="preserve">Overall budget </w:t>
      </w:r>
      <w:r w:rsidR="00D76AAE">
        <w:rPr>
          <w:lang w:val="en-US"/>
        </w:rPr>
        <w:t xml:space="preserve">[to the end of the project] </w:t>
      </w:r>
      <w:r>
        <w:rPr>
          <w:lang w:val="en-US"/>
        </w:rPr>
        <w:t>for Output 1.4 US$353,800</w:t>
      </w:r>
      <w:r w:rsidR="00CE6307">
        <w:rPr>
          <w:lang w:val="en-US"/>
        </w:rPr>
        <w:t xml:space="preserve"> (</w:t>
      </w:r>
      <w:r w:rsidR="00CE6307" w:rsidRPr="00056EB3">
        <w:rPr>
          <w:b/>
          <w:bCs/>
          <w:lang w:val="en-US"/>
        </w:rPr>
        <w:t>includes</w:t>
      </w:r>
      <w:r w:rsidR="00CE6307">
        <w:rPr>
          <w:lang w:val="en-US"/>
        </w:rPr>
        <w:t xml:space="preserve"> GMS and Direct Project Costs</w:t>
      </w:r>
      <w:r w:rsidR="00DA5F0E">
        <w:rPr>
          <w:lang w:val="en-US"/>
        </w:rPr>
        <w:t xml:space="preserve"> and transfers to IP for management costs</w:t>
      </w:r>
      <w:r w:rsidR="00CE6307">
        <w:rPr>
          <w:lang w:val="en-US"/>
        </w:rPr>
        <w:t>)</w:t>
      </w:r>
      <w:r w:rsidR="00DA5F0E">
        <w:rPr>
          <w:lang w:val="en-US"/>
        </w:rPr>
        <w:t>.</w:t>
      </w:r>
    </w:p>
  </w:footnote>
  <w:footnote w:id="5">
    <w:p w:rsidR="004F43A6" w:rsidRPr="004F43A6" w:rsidRDefault="004F43A6" w:rsidP="00DA5F0E">
      <w:pPr>
        <w:pStyle w:val="FootnoteText"/>
        <w:rPr>
          <w:lang w:val="en-US"/>
        </w:rPr>
      </w:pPr>
      <w:r>
        <w:rPr>
          <w:rStyle w:val="FootnoteReference"/>
        </w:rPr>
        <w:footnoteRef/>
      </w:r>
      <w:r>
        <w:t xml:space="preserve"> </w:t>
      </w:r>
      <w:r w:rsidR="00CA0C42">
        <w:rPr>
          <w:lang w:val="en-US"/>
        </w:rPr>
        <w:t>US$11,972.03</w:t>
      </w:r>
      <w:r>
        <w:rPr>
          <w:lang w:val="en-US"/>
        </w:rPr>
        <w:t xml:space="preserve"> were spent between March 31</w:t>
      </w:r>
      <w:r w:rsidRPr="004F43A6">
        <w:rPr>
          <w:vertAlign w:val="superscript"/>
          <w:lang w:val="en-US"/>
        </w:rPr>
        <w:t>st</w:t>
      </w:r>
      <w:r>
        <w:rPr>
          <w:lang w:val="en-US"/>
        </w:rPr>
        <w:t xml:space="preserve"> and April 10</w:t>
      </w:r>
      <w:r w:rsidRPr="004F43A6">
        <w:rPr>
          <w:vertAlign w:val="superscript"/>
          <w:lang w:val="en-US"/>
        </w:rPr>
        <w:t>th</w:t>
      </w:r>
      <w:r>
        <w:rPr>
          <w:lang w:val="en-US"/>
        </w:rPr>
        <w:t xml:space="preserve"> but </w:t>
      </w:r>
      <w:r w:rsidR="00D144E1">
        <w:rPr>
          <w:lang w:val="en-US"/>
        </w:rPr>
        <w:t>costs were incurred in</w:t>
      </w:r>
      <w:r>
        <w:rPr>
          <w:lang w:val="en-US"/>
        </w:rPr>
        <w:t xml:space="preserve"> Q1 2015</w:t>
      </w:r>
      <w:r w:rsidR="00CA0C42">
        <w:rPr>
          <w:lang w:val="en-US"/>
        </w:rPr>
        <w:t xml:space="preserve"> (</w:t>
      </w:r>
      <w:r w:rsidR="00DA5F0E">
        <w:rPr>
          <w:lang w:val="en-US"/>
        </w:rPr>
        <w:t>i.e.</w:t>
      </w:r>
      <w:r w:rsidR="00CA0C42">
        <w:rPr>
          <w:lang w:val="en-US"/>
        </w:rPr>
        <w:t xml:space="preserve"> security relocation grants to national staff)</w:t>
      </w:r>
      <w:r>
        <w:rPr>
          <w:lang w:val="en-US"/>
        </w:rPr>
        <w:t>.</w:t>
      </w:r>
      <w:r w:rsidR="00C709B4">
        <w:rPr>
          <w:lang w:val="en-US"/>
        </w:rPr>
        <w:t xml:space="preserve"> Expenditure for s</w:t>
      </w:r>
      <w:r w:rsidR="007138EA">
        <w:rPr>
          <w:lang w:val="en-US"/>
        </w:rPr>
        <w:t xml:space="preserve">alary for one national staff </w:t>
      </w:r>
      <w:r w:rsidR="007138EA" w:rsidRPr="00DA5F0E">
        <w:rPr>
          <w:i/>
          <w:iCs/>
          <w:u w:val="single"/>
          <w:lang w:val="en-US"/>
        </w:rPr>
        <w:t>not registered yet</w:t>
      </w:r>
      <w:r w:rsidR="00FF2E94">
        <w:rPr>
          <w:lang w:val="en-US"/>
        </w:rPr>
        <w:t xml:space="preserve"> (circa US$7,900 incurred in Q1 2015).</w:t>
      </w:r>
    </w:p>
  </w:footnote>
  <w:footnote w:id="6">
    <w:p w:rsidR="002477B9" w:rsidRPr="002477B9" w:rsidRDefault="002477B9" w:rsidP="000B633D">
      <w:pPr>
        <w:pStyle w:val="FootnoteText"/>
        <w:rPr>
          <w:lang w:val="en-US"/>
        </w:rPr>
      </w:pPr>
      <w:r>
        <w:rPr>
          <w:rStyle w:val="FootnoteReference"/>
        </w:rPr>
        <w:footnoteRef/>
      </w:r>
      <w:r>
        <w:t xml:space="preserve"> The amount of US$</w:t>
      </w:r>
      <w:r w:rsidRPr="002477B9">
        <w:t>21</w:t>
      </w:r>
      <w:r w:rsidR="000B633D">
        <w:t>,</w:t>
      </w:r>
      <w:r w:rsidRPr="002477B9">
        <w:t>079.53</w:t>
      </w:r>
      <w:r>
        <w:t xml:space="preserve"> has </w:t>
      </w:r>
      <w:r w:rsidR="000B633D">
        <w:t>been charged to the project before 31 March 2015.</w:t>
      </w:r>
    </w:p>
  </w:footnote>
  <w:footnote w:id="7">
    <w:p w:rsidR="00D94867" w:rsidRPr="00D94867" w:rsidRDefault="00D94867" w:rsidP="008C2FEC">
      <w:pPr>
        <w:pStyle w:val="FootnoteText"/>
        <w:rPr>
          <w:lang w:val="en-US"/>
        </w:rPr>
      </w:pPr>
      <w:r>
        <w:rPr>
          <w:rStyle w:val="FootnoteReference"/>
        </w:rPr>
        <w:footnoteRef/>
      </w:r>
      <w:r>
        <w:t xml:space="preserve"> </w:t>
      </w:r>
      <w:r>
        <w:rPr>
          <w:lang w:val="en-US"/>
        </w:rPr>
        <w:t>Alth</w:t>
      </w:r>
      <w:r w:rsidR="008C2FEC">
        <w:rPr>
          <w:lang w:val="en-US"/>
        </w:rPr>
        <w:t>ough activities were suspended, IP</w:t>
      </w:r>
      <w:r>
        <w:rPr>
          <w:lang w:val="en-US"/>
        </w:rPr>
        <w:t xml:space="preserve"> staff was on stand-by on Q2 2015 awaiting for clarifications from PBSO. It is expected that at least staff costs for Q2 2015 will have to be reimbursed regardless of the final decision on the suspension of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D6F"/>
    <w:multiLevelType w:val="hybridMultilevel"/>
    <w:tmpl w:val="5872809A"/>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7CB"/>
    <w:multiLevelType w:val="hybridMultilevel"/>
    <w:tmpl w:val="9CC2434A"/>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317B3"/>
    <w:multiLevelType w:val="hybridMultilevel"/>
    <w:tmpl w:val="AAA27CA0"/>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652"/>
    <w:multiLevelType w:val="hybridMultilevel"/>
    <w:tmpl w:val="46D824C0"/>
    <w:lvl w:ilvl="0" w:tplc="B9CE9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85D3A"/>
    <w:multiLevelType w:val="hybridMultilevel"/>
    <w:tmpl w:val="74F45504"/>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03EA4"/>
    <w:multiLevelType w:val="hybridMultilevel"/>
    <w:tmpl w:val="9ED6F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FBA7C2D"/>
    <w:multiLevelType w:val="hybridMultilevel"/>
    <w:tmpl w:val="53DCAEB6"/>
    <w:lvl w:ilvl="0" w:tplc="6B40D54E">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A20AE"/>
    <w:multiLevelType w:val="hybridMultilevel"/>
    <w:tmpl w:val="01CC6D54"/>
    <w:lvl w:ilvl="0" w:tplc="D3E699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8372D"/>
    <w:multiLevelType w:val="hybridMultilevel"/>
    <w:tmpl w:val="E25E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F2CB2"/>
    <w:multiLevelType w:val="hybridMultilevel"/>
    <w:tmpl w:val="C7E68130"/>
    <w:lvl w:ilvl="0" w:tplc="A998D6C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70E9F"/>
    <w:multiLevelType w:val="hybridMultilevel"/>
    <w:tmpl w:val="14660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10"/>
  </w:num>
  <w:num w:numId="3">
    <w:abstractNumId w:val="2"/>
  </w:num>
  <w:num w:numId="4">
    <w:abstractNumId w:val="0"/>
  </w:num>
  <w:num w:numId="5">
    <w:abstractNumId w:val="7"/>
  </w:num>
  <w:num w:numId="6">
    <w:abstractNumId w:val="5"/>
  </w:num>
  <w:num w:numId="7">
    <w:abstractNumId w:val="9"/>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14"/>
    <w:rsid w:val="0001384E"/>
    <w:rsid w:val="0003252D"/>
    <w:rsid w:val="0004659B"/>
    <w:rsid w:val="00056EB3"/>
    <w:rsid w:val="000638BB"/>
    <w:rsid w:val="00080EF2"/>
    <w:rsid w:val="000936DF"/>
    <w:rsid w:val="00095B11"/>
    <w:rsid w:val="000A7B96"/>
    <w:rsid w:val="000A7F0E"/>
    <w:rsid w:val="000B633D"/>
    <w:rsid w:val="000C0AE6"/>
    <w:rsid w:val="000C6B49"/>
    <w:rsid w:val="000D11C4"/>
    <w:rsid w:val="000D3463"/>
    <w:rsid w:val="000D3E55"/>
    <w:rsid w:val="000D752A"/>
    <w:rsid w:val="000F458B"/>
    <w:rsid w:val="00117055"/>
    <w:rsid w:val="00122C88"/>
    <w:rsid w:val="00124CB3"/>
    <w:rsid w:val="001302FB"/>
    <w:rsid w:val="00130A3C"/>
    <w:rsid w:val="00132BE8"/>
    <w:rsid w:val="001350D7"/>
    <w:rsid w:val="0013727F"/>
    <w:rsid w:val="00137284"/>
    <w:rsid w:val="001445A3"/>
    <w:rsid w:val="00147988"/>
    <w:rsid w:val="00162593"/>
    <w:rsid w:val="001A0E97"/>
    <w:rsid w:val="001A27EA"/>
    <w:rsid w:val="001A2823"/>
    <w:rsid w:val="001B3646"/>
    <w:rsid w:val="001B6C83"/>
    <w:rsid w:val="001D0ADA"/>
    <w:rsid w:val="001F06B5"/>
    <w:rsid w:val="001F4A44"/>
    <w:rsid w:val="00204E84"/>
    <w:rsid w:val="00223BA5"/>
    <w:rsid w:val="00231A6A"/>
    <w:rsid w:val="00234C09"/>
    <w:rsid w:val="00240459"/>
    <w:rsid w:val="00243857"/>
    <w:rsid w:val="002477B9"/>
    <w:rsid w:val="002832EE"/>
    <w:rsid w:val="0029010F"/>
    <w:rsid w:val="002A5168"/>
    <w:rsid w:val="002B2E47"/>
    <w:rsid w:val="002B6509"/>
    <w:rsid w:val="002C08F6"/>
    <w:rsid w:val="002C2224"/>
    <w:rsid w:val="002E34F1"/>
    <w:rsid w:val="002E7866"/>
    <w:rsid w:val="00300D7F"/>
    <w:rsid w:val="00327AB0"/>
    <w:rsid w:val="00346EC4"/>
    <w:rsid w:val="0035660B"/>
    <w:rsid w:val="003664D9"/>
    <w:rsid w:val="0038387F"/>
    <w:rsid w:val="003930C2"/>
    <w:rsid w:val="003A3565"/>
    <w:rsid w:val="003A5A3E"/>
    <w:rsid w:val="003A6D8C"/>
    <w:rsid w:val="003B2F14"/>
    <w:rsid w:val="003B5F5F"/>
    <w:rsid w:val="003C076B"/>
    <w:rsid w:val="003C3D47"/>
    <w:rsid w:val="003D7706"/>
    <w:rsid w:val="003E0BE7"/>
    <w:rsid w:val="003E4CA3"/>
    <w:rsid w:val="00401346"/>
    <w:rsid w:val="00407CF4"/>
    <w:rsid w:val="00413DBA"/>
    <w:rsid w:val="00424D74"/>
    <w:rsid w:val="004407A0"/>
    <w:rsid w:val="004436CA"/>
    <w:rsid w:val="00444786"/>
    <w:rsid w:val="00445FAF"/>
    <w:rsid w:val="00450D6A"/>
    <w:rsid w:val="004522A8"/>
    <w:rsid w:val="00474D8D"/>
    <w:rsid w:val="00482D57"/>
    <w:rsid w:val="00486E37"/>
    <w:rsid w:val="00491240"/>
    <w:rsid w:val="00491714"/>
    <w:rsid w:val="00492FDD"/>
    <w:rsid w:val="0049366C"/>
    <w:rsid w:val="004A3D42"/>
    <w:rsid w:val="004A5DD3"/>
    <w:rsid w:val="004B2A94"/>
    <w:rsid w:val="004C1B22"/>
    <w:rsid w:val="004C6D33"/>
    <w:rsid w:val="004D5AE9"/>
    <w:rsid w:val="004E70E8"/>
    <w:rsid w:val="004F2B4B"/>
    <w:rsid w:val="004F43A6"/>
    <w:rsid w:val="004F7CDE"/>
    <w:rsid w:val="005022BC"/>
    <w:rsid w:val="00502AFF"/>
    <w:rsid w:val="0050310D"/>
    <w:rsid w:val="00512D03"/>
    <w:rsid w:val="00517FB5"/>
    <w:rsid w:val="00527139"/>
    <w:rsid w:val="0053393A"/>
    <w:rsid w:val="005563E0"/>
    <w:rsid w:val="00564871"/>
    <w:rsid w:val="00572C6F"/>
    <w:rsid w:val="00574343"/>
    <w:rsid w:val="00574624"/>
    <w:rsid w:val="00583A7A"/>
    <w:rsid w:val="00583D5D"/>
    <w:rsid w:val="0058535E"/>
    <w:rsid w:val="00592A17"/>
    <w:rsid w:val="005A34A1"/>
    <w:rsid w:val="005B16A5"/>
    <w:rsid w:val="005B772E"/>
    <w:rsid w:val="005C3F18"/>
    <w:rsid w:val="005D1A2F"/>
    <w:rsid w:val="005D5A3F"/>
    <w:rsid w:val="005D648F"/>
    <w:rsid w:val="005F5F7D"/>
    <w:rsid w:val="00602C63"/>
    <w:rsid w:val="006317EE"/>
    <w:rsid w:val="00632764"/>
    <w:rsid w:val="00650007"/>
    <w:rsid w:val="00657806"/>
    <w:rsid w:val="006775CB"/>
    <w:rsid w:val="006812BA"/>
    <w:rsid w:val="00686367"/>
    <w:rsid w:val="006866AF"/>
    <w:rsid w:val="00693EF6"/>
    <w:rsid w:val="006A485C"/>
    <w:rsid w:val="006B3612"/>
    <w:rsid w:val="006C2267"/>
    <w:rsid w:val="006C6E1F"/>
    <w:rsid w:val="006D02D8"/>
    <w:rsid w:val="006E45E4"/>
    <w:rsid w:val="006F10F2"/>
    <w:rsid w:val="006F2FBA"/>
    <w:rsid w:val="006F360E"/>
    <w:rsid w:val="006F4DFF"/>
    <w:rsid w:val="006F64CD"/>
    <w:rsid w:val="00701AA3"/>
    <w:rsid w:val="007138EA"/>
    <w:rsid w:val="007176D8"/>
    <w:rsid w:val="0072766C"/>
    <w:rsid w:val="00750757"/>
    <w:rsid w:val="00751104"/>
    <w:rsid w:val="00776CC5"/>
    <w:rsid w:val="007910E5"/>
    <w:rsid w:val="007A13DF"/>
    <w:rsid w:val="007D0BD8"/>
    <w:rsid w:val="008046B5"/>
    <w:rsid w:val="008064A5"/>
    <w:rsid w:val="008241F3"/>
    <w:rsid w:val="00830187"/>
    <w:rsid w:val="0083304C"/>
    <w:rsid w:val="008379EA"/>
    <w:rsid w:val="0084293A"/>
    <w:rsid w:val="0084333D"/>
    <w:rsid w:val="008626F7"/>
    <w:rsid w:val="00862B30"/>
    <w:rsid w:val="00876B12"/>
    <w:rsid w:val="00877EA2"/>
    <w:rsid w:val="00881241"/>
    <w:rsid w:val="00881BE8"/>
    <w:rsid w:val="00894BEC"/>
    <w:rsid w:val="00895748"/>
    <w:rsid w:val="00897ABC"/>
    <w:rsid w:val="008A2DD7"/>
    <w:rsid w:val="008B7F9C"/>
    <w:rsid w:val="008C2FEC"/>
    <w:rsid w:val="008E43A4"/>
    <w:rsid w:val="008E5310"/>
    <w:rsid w:val="008E6681"/>
    <w:rsid w:val="008E66C4"/>
    <w:rsid w:val="008F0AEF"/>
    <w:rsid w:val="00901997"/>
    <w:rsid w:val="00906D7A"/>
    <w:rsid w:val="00912086"/>
    <w:rsid w:val="00916574"/>
    <w:rsid w:val="00931491"/>
    <w:rsid w:val="00931A56"/>
    <w:rsid w:val="00937EBB"/>
    <w:rsid w:val="00952426"/>
    <w:rsid w:val="00952C06"/>
    <w:rsid w:val="00956808"/>
    <w:rsid w:val="00956CDB"/>
    <w:rsid w:val="0096134F"/>
    <w:rsid w:val="00974828"/>
    <w:rsid w:val="00977054"/>
    <w:rsid w:val="009809C0"/>
    <w:rsid w:val="0099255A"/>
    <w:rsid w:val="009A4194"/>
    <w:rsid w:val="009B5F8D"/>
    <w:rsid w:val="009C431A"/>
    <w:rsid w:val="009D3F44"/>
    <w:rsid w:val="009E06CC"/>
    <w:rsid w:val="009F398A"/>
    <w:rsid w:val="009F4388"/>
    <w:rsid w:val="00A165B9"/>
    <w:rsid w:val="00A1680A"/>
    <w:rsid w:val="00A2244B"/>
    <w:rsid w:val="00A225FB"/>
    <w:rsid w:val="00A30929"/>
    <w:rsid w:val="00A41DBC"/>
    <w:rsid w:val="00A43AB7"/>
    <w:rsid w:val="00A45B3C"/>
    <w:rsid w:val="00A52EE8"/>
    <w:rsid w:val="00A74F92"/>
    <w:rsid w:val="00A81362"/>
    <w:rsid w:val="00A86DDD"/>
    <w:rsid w:val="00AD1C1B"/>
    <w:rsid w:val="00AE3316"/>
    <w:rsid w:val="00AE3877"/>
    <w:rsid w:val="00AF173C"/>
    <w:rsid w:val="00B11C4B"/>
    <w:rsid w:val="00B20ED2"/>
    <w:rsid w:val="00B22C59"/>
    <w:rsid w:val="00B360A4"/>
    <w:rsid w:val="00B36AFA"/>
    <w:rsid w:val="00B36BED"/>
    <w:rsid w:val="00B47406"/>
    <w:rsid w:val="00B626E7"/>
    <w:rsid w:val="00B653CC"/>
    <w:rsid w:val="00B74617"/>
    <w:rsid w:val="00B96895"/>
    <w:rsid w:val="00BA3654"/>
    <w:rsid w:val="00BB5338"/>
    <w:rsid w:val="00BC581C"/>
    <w:rsid w:val="00BC7A5C"/>
    <w:rsid w:val="00BD305A"/>
    <w:rsid w:val="00BD4687"/>
    <w:rsid w:val="00BE189E"/>
    <w:rsid w:val="00BF69C9"/>
    <w:rsid w:val="00C00B67"/>
    <w:rsid w:val="00C06412"/>
    <w:rsid w:val="00C114D6"/>
    <w:rsid w:val="00C133CA"/>
    <w:rsid w:val="00C3393B"/>
    <w:rsid w:val="00C5298B"/>
    <w:rsid w:val="00C66876"/>
    <w:rsid w:val="00C709B4"/>
    <w:rsid w:val="00C739EA"/>
    <w:rsid w:val="00CA086A"/>
    <w:rsid w:val="00CA0C42"/>
    <w:rsid w:val="00CB39A3"/>
    <w:rsid w:val="00CB7DB0"/>
    <w:rsid w:val="00CC611A"/>
    <w:rsid w:val="00CC6A67"/>
    <w:rsid w:val="00CD02BC"/>
    <w:rsid w:val="00CD1D60"/>
    <w:rsid w:val="00CD2013"/>
    <w:rsid w:val="00CD2C23"/>
    <w:rsid w:val="00CD42D6"/>
    <w:rsid w:val="00CD7144"/>
    <w:rsid w:val="00CE57CF"/>
    <w:rsid w:val="00CE6307"/>
    <w:rsid w:val="00D144E1"/>
    <w:rsid w:val="00D15E3C"/>
    <w:rsid w:val="00D25639"/>
    <w:rsid w:val="00D35B8B"/>
    <w:rsid w:val="00D43385"/>
    <w:rsid w:val="00D45CCE"/>
    <w:rsid w:val="00D52B21"/>
    <w:rsid w:val="00D53B3D"/>
    <w:rsid w:val="00D65A7F"/>
    <w:rsid w:val="00D661D7"/>
    <w:rsid w:val="00D729BE"/>
    <w:rsid w:val="00D76AAE"/>
    <w:rsid w:val="00D83E2E"/>
    <w:rsid w:val="00D84462"/>
    <w:rsid w:val="00D94867"/>
    <w:rsid w:val="00D94B94"/>
    <w:rsid w:val="00D96699"/>
    <w:rsid w:val="00DA57D5"/>
    <w:rsid w:val="00DA5F0E"/>
    <w:rsid w:val="00DE5074"/>
    <w:rsid w:val="00DE5A55"/>
    <w:rsid w:val="00DF5110"/>
    <w:rsid w:val="00E05A9B"/>
    <w:rsid w:val="00E0692F"/>
    <w:rsid w:val="00E118B6"/>
    <w:rsid w:val="00E20C4D"/>
    <w:rsid w:val="00E21434"/>
    <w:rsid w:val="00E24F53"/>
    <w:rsid w:val="00E26C87"/>
    <w:rsid w:val="00E5581B"/>
    <w:rsid w:val="00E60025"/>
    <w:rsid w:val="00E61F10"/>
    <w:rsid w:val="00E64D96"/>
    <w:rsid w:val="00E72B83"/>
    <w:rsid w:val="00E87501"/>
    <w:rsid w:val="00E962D2"/>
    <w:rsid w:val="00EC6A2E"/>
    <w:rsid w:val="00ED100D"/>
    <w:rsid w:val="00ED5ED2"/>
    <w:rsid w:val="00ED61BD"/>
    <w:rsid w:val="00EE3D87"/>
    <w:rsid w:val="00EE7FC3"/>
    <w:rsid w:val="00F00955"/>
    <w:rsid w:val="00F03C6E"/>
    <w:rsid w:val="00F07599"/>
    <w:rsid w:val="00F10B8E"/>
    <w:rsid w:val="00F1216D"/>
    <w:rsid w:val="00F1385F"/>
    <w:rsid w:val="00F14833"/>
    <w:rsid w:val="00F256F3"/>
    <w:rsid w:val="00F26B58"/>
    <w:rsid w:val="00F270F2"/>
    <w:rsid w:val="00F37E4C"/>
    <w:rsid w:val="00F46BF7"/>
    <w:rsid w:val="00F471C4"/>
    <w:rsid w:val="00F47572"/>
    <w:rsid w:val="00F50154"/>
    <w:rsid w:val="00F52250"/>
    <w:rsid w:val="00F5405D"/>
    <w:rsid w:val="00F54EB0"/>
    <w:rsid w:val="00F5515A"/>
    <w:rsid w:val="00F57B06"/>
    <w:rsid w:val="00F62CB4"/>
    <w:rsid w:val="00F64560"/>
    <w:rsid w:val="00F9108B"/>
    <w:rsid w:val="00F94557"/>
    <w:rsid w:val="00F966DC"/>
    <w:rsid w:val="00FA1D40"/>
    <w:rsid w:val="00FA236E"/>
    <w:rsid w:val="00FA433C"/>
    <w:rsid w:val="00FA72C3"/>
    <w:rsid w:val="00FC2F22"/>
    <w:rsid w:val="00FE0B7F"/>
    <w:rsid w:val="00FE5949"/>
    <w:rsid w:val="00FF0FF1"/>
    <w:rsid w:val="00FF2E94"/>
    <w:rsid w:val="00FF5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6D8E6-369A-40C8-8C28-DBEBDCB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ADB,single space"/>
    <w:basedOn w:val="Normal"/>
    <w:link w:val="FootnoteTextChar"/>
    <w:rsid w:val="004407A0"/>
    <w:pPr>
      <w:widowControl w:val="0"/>
      <w:bidi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t Char,ADB Char,single space Char"/>
    <w:basedOn w:val="DefaultParagraphFont"/>
    <w:link w:val="FootnoteText"/>
    <w:rsid w:val="004407A0"/>
    <w:rPr>
      <w:rFonts w:ascii="Times New Roman" w:eastAsia="Times New Roman" w:hAnsi="Times New Roman" w:cs="Times New Roman"/>
      <w:snapToGrid w:val="0"/>
      <w:sz w:val="20"/>
      <w:szCs w:val="20"/>
      <w:lang w:val="en-GB"/>
    </w:rPr>
  </w:style>
  <w:style w:type="character" w:styleId="FootnoteReference">
    <w:name w:val="footnote reference"/>
    <w:rsid w:val="004407A0"/>
    <w:rPr>
      <w:vertAlign w:val="superscript"/>
    </w:rPr>
  </w:style>
  <w:style w:type="character" w:styleId="Hyperlink">
    <w:name w:val="Hyperlink"/>
    <w:uiPriority w:val="99"/>
    <w:unhideWhenUsed/>
    <w:rsid w:val="004407A0"/>
    <w:rPr>
      <w:color w:val="0000FF"/>
      <w:u w:val="single"/>
    </w:rPr>
  </w:style>
  <w:style w:type="paragraph" w:styleId="BalloonText">
    <w:name w:val="Balloon Text"/>
    <w:basedOn w:val="Normal"/>
    <w:link w:val="BalloonTextChar"/>
    <w:uiPriority w:val="99"/>
    <w:semiHidden/>
    <w:unhideWhenUsed/>
    <w:rsid w:val="0044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A0"/>
    <w:rPr>
      <w:rFonts w:ascii="Tahoma" w:hAnsi="Tahoma" w:cs="Tahoma"/>
      <w:sz w:val="16"/>
      <w:szCs w:val="16"/>
    </w:rPr>
  </w:style>
  <w:style w:type="paragraph" w:styleId="ListParagraph">
    <w:name w:val="List Paragraph"/>
    <w:basedOn w:val="Normal"/>
    <w:link w:val="ListParagraphChar"/>
    <w:uiPriority w:val="99"/>
    <w:qFormat/>
    <w:rsid w:val="008E66C4"/>
    <w:pPr>
      <w:bidi w:val="0"/>
      <w:ind w:left="720"/>
      <w:contextualSpacing/>
    </w:pPr>
  </w:style>
  <w:style w:type="character" w:customStyle="1" w:styleId="ListParagraphChar">
    <w:name w:val="List Paragraph Char"/>
    <w:link w:val="ListParagraph"/>
    <w:uiPriority w:val="99"/>
    <w:locked/>
    <w:rsid w:val="008E66C4"/>
  </w:style>
  <w:style w:type="paragraph" w:styleId="PlainText">
    <w:name w:val="Plain Text"/>
    <w:basedOn w:val="Normal"/>
    <w:link w:val="PlainTextChar"/>
    <w:uiPriority w:val="99"/>
    <w:unhideWhenUsed/>
    <w:rsid w:val="0084293A"/>
    <w:pPr>
      <w:bidi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93A"/>
    <w:rPr>
      <w:rFonts w:ascii="Calibri" w:hAnsi="Calibri"/>
      <w:szCs w:val="21"/>
    </w:rPr>
  </w:style>
  <w:style w:type="table" w:customStyle="1" w:styleId="TableGrid2">
    <w:name w:val="Table Grid2"/>
    <w:basedOn w:val="TableNormal"/>
    <w:next w:val="TableGrid"/>
    <w:uiPriority w:val="5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96"/>
  </w:style>
  <w:style w:type="paragraph" w:styleId="Footer">
    <w:name w:val="footer"/>
    <w:basedOn w:val="Normal"/>
    <w:link w:val="FooterChar"/>
    <w:uiPriority w:val="99"/>
    <w:unhideWhenUsed/>
    <w:rsid w:val="000A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96"/>
  </w:style>
  <w:style w:type="paragraph" w:customStyle="1" w:styleId="Default">
    <w:name w:val="Default"/>
    <w:rsid w:val="00D9669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7EBB"/>
    <w:rPr>
      <w:sz w:val="16"/>
      <w:szCs w:val="16"/>
    </w:rPr>
  </w:style>
  <w:style w:type="paragraph" w:styleId="CommentText">
    <w:name w:val="annotation text"/>
    <w:basedOn w:val="Normal"/>
    <w:link w:val="CommentTextChar"/>
    <w:uiPriority w:val="99"/>
    <w:semiHidden/>
    <w:unhideWhenUsed/>
    <w:rsid w:val="00937EBB"/>
    <w:pPr>
      <w:spacing w:line="240" w:lineRule="auto"/>
    </w:pPr>
    <w:rPr>
      <w:sz w:val="20"/>
      <w:szCs w:val="20"/>
    </w:rPr>
  </w:style>
  <w:style w:type="character" w:customStyle="1" w:styleId="CommentTextChar">
    <w:name w:val="Comment Text Char"/>
    <w:basedOn w:val="DefaultParagraphFont"/>
    <w:link w:val="CommentText"/>
    <w:uiPriority w:val="99"/>
    <w:semiHidden/>
    <w:rsid w:val="00937EBB"/>
    <w:rPr>
      <w:sz w:val="20"/>
      <w:szCs w:val="20"/>
    </w:rPr>
  </w:style>
  <w:style w:type="paragraph" w:styleId="CommentSubject">
    <w:name w:val="annotation subject"/>
    <w:basedOn w:val="CommentText"/>
    <w:next w:val="CommentText"/>
    <w:link w:val="CommentSubjectChar"/>
    <w:uiPriority w:val="99"/>
    <w:semiHidden/>
    <w:unhideWhenUsed/>
    <w:rsid w:val="00937EBB"/>
    <w:rPr>
      <w:b/>
      <w:bCs/>
    </w:rPr>
  </w:style>
  <w:style w:type="character" w:customStyle="1" w:styleId="CommentSubjectChar">
    <w:name w:val="Comment Subject Char"/>
    <w:basedOn w:val="CommentTextChar"/>
    <w:link w:val="CommentSubject"/>
    <w:uiPriority w:val="99"/>
    <w:semiHidden/>
    <w:rsid w:val="00937EBB"/>
    <w:rPr>
      <w:b/>
      <w:bCs/>
      <w:sz w:val="20"/>
      <w:szCs w:val="20"/>
    </w:rPr>
  </w:style>
  <w:style w:type="paragraph" w:styleId="NormalWeb">
    <w:name w:val="Normal (Web)"/>
    <w:basedOn w:val="Normal"/>
    <w:uiPriority w:val="99"/>
    <w:semiHidden/>
    <w:unhideWhenUsed/>
    <w:rsid w:val="003930C2"/>
    <w:pPr>
      <w:bidi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889">
      <w:bodyDiv w:val="1"/>
      <w:marLeft w:val="0"/>
      <w:marRight w:val="0"/>
      <w:marTop w:val="0"/>
      <w:marBottom w:val="0"/>
      <w:divBdr>
        <w:top w:val="none" w:sz="0" w:space="0" w:color="auto"/>
        <w:left w:val="none" w:sz="0" w:space="0" w:color="auto"/>
        <w:bottom w:val="none" w:sz="0" w:space="0" w:color="auto"/>
        <w:right w:val="none" w:sz="0" w:space="0" w:color="auto"/>
      </w:divBdr>
    </w:div>
    <w:div w:id="257445185">
      <w:bodyDiv w:val="1"/>
      <w:marLeft w:val="0"/>
      <w:marRight w:val="0"/>
      <w:marTop w:val="0"/>
      <w:marBottom w:val="0"/>
      <w:divBdr>
        <w:top w:val="none" w:sz="0" w:space="0" w:color="auto"/>
        <w:left w:val="none" w:sz="0" w:space="0" w:color="auto"/>
        <w:bottom w:val="none" w:sz="0" w:space="0" w:color="auto"/>
        <w:right w:val="none" w:sz="0" w:space="0" w:color="auto"/>
      </w:divBdr>
    </w:div>
    <w:div w:id="417483844">
      <w:bodyDiv w:val="1"/>
      <w:marLeft w:val="0"/>
      <w:marRight w:val="0"/>
      <w:marTop w:val="0"/>
      <w:marBottom w:val="0"/>
      <w:divBdr>
        <w:top w:val="none" w:sz="0" w:space="0" w:color="auto"/>
        <w:left w:val="none" w:sz="0" w:space="0" w:color="auto"/>
        <w:bottom w:val="none" w:sz="0" w:space="0" w:color="auto"/>
        <w:right w:val="none" w:sz="0" w:space="0" w:color="auto"/>
      </w:divBdr>
    </w:div>
    <w:div w:id="584606041">
      <w:bodyDiv w:val="1"/>
      <w:marLeft w:val="0"/>
      <w:marRight w:val="0"/>
      <w:marTop w:val="0"/>
      <w:marBottom w:val="0"/>
      <w:divBdr>
        <w:top w:val="none" w:sz="0" w:space="0" w:color="auto"/>
        <w:left w:val="none" w:sz="0" w:space="0" w:color="auto"/>
        <w:bottom w:val="none" w:sz="0" w:space="0" w:color="auto"/>
        <w:right w:val="none" w:sz="0" w:space="0" w:color="auto"/>
      </w:divBdr>
    </w:div>
    <w:div w:id="16140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8EAC-EE9C-4661-8870-C20E165E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mohammed</cp:lastModifiedBy>
  <cp:revision>3</cp:revision>
  <cp:lastPrinted>2015-03-22T11:10:00Z</cp:lastPrinted>
  <dcterms:created xsi:type="dcterms:W3CDTF">2015-09-04T17:31:00Z</dcterms:created>
  <dcterms:modified xsi:type="dcterms:W3CDTF">2015-09-04T19:11:00Z</dcterms:modified>
</cp:coreProperties>
</file>