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Layout w:type="fixed"/>
        <w:tblCellMar>
          <w:left w:w="0" w:type="dxa"/>
          <w:right w:w="0" w:type="dxa"/>
        </w:tblCellMar>
        <w:tblLook w:val="04A0" w:firstRow="1" w:lastRow="0" w:firstColumn="1" w:lastColumn="0" w:noHBand="0" w:noVBand="1"/>
      </w:tblPr>
      <w:tblGrid>
        <w:gridCol w:w="2520"/>
        <w:gridCol w:w="4590"/>
        <w:gridCol w:w="2430"/>
      </w:tblGrid>
      <w:tr w:rsidR="007A4A00" w:rsidRPr="00D90F80" w14:paraId="03299BB9" w14:textId="77777777" w:rsidTr="007A4A00">
        <w:trPr>
          <w:trHeight w:val="1980"/>
        </w:trPr>
        <w:tc>
          <w:tcPr>
            <w:tcW w:w="2520" w:type="dxa"/>
            <w:vAlign w:val="bottom"/>
            <w:hideMark/>
          </w:tcPr>
          <w:p w14:paraId="7DC59C92" w14:textId="77777777" w:rsidR="007A4A00" w:rsidRPr="00D90F80" w:rsidRDefault="007A4A00">
            <w:pPr>
              <w:pStyle w:val="UN-00Logosoncoveralignedleft"/>
              <w:spacing w:line="276" w:lineRule="auto"/>
              <w:rPr>
                <w:sz w:val="20"/>
              </w:rPr>
            </w:pPr>
            <w:r w:rsidRPr="00D90F80">
              <w:rPr>
                <w:noProof/>
                <w:sz w:val="20"/>
              </w:rPr>
              <w:drawing>
                <wp:inline distT="0" distB="0" distL="0" distR="0" wp14:anchorId="7B15BA71" wp14:editId="0B9E750B">
                  <wp:extent cx="1552575" cy="1028700"/>
                  <wp:effectExtent l="0" t="0" r="9525" b="0"/>
                  <wp:docPr id="2" name="Picture 2" descr="yemen-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men-fl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028700"/>
                          </a:xfrm>
                          <a:prstGeom prst="rect">
                            <a:avLst/>
                          </a:prstGeom>
                          <a:noFill/>
                          <a:ln>
                            <a:noFill/>
                          </a:ln>
                        </pic:spPr>
                      </pic:pic>
                    </a:graphicData>
                  </a:graphic>
                </wp:inline>
              </w:drawing>
            </w:r>
          </w:p>
        </w:tc>
        <w:tc>
          <w:tcPr>
            <w:tcW w:w="4590" w:type="dxa"/>
            <w:vAlign w:val="bottom"/>
          </w:tcPr>
          <w:p w14:paraId="211482E7" w14:textId="77777777" w:rsidR="007A4A00" w:rsidRPr="00D90F80" w:rsidRDefault="007A4A0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spacing w:val="-3"/>
                <w:sz w:val="20"/>
                <w:lang w:val="en-US"/>
              </w:rPr>
            </w:pPr>
            <w:r w:rsidRPr="00D90F80">
              <w:rPr>
                <w:spacing w:val="-3"/>
                <w:sz w:val="20"/>
                <w:lang w:val="en-US"/>
              </w:rPr>
              <w:t>Yemen National Dialogue and Constitutional Reform Trust Fund (YNDCRTF)</w:t>
            </w:r>
          </w:p>
          <w:p w14:paraId="2AEEA71E" w14:textId="77777777" w:rsidR="007A4A00" w:rsidRPr="00D90F80" w:rsidRDefault="007A4A00">
            <w:pPr>
              <w:pStyle w:val="UN-50Logosoncovercentered"/>
              <w:spacing w:line="276" w:lineRule="auto"/>
              <w:rPr>
                <w:noProof/>
                <w:sz w:val="20"/>
              </w:rPr>
            </w:pPr>
          </w:p>
        </w:tc>
        <w:tc>
          <w:tcPr>
            <w:tcW w:w="2430" w:type="dxa"/>
            <w:vAlign w:val="bottom"/>
            <w:hideMark/>
          </w:tcPr>
          <w:p w14:paraId="208E0384" w14:textId="77777777" w:rsidR="007A4A00" w:rsidRPr="00D90F80" w:rsidRDefault="007A4A00">
            <w:pPr>
              <w:pStyle w:val="UN-00Logosoncoveralignedright"/>
              <w:spacing w:line="276" w:lineRule="auto"/>
              <w:jc w:val="center"/>
              <w:rPr>
                <w:sz w:val="20"/>
              </w:rPr>
            </w:pPr>
            <w:r w:rsidRPr="00D90F80">
              <w:rPr>
                <w:noProof/>
                <w:sz w:val="20"/>
              </w:rPr>
              <w:drawing>
                <wp:inline distT="0" distB="0" distL="0" distR="0" wp14:anchorId="58FCE15D" wp14:editId="785E99BA">
                  <wp:extent cx="1190625" cy="1038225"/>
                  <wp:effectExtent l="0" t="0" r="9525" b="9525"/>
                  <wp:docPr id="1" name="Picture 1" descr="cid:image001.gif@01C775DC.3F182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775DC.3F1823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90625" cy="1038225"/>
                          </a:xfrm>
                          <a:prstGeom prst="rect">
                            <a:avLst/>
                          </a:prstGeom>
                          <a:noFill/>
                          <a:ln>
                            <a:noFill/>
                          </a:ln>
                        </pic:spPr>
                      </pic:pic>
                    </a:graphicData>
                  </a:graphic>
                </wp:inline>
              </w:drawing>
            </w:r>
          </w:p>
        </w:tc>
      </w:tr>
    </w:tbl>
    <w:p w14:paraId="6E47C798" w14:textId="77777777" w:rsidR="00817B1D" w:rsidRPr="00D90F80" w:rsidRDefault="00817B1D" w:rsidP="00077BBA">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b/>
          <w:bCs/>
          <w:sz w:val="20"/>
        </w:rPr>
      </w:pPr>
    </w:p>
    <w:p w14:paraId="7F0B0156" w14:textId="77777777" w:rsidR="00F45AA3" w:rsidRDefault="00F45AA3" w:rsidP="00817B1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0"/>
        </w:rPr>
      </w:pPr>
    </w:p>
    <w:p w14:paraId="643F4C6E" w14:textId="77777777" w:rsidR="00F45AA3" w:rsidRDefault="00F45AA3" w:rsidP="00817B1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0"/>
        </w:rPr>
      </w:pPr>
    </w:p>
    <w:p w14:paraId="5203F7E5" w14:textId="77777777" w:rsidR="00817B1D" w:rsidRPr="00F45AA3" w:rsidRDefault="00817B1D" w:rsidP="00817B1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Cs w:val="24"/>
        </w:rPr>
      </w:pPr>
      <w:r w:rsidRPr="00F45AA3">
        <w:rPr>
          <w:b/>
          <w:bCs/>
          <w:szCs w:val="24"/>
        </w:rPr>
        <w:t>PROJECT</w:t>
      </w:r>
      <w:r w:rsidRPr="00F45AA3">
        <w:rPr>
          <w:b/>
          <w:bCs/>
          <w:szCs w:val="24"/>
          <w:vertAlign w:val="superscript"/>
        </w:rPr>
        <w:t xml:space="preserve">1 </w:t>
      </w:r>
      <w:r w:rsidRPr="00F45AA3">
        <w:rPr>
          <w:b/>
          <w:bCs/>
          <w:szCs w:val="24"/>
        </w:rPr>
        <w:t>QUARTERLY PROGRESS UPDATE</w:t>
      </w:r>
    </w:p>
    <w:p w14:paraId="7D49E68D" w14:textId="77777777" w:rsidR="00817B1D" w:rsidRPr="00F45AA3" w:rsidRDefault="00817B1D" w:rsidP="00817B1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i/>
          <w:spacing w:val="-3"/>
          <w:szCs w:val="24"/>
        </w:rPr>
      </w:pPr>
      <w:r w:rsidRPr="00F45AA3">
        <w:rPr>
          <w:i/>
          <w:spacing w:val="-3"/>
          <w:szCs w:val="24"/>
        </w:rPr>
        <w:t>(for posting on the YNDCRTF web site)</w:t>
      </w:r>
    </w:p>
    <w:p w14:paraId="171EB1AD" w14:textId="3F4474AE" w:rsidR="00817B1D" w:rsidRPr="00F45AA3" w:rsidRDefault="00817B1D" w:rsidP="00760CCB">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i/>
          <w:szCs w:val="24"/>
        </w:rPr>
      </w:pPr>
      <w:r w:rsidRPr="00F45AA3">
        <w:rPr>
          <w:b/>
          <w:bCs/>
          <w:i/>
          <w:szCs w:val="24"/>
        </w:rPr>
        <w:t>as of [</w:t>
      </w:r>
      <w:r w:rsidR="0021317B">
        <w:rPr>
          <w:b/>
          <w:bCs/>
          <w:i/>
          <w:szCs w:val="24"/>
        </w:rPr>
        <w:t>1</w:t>
      </w:r>
      <w:r w:rsidR="0021317B" w:rsidRPr="00F9614B">
        <w:rPr>
          <w:b/>
          <w:bCs/>
          <w:i/>
          <w:szCs w:val="24"/>
          <w:vertAlign w:val="superscript"/>
        </w:rPr>
        <w:t>st</w:t>
      </w:r>
      <w:r w:rsidR="0021317B">
        <w:rPr>
          <w:b/>
          <w:bCs/>
          <w:i/>
          <w:szCs w:val="24"/>
        </w:rPr>
        <w:t xml:space="preserve"> </w:t>
      </w:r>
      <w:r w:rsidR="00760CCB">
        <w:rPr>
          <w:b/>
          <w:bCs/>
          <w:i/>
          <w:szCs w:val="24"/>
        </w:rPr>
        <w:t>July</w:t>
      </w:r>
      <w:r w:rsidR="00316C1E">
        <w:rPr>
          <w:b/>
          <w:bCs/>
          <w:i/>
          <w:szCs w:val="24"/>
        </w:rPr>
        <w:t xml:space="preserve"> </w:t>
      </w:r>
      <w:r w:rsidR="0021317B">
        <w:rPr>
          <w:b/>
          <w:bCs/>
          <w:i/>
          <w:szCs w:val="24"/>
        </w:rPr>
        <w:t>2015- 3</w:t>
      </w:r>
      <w:r w:rsidR="00760CCB">
        <w:rPr>
          <w:b/>
          <w:bCs/>
          <w:i/>
          <w:szCs w:val="24"/>
        </w:rPr>
        <w:t>0</w:t>
      </w:r>
      <w:r w:rsidR="00760CCB">
        <w:rPr>
          <w:b/>
          <w:bCs/>
          <w:i/>
          <w:szCs w:val="24"/>
          <w:vertAlign w:val="superscript"/>
        </w:rPr>
        <w:t>th</w:t>
      </w:r>
      <w:r w:rsidR="0021317B">
        <w:rPr>
          <w:b/>
          <w:bCs/>
          <w:i/>
          <w:szCs w:val="24"/>
        </w:rPr>
        <w:t xml:space="preserve"> </w:t>
      </w:r>
      <w:r w:rsidR="00760CCB">
        <w:rPr>
          <w:b/>
          <w:bCs/>
          <w:i/>
          <w:szCs w:val="24"/>
        </w:rPr>
        <w:t>Sep</w:t>
      </w:r>
      <w:r w:rsidR="00316C1E">
        <w:rPr>
          <w:b/>
          <w:bCs/>
          <w:i/>
          <w:szCs w:val="24"/>
        </w:rPr>
        <w:t xml:space="preserve"> </w:t>
      </w:r>
      <w:r w:rsidR="0021317B">
        <w:rPr>
          <w:b/>
          <w:bCs/>
          <w:i/>
          <w:szCs w:val="24"/>
        </w:rPr>
        <w:t>2015</w:t>
      </w:r>
      <w:r w:rsidRPr="00F45AA3">
        <w:rPr>
          <w:b/>
          <w:bCs/>
          <w:i/>
          <w:szCs w:val="24"/>
        </w:rPr>
        <w:t>]</w:t>
      </w:r>
    </w:p>
    <w:p w14:paraId="584B4A12" w14:textId="77777777" w:rsidR="00F45AA3" w:rsidRDefault="00F45AA3" w:rsidP="005A7BD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i/>
          <w:sz w:val="20"/>
        </w:rPr>
      </w:pPr>
    </w:p>
    <w:p w14:paraId="5B658647" w14:textId="77777777" w:rsidR="00F45AA3" w:rsidRPr="00D90F80" w:rsidRDefault="00F45AA3" w:rsidP="005A7BD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i/>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365"/>
        <w:gridCol w:w="1225"/>
        <w:gridCol w:w="1246"/>
        <w:gridCol w:w="1593"/>
        <w:gridCol w:w="1571"/>
      </w:tblGrid>
      <w:tr w:rsidR="00817B1D" w:rsidRPr="00F45AA3" w14:paraId="46E2A0B4" w14:textId="77777777" w:rsidTr="00F45AA3">
        <w:trPr>
          <w:trHeight w:val="647"/>
        </w:trPr>
        <w:tc>
          <w:tcPr>
            <w:tcW w:w="206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F92F678" w14:textId="77777777" w:rsidR="00817B1D" w:rsidRPr="00F45AA3" w:rsidRDefault="00817B1D">
            <w:pPr>
              <w:rPr>
                <w:b/>
                <w:szCs w:val="24"/>
              </w:rPr>
            </w:pPr>
            <w:r w:rsidRPr="00F45AA3">
              <w:rPr>
                <w:b/>
                <w:szCs w:val="24"/>
              </w:rPr>
              <w:t xml:space="preserve">Participating UN or Non-UN Organization:  </w:t>
            </w:r>
          </w:p>
        </w:tc>
        <w:tc>
          <w:tcPr>
            <w:tcW w:w="7000" w:type="dxa"/>
            <w:gridSpan w:val="5"/>
            <w:tcBorders>
              <w:top w:val="single" w:sz="4" w:space="0" w:color="auto"/>
              <w:left w:val="single" w:sz="4" w:space="0" w:color="auto"/>
              <w:bottom w:val="single" w:sz="4" w:space="0" w:color="auto"/>
              <w:right w:val="single" w:sz="4" w:space="0" w:color="auto"/>
            </w:tcBorders>
            <w:vAlign w:val="center"/>
          </w:tcPr>
          <w:p w14:paraId="14060B0D" w14:textId="698F1D62" w:rsidR="00817B1D" w:rsidRPr="00F45AA3" w:rsidRDefault="00030BF7" w:rsidP="0000758C">
            <w:pPr>
              <w:rPr>
                <w:b/>
                <w:szCs w:val="24"/>
              </w:rPr>
            </w:pPr>
            <w:r w:rsidRPr="00F45AA3">
              <w:rPr>
                <w:bCs/>
                <w:szCs w:val="24"/>
              </w:rPr>
              <w:t>UNOPS</w:t>
            </w:r>
            <w:r w:rsidR="0000758C">
              <w:rPr>
                <w:bCs/>
                <w:szCs w:val="24"/>
              </w:rPr>
              <w:t>/</w:t>
            </w:r>
            <w:r w:rsidR="003F6364">
              <w:rPr>
                <w:bCs/>
                <w:szCs w:val="24"/>
              </w:rPr>
              <w:t xml:space="preserve">Coordinating Agency: </w:t>
            </w:r>
            <w:r w:rsidR="00835C7D">
              <w:rPr>
                <w:bCs/>
                <w:szCs w:val="24"/>
              </w:rPr>
              <w:t xml:space="preserve">Office of the Special Envoy </w:t>
            </w:r>
            <w:r w:rsidR="00C55E7A">
              <w:rPr>
                <w:bCs/>
                <w:szCs w:val="24"/>
              </w:rPr>
              <w:t xml:space="preserve">of </w:t>
            </w:r>
            <w:r w:rsidR="00835C7D">
              <w:rPr>
                <w:bCs/>
                <w:szCs w:val="24"/>
              </w:rPr>
              <w:t>the Secretary</w:t>
            </w:r>
            <w:r w:rsidR="00C55E7A">
              <w:rPr>
                <w:bCs/>
                <w:szCs w:val="24"/>
              </w:rPr>
              <w:t>-</w:t>
            </w:r>
            <w:r w:rsidR="00835C7D">
              <w:rPr>
                <w:bCs/>
                <w:szCs w:val="24"/>
              </w:rPr>
              <w:t xml:space="preserve">General </w:t>
            </w:r>
            <w:r w:rsidR="004B60E4">
              <w:rPr>
                <w:bCs/>
                <w:szCs w:val="24"/>
              </w:rPr>
              <w:t>for Yemen</w:t>
            </w:r>
            <w:r w:rsidR="00835C7D">
              <w:rPr>
                <w:bCs/>
                <w:szCs w:val="24"/>
              </w:rPr>
              <w:t xml:space="preserve"> (OSESG)</w:t>
            </w:r>
            <w:r w:rsidR="0000758C">
              <w:rPr>
                <w:bCs/>
                <w:szCs w:val="24"/>
              </w:rPr>
              <w:t xml:space="preserve">; </w:t>
            </w:r>
            <w:r w:rsidR="006D6608">
              <w:rPr>
                <w:bCs/>
                <w:szCs w:val="24"/>
              </w:rPr>
              <w:t>UNICEF</w:t>
            </w:r>
          </w:p>
        </w:tc>
      </w:tr>
      <w:tr w:rsidR="00817B1D" w:rsidRPr="00F45AA3" w14:paraId="10D08182" w14:textId="77777777" w:rsidTr="00F45AA3">
        <w:trPr>
          <w:trHeight w:val="843"/>
        </w:trPr>
        <w:tc>
          <w:tcPr>
            <w:tcW w:w="206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F3BEEF5" w14:textId="77777777" w:rsidR="00817B1D" w:rsidRPr="00F45AA3" w:rsidRDefault="00817B1D">
            <w:pPr>
              <w:rPr>
                <w:b/>
                <w:bCs/>
                <w:szCs w:val="24"/>
              </w:rPr>
            </w:pPr>
            <w:r w:rsidRPr="00F45AA3">
              <w:rPr>
                <w:b/>
                <w:szCs w:val="24"/>
              </w:rPr>
              <w:t xml:space="preserve">Implementing Partner(s): </w:t>
            </w:r>
          </w:p>
        </w:tc>
        <w:tc>
          <w:tcPr>
            <w:tcW w:w="7000" w:type="dxa"/>
            <w:gridSpan w:val="5"/>
            <w:tcBorders>
              <w:top w:val="single" w:sz="4" w:space="0" w:color="auto"/>
              <w:left w:val="single" w:sz="4" w:space="0" w:color="auto"/>
              <w:bottom w:val="single" w:sz="4" w:space="0" w:color="auto"/>
              <w:right w:val="single" w:sz="4" w:space="0" w:color="auto"/>
            </w:tcBorders>
            <w:vAlign w:val="center"/>
          </w:tcPr>
          <w:p w14:paraId="394B177A" w14:textId="13C9A1CA" w:rsidR="00F45AA3" w:rsidRPr="0002404E" w:rsidRDefault="00D90F80" w:rsidP="00650173">
            <w:pPr>
              <w:rPr>
                <w:bCs/>
                <w:szCs w:val="24"/>
              </w:rPr>
            </w:pPr>
            <w:r w:rsidRPr="0002404E">
              <w:rPr>
                <w:bCs/>
                <w:szCs w:val="24"/>
              </w:rPr>
              <w:t xml:space="preserve">Constitution Drafting Committee General Secretariat </w:t>
            </w:r>
            <w:r w:rsidR="00650173" w:rsidRPr="0002404E">
              <w:rPr>
                <w:bCs/>
                <w:szCs w:val="24"/>
              </w:rPr>
              <w:t>(The Secretariat)</w:t>
            </w:r>
            <w:r w:rsidR="008E7B9F" w:rsidRPr="0002404E">
              <w:rPr>
                <w:bCs/>
                <w:szCs w:val="24"/>
              </w:rPr>
              <w:t xml:space="preserve"> </w:t>
            </w:r>
          </w:p>
        </w:tc>
      </w:tr>
      <w:tr w:rsidR="00817B1D" w:rsidRPr="00F45AA3" w14:paraId="601CE129" w14:textId="77777777" w:rsidTr="00F45AA3">
        <w:trPr>
          <w:trHeight w:val="686"/>
        </w:trPr>
        <w:tc>
          <w:tcPr>
            <w:tcW w:w="206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A051811" w14:textId="77777777" w:rsidR="00817B1D" w:rsidRPr="00F45AA3" w:rsidRDefault="00817B1D">
            <w:pPr>
              <w:rPr>
                <w:b/>
                <w:szCs w:val="24"/>
              </w:rPr>
            </w:pPr>
            <w:r w:rsidRPr="00F45AA3">
              <w:rPr>
                <w:b/>
                <w:szCs w:val="24"/>
              </w:rPr>
              <w:t xml:space="preserve">Project Number: </w:t>
            </w:r>
          </w:p>
        </w:tc>
        <w:tc>
          <w:tcPr>
            <w:tcW w:w="7000" w:type="dxa"/>
            <w:gridSpan w:val="5"/>
            <w:tcBorders>
              <w:top w:val="single" w:sz="4" w:space="0" w:color="auto"/>
              <w:left w:val="single" w:sz="4" w:space="0" w:color="auto"/>
              <w:bottom w:val="single" w:sz="4" w:space="0" w:color="auto"/>
              <w:right w:val="single" w:sz="4" w:space="0" w:color="auto"/>
            </w:tcBorders>
            <w:vAlign w:val="center"/>
          </w:tcPr>
          <w:p w14:paraId="207914BA" w14:textId="3DED39B1" w:rsidR="00817B1D" w:rsidRPr="00F45AA3" w:rsidRDefault="00C403B7">
            <w:pPr>
              <w:rPr>
                <w:b/>
                <w:szCs w:val="24"/>
              </w:rPr>
            </w:pPr>
            <w:r w:rsidRPr="00C403B7">
              <w:rPr>
                <w:bCs/>
                <w:szCs w:val="24"/>
              </w:rPr>
              <w:t>89810</w:t>
            </w:r>
          </w:p>
        </w:tc>
      </w:tr>
      <w:tr w:rsidR="00817B1D" w:rsidRPr="00F45AA3" w14:paraId="4AE11A35" w14:textId="77777777" w:rsidTr="003F6364">
        <w:trPr>
          <w:trHeight w:val="755"/>
        </w:trPr>
        <w:tc>
          <w:tcPr>
            <w:tcW w:w="206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EF6C792" w14:textId="77777777" w:rsidR="00817B1D" w:rsidRPr="00F45AA3" w:rsidRDefault="00817B1D">
            <w:pPr>
              <w:rPr>
                <w:b/>
                <w:szCs w:val="24"/>
              </w:rPr>
            </w:pPr>
            <w:r w:rsidRPr="00F45AA3">
              <w:rPr>
                <w:b/>
                <w:szCs w:val="24"/>
              </w:rPr>
              <w:t>Project Title:</w:t>
            </w:r>
          </w:p>
        </w:tc>
        <w:tc>
          <w:tcPr>
            <w:tcW w:w="7000" w:type="dxa"/>
            <w:gridSpan w:val="5"/>
            <w:tcBorders>
              <w:top w:val="single" w:sz="4" w:space="0" w:color="auto"/>
              <w:left w:val="single" w:sz="4" w:space="0" w:color="auto"/>
              <w:bottom w:val="single" w:sz="4" w:space="0" w:color="auto"/>
              <w:right w:val="single" w:sz="4" w:space="0" w:color="auto"/>
            </w:tcBorders>
            <w:vAlign w:val="center"/>
          </w:tcPr>
          <w:p w14:paraId="6C531888" w14:textId="164CF4C2" w:rsidR="00817B1D" w:rsidRPr="00F45AA3" w:rsidRDefault="00D90F80" w:rsidP="00155885">
            <w:pPr>
              <w:rPr>
                <w:b/>
                <w:szCs w:val="24"/>
              </w:rPr>
            </w:pPr>
            <w:r w:rsidRPr="00F45AA3">
              <w:rPr>
                <w:bCs/>
                <w:szCs w:val="24"/>
              </w:rPr>
              <w:t>Constitution</w:t>
            </w:r>
            <w:r w:rsidR="008E7B9F" w:rsidRPr="00F45AA3">
              <w:rPr>
                <w:bCs/>
                <w:szCs w:val="24"/>
              </w:rPr>
              <w:t xml:space="preserve">-Drafting </w:t>
            </w:r>
            <w:r w:rsidRPr="00F45AA3">
              <w:rPr>
                <w:bCs/>
                <w:szCs w:val="24"/>
              </w:rPr>
              <w:t xml:space="preserve">Process Project </w:t>
            </w:r>
          </w:p>
        </w:tc>
      </w:tr>
      <w:tr w:rsidR="00817B1D" w:rsidRPr="00F45AA3" w14:paraId="2D3B0637" w14:textId="77777777" w:rsidTr="00F45AA3">
        <w:trPr>
          <w:trHeight w:val="836"/>
        </w:trPr>
        <w:tc>
          <w:tcPr>
            <w:tcW w:w="206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8B74663" w14:textId="77777777" w:rsidR="00817B1D" w:rsidRPr="00F45AA3" w:rsidRDefault="00817B1D">
            <w:pPr>
              <w:rPr>
                <w:b/>
                <w:szCs w:val="24"/>
              </w:rPr>
            </w:pPr>
            <w:r w:rsidRPr="00F45AA3">
              <w:rPr>
                <w:b/>
                <w:szCs w:val="24"/>
              </w:rPr>
              <w:t>Total Approved Project Budget:</w:t>
            </w:r>
          </w:p>
        </w:tc>
        <w:tc>
          <w:tcPr>
            <w:tcW w:w="7000" w:type="dxa"/>
            <w:gridSpan w:val="5"/>
            <w:tcBorders>
              <w:top w:val="single" w:sz="4" w:space="0" w:color="auto"/>
              <w:left w:val="single" w:sz="4" w:space="0" w:color="auto"/>
              <w:bottom w:val="single" w:sz="4" w:space="0" w:color="auto"/>
              <w:right w:val="single" w:sz="4" w:space="0" w:color="auto"/>
            </w:tcBorders>
            <w:vAlign w:val="center"/>
          </w:tcPr>
          <w:p w14:paraId="1CD1872A" w14:textId="49CAF300" w:rsidR="00817B1D" w:rsidRPr="00F45AA3" w:rsidRDefault="00FB1FE1" w:rsidP="00B774DE">
            <w:pPr>
              <w:rPr>
                <w:b/>
                <w:szCs w:val="24"/>
              </w:rPr>
            </w:pPr>
            <w:r w:rsidRPr="00F45AA3">
              <w:rPr>
                <w:b/>
                <w:szCs w:val="24"/>
              </w:rPr>
              <w:t>US$</w:t>
            </w:r>
            <w:r w:rsidRPr="00F45AA3">
              <w:rPr>
                <w:szCs w:val="24"/>
              </w:rPr>
              <w:t xml:space="preserve"> </w:t>
            </w:r>
            <w:r w:rsidR="00B774DE">
              <w:rPr>
                <w:szCs w:val="24"/>
              </w:rPr>
              <w:t>9,842,984</w:t>
            </w:r>
            <w:r w:rsidRPr="00F45AA3">
              <w:rPr>
                <w:szCs w:val="24"/>
              </w:rPr>
              <w:t xml:space="preserve"> </w:t>
            </w:r>
          </w:p>
        </w:tc>
      </w:tr>
      <w:tr w:rsidR="00817B1D" w:rsidRPr="00F45AA3" w14:paraId="12E092BF" w14:textId="77777777" w:rsidTr="00F45AA3">
        <w:trPr>
          <w:trHeight w:val="562"/>
        </w:trPr>
        <w:tc>
          <w:tcPr>
            <w:tcW w:w="206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C6A290C" w14:textId="77777777" w:rsidR="00817B1D" w:rsidRPr="00F45AA3" w:rsidRDefault="00817B1D">
            <w:pPr>
              <w:rPr>
                <w:b/>
                <w:szCs w:val="24"/>
              </w:rPr>
            </w:pPr>
            <w:r w:rsidRPr="00F45AA3">
              <w:rPr>
                <w:b/>
                <w:szCs w:val="24"/>
              </w:rPr>
              <w:t>Location:</w:t>
            </w:r>
          </w:p>
        </w:tc>
        <w:tc>
          <w:tcPr>
            <w:tcW w:w="7000" w:type="dxa"/>
            <w:gridSpan w:val="5"/>
            <w:tcBorders>
              <w:top w:val="single" w:sz="4" w:space="0" w:color="auto"/>
              <w:left w:val="single" w:sz="4" w:space="0" w:color="auto"/>
              <w:bottom w:val="single" w:sz="4" w:space="0" w:color="auto"/>
              <w:right w:val="single" w:sz="4" w:space="0" w:color="auto"/>
            </w:tcBorders>
            <w:vAlign w:val="center"/>
          </w:tcPr>
          <w:p w14:paraId="1FB58CA0" w14:textId="6FC18FE2" w:rsidR="00817B1D" w:rsidRPr="00F45AA3" w:rsidRDefault="00D90F80" w:rsidP="008571F2">
            <w:pPr>
              <w:rPr>
                <w:b/>
                <w:szCs w:val="24"/>
              </w:rPr>
            </w:pPr>
            <w:r w:rsidRPr="00F45AA3">
              <w:rPr>
                <w:bCs/>
                <w:szCs w:val="24"/>
              </w:rPr>
              <w:t>Yemen</w:t>
            </w:r>
            <w:r w:rsidR="008571F2">
              <w:rPr>
                <w:bCs/>
                <w:szCs w:val="24"/>
              </w:rPr>
              <w:t>-wide</w:t>
            </w:r>
          </w:p>
        </w:tc>
      </w:tr>
      <w:tr w:rsidR="00817B1D" w:rsidRPr="00F45AA3" w14:paraId="545C7458" w14:textId="77777777" w:rsidTr="00F45AA3">
        <w:trPr>
          <w:trHeight w:val="62"/>
        </w:trPr>
        <w:tc>
          <w:tcPr>
            <w:tcW w:w="206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C6A5AD7" w14:textId="77777777" w:rsidR="00817B1D" w:rsidRPr="00F45AA3" w:rsidRDefault="00817B1D">
            <w:pPr>
              <w:rPr>
                <w:b/>
                <w:szCs w:val="24"/>
              </w:rPr>
            </w:pPr>
            <w:r w:rsidRPr="00F45AA3">
              <w:rPr>
                <w:b/>
                <w:szCs w:val="24"/>
              </w:rPr>
              <w:t>SC Approval Date:</w:t>
            </w:r>
          </w:p>
        </w:tc>
        <w:tc>
          <w:tcPr>
            <w:tcW w:w="7000" w:type="dxa"/>
            <w:gridSpan w:val="5"/>
            <w:tcBorders>
              <w:top w:val="single" w:sz="4" w:space="0" w:color="auto"/>
              <w:left w:val="single" w:sz="4" w:space="0" w:color="auto"/>
              <w:bottom w:val="single" w:sz="4" w:space="0" w:color="auto"/>
              <w:right w:val="single" w:sz="4" w:space="0" w:color="auto"/>
            </w:tcBorders>
            <w:vAlign w:val="center"/>
          </w:tcPr>
          <w:p w14:paraId="33DBFF7A" w14:textId="77777777" w:rsidR="00A42ED1" w:rsidRDefault="00A42ED1" w:rsidP="00EA46B1"/>
          <w:p w14:paraId="7B7BC938" w14:textId="77777777" w:rsidR="00EA46B1" w:rsidRDefault="00EA46B1" w:rsidP="00EA46B1">
            <w:r>
              <w:t>12 March 2014 (SC Project approval)</w:t>
            </w:r>
          </w:p>
          <w:p w14:paraId="272BBF73" w14:textId="77777777" w:rsidR="00817B1D" w:rsidRPr="00F45AA3" w:rsidRDefault="00817B1D">
            <w:pPr>
              <w:rPr>
                <w:b/>
                <w:szCs w:val="24"/>
              </w:rPr>
            </w:pPr>
          </w:p>
        </w:tc>
      </w:tr>
      <w:tr w:rsidR="005249FC" w:rsidRPr="00F45AA3" w14:paraId="2188D2EE" w14:textId="77777777" w:rsidTr="00F45AA3">
        <w:trPr>
          <w:trHeight w:val="743"/>
        </w:trPr>
        <w:tc>
          <w:tcPr>
            <w:tcW w:w="206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9E83E70" w14:textId="77777777" w:rsidR="00817B1D" w:rsidRPr="00F45AA3" w:rsidRDefault="00817B1D">
            <w:pPr>
              <w:rPr>
                <w:b/>
                <w:szCs w:val="24"/>
              </w:rPr>
            </w:pPr>
            <w:r w:rsidRPr="00F45AA3">
              <w:rPr>
                <w:b/>
                <w:szCs w:val="24"/>
              </w:rPr>
              <w:t>Project Duration:</w:t>
            </w:r>
          </w:p>
        </w:tc>
        <w:tc>
          <w:tcPr>
            <w:tcW w:w="1365" w:type="dxa"/>
            <w:tcBorders>
              <w:top w:val="single" w:sz="4" w:space="0" w:color="auto"/>
              <w:left w:val="single" w:sz="4" w:space="0" w:color="auto"/>
              <w:bottom w:val="single" w:sz="4" w:space="0" w:color="auto"/>
              <w:right w:val="single" w:sz="4" w:space="0" w:color="auto"/>
            </w:tcBorders>
            <w:vAlign w:val="center"/>
          </w:tcPr>
          <w:p w14:paraId="5DB05329" w14:textId="77777777" w:rsidR="00817B1D" w:rsidRPr="00F45AA3" w:rsidRDefault="00817B1D">
            <w:pPr>
              <w:rPr>
                <w:b/>
                <w:szCs w:val="24"/>
              </w:rPr>
            </w:pPr>
          </w:p>
          <w:p w14:paraId="6D4A65A8" w14:textId="6CBCC69F" w:rsidR="00817B1D" w:rsidRPr="00F45AA3" w:rsidRDefault="00EA46B1" w:rsidP="002D73EB">
            <w:pPr>
              <w:rPr>
                <w:b/>
                <w:szCs w:val="24"/>
              </w:rPr>
            </w:pPr>
            <w:r>
              <w:rPr>
                <w:b/>
                <w:szCs w:val="24"/>
              </w:rPr>
              <w:t>21 Months</w:t>
            </w:r>
            <w:r w:rsidR="002D73EB" w:rsidRPr="00F45AA3">
              <w:rPr>
                <w:b/>
                <w:szCs w:val="24"/>
              </w:rPr>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A2AC19C" w14:textId="77777777" w:rsidR="00817B1D" w:rsidRPr="00F45AA3" w:rsidRDefault="00817B1D">
            <w:pPr>
              <w:jc w:val="center"/>
              <w:rPr>
                <w:b/>
                <w:szCs w:val="24"/>
              </w:rPr>
            </w:pPr>
            <w:r w:rsidRPr="00F45AA3">
              <w:rPr>
                <w:b/>
                <w:szCs w:val="24"/>
              </w:rPr>
              <w:t>Starting Date:</w:t>
            </w:r>
          </w:p>
        </w:tc>
        <w:tc>
          <w:tcPr>
            <w:tcW w:w="1246" w:type="dxa"/>
            <w:tcBorders>
              <w:top w:val="single" w:sz="4" w:space="0" w:color="auto"/>
              <w:left w:val="single" w:sz="4" w:space="0" w:color="auto"/>
              <w:bottom w:val="single" w:sz="4" w:space="0" w:color="auto"/>
              <w:right w:val="single" w:sz="4" w:space="0" w:color="auto"/>
            </w:tcBorders>
            <w:vAlign w:val="center"/>
          </w:tcPr>
          <w:p w14:paraId="355266F2" w14:textId="77777777" w:rsidR="00817B1D" w:rsidRPr="00F45AA3" w:rsidRDefault="00D90F80" w:rsidP="00D90F80">
            <w:pPr>
              <w:rPr>
                <w:b/>
                <w:bCs/>
                <w:szCs w:val="24"/>
              </w:rPr>
            </w:pPr>
            <w:r w:rsidRPr="00F45AA3">
              <w:rPr>
                <w:b/>
                <w:bCs/>
                <w:szCs w:val="24"/>
              </w:rPr>
              <w:t>20 March 2014</w:t>
            </w:r>
          </w:p>
        </w:tc>
        <w:tc>
          <w:tcPr>
            <w:tcW w:w="15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544339F" w14:textId="77777777" w:rsidR="00817B1D" w:rsidRPr="00F45AA3" w:rsidRDefault="00817B1D">
            <w:pPr>
              <w:jc w:val="center"/>
              <w:rPr>
                <w:b/>
                <w:szCs w:val="24"/>
              </w:rPr>
            </w:pPr>
            <w:r w:rsidRPr="00F45AA3">
              <w:rPr>
                <w:b/>
                <w:szCs w:val="24"/>
                <w:shd w:val="clear" w:color="auto" w:fill="E6E6E6"/>
              </w:rPr>
              <w:t xml:space="preserve">Completion Date:  </w:t>
            </w:r>
            <w:r w:rsidRPr="00F45AA3">
              <w:rPr>
                <w:b/>
                <w:szCs w:val="24"/>
              </w:rPr>
              <w:t xml:space="preserve">   </w:t>
            </w:r>
          </w:p>
        </w:tc>
        <w:tc>
          <w:tcPr>
            <w:tcW w:w="1571" w:type="dxa"/>
            <w:tcBorders>
              <w:top w:val="single" w:sz="4" w:space="0" w:color="auto"/>
              <w:left w:val="single" w:sz="4" w:space="0" w:color="auto"/>
              <w:bottom w:val="single" w:sz="4" w:space="0" w:color="auto"/>
              <w:right w:val="single" w:sz="4" w:space="0" w:color="auto"/>
            </w:tcBorders>
            <w:vAlign w:val="center"/>
          </w:tcPr>
          <w:p w14:paraId="147D2F35" w14:textId="39BEE5B2" w:rsidR="00817B1D" w:rsidRPr="00F45AA3" w:rsidRDefault="00EA46B1">
            <w:pPr>
              <w:rPr>
                <w:b/>
                <w:bCs/>
                <w:szCs w:val="24"/>
              </w:rPr>
            </w:pPr>
            <w:r>
              <w:rPr>
                <w:b/>
                <w:bCs/>
                <w:szCs w:val="24"/>
              </w:rPr>
              <w:t>31 Dec</w:t>
            </w:r>
            <w:r w:rsidRPr="00F45AA3">
              <w:rPr>
                <w:b/>
                <w:bCs/>
                <w:szCs w:val="24"/>
              </w:rPr>
              <w:t xml:space="preserve"> 2015</w:t>
            </w:r>
          </w:p>
        </w:tc>
      </w:tr>
      <w:tr w:rsidR="00817B1D" w:rsidRPr="00F45AA3" w14:paraId="54F6402A" w14:textId="77777777" w:rsidTr="00F45AA3">
        <w:trPr>
          <w:trHeight w:val="698"/>
        </w:trPr>
        <w:tc>
          <w:tcPr>
            <w:tcW w:w="206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910C3AA" w14:textId="40AD0AF7" w:rsidR="00817B1D" w:rsidRPr="00936514" w:rsidRDefault="00817B1D" w:rsidP="00936514">
            <w:r w:rsidRPr="00936514">
              <w:rPr>
                <w:b/>
                <w:szCs w:val="24"/>
              </w:rPr>
              <w:t xml:space="preserve">Funds </w:t>
            </w:r>
            <w:r w:rsidR="00936514">
              <w:rPr>
                <w:b/>
                <w:szCs w:val="24"/>
              </w:rPr>
              <w:t>C</w:t>
            </w:r>
            <w:r w:rsidRPr="00936514">
              <w:rPr>
                <w:b/>
                <w:szCs w:val="24"/>
              </w:rPr>
              <w:t>ommitted:</w:t>
            </w:r>
            <w:r w:rsidRPr="00936514">
              <w:t xml:space="preserve"> </w:t>
            </w:r>
          </w:p>
        </w:tc>
        <w:tc>
          <w:tcPr>
            <w:tcW w:w="3836" w:type="dxa"/>
            <w:gridSpan w:val="3"/>
            <w:tcBorders>
              <w:top w:val="single" w:sz="4" w:space="0" w:color="auto"/>
              <w:left w:val="single" w:sz="4" w:space="0" w:color="auto"/>
              <w:bottom w:val="single" w:sz="4" w:space="0" w:color="auto"/>
              <w:right w:val="single" w:sz="4" w:space="0" w:color="auto"/>
            </w:tcBorders>
            <w:vAlign w:val="center"/>
            <w:hideMark/>
          </w:tcPr>
          <w:p w14:paraId="558F4996" w14:textId="79E937A7" w:rsidR="003F4574" w:rsidRDefault="003F4574" w:rsidP="00FB5D6C">
            <w:bookmarkStart w:id="0" w:name="_GoBack"/>
            <w:bookmarkEnd w:id="0"/>
          </w:p>
          <w:p w14:paraId="332F0403" w14:textId="68E5C9A0" w:rsidR="00817B1D" w:rsidRPr="00936514" w:rsidRDefault="00936514" w:rsidP="00936514">
            <w:r>
              <w:t>$</w:t>
            </w:r>
            <w:r w:rsidRPr="00936514">
              <w:t>5</w:t>
            </w:r>
            <w:r>
              <w:t>,</w:t>
            </w:r>
            <w:r w:rsidRPr="00936514">
              <w:t>345</w:t>
            </w:r>
            <w:r>
              <w:t>,</w:t>
            </w:r>
            <w:r w:rsidRPr="00936514">
              <w:t>263</w:t>
            </w:r>
            <w:r w:rsidR="00C1115E">
              <w:t xml:space="preserve"> </w:t>
            </w:r>
          </w:p>
        </w:tc>
        <w:tc>
          <w:tcPr>
            <w:tcW w:w="15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DB9A3DC" w14:textId="77777777" w:rsidR="00817B1D" w:rsidRPr="00F45AA3" w:rsidRDefault="00817B1D">
            <w:pPr>
              <w:jc w:val="center"/>
              <w:rPr>
                <w:b/>
                <w:szCs w:val="24"/>
              </w:rPr>
            </w:pPr>
            <w:r w:rsidRPr="00F45AA3">
              <w:rPr>
                <w:b/>
                <w:szCs w:val="24"/>
              </w:rPr>
              <w:t>Percentage of Approved:</w:t>
            </w:r>
          </w:p>
        </w:tc>
        <w:tc>
          <w:tcPr>
            <w:tcW w:w="1571" w:type="dxa"/>
            <w:tcBorders>
              <w:top w:val="single" w:sz="4" w:space="0" w:color="auto"/>
              <w:left w:val="single" w:sz="4" w:space="0" w:color="auto"/>
              <w:bottom w:val="single" w:sz="4" w:space="0" w:color="auto"/>
              <w:right w:val="single" w:sz="4" w:space="0" w:color="auto"/>
            </w:tcBorders>
            <w:vAlign w:val="center"/>
          </w:tcPr>
          <w:p w14:paraId="45CFEE50" w14:textId="2CA8AB70" w:rsidR="00817B1D" w:rsidRPr="00F45AA3" w:rsidRDefault="003F4574" w:rsidP="00BF2959">
            <w:pPr>
              <w:rPr>
                <w:b/>
                <w:szCs w:val="24"/>
              </w:rPr>
            </w:pPr>
            <w:r w:rsidRPr="003F4574">
              <w:rPr>
                <w:b/>
                <w:szCs w:val="24"/>
              </w:rPr>
              <w:t>5</w:t>
            </w:r>
            <w:r w:rsidR="00BF2959">
              <w:rPr>
                <w:b/>
                <w:szCs w:val="24"/>
              </w:rPr>
              <w:t>4</w:t>
            </w:r>
            <w:r w:rsidRPr="003F4574">
              <w:rPr>
                <w:b/>
                <w:szCs w:val="24"/>
              </w:rPr>
              <w:t>.</w:t>
            </w:r>
            <w:r w:rsidR="00BF2959">
              <w:rPr>
                <w:b/>
                <w:szCs w:val="24"/>
              </w:rPr>
              <w:t>3</w:t>
            </w:r>
            <w:r w:rsidR="00CC458E" w:rsidRPr="003F4574">
              <w:rPr>
                <w:b/>
                <w:szCs w:val="24"/>
              </w:rPr>
              <w:t>%</w:t>
            </w:r>
          </w:p>
        </w:tc>
      </w:tr>
      <w:tr w:rsidR="00352BD5" w:rsidRPr="00F45AA3" w14:paraId="3DF45CD7" w14:textId="77777777" w:rsidTr="00F45AA3">
        <w:trPr>
          <w:trHeight w:val="694"/>
        </w:trPr>
        <w:tc>
          <w:tcPr>
            <w:tcW w:w="206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6086194" w14:textId="77777777" w:rsidR="00352BD5" w:rsidRPr="00F45AA3" w:rsidRDefault="00352BD5" w:rsidP="00352BD5">
            <w:pPr>
              <w:rPr>
                <w:b/>
                <w:szCs w:val="24"/>
              </w:rPr>
            </w:pPr>
            <w:r w:rsidRPr="00F45AA3">
              <w:rPr>
                <w:b/>
                <w:szCs w:val="24"/>
              </w:rPr>
              <w:t>Funds Disbursed:</w:t>
            </w:r>
          </w:p>
        </w:tc>
        <w:tc>
          <w:tcPr>
            <w:tcW w:w="3836" w:type="dxa"/>
            <w:gridSpan w:val="3"/>
            <w:tcBorders>
              <w:top w:val="single" w:sz="4" w:space="0" w:color="auto"/>
              <w:left w:val="single" w:sz="4" w:space="0" w:color="auto"/>
              <w:bottom w:val="single" w:sz="4" w:space="0" w:color="auto"/>
              <w:right w:val="single" w:sz="4" w:space="0" w:color="auto"/>
            </w:tcBorders>
            <w:vAlign w:val="center"/>
            <w:hideMark/>
          </w:tcPr>
          <w:p w14:paraId="66934B6A" w14:textId="3A8E1B8F" w:rsidR="003F4574" w:rsidRPr="003F4574" w:rsidRDefault="003F4574" w:rsidP="003F4574">
            <w:r w:rsidRPr="003F4574">
              <w:t>$</w:t>
            </w:r>
            <w:r w:rsidR="00936514" w:rsidRPr="00936514">
              <w:t>5</w:t>
            </w:r>
            <w:r w:rsidR="00936514">
              <w:t>,</w:t>
            </w:r>
            <w:r w:rsidR="00936514" w:rsidRPr="00936514">
              <w:t>345</w:t>
            </w:r>
            <w:r w:rsidR="00936514">
              <w:t>,</w:t>
            </w:r>
            <w:r w:rsidR="00936514" w:rsidRPr="00936514">
              <w:t>263</w:t>
            </w:r>
          </w:p>
          <w:p w14:paraId="0A9427D6" w14:textId="6818984F" w:rsidR="00352BD5" w:rsidRPr="003F4574" w:rsidRDefault="00352BD5" w:rsidP="00352BD5"/>
        </w:tc>
        <w:tc>
          <w:tcPr>
            <w:tcW w:w="15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0C8F1A4" w14:textId="77777777" w:rsidR="00352BD5" w:rsidRPr="00F45AA3" w:rsidRDefault="00352BD5" w:rsidP="00352BD5">
            <w:pPr>
              <w:jc w:val="center"/>
              <w:rPr>
                <w:b/>
                <w:szCs w:val="24"/>
              </w:rPr>
            </w:pPr>
            <w:r w:rsidRPr="00F45AA3">
              <w:rPr>
                <w:b/>
                <w:szCs w:val="24"/>
              </w:rPr>
              <w:t>Percentage of Approved:</w:t>
            </w:r>
          </w:p>
        </w:tc>
        <w:tc>
          <w:tcPr>
            <w:tcW w:w="1571" w:type="dxa"/>
            <w:tcBorders>
              <w:top w:val="single" w:sz="4" w:space="0" w:color="auto"/>
              <w:left w:val="single" w:sz="4" w:space="0" w:color="auto"/>
              <w:bottom w:val="single" w:sz="4" w:space="0" w:color="auto"/>
              <w:right w:val="single" w:sz="4" w:space="0" w:color="auto"/>
            </w:tcBorders>
            <w:vAlign w:val="center"/>
          </w:tcPr>
          <w:p w14:paraId="67EB038E" w14:textId="1A79D702" w:rsidR="00352BD5" w:rsidRPr="00F45AA3" w:rsidRDefault="003F4574" w:rsidP="00BF2959">
            <w:pPr>
              <w:rPr>
                <w:b/>
                <w:szCs w:val="24"/>
              </w:rPr>
            </w:pPr>
            <w:r w:rsidRPr="003F4574">
              <w:rPr>
                <w:b/>
                <w:szCs w:val="24"/>
              </w:rPr>
              <w:t>5</w:t>
            </w:r>
            <w:r w:rsidR="00BF2959">
              <w:rPr>
                <w:b/>
                <w:szCs w:val="24"/>
              </w:rPr>
              <w:t>4.3</w:t>
            </w:r>
            <w:r w:rsidR="00CC458E" w:rsidRPr="003F4574">
              <w:rPr>
                <w:b/>
                <w:szCs w:val="24"/>
              </w:rPr>
              <w:t>%</w:t>
            </w:r>
          </w:p>
        </w:tc>
      </w:tr>
      <w:tr w:rsidR="00352BD5" w:rsidRPr="00F45AA3" w14:paraId="069988C5" w14:textId="77777777" w:rsidTr="00F45AA3">
        <w:trPr>
          <w:trHeight w:val="973"/>
        </w:trPr>
        <w:tc>
          <w:tcPr>
            <w:tcW w:w="206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29A806A" w14:textId="77777777" w:rsidR="00352BD5" w:rsidRPr="00F45AA3" w:rsidRDefault="00352BD5" w:rsidP="00352BD5">
            <w:pPr>
              <w:rPr>
                <w:b/>
                <w:szCs w:val="24"/>
              </w:rPr>
            </w:pPr>
            <w:r w:rsidRPr="00F45AA3">
              <w:rPr>
                <w:b/>
                <w:szCs w:val="24"/>
              </w:rPr>
              <w:t>Expected Project Duration:</w:t>
            </w:r>
          </w:p>
        </w:tc>
        <w:tc>
          <w:tcPr>
            <w:tcW w:w="1365" w:type="dxa"/>
            <w:tcBorders>
              <w:top w:val="single" w:sz="4" w:space="0" w:color="auto"/>
              <w:left w:val="single" w:sz="4" w:space="0" w:color="auto"/>
              <w:bottom w:val="single" w:sz="4" w:space="0" w:color="auto"/>
              <w:right w:val="single" w:sz="4" w:space="0" w:color="auto"/>
            </w:tcBorders>
            <w:vAlign w:val="center"/>
          </w:tcPr>
          <w:p w14:paraId="38BEC046" w14:textId="75F4A9CA" w:rsidR="00352BD5" w:rsidRPr="00F45AA3" w:rsidRDefault="00EA46B1" w:rsidP="00EA46B1">
            <w:pPr>
              <w:rPr>
                <w:b/>
                <w:szCs w:val="24"/>
              </w:rPr>
            </w:pPr>
            <w:r>
              <w:rPr>
                <w:b/>
                <w:szCs w:val="24"/>
              </w:rPr>
              <w:t xml:space="preserve">21 </w:t>
            </w:r>
            <w:r w:rsidR="00352BD5" w:rsidRPr="00F45AA3">
              <w:rPr>
                <w:b/>
                <w:szCs w:val="24"/>
              </w:rPr>
              <w:t xml:space="preserve"> months </w:t>
            </w:r>
          </w:p>
          <w:p w14:paraId="08E31806" w14:textId="77777777" w:rsidR="00352BD5" w:rsidRPr="00F45AA3" w:rsidRDefault="00352BD5" w:rsidP="00352BD5">
            <w:pPr>
              <w:rPr>
                <w:b/>
                <w:szCs w:val="24"/>
              </w:rPr>
            </w:pPr>
          </w:p>
        </w:tc>
        <w:tc>
          <w:tcPr>
            <w:tcW w:w="122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B1D4273" w14:textId="77777777" w:rsidR="00352BD5" w:rsidRPr="00F45AA3" w:rsidRDefault="00352BD5" w:rsidP="00352BD5">
            <w:pPr>
              <w:jc w:val="center"/>
              <w:rPr>
                <w:b/>
                <w:szCs w:val="24"/>
              </w:rPr>
            </w:pPr>
            <w:r w:rsidRPr="00F45AA3">
              <w:rPr>
                <w:b/>
                <w:szCs w:val="24"/>
                <w:shd w:val="clear" w:color="auto" w:fill="E6E6E6"/>
              </w:rPr>
              <w:t xml:space="preserve">Forecast Final Date:  </w:t>
            </w:r>
            <w:r w:rsidRPr="00F45AA3">
              <w:rPr>
                <w:b/>
                <w:szCs w:val="24"/>
              </w:rPr>
              <w:t xml:space="preserve">   </w:t>
            </w:r>
          </w:p>
        </w:tc>
        <w:tc>
          <w:tcPr>
            <w:tcW w:w="1246" w:type="dxa"/>
            <w:tcBorders>
              <w:top w:val="single" w:sz="4" w:space="0" w:color="auto"/>
              <w:left w:val="single" w:sz="4" w:space="0" w:color="auto"/>
              <w:bottom w:val="single" w:sz="4" w:space="0" w:color="auto"/>
              <w:right w:val="single" w:sz="4" w:space="0" w:color="auto"/>
            </w:tcBorders>
            <w:vAlign w:val="center"/>
          </w:tcPr>
          <w:p w14:paraId="7C8AE5F4" w14:textId="4E4DEB1D" w:rsidR="00352BD5" w:rsidRPr="00F45AA3" w:rsidRDefault="00EA46B1" w:rsidP="00352BD5">
            <w:pPr>
              <w:rPr>
                <w:b/>
                <w:bCs/>
                <w:szCs w:val="24"/>
              </w:rPr>
            </w:pPr>
            <w:r>
              <w:rPr>
                <w:b/>
                <w:bCs/>
                <w:szCs w:val="24"/>
              </w:rPr>
              <w:t>31 Dec</w:t>
            </w:r>
            <w:r w:rsidRPr="00F45AA3">
              <w:rPr>
                <w:b/>
                <w:bCs/>
                <w:szCs w:val="24"/>
              </w:rPr>
              <w:t xml:space="preserve"> 2015</w:t>
            </w:r>
          </w:p>
        </w:tc>
        <w:tc>
          <w:tcPr>
            <w:tcW w:w="15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7A4B9F9" w14:textId="77777777" w:rsidR="00352BD5" w:rsidRPr="00F45AA3" w:rsidRDefault="00352BD5" w:rsidP="00352BD5">
            <w:pPr>
              <w:jc w:val="center"/>
              <w:rPr>
                <w:b/>
                <w:szCs w:val="24"/>
              </w:rPr>
            </w:pPr>
            <w:r w:rsidRPr="00F45AA3">
              <w:rPr>
                <w:b/>
                <w:szCs w:val="24"/>
              </w:rPr>
              <w:t>Delay (Months):</w:t>
            </w:r>
          </w:p>
        </w:tc>
        <w:tc>
          <w:tcPr>
            <w:tcW w:w="1571" w:type="dxa"/>
            <w:tcBorders>
              <w:top w:val="single" w:sz="4" w:space="0" w:color="auto"/>
              <w:left w:val="single" w:sz="4" w:space="0" w:color="auto"/>
              <w:bottom w:val="single" w:sz="4" w:space="0" w:color="auto"/>
              <w:right w:val="single" w:sz="4" w:space="0" w:color="auto"/>
            </w:tcBorders>
            <w:vAlign w:val="center"/>
          </w:tcPr>
          <w:p w14:paraId="057F7AE0" w14:textId="77777777" w:rsidR="00352BD5" w:rsidRPr="00F45AA3" w:rsidRDefault="00352BD5" w:rsidP="00352BD5">
            <w:pPr>
              <w:rPr>
                <w:b/>
                <w:bCs/>
                <w:szCs w:val="24"/>
              </w:rPr>
            </w:pPr>
            <w:r w:rsidRPr="00F45AA3">
              <w:rPr>
                <w:b/>
                <w:bCs/>
                <w:szCs w:val="24"/>
              </w:rPr>
              <w:t>0 Months</w:t>
            </w:r>
          </w:p>
        </w:tc>
      </w:tr>
    </w:tbl>
    <w:p w14:paraId="4B20932E" w14:textId="77777777" w:rsidR="00817B1D" w:rsidRDefault="00817B1D" w:rsidP="00817B1D">
      <w:pPr>
        <w:rPr>
          <w:sz w:val="20"/>
        </w:rPr>
      </w:pPr>
    </w:p>
    <w:p w14:paraId="3097AFBE" w14:textId="77777777" w:rsidR="00F45AA3" w:rsidRDefault="00F45AA3" w:rsidP="00817B1D">
      <w:pPr>
        <w:rPr>
          <w:sz w:val="20"/>
        </w:rPr>
      </w:pPr>
    </w:p>
    <w:p w14:paraId="463DE6C3" w14:textId="77777777" w:rsidR="00F45AA3" w:rsidRDefault="00F45AA3" w:rsidP="00817B1D">
      <w:pPr>
        <w:rPr>
          <w:sz w:val="20"/>
        </w:rPr>
      </w:pPr>
    </w:p>
    <w:p w14:paraId="4FCA9F68" w14:textId="77777777" w:rsidR="00F45AA3" w:rsidRDefault="00F45AA3" w:rsidP="00817B1D">
      <w:pPr>
        <w:rPr>
          <w:sz w:val="20"/>
        </w:rPr>
      </w:pPr>
    </w:p>
    <w:p w14:paraId="2B522715" w14:textId="77777777" w:rsidR="00F45AA3" w:rsidRDefault="00F45AA3" w:rsidP="00817B1D">
      <w:pPr>
        <w:rPr>
          <w:sz w:val="20"/>
        </w:rPr>
      </w:pPr>
    </w:p>
    <w:p w14:paraId="09B2235A" w14:textId="77777777" w:rsidR="00F45AA3" w:rsidRDefault="00F45AA3" w:rsidP="00817B1D">
      <w:pPr>
        <w:rPr>
          <w:sz w:val="20"/>
        </w:rPr>
      </w:pPr>
    </w:p>
    <w:p w14:paraId="1202FB8E" w14:textId="77777777" w:rsidR="00F45AA3" w:rsidRDefault="00F45AA3" w:rsidP="00817B1D">
      <w:pPr>
        <w:rPr>
          <w:sz w:val="20"/>
        </w:rPr>
      </w:pPr>
    </w:p>
    <w:p w14:paraId="1779317B" w14:textId="77777777" w:rsidR="00F45AA3" w:rsidRDefault="00F45AA3" w:rsidP="00817B1D">
      <w:pPr>
        <w:rPr>
          <w:sz w:val="20"/>
        </w:rPr>
      </w:pPr>
    </w:p>
    <w:p w14:paraId="1F6C0CAF" w14:textId="77777777" w:rsidR="00F45AA3" w:rsidRDefault="00F45AA3" w:rsidP="00817B1D">
      <w:pPr>
        <w:rPr>
          <w:sz w:val="20"/>
        </w:rPr>
      </w:pPr>
    </w:p>
    <w:p w14:paraId="0F2F569E" w14:textId="77777777" w:rsidR="00F45AA3" w:rsidRDefault="00F45AA3" w:rsidP="00817B1D">
      <w:pPr>
        <w:rPr>
          <w:sz w:val="20"/>
        </w:rPr>
      </w:pPr>
    </w:p>
    <w:p w14:paraId="261A91FD" w14:textId="77777777" w:rsidR="00F45AA3" w:rsidRDefault="00F45AA3" w:rsidP="00817B1D">
      <w:pPr>
        <w:rPr>
          <w:sz w:val="20"/>
        </w:rPr>
      </w:pPr>
    </w:p>
    <w:p w14:paraId="645F5F4A" w14:textId="77777777" w:rsidR="00F45AA3" w:rsidRDefault="00F45AA3" w:rsidP="00817B1D">
      <w:pPr>
        <w:rPr>
          <w:sz w:val="20"/>
        </w:rPr>
      </w:pPr>
    </w:p>
    <w:p w14:paraId="39D7858E" w14:textId="77777777" w:rsidR="00F45AA3" w:rsidRDefault="00F45AA3" w:rsidP="00817B1D">
      <w:pPr>
        <w:rPr>
          <w:sz w:val="20"/>
        </w:rPr>
      </w:pPr>
    </w:p>
    <w:p w14:paraId="1C2B731A" w14:textId="77777777" w:rsidR="00F45AA3" w:rsidRDefault="00F45AA3" w:rsidP="00817B1D">
      <w:pPr>
        <w:rPr>
          <w:sz w:val="20"/>
        </w:rPr>
      </w:pPr>
    </w:p>
    <w:p w14:paraId="49EB701B" w14:textId="77777777" w:rsidR="00F45AA3" w:rsidRDefault="00F45AA3" w:rsidP="00817B1D">
      <w:pPr>
        <w:rPr>
          <w:sz w:val="20"/>
        </w:rPr>
      </w:pPr>
    </w:p>
    <w:p w14:paraId="68389678" w14:textId="77777777" w:rsidR="00F45AA3" w:rsidRDefault="00F45AA3" w:rsidP="00817B1D">
      <w:pPr>
        <w:rPr>
          <w:sz w:val="20"/>
        </w:rPr>
      </w:pPr>
    </w:p>
    <w:p w14:paraId="5DF1718D" w14:textId="77777777" w:rsidR="00F45AA3" w:rsidRDefault="00F45AA3" w:rsidP="00817B1D">
      <w:pPr>
        <w:rPr>
          <w:sz w:val="20"/>
        </w:rPr>
      </w:pPr>
    </w:p>
    <w:p w14:paraId="129E2703" w14:textId="77777777" w:rsidR="00F45AA3" w:rsidRPr="00D90F80" w:rsidRDefault="00F45AA3" w:rsidP="00817B1D">
      <w:pPr>
        <w:rPr>
          <w:sz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3"/>
        <w:gridCol w:w="5730"/>
        <w:gridCol w:w="1276"/>
      </w:tblGrid>
      <w:tr w:rsidR="00817B1D" w:rsidRPr="00D90F80" w14:paraId="7B679269" w14:textId="77777777" w:rsidTr="00E6633B">
        <w:trPr>
          <w:trHeight w:val="418"/>
        </w:trPr>
        <w:tc>
          <w:tcPr>
            <w:tcW w:w="334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BBB2C98" w14:textId="77777777" w:rsidR="00817B1D" w:rsidRPr="00D90F80" w:rsidRDefault="00817B1D">
            <w:pPr>
              <w:jc w:val="center"/>
              <w:rPr>
                <w:b/>
                <w:color w:val="000000"/>
                <w:sz w:val="20"/>
              </w:rPr>
            </w:pPr>
            <w:r w:rsidRPr="00D90F80">
              <w:rPr>
                <w:b/>
                <w:color w:val="000000"/>
                <w:sz w:val="20"/>
              </w:rPr>
              <w:t>Outcomes:</w:t>
            </w:r>
          </w:p>
        </w:tc>
        <w:tc>
          <w:tcPr>
            <w:tcW w:w="57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6AA97BE" w14:textId="77777777" w:rsidR="00817B1D" w:rsidRPr="00D90F80" w:rsidRDefault="00817B1D">
            <w:pPr>
              <w:jc w:val="center"/>
              <w:rPr>
                <w:b/>
                <w:color w:val="000000"/>
                <w:sz w:val="20"/>
              </w:rPr>
            </w:pPr>
            <w:r w:rsidRPr="00D90F80">
              <w:rPr>
                <w:b/>
                <w:color w:val="000000"/>
                <w:sz w:val="20"/>
              </w:rPr>
              <w:t>Achievements/Results:</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98C034E" w14:textId="77777777" w:rsidR="00817B1D" w:rsidRPr="00D90F80" w:rsidRDefault="00817B1D">
            <w:pPr>
              <w:jc w:val="center"/>
              <w:rPr>
                <w:b/>
                <w:sz w:val="20"/>
              </w:rPr>
            </w:pPr>
            <w:r w:rsidRPr="00D90F80">
              <w:rPr>
                <w:b/>
                <w:sz w:val="20"/>
              </w:rPr>
              <w:t>Percentage of planned:</w:t>
            </w:r>
          </w:p>
        </w:tc>
      </w:tr>
      <w:tr w:rsidR="00AC1585" w:rsidRPr="00D90F80" w14:paraId="0193D5D3" w14:textId="77777777" w:rsidTr="00E6633B">
        <w:trPr>
          <w:trHeight w:val="512"/>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4F68C67F" w14:textId="77777777" w:rsidR="00AC1585" w:rsidRPr="00D90F80" w:rsidRDefault="00AC1585">
            <w:pPr>
              <w:rPr>
                <w:b/>
                <w:sz w:val="20"/>
                <w:lang w:val="en-US"/>
              </w:rPr>
            </w:pPr>
            <w:r w:rsidRPr="00D90F80">
              <w:rPr>
                <w:b/>
                <w:sz w:val="20"/>
                <w:lang w:val="en-US"/>
              </w:rPr>
              <w:t>Outcome 1: “</w:t>
            </w:r>
            <w:r w:rsidR="00EB6E0E" w:rsidRPr="00EB6E0E">
              <w:rPr>
                <w:b/>
                <w:sz w:val="20"/>
                <w:lang w:val="en-US"/>
              </w:rPr>
              <w:t xml:space="preserve">Implementation of the CMP advanced according to agreed timelines and steps, on the basis of coherent technical, financial and administrative support  </w:t>
            </w:r>
            <w:r w:rsidRPr="00D90F80">
              <w:rPr>
                <w:b/>
                <w:sz w:val="20"/>
                <w:lang w:val="en-US"/>
              </w:rPr>
              <w:t>”</w:t>
            </w:r>
          </w:p>
        </w:tc>
      </w:tr>
      <w:tr w:rsidR="00817B1D" w:rsidRPr="00D90F80" w14:paraId="6DA743F3" w14:textId="77777777" w:rsidTr="00F2062C">
        <w:trPr>
          <w:trHeight w:val="4140"/>
        </w:trPr>
        <w:tc>
          <w:tcPr>
            <w:tcW w:w="3343" w:type="dxa"/>
            <w:tcBorders>
              <w:top w:val="single" w:sz="4" w:space="0" w:color="auto"/>
              <w:left w:val="single" w:sz="4" w:space="0" w:color="auto"/>
              <w:bottom w:val="single" w:sz="4" w:space="0" w:color="auto"/>
              <w:right w:val="single" w:sz="4" w:space="0" w:color="auto"/>
            </w:tcBorders>
            <w:vAlign w:val="center"/>
          </w:tcPr>
          <w:p w14:paraId="1F7EB168" w14:textId="77777777" w:rsidR="001A5525" w:rsidRPr="00E72C09" w:rsidRDefault="001A5525" w:rsidP="00E6633B">
            <w:pPr>
              <w:pStyle w:val="ListParagraph"/>
              <w:ind w:left="0"/>
              <w:rPr>
                <w:bCs/>
                <w:sz w:val="20"/>
                <w:lang w:val="en-US"/>
              </w:rPr>
            </w:pPr>
          </w:p>
          <w:p w14:paraId="5A68ADA2" w14:textId="6902DCC1" w:rsidR="00817B1D" w:rsidRPr="00E72C09" w:rsidRDefault="00E72C09" w:rsidP="0086494E">
            <w:pPr>
              <w:pStyle w:val="ListParagraph"/>
              <w:numPr>
                <w:ilvl w:val="1"/>
                <w:numId w:val="1"/>
              </w:numPr>
              <w:rPr>
                <w:bCs/>
                <w:color w:val="000000"/>
                <w:sz w:val="20"/>
                <w:lang w:val="en-US"/>
              </w:rPr>
            </w:pPr>
            <w:r w:rsidRPr="00E72C09">
              <w:rPr>
                <w:bCs/>
                <w:color w:val="000000"/>
                <w:sz w:val="20"/>
                <w:lang w:val="en-US"/>
              </w:rPr>
              <w:t xml:space="preserve">Well-resourced </w:t>
            </w:r>
            <w:r w:rsidR="00411563">
              <w:rPr>
                <w:bCs/>
                <w:color w:val="000000"/>
                <w:sz w:val="20"/>
                <w:lang w:val="en-US"/>
              </w:rPr>
              <w:t>Constitution Drafting Commissions Secretariat (the Secretariat)</w:t>
            </w:r>
            <w:r w:rsidRPr="00E72C09">
              <w:rPr>
                <w:bCs/>
                <w:color w:val="000000"/>
                <w:sz w:val="20"/>
                <w:lang w:val="en-US"/>
              </w:rPr>
              <w:t xml:space="preserve"> provides the administrative, logistical and technical support to the Constitutional process.</w:t>
            </w:r>
          </w:p>
          <w:p w14:paraId="7CDA16CC" w14:textId="77777777" w:rsidR="00E6633B" w:rsidRPr="00D90F80" w:rsidRDefault="00E6633B" w:rsidP="00E6633B">
            <w:pPr>
              <w:pStyle w:val="ListParagraph"/>
              <w:ind w:left="360"/>
              <w:rPr>
                <w:b/>
                <w:color w:val="000000"/>
                <w:sz w:val="20"/>
                <w:lang w:val="en-US"/>
              </w:rPr>
            </w:pPr>
          </w:p>
        </w:tc>
        <w:tc>
          <w:tcPr>
            <w:tcW w:w="5730" w:type="dxa"/>
            <w:tcBorders>
              <w:top w:val="single" w:sz="4" w:space="0" w:color="auto"/>
              <w:left w:val="single" w:sz="4" w:space="0" w:color="auto"/>
              <w:bottom w:val="single" w:sz="4" w:space="0" w:color="auto"/>
              <w:right w:val="single" w:sz="4" w:space="0" w:color="auto"/>
            </w:tcBorders>
            <w:vAlign w:val="center"/>
          </w:tcPr>
          <w:p w14:paraId="2882E122" w14:textId="66E86063" w:rsidR="00D83E1A" w:rsidRDefault="00437F75" w:rsidP="00541DB9">
            <w:pPr>
              <w:jc w:val="both"/>
              <w:rPr>
                <w:color w:val="000000"/>
                <w:sz w:val="20"/>
                <w:lang w:val="en-US"/>
              </w:rPr>
            </w:pPr>
            <w:r>
              <w:rPr>
                <w:color w:val="000000"/>
                <w:sz w:val="20"/>
                <w:lang w:val="en-US"/>
              </w:rPr>
              <w:t>Under this Outcome, the</w:t>
            </w:r>
            <w:r w:rsidR="00541DB9">
              <w:rPr>
                <w:color w:val="000000"/>
                <w:sz w:val="20"/>
                <w:lang w:val="en-US"/>
              </w:rPr>
              <w:t xml:space="preserve"> Office of OSESG</w:t>
            </w:r>
            <w:r>
              <w:rPr>
                <w:color w:val="000000"/>
                <w:sz w:val="20"/>
                <w:lang w:val="en-US"/>
              </w:rPr>
              <w:t>, UNOPS</w:t>
            </w:r>
            <w:r w:rsidR="00541DB9">
              <w:rPr>
                <w:color w:val="000000"/>
                <w:sz w:val="20"/>
                <w:lang w:val="en-US"/>
              </w:rPr>
              <w:t xml:space="preserve"> and the Secretariat</w:t>
            </w:r>
            <w:r w:rsidR="002C1B66">
              <w:rPr>
                <w:color w:val="000000"/>
                <w:sz w:val="20"/>
                <w:lang w:val="en-US"/>
              </w:rPr>
              <w:t xml:space="preserve"> </w:t>
            </w:r>
            <w:r w:rsidR="00D83E1A">
              <w:rPr>
                <w:color w:val="000000"/>
                <w:sz w:val="20"/>
                <w:lang w:val="en-US"/>
              </w:rPr>
              <w:t>implemented the following activities during the period of reporting:</w:t>
            </w:r>
          </w:p>
          <w:p w14:paraId="66A450A5" w14:textId="77777777" w:rsidR="00D83E1A" w:rsidRDefault="00D83E1A" w:rsidP="00944915">
            <w:pPr>
              <w:jc w:val="both"/>
              <w:rPr>
                <w:color w:val="000000"/>
                <w:sz w:val="20"/>
                <w:lang w:val="en-US"/>
              </w:rPr>
            </w:pPr>
          </w:p>
          <w:p w14:paraId="0C094146" w14:textId="156BCAC2" w:rsidR="0086494E" w:rsidRPr="00D42884" w:rsidRDefault="006E67F2" w:rsidP="006E67F2">
            <w:pPr>
              <w:pStyle w:val="ListParagraph"/>
              <w:numPr>
                <w:ilvl w:val="0"/>
                <w:numId w:val="6"/>
              </w:numPr>
              <w:jc w:val="both"/>
              <w:rPr>
                <w:i/>
                <w:iCs/>
                <w:color w:val="000000"/>
                <w:sz w:val="20"/>
                <w:lang w:val="en-US"/>
              </w:rPr>
            </w:pPr>
            <w:r>
              <w:rPr>
                <w:color w:val="000000"/>
                <w:sz w:val="20"/>
                <w:lang w:val="en-US"/>
              </w:rPr>
              <w:t xml:space="preserve">The Secretariat finalised their </w:t>
            </w:r>
            <w:r w:rsidR="00541DB9">
              <w:rPr>
                <w:color w:val="000000"/>
                <w:sz w:val="20"/>
                <w:lang w:val="en-US"/>
              </w:rPr>
              <w:t>final report for the constitutional process support which documents the work done to support the constitutional drafting process.</w:t>
            </w:r>
            <w:r w:rsidR="00D42884">
              <w:rPr>
                <w:color w:val="000000"/>
                <w:sz w:val="20"/>
                <w:lang w:val="en-US"/>
              </w:rPr>
              <w:t xml:space="preserve"> </w:t>
            </w:r>
          </w:p>
          <w:p w14:paraId="634E2A0C" w14:textId="486BD351" w:rsidR="00D42884" w:rsidRPr="00D50AB5" w:rsidRDefault="00D42884" w:rsidP="00D42884">
            <w:pPr>
              <w:pStyle w:val="ListParagraph"/>
              <w:numPr>
                <w:ilvl w:val="0"/>
                <w:numId w:val="6"/>
              </w:numPr>
              <w:jc w:val="both"/>
              <w:rPr>
                <w:i/>
                <w:iCs/>
                <w:color w:val="000000"/>
                <w:sz w:val="20"/>
                <w:lang w:val="en-US"/>
              </w:rPr>
            </w:pPr>
            <w:r>
              <w:rPr>
                <w:color w:val="000000"/>
                <w:sz w:val="20"/>
                <w:lang w:val="en-US"/>
              </w:rPr>
              <w:t xml:space="preserve">The Secretariat different departments worked on their own archiving and final handover for the documents used in the Constitution process or developed. In addition, to all the materials prepared for the resumption of the process. </w:t>
            </w:r>
          </w:p>
          <w:p w14:paraId="1C12716C" w14:textId="3EB20B52" w:rsidR="009529A9" w:rsidRPr="00D50AB5" w:rsidRDefault="00952DB7" w:rsidP="00A82A97">
            <w:pPr>
              <w:pStyle w:val="ListParagraph"/>
              <w:numPr>
                <w:ilvl w:val="0"/>
                <w:numId w:val="6"/>
              </w:numPr>
              <w:jc w:val="both"/>
              <w:rPr>
                <w:i/>
                <w:iCs/>
                <w:color w:val="000000"/>
                <w:sz w:val="20"/>
                <w:lang w:val="en-US"/>
              </w:rPr>
            </w:pPr>
            <w:r>
              <w:rPr>
                <w:color w:val="000000"/>
                <w:sz w:val="20"/>
                <w:lang w:val="en-US"/>
              </w:rPr>
              <w:t xml:space="preserve">The Secretariat with UNOPS worked on </w:t>
            </w:r>
            <w:r w:rsidR="00A82A97">
              <w:rPr>
                <w:color w:val="000000"/>
                <w:sz w:val="20"/>
                <w:lang w:val="en-US"/>
              </w:rPr>
              <w:t xml:space="preserve">the closure of the Secretariat operations and staff clearances before 30 Sep 2015. </w:t>
            </w:r>
            <w:r>
              <w:rPr>
                <w:color w:val="000000"/>
                <w:sz w:val="20"/>
                <w:lang w:val="en-US"/>
              </w:rPr>
              <w:t xml:space="preserve"> </w:t>
            </w:r>
          </w:p>
          <w:p w14:paraId="2ECA0ABD" w14:textId="673D970D" w:rsidR="00FC6A2F" w:rsidRPr="00A82A97" w:rsidRDefault="00541DB9" w:rsidP="00A82A97">
            <w:pPr>
              <w:pStyle w:val="ListParagraph"/>
              <w:numPr>
                <w:ilvl w:val="0"/>
                <w:numId w:val="6"/>
              </w:numPr>
              <w:jc w:val="both"/>
              <w:rPr>
                <w:i/>
                <w:iCs/>
                <w:color w:val="000000"/>
                <w:sz w:val="20"/>
                <w:lang w:val="en-US"/>
              </w:rPr>
            </w:pPr>
            <w:r>
              <w:rPr>
                <w:color w:val="000000"/>
                <w:sz w:val="20"/>
                <w:lang w:val="en-US"/>
              </w:rPr>
              <w:t xml:space="preserve">After militants took </w:t>
            </w:r>
            <w:r w:rsidR="00453DC2">
              <w:rPr>
                <w:color w:val="000000"/>
                <w:sz w:val="20"/>
                <w:lang w:val="en-US"/>
              </w:rPr>
              <w:t xml:space="preserve">over the Secretariat office on March, UNOPS </w:t>
            </w:r>
            <w:r w:rsidR="0012025C">
              <w:rPr>
                <w:color w:val="000000"/>
                <w:sz w:val="20"/>
                <w:lang w:val="en-US"/>
              </w:rPr>
              <w:t>contracted</w:t>
            </w:r>
            <w:r w:rsidR="00453DC2">
              <w:rPr>
                <w:color w:val="000000"/>
                <w:sz w:val="20"/>
                <w:lang w:val="en-US"/>
              </w:rPr>
              <w:t xml:space="preserve"> a warehouse </w:t>
            </w:r>
            <w:r w:rsidR="00A82A97">
              <w:rPr>
                <w:color w:val="000000"/>
                <w:sz w:val="20"/>
                <w:lang w:val="en-US"/>
              </w:rPr>
              <w:t>and negotiations between UNOPS and the Secretariat verses Houthis continued for over two months during this reporting period to allow moving some of the assets and equipment which could get stolen or damaged.</w:t>
            </w:r>
          </w:p>
        </w:tc>
        <w:tc>
          <w:tcPr>
            <w:tcW w:w="1276" w:type="dxa"/>
            <w:tcBorders>
              <w:top w:val="single" w:sz="4" w:space="0" w:color="auto"/>
              <w:left w:val="single" w:sz="4" w:space="0" w:color="auto"/>
              <w:bottom w:val="single" w:sz="4" w:space="0" w:color="auto"/>
              <w:right w:val="single" w:sz="4" w:space="0" w:color="auto"/>
            </w:tcBorders>
            <w:vAlign w:val="center"/>
          </w:tcPr>
          <w:p w14:paraId="180AB3FA" w14:textId="018F11A5" w:rsidR="00817B1D" w:rsidRPr="00D90F80" w:rsidRDefault="0002404E">
            <w:pPr>
              <w:rPr>
                <w:b/>
                <w:sz w:val="20"/>
              </w:rPr>
            </w:pPr>
            <w:r>
              <w:rPr>
                <w:b/>
                <w:sz w:val="20"/>
              </w:rPr>
              <w:t>100</w:t>
            </w:r>
            <w:r w:rsidR="00155885">
              <w:rPr>
                <w:b/>
                <w:sz w:val="20"/>
              </w:rPr>
              <w:t>%</w:t>
            </w:r>
          </w:p>
        </w:tc>
      </w:tr>
      <w:tr w:rsidR="001A5525" w:rsidRPr="00D90F80" w14:paraId="2383365E" w14:textId="77777777" w:rsidTr="00E6633B">
        <w:trPr>
          <w:trHeight w:val="530"/>
        </w:trPr>
        <w:tc>
          <w:tcPr>
            <w:tcW w:w="3343" w:type="dxa"/>
            <w:tcBorders>
              <w:top w:val="single" w:sz="4" w:space="0" w:color="auto"/>
              <w:left w:val="single" w:sz="4" w:space="0" w:color="auto"/>
              <w:bottom w:val="single" w:sz="4" w:space="0" w:color="auto"/>
              <w:right w:val="single" w:sz="4" w:space="0" w:color="auto"/>
            </w:tcBorders>
            <w:vAlign w:val="center"/>
          </w:tcPr>
          <w:p w14:paraId="44E6C214" w14:textId="51D27DD6" w:rsidR="001A5525" w:rsidRPr="00E72C09" w:rsidRDefault="00E72C09" w:rsidP="0086494E">
            <w:pPr>
              <w:pStyle w:val="ListParagraph"/>
              <w:numPr>
                <w:ilvl w:val="1"/>
                <w:numId w:val="1"/>
              </w:numPr>
              <w:rPr>
                <w:sz w:val="20"/>
                <w:lang w:val="en-US" w:bidi="ar-YE"/>
              </w:rPr>
            </w:pPr>
            <w:r w:rsidRPr="00E72C09">
              <w:rPr>
                <w:sz w:val="20"/>
                <w:lang w:val="en-US"/>
              </w:rPr>
              <w:t>The CDCS is provided with administrative budget, technical and political support, including lessons learned and comparative analysis and mediation / facilitation assistance when requested.</w:t>
            </w:r>
          </w:p>
        </w:tc>
        <w:tc>
          <w:tcPr>
            <w:tcW w:w="5730" w:type="dxa"/>
            <w:tcBorders>
              <w:top w:val="single" w:sz="4" w:space="0" w:color="auto"/>
              <w:left w:val="single" w:sz="4" w:space="0" w:color="auto"/>
              <w:bottom w:val="single" w:sz="4" w:space="0" w:color="auto"/>
              <w:right w:val="single" w:sz="4" w:space="0" w:color="auto"/>
            </w:tcBorders>
            <w:vAlign w:val="center"/>
          </w:tcPr>
          <w:p w14:paraId="29CF1A44" w14:textId="77777777" w:rsidR="00497371" w:rsidRDefault="00233819" w:rsidP="00C55E7A">
            <w:pPr>
              <w:pStyle w:val="ListParagraph"/>
              <w:numPr>
                <w:ilvl w:val="0"/>
                <w:numId w:val="15"/>
              </w:numPr>
              <w:shd w:val="clear" w:color="auto" w:fill="FFFFFF" w:themeFill="background1"/>
              <w:rPr>
                <w:sz w:val="20"/>
                <w:lang w:val="en-US"/>
              </w:rPr>
            </w:pPr>
            <w:r>
              <w:rPr>
                <w:sz w:val="20"/>
                <w:lang w:val="en-US"/>
              </w:rPr>
              <w:t>OSESG</w:t>
            </w:r>
            <w:r w:rsidR="006B67AD">
              <w:rPr>
                <w:sz w:val="20"/>
                <w:lang w:val="en-US"/>
              </w:rPr>
              <w:t xml:space="preserve"> </w:t>
            </w:r>
            <w:r w:rsidR="00673959">
              <w:rPr>
                <w:sz w:val="20"/>
                <w:lang w:val="en-US"/>
              </w:rPr>
              <w:t>continue</w:t>
            </w:r>
            <w:r w:rsidR="006B67AD">
              <w:rPr>
                <w:sz w:val="20"/>
                <w:lang w:val="en-US"/>
              </w:rPr>
              <w:t xml:space="preserve">d providing updates to donors. </w:t>
            </w:r>
            <w:r w:rsidR="00673959">
              <w:rPr>
                <w:sz w:val="20"/>
                <w:lang w:val="en-US"/>
              </w:rPr>
              <w:t xml:space="preserve"> </w:t>
            </w:r>
            <w:r w:rsidR="006B67AD">
              <w:rPr>
                <w:sz w:val="20"/>
                <w:lang w:val="en-US"/>
              </w:rPr>
              <w:t xml:space="preserve">They continued </w:t>
            </w:r>
            <w:r w:rsidR="00673959">
              <w:rPr>
                <w:sz w:val="20"/>
                <w:lang w:val="en-US"/>
              </w:rPr>
              <w:t xml:space="preserve">coordinating with the </w:t>
            </w:r>
            <w:r w:rsidR="00C55E7A">
              <w:rPr>
                <w:sz w:val="20"/>
                <w:lang w:val="en-US"/>
              </w:rPr>
              <w:t xml:space="preserve">UNDP </w:t>
            </w:r>
            <w:r w:rsidR="00673959">
              <w:rPr>
                <w:sz w:val="20"/>
                <w:lang w:val="en-US"/>
              </w:rPr>
              <w:t xml:space="preserve">MPTF office on administrative issues and </w:t>
            </w:r>
            <w:r w:rsidR="00EA03F4">
              <w:rPr>
                <w:sz w:val="20"/>
                <w:lang w:val="en-US"/>
              </w:rPr>
              <w:t xml:space="preserve">coordinated funds reimbursements </w:t>
            </w:r>
            <w:r w:rsidR="006B67AD">
              <w:rPr>
                <w:sz w:val="20"/>
                <w:lang w:val="en-US"/>
              </w:rPr>
              <w:t>and other project related issues</w:t>
            </w:r>
            <w:r w:rsidR="00C55E7A">
              <w:rPr>
                <w:sz w:val="20"/>
                <w:lang w:val="en-US"/>
              </w:rPr>
              <w:t xml:space="preserve"> with relevant parties (Secretariat, UNOPS, SC members)</w:t>
            </w:r>
            <w:r w:rsidR="00673959">
              <w:rPr>
                <w:sz w:val="20"/>
                <w:lang w:val="en-US"/>
              </w:rPr>
              <w:t xml:space="preserve">.  </w:t>
            </w:r>
          </w:p>
          <w:p w14:paraId="3AE10684" w14:textId="742AD234" w:rsidR="00EA03F4" w:rsidRPr="009574C9" w:rsidRDefault="00EA03F4" w:rsidP="00C55E7A">
            <w:pPr>
              <w:pStyle w:val="ListParagraph"/>
              <w:numPr>
                <w:ilvl w:val="0"/>
                <w:numId w:val="15"/>
              </w:numPr>
              <w:shd w:val="clear" w:color="auto" w:fill="FFFFFF" w:themeFill="background1"/>
              <w:rPr>
                <w:sz w:val="20"/>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5C3CC58" w14:textId="68A48583" w:rsidR="001A5525" w:rsidRPr="00D90F80" w:rsidRDefault="0002404E">
            <w:pPr>
              <w:rPr>
                <w:b/>
                <w:sz w:val="20"/>
              </w:rPr>
            </w:pPr>
            <w:r>
              <w:rPr>
                <w:b/>
                <w:sz w:val="20"/>
              </w:rPr>
              <w:t>100</w:t>
            </w:r>
            <w:r w:rsidR="00155885">
              <w:rPr>
                <w:b/>
                <w:sz w:val="20"/>
              </w:rPr>
              <w:t>%</w:t>
            </w:r>
          </w:p>
        </w:tc>
      </w:tr>
      <w:tr w:rsidR="001A5525" w:rsidRPr="00D90F80" w14:paraId="00ADD5E5" w14:textId="77777777" w:rsidTr="00E6633B">
        <w:trPr>
          <w:trHeight w:val="530"/>
        </w:trPr>
        <w:tc>
          <w:tcPr>
            <w:tcW w:w="3343" w:type="dxa"/>
            <w:tcBorders>
              <w:top w:val="single" w:sz="4" w:space="0" w:color="auto"/>
              <w:left w:val="single" w:sz="4" w:space="0" w:color="auto"/>
              <w:bottom w:val="single" w:sz="4" w:space="0" w:color="auto"/>
              <w:right w:val="single" w:sz="4" w:space="0" w:color="auto"/>
            </w:tcBorders>
            <w:vAlign w:val="center"/>
          </w:tcPr>
          <w:p w14:paraId="7BC98B49" w14:textId="21567259" w:rsidR="001A5525" w:rsidRPr="00D90F80" w:rsidRDefault="000109AC" w:rsidP="0086494E">
            <w:pPr>
              <w:pStyle w:val="ListParagraph"/>
              <w:numPr>
                <w:ilvl w:val="1"/>
                <w:numId w:val="1"/>
              </w:numPr>
              <w:rPr>
                <w:sz w:val="20"/>
                <w:lang w:val="en-US"/>
              </w:rPr>
            </w:pPr>
            <w:r w:rsidRPr="000109AC">
              <w:rPr>
                <w:sz w:val="20"/>
                <w:lang w:val="en-US"/>
              </w:rPr>
              <w:t xml:space="preserve">Work of the CDC is informed by high-quality international </w:t>
            </w:r>
            <w:r w:rsidR="00595397">
              <w:rPr>
                <w:sz w:val="20"/>
                <w:lang w:val="en-US"/>
              </w:rPr>
              <w:t>expertise and best practice in c</w:t>
            </w:r>
            <w:r w:rsidRPr="000109AC">
              <w:rPr>
                <w:sz w:val="20"/>
                <w:lang w:val="en-US"/>
              </w:rPr>
              <w:t xml:space="preserve">onstitution-making and on specific issues including – but </w:t>
            </w:r>
            <w:r w:rsidR="00D46004">
              <w:rPr>
                <w:sz w:val="20"/>
                <w:lang w:val="en-US"/>
              </w:rPr>
              <w:t xml:space="preserve">not </w:t>
            </w:r>
            <w:r w:rsidRPr="000109AC">
              <w:rPr>
                <w:sz w:val="20"/>
                <w:lang w:val="en-US"/>
              </w:rPr>
              <w:t>restricted to – federalism, protections for minorities, the structure of the state, good governance, and improved political participation of women and young people.</w:t>
            </w:r>
          </w:p>
        </w:tc>
        <w:tc>
          <w:tcPr>
            <w:tcW w:w="5730" w:type="dxa"/>
            <w:tcBorders>
              <w:top w:val="single" w:sz="4" w:space="0" w:color="auto"/>
              <w:left w:val="single" w:sz="4" w:space="0" w:color="auto"/>
              <w:bottom w:val="single" w:sz="4" w:space="0" w:color="auto"/>
              <w:right w:val="single" w:sz="4" w:space="0" w:color="auto"/>
            </w:tcBorders>
            <w:vAlign w:val="center"/>
          </w:tcPr>
          <w:p w14:paraId="24DC220F" w14:textId="2E942628" w:rsidR="001A5525" w:rsidRPr="000B2262" w:rsidRDefault="00453DC2" w:rsidP="002A6994">
            <w:pPr>
              <w:pStyle w:val="ListParagraph"/>
              <w:ind w:left="360"/>
              <w:rPr>
                <w:sz w:val="20"/>
              </w:rPr>
            </w:pPr>
            <w:r>
              <w:rPr>
                <w:sz w:val="20"/>
              </w:rPr>
              <w:t>CDC work was suspended and all work on t</w:t>
            </w:r>
            <w:r w:rsidR="006C3055">
              <w:rPr>
                <w:sz w:val="20"/>
              </w:rPr>
              <w:t>he Constitution was put on hold earlier on 2015.</w:t>
            </w:r>
          </w:p>
        </w:tc>
        <w:tc>
          <w:tcPr>
            <w:tcW w:w="1276" w:type="dxa"/>
            <w:tcBorders>
              <w:top w:val="single" w:sz="4" w:space="0" w:color="auto"/>
              <w:left w:val="single" w:sz="4" w:space="0" w:color="auto"/>
              <w:bottom w:val="single" w:sz="4" w:space="0" w:color="auto"/>
              <w:right w:val="single" w:sz="4" w:space="0" w:color="auto"/>
            </w:tcBorders>
            <w:vAlign w:val="center"/>
          </w:tcPr>
          <w:p w14:paraId="2C136F9E" w14:textId="0AA2D0A1" w:rsidR="001A5525" w:rsidRPr="00D90F80" w:rsidRDefault="0002404E">
            <w:pPr>
              <w:rPr>
                <w:b/>
                <w:sz w:val="20"/>
              </w:rPr>
            </w:pPr>
            <w:r>
              <w:rPr>
                <w:b/>
                <w:sz w:val="20"/>
              </w:rPr>
              <w:t>100</w:t>
            </w:r>
            <w:r w:rsidR="00155885">
              <w:rPr>
                <w:b/>
                <w:sz w:val="20"/>
              </w:rPr>
              <w:t>%</w:t>
            </w:r>
          </w:p>
        </w:tc>
      </w:tr>
      <w:tr w:rsidR="000109AC" w:rsidRPr="00D90F80" w14:paraId="3515B130" w14:textId="77777777" w:rsidTr="00E6633B">
        <w:trPr>
          <w:trHeight w:val="530"/>
        </w:trPr>
        <w:tc>
          <w:tcPr>
            <w:tcW w:w="3343" w:type="dxa"/>
            <w:tcBorders>
              <w:top w:val="single" w:sz="4" w:space="0" w:color="auto"/>
              <w:left w:val="single" w:sz="4" w:space="0" w:color="auto"/>
              <w:bottom w:val="single" w:sz="4" w:space="0" w:color="auto"/>
              <w:right w:val="single" w:sz="4" w:space="0" w:color="auto"/>
            </w:tcBorders>
            <w:vAlign w:val="center"/>
          </w:tcPr>
          <w:p w14:paraId="27F36F56" w14:textId="748F0B97" w:rsidR="000109AC" w:rsidRPr="00D90F80" w:rsidRDefault="000109AC" w:rsidP="0086494E">
            <w:pPr>
              <w:pStyle w:val="ListParagraph"/>
              <w:numPr>
                <w:ilvl w:val="1"/>
                <w:numId w:val="1"/>
              </w:numPr>
              <w:rPr>
                <w:sz w:val="20"/>
                <w:lang w:val="en-US"/>
              </w:rPr>
            </w:pPr>
            <w:r w:rsidRPr="000109AC">
              <w:rPr>
                <w:sz w:val="20"/>
                <w:lang w:val="en-US"/>
              </w:rPr>
              <w:t xml:space="preserve">International assistance to the NDC (closing phase, communication of NDC outcomes) and the </w:t>
            </w:r>
            <w:r w:rsidR="00D30F0C">
              <w:rPr>
                <w:sz w:val="20"/>
                <w:lang w:val="en-US"/>
              </w:rPr>
              <w:t xml:space="preserve">Constitution Making Process </w:t>
            </w:r>
            <w:r w:rsidRPr="000109AC">
              <w:rPr>
                <w:sz w:val="20"/>
                <w:lang w:val="en-US"/>
              </w:rPr>
              <w:t>is well coordinated, with limited transaction costs for national actors and efficient allocation of resources.</w:t>
            </w:r>
          </w:p>
        </w:tc>
        <w:tc>
          <w:tcPr>
            <w:tcW w:w="5730" w:type="dxa"/>
            <w:tcBorders>
              <w:top w:val="single" w:sz="4" w:space="0" w:color="auto"/>
              <w:left w:val="single" w:sz="4" w:space="0" w:color="auto"/>
              <w:bottom w:val="single" w:sz="4" w:space="0" w:color="auto"/>
              <w:right w:val="single" w:sz="4" w:space="0" w:color="auto"/>
            </w:tcBorders>
            <w:vAlign w:val="center"/>
          </w:tcPr>
          <w:p w14:paraId="290F0689" w14:textId="677D60C4" w:rsidR="00F9730A" w:rsidRPr="00A8337D" w:rsidRDefault="006C3055" w:rsidP="00B01C70">
            <w:pPr>
              <w:pStyle w:val="ListParagraph"/>
              <w:numPr>
                <w:ilvl w:val="0"/>
                <w:numId w:val="16"/>
              </w:numPr>
              <w:rPr>
                <w:sz w:val="20"/>
                <w:lang w:val="en-US"/>
              </w:rPr>
            </w:pPr>
            <w:r>
              <w:rPr>
                <w:sz w:val="20"/>
                <w:lang w:val="en-US"/>
              </w:rPr>
              <w:t xml:space="preserve">OSESG worked with MPTF to process requested terminations of donor contributions after 8 months passing without hopes to </w:t>
            </w:r>
            <w:r w:rsidR="00B01C70">
              <w:rPr>
                <w:sz w:val="20"/>
                <w:lang w:val="en-US"/>
              </w:rPr>
              <w:t xml:space="preserve">continue </w:t>
            </w:r>
            <w:r>
              <w:rPr>
                <w:sz w:val="20"/>
                <w:lang w:val="en-US"/>
              </w:rPr>
              <w:t>the constitution process</w:t>
            </w:r>
            <w:r w:rsidR="00B01C70">
              <w:rPr>
                <w:sz w:val="20"/>
                <w:lang w:val="en-US"/>
              </w:rPr>
              <w:t xml:space="preserve"> in the near future</w:t>
            </w:r>
            <w:r>
              <w:rPr>
                <w:sz w:val="20"/>
                <w:lang w:val="en-US"/>
              </w:rPr>
              <w:t xml:space="preserve">. </w:t>
            </w:r>
            <w:r w:rsidR="005863CE">
              <w:rPr>
                <w:sz w:val="20"/>
                <w:lang w:val="en-US"/>
              </w:rPr>
              <w:t xml:space="preserve"> </w:t>
            </w:r>
            <w:r>
              <w:rPr>
                <w:sz w:val="20"/>
                <w:lang w:val="en-US"/>
              </w:rPr>
              <w:t xml:space="preserve">In addition to only holding one Steering Committee virtual meeting </w:t>
            </w:r>
            <w:r w:rsidR="00645A29">
              <w:rPr>
                <w:sz w:val="20"/>
                <w:lang w:val="en-US"/>
              </w:rPr>
              <w:t>to approve the</w:t>
            </w:r>
            <w:r w:rsidR="00890ABE">
              <w:rPr>
                <w:sz w:val="20"/>
                <w:lang w:val="en-US"/>
              </w:rPr>
              <w:t xml:space="preserve"> assets </w:t>
            </w:r>
            <w:r w:rsidR="00EA03F4">
              <w:rPr>
                <w:sz w:val="20"/>
                <w:lang w:val="en-US"/>
              </w:rPr>
              <w:t>disposal policy.</w:t>
            </w:r>
            <w:r w:rsidR="00645A29">
              <w:rPr>
                <w:sz w:val="20"/>
                <w:lang w:val="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07A7635" w14:textId="232A6DDB" w:rsidR="000109AC" w:rsidRPr="00D90F80" w:rsidRDefault="0002404E">
            <w:pPr>
              <w:rPr>
                <w:b/>
                <w:sz w:val="20"/>
              </w:rPr>
            </w:pPr>
            <w:r>
              <w:rPr>
                <w:b/>
                <w:sz w:val="20"/>
              </w:rPr>
              <w:t>100</w:t>
            </w:r>
            <w:r w:rsidR="009D4B5F">
              <w:rPr>
                <w:b/>
                <w:sz w:val="20"/>
              </w:rPr>
              <w:t>%</w:t>
            </w:r>
          </w:p>
        </w:tc>
      </w:tr>
      <w:tr w:rsidR="001A5525" w:rsidRPr="00D90F80" w14:paraId="2849B4E9" w14:textId="77777777" w:rsidTr="00E6633B">
        <w:trPr>
          <w:trHeight w:val="530"/>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1C3B416D" w14:textId="09A8072E" w:rsidR="001A5525" w:rsidRPr="00D90F80" w:rsidRDefault="001A5525" w:rsidP="006B079A">
            <w:pPr>
              <w:rPr>
                <w:b/>
                <w:sz w:val="20"/>
                <w:lang w:val="en-US" w:bidi="ar-YE"/>
              </w:rPr>
            </w:pPr>
            <w:r w:rsidRPr="00D90F80">
              <w:rPr>
                <w:b/>
                <w:sz w:val="20"/>
                <w:lang w:val="en-US"/>
              </w:rPr>
              <w:t>Outcome 2: “</w:t>
            </w:r>
            <w:r w:rsidR="006B079A" w:rsidRPr="006B079A">
              <w:rPr>
                <w:b/>
                <w:sz w:val="20"/>
                <w:lang w:val="en-US"/>
              </w:rPr>
              <w:t>The outcome of the CMP reflects an inclusive, transparent, meaningful and participatory process.</w:t>
            </w:r>
            <w:r w:rsidRPr="00D90F80">
              <w:rPr>
                <w:b/>
                <w:sz w:val="20"/>
                <w:lang w:val="en-US"/>
              </w:rPr>
              <w:t>”</w:t>
            </w:r>
          </w:p>
        </w:tc>
      </w:tr>
      <w:tr w:rsidR="00EA684F" w:rsidRPr="00D90F80" w14:paraId="4FCD96F3" w14:textId="77777777" w:rsidTr="00E6633B">
        <w:trPr>
          <w:trHeight w:val="530"/>
        </w:trPr>
        <w:tc>
          <w:tcPr>
            <w:tcW w:w="3343" w:type="dxa"/>
            <w:tcBorders>
              <w:top w:val="single" w:sz="4" w:space="0" w:color="auto"/>
              <w:left w:val="single" w:sz="4" w:space="0" w:color="auto"/>
              <w:bottom w:val="single" w:sz="4" w:space="0" w:color="auto"/>
              <w:right w:val="single" w:sz="4" w:space="0" w:color="auto"/>
            </w:tcBorders>
            <w:vAlign w:val="center"/>
          </w:tcPr>
          <w:p w14:paraId="2EAE1EF8" w14:textId="1058BD7C" w:rsidR="00EA684F" w:rsidRPr="00D90F80" w:rsidRDefault="00C071E8" w:rsidP="00C071E8">
            <w:pPr>
              <w:rPr>
                <w:sz w:val="20"/>
                <w:lang w:val="en-US" w:bidi="ar-YE"/>
              </w:rPr>
            </w:pPr>
            <w:r>
              <w:rPr>
                <w:color w:val="000000"/>
                <w:sz w:val="20"/>
              </w:rPr>
              <w:lastRenderedPageBreak/>
              <w:t xml:space="preserve">2.1 </w:t>
            </w:r>
            <w:r w:rsidR="00595397">
              <w:rPr>
                <w:color w:val="000000"/>
                <w:sz w:val="20"/>
              </w:rPr>
              <w:t xml:space="preserve">Yemenis in </w:t>
            </w:r>
            <w:r w:rsidRPr="00C071E8">
              <w:rPr>
                <w:color w:val="000000"/>
                <w:sz w:val="20"/>
              </w:rPr>
              <w:t>different regions of the country receive information about the CMP and can input their views, in ways accessible to them</w:t>
            </w:r>
          </w:p>
        </w:tc>
        <w:tc>
          <w:tcPr>
            <w:tcW w:w="5730" w:type="dxa"/>
            <w:tcBorders>
              <w:top w:val="single" w:sz="4" w:space="0" w:color="auto"/>
              <w:left w:val="single" w:sz="4" w:space="0" w:color="auto"/>
              <w:bottom w:val="single" w:sz="4" w:space="0" w:color="auto"/>
              <w:right w:val="single" w:sz="4" w:space="0" w:color="auto"/>
            </w:tcBorders>
            <w:vAlign w:val="center"/>
          </w:tcPr>
          <w:p w14:paraId="49B9385A" w14:textId="7AAAED31" w:rsidR="00497371" w:rsidRDefault="00107C81" w:rsidP="00291695">
            <w:pPr>
              <w:spacing w:after="120"/>
              <w:rPr>
                <w:color w:val="000000"/>
                <w:sz w:val="20"/>
                <w:lang w:val="en-US"/>
              </w:rPr>
            </w:pPr>
            <w:r>
              <w:rPr>
                <w:color w:val="000000"/>
                <w:sz w:val="20"/>
                <w:lang w:val="en-US"/>
              </w:rPr>
              <w:t>During this quarter,</w:t>
            </w:r>
            <w:r w:rsidR="00453DC2">
              <w:rPr>
                <w:color w:val="000000"/>
                <w:sz w:val="20"/>
                <w:lang w:val="en-US"/>
              </w:rPr>
              <w:t xml:space="preserve"> </w:t>
            </w:r>
            <w:r w:rsidR="00B56F9F">
              <w:rPr>
                <w:color w:val="000000"/>
                <w:sz w:val="20"/>
                <w:lang w:val="en-US"/>
              </w:rPr>
              <w:t xml:space="preserve"> </w:t>
            </w:r>
            <w:r>
              <w:rPr>
                <w:color w:val="000000"/>
                <w:sz w:val="20"/>
                <w:lang w:val="en-US"/>
              </w:rPr>
              <w:t xml:space="preserve"> the Secretariat </w:t>
            </w:r>
            <w:r w:rsidR="00291695">
              <w:rPr>
                <w:color w:val="000000"/>
                <w:sz w:val="20"/>
                <w:lang w:val="en-US"/>
              </w:rPr>
              <w:t>was preparing for the closure on Sep 2015 and the following activities were conducted</w:t>
            </w:r>
            <w:r>
              <w:rPr>
                <w:color w:val="000000"/>
                <w:sz w:val="20"/>
                <w:lang w:val="en-US"/>
              </w:rPr>
              <w:t xml:space="preserve">: </w:t>
            </w:r>
          </w:p>
          <w:p w14:paraId="7C0B5A1E" w14:textId="6C159E0E" w:rsidR="00EA684F" w:rsidRDefault="00EA684F" w:rsidP="004B45DA">
            <w:pPr>
              <w:spacing w:after="120"/>
              <w:jc w:val="both"/>
              <w:rPr>
                <w:b/>
                <w:color w:val="000000"/>
                <w:sz w:val="20"/>
                <w:lang w:val="en-US"/>
              </w:rPr>
            </w:pPr>
            <w:r w:rsidRPr="007730FF">
              <w:rPr>
                <w:b/>
                <w:color w:val="000000"/>
                <w:sz w:val="20"/>
                <w:lang w:val="en-US"/>
              </w:rPr>
              <w:t>Traditional media:</w:t>
            </w:r>
          </w:p>
          <w:p w14:paraId="2CEF31AB" w14:textId="55149352" w:rsidR="003B5F02" w:rsidRDefault="00EA684F" w:rsidP="00FE704E">
            <w:pPr>
              <w:pStyle w:val="ListParagraph"/>
              <w:spacing w:after="120"/>
              <w:ind w:left="0"/>
              <w:jc w:val="both"/>
              <w:rPr>
                <w:b/>
                <w:color w:val="000000"/>
                <w:sz w:val="20"/>
                <w:lang w:val="en-US"/>
              </w:rPr>
            </w:pPr>
            <w:r w:rsidRPr="00D90F80">
              <w:rPr>
                <w:b/>
                <w:color w:val="000000"/>
                <w:sz w:val="20"/>
                <w:lang w:val="en-US"/>
              </w:rPr>
              <w:t>TV:</w:t>
            </w:r>
            <w:r w:rsidR="0061335F">
              <w:rPr>
                <w:b/>
                <w:color w:val="000000"/>
                <w:sz w:val="20"/>
                <w:lang w:val="en-US"/>
              </w:rPr>
              <w:t xml:space="preserve"> </w:t>
            </w:r>
          </w:p>
          <w:p w14:paraId="25D2BCEA" w14:textId="77777777" w:rsidR="00D235C9" w:rsidRDefault="00D235C9" w:rsidP="00D235C9">
            <w:pPr>
              <w:pStyle w:val="ListParagraph"/>
              <w:spacing w:after="120"/>
              <w:ind w:left="0"/>
              <w:jc w:val="both"/>
              <w:rPr>
                <w:bCs/>
                <w:color w:val="000000"/>
                <w:sz w:val="20"/>
                <w:lang w:val="en-US" w:bidi="ar-YE"/>
              </w:rPr>
            </w:pPr>
          </w:p>
          <w:p w14:paraId="47E53202" w14:textId="70CCE122" w:rsidR="00E70609" w:rsidRDefault="004A53C6" w:rsidP="00291695">
            <w:pPr>
              <w:pStyle w:val="ListParagraph"/>
              <w:spacing w:after="120"/>
              <w:ind w:left="0"/>
              <w:jc w:val="both"/>
              <w:rPr>
                <w:bCs/>
                <w:color w:val="000000"/>
                <w:sz w:val="20"/>
                <w:lang w:val="en-US" w:bidi="ar-YE"/>
              </w:rPr>
            </w:pPr>
            <w:r>
              <w:rPr>
                <w:bCs/>
                <w:color w:val="000000"/>
                <w:sz w:val="20"/>
                <w:lang w:val="en-US" w:bidi="ar-YE"/>
              </w:rPr>
              <w:t>During this quarter</w:t>
            </w:r>
            <w:r w:rsidR="000E7259">
              <w:rPr>
                <w:bCs/>
                <w:color w:val="000000"/>
                <w:sz w:val="20"/>
                <w:lang w:val="en-US" w:bidi="ar-YE"/>
              </w:rPr>
              <w:t>,</w:t>
            </w:r>
            <w:r w:rsidR="00291695">
              <w:rPr>
                <w:bCs/>
                <w:color w:val="000000"/>
                <w:sz w:val="20"/>
                <w:lang w:val="en-US" w:bidi="ar-YE"/>
              </w:rPr>
              <w:t xml:space="preserve"> the national TV stations working from outside Yemen continued to broadcast the </w:t>
            </w:r>
            <w:r w:rsidR="000E7259">
              <w:rPr>
                <w:bCs/>
                <w:color w:val="000000"/>
                <w:sz w:val="20"/>
                <w:lang w:val="en-US" w:bidi="ar-YE"/>
              </w:rPr>
              <w:t>"Public Consultation"</w:t>
            </w:r>
            <w:r w:rsidR="00291695">
              <w:rPr>
                <w:bCs/>
                <w:color w:val="000000"/>
                <w:sz w:val="20"/>
                <w:lang w:val="en-US" w:bidi="ar-YE"/>
              </w:rPr>
              <w:t>, and “Matlabi Campaign”</w:t>
            </w:r>
            <w:r w:rsidR="000E7259">
              <w:rPr>
                <w:bCs/>
                <w:color w:val="000000"/>
                <w:sz w:val="20"/>
                <w:lang w:val="en-US" w:bidi="ar-YE"/>
              </w:rPr>
              <w:t xml:space="preserve"> </w:t>
            </w:r>
            <w:r w:rsidR="00D002A4" w:rsidRPr="00291BAD">
              <w:rPr>
                <w:bCs/>
                <w:color w:val="000000"/>
                <w:sz w:val="20"/>
                <w:lang w:val="en-US" w:bidi="ar-YE"/>
              </w:rPr>
              <w:t xml:space="preserve">TV </w:t>
            </w:r>
            <w:r>
              <w:rPr>
                <w:bCs/>
                <w:color w:val="000000"/>
                <w:sz w:val="20"/>
                <w:lang w:val="en-US" w:bidi="ar-YE"/>
              </w:rPr>
              <w:t>flashes</w:t>
            </w:r>
            <w:r w:rsidR="00D235C9">
              <w:rPr>
                <w:bCs/>
                <w:color w:val="000000"/>
                <w:sz w:val="20"/>
                <w:lang w:val="en-US" w:bidi="ar-YE"/>
              </w:rPr>
              <w:t>.</w:t>
            </w:r>
            <w:r w:rsidR="00E70609">
              <w:rPr>
                <w:bCs/>
                <w:color w:val="000000"/>
                <w:sz w:val="20"/>
                <w:lang w:val="en-US" w:bidi="ar-YE"/>
              </w:rPr>
              <w:t>.</w:t>
            </w:r>
          </w:p>
          <w:p w14:paraId="17396A08" w14:textId="77777777" w:rsidR="00291695" w:rsidRDefault="00291695" w:rsidP="00291695">
            <w:pPr>
              <w:pStyle w:val="ListParagraph"/>
              <w:spacing w:after="120"/>
              <w:ind w:left="0"/>
              <w:jc w:val="both"/>
              <w:rPr>
                <w:bCs/>
                <w:color w:val="000000"/>
                <w:sz w:val="20"/>
                <w:lang w:val="en-US" w:bidi="ar-YE"/>
              </w:rPr>
            </w:pPr>
          </w:p>
          <w:p w14:paraId="10A576B2" w14:textId="4F95F4C5" w:rsidR="00291695" w:rsidRDefault="00291695" w:rsidP="00291695">
            <w:pPr>
              <w:pStyle w:val="ListParagraph"/>
              <w:spacing w:after="120"/>
              <w:ind w:left="0"/>
              <w:jc w:val="both"/>
              <w:rPr>
                <w:bCs/>
                <w:color w:val="000000"/>
                <w:sz w:val="20"/>
                <w:lang w:val="en-US" w:bidi="ar-YE"/>
              </w:rPr>
            </w:pPr>
            <w:r>
              <w:rPr>
                <w:bCs/>
                <w:color w:val="000000"/>
                <w:sz w:val="20"/>
                <w:lang w:val="en-US" w:bidi="ar-YE"/>
              </w:rPr>
              <w:t>Few TV flashes were completed but never broadcasted for “ Teshti Te3ref”</w:t>
            </w:r>
            <w:r w:rsidR="00F015DF">
              <w:rPr>
                <w:bCs/>
                <w:color w:val="000000"/>
                <w:sz w:val="20"/>
                <w:lang w:val="en-US" w:bidi="ar-YE"/>
              </w:rPr>
              <w:t xml:space="preserve"> Campaign </w:t>
            </w:r>
            <w:r w:rsidR="006C429D">
              <w:rPr>
                <w:bCs/>
                <w:color w:val="000000"/>
                <w:sz w:val="20"/>
                <w:lang w:val="en-US" w:bidi="ar-YE"/>
              </w:rPr>
              <w:t xml:space="preserve">and archived with other materials of the campaign.  </w:t>
            </w:r>
          </w:p>
          <w:p w14:paraId="6C5356F6" w14:textId="77777777" w:rsidR="00F30367" w:rsidRPr="00FF7599" w:rsidRDefault="00F30367" w:rsidP="00C67BA4">
            <w:pPr>
              <w:rPr>
                <w:b/>
                <w:color w:val="000000"/>
                <w:sz w:val="20"/>
                <w:lang w:val="en-US"/>
              </w:rPr>
            </w:pPr>
          </w:p>
          <w:p w14:paraId="27064CA7" w14:textId="5BD51E0B" w:rsidR="00F30367" w:rsidRPr="00D235C9" w:rsidRDefault="00F30367" w:rsidP="00D235C9">
            <w:pPr>
              <w:spacing w:after="120"/>
              <w:jc w:val="both"/>
              <w:rPr>
                <w:b/>
                <w:color w:val="000000"/>
                <w:sz w:val="20"/>
                <w:lang w:val="en-US"/>
              </w:rPr>
            </w:pPr>
            <w:r w:rsidRPr="00D50AB5">
              <w:rPr>
                <w:b/>
                <w:color w:val="000000"/>
                <w:sz w:val="20"/>
                <w:lang w:val="en-US"/>
              </w:rPr>
              <w:t xml:space="preserve">Outdoor </w:t>
            </w:r>
            <w:r w:rsidR="00097727" w:rsidRPr="00D50AB5">
              <w:rPr>
                <w:b/>
                <w:color w:val="000000"/>
                <w:sz w:val="20"/>
                <w:lang w:val="en-US"/>
              </w:rPr>
              <w:t>Campaign</w:t>
            </w:r>
            <w:r w:rsidRPr="00D50AB5">
              <w:rPr>
                <w:b/>
                <w:color w:val="000000"/>
                <w:sz w:val="20"/>
                <w:lang w:val="en-US"/>
              </w:rPr>
              <w:t xml:space="preserve">: </w:t>
            </w:r>
          </w:p>
          <w:p w14:paraId="5315C8D5" w14:textId="793A925A" w:rsidR="00047741" w:rsidRPr="00047741" w:rsidRDefault="00175020" w:rsidP="00175020">
            <w:pPr>
              <w:spacing w:after="120"/>
              <w:jc w:val="both"/>
              <w:rPr>
                <w:bCs/>
                <w:color w:val="000000"/>
                <w:sz w:val="20"/>
                <w:lang w:val="en-US" w:bidi="ar-YE"/>
              </w:rPr>
            </w:pPr>
            <w:r>
              <w:rPr>
                <w:bCs/>
                <w:color w:val="000000"/>
                <w:sz w:val="20"/>
                <w:lang w:val="en-US" w:bidi="ar-YE"/>
              </w:rPr>
              <w:t>M</w:t>
            </w:r>
            <w:r w:rsidR="00D235C9">
              <w:rPr>
                <w:bCs/>
                <w:color w:val="000000"/>
                <w:sz w:val="20"/>
                <w:lang w:val="en-US" w:bidi="ar-YE"/>
              </w:rPr>
              <w:t>essages were developed</w:t>
            </w:r>
            <w:r w:rsidR="00047741">
              <w:rPr>
                <w:bCs/>
                <w:color w:val="000000"/>
                <w:sz w:val="20"/>
                <w:lang w:val="en-US" w:bidi="ar-YE"/>
              </w:rPr>
              <w:t xml:space="preserve"> during the second quarter</w:t>
            </w:r>
            <w:r w:rsidR="00D235C9">
              <w:rPr>
                <w:bCs/>
                <w:color w:val="000000"/>
                <w:sz w:val="20"/>
                <w:lang w:val="en-US" w:bidi="ar-YE"/>
              </w:rPr>
              <w:t xml:space="preserve"> for </w:t>
            </w:r>
            <w:r w:rsidRPr="00F62A88">
              <w:rPr>
                <w:bCs/>
                <w:color w:val="000000"/>
                <w:sz w:val="20"/>
                <w:lang w:val="en-US" w:bidi="ar-YE"/>
              </w:rPr>
              <w:t>“Tesh’ti</w:t>
            </w:r>
            <w:r w:rsidR="00F30367" w:rsidRPr="00F62A88">
              <w:rPr>
                <w:bCs/>
                <w:color w:val="000000"/>
                <w:sz w:val="20"/>
                <w:lang w:val="en-US" w:bidi="ar-YE"/>
              </w:rPr>
              <w:t xml:space="preserve"> Te3raf" </w:t>
            </w:r>
            <w:r>
              <w:rPr>
                <w:bCs/>
                <w:color w:val="000000"/>
                <w:sz w:val="20"/>
                <w:lang w:val="en-US" w:bidi="ar-YE"/>
              </w:rPr>
              <w:t xml:space="preserve">and the “Public Consultation” </w:t>
            </w:r>
            <w:r w:rsidR="00F30367" w:rsidRPr="00F62A88">
              <w:rPr>
                <w:bCs/>
                <w:color w:val="000000"/>
                <w:sz w:val="20"/>
                <w:lang w:val="en-US" w:bidi="ar-YE"/>
              </w:rPr>
              <w:t>campaign</w:t>
            </w:r>
            <w:r>
              <w:rPr>
                <w:bCs/>
                <w:color w:val="000000"/>
                <w:sz w:val="20"/>
                <w:lang w:val="en-US" w:bidi="ar-YE"/>
              </w:rPr>
              <w:t xml:space="preserve">s. </w:t>
            </w:r>
            <w:r w:rsidR="00047741">
              <w:rPr>
                <w:bCs/>
                <w:color w:val="000000"/>
                <w:sz w:val="20"/>
                <w:lang w:val="en-US" w:bidi="ar-YE"/>
              </w:rPr>
              <w:t>But with the current situation</w:t>
            </w:r>
            <w:r>
              <w:rPr>
                <w:bCs/>
                <w:color w:val="000000"/>
                <w:sz w:val="20"/>
                <w:lang w:val="en-US" w:bidi="ar-YE"/>
              </w:rPr>
              <w:t>, the closure decision was taken and all the preparation stopped and the Secretariat worked on archiving the old materials and the newly developed for the resumption</w:t>
            </w:r>
            <w:r w:rsidR="00A62E43">
              <w:rPr>
                <w:bCs/>
                <w:color w:val="000000"/>
                <w:sz w:val="20"/>
                <w:lang w:val="en-US" w:bidi="ar-YE"/>
              </w:rPr>
              <w:t xml:space="preserve"> in the future</w:t>
            </w:r>
            <w:r w:rsidR="00047741">
              <w:rPr>
                <w:bCs/>
                <w:color w:val="000000"/>
                <w:sz w:val="20"/>
                <w:lang w:val="en-US" w:bidi="ar-YE"/>
              </w:rPr>
              <w:t>.</w:t>
            </w:r>
          </w:p>
          <w:p w14:paraId="5ABABDB6" w14:textId="77777777" w:rsidR="0053014C" w:rsidRDefault="0053014C" w:rsidP="0053014C">
            <w:pPr>
              <w:pStyle w:val="ListParagraph"/>
              <w:spacing w:after="120"/>
              <w:jc w:val="both"/>
              <w:rPr>
                <w:color w:val="000000"/>
                <w:sz w:val="20"/>
                <w:lang w:val="en-US"/>
              </w:rPr>
            </w:pPr>
          </w:p>
          <w:p w14:paraId="654805DA" w14:textId="77777777" w:rsidR="00BF0834" w:rsidRPr="00D90F80" w:rsidRDefault="00BF0834" w:rsidP="005D205B">
            <w:pPr>
              <w:shd w:val="clear" w:color="auto" w:fill="FFFFFF" w:themeFill="background1"/>
              <w:spacing w:after="120"/>
              <w:jc w:val="both"/>
              <w:rPr>
                <w:b/>
                <w:color w:val="000000"/>
                <w:sz w:val="20"/>
                <w:lang w:val="en-US"/>
              </w:rPr>
            </w:pPr>
            <w:r w:rsidRPr="008858AD">
              <w:rPr>
                <w:b/>
                <w:color w:val="000000"/>
                <w:sz w:val="20"/>
                <w:lang w:val="en-US"/>
              </w:rPr>
              <w:t>Website</w:t>
            </w:r>
            <w:r w:rsidR="008858AD">
              <w:rPr>
                <w:b/>
                <w:color w:val="000000"/>
                <w:sz w:val="20"/>
                <w:lang w:val="en-US"/>
              </w:rPr>
              <w:t>:</w:t>
            </w:r>
          </w:p>
          <w:p w14:paraId="4DDD98C1" w14:textId="0C97C07C" w:rsidR="00F62A88" w:rsidRPr="00C01F79" w:rsidRDefault="009853A6" w:rsidP="00047741">
            <w:pPr>
              <w:pStyle w:val="ListParagraph"/>
              <w:widowControl/>
              <w:numPr>
                <w:ilvl w:val="0"/>
                <w:numId w:val="2"/>
              </w:numPr>
              <w:snapToGrid/>
              <w:spacing w:line="259" w:lineRule="auto"/>
              <w:jc w:val="both"/>
              <w:rPr>
                <w:color w:val="000000"/>
                <w:sz w:val="20"/>
              </w:rPr>
            </w:pPr>
            <w:r w:rsidRPr="00D01BBF">
              <w:rPr>
                <w:color w:val="000000"/>
                <w:sz w:val="20"/>
                <w:lang w:val="en-US"/>
              </w:rPr>
              <w:t>The NDS website</w:t>
            </w:r>
            <w:r w:rsidR="00047741">
              <w:rPr>
                <w:color w:val="000000"/>
                <w:sz w:val="20"/>
                <w:lang w:val="en-US"/>
              </w:rPr>
              <w:t xml:space="preserve"> was off during the first half of the year. Then it was back online during this quarter running with the Draft Constitution published and </w:t>
            </w:r>
            <w:r w:rsidR="00625A61">
              <w:rPr>
                <w:color w:val="000000"/>
                <w:sz w:val="20"/>
                <w:lang w:val="en-US"/>
              </w:rPr>
              <w:t>available</w:t>
            </w:r>
            <w:r w:rsidR="00047741">
              <w:rPr>
                <w:color w:val="000000"/>
                <w:sz w:val="20"/>
                <w:lang w:val="en-US"/>
              </w:rPr>
              <w:t xml:space="preserve"> for download</w:t>
            </w:r>
            <w:r w:rsidR="00625A61">
              <w:rPr>
                <w:color w:val="000000"/>
                <w:sz w:val="20"/>
                <w:lang w:val="en-US"/>
              </w:rPr>
              <w:t>.</w:t>
            </w:r>
            <w:r w:rsidR="003E7EAA" w:rsidRPr="00D01BBF">
              <w:rPr>
                <w:color w:val="000000"/>
                <w:sz w:val="20"/>
                <w:lang w:val="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939F735" w14:textId="0DD7F160" w:rsidR="00EA684F" w:rsidRPr="00D90F80" w:rsidRDefault="00EA684F">
            <w:pPr>
              <w:rPr>
                <w:b/>
                <w:sz w:val="20"/>
              </w:rPr>
            </w:pPr>
          </w:p>
        </w:tc>
      </w:tr>
      <w:tr w:rsidR="00E53B89" w:rsidRPr="00D90F80" w14:paraId="704A6FCA" w14:textId="77777777" w:rsidTr="00E6633B">
        <w:trPr>
          <w:trHeight w:val="530"/>
        </w:trPr>
        <w:tc>
          <w:tcPr>
            <w:tcW w:w="3343" w:type="dxa"/>
            <w:tcBorders>
              <w:top w:val="single" w:sz="4" w:space="0" w:color="auto"/>
              <w:left w:val="single" w:sz="4" w:space="0" w:color="auto"/>
              <w:bottom w:val="single" w:sz="4" w:space="0" w:color="auto"/>
              <w:right w:val="single" w:sz="4" w:space="0" w:color="auto"/>
            </w:tcBorders>
            <w:vAlign w:val="center"/>
          </w:tcPr>
          <w:p w14:paraId="200B794B" w14:textId="21224BC0" w:rsidR="00E53B89" w:rsidRDefault="00E53B89" w:rsidP="00C071E8">
            <w:pPr>
              <w:rPr>
                <w:color w:val="000000"/>
                <w:sz w:val="20"/>
              </w:rPr>
            </w:pPr>
          </w:p>
        </w:tc>
        <w:tc>
          <w:tcPr>
            <w:tcW w:w="5730" w:type="dxa"/>
            <w:tcBorders>
              <w:top w:val="single" w:sz="4" w:space="0" w:color="auto"/>
              <w:left w:val="single" w:sz="4" w:space="0" w:color="auto"/>
              <w:bottom w:val="single" w:sz="4" w:space="0" w:color="auto"/>
              <w:right w:val="single" w:sz="4" w:space="0" w:color="auto"/>
            </w:tcBorders>
            <w:vAlign w:val="center"/>
          </w:tcPr>
          <w:p w14:paraId="7338F3A8" w14:textId="77777777" w:rsidR="00E53B89" w:rsidRDefault="00E53B89" w:rsidP="00D45664">
            <w:pPr>
              <w:pStyle w:val="Normal1"/>
              <w:jc w:val="both"/>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AE863D2" w14:textId="77777777" w:rsidR="00E53B89" w:rsidRPr="00D90F80" w:rsidRDefault="00E53B89">
            <w:pPr>
              <w:rPr>
                <w:b/>
                <w:sz w:val="20"/>
              </w:rPr>
            </w:pPr>
          </w:p>
        </w:tc>
      </w:tr>
    </w:tbl>
    <w:p w14:paraId="1D24DB4B" w14:textId="5C527E99" w:rsidR="00817B1D" w:rsidRPr="00D90F80" w:rsidRDefault="00817B1D" w:rsidP="00817B1D">
      <w:pPr>
        <w:rPr>
          <w:sz w:val="20"/>
        </w:rPr>
      </w:pPr>
    </w:p>
    <w:tbl>
      <w:tblPr>
        <w:tblW w:w="103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0"/>
      </w:tblGrid>
      <w:tr w:rsidR="00817B1D" w:rsidRPr="00D90F80" w14:paraId="01CE17B2" w14:textId="77777777" w:rsidTr="00A01EA4">
        <w:trPr>
          <w:trHeight w:val="463"/>
        </w:trPr>
        <w:tc>
          <w:tcPr>
            <w:tcW w:w="1035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9FD9F1E" w14:textId="77777777" w:rsidR="00817B1D" w:rsidRPr="00D90F80" w:rsidRDefault="00817B1D">
            <w:pPr>
              <w:jc w:val="center"/>
              <w:rPr>
                <w:b/>
                <w:color w:val="000000"/>
                <w:sz w:val="20"/>
              </w:rPr>
            </w:pPr>
            <w:r w:rsidRPr="00D90F80">
              <w:rPr>
                <w:b/>
                <w:sz w:val="20"/>
              </w:rPr>
              <w:t>Qualitative achievements against outcomes and results:</w:t>
            </w:r>
          </w:p>
        </w:tc>
      </w:tr>
      <w:tr w:rsidR="00817B1D" w:rsidRPr="00D90F80" w14:paraId="30642914" w14:textId="77777777" w:rsidTr="00A01EA4">
        <w:trPr>
          <w:trHeight w:val="1177"/>
        </w:trPr>
        <w:tc>
          <w:tcPr>
            <w:tcW w:w="10350" w:type="dxa"/>
            <w:tcBorders>
              <w:top w:val="single" w:sz="4" w:space="0" w:color="auto"/>
              <w:left w:val="single" w:sz="4" w:space="0" w:color="auto"/>
              <w:bottom w:val="single" w:sz="4" w:space="0" w:color="auto"/>
              <w:right w:val="single" w:sz="4" w:space="0" w:color="auto"/>
            </w:tcBorders>
          </w:tcPr>
          <w:p w14:paraId="0B4B872E" w14:textId="1F07409A" w:rsidR="004E7E57" w:rsidRPr="00D90F80" w:rsidRDefault="004E7E57" w:rsidP="004E7E57">
            <w:pPr>
              <w:jc w:val="both"/>
              <w:rPr>
                <w:color w:val="000000"/>
                <w:sz w:val="20"/>
              </w:rPr>
            </w:pPr>
          </w:p>
          <w:p w14:paraId="6B8D9A58" w14:textId="73837BED" w:rsidR="004E7E57" w:rsidRDefault="004E7E57" w:rsidP="004E7E57">
            <w:pPr>
              <w:jc w:val="both"/>
              <w:rPr>
                <w:b/>
                <w:sz w:val="20"/>
                <w:lang w:val="en-US"/>
              </w:rPr>
            </w:pPr>
            <w:r w:rsidRPr="00D90F80">
              <w:rPr>
                <w:b/>
                <w:sz w:val="20"/>
                <w:lang w:val="en-US"/>
              </w:rPr>
              <w:t>Outcome 1: “</w:t>
            </w:r>
            <w:r w:rsidR="00563D01" w:rsidRPr="00EB6E0E">
              <w:rPr>
                <w:b/>
                <w:sz w:val="20"/>
                <w:lang w:val="en-US"/>
              </w:rPr>
              <w:t>Implementation of the CMP advanced</w:t>
            </w:r>
            <w:r w:rsidR="00910592">
              <w:rPr>
                <w:b/>
                <w:sz w:val="20"/>
                <w:lang w:val="en-US"/>
              </w:rPr>
              <w:t>,</w:t>
            </w:r>
            <w:r w:rsidR="00563D01" w:rsidRPr="00EB6E0E">
              <w:rPr>
                <w:b/>
                <w:sz w:val="20"/>
                <w:lang w:val="en-US"/>
              </w:rPr>
              <w:t xml:space="preserve"> according to agreed timelines and steps, on the basis of coherent technical, financ</w:t>
            </w:r>
            <w:r w:rsidR="00563D01">
              <w:rPr>
                <w:b/>
                <w:sz w:val="20"/>
                <w:lang w:val="en-US"/>
              </w:rPr>
              <w:t>ial and administrative support</w:t>
            </w:r>
            <w:r w:rsidRPr="00D90F80">
              <w:rPr>
                <w:b/>
                <w:sz w:val="20"/>
                <w:lang w:val="en-US"/>
              </w:rPr>
              <w:t>”</w:t>
            </w:r>
          </w:p>
          <w:p w14:paraId="7501B997" w14:textId="2DCADDD5" w:rsidR="00B44B89" w:rsidRDefault="009D3A9A" w:rsidP="00B44B89">
            <w:pPr>
              <w:rPr>
                <w:bCs/>
                <w:sz w:val="20"/>
                <w:lang w:val="en-US"/>
              </w:rPr>
            </w:pPr>
            <w:r>
              <w:rPr>
                <w:bCs/>
                <w:sz w:val="20"/>
                <w:lang w:val="en-US"/>
              </w:rPr>
              <w:t xml:space="preserve">During this quarter, it </w:t>
            </w:r>
            <w:r w:rsidR="00B01C70">
              <w:rPr>
                <w:bCs/>
                <w:sz w:val="20"/>
                <w:lang w:val="en-US"/>
              </w:rPr>
              <w:t>became</w:t>
            </w:r>
            <w:r>
              <w:rPr>
                <w:bCs/>
                <w:sz w:val="20"/>
                <w:lang w:val="en-US"/>
              </w:rPr>
              <w:t xml:space="preserve"> clear that the peaceful political transition process will not be resumed</w:t>
            </w:r>
            <w:r w:rsidR="005C4C44">
              <w:rPr>
                <w:bCs/>
                <w:sz w:val="20"/>
                <w:lang w:val="en-US"/>
              </w:rPr>
              <w:t xml:space="preserve"> soon. In addition, some donors’ agreements came to end this quarter or were terminated. It was decided to prepare for a closure </w:t>
            </w:r>
            <w:r w:rsidR="00B01C70">
              <w:rPr>
                <w:bCs/>
                <w:sz w:val="20"/>
                <w:lang w:val="en-US"/>
              </w:rPr>
              <w:t xml:space="preserve">of the Secretariat </w:t>
            </w:r>
            <w:r w:rsidR="005C4C44">
              <w:rPr>
                <w:bCs/>
                <w:sz w:val="20"/>
                <w:lang w:val="en-US"/>
              </w:rPr>
              <w:t>on September 2015. OSESG, UNOPS and the Secretariat worked on the closure preparations.</w:t>
            </w:r>
            <w:r w:rsidR="005B13A3">
              <w:rPr>
                <w:bCs/>
                <w:sz w:val="20"/>
                <w:lang w:val="en-US"/>
              </w:rPr>
              <w:t xml:space="preserve"> </w:t>
            </w:r>
            <w:r w:rsidR="005C4C44">
              <w:rPr>
                <w:bCs/>
                <w:sz w:val="20"/>
                <w:lang w:val="en-US"/>
              </w:rPr>
              <w:t xml:space="preserve">UNOPS and the Secretariat worked on </w:t>
            </w:r>
            <w:r w:rsidR="00736F80">
              <w:rPr>
                <w:bCs/>
                <w:sz w:val="20"/>
                <w:lang w:val="en-US"/>
              </w:rPr>
              <w:t>contracts terminations and notifications to staff and other contractors. The Secretariat premises w</w:t>
            </w:r>
            <w:r w:rsidR="00B01C70">
              <w:rPr>
                <w:bCs/>
                <w:sz w:val="20"/>
                <w:lang w:val="en-US"/>
              </w:rPr>
              <w:t>ere</w:t>
            </w:r>
            <w:r w:rsidR="00736F80">
              <w:rPr>
                <w:bCs/>
                <w:sz w:val="20"/>
                <w:lang w:val="en-US"/>
              </w:rPr>
              <w:t xml:space="preserve"> still held by militants but the Secretariat was able to negotiate</w:t>
            </w:r>
            <w:r w:rsidR="00153A65">
              <w:rPr>
                <w:bCs/>
                <w:sz w:val="20"/>
                <w:lang w:val="en-US"/>
              </w:rPr>
              <w:t xml:space="preserve"> moving</w:t>
            </w:r>
            <w:r w:rsidR="00736F80">
              <w:rPr>
                <w:bCs/>
                <w:sz w:val="20"/>
                <w:lang w:val="en-US"/>
              </w:rPr>
              <w:t xml:space="preserve"> the </w:t>
            </w:r>
            <w:r w:rsidR="00B01C70">
              <w:rPr>
                <w:bCs/>
                <w:sz w:val="20"/>
                <w:lang w:val="en-US"/>
              </w:rPr>
              <w:t>e</w:t>
            </w:r>
            <w:r w:rsidR="00153A65">
              <w:rPr>
                <w:bCs/>
                <w:sz w:val="20"/>
                <w:lang w:val="en-US"/>
              </w:rPr>
              <w:t>quipment</w:t>
            </w:r>
            <w:r w:rsidR="00736F80">
              <w:rPr>
                <w:bCs/>
                <w:sz w:val="20"/>
                <w:lang w:val="en-US"/>
              </w:rPr>
              <w:t xml:space="preserve"> and servers </w:t>
            </w:r>
            <w:r w:rsidR="00153A65">
              <w:rPr>
                <w:bCs/>
                <w:sz w:val="20"/>
                <w:lang w:val="en-US"/>
              </w:rPr>
              <w:t xml:space="preserve">out </w:t>
            </w:r>
            <w:r w:rsidR="00736F80">
              <w:rPr>
                <w:bCs/>
                <w:sz w:val="20"/>
                <w:lang w:val="en-US"/>
              </w:rPr>
              <w:t>which could get stolen</w:t>
            </w:r>
            <w:r w:rsidR="00153A65">
              <w:rPr>
                <w:bCs/>
                <w:sz w:val="20"/>
                <w:lang w:val="en-US"/>
              </w:rPr>
              <w:t xml:space="preserve"> or damaged in</w:t>
            </w:r>
            <w:r w:rsidR="00736F80">
              <w:rPr>
                <w:bCs/>
                <w:sz w:val="20"/>
                <w:lang w:val="en-US"/>
              </w:rPr>
              <w:t xml:space="preserve"> the building a</w:t>
            </w:r>
            <w:r w:rsidR="00745383">
              <w:rPr>
                <w:bCs/>
                <w:sz w:val="20"/>
                <w:lang w:val="en-US"/>
              </w:rPr>
              <w:t>nd had to leave the furniture</w:t>
            </w:r>
            <w:r w:rsidR="00736F80">
              <w:rPr>
                <w:bCs/>
                <w:sz w:val="20"/>
                <w:lang w:val="en-US"/>
              </w:rPr>
              <w:t xml:space="preserve"> until the militants approve the transport. All the items released were moved to the new warehouse rented for this purpose. </w:t>
            </w:r>
          </w:p>
          <w:p w14:paraId="359CC899" w14:textId="77777777" w:rsidR="00A60A60" w:rsidRDefault="00A60A60">
            <w:pPr>
              <w:rPr>
                <w:bCs/>
                <w:sz w:val="20"/>
                <w:lang w:val="en-US"/>
              </w:rPr>
            </w:pPr>
          </w:p>
          <w:p w14:paraId="67F888AA" w14:textId="5AACF198" w:rsidR="00A52658" w:rsidRPr="00F62A88" w:rsidRDefault="00A60A60" w:rsidP="00A52658">
            <w:pPr>
              <w:rPr>
                <w:bCs/>
                <w:sz w:val="20"/>
              </w:rPr>
            </w:pPr>
            <w:r>
              <w:rPr>
                <w:bCs/>
                <w:sz w:val="20"/>
                <w:lang w:val="en-US"/>
              </w:rPr>
              <w:t>The OSESG held a virtual m</w:t>
            </w:r>
            <w:r w:rsidR="00A52658">
              <w:rPr>
                <w:bCs/>
                <w:sz w:val="20"/>
                <w:lang w:val="en-US"/>
              </w:rPr>
              <w:t xml:space="preserve">eeting to approve the </w:t>
            </w:r>
            <w:r w:rsidR="00A52658">
              <w:rPr>
                <w:bCs/>
                <w:sz w:val="20"/>
              </w:rPr>
              <w:t>asset disposal policy</w:t>
            </w:r>
            <w:r w:rsidR="00A52658">
              <w:rPr>
                <w:bCs/>
                <w:sz w:val="20"/>
                <w:lang w:val="en-US"/>
              </w:rPr>
              <w:t xml:space="preserve"> after </w:t>
            </w:r>
            <w:r w:rsidR="005B13A3">
              <w:rPr>
                <w:bCs/>
                <w:sz w:val="20"/>
                <w:lang w:val="en-US"/>
              </w:rPr>
              <w:t>the closure. It was then agreed to move them to the new peace support project</w:t>
            </w:r>
            <w:r w:rsidR="00A52658">
              <w:rPr>
                <w:bCs/>
                <w:sz w:val="20"/>
                <w:lang w:val="en-US"/>
              </w:rPr>
              <w:t xml:space="preserve">. </w:t>
            </w:r>
            <w:r w:rsidR="00A52658">
              <w:rPr>
                <w:bCs/>
                <w:sz w:val="20"/>
              </w:rPr>
              <w:t xml:space="preserve">In addition, OSESG continued to work with the MPTF office on administrative issues like ending SAAs, coordinating the refunding process of the remaining amounts in the YNDCRTF and other donor related documentation.    </w:t>
            </w:r>
          </w:p>
          <w:p w14:paraId="6CD8838E" w14:textId="3A32ACA8" w:rsidR="00B44B89" w:rsidRPr="00A52658" w:rsidRDefault="00B44B89" w:rsidP="00A52658">
            <w:pPr>
              <w:rPr>
                <w:bCs/>
                <w:sz w:val="20"/>
                <w:lang w:val="en-US"/>
              </w:rPr>
            </w:pPr>
          </w:p>
          <w:p w14:paraId="2398844C" w14:textId="58246BE4" w:rsidR="000368F2" w:rsidRDefault="00B44B89" w:rsidP="008B7C55">
            <w:pPr>
              <w:rPr>
                <w:bCs/>
                <w:sz w:val="20"/>
                <w:lang w:val="en-US"/>
              </w:rPr>
            </w:pPr>
            <w:r>
              <w:rPr>
                <w:bCs/>
                <w:sz w:val="20"/>
                <w:lang w:val="en-US"/>
              </w:rPr>
              <w:t>Among the preparations for closure, archiving the developed materials for the public c</w:t>
            </w:r>
            <w:r w:rsidR="00A52658">
              <w:rPr>
                <w:bCs/>
                <w:sz w:val="20"/>
                <w:lang w:val="en-US"/>
              </w:rPr>
              <w:t xml:space="preserve">onsultation phase, technical support documents among others, was </w:t>
            </w:r>
            <w:r w:rsidR="008B7C55">
              <w:rPr>
                <w:bCs/>
                <w:sz w:val="20"/>
                <w:lang w:val="en-US"/>
              </w:rPr>
              <w:t xml:space="preserve">one of the most important activities which were done by the Secretariat during this reporting period. Finalising handovers of previous staff who were released back in June 2015 and then the handover of the few staff who were finalizing the closure during this quarter. </w:t>
            </w:r>
            <w:r w:rsidR="000368F2">
              <w:rPr>
                <w:bCs/>
                <w:sz w:val="20"/>
                <w:lang w:val="en-US"/>
              </w:rPr>
              <w:t xml:space="preserve"> </w:t>
            </w:r>
          </w:p>
          <w:p w14:paraId="0ECCF866" w14:textId="77777777" w:rsidR="000368F2" w:rsidRDefault="000368F2" w:rsidP="000368F2">
            <w:pPr>
              <w:rPr>
                <w:bCs/>
                <w:sz w:val="20"/>
                <w:lang w:val="en-US"/>
              </w:rPr>
            </w:pPr>
          </w:p>
          <w:p w14:paraId="53FA038F" w14:textId="77777777" w:rsidR="002756A8" w:rsidRDefault="002756A8" w:rsidP="002756A8">
            <w:pPr>
              <w:rPr>
                <w:bCs/>
                <w:sz w:val="20"/>
              </w:rPr>
            </w:pPr>
          </w:p>
          <w:p w14:paraId="61BDF7C4" w14:textId="77777777" w:rsidR="00F62A88" w:rsidRDefault="00F62A88">
            <w:pPr>
              <w:rPr>
                <w:bCs/>
                <w:sz w:val="20"/>
              </w:rPr>
            </w:pPr>
          </w:p>
          <w:p w14:paraId="4FD70C05" w14:textId="77777777" w:rsidR="00F62A88" w:rsidRPr="00D90F80" w:rsidRDefault="00F62A88">
            <w:pPr>
              <w:rPr>
                <w:b/>
                <w:color w:val="000000"/>
                <w:sz w:val="20"/>
                <w:lang w:val="en-US" w:bidi="ar-YE"/>
              </w:rPr>
            </w:pPr>
          </w:p>
          <w:p w14:paraId="0F1D359F" w14:textId="38E8A81C" w:rsidR="0045663F" w:rsidRDefault="00BF0834" w:rsidP="000D3FCB">
            <w:pPr>
              <w:jc w:val="both"/>
              <w:rPr>
                <w:b/>
                <w:sz w:val="20"/>
                <w:lang w:val="en-US"/>
              </w:rPr>
            </w:pPr>
            <w:r w:rsidRPr="00D90F80">
              <w:rPr>
                <w:b/>
                <w:sz w:val="20"/>
                <w:lang w:val="en-US"/>
              </w:rPr>
              <w:t xml:space="preserve">Outcome 2: </w:t>
            </w:r>
            <w:r w:rsidR="000421CB" w:rsidRPr="00D90F80">
              <w:rPr>
                <w:b/>
                <w:sz w:val="20"/>
                <w:lang w:val="en-US"/>
              </w:rPr>
              <w:t>“</w:t>
            </w:r>
            <w:r w:rsidR="000421CB" w:rsidRPr="006B079A">
              <w:rPr>
                <w:b/>
                <w:sz w:val="20"/>
                <w:lang w:val="en-US"/>
              </w:rPr>
              <w:t>The outcome of the CMP reflects an inclusive, transparent, meaningful and participatory process</w:t>
            </w:r>
          </w:p>
          <w:p w14:paraId="6E1BA9C3" w14:textId="109087CB" w:rsidR="00A2140A" w:rsidRDefault="00A2140A" w:rsidP="00746BAD">
            <w:pPr>
              <w:widowControl/>
              <w:snapToGrid/>
              <w:spacing w:line="276" w:lineRule="auto"/>
              <w:contextualSpacing/>
              <w:jc w:val="both"/>
              <w:rPr>
                <w:bCs/>
                <w:sz w:val="20"/>
              </w:rPr>
            </w:pPr>
          </w:p>
          <w:p w14:paraId="2FE4FAB3" w14:textId="71EA0C9B" w:rsidR="00A52658" w:rsidRDefault="00EF26DA" w:rsidP="00E675D8">
            <w:pPr>
              <w:jc w:val="both"/>
              <w:rPr>
                <w:bCs/>
                <w:sz w:val="20"/>
              </w:rPr>
            </w:pPr>
            <w:r>
              <w:rPr>
                <w:bCs/>
                <w:sz w:val="20"/>
              </w:rPr>
              <w:t xml:space="preserve">Under this outcome, </w:t>
            </w:r>
            <w:r w:rsidR="00E23157">
              <w:rPr>
                <w:bCs/>
                <w:sz w:val="20"/>
              </w:rPr>
              <w:t xml:space="preserve">after the closure decision was taken, the Secretariat stopped the preparation for the resumption and started to finalise archiving the materials which have been prepared for the public consultation phase which </w:t>
            </w:r>
            <w:r w:rsidR="000B3C91">
              <w:rPr>
                <w:bCs/>
                <w:sz w:val="20"/>
              </w:rPr>
              <w:t>included plans and messages on a number of chapters of the draft Constitution</w:t>
            </w:r>
            <w:r w:rsidR="00B01C70">
              <w:rPr>
                <w:bCs/>
                <w:sz w:val="20"/>
              </w:rPr>
              <w:t xml:space="preserve">, </w:t>
            </w:r>
            <w:r w:rsidR="00E23157">
              <w:rPr>
                <w:bCs/>
                <w:sz w:val="20"/>
              </w:rPr>
              <w:t xml:space="preserve"> </w:t>
            </w:r>
            <w:r w:rsidR="00B01C70">
              <w:rPr>
                <w:bCs/>
                <w:sz w:val="20"/>
              </w:rPr>
              <w:t xml:space="preserve">in </w:t>
            </w:r>
            <w:r w:rsidR="000B3C91">
              <w:rPr>
                <w:bCs/>
                <w:sz w:val="20"/>
              </w:rPr>
              <w:t xml:space="preserve">addition to the prepared materials for </w:t>
            </w:r>
            <w:r w:rsidR="00E23157">
              <w:rPr>
                <w:bCs/>
                <w:sz w:val="20"/>
              </w:rPr>
              <w:t xml:space="preserve">“teshti Te3ref </w:t>
            </w:r>
            <w:r w:rsidR="00E23157">
              <w:rPr>
                <w:bCs/>
                <w:sz w:val="20"/>
              </w:rPr>
              <w:lastRenderedPageBreak/>
              <w:t>Campaign”</w:t>
            </w:r>
            <w:r w:rsidR="00B01C70">
              <w:rPr>
                <w:bCs/>
                <w:sz w:val="20"/>
              </w:rPr>
              <w:t>,</w:t>
            </w:r>
            <w:r w:rsidR="00E23157">
              <w:rPr>
                <w:bCs/>
                <w:sz w:val="20"/>
              </w:rPr>
              <w:t xml:space="preserve"> which was interrupted earlier after it was launched. The national TV stations working outside Sana’a continu</w:t>
            </w:r>
            <w:r w:rsidR="000B3C91">
              <w:rPr>
                <w:bCs/>
                <w:sz w:val="20"/>
              </w:rPr>
              <w:t>ed to broadcast the TV flashes of “</w:t>
            </w:r>
            <w:r w:rsidR="00E675D8">
              <w:rPr>
                <w:bCs/>
                <w:sz w:val="20"/>
              </w:rPr>
              <w:t>Public consultation campaign</w:t>
            </w:r>
            <w:r w:rsidR="000B3C91">
              <w:rPr>
                <w:bCs/>
                <w:sz w:val="20"/>
              </w:rPr>
              <w:t>”</w:t>
            </w:r>
            <w:r w:rsidR="00231EE8">
              <w:rPr>
                <w:bCs/>
                <w:sz w:val="20"/>
              </w:rPr>
              <w:t xml:space="preserve"> </w:t>
            </w:r>
            <w:r w:rsidR="000B3C91">
              <w:rPr>
                <w:bCs/>
                <w:sz w:val="20"/>
              </w:rPr>
              <w:t xml:space="preserve">which was launched in 2014. </w:t>
            </w:r>
          </w:p>
          <w:p w14:paraId="41EF4FAE" w14:textId="77777777" w:rsidR="00522A87" w:rsidRDefault="00522A87" w:rsidP="00950E13">
            <w:pPr>
              <w:jc w:val="both"/>
              <w:rPr>
                <w:bCs/>
                <w:sz w:val="20"/>
              </w:rPr>
            </w:pPr>
          </w:p>
          <w:p w14:paraId="6765330B" w14:textId="3CEAB709" w:rsidR="00233819" w:rsidRPr="00B531FB" w:rsidRDefault="00CA25E3" w:rsidP="004E78A1">
            <w:pPr>
              <w:jc w:val="both"/>
              <w:rPr>
                <w:bCs/>
                <w:sz w:val="20"/>
                <w:lang w:val="en-US"/>
              </w:rPr>
            </w:pPr>
            <w:r w:rsidRPr="00721711">
              <w:rPr>
                <w:bCs/>
                <w:sz w:val="20"/>
              </w:rPr>
              <w:t>In February 2015, UNICEF received USD 250,000 from the Yemen National Dialogue and Constitutional Reform Trust Fund (YNDCRTF)</w:t>
            </w:r>
            <w:r w:rsidRPr="00CA25E3">
              <w:rPr>
                <w:bCs/>
                <w:sz w:val="20"/>
              </w:rPr>
              <w:t xml:space="preserve"> to conduct community outreach around the NDC outcomes and the new constitution making in over 60 districts of Yemen.</w:t>
            </w:r>
            <w:r>
              <w:rPr>
                <w:bCs/>
                <w:sz w:val="20"/>
              </w:rPr>
              <w:t xml:space="preserve"> </w:t>
            </w:r>
            <w:r w:rsidRPr="00CA25E3">
              <w:rPr>
                <w:bCs/>
                <w:sz w:val="20"/>
              </w:rPr>
              <w:t>However, following consultations and based on donor partner’s decision amidst growing tension in Yemen, UNICEF considerably scaled down implementation of the community out</w:t>
            </w:r>
            <w:r w:rsidR="00522A87">
              <w:rPr>
                <w:bCs/>
                <w:sz w:val="20"/>
              </w:rPr>
              <w:t>reach programme in March 2015</w:t>
            </w:r>
            <w:r w:rsidRPr="00CA25E3">
              <w:rPr>
                <w:bCs/>
                <w:sz w:val="20"/>
              </w:rPr>
              <w:t xml:space="preserve">. </w:t>
            </w:r>
          </w:p>
        </w:tc>
      </w:tr>
    </w:tbl>
    <w:p w14:paraId="50C6F0EE" w14:textId="1C546A87" w:rsidR="00017C7F" w:rsidRPr="00556465" w:rsidRDefault="00817B1D" w:rsidP="00F45AA3">
      <w:pPr>
        <w:pStyle w:val="FootnoteText"/>
        <w:rPr>
          <w:sz w:val="20"/>
        </w:rPr>
      </w:pPr>
      <w:r w:rsidRPr="00556465">
        <w:rPr>
          <w:i/>
          <w:iCs/>
          <w:sz w:val="16"/>
          <w:szCs w:val="16"/>
        </w:rPr>
        <w:lastRenderedPageBreak/>
        <w:t xml:space="preserve"> The term “project” is used for projects and joint programmes</w:t>
      </w:r>
    </w:p>
    <w:sectPr w:rsidR="00017C7F" w:rsidRPr="00556465" w:rsidSect="00186519">
      <w:headerReference w:type="even" r:id="rId11"/>
      <w:headerReference w:type="default" r:id="rId12"/>
      <w:headerReference w:type="first" r:id="rId13"/>
      <w:pgSz w:w="12240" w:h="15840"/>
      <w:pgMar w:top="540" w:right="1800" w:bottom="2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9EC22" w14:textId="77777777" w:rsidR="007B12EC" w:rsidRDefault="007B12EC" w:rsidP="00BC3299">
      <w:r>
        <w:separator/>
      </w:r>
    </w:p>
  </w:endnote>
  <w:endnote w:type="continuationSeparator" w:id="0">
    <w:p w14:paraId="532E818F" w14:textId="77777777" w:rsidR="007B12EC" w:rsidRDefault="007B12EC" w:rsidP="00BC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B248D" w14:textId="77777777" w:rsidR="007B12EC" w:rsidRDefault="007B12EC" w:rsidP="00BC3299">
      <w:r>
        <w:separator/>
      </w:r>
    </w:p>
  </w:footnote>
  <w:footnote w:type="continuationSeparator" w:id="0">
    <w:p w14:paraId="48AE25C6" w14:textId="77777777" w:rsidR="007B12EC" w:rsidRDefault="007B12EC" w:rsidP="00BC3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438FE" w14:textId="387D6A13" w:rsidR="00E85EAD" w:rsidRDefault="00E85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99754" w14:textId="3E5B3AA9" w:rsidR="00E85EAD" w:rsidRDefault="00E85E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2F11A" w14:textId="64C6C4EB" w:rsidR="00E85EAD" w:rsidRDefault="00E85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2C4"/>
    <w:multiLevelType w:val="hybridMultilevel"/>
    <w:tmpl w:val="0E3EC6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F326F9"/>
    <w:multiLevelType w:val="multilevel"/>
    <w:tmpl w:val="BD8C5DA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15:restartNumberingAfterBreak="0">
    <w:nsid w:val="0E2836F0"/>
    <w:multiLevelType w:val="multilevel"/>
    <w:tmpl w:val="D238420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262A529B"/>
    <w:multiLevelType w:val="multilevel"/>
    <w:tmpl w:val="A80A2AF8"/>
    <w:lvl w:ilvl="0">
      <w:start w:val="1"/>
      <w:numFmt w:val="decimal"/>
      <w:lvlText w:val="%1"/>
      <w:lvlJc w:val="left"/>
      <w:pPr>
        <w:ind w:left="360" w:hanging="360"/>
      </w:pPr>
      <w:rPr>
        <w:rFonts w:hint="default"/>
        <w:b w:val="0"/>
        <w:color w:val="auto"/>
        <w:sz w:val="20"/>
      </w:rPr>
    </w:lvl>
    <w:lvl w:ilvl="1">
      <w:start w:val="1"/>
      <w:numFmt w:val="decimal"/>
      <w:lvlText w:val="%1.%2"/>
      <w:lvlJc w:val="left"/>
      <w:pPr>
        <w:ind w:left="360" w:hanging="360"/>
      </w:pPr>
      <w:rPr>
        <w:rFonts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b w:val="0"/>
        <w:color w:val="auto"/>
        <w:sz w:val="20"/>
      </w:rPr>
    </w:lvl>
    <w:lvl w:ilvl="4">
      <w:start w:val="1"/>
      <w:numFmt w:val="decimal"/>
      <w:lvlText w:val="%1.%2.%3.%4.%5"/>
      <w:lvlJc w:val="left"/>
      <w:pPr>
        <w:ind w:left="1080" w:hanging="1080"/>
      </w:pPr>
      <w:rPr>
        <w:rFonts w:hint="default"/>
        <w:b w:val="0"/>
        <w:color w:val="auto"/>
        <w:sz w:val="20"/>
      </w:rPr>
    </w:lvl>
    <w:lvl w:ilvl="5">
      <w:start w:val="1"/>
      <w:numFmt w:val="decimal"/>
      <w:lvlText w:val="%1.%2.%3.%4.%5.%6"/>
      <w:lvlJc w:val="left"/>
      <w:pPr>
        <w:ind w:left="1080" w:hanging="1080"/>
      </w:pPr>
      <w:rPr>
        <w:rFonts w:hint="default"/>
        <w:b w:val="0"/>
        <w:color w:val="auto"/>
        <w:sz w:val="20"/>
      </w:rPr>
    </w:lvl>
    <w:lvl w:ilvl="6">
      <w:start w:val="1"/>
      <w:numFmt w:val="decimal"/>
      <w:lvlText w:val="%1.%2.%3.%4.%5.%6.%7"/>
      <w:lvlJc w:val="left"/>
      <w:pPr>
        <w:ind w:left="1440" w:hanging="1440"/>
      </w:pPr>
      <w:rPr>
        <w:rFonts w:hint="default"/>
        <w:b w:val="0"/>
        <w:color w:val="auto"/>
        <w:sz w:val="20"/>
      </w:rPr>
    </w:lvl>
    <w:lvl w:ilvl="7">
      <w:start w:val="1"/>
      <w:numFmt w:val="decimal"/>
      <w:lvlText w:val="%1.%2.%3.%4.%5.%6.%7.%8"/>
      <w:lvlJc w:val="left"/>
      <w:pPr>
        <w:ind w:left="1440" w:hanging="1440"/>
      </w:pPr>
      <w:rPr>
        <w:rFonts w:hint="default"/>
        <w:b w:val="0"/>
        <w:color w:val="auto"/>
        <w:sz w:val="20"/>
      </w:rPr>
    </w:lvl>
    <w:lvl w:ilvl="8">
      <w:start w:val="1"/>
      <w:numFmt w:val="decimal"/>
      <w:lvlText w:val="%1.%2.%3.%4.%5.%6.%7.%8.%9"/>
      <w:lvlJc w:val="left"/>
      <w:pPr>
        <w:ind w:left="1800" w:hanging="1800"/>
      </w:pPr>
      <w:rPr>
        <w:rFonts w:hint="default"/>
        <w:b w:val="0"/>
        <w:color w:val="auto"/>
        <w:sz w:val="20"/>
      </w:rPr>
    </w:lvl>
  </w:abstractNum>
  <w:abstractNum w:abstractNumId="4" w15:restartNumberingAfterBreak="0">
    <w:nsid w:val="2A4A083F"/>
    <w:multiLevelType w:val="multilevel"/>
    <w:tmpl w:val="F43667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F1554DC"/>
    <w:multiLevelType w:val="hybridMultilevel"/>
    <w:tmpl w:val="7F44B8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6751B9"/>
    <w:multiLevelType w:val="hybridMultilevel"/>
    <w:tmpl w:val="FAC603CE"/>
    <w:lvl w:ilvl="0" w:tplc="74B00A50">
      <w:start w:val="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6E3B69"/>
    <w:multiLevelType w:val="hybridMultilevel"/>
    <w:tmpl w:val="60201F92"/>
    <w:lvl w:ilvl="0" w:tplc="4E4C42F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F04E6E"/>
    <w:multiLevelType w:val="hybridMultilevel"/>
    <w:tmpl w:val="0AF266DE"/>
    <w:lvl w:ilvl="0" w:tplc="DBE0DB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5C75D3"/>
    <w:multiLevelType w:val="hybridMultilevel"/>
    <w:tmpl w:val="DA9C4380"/>
    <w:lvl w:ilvl="0" w:tplc="FB1621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5"/>
  </w:num>
  <w:num w:numId="4">
    <w:abstractNumId w:val="0"/>
  </w:num>
  <w:num w:numId="5">
    <w:abstractNumId w:val="2"/>
  </w:num>
  <w:num w:numId="6">
    <w:abstractNumId w:val="7"/>
  </w:num>
  <w:num w:numId="7">
    <w:abstractNumId w:val="1"/>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39"/>
    <w:rsid w:val="000013E6"/>
    <w:rsid w:val="0000413A"/>
    <w:rsid w:val="0000758C"/>
    <w:rsid w:val="000109AC"/>
    <w:rsid w:val="00011BB6"/>
    <w:rsid w:val="00015AEF"/>
    <w:rsid w:val="00017C7F"/>
    <w:rsid w:val="0002404E"/>
    <w:rsid w:val="00024FFD"/>
    <w:rsid w:val="000254C8"/>
    <w:rsid w:val="00030BF7"/>
    <w:rsid w:val="0003313C"/>
    <w:rsid w:val="000368F2"/>
    <w:rsid w:val="00036D8D"/>
    <w:rsid w:val="000407D4"/>
    <w:rsid w:val="000421CB"/>
    <w:rsid w:val="00046BBD"/>
    <w:rsid w:val="0004718A"/>
    <w:rsid w:val="00047741"/>
    <w:rsid w:val="000529F3"/>
    <w:rsid w:val="00054DF1"/>
    <w:rsid w:val="00057D07"/>
    <w:rsid w:val="000642B5"/>
    <w:rsid w:val="00065B24"/>
    <w:rsid w:val="00072E73"/>
    <w:rsid w:val="000749E1"/>
    <w:rsid w:val="000753F9"/>
    <w:rsid w:val="00075551"/>
    <w:rsid w:val="00077BBA"/>
    <w:rsid w:val="00083662"/>
    <w:rsid w:val="000923B2"/>
    <w:rsid w:val="000926DA"/>
    <w:rsid w:val="00092EF9"/>
    <w:rsid w:val="00093FA0"/>
    <w:rsid w:val="00094401"/>
    <w:rsid w:val="0009598B"/>
    <w:rsid w:val="00097727"/>
    <w:rsid w:val="000A085C"/>
    <w:rsid w:val="000A2D21"/>
    <w:rsid w:val="000A3A09"/>
    <w:rsid w:val="000A6EBB"/>
    <w:rsid w:val="000B2262"/>
    <w:rsid w:val="000B3C91"/>
    <w:rsid w:val="000B7814"/>
    <w:rsid w:val="000C4DB1"/>
    <w:rsid w:val="000D3DD2"/>
    <w:rsid w:val="000D3FCB"/>
    <w:rsid w:val="000D54A2"/>
    <w:rsid w:val="000E037F"/>
    <w:rsid w:val="000E3861"/>
    <w:rsid w:val="000E3B08"/>
    <w:rsid w:val="000E3DD5"/>
    <w:rsid w:val="000E5B79"/>
    <w:rsid w:val="000E7259"/>
    <w:rsid w:val="000F4044"/>
    <w:rsid w:val="000F7C67"/>
    <w:rsid w:val="00100B15"/>
    <w:rsid w:val="001018B1"/>
    <w:rsid w:val="00107C81"/>
    <w:rsid w:val="0012025C"/>
    <w:rsid w:val="001207D4"/>
    <w:rsid w:val="00121A08"/>
    <w:rsid w:val="001254B2"/>
    <w:rsid w:val="0012594B"/>
    <w:rsid w:val="00133C48"/>
    <w:rsid w:val="00143554"/>
    <w:rsid w:val="001539AB"/>
    <w:rsid w:val="00153A65"/>
    <w:rsid w:val="00153F98"/>
    <w:rsid w:val="00155885"/>
    <w:rsid w:val="00174D89"/>
    <w:rsid w:val="00175020"/>
    <w:rsid w:val="00175EB5"/>
    <w:rsid w:val="00176F42"/>
    <w:rsid w:val="001843B1"/>
    <w:rsid w:val="00186519"/>
    <w:rsid w:val="0018725A"/>
    <w:rsid w:val="0018772E"/>
    <w:rsid w:val="00191B76"/>
    <w:rsid w:val="0019280B"/>
    <w:rsid w:val="00192A4D"/>
    <w:rsid w:val="00194AF8"/>
    <w:rsid w:val="00196538"/>
    <w:rsid w:val="001A025E"/>
    <w:rsid w:val="001A26C7"/>
    <w:rsid w:val="001A5525"/>
    <w:rsid w:val="001C0DE9"/>
    <w:rsid w:val="001C6CD3"/>
    <w:rsid w:val="001D5252"/>
    <w:rsid w:val="001F33DF"/>
    <w:rsid w:val="00204D54"/>
    <w:rsid w:val="002069D5"/>
    <w:rsid w:val="002129AD"/>
    <w:rsid w:val="0021317B"/>
    <w:rsid w:val="00216E9B"/>
    <w:rsid w:val="00220297"/>
    <w:rsid w:val="00223807"/>
    <w:rsid w:val="002240C8"/>
    <w:rsid w:val="00231719"/>
    <w:rsid w:val="00231EE8"/>
    <w:rsid w:val="00233819"/>
    <w:rsid w:val="00241CCA"/>
    <w:rsid w:val="002422DC"/>
    <w:rsid w:val="0025005C"/>
    <w:rsid w:val="00254F93"/>
    <w:rsid w:val="00261554"/>
    <w:rsid w:val="00263E3A"/>
    <w:rsid w:val="00265A96"/>
    <w:rsid w:val="002661B5"/>
    <w:rsid w:val="002753D4"/>
    <w:rsid w:val="002756A8"/>
    <w:rsid w:val="00276518"/>
    <w:rsid w:val="002805B2"/>
    <w:rsid w:val="002806BA"/>
    <w:rsid w:val="002837A8"/>
    <w:rsid w:val="00284AB7"/>
    <w:rsid w:val="002853C4"/>
    <w:rsid w:val="00291695"/>
    <w:rsid w:val="00291BAD"/>
    <w:rsid w:val="00295C11"/>
    <w:rsid w:val="00297F0C"/>
    <w:rsid w:val="002A0AE6"/>
    <w:rsid w:val="002A6994"/>
    <w:rsid w:val="002B7D47"/>
    <w:rsid w:val="002C129E"/>
    <w:rsid w:val="002C1B66"/>
    <w:rsid w:val="002C34E0"/>
    <w:rsid w:val="002C3AE5"/>
    <w:rsid w:val="002C4868"/>
    <w:rsid w:val="002C5385"/>
    <w:rsid w:val="002D1CC2"/>
    <w:rsid w:val="002D38AE"/>
    <w:rsid w:val="002D4DC6"/>
    <w:rsid w:val="002D73EB"/>
    <w:rsid w:val="002F04FB"/>
    <w:rsid w:val="002F3B75"/>
    <w:rsid w:val="002F54B3"/>
    <w:rsid w:val="002F7906"/>
    <w:rsid w:val="0030572F"/>
    <w:rsid w:val="00311CF7"/>
    <w:rsid w:val="0031326D"/>
    <w:rsid w:val="00313531"/>
    <w:rsid w:val="00315BD3"/>
    <w:rsid w:val="00316C1E"/>
    <w:rsid w:val="0031745E"/>
    <w:rsid w:val="00317DC7"/>
    <w:rsid w:val="00322C45"/>
    <w:rsid w:val="003244BA"/>
    <w:rsid w:val="00336E00"/>
    <w:rsid w:val="00342F49"/>
    <w:rsid w:val="00343291"/>
    <w:rsid w:val="00344310"/>
    <w:rsid w:val="00351EC2"/>
    <w:rsid w:val="00352BD5"/>
    <w:rsid w:val="00352FE4"/>
    <w:rsid w:val="00353126"/>
    <w:rsid w:val="003541AC"/>
    <w:rsid w:val="003570E9"/>
    <w:rsid w:val="00361312"/>
    <w:rsid w:val="003635BC"/>
    <w:rsid w:val="0036715E"/>
    <w:rsid w:val="00374B38"/>
    <w:rsid w:val="003812A7"/>
    <w:rsid w:val="003839B5"/>
    <w:rsid w:val="003926B2"/>
    <w:rsid w:val="00393DAB"/>
    <w:rsid w:val="003962AC"/>
    <w:rsid w:val="003A36AD"/>
    <w:rsid w:val="003B4DA1"/>
    <w:rsid w:val="003B5F02"/>
    <w:rsid w:val="003C3ACA"/>
    <w:rsid w:val="003C5084"/>
    <w:rsid w:val="003D64DB"/>
    <w:rsid w:val="003D6DAC"/>
    <w:rsid w:val="003E2FA0"/>
    <w:rsid w:val="003E53A9"/>
    <w:rsid w:val="003E7EAA"/>
    <w:rsid w:val="003F4574"/>
    <w:rsid w:val="003F6364"/>
    <w:rsid w:val="003F6787"/>
    <w:rsid w:val="00400FDD"/>
    <w:rsid w:val="00403176"/>
    <w:rsid w:val="004035A8"/>
    <w:rsid w:val="0040734C"/>
    <w:rsid w:val="00411563"/>
    <w:rsid w:val="00417459"/>
    <w:rsid w:val="0042209C"/>
    <w:rsid w:val="00422282"/>
    <w:rsid w:val="00437F75"/>
    <w:rsid w:val="004401BE"/>
    <w:rsid w:val="004431C8"/>
    <w:rsid w:val="00453DC2"/>
    <w:rsid w:val="00454139"/>
    <w:rsid w:val="0045663F"/>
    <w:rsid w:val="00457FD6"/>
    <w:rsid w:val="00463796"/>
    <w:rsid w:val="00465051"/>
    <w:rsid w:val="0046600C"/>
    <w:rsid w:val="00471046"/>
    <w:rsid w:val="00472C74"/>
    <w:rsid w:val="00496FC4"/>
    <w:rsid w:val="00497371"/>
    <w:rsid w:val="004A384B"/>
    <w:rsid w:val="004A53C6"/>
    <w:rsid w:val="004B04B8"/>
    <w:rsid w:val="004B45DA"/>
    <w:rsid w:val="004B470C"/>
    <w:rsid w:val="004B4848"/>
    <w:rsid w:val="004B60E4"/>
    <w:rsid w:val="004B6C2E"/>
    <w:rsid w:val="004D0F1F"/>
    <w:rsid w:val="004D1769"/>
    <w:rsid w:val="004D25F2"/>
    <w:rsid w:val="004D37DF"/>
    <w:rsid w:val="004D4C12"/>
    <w:rsid w:val="004E0828"/>
    <w:rsid w:val="004E2925"/>
    <w:rsid w:val="004E30E5"/>
    <w:rsid w:val="004E379B"/>
    <w:rsid w:val="004E58A2"/>
    <w:rsid w:val="004E78A1"/>
    <w:rsid w:val="004E7E57"/>
    <w:rsid w:val="004F1EA3"/>
    <w:rsid w:val="004F2981"/>
    <w:rsid w:val="004F2BAF"/>
    <w:rsid w:val="004F39B8"/>
    <w:rsid w:val="004F519E"/>
    <w:rsid w:val="004F5A70"/>
    <w:rsid w:val="004F6F7F"/>
    <w:rsid w:val="005015FD"/>
    <w:rsid w:val="005103E5"/>
    <w:rsid w:val="00514D76"/>
    <w:rsid w:val="00522A87"/>
    <w:rsid w:val="0052494A"/>
    <w:rsid w:val="005249FC"/>
    <w:rsid w:val="0053014C"/>
    <w:rsid w:val="00535A9B"/>
    <w:rsid w:val="00537D96"/>
    <w:rsid w:val="00541DB9"/>
    <w:rsid w:val="005450DB"/>
    <w:rsid w:val="00545E28"/>
    <w:rsid w:val="0055033C"/>
    <w:rsid w:val="00554816"/>
    <w:rsid w:val="00556465"/>
    <w:rsid w:val="00560F3A"/>
    <w:rsid w:val="00563233"/>
    <w:rsid w:val="00563D01"/>
    <w:rsid w:val="00565A53"/>
    <w:rsid w:val="00565BBE"/>
    <w:rsid w:val="005809F0"/>
    <w:rsid w:val="00581584"/>
    <w:rsid w:val="00582D94"/>
    <w:rsid w:val="005838B7"/>
    <w:rsid w:val="005863CE"/>
    <w:rsid w:val="00593F21"/>
    <w:rsid w:val="00595397"/>
    <w:rsid w:val="00596657"/>
    <w:rsid w:val="005A07E3"/>
    <w:rsid w:val="005A6344"/>
    <w:rsid w:val="005A7BD5"/>
    <w:rsid w:val="005B13A3"/>
    <w:rsid w:val="005B40FC"/>
    <w:rsid w:val="005C4C44"/>
    <w:rsid w:val="005C666A"/>
    <w:rsid w:val="005C6961"/>
    <w:rsid w:val="005D0964"/>
    <w:rsid w:val="005D0F1F"/>
    <w:rsid w:val="005D205B"/>
    <w:rsid w:val="005D4FA2"/>
    <w:rsid w:val="005E38DC"/>
    <w:rsid w:val="005E7127"/>
    <w:rsid w:val="005F38AF"/>
    <w:rsid w:val="0061335F"/>
    <w:rsid w:val="0062048D"/>
    <w:rsid w:val="00623F21"/>
    <w:rsid w:val="00625A61"/>
    <w:rsid w:val="006318C0"/>
    <w:rsid w:val="006337B3"/>
    <w:rsid w:val="00635010"/>
    <w:rsid w:val="006424A1"/>
    <w:rsid w:val="00645A29"/>
    <w:rsid w:val="00650173"/>
    <w:rsid w:val="00656325"/>
    <w:rsid w:val="00656846"/>
    <w:rsid w:val="00657745"/>
    <w:rsid w:val="0066111D"/>
    <w:rsid w:val="006613B7"/>
    <w:rsid w:val="00662518"/>
    <w:rsid w:val="00662B50"/>
    <w:rsid w:val="00666573"/>
    <w:rsid w:val="00667B62"/>
    <w:rsid w:val="00671961"/>
    <w:rsid w:val="006728BE"/>
    <w:rsid w:val="00673959"/>
    <w:rsid w:val="006747B6"/>
    <w:rsid w:val="006760F0"/>
    <w:rsid w:val="00677255"/>
    <w:rsid w:val="00684E44"/>
    <w:rsid w:val="0068559A"/>
    <w:rsid w:val="00690BEC"/>
    <w:rsid w:val="00691E23"/>
    <w:rsid w:val="006A0BD3"/>
    <w:rsid w:val="006A2C47"/>
    <w:rsid w:val="006A3D67"/>
    <w:rsid w:val="006A69AD"/>
    <w:rsid w:val="006B079A"/>
    <w:rsid w:val="006B1D1E"/>
    <w:rsid w:val="006B67AD"/>
    <w:rsid w:val="006C1C43"/>
    <w:rsid w:val="006C3055"/>
    <w:rsid w:val="006C429D"/>
    <w:rsid w:val="006D0894"/>
    <w:rsid w:val="006D2F69"/>
    <w:rsid w:val="006D3DA9"/>
    <w:rsid w:val="006D6608"/>
    <w:rsid w:val="006E3374"/>
    <w:rsid w:val="006E5C21"/>
    <w:rsid w:val="006E67F2"/>
    <w:rsid w:val="006F0E1E"/>
    <w:rsid w:val="006F1446"/>
    <w:rsid w:val="006F5970"/>
    <w:rsid w:val="00721711"/>
    <w:rsid w:val="00721C9B"/>
    <w:rsid w:val="007225CF"/>
    <w:rsid w:val="00725039"/>
    <w:rsid w:val="00726811"/>
    <w:rsid w:val="00732458"/>
    <w:rsid w:val="00736F80"/>
    <w:rsid w:val="0073760A"/>
    <w:rsid w:val="00737BB4"/>
    <w:rsid w:val="00745383"/>
    <w:rsid w:val="00746BAD"/>
    <w:rsid w:val="007473DF"/>
    <w:rsid w:val="00750F98"/>
    <w:rsid w:val="007568EC"/>
    <w:rsid w:val="00760CCB"/>
    <w:rsid w:val="007610A5"/>
    <w:rsid w:val="007730FF"/>
    <w:rsid w:val="007778B6"/>
    <w:rsid w:val="00786B74"/>
    <w:rsid w:val="00787012"/>
    <w:rsid w:val="00792743"/>
    <w:rsid w:val="00794D20"/>
    <w:rsid w:val="007A13BA"/>
    <w:rsid w:val="007A4A00"/>
    <w:rsid w:val="007B12EC"/>
    <w:rsid w:val="007B32FD"/>
    <w:rsid w:val="007B7FA3"/>
    <w:rsid w:val="007C07C2"/>
    <w:rsid w:val="007D2932"/>
    <w:rsid w:val="007D54EF"/>
    <w:rsid w:val="007D5A3D"/>
    <w:rsid w:val="007D742E"/>
    <w:rsid w:val="007E3A6F"/>
    <w:rsid w:val="007F2D0A"/>
    <w:rsid w:val="0080176D"/>
    <w:rsid w:val="008029D3"/>
    <w:rsid w:val="00805EC0"/>
    <w:rsid w:val="008071EC"/>
    <w:rsid w:val="008103BC"/>
    <w:rsid w:val="008147FE"/>
    <w:rsid w:val="00817B1D"/>
    <w:rsid w:val="00817E82"/>
    <w:rsid w:val="00824F2D"/>
    <w:rsid w:val="008251D1"/>
    <w:rsid w:val="0083354A"/>
    <w:rsid w:val="00833A39"/>
    <w:rsid w:val="00835C7D"/>
    <w:rsid w:val="008410C7"/>
    <w:rsid w:val="00850B83"/>
    <w:rsid w:val="00854F8A"/>
    <w:rsid w:val="008571F2"/>
    <w:rsid w:val="00862E04"/>
    <w:rsid w:val="0086494E"/>
    <w:rsid w:val="00865BB7"/>
    <w:rsid w:val="00866EA5"/>
    <w:rsid w:val="00870019"/>
    <w:rsid w:val="00870A1C"/>
    <w:rsid w:val="008747A5"/>
    <w:rsid w:val="00881C3C"/>
    <w:rsid w:val="008858AD"/>
    <w:rsid w:val="008876C3"/>
    <w:rsid w:val="008877E0"/>
    <w:rsid w:val="00890ABE"/>
    <w:rsid w:val="008A6068"/>
    <w:rsid w:val="008B752A"/>
    <w:rsid w:val="008B7C55"/>
    <w:rsid w:val="008B7E51"/>
    <w:rsid w:val="008D0F14"/>
    <w:rsid w:val="008D20B0"/>
    <w:rsid w:val="008E5A1D"/>
    <w:rsid w:val="008E7B9F"/>
    <w:rsid w:val="008E7D8F"/>
    <w:rsid w:val="008F5851"/>
    <w:rsid w:val="00902546"/>
    <w:rsid w:val="00903DDB"/>
    <w:rsid w:val="009066A1"/>
    <w:rsid w:val="00910592"/>
    <w:rsid w:val="00911E71"/>
    <w:rsid w:val="009236BE"/>
    <w:rsid w:val="00936514"/>
    <w:rsid w:val="00936674"/>
    <w:rsid w:val="00937C1E"/>
    <w:rsid w:val="00944915"/>
    <w:rsid w:val="009456EC"/>
    <w:rsid w:val="00950E13"/>
    <w:rsid w:val="009529A9"/>
    <w:rsid w:val="00952DB7"/>
    <w:rsid w:val="009574C9"/>
    <w:rsid w:val="00961236"/>
    <w:rsid w:val="00961858"/>
    <w:rsid w:val="009628F7"/>
    <w:rsid w:val="00965D47"/>
    <w:rsid w:val="00974600"/>
    <w:rsid w:val="00977A96"/>
    <w:rsid w:val="0098040A"/>
    <w:rsid w:val="009853A6"/>
    <w:rsid w:val="00986C24"/>
    <w:rsid w:val="00994784"/>
    <w:rsid w:val="009A26C4"/>
    <w:rsid w:val="009A32A1"/>
    <w:rsid w:val="009A6BFC"/>
    <w:rsid w:val="009B50B8"/>
    <w:rsid w:val="009B7DAC"/>
    <w:rsid w:val="009C0234"/>
    <w:rsid w:val="009C0D8A"/>
    <w:rsid w:val="009C1019"/>
    <w:rsid w:val="009C319F"/>
    <w:rsid w:val="009C4F8B"/>
    <w:rsid w:val="009C5B69"/>
    <w:rsid w:val="009C6A47"/>
    <w:rsid w:val="009D0458"/>
    <w:rsid w:val="009D1217"/>
    <w:rsid w:val="009D2FCD"/>
    <w:rsid w:val="009D3A9A"/>
    <w:rsid w:val="009D3CF1"/>
    <w:rsid w:val="009D4B5F"/>
    <w:rsid w:val="009D76B1"/>
    <w:rsid w:val="009D7718"/>
    <w:rsid w:val="009E3546"/>
    <w:rsid w:val="009F2AAE"/>
    <w:rsid w:val="009F3893"/>
    <w:rsid w:val="009F6319"/>
    <w:rsid w:val="00A01EA4"/>
    <w:rsid w:val="00A20701"/>
    <w:rsid w:val="00A2140A"/>
    <w:rsid w:val="00A232EE"/>
    <w:rsid w:val="00A34BB0"/>
    <w:rsid w:val="00A42ED1"/>
    <w:rsid w:val="00A46E42"/>
    <w:rsid w:val="00A5019A"/>
    <w:rsid w:val="00A50545"/>
    <w:rsid w:val="00A52658"/>
    <w:rsid w:val="00A56F7C"/>
    <w:rsid w:val="00A57C2E"/>
    <w:rsid w:val="00A60299"/>
    <w:rsid w:val="00A60330"/>
    <w:rsid w:val="00A60A60"/>
    <w:rsid w:val="00A62043"/>
    <w:rsid w:val="00A62E43"/>
    <w:rsid w:val="00A62F29"/>
    <w:rsid w:val="00A67EF8"/>
    <w:rsid w:val="00A81492"/>
    <w:rsid w:val="00A82129"/>
    <w:rsid w:val="00A82A97"/>
    <w:rsid w:val="00A8337D"/>
    <w:rsid w:val="00A84C52"/>
    <w:rsid w:val="00A9538F"/>
    <w:rsid w:val="00AC1585"/>
    <w:rsid w:val="00AC3A22"/>
    <w:rsid w:val="00AC677D"/>
    <w:rsid w:val="00AD66FF"/>
    <w:rsid w:val="00AE2E65"/>
    <w:rsid w:val="00AE703A"/>
    <w:rsid w:val="00B0101E"/>
    <w:rsid w:val="00B01C70"/>
    <w:rsid w:val="00B0469E"/>
    <w:rsid w:val="00B05514"/>
    <w:rsid w:val="00B136AE"/>
    <w:rsid w:val="00B15402"/>
    <w:rsid w:val="00B15588"/>
    <w:rsid w:val="00B1787B"/>
    <w:rsid w:val="00B17B0A"/>
    <w:rsid w:val="00B20F22"/>
    <w:rsid w:val="00B2115A"/>
    <w:rsid w:val="00B24D2F"/>
    <w:rsid w:val="00B4305C"/>
    <w:rsid w:val="00B430BA"/>
    <w:rsid w:val="00B44B89"/>
    <w:rsid w:val="00B45893"/>
    <w:rsid w:val="00B479C3"/>
    <w:rsid w:val="00B51DE5"/>
    <w:rsid w:val="00B52916"/>
    <w:rsid w:val="00B53151"/>
    <w:rsid w:val="00B531FB"/>
    <w:rsid w:val="00B56F9F"/>
    <w:rsid w:val="00B57F0D"/>
    <w:rsid w:val="00B613FF"/>
    <w:rsid w:val="00B63696"/>
    <w:rsid w:val="00B6510D"/>
    <w:rsid w:val="00B67936"/>
    <w:rsid w:val="00B71960"/>
    <w:rsid w:val="00B72845"/>
    <w:rsid w:val="00B774DE"/>
    <w:rsid w:val="00B822E6"/>
    <w:rsid w:val="00B83470"/>
    <w:rsid w:val="00B91394"/>
    <w:rsid w:val="00B9567C"/>
    <w:rsid w:val="00BB01DF"/>
    <w:rsid w:val="00BB49D9"/>
    <w:rsid w:val="00BB59DF"/>
    <w:rsid w:val="00BB7383"/>
    <w:rsid w:val="00BC22D0"/>
    <w:rsid w:val="00BC3299"/>
    <w:rsid w:val="00BC34EF"/>
    <w:rsid w:val="00BC406D"/>
    <w:rsid w:val="00BC57BD"/>
    <w:rsid w:val="00BC5CD9"/>
    <w:rsid w:val="00BC79E4"/>
    <w:rsid w:val="00BD76C4"/>
    <w:rsid w:val="00BE113F"/>
    <w:rsid w:val="00BE432B"/>
    <w:rsid w:val="00BE6454"/>
    <w:rsid w:val="00BF0834"/>
    <w:rsid w:val="00BF205F"/>
    <w:rsid w:val="00BF2959"/>
    <w:rsid w:val="00BF4707"/>
    <w:rsid w:val="00BF6B1F"/>
    <w:rsid w:val="00C00557"/>
    <w:rsid w:val="00C01F79"/>
    <w:rsid w:val="00C02569"/>
    <w:rsid w:val="00C0478F"/>
    <w:rsid w:val="00C071E8"/>
    <w:rsid w:val="00C07652"/>
    <w:rsid w:val="00C1115E"/>
    <w:rsid w:val="00C20097"/>
    <w:rsid w:val="00C21B8D"/>
    <w:rsid w:val="00C27222"/>
    <w:rsid w:val="00C34C0B"/>
    <w:rsid w:val="00C403B7"/>
    <w:rsid w:val="00C42327"/>
    <w:rsid w:val="00C45B2D"/>
    <w:rsid w:val="00C478D9"/>
    <w:rsid w:val="00C51323"/>
    <w:rsid w:val="00C5292B"/>
    <w:rsid w:val="00C534B7"/>
    <w:rsid w:val="00C55E7A"/>
    <w:rsid w:val="00C63C37"/>
    <w:rsid w:val="00C67BA4"/>
    <w:rsid w:val="00C81F35"/>
    <w:rsid w:val="00C82AB8"/>
    <w:rsid w:val="00C87AC0"/>
    <w:rsid w:val="00C927B8"/>
    <w:rsid w:val="00C94423"/>
    <w:rsid w:val="00C953A8"/>
    <w:rsid w:val="00CA25E3"/>
    <w:rsid w:val="00CA520B"/>
    <w:rsid w:val="00CB24CD"/>
    <w:rsid w:val="00CB56C5"/>
    <w:rsid w:val="00CC24D5"/>
    <w:rsid w:val="00CC458E"/>
    <w:rsid w:val="00CC76C2"/>
    <w:rsid w:val="00CD04E7"/>
    <w:rsid w:val="00CD1074"/>
    <w:rsid w:val="00CE3B0F"/>
    <w:rsid w:val="00CE3E51"/>
    <w:rsid w:val="00CE52C7"/>
    <w:rsid w:val="00CE6153"/>
    <w:rsid w:val="00CE6860"/>
    <w:rsid w:val="00CF4ED4"/>
    <w:rsid w:val="00CF773F"/>
    <w:rsid w:val="00CF7CE2"/>
    <w:rsid w:val="00D002A4"/>
    <w:rsid w:val="00D01BBF"/>
    <w:rsid w:val="00D13BB3"/>
    <w:rsid w:val="00D14786"/>
    <w:rsid w:val="00D163D3"/>
    <w:rsid w:val="00D20E96"/>
    <w:rsid w:val="00D21BDF"/>
    <w:rsid w:val="00D235C9"/>
    <w:rsid w:val="00D23A6E"/>
    <w:rsid w:val="00D30F0C"/>
    <w:rsid w:val="00D33532"/>
    <w:rsid w:val="00D426EA"/>
    <w:rsid w:val="00D42884"/>
    <w:rsid w:val="00D42ABD"/>
    <w:rsid w:val="00D44B92"/>
    <w:rsid w:val="00D45664"/>
    <w:rsid w:val="00D4577C"/>
    <w:rsid w:val="00D46004"/>
    <w:rsid w:val="00D479D8"/>
    <w:rsid w:val="00D50AB5"/>
    <w:rsid w:val="00D50EFE"/>
    <w:rsid w:val="00D5131E"/>
    <w:rsid w:val="00D51BC4"/>
    <w:rsid w:val="00D53420"/>
    <w:rsid w:val="00D71CAA"/>
    <w:rsid w:val="00D7270B"/>
    <w:rsid w:val="00D73652"/>
    <w:rsid w:val="00D74F01"/>
    <w:rsid w:val="00D7795B"/>
    <w:rsid w:val="00D80990"/>
    <w:rsid w:val="00D83E1A"/>
    <w:rsid w:val="00D850EA"/>
    <w:rsid w:val="00D862AB"/>
    <w:rsid w:val="00D90F80"/>
    <w:rsid w:val="00D95E14"/>
    <w:rsid w:val="00DA29D4"/>
    <w:rsid w:val="00DE0653"/>
    <w:rsid w:val="00DE0D4F"/>
    <w:rsid w:val="00DE1744"/>
    <w:rsid w:val="00DF00E5"/>
    <w:rsid w:val="00DF1F15"/>
    <w:rsid w:val="00E07532"/>
    <w:rsid w:val="00E078FE"/>
    <w:rsid w:val="00E20912"/>
    <w:rsid w:val="00E22275"/>
    <w:rsid w:val="00E23157"/>
    <w:rsid w:val="00E3723D"/>
    <w:rsid w:val="00E402D8"/>
    <w:rsid w:val="00E41B36"/>
    <w:rsid w:val="00E42355"/>
    <w:rsid w:val="00E53B89"/>
    <w:rsid w:val="00E57C9F"/>
    <w:rsid w:val="00E65285"/>
    <w:rsid w:val="00E6633B"/>
    <w:rsid w:val="00E675D8"/>
    <w:rsid w:val="00E70609"/>
    <w:rsid w:val="00E72C09"/>
    <w:rsid w:val="00E759D4"/>
    <w:rsid w:val="00E76E07"/>
    <w:rsid w:val="00E804F9"/>
    <w:rsid w:val="00E85EAD"/>
    <w:rsid w:val="00E92C90"/>
    <w:rsid w:val="00EA03F4"/>
    <w:rsid w:val="00EA297C"/>
    <w:rsid w:val="00EA2DE5"/>
    <w:rsid w:val="00EA46B1"/>
    <w:rsid w:val="00EA684F"/>
    <w:rsid w:val="00EB4E41"/>
    <w:rsid w:val="00EB669C"/>
    <w:rsid w:val="00EB6E0E"/>
    <w:rsid w:val="00EC2235"/>
    <w:rsid w:val="00EC6E65"/>
    <w:rsid w:val="00ED004D"/>
    <w:rsid w:val="00ED2C5A"/>
    <w:rsid w:val="00ED6534"/>
    <w:rsid w:val="00EE047A"/>
    <w:rsid w:val="00EE4053"/>
    <w:rsid w:val="00EE652D"/>
    <w:rsid w:val="00EF26DA"/>
    <w:rsid w:val="00EF4B5D"/>
    <w:rsid w:val="00EF62EF"/>
    <w:rsid w:val="00F015DF"/>
    <w:rsid w:val="00F072A4"/>
    <w:rsid w:val="00F10972"/>
    <w:rsid w:val="00F2062C"/>
    <w:rsid w:val="00F230DC"/>
    <w:rsid w:val="00F251F5"/>
    <w:rsid w:val="00F25A2E"/>
    <w:rsid w:val="00F30367"/>
    <w:rsid w:val="00F369DC"/>
    <w:rsid w:val="00F417AF"/>
    <w:rsid w:val="00F45AA3"/>
    <w:rsid w:val="00F477DD"/>
    <w:rsid w:val="00F52B6B"/>
    <w:rsid w:val="00F53B75"/>
    <w:rsid w:val="00F571C9"/>
    <w:rsid w:val="00F62A88"/>
    <w:rsid w:val="00F6572C"/>
    <w:rsid w:val="00F66E51"/>
    <w:rsid w:val="00F861A4"/>
    <w:rsid w:val="00F914D7"/>
    <w:rsid w:val="00F93301"/>
    <w:rsid w:val="00F9511F"/>
    <w:rsid w:val="00F9614B"/>
    <w:rsid w:val="00F9730A"/>
    <w:rsid w:val="00FA0E9A"/>
    <w:rsid w:val="00FB0A91"/>
    <w:rsid w:val="00FB1FE1"/>
    <w:rsid w:val="00FB556B"/>
    <w:rsid w:val="00FB5D6C"/>
    <w:rsid w:val="00FB7DF5"/>
    <w:rsid w:val="00FC4F25"/>
    <w:rsid w:val="00FC5709"/>
    <w:rsid w:val="00FC6A2F"/>
    <w:rsid w:val="00FD723F"/>
    <w:rsid w:val="00FE704E"/>
    <w:rsid w:val="00FF0EF7"/>
    <w:rsid w:val="00FF0F69"/>
    <w:rsid w:val="00FF3BEE"/>
    <w:rsid w:val="00FF65B8"/>
    <w:rsid w:val="00FF75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8BDCA"/>
  <w15:docId w15:val="{1806DC3D-B983-43E5-9727-BC20076D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B1D"/>
    <w:pPr>
      <w:widowControl w:val="0"/>
      <w:snapToGrid w:val="0"/>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single space Char"/>
    <w:basedOn w:val="DefaultParagraphFont"/>
    <w:link w:val="FootnoteText"/>
    <w:locked/>
    <w:rsid w:val="00817B1D"/>
    <w:rPr>
      <w:lang w:val="en-GB"/>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FootnoteTextChar"/>
    <w:unhideWhenUsed/>
    <w:rsid w:val="00817B1D"/>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817B1D"/>
    <w:rPr>
      <w:rFonts w:ascii="Times New Roman" w:eastAsia="Times New Roman" w:hAnsi="Times New Roman" w:cs="Times New Roman"/>
      <w:sz w:val="20"/>
      <w:szCs w:val="20"/>
      <w:lang w:val="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semiHidden/>
    <w:unhideWhenUsed/>
    <w:rsid w:val="00817B1D"/>
    <w:rPr>
      <w:vertAlign w:val="superscript"/>
    </w:rPr>
  </w:style>
  <w:style w:type="paragraph" w:customStyle="1" w:styleId="UN-00Logosoncoveralignedright">
    <w:name w:val="UN-00 Logos on cover aligned right"/>
    <w:rsid w:val="007A4A00"/>
    <w:pPr>
      <w:spacing w:after="0" w:line="240" w:lineRule="auto"/>
      <w:jc w:val="right"/>
    </w:pPr>
    <w:rPr>
      <w:rFonts w:ascii="Times New Roman" w:eastAsia="Times New Roman" w:hAnsi="Times New Roman" w:cs="Times New Roman"/>
      <w:szCs w:val="20"/>
    </w:rPr>
  </w:style>
  <w:style w:type="paragraph" w:customStyle="1" w:styleId="UN-00Logosoncoveralignedleft">
    <w:name w:val="UN-00 Logos on cover aligned left"/>
    <w:basedOn w:val="UN-00Logosoncoveralignedright"/>
    <w:rsid w:val="007A4A00"/>
    <w:pPr>
      <w:jc w:val="left"/>
    </w:pPr>
  </w:style>
  <w:style w:type="paragraph" w:customStyle="1" w:styleId="UN-50Logosoncovercentered">
    <w:name w:val="UN-50 Logos on cover centered"/>
    <w:basedOn w:val="UN-00Logosoncoveralignedright"/>
    <w:rsid w:val="007A4A00"/>
    <w:pPr>
      <w:jc w:val="center"/>
    </w:pPr>
  </w:style>
  <w:style w:type="paragraph" w:styleId="BalloonText">
    <w:name w:val="Balloon Text"/>
    <w:basedOn w:val="Normal"/>
    <w:link w:val="BalloonTextChar"/>
    <w:uiPriority w:val="99"/>
    <w:semiHidden/>
    <w:unhideWhenUsed/>
    <w:rsid w:val="007A4A00"/>
    <w:rPr>
      <w:rFonts w:ascii="Tahoma" w:hAnsi="Tahoma" w:cs="Tahoma"/>
      <w:sz w:val="16"/>
      <w:szCs w:val="16"/>
    </w:rPr>
  </w:style>
  <w:style w:type="character" w:customStyle="1" w:styleId="BalloonTextChar">
    <w:name w:val="Balloon Text Char"/>
    <w:basedOn w:val="DefaultParagraphFont"/>
    <w:link w:val="BalloonText"/>
    <w:uiPriority w:val="99"/>
    <w:semiHidden/>
    <w:rsid w:val="007A4A00"/>
    <w:rPr>
      <w:rFonts w:ascii="Tahoma" w:eastAsia="Times New Roman" w:hAnsi="Tahoma" w:cs="Tahoma"/>
      <w:sz w:val="16"/>
      <w:szCs w:val="16"/>
      <w:lang w:val="en-GB"/>
    </w:rPr>
  </w:style>
  <w:style w:type="paragraph" w:styleId="ListParagraph">
    <w:name w:val="List Paragraph"/>
    <w:basedOn w:val="Normal"/>
    <w:uiPriority w:val="34"/>
    <w:qFormat/>
    <w:rsid w:val="001A5525"/>
    <w:pPr>
      <w:ind w:left="720"/>
      <w:contextualSpacing/>
    </w:pPr>
  </w:style>
  <w:style w:type="paragraph" w:customStyle="1" w:styleId="Default">
    <w:name w:val="Default"/>
    <w:rsid w:val="00351EC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C3299"/>
    <w:pPr>
      <w:tabs>
        <w:tab w:val="center" w:pos="4153"/>
        <w:tab w:val="right" w:pos="8306"/>
      </w:tabs>
    </w:pPr>
  </w:style>
  <w:style w:type="character" w:customStyle="1" w:styleId="HeaderChar">
    <w:name w:val="Header Char"/>
    <w:basedOn w:val="DefaultParagraphFont"/>
    <w:link w:val="Header"/>
    <w:uiPriority w:val="99"/>
    <w:rsid w:val="00BC3299"/>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C3299"/>
    <w:pPr>
      <w:tabs>
        <w:tab w:val="center" w:pos="4153"/>
        <w:tab w:val="right" w:pos="8306"/>
      </w:tabs>
    </w:pPr>
  </w:style>
  <w:style w:type="character" w:customStyle="1" w:styleId="FooterChar">
    <w:name w:val="Footer Char"/>
    <w:basedOn w:val="DefaultParagraphFont"/>
    <w:link w:val="Footer"/>
    <w:uiPriority w:val="99"/>
    <w:rsid w:val="00BC3299"/>
    <w:rPr>
      <w:rFonts w:ascii="Times New Roman" w:eastAsia="Times New Roman" w:hAnsi="Times New Roman" w:cs="Times New Roman"/>
      <w:sz w:val="24"/>
      <w:szCs w:val="20"/>
      <w:lang w:val="en-GB"/>
    </w:rPr>
  </w:style>
  <w:style w:type="paragraph" w:styleId="EndnoteText">
    <w:name w:val="endnote text"/>
    <w:basedOn w:val="Normal"/>
    <w:link w:val="EndnoteTextChar"/>
    <w:uiPriority w:val="99"/>
    <w:semiHidden/>
    <w:unhideWhenUsed/>
    <w:rsid w:val="005103E5"/>
    <w:rPr>
      <w:sz w:val="20"/>
    </w:rPr>
  </w:style>
  <w:style w:type="character" w:customStyle="1" w:styleId="EndnoteTextChar">
    <w:name w:val="Endnote Text Char"/>
    <w:basedOn w:val="DefaultParagraphFont"/>
    <w:link w:val="EndnoteText"/>
    <w:uiPriority w:val="99"/>
    <w:semiHidden/>
    <w:rsid w:val="005103E5"/>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5103E5"/>
    <w:rPr>
      <w:vertAlign w:val="superscript"/>
    </w:rPr>
  </w:style>
  <w:style w:type="character" w:styleId="CommentReference">
    <w:name w:val="annotation reference"/>
    <w:basedOn w:val="DefaultParagraphFont"/>
    <w:uiPriority w:val="99"/>
    <w:semiHidden/>
    <w:unhideWhenUsed/>
    <w:rsid w:val="00B15588"/>
    <w:rPr>
      <w:sz w:val="16"/>
      <w:szCs w:val="16"/>
    </w:rPr>
  </w:style>
  <w:style w:type="paragraph" w:styleId="CommentText">
    <w:name w:val="annotation text"/>
    <w:basedOn w:val="Normal"/>
    <w:link w:val="CommentTextChar"/>
    <w:uiPriority w:val="99"/>
    <w:semiHidden/>
    <w:unhideWhenUsed/>
    <w:rsid w:val="00B15588"/>
    <w:rPr>
      <w:sz w:val="20"/>
    </w:rPr>
  </w:style>
  <w:style w:type="character" w:customStyle="1" w:styleId="CommentTextChar">
    <w:name w:val="Comment Text Char"/>
    <w:basedOn w:val="DefaultParagraphFont"/>
    <w:link w:val="CommentText"/>
    <w:uiPriority w:val="99"/>
    <w:semiHidden/>
    <w:rsid w:val="00B1558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15588"/>
    <w:rPr>
      <w:b/>
      <w:bCs/>
    </w:rPr>
  </w:style>
  <w:style w:type="character" w:customStyle="1" w:styleId="CommentSubjectChar">
    <w:name w:val="Comment Subject Char"/>
    <w:basedOn w:val="CommentTextChar"/>
    <w:link w:val="CommentSubject"/>
    <w:uiPriority w:val="99"/>
    <w:semiHidden/>
    <w:rsid w:val="00B15588"/>
    <w:rPr>
      <w:rFonts w:ascii="Times New Roman" w:eastAsia="Times New Roman" w:hAnsi="Times New Roman" w:cs="Times New Roman"/>
      <w:b/>
      <w:bCs/>
      <w:sz w:val="20"/>
      <w:szCs w:val="20"/>
      <w:lang w:val="en-GB"/>
    </w:rPr>
  </w:style>
  <w:style w:type="character" w:customStyle="1" w:styleId="apple-converted-space">
    <w:name w:val="apple-converted-space"/>
    <w:basedOn w:val="DefaultParagraphFont"/>
    <w:rsid w:val="000642B5"/>
  </w:style>
  <w:style w:type="paragraph" w:customStyle="1" w:styleId="Normal1">
    <w:name w:val="Normal1"/>
    <w:rsid w:val="0019280B"/>
    <w:pPr>
      <w:spacing w:after="0"/>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0889">
      <w:bodyDiv w:val="1"/>
      <w:marLeft w:val="0"/>
      <w:marRight w:val="0"/>
      <w:marTop w:val="0"/>
      <w:marBottom w:val="0"/>
      <w:divBdr>
        <w:top w:val="none" w:sz="0" w:space="0" w:color="auto"/>
        <w:left w:val="none" w:sz="0" w:space="0" w:color="auto"/>
        <w:bottom w:val="none" w:sz="0" w:space="0" w:color="auto"/>
        <w:right w:val="none" w:sz="0" w:space="0" w:color="auto"/>
      </w:divBdr>
    </w:div>
    <w:div w:id="182937257">
      <w:bodyDiv w:val="1"/>
      <w:marLeft w:val="0"/>
      <w:marRight w:val="0"/>
      <w:marTop w:val="0"/>
      <w:marBottom w:val="0"/>
      <w:divBdr>
        <w:top w:val="none" w:sz="0" w:space="0" w:color="auto"/>
        <w:left w:val="none" w:sz="0" w:space="0" w:color="auto"/>
        <w:bottom w:val="none" w:sz="0" w:space="0" w:color="auto"/>
        <w:right w:val="none" w:sz="0" w:space="0" w:color="auto"/>
      </w:divBdr>
    </w:div>
    <w:div w:id="439835091">
      <w:bodyDiv w:val="1"/>
      <w:marLeft w:val="0"/>
      <w:marRight w:val="0"/>
      <w:marTop w:val="0"/>
      <w:marBottom w:val="0"/>
      <w:divBdr>
        <w:top w:val="none" w:sz="0" w:space="0" w:color="auto"/>
        <w:left w:val="none" w:sz="0" w:space="0" w:color="auto"/>
        <w:bottom w:val="none" w:sz="0" w:space="0" w:color="auto"/>
        <w:right w:val="none" w:sz="0" w:space="0" w:color="auto"/>
      </w:divBdr>
    </w:div>
    <w:div w:id="480342835">
      <w:bodyDiv w:val="1"/>
      <w:marLeft w:val="0"/>
      <w:marRight w:val="0"/>
      <w:marTop w:val="0"/>
      <w:marBottom w:val="0"/>
      <w:divBdr>
        <w:top w:val="none" w:sz="0" w:space="0" w:color="auto"/>
        <w:left w:val="none" w:sz="0" w:space="0" w:color="auto"/>
        <w:bottom w:val="none" w:sz="0" w:space="0" w:color="auto"/>
        <w:right w:val="none" w:sz="0" w:space="0" w:color="auto"/>
      </w:divBdr>
    </w:div>
    <w:div w:id="617296225">
      <w:bodyDiv w:val="1"/>
      <w:marLeft w:val="0"/>
      <w:marRight w:val="0"/>
      <w:marTop w:val="0"/>
      <w:marBottom w:val="0"/>
      <w:divBdr>
        <w:top w:val="none" w:sz="0" w:space="0" w:color="auto"/>
        <w:left w:val="none" w:sz="0" w:space="0" w:color="auto"/>
        <w:bottom w:val="none" w:sz="0" w:space="0" w:color="auto"/>
        <w:right w:val="none" w:sz="0" w:space="0" w:color="auto"/>
      </w:divBdr>
    </w:div>
    <w:div w:id="710610360">
      <w:bodyDiv w:val="1"/>
      <w:marLeft w:val="0"/>
      <w:marRight w:val="0"/>
      <w:marTop w:val="0"/>
      <w:marBottom w:val="0"/>
      <w:divBdr>
        <w:top w:val="none" w:sz="0" w:space="0" w:color="auto"/>
        <w:left w:val="none" w:sz="0" w:space="0" w:color="auto"/>
        <w:bottom w:val="none" w:sz="0" w:space="0" w:color="auto"/>
        <w:right w:val="none" w:sz="0" w:space="0" w:color="auto"/>
      </w:divBdr>
    </w:div>
    <w:div w:id="982390597">
      <w:bodyDiv w:val="1"/>
      <w:marLeft w:val="0"/>
      <w:marRight w:val="0"/>
      <w:marTop w:val="0"/>
      <w:marBottom w:val="0"/>
      <w:divBdr>
        <w:top w:val="none" w:sz="0" w:space="0" w:color="auto"/>
        <w:left w:val="none" w:sz="0" w:space="0" w:color="auto"/>
        <w:bottom w:val="none" w:sz="0" w:space="0" w:color="auto"/>
        <w:right w:val="none" w:sz="0" w:space="0" w:color="auto"/>
      </w:divBdr>
    </w:div>
    <w:div w:id="1201169532">
      <w:bodyDiv w:val="1"/>
      <w:marLeft w:val="0"/>
      <w:marRight w:val="0"/>
      <w:marTop w:val="0"/>
      <w:marBottom w:val="0"/>
      <w:divBdr>
        <w:top w:val="none" w:sz="0" w:space="0" w:color="auto"/>
        <w:left w:val="none" w:sz="0" w:space="0" w:color="auto"/>
        <w:bottom w:val="none" w:sz="0" w:space="0" w:color="auto"/>
        <w:right w:val="none" w:sz="0" w:space="0" w:color="auto"/>
      </w:divBdr>
    </w:div>
    <w:div w:id="1227032154">
      <w:bodyDiv w:val="1"/>
      <w:marLeft w:val="0"/>
      <w:marRight w:val="0"/>
      <w:marTop w:val="0"/>
      <w:marBottom w:val="0"/>
      <w:divBdr>
        <w:top w:val="none" w:sz="0" w:space="0" w:color="auto"/>
        <w:left w:val="none" w:sz="0" w:space="0" w:color="auto"/>
        <w:bottom w:val="none" w:sz="0" w:space="0" w:color="auto"/>
        <w:right w:val="none" w:sz="0" w:space="0" w:color="auto"/>
      </w:divBdr>
    </w:div>
    <w:div w:id="1321344031">
      <w:bodyDiv w:val="1"/>
      <w:marLeft w:val="0"/>
      <w:marRight w:val="0"/>
      <w:marTop w:val="0"/>
      <w:marBottom w:val="0"/>
      <w:divBdr>
        <w:top w:val="none" w:sz="0" w:space="0" w:color="auto"/>
        <w:left w:val="none" w:sz="0" w:space="0" w:color="auto"/>
        <w:bottom w:val="none" w:sz="0" w:space="0" w:color="auto"/>
        <w:right w:val="none" w:sz="0" w:space="0" w:color="auto"/>
      </w:divBdr>
    </w:div>
    <w:div w:id="1343969354">
      <w:bodyDiv w:val="1"/>
      <w:marLeft w:val="0"/>
      <w:marRight w:val="0"/>
      <w:marTop w:val="0"/>
      <w:marBottom w:val="0"/>
      <w:divBdr>
        <w:top w:val="none" w:sz="0" w:space="0" w:color="auto"/>
        <w:left w:val="none" w:sz="0" w:space="0" w:color="auto"/>
        <w:bottom w:val="none" w:sz="0" w:space="0" w:color="auto"/>
        <w:right w:val="none" w:sz="0" w:space="0" w:color="auto"/>
      </w:divBdr>
    </w:div>
    <w:div w:id="1344085209">
      <w:bodyDiv w:val="1"/>
      <w:marLeft w:val="0"/>
      <w:marRight w:val="0"/>
      <w:marTop w:val="0"/>
      <w:marBottom w:val="0"/>
      <w:divBdr>
        <w:top w:val="none" w:sz="0" w:space="0" w:color="auto"/>
        <w:left w:val="none" w:sz="0" w:space="0" w:color="auto"/>
        <w:bottom w:val="none" w:sz="0" w:space="0" w:color="auto"/>
        <w:right w:val="none" w:sz="0" w:space="0" w:color="auto"/>
      </w:divBdr>
    </w:div>
    <w:div w:id="1538008733">
      <w:bodyDiv w:val="1"/>
      <w:marLeft w:val="0"/>
      <w:marRight w:val="0"/>
      <w:marTop w:val="0"/>
      <w:marBottom w:val="0"/>
      <w:divBdr>
        <w:top w:val="none" w:sz="0" w:space="0" w:color="auto"/>
        <w:left w:val="none" w:sz="0" w:space="0" w:color="auto"/>
        <w:bottom w:val="none" w:sz="0" w:space="0" w:color="auto"/>
        <w:right w:val="none" w:sz="0" w:space="0" w:color="auto"/>
      </w:divBdr>
    </w:div>
    <w:div w:id="1657996894">
      <w:bodyDiv w:val="1"/>
      <w:marLeft w:val="0"/>
      <w:marRight w:val="0"/>
      <w:marTop w:val="0"/>
      <w:marBottom w:val="0"/>
      <w:divBdr>
        <w:top w:val="none" w:sz="0" w:space="0" w:color="auto"/>
        <w:left w:val="none" w:sz="0" w:space="0" w:color="auto"/>
        <w:bottom w:val="none" w:sz="0" w:space="0" w:color="auto"/>
        <w:right w:val="none" w:sz="0" w:space="0" w:color="auto"/>
      </w:divBdr>
    </w:div>
    <w:div w:id="1774546037">
      <w:bodyDiv w:val="1"/>
      <w:marLeft w:val="0"/>
      <w:marRight w:val="0"/>
      <w:marTop w:val="0"/>
      <w:marBottom w:val="0"/>
      <w:divBdr>
        <w:top w:val="none" w:sz="0" w:space="0" w:color="auto"/>
        <w:left w:val="none" w:sz="0" w:space="0" w:color="auto"/>
        <w:bottom w:val="none" w:sz="0" w:space="0" w:color="auto"/>
        <w:right w:val="none" w:sz="0" w:space="0" w:color="auto"/>
      </w:divBdr>
    </w:div>
    <w:div w:id="1784305166">
      <w:bodyDiv w:val="1"/>
      <w:marLeft w:val="0"/>
      <w:marRight w:val="0"/>
      <w:marTop w:val="0"/>
      <w:marBottom w:val="0"/>
      <w:divBdr>
        <w:top w:val="none" w:sz="0" w:space="0" w:color="auto"/>
        <w:left w:val="none" w:sz="0" w:space="0" w:color="auto"/>
        <w:bottom w:val="none" w:sz="0" w:space="0" w:color="auto"/>
        <w:right w:val="none" w:sz="0" w:space="0" w:color="auto"/>
      </w:divBdr>
    </w:div>
    <w:div w:id="1835215831">
      <w:bodyDiv w:val="1"/>
      <w:marLeft w:val="0"/>
      <w:marRight w:val="0"/>
      <w:marTop w:val="0"/>
      <w:marBottom w:val="0"/>
      <w:divBdr>
        <w:top w:val="none" w:sz="0" w:space="0" w:color="auto"/>
        <w:left w:val="none" w:sz="0" w:space="0" w:color="auto"/>
        <w:bottom w:val="none" w:sz="0" w:space="0" w:color="auto"/>
        <w:right w:val="none" w:sz="0" w:space="0" w:color="auto"/>
      </w:divBdr>
    </w:div>
    <w:div w:id="1877885706">
      <w:bodyDiv w:val="1"/>
      <w:marLeft w:val="0"/>
      <w:marRight w:val="0"/>
      <w:marTop w:val="0"/>
      <w:marBottom w:val="0"/>
      <w:divBdr>
        <w:top w:val="none" w:sz="0" w:space="0" w:color="auto"/>
        <w:left w:val="none" w:sz="0" w:space="0" w:color="auto"/>
        <w:bottom w:val="none" w:sz="0" w:space="0" w:color="auto"/>
        <w:right w:val="none" w:sz="0" w:space="0" w:color="auto"/>
      </w:divBdr>
    </w:div>
    <w:div w:id="1951938162">
      <w:bodyDiv w:val="1"/>
      <w:marLeft w:val="0"/>
      <w:marRight w:val="0"/>
      <w:marTop w:val="0"/>
      <w:marBottom w:val="0"/>
      <w:divBdr>
        <w:top w:val="none" w:sz="0" w:space="0" w:color="auto"/>
        <w:left w:val="none" w:sz="0" w:space="0" w:color="auto"/>
        <w:bottom w:val="none" w:sz="0" w:space="0" w:color="auto"/>
        <w:right w:val="none" w:sz="0" w:space="0" w:color="auto"/>
      </w:divBdr>
    </w:div>
    <w:div w:id="2047899763">
      <w:bodyDiv w:val="1"/>
      <w:marLeft w:val="0"/>
      <w:marRight w:val="0"/>
      <w:marTop w:val="0"/>
      <w:marBottom w:val="0"/>
      <w:divBdr>
        <w:top w:val="none" w:sz="0" w:space="0" w:color="auto"/>
        <w:left w:val="none" w:sz="0" w:space="0" w:color="auto"/>
        <w:bottom w:val="none" w:sz="0" w:space="0" w:color="auto"/>
        <w:right w:val="none" w:sz="0" w:space="0" w:color="auto"/>
      </w:divBdr>
    </w:div>
    <w:div w:id="209003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gif@01C775DC.3F1823B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BE31C-04E0-4920-B343-6E78009D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6766</Characters>
  <Application>Microsoft Office Word</Application>
  <DocSecurity>0</DocSecurity>
  <Lines>56</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Maisoon</dc:creator>
  <cp:lastModifiedBy>OSASG</cp:lastModifiedBy>
  <cp:revision>2</cp:revision>
  <cp:lastPrinted>2015-02-17T07:24:00Z</cp:lastPrinted>
  <dcterms:created xsi:type="dcterms:W3CDTF">2016-02-18T19:02:00Z</dcterms:created>
  <dcterms:modified xsi:type="dcterms:W3CDTF">2016-02-18T19:02:00Z</dcterms:modified>
</cp:coreProperties>
</file>