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FF7B" w14:textId="02C16E8E" w:rsidR="00BC4B02" w:rsidRPr="004D5A82" w:rsidRDefault="00461DFD" w:rsidP="00BC4B02">
      <w:pPr>
        <w:spacing w:before="100" w:beforeAutospacing="1" w:after="100" w:afterAutospacing="1"/>
      </w:pPr>
      <w:bookmarkStart w:id="0" w:name="_Hlk40429041"/>
      <w:bookmarkEnd w:id="0"/>
      <w:r>
        <w:rPr>
          <w:noProof/>
          <w:lang w:val="en-GB" w:eastAsia="en-GB"/>
        </w:rPr>
        <w:drawing>
          <wp:inline distT="0" distB="0" distL="0" distR="0" wp14:anchorId="55F3C66D" wp14:editId="04102336">
            <wp:extent cx="2579370" cy="754380"/>
            <wp:effectExtent l="0" t="0" r="0" b="0"/>
            <wp:docPr id="4" name="Content Placeholder 4" descr="Logo UNPRPD">
              <a:extLst xmlns:a="http://schemas.openxmlformats.org/drawingml/2006/main">
                <a:ext uri="{FF2B5EF4-FFF2-40B4-BE49-F238E27FC236}">
                  <a16:creationId xmlns:a16="http://schemas.microsoft.com/office/drawing/2014/main" id="{98972205-C7EB-485D-B53B-1320B5E485D4}"/>
                </a:ext>
              </a:extLst>
            </wp:docPr>
            <wp:cNvGraphicFramePr/>
            <a:graphic xmlns:a="http://schemas.openxmlformats.org/drawingml/2006/main">
              <a:graphicData uri="http://schemas.openxmlformats.org/drawingml/2006/picture">
                <pic:pic xmlns:pic="http://schemas.openxmlformats.org/drawingml/2006/picture">
                  <pic:nvPicPr>
                    <pic:cNvPr id="4" name="Content Placeholder 4" descr="Logo UNPRPD">
                      <a:extLst>
                        <a:ext uri="{FF2B5EF4-FFF2-40B4-BE49-F238E27FC236}">
                          <a16:creationId xmlns:a16="http://schemas.microsoft.com/office/drawing/2014/main" id="{98972205-C7EB-485D-B53B-1320B5E485D4}"/>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9370" cy="754380"/>
                    </a:xfrm>
                    <a:prstGeom prst="rect">
                      <a:avLst/>
                    </a:prstGeom>
                  </pic:spPr>
                </pic:pic>
              </a:graphicData>
            </a:graphic>
          </wp:inline>
        </w:drawing>
      </w:r>
    </w:p>
    <w:p w14:paraId="59B7FC75" w14:textId="36FA8B00" w:rsidR="00BC4B02" w:rsidRDefault="00483705" w:rsidP="00256438">
      <w:pPr>
        <w:pStyle w:val="Title"/>
      </w:pPr>
      <w:r>
        <w:t>UN</w:t>
      </w:r>
      <w:r w:rsidR="001E2EF2">
        <w:t>P</w:t>
      </w:r>
      <w:r>
        <w:t xml:space="preserve">RPD GLOBAL </w:t>
      </w:r>
      <w:r w:rsidR="00BC4B02">
        <w:t>PROJECT PROPOSALS</w:t>
      </w:r>
    </w:p>
    <w:p w14:paraId="025CE834" w14:textId="77777777" w:rsidR="00CE4D68" w:rsidRPr="00CE4D68" w:rsidRDefault="00CE4D68" w:rsidP="00CE4D68"/>
    <w:tbl>
      <w:tblPr>
        <w:tblStyle w:val="TableGrid"/>
        <w:tblW w:w="9975"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Caption w:val="Summary Information on the Proposal "/>
      </w:tblPr>
      <w:tblGrid>
        <w:gridCol w:w="9975"/>
      </w:tblGrid>
      <w:tr w:rsidR="00BC4B02" w14:paraId="05DCBCF0" w14:textId="77777777" w:rsidTr="001D0E33">
        <w:trPr>
          <w:tblHeader/>
        </w:trPr>
        <w:tc>
          <w:tcPr>
            <w:tcW w:w="9975" w:type="dxa"/>
          </w:tcPr>
          <w:p w14:paraId="4144C23F" w14:textId="4583BC9D" w:rsidR="00BC4B02" w:rsidRDefault="00BC4B02" w:rsidP="00245514">
            <w:pPr>
              <w:rPr>
                <w:b/>
                <w:sz w:val="28"/>
              </w:rPr>
            </w:pPr>
            <w:r w:rsidRPr="00C25C7E">
              <w:rPr>
                <w:b/>
                <w:sz w:val="24"/>
                <w:szCs w:val="24"/>
              </w:rPr>
              <w:t>Title</w:t>
            </w:r>
            <w:r>
              <w:rPr>
                <w:b/>
                <w:sz w:val="24"/>
                <w:szCs w:val="24"/>
              </w:rPr>
              <w:t xml:space="preserve"> of Project</w:t>
            </w:r>
            <w:r w:rsidRPr="00C25C7E">
              <w:rPr>
                <w:b/>
                <w:sz w:val="24"/>
                <w:szCs w:val="24"/>
              </w:rPr>
              <w:t>:</w:t>
            </w:r>
            <w:r w:rsidR="006F00C4">
              <w:rPr>
                <w:b/>
                <w:sz w:val="24"/>
                <w:szCs w:val="24"/>
              </w:rPr>
              <w:t xml:space="preserve"> </w:t>
            </w:r>
            <w:r w:rsidR="009927B4">
              <w:rPr>
                <w:color w:val="002060"/>
              </w:rPr>
              <w:t xml:space="preserve">Supporting national implementation of the CRPD through </w:t>
            </w:r>
            <w:r w:rsidR="00186900">
              <w:rPr>
                <w:color w:val="002060"/>
              </w:rPr>
              <w:t>strengthe</w:t>
            </w:r>
            <w:r w:rsidR="00C60F2A">
              <w:rPr>
                <w:color w:val="002060"/>
              </w:rPr>
              <w:t>ne</w:t>
            </w:r>
            <w:r w:rsidR="00186900">
              <w:rPr>
                <w:color w:val="002060"/>
              </w:rPr>
              <w:t>d</w:t>
            </w:r>
            <w:r w:rsidR="009927B4">
              <w:rPr>
                <w:color w:val="002060"/>
              </w:rPr>
              <w:t xml:space="preserve"> independent </w:t>
            </w:r>
            <w:r w:rsidR="00245514">
              <w:rPr>
                <w:color w:val="002060"/>
              </w:rPr>
              <w:t>monitoring</w:t>
            </w:r>
            <w:r w:rsidR="009677FF">
              <w:rPr>
                <w:color w:val="002060"/>
              </w:rPr>
              <w:t xml:space="preserve"> mechanisms (IMMs) pursuant to a</w:t>
            </w:r>
            <w:r w:rsidR="00245514">
              <w:rPr>
                <w:color w:val="002060"/>
              </w:rPr>
              <w:t>rticle 33 (2)</w:t>
            </w:r>
            <w:r w:rsidR="009927B4">
              <w:rPr>
                <w:color w:val="002060"/>
              </w:rPr>
              <w:t xml:space="preserve"> </w:t>
            </w:r>
          </w:p>
        </w:tc>
      </w:tr>
      <w:tr w:rsidR="00BC4B02" w14:paraId="0D05C896" w14:textId="77777777" w:rsidTr="001D0E33">
        <w:tc>
          <w:tcPr>
            <w:tcW w:w="9975" w:type="dxa"/>
          </w:tcPr>
          <w:p w14:paraId="004909B3" w14:textId="48300E66" w:rsidR="00BC4B02" w:rsidRDefault="00BC4B02" w:rsidP="004871F7">
            <w:pPr>
              <w:contextualSpacing/>
              <w:rPr>
                <w:b/>
                <w:sz w:val="28"/>
              </w:rPr>
            </w:pPr>
            <w:r>
              <w:rPr>
                <w:b/>
                <w:sz w:val="24"/>
                <w:szCs w:val="24"/>
              </w:rPr>
              <w:t>Duration (max. 36 months):</w:t>
            </w:r>
            <w:r w:rsidR="00245514">
              <w:rPr>
                <w:b/>
                <w:sz w:val="24"/>
                <w:szCs w:val="24"/>
              </w:rPr>
              <w:t xml:space="preserve"> </w:t>
            </w:r>
            <w:r w:rsidR="004871F7">
              <w:rPr>
                <w:b/>
                <w:sz w:val="24"/>
                <w:szCs w:val="24"/>
              </w:rPr>
              <w:t>22</w:t>
            </w:r>
            <w:r w:rsidR="006F00C4" w:rsidRPr="00197F87">
              <w:rPr>
                <w:b/>
                <w:sz w:val="24"/>
                <w:szCs w:val="24"/>
              </w:rPr>
              <w:t xml:space="preserve"> months –</w:t>
            </w:r>
            <w:r w:rsidR="002E418F" w:rsidRPr="00197F87">
              <w:rPr>
                <w:b/>
                <w:sz w:val="24"/>
                <w:szCs w:val="24"/>
              </w:rPr>
              <w:t xml:space="preserve"> </w:t>
            </w:r>
            <w:r w:rsidR="001776FB">
              <w:rPr>
                <w:b/>
                <w:sz w:val="24"/>
                <w:szCs w:val="24"/>
              </w:rPr>
              <w:t>July</w:t>
            </w:r>
            <w:r w:rsidR="00245514" w:rsidRPr="00197F87">
              <w:rPr>
                <w:b/>
                <w:sz w:val="24"/>
                <w:szCs w:val="24"/>
              </w:rPr>
              <w:t xml:space="preserve"> 2020</w:t>
            </w:r>
            <w:r w:rsidR="002E418F" w:rsidRPr="00197F87">
              <w:rPr>
                <w:b/>
                <w:sz w:val="24"/>
                <w:szCs w:val="24"/>
              </w:rPr>
              <w:t xml:space="preserve"> – </w:t>
            </w:r>
            <w:r w:rsidR="004871F7">
              <w:rPr>
                <w:b/>
                <w:sz w:val="24"/>
                <w:szCs w:val="24"/>
              </w:rPr>
              <w:t>April</w:t>
            </w:r>
            <w:r w:rsidR="001776FB">
              <w:rPr>
                <w:b/>
                <w:sz w:val="24"/>
                <w:szCs w:val="24"/>
              </w:rPr>
              <w:t xml:space="preserve"> </w:t>
            </w:r>
            <w:r w:rsidR="00197F87" w:rsidRPr="00197F87">
              <w:rPr>
                <w:b/>
                <w:sz w:val="24"/>
                <w:szCs w:val="24"/>
              </w:rPr>
              <w:t>2022</w:t>
            </w:r>
          </w:p>
        </w:tc>
      </w:tr>
      <w:tr w:rsidR="00BC4B02" w14:paraId="64247ECC" w14:textId="77777777" w:rsidTr="001D0E33">
        <w:tc>
          <w:tcPr>
            <w:tcW w:w="9975" w:type="dxa"/>
          </w:tcPr>
          <w:p w14:paraId="31ECCA95" w14:textId="5519DC41" w:rsidR="00BC4B02" w:rsidRDefault="00BC4B02" w:rsidP="00BC4B02">
            <w:pPr>
              <w:contextualSpacing/>
              <w:rPr>
                <w:b/>
                <w:sz w:val="28"/>
              </w:rPr>
            </w:pPr>
            <w:r>
              <w:rPr>
                <w:b/>
                <w:sz w:val="24"/>
                <w:szCs w:val="24"/>
              </w:rPr>
              <w:t>Total Budget:</w:t>
            </w:r>
            <w:r w:rsidR="0057688B">
              <w:rPr>
                <w:b/>
                <w:sz w:val="24"/>
                <w:szCs w:val="24"/>
              </w:rPr>
              <w:t xml:space="preserve"> USD 95,432</w:t>
            </w:r>
          </w:p>
        </w:tc>
      </w:tr>
      <w:tr w:rsidR="00BC4B02" w14:paraId="04168458" w14:textId="77777777" w:rsidTr="001D0E33">
        <w:tc>
          <w:tcPr>
            <w:tcW w:w="9975" w:type="dxa"/>
          </w:tcPr>
          <w:p w14:paraId="67215068" w14:textId="4B99113F" w:rsidR="00BC4B02" w:rsidRDefault="00BC4B02" w:rsidP="00BC4B02">
            <w:pPr>
              <w:contextualSpacing/>
              <w:rPr>
                <w:b/>
                <w:sz w:val="24"/>
                <w:szCs w:val="24"/>
              </w:rPr>
            </w:pPr>
            <w:r>
              <w:rPr>
                <w:b/>
                <w:sz w:val="24"/>
                <w:szCs w:val="24"/>
              </w:rPr>
              <w:t>Participating UN Organizations:</w:t>
            </w:r>
            <w:r w:rsidR="006F00C4">
              <w:rPr>
                <w:b/>
                <w:sz w:val="24"/>
                <w:szCs w:val="24"/>
              </w:rPr>
              <w:t xml:space="preserve"> UNDP and OHCHR</w:t>
            </w:r>
            <w:r w:rsidR="00957E52">
              <w:rPr>
                <w:rStyle w:val="FootnoteReference"/>
                <w:b/>
                <w:sz w:val="24"/>
                <w:szCs w:val="24"/>
              </w:rPr>
              <w:footnoteReference w:id="1"/>
            </w:r>
            <w:r w:rsidR="006F00C4">
              <w:rPr>
                <w:b/>
                <w:sz w:val="24"/>
                <w:szCs w:val="24"/>
              </w:rPr>
              <w:t xml:space="preserve"> </w:t>
            </w:r>
          </w:p>
        </w:tc>
      </w:tr>
    </w:tbl>
    <w:p w14:paraId="743ECBBA" w14:textId="657133CD" w:rsidR="00245514" w:rsidRPr="00BD22ED" w:rsidRDefault="00BC4B02" w:rsidP="00BD22ED">
      <w:pPr>
        <w:pStyle w:val="Heading1"/>
      </w:pPr>
      <w:r w:rsidRPr="00483295">
        <w:t xml:space="preserve">Executive </w:t>
      </w:r>
      <w:r w:rsidR="00226B58">
        <w:t>S</w:t>
      </w:r>
      <w:r w:rsidRPr="00483295">
        <w:t>ummary</w:t>
      </w:r>
    </w:p>
    <w:p w14:paraId="20780BAC" w14:textId="405EFD56" w:rsidR="003435EC" w:rsidRDefault="003435EC" w:rsidP="003435EC">
      <w:pPr>
        <w:jc w:val="both"/>
        <w:rPr>
          <w:rFonts w:eastAsia="Times New Roman" w:cstheme="minorHAnsi"/>
          <w:lang w:val="en-GB"/>
        </w:rPr>
      </w:pPr>
      <w:r>
        <w:rPr>
          <w:rFonts w:eastAsia="Times New Roman" w:cstheme="minorHAnsi"/>
          <w:lang w:val="en-GB"/>
        </w:rPr>
        <w:t xml:space="preserve">States </w:t>
      </w:r>
      <w:r w:rsidR="00A518FD">
        <w:rPr>
          <w:rFonts w:eastAsia="Times New Roman" w:cstheme="minorHAnsi"/>
          <w:lang w:val="en-GB"/>
        </w:rPr>
        <w:t>parties</w:t>
      </w:r>
      <w:r w:rsidR="00D1369C">
        <w:rPr>
          <w:rFonts w:eastAsia="Times New Roman" w:cstheme="minorHAnsi"/>
          <w:lang w:val="en-GB"/>
        </w:rPr>
        <w:t xml:space="preserve"> to the Convention on the Rights of Persons with Disabilities (CRPD) </w:t>
      </w:r>
      <w:r>
        <w:rPr>
          <w:rFonts w:eastAsia="Times New Roman" w:cstheme="minorHAnsi"/>
          <w:lang w:val="en-GB"/>
        </w:rPr>
        <w:t xml:space="preserve">are </w:t>
      </w:r>
      <w:r w:rsidR="00A518FD">
        <w:rPr>
          <w:rFonts w:eastAsia="Times New Roman" w:cstheme="minorHAnsi"/>
          <w:lang w:val="en-GB"/>
        </w:rPr>
        <w:t xml:space="preserve">required </w:t>
      </w:r>
      <w:r>
        <w:rPr>
          <w:rFonts w:eastAsia="Times New Roman" w:cstheme="minorHAnsi"/>
          <w:lang w:val="en-GB"/>
        </w:rPr>
        <w:t xml:space="preserve">to designate independent monitoring frameworks to </w:t>
      </w:r>
      <w:r w:rsidR="00A518FD">
        <w:rPr>
          <w:rFonts w:eastAsia="Times New Roman" w:cstheme="minorHAnsi"/>
          <w:lang w:val="en-GB"/>
        </w:rPr>
        <w:t>monitor the implementation of</w:t>
      </w:r>
      <w:r w:rsidR="009677FF">
        <w:rPr>
          <w:rFonts w:eastAsia="Times New Roman" w:cstheme="minorHAnsi"/>
          <w:lang w:val="en-GB"/>
        </w:rPr>
        <w:t xml:space="preserve"> the CRPD under a</w:t>
      </w:r>
      <w:r>
        <w:rPr>
          <w:rFonts w:eastAsia="Times New Roman" w:cstheme="minorHAnsi"/>
          <w:lang w:val="en-GB"/>
        </w:rPr>
        <w:t xml:space="preserve">rticle 33 (2). </w:t>
      </w:r>
      <w:r w:rsidR="00C868C8">
        <w:rPr>
          <w:rFonts w:eastAsia="Times New Roman" w:cstheme="minorHAnsi"/>
          <w:lang w:val="en-GB"/>
        </w:rPr>
        <w:t>National Human Rights Institutions (</w:t>
      </w:r>
      <w:r>
        <w:rPr>
          <w:rFonts w:eastAsia="Times New Roman" w:cstheme="minorHAnsi"/>
          <w:lang w:val="en-GB"/>
        </w:rPr>
        <w:t>NHRIs</w:t>
      </w:r>
      <w:r w:rsidR="00C868C8">
        <w:rPr>
          <w:rFonts w:eastAsia="Times New Roman" w:cstheme="minorHAnsi"/>
          <w:lang w:val="en-GB"/>
        </w:rPr>
        <w:t>)</w:t>
      </w:r>
      <w:r>
        <w:rPr>
          <w:rFonts w:eastAsia="Times New Roman" w:cstheme="minorHAnsi"/>
          <w:lang w:val="en-GB"/>
        </w:rPr>
        <w:t>, particularly w</w:t>
      </w:r>
      <w:r w:rsidR="00C868C8">
        <w:rPr>
          <w:rFonts w:eastAsia="Times New Roman" w:cstheme="minorHAnsi"/>
          <w:lang w:val="en-GB"/>
        </w:rPr>
        <w:t>ith</w:t>
      </w:r>
      <w:r>
        <w:rPr>
          <w:rFonts w:eastAsia="Times New Roman" w:cstheme="minorHAnsi"/>
          <w:lang w:val="en-GB"/>
        </w:rPr>
        <w:t xml:space="preserve"> ‘A’ status</w:t>
      </w:r>
      <w:r w:rsidR="00C868C8">
        <w:rPr>
          <w:rFonts w:eastAsia="Times New Roman" w:cstheme="minorHAnsi"/>
          <w:lang w:val="en-GB"/>
        </w:rPr>
        <w:t>,</w:t>
      </w:r>
      <w:r>
        <w:rPr>
          <w:rFonts w:eastAsia="Times New Roman" w:cstheme="minorHAnsi"/>
          <w:lang w:val="en-GB"/>
        </w:rPr>
        <w:t xml:space="preserve"> alone or sometimes in shared responsibility with other</w:t>
      </w:r>
      <w:r w:rsidR="00C00725">
        <w:rPr>
          <w:rFonts w:eastAsia="Times New Roman" w:cstheme="minorHAnsi"/>
          <w:lang w:val="en-GB"/>
        </w:rPr>
        <w:t xml:space="preserve"> stakeholders or</w:t>
      </w:r>
      <w:r>
        <w:rPr>
          <w:rFonts w:eastAsia="Times New Roman" w:cstheme="minorHAnsi"/>
          <w:lang w:val="en-GB"/>
        </w:rPr>
        <w:t xml:space="preserve"> national structures</w:t>
      </w:r>
      <w:r w:rsidR="00C868C8">
        <w:rPr>
          <w:rFonts w:eastAsia="Times New Roman" w:cstheme="minorHAnsi"/>
          <w:lang w:val="en-GB"/>
        </w:rPr>
        <w:t>,</w:t>
      </w:r>
      <w:r>
        <w:rPr>
          <w:rFonts w:eastAsia="Times New Roman" w:cstheme="minorHAnsi"/>
          <w:lang w:val="en-GB"/>
        </w:rPr>
        <w:t xml:space="preserve"> often hold this</w:t>
      </w:r>
      <w:r w:rsidR="00C00725">
        <w:rPr>
          <w:rFonts w:eastAsia="Times New Roman" w:cstheme="minorHAnsi"/>
          <w:lang w:val="en-GB"/>
        </w:rPr>
        <w:t xml:space="preserve"> monitoring</w:t>
      </w:r>
      <w:r>
        <w:rPr>
          <w:rFonts w:eastAsia="Times New Roman" w:cstheme="minorHAnsi"/>
          <w:lang w:val="en-GB"/>
        </w:rPr>
        <w:t xml:space="preserve"> role. Whether designated as </w:t>
      </w:r>
      <w:r w:rsidR="00A518FD">
        <w:rPr>
          <w:rFonts w:eastAsia="Times New Roman" w:cstheme="minorHAnsi"/>
          <w:lang w:val="en-GB"/>
        </w:rPr>
        <w:t xml:space="preserve">part of a larger framework or as the stand alone </w:t>
      </w:r>
      <w:r>
        <w:rPr>
          <w:rFonts w:eastAsia="Times New Roman" w:cstheme="minorHAnsi"/>
          <w:lang w:val="en-GB"/>
        </w:rPr>
        <w:t>independent monitoring mechanism</w:t>
      </w:r>
      <w:r w:rsidR="00245514">
        <w:rPr>
          <w:rFonts w:eastAsia="Times New Roman" w:cstheme="minorHAnsi"/>
          <w:lang w:val="en-GB"/>
        </w:rPr>
        <w:t>s</w:t>
      </w:r>
      <w:r>
        <w:rPr>
          <w:rFonts w:eastAsia="Times New Roman" w:cstheme="minorHAnsi"/>
          <w:lang w:val="en-GB"/>
        </w:rPr>
        <w:t xml:space="preserve">, NHRIs, based on their broad mandate under the Paris Principles, play a unique role </w:t>
      </w:r>
      <w:r w:rsidR="00CC3BDC">
        <w:rPr>
          <w:rFonts w:eastAsia="Times New Roman" w:cstheme="minorHAnsi"/>
          <w:lang w:val="en-GB"/>
        </w:rPr>
        <w:t>monitoring</w:t>
      </w:r>
      <w:r w:rsidR="00C00725">
        <w:rPr>
          <w:rFonts w:eastAsia="Times New Roman" w:cstheme="minorHAnsi"/>
          <w:lang w:val="en-GB"/>
        </w:rPr>
        <w:t xml:space="preserve"> the</w:t>
      </w:r>
      <w:r w:rsidR="00CC3BDC">
        <w:rPr>
          <w:rFonts w:eastAsia="Times New Roman" w:cstheme="minorHAnsi"/>
          <w:lang w:val="en-GB"/>
        </w:rPr>
        <w:t xml:space="preserve"> </w:t>
      </w:r>
      <w:r>
        <w:rPr>
          <w:rFonts w:eastAsia="Times New Roman" w:cstheme="minorHAnsi"/>
          <w:lang w:val="en-GB"/>
        </w:rPr>
        <w:t xml:space="preserve">implementation of the CRPD at national level including through: </w:t>
      </w:r>
      <w:r>
        <w:t xml:space="preserve">managing complaints; supporting rights-based reviews of legislation and enhancing engagement of persons with disabilities and Organization of Persons with Disabilities (OPDs) to help identify the barriers faced by persons with disabilities </w:t>
      </w:r>
      <w:r w:rsidR="00D1369C">
        <w:t xml:space="preserve">to </w:t>
      </w:r>
      <w:r>
        <w:t>full</w:t>
      </w:r>
      <w:r w:rsidR="00D1369C">
        <w:t>y</w:t>
      </w:r>
      <w:r>
        <w:t xml:space="preserve"> participat</w:t>
      </w:r>
      <w:r w:rsidR="00D1369C">
        <w:t>e</w:t>
      </w:r>
      <w:r>
        <w:t xml:space="preserve"> in society and the enjoyment of all human rights on an equal basis with others. Through their mandate to promote human rights of persons with disabilities, NHRIs also engage in public awareness-raising and the formulation of human rights education programmes regarding disability rights to promote inclusion and combat discrimination. </w:t>
      </w:r>
    </w:p>
    <w:p w14:paraId="215257C8" w14:textId="0D11B020" w:rsidR="00245514" w:rsidRDefault="00C868C8" w:rsidP="009927B4">
      <w:pPr>
        <w:jc w:val="both"/>
        <w:rPr>
          <w:rFonts w:eastAsia="Times New Roman" w:cstheme="minorHAnsi"/>
          <w:lang w:val="en-GB"/>
        </w:rPr>
      </w:pPr>
      <w:r>
        <w:t xml:space="preserve">In 2018, in the </w:t>
      </w:r>
      <w:r w:rsidRPr="002753F9">
        <w:t xml:space="preserve">context of </w:t>
      </w:r>
      <w:r>
        <w:t>a</w:t>
      </w:r>
      <w:r w:rsidRPr="002753F9">
        <w:t xml:space="preserve"> year-long celebration</w:t>
      </w:r>
      <w:r>
        <w:t xml:space="preserve"> </w:t>
      </w:r>
      <w:r w:rsidRPr="002753F9">
        <w:t>of the 70</w:t>
      </w:r>
      <w:r w:rsidRPr="002753F9">
        <w:rPr>
          <w:vertAlign w:val="superscript"/>
        </w:rPr>
        <w:t>th</w:t>
      </w:r>
      <w:r w:rsidRPr="002753F9">
        <w:t xml:space="preserve"> anniversary of the Universal Declaration on Human Rights and the 25</w:t>
      </w:r>
      <w:r w:rsidRPr="002753F9">
        <w:rPr>
          <w:vertAlign w:val="superscript"/>
        </w:rPr>
        <w:t>th</w:t>
      </w:r>
      <w:r w:rsidRPr="002753F9">
        <w:t xml:space="preserve"> anniversary of the adoption of the Paris Principles by the UN </w:t>
      </w:r>
      <w:r w:rsidRPr="002753F9">
        <w:rPr>
          <w:rFonts w:cstheme="minorHAnsi"/>
        </w:rPr>
        <w:t xml:space="preserve">General Assembly and the establishment of </w:t>
      </w:r>
      <w:r>
        <w:rPr>
          <w:rFonts w:cstheme="minorHAnsi"/>
        </w:rPr>
        <w:t xml:space="preserve">a </w:t>
      </w:r>
      <w:r w:rsidRPr="002753F9">
        <w:rPr>
          <w:rFonts w:cstheme="minorHAnsi"/>
        </w:rPr>
        <w:t>network</w:t>
      </w:r>
      <w:r>
        <w:rPr>
          <w:rFonts w:cstheme="minorHAnsi"/>
        </w:rPr>
        <w:t>, t</w:t>
      </w:r>
      <w:r w:rsidR="002753F9" w:rsidRPr="002753F9">
        <w:t xml:space="preserve">he Committee on the </w:t>
      </w:r>
      <w:r w:rsidR="00CC3BDC">
        <w:t>R</w:t>
      </w:r>
      <w:r w:rsidR="002753F9" w:rsidRPr="002753F9">
        <w:t xml:space="preserve">ights of Persons with Disabilities (hereinafter </w:t>
      </w:r>
      <w:r w:rsidR="00F422EA">
        <w:t>“</w:t>
      </w:r>
      <w:r w:rsidR="002753F9" w:rsidRPr="002753F9">
        <w:t>the Committee</w:t>
      </w:r>
      <w:r w:rsidR="00F422EA">
        <w:t>”</w:t>
      </w:r>
      <w:r w:rsidR="002753F9" w:rsidRPr="002753F9">
        <w:t xml:space="preserve">) and </w:t>
      </w:r>
      <w:r w:rsidR="000D0EC7">
        <w:rPr>
          <w:rFonts w:cstheme="minorHAnsi"/>
        </w:rPr>
        <w:t xml:space="preserve">the </w:t>
      </w:r>
      <w:r w:rsidR="000D0EC7" w:rsidRPr="002753F9">
        <w:t xml:space="preserve">Global Alliance of </w:t>
      </w:r>
      <w:r w:rsidR="000D0EC7" w:rsidRPr="002753F9">
        <w:rPr>
          <w:rFonts w:cstheme="minorHAnsi"/>
        </w:rPr>
        <w:t>N</w:t>
      </w:r>
      <w:r w:rsidR="006150AF">
        <w:rPr>
          <w:rFonts w:cstheme="minorHAnsi"/>
        </w:rPr>
        <w:t xml:space="preserve">ational </w:t>
      </w:r>
      <w:r w:rsidR="000D0EC7" w:rsidRPr="002753F9">
        <w:rPr>
          <w:rFonts w:cstheme="minorHAnsi"/>
        </w:rPr>
        <w:t>H</w:t>
      </w:r>
      <w:r w:rsidR="006150AF">
        <w:rPr>
          <w:rFonts w:cstheme="minorHAnsi"/>
        </w:rPr>
        <w:t xml:space="preserve">uman </w:t>
      </w:r>
      <w:r w:rsidR="000D0EC7" w:rsidRPr="002753F9">
        <w:rPr>
          <w:rFonts w:cstheme="minorHAnsi"/>
        </w:rPr>
        <w:t>R</w:t>
      </w:r>
      <w:r w:rsidR="006150AF">
        <w:rPr>
          <w:rFonts w:cstheme="minorHAnsi"/>
        </w:rPr>
        <w:t xml:space="preserve">ights </w:t>
      </w:r>
      <w:r w:rsidR="000D0EC7" w:rsidRPr="002753F9">
        <w:rPr>
          <w:rFonts w:cstheme="minorHAnsi"/>
        </w:rPr>
        <w:t>I</w:t>
      </w:r>
      <w:r w:rsidR="006150AF">
        <w:rPr>
          <w:rFonts w:cstheme="minorHAnsi"/>
        </w:rPr>
        <w:t>nstitution</w:t>
      </w:r>
      <w:r w:rsidR="000D0EC7" w:rsidRPr="002753F9">
        <w:rPr>
          <w:rFonts w:cstheme="minorHAnsi"/>
        </w:rPr>
        <w:t>s – GANHRI</w:t>
      </w:r>
      <w:r w:rsidR="000D0EC7">
        <w:rPr>
          <w:rFonts w:cstheme="minorHAnsi"/>
        </w:rPr>
        <w:t xml:space="preserve"> </w:t>
      </w:r>
      <w:r w:rsidR="002753F9" w:rsidRPr="002753F9">
        <w:t xml:space="preserve">held a half-day interactive debate </w:t>
      </w:r>
      <w:r w:rsidR="00CC3BDC">
        <w:t>during the 19th session of the Committee</w:t>
      </w:r>
      <w:r w:rsidR="005A1E16">
        <w:t xml:space="preserve"> and GANHRI’s Annual Meeting in March 2018</w:t>
      </w:r>
      <w:r w:rsidR="000D0EC7">
        <w:t xml:space="preserve">. The Interactive debate has been established as a Committee’s standard item of its agenda and takes place on an annual basis, as part of the overall work on the Committee in facilitating engagement with stakeholders, particularly IMMs and NHRIs. </w:t>
      </w:r>
      <w:r>
        <w:t xml:space="preserve">The discussions </w:t>
      </w:r>
      <w:r w:rsidR="002753F9" w:rsidRPr="002753F9">
        <w:t xml:space="preserve">focused on </w:t>
      </w:r>
      <w:r w:rsidR="004A11CA" w:rsidRPr="004A11CA">
        <w:t xml:space="preserve">sharing the practices </w:t>
      </w:r>
      <w:r w:rsidR="002753F9" w:rsidRPr="002753F9">
        <w:t xml:space="preserve">of </w:t>
      </w:r>
      <w:r>
        <w:t>NHRIs</w:t>
      </w:r>
      <w:r w:rsidR="004A11CA">
        <w:t xml:space="preserve"> </w:t>
      </w:r>
      <w:r w:rsidR="004A11CA" w:rsidRPr="004A11CA">
        <w:t>in monitoring article 19 of the Convention and on the participation of persons with disabilities in monitoring activities at the national level</w:t>
      </w:r>
      <w:r w:rsidR="000D0EC7">
        <w:t>, in line with article 33 (3) of the CRPD</w:t>
      </w:r>
      <w:r w:rsidR="002753F9" w:rsidRPr="002753F9">
        <w:t xml:space="preserve">. </w:t>
      </w:r>
      <w:r>
        <w:rPr>
          <w:rFonts w:cstheme="minorHAnsi"/>
        </w:rPr>
        <w:t xml:space="preserve">This included </w:t>
      </w:r>
      <w:r w:rsidR="002753F9">
        <w:rPr>
          <w:rFonts w:eastAsia="Times New Roman" w:cstheme="minorHAnsi"/>
          <w:lang w:val="en-GB"/>
        </w:rPr>
        <w:t>experiences on the role of NHRIs</w:t>
      </w:r>
      <w:r>
        <w:rPr>
          <w:rFonts w:eastAsia="Times New Roman" w:cstheme="minorHAnsi"/>
          <w:lang w:val="en-GB"/>
        </w:rPr>
        <w:t xml:space="preserve"> </w:t>
      </w:r>
      <w:r w:rsidR="002753F9">
        <w:rPr>
          <w:rFonts w:eastAsia="Times New Roman" w:cstheme="minorHAnsi"/>
          <w:lang w:val="en-GB"/>
        </w:rPr>
        <w:t>u</w:t>
      </w:r>
      <w:r>
        <w:rPr>
          <w:rFonts w:eastAsia="Times New Roman" w:cstheme="minorHAnsi"/>
          <w:lang w:val="en-GB"/>
        </w:rPr>
        <w:t>sing</w:t>
      </w:r>
      <w:r w:rsidR="002753F9">
        <w:rPr>
          <w:rFonts w:eastAsia="Times New Roman" w:cstheme="minorHAnsi"/>
          <w:lang w:val="en-GB"/>
        </w:rPr>
        <w:t xml:space="preserve"> indicators, data and benchmarks and on </w:t>
      </w:r>
      <w:r w:rsidR="002753F9">
        <w:rPr>
          <w:rFonts w:eastAsia="Times New Roman" w:cstheme="minorHAnsi"/>
          <w:lang w:val="en-GB"/>
        </w:rPr>
        <w:lastRenderedPageBreak/>
        <w:t>good practices concerning the meaningful participation of persons with disabilities and their representative organizations with</w:t>
      </w:r>
      <w:r w:rsidR="00D1369C">
        <w:rPr>
          <w:rFonts w:eastAsia="Times New Roman" w:cstheme="minorHAnsi"/>
          <w:lang w:val="en-GB"/>
        </w:rPr>
        <w:t>in</w:t>
      </w:r>
      <w:r w:rsidR="002753F9">
        <w:rPr>
          <w:rFonts w:eastAsia="Times New Roman" w:cstheme="minorHAnsi"/>
          <w:lang w:val="en-GB"/>
        </w:rPr>
        <w:t xml:space="preserve"> the independent monitoring mechanisms or monitoring frameworks at the national level.  </w:t>
      </w:r>
    </w:p>
    <w:p w14:paraId="1A255676" w14:textId="27660843" w:rsidR="004B4AF2" w:rsidRPr="00245514" w:rsidRDefault="004B4AF2" w:rsidP="009927B4">
      <w:pPr>
        <w:jc w:val="both"/>
        <w:rPr>
          <w:rFonts w:eastAsia="Times New Roman" w:cstheme="minorHAnsi"/>
          <w:lang w:val="en-GB"/>
        </w:rPr>
      </w:pPr>
      <w:r w:rsidRPr="003435EC">
        <w:rPr>
          <w:rFonts w:eastAsia="Times New Roman" w:cstheme="minorHAnsi"/>
          <w:b/>
          <w:lang w:val="en-GB"/>
        </w:rPr>
        <w:t>The dialogue culminated in a Joint Declaration between the Committee and GANHRI</w:t>
      </w:r>
      <w:r w:rsidR="00C616CD">
        <w:rPr>
          <w:rFonts w:eastAsia="Times New Roman" w:cstheme="minorHAnsi"/>
          <w:b/>
          <w:lang w:val="en-GB"/>
        </w:rPr>
        <w:t>,</w:t>
      </w:r>
      <w:r w:rsidRPr="003435EC">
        <w:rPr>
          <w:rFonts w:eastAsia="Times New Roman" w:cstheme="minorHAnsi"/>
          <w:b/>
          <w:lang w:val="en-GB"/>
        </w:rPr>
        <w:t xml:space="preserve"> which included several recommendations</w:t>
      </w:r>
      <w:r w:rsidR="00441EF5">
        <w:rPr>
          <w:rFonts w:eastAsia="Times New Roman" w:cstheme="minorHAnsi"/>
          <w:b/>
          <w:lang w:val="en-GB"/>
        </w:rPr>
        <w:t>,</w:t>
      </w:r>
      <w:r w:rsidRPr="003435EC">
        <w:rPr>
          <w:rFonts w:eastAsia="Times New Roman" w:cstheme="minorHAnsi"/>
          <w:b/>
          <w:lang w:val="en-GB"/>
        </w:rPr>
        <w:t xml:space="preserve"> </w:t>
      </w:r>
      <w:r w:rsidR="00441EF5">
        <w:rPr>
          <w:rFonts w:eastAsia="Times New Roman" w:cstheme="minorHAnsi"/>
          <w:b/>
          <w:lang w:val="en-GB"/>
        </w:rPr>
        <w:t>such as</w:t>
      </w:r>
      <w:r w:rsidR="009927B4" w:rsidRPr="003435EC">
        <w:rPr>
          <w:rFonts w:eastAsia="Times New Roman" w:cstheme="minorHAnsi"/>
          <w:b/>
          <w:lang w:val="en-GB"/>
        </w:rPr>
        <w:t>: “</w:t>
      </w:r>
      <w:r w:rsidRPr="003435EC">
        <w:rPr>
          <w:rFonts w:eastAsia="Times New Roman" w:cstheme="minorHAnsi"/>
          <w:b/>
          <w:i/>
          <w:lang w:val="en-GB"/>
        </w:rPr>
        <w:t>t</w:t>
      </w:r>
      <w:r w:rsidRPr="003435EC">
        <w:rPr>
          <w:b/>
          <w:i/>
        </w:rPr>
        <w:t>o support effective national monitoring mechanisms at country level, it is necessary to develop and maintain a repository of good practices of monitoring the Convention.</w:t>
      </w:r>
      <w:r w:rsidR="0099281F">
        <w:rPr>
          <w:b/>
          <w:i/>
        </w:rPr>
        <w:t>”</w:t>
      </w:r>
      <w:r w:rsidRPr="003435EC">
        <w:rPr>
          <w:b/>
          <w:i/>
        </w:rPr>
        <w:t xml:space="preserve"> </w:t>
      </w:r>
      <w:r w:rsidR="003A6A51" w:rsidRPr="004B4AF2">
        <w:t xml:space="preserve">See </w:t>
      </w:r>
      <w:hyperlink r:id="rId12" w:history="1">
        <w:r w:rsidR="003A6A51" w:rsidRPr="004B4AF2">
          <w:rPr>
            <w:rStyle w:val="Hyperlink"/>
          </w:rPr>
          <w:t>here</w:t>
        </w:r>
      </w:hyperlink>
      <w:r w:rsidR="003A6A51" w:rsidRPr="004B4AF2">
        <w:t xml:space="preserve">. </w:t>
      </w:r>
      <w:r w:rsidRPr="00F422EA">
        <w:t xml:space="preserve">This initiative aims to </w:t>
      </w:r>
      <w:r w:rsidR="00C868C8">
        <w:t>implement</w:t>
      </w:r>
      <w:r w:rsidRPr="00F422EA">
        <w:t xml:space="preserve"> this recommendation</w:t>
      </w:r>
      <w:r w:rsidR="0062421F">
        <w:t xml:space="preserve"> and provide global strategic resources on disability rights</w:t>
      </w:r>
      <w:r w:rsidRPr="00F422EA">
        <w:t>.</w:t>
      </w:r>
      <w:r w:rsidR="003A6A51" w:rsidRPr="003A6A51">
        <w:t xml:space="preserve"> </w:t>
      </w:r>
    </w:p>
    <w:p w14:paraId="2572B83F" w14:textId="443D1848" w:rsidR="006A2714" w:rsidRPr="003A6A51" w:rsidRDefault="006A2714" w:rsidP="006C28CF">
      <w:pPr>
        <w:pStyle w:val="Heading1"/>
        <w:rPr>
          <w:b w:val="0"/>
          <w:color w:val="auto"/>
          <w:sz w:val="22"/>
          <w:szCs w:val="22"/>
        </w:rPr>
      </w:pPr>
      <w:r w:rsidRPr="003A6A51">
        <w:rPr>
          <w:b w:val="0"/>
          <w:color w:val="auto"/>
          <w:sz w:val="22"/>
          <w:szCs w:val="22"/>
        </w:rPr>
        <w:t>Th</w:t>
      </w:r>
      <w:r w:rsidR="00C868C8" w:rsidRPr="003A6A51">
        <w:rPr>
          <w:b w:val="0"/>
          <w:color w:val="auto"/>
          <w:sz w:val="22"/>
          <w:szCs w:val="22"/>
        </w:rPr>
        <w:t>e</w:t>
      </w:r>
      <w:r w:rsidRPr="003A6A51">
        <w:rPr>
          <w:b w:val="0"/>
          <w:color w:val="auto"/>
          <w:sz w:val="22"/>
          <w:szCs w:val="22"/>
        </w:rPr>
        <w:t xml:space="preserve"> present proposal </w:t>
      </w:r>
      <w:r w:rsidR="003435EC" w:rsidRPr="003A6A51">
        <w:rPr>
          <w:b w:val="0"/>
          <w:color w:val="auto"/>
          <w:sz w:val="22"/>
          <w:szCs w:val="22"/>
        </w:rPr>
        <w:t xml:space="preserve">represents a partnership effort </w:t>
      </w:r>
      <w:r w:rsidR="00EB3CAA" w:rsidRPr="003A6A51">
        <w:rPr>
          <w:b w:val="0"/>
          <w:color w:val="auto"/>
          <w:sz w:val="22"/>
          <w:szCs w:val="22"/>
        </w:rPr>
        <w:t xml:space="preserve">between UNDP, OHCHR and GANHRI </w:t>
      </w:r>
      <w:r w:rsidR="003435EC" w:rsidRPr="003A6A51">
        <w:rPr>
          <w:b w:val="0"/>
          <w:color w:val="auto"/>
          <w:sz w:val="22"/>
          <w:szCs w:val="22"/>
        </w:rPr>
        <w:t xml:space="preserve">to </w:t>
      </w:r>
      <w:r w:rsidRPr="003A6A51">
        <w:rPr>
          <w:b w:val="0"/>
          <w:color w:val="auto"/>
          <w:sz w:val="22"/>
          <w:szCs w:val="22"/>
        </w:rPr>
        <w:t>achieve this.</w:t>
      </w:r>
    </w:p>
    <w:p w14:paraId="3D131863" w14:textId="643750D0" w:rsidR="00BC4B02" w:rsidRDefault="00BC4B02" w:rsidP="0062421F">
      <w:pPr>
        <w:pStyle w:val="Heading1"/>
        <w:numPr>
          <w:ilvl w:val="0"/>
          <w:numId w:val="50"/>
        </w:numPr>
      </w:pPr>
      <w:r w:rsidRPr="004D202B">
        <w:t>Back</w:t>
      </w:r>
      <w:r>
        <w:t>ground</w:t>
      </w:r>
      <w:r w:rsidRPr="00456CC0">
        <w:rPr>
          <w:rFonts w:eastAsia="Times New Roman" w:cs="Times New Roman"/>
        </w:rPr>
        <w:t xml:space="preserve"> </w:t>
      </w:r>
      <w:r w:rsidRPr="00456CC0">
        <w:t xml:space="preserve">and </w:t>
      </w:r>
      <w:r w:rsidR="008605CA">
        <w:t>Rationale</w:t>
      </w:r>
    </w:p>
    <w:p w14:paraId="4A1A0B7B" w14:textId="77777777" w:rsidR="0062421F" w:rsidRPr="0062421F" w:rsidRDefault="0062421F" w:rsidP="0062421F"/>
    <w:p w14:paraId="209B5D17" w14:textId="77777777" w:rsidR="00BC4B02" w:rsidRPr="00EE587F" w:rsidRDefault="006C28CF" w:rsidP="004B4AF2">
      <w:pPr>
        <w:pStyle w:val="Heading2"/>
        <w:spacing w:after="200"/>
      </w:pPr>
      <w:r>
        <w:t xml:space="preserve">1.1 </w:t>
      </w:r>
      <w:r w:rsidR="00BC4B02">
        <w:t>Challenges</w:t>
      </w:r>
      <w:r w:rsidR="00C03012">
        <w:t xml:space="preserve"> to be addressed by the project</w:t>
      </w:r>
    </w:p>
    <w:p w14:paraId="034F0E01" w14:textId="02A9D878" w:rsidR="00A026EA" w:rsidRDefault="00A026EA" w:rsidP="004B4AF2">
      <w:pPr>
        <w:jc w:val="both"/>
        <w:rPr>
          <w:sz w:val="20"/>
        </w:rPr>
      </w:pPr>
      <w:r>
        <w:t xml:space="preserve">The CRPD outlines specific arrangements for national implementation and monitoring including a requirement that State </w:t>
      </w:r>
      <w:r w:rsidR="00B6196E">
        <w:t>p</w:t>
      </w:r>
      <w:r>
        <w:t xml:space="preserve">arties designate </w:t>
      </w:r>
      <w:r w:rsidR="00B6196E">
        <w:t xml:space="preserve">one or more </w:t>
      </w:r>
      <w:r>
        <w:t>focal point</w:t>
      </w:r>
      <w:r w:rsidR="00B6196E">
        <w:t>s</w:t>
      </w:r>
      <w:r>
        <w:t xml:space="preserve"> within government and </w:t>
      </w:r>
      <w:r w:rsidR="00B6196E">
        <w:t xml:space="preserve">that they consider the establishment of </w:t>
      </w:r>
      <w:r>
        <w:t>a coordination mechanism to facilitate actions in different sectors relating to implementation</w:t>
      </w:r>
      <w:r w:rsidR="009677FF">
        <w:t xml:space="preserve"> (a</w:t>
      </w:r>
      <w:r w:rsidR="00C616CD">
        <w:t>rticle 33 (1), (3))</w:t>
      </w:r>
      <w:r>
        <w:t xml:space="preserve">. It also requires State </w:t>
      </w:r>
      <w:r w:rsidR="00B6196E">
        <w:t>p</w:t>
      </w:r>
      <w:r>
        <w:t xml:space="preserve">arties to designate an </w:t>
      </w:r>
      <w:r w:rsidRPr="00F422EA">
        <w:rPr>
          <w:u w:val="single"/>
        </w:rPr>
        <w:t>independent</w:t>
      </w:r>
      <w:r>
        <w:t xml:space="preserve"> mechanism to promote, protect and monitor implementation in line with the principles relating to the status and functioning of national institutions for the protection and promotion of human rights and to ensure the full participation of civil society in the monitoring process</w:t>
      </w:r>
      <w:r w:rsidR="00B859E3">
        <w:t xml:space="preserve"> (</w:t>
      </w:r>
      <w:r w:rsidR="009677FF">
        <w:t>a</w:t>
      </w:r>
      <w:r w:rsidR="00B859E3">
        <w:t>rticle 33 (2))</w:t>
      </w:r>
      <w:r>
        <w:t>.</w:t>
      </w:r>
    </w:p>
    <w:p w14:paraId="75752A95" w14:textId="2DA24204" w:rsidR="00F422EA" w:rsidRPr="00FC7BDD" w:rsidRDefault="004B4AF2" w:rsidP="004B4AF2">
      <w:pPr>
        <w:jc w:val="both"/>
      </w:pPr>
      <w:r w:rsidRPr="00FC7BDD">
        <w:t xml:space="preserve">With </w:t>
      </w:r>
      <w:r w:rsidR="005B567B" w:rsidRPr="00FC7BDD">
        <w:t>181 S</w:t>
      </w:r>
      <w:r w:rsidRPr="00FC7BDD">
        <w:t xml:space="preserve">tate parties to the CRPD, </w:t>
      </w:r>
      <w:r w:rsidR="00FC7BDD" w:rsidRPr="00FC7BDD">
        <w:t xml:space="preserve">an increasing number of States seek guidance for </w:t>
      </w:r>
      <w:r w:rsidRPr="00FC7BDD">
        <w:t xml:space="preserve">variable approaches to supporting national implementation and monitoring </w:t>
      </w:r>
      <w:r w:rsidR="00FC7BDD" w:rsidRPr="00FC7BDD">
        <w:t>and first good practices are emerging</w:t>
      </w:r>
      <w:r w:rsidR="00F422EA" w:rsidRPr="00FC7BDD">
        <w:t>.</w:t>
      </w:r>
    </w:p>
    <w:p w14:paraId="143D01EA" w14:textId="3C7F180A" w:rsidR="003435EC" w:rsidRPr="004C6A03" w:rsidRDefault="00F422EA" w:rsidP="004B4AF2">
      <w:pPr>
        <w:jc w:val="both"/>
        <w:rPr>
          <w:color w:val="000000" w:themeColor="text1"/>
        </w:rPr>
      </w:pPr>
      <w:r w:rsidRPr="00FC7BDD">
        <w:t xml:space="preserve">To date, </w:t>
      </w:r>
      <w:r w:rsidR="00FC7BDD" w:rsidRPr="00FC7BDD">
        <w:t xml:space="preserve">however, </w:t>
      </w:r>
      <w:r w:rsidRPr="00FC7BDD">
        <w:t>other than the guidance issued by the Committee in its “Guidelines on Independent Monitoring Frameworks and their participation in the work of the Committee”</w:t>
      </w:r>
      <w:r w:rsidRPr="00FC7BDD">
        <w:rPr>
          <w:rStyle w:val="FootnoteReference"/>
        </w:rPr>
        <w:footnoteReference w:id="2"/>
      </w:r>
      <w:r w:rsidRPr="00FC7BDD">
        <w:t xml:space="preserve">, no </w:t>
      </w:r>
      <w:r w:rsidR="00441EF5">
        <w:t xml:space="preserve">UN </w:t>
      </w:r>
      <w:r w:rsidRPr="00FC7BDD">
        <w:t xml:space="preserve">Practical Guidance </w:t>
      </w:r>
      <w:r w:rsidR="00FC7BDD" w:rsidRPr="00FC7BDD">
        <w:t>nor</w:t>
      </w:r>
      <w:r w:rsidRPr="00FC7BDD">
        <w:t xml:space="preserve"> analysis comparing good practices from different countries </w:t>
      </w:r>
      <w:r w:rsidR="005A1E16">
        <w:t xml:space="preserve">and mechanisms </w:t>
      </w:r>
      <w:r w:rsidRPr="00FC7BDD">
        <w:t xml:space="preserve">including </w:t>
      </w:r>
      <w:r w:rsidR="00FC7BDD" w:rsidRPr="00FC7BDD">
        <w:t xml:space="preserve">as </w:t>
      </w:r>
      <w:r w:rsidRPr="00FC7BDD">
        <w:t>assessed by the Committee in its State party reviews upon submission</w:t>
      </w:r>
      <w:r w:rsidR="00FC7BDD" w:rsidRPr="00FC7BDD">
        <w:t xml:space="preserve"> </w:t>
      </w:r>
      <w:r w:rsidRPr="00FC7BDD">
        <w:t>of State party report</w:t>
      </w:r>
      <w:r w:rsidR="00FC7BDD" w:rsidRPr="00FC7BDD">
        <w:t>s</w:t>
      </w:r>
      <w:r w:rsidRPr="00FC7BDD">
        <w:t>, exists</w:t>
      </w:r>
      <w:r w:rsidR="00441EF5">
        <w:rPr>
          <w:rStyle w:val="FootnoteReference"/>
        </w:rPr>
        <w:footnoteReference w:id="3"/>
      </w:r>
      <w:r w:rsidRPr="00FC7BDD">
        <w:t>.</w:t>
      </w:r>
      <w:r w:rsidR="00FC7BDD" w:rsidRPr="00FC7BDD">
        <w:t xml:space="preserve"> </w:t>
      </w:r>
      <w:r w:rsidRPr="00FC7BDD">
        <w:t>There is also</w:t>
      </w:r>
      <w:r w:rsidR="009927B4" w:rsidRPr="00FC7BDD">
        <w:t xml:space="preserve"> no current complete repository of national </w:t>
      </w:r>
      <w:r w:rsidR="00FC7BDD" w:rsidRPr="00FC7BDD">
        <w:t xml:space="preserve">independent </w:t>
      </w:r>
      <w:r w:rsidR="00266D78" w:rsidRPr="00FC7BDD">
        <w:t>monitoring mechanisms</w:t>
      </w:r>
      <w:r w:rsidR="00FC7BDD" w:rsidRPr="00FC7BDD">
        <w:t xml:space="preserve"> (IMMs)</w:t>
      </w:r>
      <w:r w:rsidR="009D125F">
        <w:rPr>
          <w:color w:val="FF0000"/>
        </w:rPr>
        <w:t xml:space="preserve"> </w:t>
      </w:r>
      <w:r w:rsidR="009D125F" w:rsidRPr="004C6A03">
        <w:rPr>
          <w:color w:val="000000" w:themeColor="text1"/>
        </w:rPr>
        <w:t>unlike for National Preventive Mechanisms under the Option</w:t>
      </w:r>
      <w:r w:rsidR="004C6A03">
        <w:rPr>
          <w:color w:val="000000" w:themeColor="text1"/>
        </w:rPr>
        <w:t>al Protocol for the Convention a</w:t>
      </w:r>
      <w:r w:rsidR="009D125F" w:rsidRPr="004C6A03">
        <w:rPr>
          <w:color w:val="000000" w:themeColor="text1"/>
        </w:rPr>
        <w:t>gainst Torture and other Cruel, Inhuman or Degrading Treatment.</w:t>
      </w:r>
    </w:p>
    <w:p w14:paraId="42DFB91B" w14:textId="34FDBBD7" w:rsidR="000B2840" w:rsidRPr="004B4AF2" w:rsidRDefault="000B2840" w:rsidP="000B2840">
      <w:pPr>
        <w:spacing w:after="0" w:line="240" w:lineRule="auto"/>
        <w:jc w:val="both"/>
        <w:rPr>
          <w:i/>
          <w:sz w:val="20"/>
        </w:rPr>
      </w:pPr>
    </w:p>
    <w:p w14:paraId="1BCD1362" w14:textId="77777777" w:rsidR="000B2840" w:rsidRPr="000B2840" w:rsidRDefault="000B2840" w:rsidP="000B2840">
      <w:pPr>
        <w:pStyle w:val="Heading2"/>
      </w:pPr>
      <w:r>
        <w:t>1.2 Rationale for a global programme approach</w:t>
      </w:r>
    </w:p>
    <w:p w14:paraId="735A256D" w14:textId="77777777" w:rsidR="003A6A51" w:rsidRDefault="003A6A51" w:rsidP="003A6A51">
      <w:pPr>
        <w:jc w:val="both"/>
      </w:pPr>
    </w:p>
    <w:p w14:paraId="6DB6E7D0" w14:textId="6CFAC1A2" w:rsidR="00A026EA" w:rsidRPr="00197F87" w:rsidRDefault="00A026EA" w:rsidP="00CC149F">
      <w:pPr>
        <w:pStyle w:val="CommentText"/>
        <w:spacing w:line="276" w:lineRule="auto"/>
        <w:jc w:val="both"/>
        <w:rPr>
          <w:sz w:val="22"/>
          <w:szCs w:val="22"/>
        </w:rPr>
      </w:pPr>
      <w:r w:rsidRPr="00197F87">
        <w:rPr>
          <w:sz w:val="22"/>
          <w:szCs w:val="22"/>
        </w:rPr>
        <w:t xml:space="preserve">To support effective </w:t>
      </w:r>
      <w:r w:rsidR="00F33C21" w:rsidRPr="00197F87">
        <w:rPr>
          <w:sz w:val="22"/>
          <w:szCs w:val="22"/>
        </w:rPr>
        <w:t xml:space="preserve">independent </w:t>
      </w:r>
      <w:r w:rsidRPr="00197F87">
        <w:rPr>
          <w:sz w:val="22"/>
          <w:szCs w:val="22"/>
        </w:rPr>
        <w:t xml:space="preserve">monitoring mechanisms </w:t>
      </w:r>
      <w:r w:rsidR="005A1E16" w:rsidRPr="00197F87">
        <w:rPr>
          <w:sz w:val="22"/>
          <w:szCs w:val="22"/>
        </w:rPr>
        <w:t xml:space="preserve">and NHRIs </w:t>
      </w:r>
      <w:r w:rsidRPr="00197F87">
        <w:rPr>
          <w:sz w:val="22"/>
          <w:szCs w:val="22"/>
        </w:rPr>
        <w:t>at country level</w:t>
      </w:r>
      <w:r w:rsidR="003A6A51" w:rsidRPr="00197F87">
        <w:rPr>
          <w:sz w:val="22"/>
          <w:szCs w:val="22"/>
        </w:rPr>
        <w:t xml:space="preserve"> benefitting from the experiences in all regions and as assessed by the Committee at the global level</w:t>
      </w:r>
      <w:r w:rsidRPr="00197F87">
        <w:rPr>
          <w:sz w:val="22"/>
          <w:szCs w:val="22"/>
        </w:rPr>
        <w:t xml:space="preserve">, </w:t>
      </w:r>
      <w:r w:rsidR="003A6A51" w:rsidRPr="00197F87">
        <w:rPr>
          <w:sz w:val="22"/>
          <w:szCs w:val="22"/>
        </w:rPr>
        <w:t xml:space="preserve">this project </w:t>
      </w:r>
      <w:r w:rsidR="00197F87" w:rsidRPr="00197F87">
        <w:rPr>
          <w:sz w:val="22"/>
          <w:szCs w:val="22"/>
        </w:rPr>
        <w:t>brin</w:t>
      </w:r>
      <w:r w:rsidR="00197F87">
        <w:rPr>
          <w:sz w:val="22"/>
          <w:szCs w:val="22"/>
        </w:rPr>
        <w:t>g</w:t>
      </w:r>
      <w:r w:rsidR="00197F87" w:rsidRPr="00197F87">
        <w:rPr>
          <w:sz w:val="22"/>
          <w:szCs w:val="22"/>
        </w:rPr>
        <w:t>s together key global stakeholders</w:t>
      </w:r>
      <w:r w:rsidR="00197F87">
        <w:rPr>
          <w:sz w:val="22"/>
          <w:szCs w:val="22"/>
        </w:rPr>
        <w:t>, OHCHR, G</w:t>
      </w:r>
      <w:r w:rsidR="00197F87" w:rsidRPr="00197F87">
        <w:rPr>
          <w:sz w:val="22"/>
          <w:szCs w:val="22"/>
        </w:rPr>
        <w:t>AN</w:t>
      </w:r>
      <w:r w:rsidR="00197F87">
        <w:rPr>
          <w:sz w:val="22"/>
          <w:szCs w:val="22"/>
        </w:rPr>
        <w:t>H</w:t>
      </w:r>
      <w:r w:rsidR="00197F87" w:rsidRPr="00197F87">
        <w:rPr>
          <w:sz w:val="22"/>
          <w:szCs w:val="22"/>
        </w:rPr>
        <w:t xml:space="preserve">RI and UNDP </w:t>
      </w:r>
      <w:r w:rsidR="003A6A51" w:rsidRPr="00197F87">
        <w:rPr>
          <w:sz w:val="22"/>
          <w:szCs w:val="22"/>
        </w:rPr>
        <w:t xml:space="preserve">to </w:t>
      </w:r>
      <w:r w:rsidR="00197F87" w:rsidRPr="00197F87">
        <w:rPr>
          <w:sz w:val="22"/>
          <w:szCs w:val="22"/>
        </w:rPr>
        <w:t>develop</w:t>
      </w:r>
      <w:r w:rsidR="003E680F" w:rsidRPr="00197F87">
        <w:rPr>
          <w:sz w:val="22"/>
          <w:szCs w:val="22"/>
        </w:rPr>
        <w:t xml:space="preserve"> two global strategic resources </w:t>
      </w:r>
      <w:r w:rsidR="00106E61" w:rsidRPr="00197F87">
        <w:rPr>
          <w:sz w:val="22"/>
          <w:szCs w:val="22"/>
        </w:rPr>
        <w:t xml:space="preserve">on disability rights </w:t>
      </w:r>
      <w:r w:rsidR="00106E61">
        <w:rPr>
          <w:sz w:val="22"/>
          <w:szCs w:val="22"/>
        </w:rPr>
        <w:t xml:space="preserve">in consultation with the Committee, civil society and persons with disabilities </w:t>
      </w:r>
      <w:r w:rsidR="003A6A51" w:rsidRPr="00197F87">
        <w:rPr>
          <w:sz w:val="22"/>
          <w:szCs w:val="22"/>
        </w:rPr>
        <w:t xml:space="preserve">1) the development of a Practical Guide on </w:t>
      </w:r>
      <w:r w:rsidR="00245514" w:rsidRPr="00197F87">
        <w:rPr>
          <w:sz w:val="22"/>
          <w:szCs w:val="22"/>
        </w:rPr>
        <w:t>IMMs</w:t>
      </w:r>
      <w:r w:rsidR="003A6A51" w:rsidRPr="00197F87">
        <w:rPr>
          <w:sz w:val="22"/>
          <w:szCs w:val="22"/>
        </w:rPr>
        <w:t xml:space="preserve"> as well as 2) a web-based repository </w:t>
      </w:r>
      <w:r w:rsidR="00245514" w:rsidRPr="00197F87">
        <w:rPr>
          <w:sz w:val="22"/>
          <w:szCs w:val="22"/>
        </w:rPr>
        <w:t xml:space="preserve">on IMMs </w:t>
      </w:r>
      <w:r w:rsidR="003A6A51" w:rsidRPr="00197F87">
        <w:rPr>
          <w:sz w:val="22"/>
          <w:szCs w:val="22"/>
        </w:rPr>
        <w:t>to be placed on the OHCHR/</w:t>
      </w:r>
      <w:r w:rsidR="009D125F" w:rsidRPr="00197F87">
        <w:rPr>
          <w:sz w:val="22"/>
          <w:szCs w:val="22"/>
        </w:rPr>
        <w:t xml:space="preserve">CRPD </w:t>
      </w:r>
      <w:r w:rsidR="003A6A51" w:rsidRPr="00197F87">
        <w:rPr>
          <w:sz w:val="22"/>
          <w:szCs w:val="22"/>
        </w:rPr>
        <w:t xml:space="preserve">Committee webpage. </w:t>
      </w:r>
    </w:p>
    <w:p w14:paraId="1CE80D2D" w14:textId="51B3B130" w:rsidR="00C03AA5" w:rsidRDefault="000B2840" w:rsidP="006C28CF">
      <w:pPr>
        <w:pStyle w:val="Heading2"/>
      </w:pPr>
      <w:r>
        <w:t>1.3</w:t>
      </w:r>
      <w:r w:rsidR="00C03AA5" w:rsidRPr="006C28CF">
        <w:t xml:space="preserve"> Opportunities to be addressed by the project</w:t>
      </w:r>
      <w:r w:rsidR="00382CFE">
        <w:t xml:space="preserve"> </w:t>
      </w:r>
    </w:p>
    <w:p w14:paraId="5F6E7A75" w14:textId="0D0A31B3" w:rsidR="003E680F" w:rsidRDefault="003E680F" w:rsidP="00F309F7">
      <w:pPr>
        <w:spacing w:after="0" w:line="240" w:lineRule="auto"/>
        <w:jc w:val="both"/>
      </w:pPr>
    </w:p>
    <w:p w14:paraId="5B214DCF" w14:textId="3481AB72" w:rsidR="00197F87" w:rsidRPr="00CC149F" w:rsidRDefault="00197F87" w:rsidP="00CC149F">
      <w:pPr>
        <w:pStyle w:val="CommentText"/>
        <w:spacing w:line="276" w:lineRule="auto"/>
        <w:jc w:val="both"/>
        <w:rPr>
          <w:sz w:val="22"/>
          <w:szCs w:val="22"/>
        </w:rPr>
      </w:pPr>
      <w:r w:rsidRPr="00197F87">
        <w:rPr>
          <w:sz w:val="22"/>
          <w:szCs w:val="22"/>
        </w:rPr>
        <w:t>The growing interaction between the Committee and GA</w:t>
      </w:r>
      <w:r w:rsidR="00E27965">
        <w:rPr>
          <w:sz w:val="22"/>
          <w:szCs w:val="22"/>
        </w:rPr>
        <w:t xml:space="preserve">NHRI as well as the </w:t>
      </w:r>
      <w:proofErr w:type="spellStart"/>
      <w:r w:rsidR="00E27965">
        <w:rPr>
          <w:sz w:val="22"/>
          <w:szCs w:val="22"/>
        </w:rPr>
        <w:t>hightened</w:t>
      </w:r>
      <w:proofErr w:type="spellEnd"/>
      <w:r w:rsidRPr="00197F87">
        <w:rPr>
          <w:sz w:val="22"/>
          <w:szCs w:val="22"/>
        </w:rPr>
        <w:t xml:space="preserve"> move globally to strength</w:t>
      </w:r>
      <w:r w:rsidR="00E27965">
        <w:rPr>
          <w:sz w:val="22"/>
          <w:szCs w:val="22"/>
        </w:rPr>
        <w:t>en accountability mechanisms as well as</w:t>
      </w:r>
      <w:r w:rsidRPr="00197F87">
        <w:rPr>
          <w:sz w:val="22"/>
          <w:szCs w:val="22"/>
        </w:rPr>
        <w:t xml:space="preserve"> </w:t>
      </w:r>
      <w:r w:rsidR="00CC149F">
        <w:rPr>
          <w:sz w:val="22"/>
          <w:szCs w:val="22"/>
        </w:rPr>
        <w:t xml:space="preserve">the </w:t>
      </w:r>
      <w:r w:rsidRPr="00197F87">
        <w:rPr>
          <w:sz w:val="22"/>
          <w:szCs w:val="22"/>
        </w:rPr>
        <w:t xml:space="preserve">increasing number of States seeking guidance for variable approaches to supporting national implementation and monitoring </w:t>
      </w:r>
      <w:r w:rsidR="00E27965">
        <w:rPr>
          <w:sz w:val="22"/>
          <w:szCs w:val="22"/>
        </w:rPr>
        <w:t>and</w:t>
      </w:r>
      <w:r w:rsidRPr="00197F87">
        <w:rPr>
          <w:sz w:val="22"/>
          <w:szCs w:val="22"/>
        </w:rPr>
        <w:t xml:space="preserve"> first good practices which are emerging offer opportunities the projects seeks to </w:t>
      </w:r>
      <w:r w:rsidR="00CC149F">
        <w:rPr>
          <w:sz w:val="22"/>
          <w:szCs w:val="22"/>
        </w:rPr>
        <w:t>build upon</w:t>
      </w:r>
      <w:r w:rsidRPr="00197F87">
        <w:rPr>
          <w:sz w:val="22"/>
          <w:szCs w:val="22"/>
        </w:rPr>
        <w:t>.</w:t>
      </w:r>
    </w:p>
    <w:p w14:paraId="2042AF5D" w14:textId="43941BF0" w:rsidR="003A6A51" w:rsidRPr="00CC149F" w:rsidRDefault="00CC149F" w:rsidP="00CC149F">
      <w:pPr>
        <w:pStyle w:val="CommentText"/>
        <w:spacing w:after="0" w:line="276" w:lineRule="auto"/>
        <w:jc w:val="both"/>
        <w:rPr>
          <w:sz w:val="22"/>
          <w:szCs w:val="22"/>
        </w:rPr>
      </w:pPr>
      <w:r w:rsidRPr="00CC149F">
        <w:rPr>
          <w:sz w:val="22"/>
          <w:szCs w:val="22"/>
        </w:rPr>
        <w:t>The two new global complementary strategic resources on disability rights would</w:t>
      </w:r>
      <w:r w:rsidR="003A6A51" w:rsidRPr="00CC149F">
        <w:rPr>
          <w:rFonts w:cstheme="minorHAnsi"/>
          <w:sz w:val="22"/>
          <w:szCs w:val="22"/>
        </w:rPr>
        <w:t>:</w:t>
      </w:r>
    </w:p>
    <w:p w14:paraId="394E3F8E" w14:textId="0FBD790B" w:rsidR="003A6A51" w:rsidRPr="00CC149F" w:rsidRDefault="003A6A51" w:rsidP="00CC149F">
      <w:pPr>
        <w:pStyle w:val="ListParagraph"/>
        <w:numPr>
          <w:ilvl w:val="0"/>
          <w:numId w:val="49"/>
        </w:numPr>
        <w:spacing w:after="0"/>
        <w:ind w:left="714" w:hanging="357"/>
        <w:jc w:val="both"/>
        <w:rPr>
          <w:rFonts w:cstheme="minorHAnsi"/>
        </w:rPr>
      </w:pPr>
      <w:r w:rsidRPr="00CC149F">
        <w:rPr>
          <w:rFonts w:cstheme="minorHAnsi"/>
        </w:rPr>
        <w:t>Inform State parties seeking to establish, or ensure the effective functioning of IMMs</w:t>
      </w:r>
      <w:r w:rsidR="00F33C21" w:rsidRPr="00CC149F">
        <w:rPr>
          <w:rFonts w:cstheme="minorHAnsi"/>
        </w:rPr>
        <w:t>, in line with the CRPD</w:t>
      </w:r>
      <w:r w:rsidRPr="00CC149F">
        <w:rPr>
          <w:rFonts w:cstheme="minorHAnsi"/>
        </w:rPr>
        <w:t xml:space="preserve">. </w:t>
      </w:r>
    </w:p>
    <w:p w14:paraId="09E8E9FB" w14:textId="2677EF7D" w:rsidR="003A6A51" w:rsidRPr="00CC149F" w:rsidRDefault="003A6A51" w:rsidP="00CC149F">
      <w:pPr>
        <w:pStyle w:val="ListParagraph"/>
        <w:numPr>
          <w:ilvl w:val="0"/>
          <w:numId w:val="49"/>
        </w:numPr>
        <w:spacing w:after="0"/>
        <w:ind w:left="714" w:hanging="357"/>
        <w:jc w:val="both"/>
        <w:rPr>
          <w:rFonts w:cstheme="minorHAnsi"/>
        </w:rPr>
      </w:pPr>
      <w:r w:rsidRPr="00CC149F">
        <w:rPr>
          <w:rFonts w:cstheme="minorHAnsi"/>
        </w:rPr>
        <w:t xml:space="preserve">Support capacity building of IMMs </w:t>
      </w:r>
      <w:r w:rsidR="009A4FD1" w:rsidRPr="00CC149F">
        <w:rPr>
          <w:rFonts w:cstheme="minorHAnsi"/>
        </w:rPr>
        <w:t xml:space="preserve">and NHRIs </w:t>
      </w:r>
      <w:r w:rsidRPr="00CC149F">
        <w:rPr>
          <w:rFonts w:cstheme="minorHAnsi"/>
        </w:rPr>
        <w:t xml:space="preserve">to support national implementation and monitoring of the CRPD. </w:t>
      </w:r>
    </w:p>
    <w:p w14:paraId="4764E8EC" w14:textId="77777777" w:rsidR="003A6A51" w:rsidRPr="00CC149F" w:rsidRDefault="003A6A51" w:rsidP="00CC149F">
      <w:pPr>
        <w:pStyle w:val="ListParagraph"/>
        <w:numPr>
          <w:ilvl w:val="0"/>
          <w:numId w:val="49"/>
        </w:numPr>
        <w:spacing w:after="0"/>
        <w:ind w:left="714" w:hanging="357"/>
        <w:jc w:val="both"/>
        <w:rPr>
          <w:rFonts w:cstheme="minorHAnsi"/>
        </w:rPr>
      </w:pPr>
      <w:r w:rsidRPr="00CC149F">
        <w:rPr>
          <w:rFonts w:cstheme="minorHAnsi"/>
        </w:rPr>
        <w:t>Support knowledge management for the Committee and GANHRI.</w:t>
      </w:r>
    </w:p>
    <w:p w14:paraId="05487C0E" w14:textId="77777777" w:rsidR="003A6A51" w:rsidRPr="00CC149F" w:rsidRDefault="003A6A51" w:rsidP="00CC149F">
      <w:pPr>
        <w:pStyle w:val="ListParagraph"/>
        <w:numPr>
          <w:ilvl w:val="0"/>
          <w:numId w:val="49"/>
        </w:numPr>
        <w:spacing w:after="0"/>
        <w:ind w:left="714" w:hanging="357"/>
        <w:jc w:val="both"/>
        <w:rPr>
          <w:rFonts w:cstheme="minorHAnsi"/>
        </w:rPr>
      </w:pPr>
      <w:r w:rsidRPr="00CC149F">
        <w:rPr>
          <w:rFonts w:cstheme="minorHAnsi"/>
        </w:rPr>
        <w:t>Improve the engagement between the Committee and IMMs who have no NHRI involved and have a comprehensive approach to all types of independent monitoring frameworks.</w:t>
      </w:r>
    </w:p>
    <w:p w14:paraId="6DABE807" w14:textId="2CAE6635" w:rsidR="00432F48" w:rsidRPr="00CC149F" w:rsidRDefault="003A6A51" w:rsidP="00CC149F">
      <w:pPr>
        <w:pStyle w:val="CommentText"/>
        <w:numPr>
          <w:ilvl w:val="0"/>
          <w:numId w:val="49"/>
        </w:numPr>
        <w:spacing w:after="0" w:line="276" w:lineRule="auto"/>
        <w:jc w:val="both"/>
        <w:rPr>
          <w:sz w:val="22"/>
          <w:szCs w:val="22"/>
        </w:rPr>
      </w:pPr>
      <w:r w:rsidRPr="00CC149F">
        <w:rPr>
          <w:sz w:val="22"/>
          <w:szCs w:val="22"/>
        </w:rPr>
        <w:t>Align experiences and practices of NHRI</w:t>
      </w:r>
      <w:r w:rsidR="00F33C21" w:rsidRPr="00CC149F">
        <w:rPr>
          <w:sz w:val="22"/>
          <w:szCs w:val="22"/>
        </w:rPr>
        <w:t>s</w:t>
      </w:r>
      <w:r w:rsidRPr="00CC149F">
        <w:rPr>
          <w:sz w:val="22"/>
          <w:szCs w:val="22"/>
        </w:rPr>
        <w:t xml:space="preserve"> and IMMs in monitoring the Convention with indicators under the </w:t>
      </w:r>
      <w:r w:rsidR="00F33C21" w:rsidRPr="00CC149F">
        <w:rPr>
          <w:sz w:val="22"/>
          <w:szCs w:val="22"/>
        </w:rPr>
        <w:t>C</w:t>
      </w:r>
      <w:r w:rsidRPr="00CC149F">
        <w:rPr>
          <w:sz w:val="22"/>
          <w:szCs w:val="22"/>
        </w:rPr>
        <w:t xml:space="preserve">onvention. It would be the basis to gather </w:t>
      </w:r>
      <w:r w:rsidR="00245514" w:rsidRPr="00CC149F">
        <w:rPr>
          <w:sz w:val="22"/>
          <w:szCs w:val="22"/>
        </w:rPr>
        <w:t xml:space="preserve">first </w:t>
      </w:r>
      <w:r w:rsidRPr="00CC149F">
        <w:rPr>
          <w:sz w:val="22"/>
          <w:szCs w:val="22"/>
        </w:rPr>
        <w:t>data based on the human rights</w:t>
      </w:r>
      <w:r w:rsidR="009A4FD1" w:rsidRPr="00CC149F">
        <w:rPr>
          <w:sz w:val="22"/>
          <w:szCs w:val="22"/>
        </w:rPr>
        <w:t>-</w:t>
      </w:r>
      <w:r w:rsidRPr="00CC149F">
        <w:rPr>
          <w:sz w:val="22"/>
          <w:szCs w:val="22"/>
        </w:rPr>
        <w:t xml:space="preserve">based approach to </w:t>
      </w:r>
      <w:r w:rsidR="00245514" w:rsidRPr="00CC149F">
        <w:rPr>
          <w:sz w:val="22"/>
          <w:szCs w:val="22"/>
        </w:rPr>
        <w:t xml:space="preserve">data including use of </w:t>
      </w:r>
      <w:r w:rsidRPr="00CC149F">
        <w:rPr>
          <w:sz w:val="22"/>
          <w:szCs w:val="22"/>
        </w:rPr>
        <w:t xml:space="preserve">indicators. </w:t>
      </w:r>
    </w:p>
    <w:p w14:paraId="52D6B085" w14:textId="77777777" w:rsidR="00BC4B02" w:rsidRPr="006C28CF" w:rsidRDefault="006C28CF" w:rsidP="00F66AC2">
      <w:pPr>
        <w:pStyle w:val="Heading1"/>
      </w:pPr>
      <w:r>
        <w:t xml:space="preserve">2. </w:t>
      </w:r>
      <w:r w:rsidR="00BC4B02" w:rsidRPr="006C28CF">
        <w:t xml:space="preserve">Project </w:t>
      </w:r>
      <w:r w:rsidR="00A14103">
        <w:t>A</w:t>
      </w:r>
      <w:r w:rsidR="00BC4B02" w:rsidRPr="006C28CF">
        <w:t xml:space="preserve">pproach </w:t>
      </w:r>
    </w:p>
    <w:p w14:paraId="2C54681C" w14:textId="4AFB8491" w:rsidR="0062421F" w:rsidRDefault="0062421F" w:rsidP="00F66AC2">
      <w:pPr>
        <w:pStyle w:val="Heading2"/>
      </w:pPr>
    </w:p>
    <w:p w14:paraId="113ED17C" w14:textId="21653351" w:rsidR="00BC4B02" w:rsidRPr="00D9184A" w:rsidRDefault="00BC4B02" w:rsidP="00F66AC2">
      <w:pPr>
        <w:pStyle w:val="Heading2"/>
      </w:pPr>
      <w:r w:rsidRPr="00D9184A">
        <w:t>2.1</w:t>
      </w:r>
      <w:r w:rsidR="00143BCF">
        <w:t>.</w:t>
      </w:r>
      <w:r w:rsidRPr="00D9184A">
        <w:t xml:space="preserve"> </w:t>
      </w:r>
      <w:r>
        <w:t>Focus of the project</w:t>
      </w:r>
      <w:r w:rsidRPr="00D9184A">
        <w:t xml:space="preserve"> – “What is the </w:t>
      </w:r>
      <w:r>
        <w:t>project</w:t>
      </w:r>
      <w:r w:rsidRPr="00D9184A">
        <w:t xml:space="preserve"> about?”</w:t>
      </w:r>
    </w:p>
    <w:p w14:paraId="1057026C" w14:textId="77777777" w:rsidR="00143BCF" w:rsidRDefault="00143BCF" w:rsidP="00143BCF">
      <w:pPr>
        <w:spacing w:after="0" w:line="240" w:lineRule="auto"/>
        <w:jc w:val="both"/>
      </w:pPr>
    </w:p>
    <w:p w14:paraId="59CB2C91" w14:textId="6BAC0785" w:rsidR="00403346" w:rsidRDefault="0062421F" w:rsidP="00143BCF">
      <w:pPr>
        <w:spacing w:after="0" w:line="240" w:lineRule="auto"/>
        <w:jc w:val="both"/>
        <w:rPr>
          <w:b/>
        </w:rPr>
      </w:pPr>
      <w:r w:rsidRPr="00143BCF">
        <w:rPr>
          <w:b/>
        </w:rPr>
        <w:t xml:space="preserve">2.1.1 Development of a Practical Guide on Independent Monitoring Mechanisms </w:t>
      </w:r>
    </w:p>
    <w:tbl>
      <w:tblPr>
        <w:tblStyle w:val="TableGrid"/>
        <w:tblW w:w="11057" w:type="dxa"/>
        <w:tblInd w:w="-147" w:type="dxa"/>
        <w:tblLook w:val="04A0" w:firstRow="1" w:lastRow="0" w:firstColumn="1" w:lastColumn="0" w:noHBand="0" w:noVBand="1"/>
      </w:tblPr>
      <w:tblGrid>
        <w:gridCol w:w="6663"/>
        <w:gridCol w:w="4394"/>
      </w:tblGrid>
      <w:tr w:rsidR="00F309F7" w14:paraId="575F3EFA" w14:textId="77777777" w:rsidTr="00106E61">
        <w:tc>
          <w:tcPr>
            <w:tcW w:w="6663" w:type="dxa"/>
            <w:tcBorders>
              <w:top w:val="nil"/>
              <w:left w:val="nil"/>
              <w:bottom w:val="nil"/>
              <w:right w:val="nil"/>
            </w:tcBorders>
          </w:tcPr>
          <w:p w14:paraId="52EEC575" w14:textId="77777777" w:rsidR="00403346" w:rsidRDefault="00403346" w:rsidP="00403346">
            <w:pPr>
              <w:spacing w:after="0" w:line="240" w:lineRule="auto"/>
              <w:jc w:val="both"/>
              <w:rPr>
                <w:rFonts w:cstheme="minorHAnsi"/>
              </w:rPr>
            </w:pPr>
          </w:p>
          <w:p w14:paraId="091B0701" w14:textId="77777777" w:rsidR="00CC149F" w:rsidRDefault="00F309F7" w:rsidP="00403346">
            <w:pPr>
              <w:spacing w:after="0" w:line="240" w:lineRule="auto"/>
              <w:jc w:val="both"/>
              <w:rPr>
                <w:rFonts w:cstheme="minorHAnsi"/>
              </w:rPr>
            </w:pPr>
            <w:r w:rsidRPr="003E680F">
              <w:rPr>
                <w:rFonts w:cstheme="minorHAnsi"/>
              </w:rPr>
              <w:t xml:space="preserve">Building on the successful </w:t>
            </w:r>
            <w:r>
              <w:rPr>
                <w:rFonts w:cstheme="minorHAnsi"/>
              </w:rPr>
              <w:t xml:space="preserve">OHCHR </w:t>
            </w:r>
            <w:r w:rsidRPr="003E680F">
              <w:rPr>
                <w:rFonts w:cstheme="minorHAnsi"/>
              </w:rPr>
              <w:t xml:space="preserve">experience of developing a Practical Guide on National Preventive Mechanisms </w:t>
            </w:r>
            <w:r>
              <w:rPr>
                <w:rFonts w:cstheme="minorHAnsi"/>
              </w:rPr>
              <w:t xml:space="preserve">(NPMs), </w:t>
            </w:r>
            <w:r w:rsidRPr="003E680F">
              <w:rPr>
                <w:rFonts w:cstheme="minorHAnsi"/>
              </w:rPr>
              <w:t xml:space="preserve">which States are to establish under another human rights treaty, the Optional Protocol to the Convention against Torture and Other Cruel, Inhuman or Degrading Treatment or Punishment (OPCAT), see </w:t>
            </w:r>
            <w:hyperlink r:id="rId13" w:history="1">
              <w:r w:rsidRPr="003E680F">
                <w:rPr>
                  <w:rStyle w:val="Hyperlink"/>
                  <w:rFonts w:cstheme="minorHAnsi"/>
                </w:rPr>
                <w:t>here</w:t>
              </w:r>
            </w:hyperlink>
            <w:r w:rsidRPr="003E680F">
              <w:rPr>
                <w:rFonts w:cstheme="minorHAnsi"/>
              </w:rPr>
              <w:t>, a Practical Guide on Independent Monitor</w:t>
            </w:r>
            <w:r>
              <w:rPr>
                <w:rFonts w:cstheme="minorHAnsi"/>
              </w:rPr>
              <w:t>ing Mechanisms under article 33 (</w:t>
            </w:r>
            <w:r w:rsidRPr="003E680F">
              <w:rPr>
                <w:rFonts w:cstheme="minorHAnsi"/>
              </w:rPr>
              <w:t>2</w:t>
            </w:r>
            <w:r>
              <w:rPr>
                <w:rFonts w:cstheme="minorHAnsi"/>
              </w:rPr>
              <w:t>)</w:t>
            </w:r>
            <w:r w:rsidRPr="003E680F">
              <w:rPr>
                <w:rFonts w:cstheme="minorHAnsi"/>
              </w:rPr>
              <w:t xml:space="preserve"> of the Convention on Persons with Disabilities will be published in English </w:t>
            </w:r>
            <w:r>
              <w:rPr>
                <w:rFonts w:cstheme="minorHAnsi"/>
              </w:rPr>
              <w:t>and in accessible format</w:t>
            </w:r>
            <w:r w:rsidR="00F33C21">
              <w:rPr>
                <w:rFonts w:cstheme="minorHAnsi"/>
              </w:rPr>
              <w:t>s</w:t>
            </w:r>
            <w:r>
              <w:rPr>
                <w:rFonts w:cstheme="minorHAnsi"/>
              </w:rPr>
              <w:t xml:space="preserve"> </w:t>
            </w:r>
            <w:r w:rsidRPr="003E680F">
              <w:rPr>
                <w:rFonts w:cstheme="minorHAnsi"/>
              </w:rPr>
              <w:t>and later translated into other UN languages.</w:t>
            </w:r>
            <w:r>
              <w:rPr>
                <w:rFonts w:cstheme="minorHAnsi"/>
              </w:rPr>
              <w:t xml:space="preserve"> </w:t>
            </w:r>
          </w:p>
          <w:p w14:paraId="66B6AD00" w14:textId="0917BB4F" w:rsidR="00CC149F" w:rsidRDefault="00CC149F" w:rsidP="00CC149F">
            <w:pPr>
              <w:spacing w:after="0" w:line="240" w:lineRule="auto"/>
              <w:jc w:val="both"/>
              <w:rPr>
                <w:rFonts w:cstheme="minorHAnsi"/>
              </w:rPr>
            </w:pPr>
          </w:p>
          <w:p w14:paraId="6E798529" w14:textId="2E35C153" w:rsidR="00CC149F" w:rsidRDefault="00CC149F" w:rsidP="00CC149F">
            <w:pPr>
              <w:spacing w:after="0" w:line="240" w:lineRule="auto"/>
              <w:jc w:val="both"/>
              <w:rPr>
                <w:rFonts w:cstheme="minorHAnsi"/>
              </w:rPr>
            </w:pPr>
            <w:r>
              <w:rPr>
                <w:rFonts w:cstheme="minorHAnsi"/>
              </w:rPr>
              <w:t>The Guide will include:</w:t>
            </w:r>
          </w:p>
          <w:p w14:paraId="1CF6CF85" w14:textId="666EB88A" w:rsidR="00CC149F" w:rsidRPr="00CC149F" w:rsidRDefault="00CC149F" w:rsidP="00CC149F">
            <w:pPr>
              <w:pStyle w:val="ListParagraph"/>
              <w:numPr>
                <w:ilvl w:val="0"/>
                <w:numId w:val="49"/>
              </w:numPr>
              <w:spacing w:after="0" w:line="240" w:lineRule="auto"/>
              <w:jc w:val="both"/>
              <w:rPr>
                <w:rFonts w:cstheme="minorHAnsi"/>
              </w:rPr>
            </w:pPr>
            <w:r w:rsidRPr="00CC149F">
              <w:rPr>
                <w:rFonts w:cstheme="minorHAnsi"/>
              </w:rPr>
              <w:t>Up-to-date practical guidance in supporting national implementation and independent monitoring of the CRPD.</w:t>
            </w:r>
          </w:p>
          <w:p w14:paraId="4383E008" w14:textId="77777777" w:rsidR="00CC149F" w:rsidRPr="001A5369" w:rsidRDefault="00CC149F" w:rsidP="00CC149F">
            <w:pPr>
              <w:pStyle w:val="ListParagraph"/>
              <w:numPr>
                <w:ilvl w:val="0"/>
                <w:numId w:val="49"/>
              </w:numPr>
              <w:spacing w:after="0" w:line="240" w:lineRule="auto"/>
              <w:ind w:left="714" w:hanging="357"/>
              <w:jc w:val="both"/>
              <w:rPr>
                <w:rFonts w:cstheme="minorHAnsi"/>
              </w:rPr>
            </w:pPr>
            <w:r w:rsidRPr="001A5369">
              <w:rPr>
                <w:rFonts w:cstheme="minorHAnsi"/>
              </w:rPr>
              <w:t xml:space="preserve">An overview of the global status of IMMs supporting national implementation of the CRPD and of trends in IMM composition and functions drawing on findings of the CRPD from State party reviews and gathered </w:t>
            </w:r>
            <w:r>
              <w:rPr>
                <w:rFonts w:cstheme="minorHAnsi"/>
              </w:rPr>
              <w:t xml:space="preserve">from </w:t>
            </w:r>
            <w:r w:rsidRPr="001A5369">
              <w:rPr>
                <w:rFonts w:cstheme="minorHAnsi"/>
              </w:rPr>
              <w:t>GANHRI</w:t>
            </w:r>
            <w:r>
              <w:rPr>
                <w:rFonts w:cstheme="minorHAnsi"/>
              </w:rPr>
              <w:t xml:space="preserve"> including through previous surveys </w:t>
            </w:r>
            <w:proofErr w:type="spellStart"/>
            <w:r>
              <w:rPr>
                <w:rFonts w:cstheme="minorHAnsi"/>
              </w:rPr>
              <w:t>conducyed</w:t>
            </w:r>
            <w:proofErr w:type="spellEnd"/>
            <w:r>
              <w:rPr>
                <w:rFonts w:cstheme="minorHAnsi"/>
              </w:rPr>
              <w:t xml:space="preserve"> by them but also OPDs, like the International Disability Alliance (IDA)</w:t>
            </w:r>
            <w:r w:rsidRPr="001A5369">
              <w:rPr>
                <w:rFonts w:cstheme="minorHAnsi"/>
              </w:rPr>
              <w:t>.</w:t>
            </w:r>
          </w:p>
          <w:p w14:paraId="73D4D67A" w14:textId="356B9949" w:rsidR="00106E61" w:rsidRDefault="00106E61" w:rsidP="00403346">
            <w:pPr>
              <w:spacing w:after="0" w:line="240" w:lineRule="auto"/>
              <w:jc w:val="both"/>
              <w:rPr>
                <w:b/>
              </w:rPr>
            </w:pPr>
          </w:p>
        </w:tc>
        <w:tc>
          <w:tcPr>
            <w:tcW w:w="4394" w:type="dxa"/>
            <w:tcBorders>
              <w:top w:val="nil"/>
              <w:left w:val="nil"/>
              <w:bottom w:val="nil"/>
              <w:right w:val="nil"/>
            </w:tcBorders>
          </w:tcPr>
          <w:p w14:paraId="24AE597C" w14:textId="77777777" w:rsidR="00106E61" w:rsidRDefault="00106E61" w:rsidP="00143BCF">
            <w:pPr>
              <w:spacing w:after="0" w:line="240" w:lineRule="auto"/>
              <w:jc w:val="both"/>
              <w:rPr>
                <w:rFonts w:cstheme="minorHAnsi"/>
                <w:noProof/>
                <w:lang w:val="en-GB" w:eastAsia="en-GB"/>
              </w:rPr>
            </w:pPr>
          </w:p>
          <w:p w14:paraId="0A503B1C" w14:textId="77777777" w:rsidR="00106E61" w:rsidRDefault="00106E61" w:rsidP="00143BCF">
            <w:pPr>
              <w:spacing w:after="0" w:line="240" w:lineRule="auto"/>
              <w:jc w:val="both"/>
              <w:rPr>
                <w:rFonts w:cstheme="minorHAnsi"/>
                <w:noProof/>
                <w:lang w:val="en-GB" w:eastAsia="en-GB"/>
              </w:rPr>
            </w:pPr>
          </w:p>
          <w:p w14:paraId="19419253" w14:textId="4FABBBCB" w:rsidR="00F309F7" w:rsidRDefault="00F309F7" w:rsidP="00143BCF">
            <w:pPr>
              <w:spacing w:after="0" w:line="240" w:lineRule="auto"/>
              <w:jc w:val="both"/>
              <w:rPr>
                <w:b/>
              </w:rPr>
            </w:pPr>
            <w:r w:rsidRPr="00627AA2">
              <w:rPr>
                <w:rFonts w:cstheme="minorHAnsi"/>
                <w:noProof/>
                <w:lang w:val="en-GB" w:eastAsia="en-GB"/>
              </w:rPr>
              <w:drawing>
                <wp:inline distT="0" distB="0" distL="0" distR="0" wp14:anchorId="7B1D69A7" wp14:editId="52AF0895">
                  <wp:extent cx="2171304" cy="2332685"/>
                  <wp:effectExtent l="0" t="0" r="635" b="0"/>
                  <wp:docPr id="2" name="Picture 2" descr="Graphic showing number of downloads to the National Preventive Mechanisms Guide in 2018-1261; 2019-2203; 202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2940" cy="2366673"/>
                          </a:xfrm>
                          <a:prstGeom prst="rect">
                            <a:avLst/>
                          </a:prstGeom>
                        </pic:spPr>
                      </pic:pic>
                    </a:graphicData>
                  </a:graphic>
                </wp:inline>
              </w:drawing>
            </w:r>
          </w:p>
          <w:p w14:paraId="13B07E72" w14:textId="49789122" w:rsidR="00106E61" w:rsidRDefault="00106E61" w:rsidP="00143BCF">
            <w:pPr>
              <w:spacing w:after="0" w:line="240" w:lineRule="auto"/>
              <w:jc w:val="both"/>
              <w:rPr>
                <w:sz w:val="16"/>
                <w:szCs w:val="16"/>
              </w:rPr>
            </w:pPr>
          </w:p>
          <w:p w14:paraId="41A832DD" w14:textId="61123CB9" w:rsidR="00403346" w:rsidRDefault="00403346" w:rsidP="00143BCF">
            <w:pPr>
              <w:spacing w:after="0" w:line="240" w:lineRule="auto"/>
              <w:jc w:val="both"/>
              <w:rPr>
                <w:sz w:val="16"/>
                <w:szCs w:val="16"/>
              </w:rPr>
            </w:pPr>
            <w:r w:rsidRPr="00403346">
              <w:rPr>
                <w:sz w:val="16"/>
                <w:szCs w:val="16"/>
              </w:rPr>
              <w:t xml:space="preserve">Number of downloads of NPM Practical Guide for 2020 </w:t>
            </w:r>
          </w:p>
          <w:p w14:paraId="47350074" w14:textId="0F40BD3B" w:rsidR="00403346" w:rsidRPr="00403346" w:rsidRDefault="00403346" w:rsidP="00143BCF">
            <w:pPr>
              <w:spacing w:after="0" w:line="240" w:lineRule="auto"/>
              <w:jc w:val="both"/>
              <w:rPr>
                <w:b/>
                <w:sz w:val="16"/>
                <w:szCs w:val="16"/>
              </w:rPr>
            </w:pPr>
            <w:r w:rsidRPr="00403346">
              <w:rPr>
                <w:sz w:val="16"/>
                <w:szCs w:val="16"/>
              </w:rPr>
              <w:t xml:space="preserve">as of </w:t>
            </w:r>
            <w:proofErr w:type="gramStart"/>
            <w:r w:rsidRPr="00403346">
              <w:rPr>
                <w:sz w:val="16"/>
                <w:szCs w:val="16"/>
              </w:rPr>
              <w:t>February 2020</w:t>
            </w:r>
            <w:proofErr w:type="gramEnd"/>
            <w:r w:rsidRPr="00403346">
              <w:rPr>
                <w:sz w:val="16"/>
                <w:szCs w:val="16"/>
              </w:rPr>
              <w:t xml:space="preserve"> only.</w:t>
            </w:r>
          </w:p>
        </w:tc>
      </w:tr>
    </w:tbl>
    <w:p w14:paraId="4206E5D7" w14:textId="77777777" w:rsidR="00FD7234" w:rsidRDefault="00FD7234" w:rsidP="003E680F">
      <w:pPr>
        <w:spacing w:after="0" w:line="240" w:lineRule="auto"/>
        <w:jc w:val="both"/>
        <w:rPr>
          <w:rFonts w:cstheme="minorHAnsi"/>
        </w:rPr>
      </w:pPr>
    </w:p>
    <w:p w14:paraId="08DA2740" w14:textId="77777777" w:rsidR="00106E61" w:rsidRDefault="00106E61" w:rsidP="003E680F">
      <w:pPr>
        <w:spacing w:after="0" w:line="240" w:lineRule="auto"/>
        <w:jc w:val="both"/>
        <w:rPr>
          <w:rFonts w:cstheme="minorHAnsi"/>
        </w:rPr>
      </w:pPr>
    </w:p>
    <w:p w14:paraId="4DB9CCC5" w14:textId="77777777" w:rsidR="00106E61" w:rsidRPr="001A5369" w:rsidRDefault="00106E61" w:rsidP="00106E61">
      <w:pPr>
        <w:pStyle w:val="ListParagraph"/>
        <w:numPr>
          <w:ilvl w:val="0"/>
          <w:numId w:val="49"/>
        </w:numPr>
        <w:spacing w:after="0" w:line="240" w:lineRule="auto"/>
        <w:ind w:left="714" w:hanging="357"/>
        <w:jc w:val="both"/>
        <w:rPr>
          <w:rFonts w:cstheme="minorHAnsi"/>
        </w:rPr>
      </w:pPr>
      <w:r w:rsidRPr="001A5369">
        <w:rPr>
          <w:rFonts w:cstheme="minorHAnsi"/>
        </w:rPr>
        <w:t>Good practices, lessons learned and a common understanding of the central components of IMMs for effective national implementation and monitoring thereof.</w:t>
      </w:r>
    </w:p>
    <w:p w14:paraId="6BF177CE" w14:textId="77777777" w:rsidR="00106E61" w:rsidRPr="00CC149F" w:rsidRDefault="00106E61" w:rsidP="00106E61">
      <w:pPr>
        <w:pStyle w:val="CommentText"/>
        <w:numPr>
          <w:ilvl w:val="0"/>
          <w:numId w:val="49"/>
        </w:numPr>
        <w:jc w:val="both"/>
        <w:rPr>
          <w:sz w:val="22"/>
          <w:szCs w:val="22"/>
        </w:rPr>
      </w:pPr>
      <w:r w:rsidRPr="001A5369">
        <w:rPr>
          <w:sz w:val="22"/>
          <w:szCs w:val="22"/>
        </w:rPr>
        <w:t xml:space="preserve">Examples about how to advance participation of persons with disabilities traditionally left behind in implementation and monitoring of the CRPD, for instance women and girls with disabilities, persons with intellectual disabilities, persons with psychosocial disabilities. </w:t>
      </w:r>
    </w:p>
    <w:p w14:paraId="5B685CB7" w14:textId="298E1CAA" w:rsidR="00106E61" w:rsidRDefault="00106E61" w:rsidP="00106E61">
      <w:pPr>
        <w:spacing w:after="0" w:line="240" w:lineRule="auto"/>
        <w:jc w:val="both"/>
        <w:rPr>
          <w:rFonts w:cstheme="minorHAnsi"/>
        </w:rPr>
      </w:pPr>
      <w:r>
        <w:rPr>
          <w:rFonts w:cstheme="minorHAnsi"/>
        </w:rPr>
        <w:t>The content of the Practical Guide will be reviewed by the OHCHR CRPD Secretariat, the OHCHR Disability Advisor, the OHCHR Treaty Body Capacity Building Programme team, UNDP colleagues, the CRPD Committee as well as GANHRI and its members, and IDA. It will be approved before publishing by the OHCHR Publications Committee (normally in two readings). Depending on UNDP and GANHRI procedures, this could become a joint publication.</w:t>
      </w:r>
    </w:p>
    <w:p w14:paraId="31A93F11" w14:textId="77777777" w:rsidR="00106E61" w:rsidRDefault="00106E61" w:rsidP="003E680F">
      <w:pPr>
        <w:spacing w:after="0" w:line="240" w:lineRule="auto"/>
        <w:jc w:val="both"/>
        <w:rPr>
          <w:rFonts w:cstheme="minorHAnsi"/>
        </w:rPr>
      </w:pPr>
    </w:p>
    <w:p w14:paraId="1E7A9E26" w14:textId="59551F93" w:rsidR="003E680F" w:rsidRPr="003E680F" w:rsidRDefault="003E680F" w:rsidP="003E680F">
      <w:pPr>
        <w:spacing w:after="0" w:line="240" w:lineRule="auto"/>
        <w:jc w:val="both"/>
        <w:rPr>
          <w:rFonts w:cstheme="minorHAnsi"/>
        </w:rPr>
      </w:pPr>
      <w:r w:rsidRPr="003E680F">
        <w:rPr>
          <w:rFonts w:cstheme="minorHAnsi"/>
        </w:rPr>
        <w:t xml:space="preserve">The Guide </w:t>
      </w:r>
      <w:r w:rsidR="00FD7234">
        <w:rPr>
          <w:rFonts w:cstheme="minorHAnsi"/>
        </w:rPr>
        <w:t>could</w:t>
      </w:r>
      <w:r w:rsidRPr="003E680F">
        <w:rPr>
          <w:rFonts w:cstheme="minorHAnsi"/>
        </w:rPr>
        <w:t xml:space="preserve"> have the following </w:t>
      </w:r>
      <w:r w:rsidRPr="00403346">
        <w:rPr>
          <w:rFonts w:cstheme="minorHAnsi"/>
          <w:b/>
        </w:rPr>
        <w:t>DRAFT Table of Content</w:t>
      </w:r>
      <w:r w:rsidR="002E2C54" w:rsidRPr="00403346">
        <w:rPr>
          <w:rFonts w:cstheme="minorHAnsi"/>
          <w:b/>
        </w:rPr>
        <w:t>s</w:t>
      </w:r>
      <w:r w:rsidR="000D541B">
        <w:rPr>
          <w:rFonts w:cstheme="minorHAnsi"/>
          <w:b/>
        </w:rPr>
        <w:t>, which will be finalized with all project partners</w:t>
      </w:r>
      <w:r w:rsidR="00403346">
        <w:rPr>
          <w:rFonts w:cstheme="minorHAnsi"/>
          <w:b/>
        </w:rPr>
        <w:t>:</w:t>
      </w:r>
    </w:p>
    <w:p w14:paraId="6A5766C3" w14:textId="77777777" w:rsidR="003E680F" w:rsidRPr="00403346" w:rsidRDefault="003E680F" w:rsidP="003E680F">
      <w:pPr>
        <w:spacing w:after="0" w:line="240" w:lineRule="auto"/>
        <w:rPr>
          <w:rFonts w:cstheme="minorHAnsi"/>
          <w:b/>
        </w:rPr>
      </w:pPr>
    </w:p>
    <w:p w14:paraId="14C17E1E" w14:textId="21202378" w:rsidR="003E680F" w:rsidRPr="00403346" w:rsidRDefault="003E680F" w:rsidP="003E680F">
      <w:pPr>
        <w:spacing w:after="0" w:line="240" w:lineRule="auto"/>
        <w:rPr>
          <w:rFonts w:cstheme="minorHAnsi"/>
          <w:b/>
        </w:rPr>
      </w:pPr>
      <w:r w:rsidRPr="00403346">
        <w:rPr>
          <w:rFonts w:cstheme="minorHAnsi"/>
          <w:b/>
        </w:rPr>
        <w:t xml:space="preserve">INTRODUCTION </w:t>
      </w:r>
    </w:p>
    <w:p w14:paraId="68FD7DF8" w14:textId="77777777" w:rsidR="00441EF5" w:rsidRDefault="00441EF5" w:rsidP="003E680F">
      <w:pPr>
        <w:spacing w:after="0" w:line="240" w:lineRule="auto"/>
        <w:rPr>
          <w:rFonts w:cstheme="minorHAnsi"/>
        </w:rPr>
      </w:pPr>
    </w:p>
    <w:p w14:paraId="520D5DD4" w14:textId="76C74F0F" w:rsidR="003E680F" w:rsidRPr="00403346" w:rsidRDefault="00441EF5" w:rsidP="003E680F">
      <w:pPr>
        <w:spacing w:after="0" w:line="240" w:lineRule="auto"/>
        <w:rPr>
          <w:rFonts w:cstheme="minorHAnsi"/>
          <w:b/>
        </w:rPr>
      </w:pPr>
      <w:r w:rsidRPr="00403346">
        <w:rPr>
          <w:b/>
        </w:rPr>
        <w:t>PART 1: NATURE AND FUNCTIOING OF IMMs</w:t>
      </w:r>
    </w:p>
    <w:p w14:paraId="063EC931" w14:textId="57239FF9" w:rsidR="00627AA2" w:rsidRPr="00CC149F" w:rsidRDefault="003E680F" w:rsidP="00CC149F">
      <w:pPr>
        <w:spacing w:after="0" w:line="240" w:lineRule="auto"/>
        <w:rPr>
          <w:rFonts w:cstheme="minorHAnsi"/>
        </w:rPr>
      </w:pPr>
      <w:r w:rsidRPr="00CC149F">
        <w:rPr>
          <w:rFonts w:cstheme="minorHAnsi"/>
        </w:rPr>
        <w:t xml:space="preserve">What is an IMM? </w:t>
      </w:r>
      <w:r w:rsidR="00627AA2" w:rsidRPr="00CC149F">
        <w:t>Composition, mandate, resources, variety of practice/approach</w:t>
      </w:r>
      <w:r w:rsidR="00B66B15" w:rsidRPr="00CC149F">
        <w:t xml:space="preserve"> to their work,</w:t>
      </w:r>
    </w:p>
    <w:p w14:paraId="4A84A59F" w14:textId="77777777" w:rsidR="003E680F" w:rsidRPr="00CC149F" w:rsidRDefault="003E680F" w:rsidP="00CC149F">
      <w:pPr>
        <w:spacing w:after="0" w:line="240" w:lineRule="auto"/>
        <w:rPr>
          <w:rFonts w:cstheme="minorHAnsi"/>
        </w:rPr>
      </w:pPr>
      <w:r w:rsidRPr="00CC149F">
        <w:rPr>
          <w:rFonts w:cstheme="minorHAnsi"/>
        </w:rPr>
        <w:t xml:space="preserve">Why establish an IMM? </w:t>
      </w:r>
    </w:p>
    <w:p w14:paraId="5DD2A87D" w14:textId="77777777" w:rsidR="003E680F" w:rsidRPr="00CC149F" w:rsidRDefault="003E680F" w:rsidP="00CC149F">
      <w:pPr>
        <w:spacing w:after="0" w:line="240" w:lineRule="auto"/>
        <w:rPr>
          <w:rFonts w:cstheme="minorHAnsi"/>
        </w:rPr>
      </w:pPr>
      <w:r w:rsidRPr="00CC149F">
        <w:rPr>
          <w:rFonts w:cstheme="minorHAnsi"/>
        </w:rPr>
        <w:t xml:space="preserve">What are the functions of an IMM? </w:t>
      </w:r>
    </w:p>
    <w:p w14:paraId="7596BA8B" w14:textId="1B5AD9A0" w:rsidR="003E680F" w:rsidRPr="00CC149F" w:rsidRDefault="003E680F" w:rsidP="00CC149F">
      <w:pPr>
        <w:spacing w:after="0" w:line="240" w:lineRule="auto"/>
        <w:rPr>
          <w:rFonts w:cstheme="minorHAnsi"/>
        </w:rPr>
      </w:pPr>
      <w:r w:rsidRPr="00CC149F">
        <w:rPr>
          <w:rFonts w:cstheme="minorHAnsi"/>
        </w:rPr>
        <w:t>What are some examples of IMM? Different organizational models (OPD base</w:t>
      </w:r>
      <w:r w:rsidR="00955E17" w:rsidRPr="00CC149F">
        <w:rPr>
          <w:rFonts w:cstheme="minorHAnsi"/>
        </w:rPr>
        <w:t>d</w:t>
      </w:r>
      <w:r w:rsidRPr="00CC149F">
        <w:rPr>
          <w:rFonts w:cstheme="minorHAnsi"/>
        </w:rPr>
        <w:t>, NHRI based, NHRI and public prosecution, etc.)</w:t>
      </w:r>
    </w:p>
    <w:p w14:paraId="327F5F5B" w14:textId="77777777" w:rsidR="003E680F" w:rsidRPr="00CC149F" w:rsidRDefault="003E680F" w:rsidP="00CC149F">
      <w:pPr>
        <w:spacing w:after="0" w:line="240" w:lineRule="auto"/>
        <w:rPr>
          <w:rFonts w:cstheme="minorHAnsi"/>
        </w:rPr>
      </w:pPr>
      <w:r w:rsidRPr="00CC149F">
        <w:rPr>
          <w:rFonts w:cstheme="minorHAnsi"/>
        </w:rPr>
        <w:t xml:space="preserve">What is the relationship between the CRPD Committee and IMMs? </w:t>
      </w:r>
    </w:p>
    <w:p w14:paraId="5B79FF72" w14:textId="34B7FFD8" w:rsidR="003E680F" w:rsidRPr="00CC149F" w:rsidRDefault="003E680F" w:rsidP="00CC149F">
      <w:pPr>
        <w:spacing w:after="0" w:line="240" w:lineRule="auto"/>
        <w:rPr>
          <w:rFonts w:cstheme="minorHAnsi"/>
        </w:rPr>
      </w:pPr>
      <w:r w:rsidRPr="00CC149F">
        <w:rPr>
          <w:rFonts w:cstheme="minorHAnsi"/>
        </w:rPr>
        <w:t xml:space="preserve">What is the relationship between National </w:t>
      </w:r>
      <w:r w:rsidR="00627AA2" w:rsidRPr="00CC149F">
        <w:rPr>
          <w:rFonts w:cstheme="minorHAnsi"/>
        </w:rPr>
        <w:t>Mechanisms for Reporting and Follow-up (NMRFs)</w:t>
      </w:r>
      <w:r w:rsidRPr="00CC149F">
        <w:rPr>
          <w:rFonts w:cstheme="minorHAnsi"/>
        </w:rPr>
        <w:t xml:space="preserve"> and IMMs?  </w:t>
      </w:r>
    </w:p>
    <w:p w14:paraId="11DEDF82" w14:textId="2F3A2CCB" w:rsidR="000F4240" w:rsidRPr="00CC149F" w:rsidRDefault="000F4240" w:rsidP="00CC149F">
      <w:pPr>
        <w:spacing w:after="0" w:line="240" w:lineRule="auto"/>
        <w:rPr>
          <w:rFonts w:cstheme="minorHAnsi"/>
        </w:rPr>
      </w:pPr>
      <w:r w:rsidRPr="00CC149F">
        <w:rPr>
          <w:rFonts w:cstheme="minorHAnsi"/>
        </w:rPr>
        <w:t>What is the relationship between IMMs and NPMs?</w:t>
      </w:r>
      <w:r w:rsidR="00441EF5" w:rsidRPr="00CC149F">
        <w:rPr>
          <w:rStyle w:val="FootnoteReference"/>
          <w:rFonts w:cstheme="minorHAnsi"/>
        </w:rPr>
        <w:footnoteReference w:id="4"/>
      </w:r>
    </w:p>
    <w:p w14:paraId="4021626D" w14:textId="77777777" w:rsidR="00CC149F" w:rsidRDefault="00CC149F" w:rsidP="00CC149F">
      <w:pPr>
        <w:pStyle w:val="CommentText"/>
        <w:spacing w:after="0"/>
        <w:rPr>
          <w:sz w:val="22"/>
          <w:szCs w:val="22"/>
        </w:rPr>
      </w:pPr>
      <w:r w:rsidRPr="00CC149F">
        <w:rPr>
          <w:sz w:val="22"/>
          <w:szCs w:val="22"/>
        </w:rPr>
        <w:t>How are IMMs operationalized at the sub-national level?</w:t>
      </w:r>
    </w:p>
    <w:p w14:paraId="7249AD00" w14:textId="05D7BAAE" w:rsidR="003E680F" w:rsidRPr="00CC149F" w:rsidRDefault="003E680F" w:rsidP="00CC149F">
      <w:pPr>
        <w:pStyle w:val="CommentText"/>
        <w:spacing w:after="0"/>
        <w:rPr>
          <w:sz w:val="22"/>
          <w:szCs w:val="22"/>
        </w:rPr>
      </w:pPr>
      <w:r w:rsidRPr="00CC149F">
        <w:rPr>
          <w:rFonts w:cstheme="minorHAnsi"/>
          <w:sz w:val="22"/>
          <w:szCs w:val="22"/>
        </w:rPr>
        <w:t xml:space="preserve">Where can States obtain technical assistance to establish or ensure the effective functioning of IMMs? </w:t>
      </w:r>
    </w:p>
    <w:p w14:paraId="0F7ECB1E" w14:textId="63970D71" w:rsidR="003E680F" w:rsidRDefault="003E680F" w:rsidP="003E680F">
      <w:pPr>
        <w:spacing w:after="0" w:line="240" w:lineRule="auto"/>
        <w:rPr>
          <w:rFonts w:cstheme="minorHAnsi"/>
        </w:rPr>
      </w:pPr>
    </w:p>
    <w:p w14:paraId="71F397EF" w14:textId="0F00418D" w:rsidR="003E680F" w:rsidRPr="00403346" w:rsidRDefault="00441EF5" w:rsidP="003E680F">
      <w:pPr>
        <w:spacing w:after="0" w:line="240" w:lineRule="auto"/>
        <w:rPr>
          <w:rFonts w:cstheme="minorHAnsi"/>
          <w:b/>
        </w:rPr>
      </w:pPr>
      <w:r w:rsidRPr="00403346">
        <w:rPr>
          <w:rFonts w:cstheme="minorHAnsi"/>
          <w:b/>
        </w:rPr>
        <w:t xml:space="preserve">PART 2: </w:t>
      </w:r>
      <w:r w:rsidRPr="00403346">
        <w:rPr>
          <w:b/>
        </w:rPr>
        <w:t>IMMs IN PRACTICE</w:t>
      </w:r>
      <w:r w:rsidRPr="00403346">
        <w:rPr>
          <w:rFonts w:cstheme="minorHAnsi"/>
          <w:b/>
        </w:rPr>
        <w:t xml:space="preserve"> (</w:t>
      </w:r>
      <w:r w:rsidR="003E680F" w:rsidRPr="00403346">
        <w:rPr>
          <w:rFonts w:cstheme="minorHAnsi"/>
          <w:b/>
        </w:rPr>
        <w:t xml:space="preserve">KEY </w:t>
      </w:r>
      <w:r w:rsidR="00B66B15" w:rsidRPr="00403346">
        <w:rPr>
          <w:rFonts w:cstheme="minorHAnsi"/>
          <w:b/>
        </w:rPr>
        <w:t xml:space="preserve">CRITERIA AND </w:t>
      </w:r>
      <w:r w:rsidR="003E680F" w:rsidRPr="00403346">
        <w:rPr>
          <w:rFonts w:cstheme="minorHAnsi"/>
          <w:b/>
        </w:rPr>
        <w:t>FUNCTIONS OF AN EFFECTIVE INDEPENDENT MONITORING MECHANISM</w:t>
      </w:r>
      <w:r w:rsidRPr="00403346">
        <w:rPr>
          <w:rFonts w:cstheme="minorHAnsi"/>
          <w:b/>
        </w:rPr>
        <w:t>)</w:t>
      </w:r>
    </w:p>
    <w:p w14:paraId="5E3E7F88" w14:textId="70FDF1C7" w:rsidR="00B66B15" w:rsidRDefault="00B66B15" w:rsidP="003E680F">
      <w:pPr>
        <w:spacing w:after="0" w:line="240" w:lineRule="auto"/>
        <w:rPr>
          <w:rFonts w:cstheme="minorHAnsi"/>
        </w:rPr>
      </w:pPr>
      <w:r>
        <w:rPr>
          <w:rFonts w:cstheme="minorHAnsi"/>
        </w:rPr>
        <w:t>Independence (mandate, operational, financial)</w:t>
      </w:r>
    </w:p>
    <w:p w14:paraId="1D4EFFD5" w14:textId="64A9AF66" w:rsidR="00B66B15" w:rsidRDefault="00B66B15" w:rsidP="003E680F">
      <w:pPr>
        <w:spacing w:after="0" w:line="240" w:lineRule="auto"/>
        <w:rPr>
          <w:rFonts w:cstheme="minorHAnsi"/>
        </w:rPr>
      </w:pPr>
      <w:r>
        <w:rPr>
          <w:rFonts w:cstheme="minorHAnsi"/>
        </w:rPr>
        <w:t>Membership (expert and independent)</w:t>
      </w:r>
    </w:p>
    <w:p w14:paraId="5CBAC51A" w14:textId="2191D518" w:rsidR="000F4240" w:rsidRDefault="000F4240" w:rsidP="003E680F">
      <w:pPr>
        <w:spacing w:after="0" w:line="240" w:lineRule="auto"/>
        <w:rPr>
          <w:rFonts w:cstheme="minorHAnsi"/>
        </w:rPr>
      </w:pPr>
      <w:r>
        <w:rPr>
          <w:rFonts w:cstheme="minorHAnsi"/>
        </w:rPr>
        <w:t>Fulfilment of general principles of the Convention</w:t>
      </w:r>
    </w:p>
    <w:p w14:paraId="7D457AB2" w14:textId="77777777" w:rsidR="000F4240" w:rsidRDefault="000F4240" w:rsidP="000F4240">
      <w:pPr>
        <w:pStyle w:val="ListParagraph"/>
        <w:numPr>
          <w:ilvl w:val="0"/>
          <w:numId w:val="49"/>
        </w:numPr>
        <w:spacing w:after="0" w:line="240" w:lineRule="auto"/>
        <w:rPr>
          <w:rFonts w:cstheme="minorHAnsi"/>
        </w:rPr>
      </w:pPr>
      <w:r>
        <w:rPr>
          <w:rFonts w:cstheme="minorHAnsi"/>
        </w:rPr>
        <w:t>Promoting and monitoring respect for dignity, autonomy and independence of persons with disabilities</w:t>
      </w:r>
    </w:p>
    <w:p w14:paraId="15105FF8" w14:textId="77777777" w:rsidR="000F4240" w:rsidRDefault="000F4240" w:rsidP="000F4240">
      <w:pPr>
        <w:pStyle w:val="ListParagraph"/>
        <w:numPr>
          <w:ilvl w:val="0"/>
          <w:numId w:val="49"/>
        </w:numPr>
        <w:spacing w:after="0" w:line="240" w:lineRule="auto"/>
        <w:rPr>
          <w:rFonts w:cstheme="minorHAnsi"/>
        </w:rPr>
      </w:pPr>
      <w:r>
        <w:rPr>
          <w:rFonts w:cstheme="minorHAnsi"/>
        </w:rPr>
        <w:t>Non-discrimination</w:t>
      </w:r>
    </w:p>
    <w:p w14:paraId="342EB03E" w14:textId="77777777" w:rsidR="000F4240" w:rsidRDefault="000F4240" w:rsidP="000F4240">
      <w:pPr>
        <w:pStyle w:val="ListParagraph"/>
        <w:numPr>
          <w:ilvl w:val="0"/>
          <w:numId w:val="49"/>
        </w:numPr>
        <w:spacing w:after="0" w:line="240" w:lineRule="auto"/>
        <w:rPr>
          <w:rFonts w:cstheme="minorHAnsi"/>
        </w:rPr>
      </w:pPr>
      <w:r>
        <w:rPr>
          <w:rFonts w:cstheme="minorHAnsi"/>
        </w:rPr>
        <w:t>Accessibility</w:t>
      </w:r>
    </w:p>
    <w:p w14:paraId="72A8B1D6" w14:textId="09B8C4CE" w:rsidR="000F4240" w:rsidRPr="000F4240" w:rsidRDefault="000F4240" w:rsidP="000F4240">
      <w:pPr>
        <w:pStyle w:val="ListParagraph"/>
        <w:numPr>
          <w:ilvl w:val="0"/>
          <w:numId w:val="49"/>
        </w:numPr>
        <w:spacing w:after="0" w:line="240" w:lineRule="auto"/>
        <w:rPr>
          <w:rFonts w:cstheme="minorHAnsi"/>
        </w:rPr>
      </w:pPr>
      <w:r>
        <w:rPr>
          <w:rFonts w:cstheme="minorHAnsi"/>
        </w:rPr>
        <w:t xml:space="preserve">Equality between women and men and mainstreaming the rights of women and girls with disabilities </w:t>
      </w:r>
    </w:p>
    <w:p w14:paraId="39A90918" w14:textId="6D08AD48" w:rsidR="00B66B15" w:rsidRDefault="00B66B15" w:rsidP="003E680F">
      <w:pPr>
        <w:spacing w:after="0" w:line="240" w:lineRule="auto"/>
        <w:rPr>
          <w:rFonts w:cstheme="minorHAnsi"/>
        </w:rPr>
      </w:pPr>
      <w:r>
        <w:rPr>
          <w:rFonts w:cstheme="minorHAnsi"/>
        </w:rPr>
        <w:t>Fulfilment of key functions</w:t>
      </w:r>
    </w:p>
    <w:p w14:paraId="755A7A91" w14:textId="77777777" w:rsidR="007F45E7" w:rsidRPr="00E671F8" w:rsidRDefault="007F45E7" w:rsidP="007F45E7">
      <w:pPr>
        <w:pStyle w:val="ListParagraph"/>
        <w:numPr>
          <w:ilvl w:val="0"/>
          <w:numId w:val="49"/>
        </w:numPr>
        <w:spacing w:after="0" w:line="240" w:lineRule="auto"/>
        <w:rPr>
          <w:rFonts w:cstheme="minorHAnsi"/>
          <w:i/>
        </w:rPr>
      </w:pPr>
      <w:r w:rsidRPr="00E671F8">
        <w:rPr>
          <w:rFonts w:cstheme="minorHAnsi"/>
          <w:i/>
        </w:rPr>
        <w:t xml:space="preserve">Promotion </w:t>
      </w:r>
    </w:p>
    <w:p w14:paraId="189F66A8" w14:textId="667D70BA" w:rsidR="007F45E7" w:rsidRPr="007F45E7" w:rsidRDefault="007F45E7" w:rsidP="007F45E7">
      <w:pPr>
        <w:pStyle w:val="ListParagraph"/>
        <w:spacing w:after="0" w:line="240" w:lineRule="auto"/>
        <w:rPr>
          <w:rFonts w:cstheme="minorHAnsi"/>
        </w:rPr>
      </w:pPr>
      <w:r w:rsidRPr="007F45E7">
        <w:rPr>
          <w:rFonts w:cstheme="minorHAnsi"/>
        </w:rPr>
        <w:t>Advisory functions</w:t>
      </w:r>
    </w:p>
    <w:p w14:paraId="5BBB62B9" w14:textId="6279EC06" w:rsidR="003E680F" w:rsidRPr="007F45E7" w:rsidRDefault="003E680F" w:rsidP="007F45E7">
      <w:pPr>
        <w:pStyle w:val="ListParagraph"/>
        <w:spacing w:after="0" w:line="240" w:lineRule="auto"/>
        <w:rPr>
          <w:rFonts w:cstheme="minorHAnsi"/>
        </w:rPr>
      </w:pPr>
      <w:r w:rsidRPr="007F45E7">
        <w:rPr>
          <w:rFonts w:cstheme="minorHAnsi"/>
        </w:rPr>
        <w:t>Advocacy on policy reform</w:t>
      </w:r>
    </w:p>
    <w:p w14:paraId="6C4D9CAB" w14:textId="1F07BF9C" w:rsidR="003E680F" w:rsidRDefault="003E680F" w:rsidP="00B66B15">
      <w:pPr>
        <w:spacing w:after="0" w:line="240" w:lineRule="auto"/>
        <w:ind w:left="720"/>
        <w:rPr>
          <w:rFonts w:cstheme="minorHAnsi"/>
        </w:rPr>
      </w:pPr>
      <w:r w:rsidRPr="003E680F">
        <w:rPr>
          <w:rFonts w:cstheme="minorHAnsi"/>
        </w:rPr>
        <w:t>Law reform</w:t>
      </w:r>
    </w:p>
    <w:p w14:paraId="074E884F" w14:textId="6AD000DC" w:rsidR="007F45E7" w:rsidRDefault="007F45E7" w:rsidP="00B66B15">
      <w:pPr>
        <w:spacing w:after="0" w:line="240" w:lineRule="auto"/>
        <w:ind w:left="720"/>
        <w:rPr>
          <w:rFonts w:cstheme="minorHAnsi"/>
        </w:rPr>
      </w:pPr>
      <w:r w:rsidRPr="003E680F">
        <w:rPr>
          <w:rFonts w:cstheme="minorHAnsi"/>
        </w:rPr>
        <w:t>International engagement (including regional mechanisms)</w:t>
      </w:r>
    </w:p>
    <w:p w14:paraId="0E0F6CA3" w14:textId="203F4824" w:rsidR="003E680F" w:rsidRPr="00E671F8" w:rsidRDefault="007F45E7" w:rsidP="007F45E7">
      <w:pPr>
        <w:pStyle w:val="ListParagraph"/>
        <w:numPr>
          <w:ilvl w:val="0"/>
          <w:numId w:val="49"/>
        </w:numPr>
        <w:spacing w:after="0" w:line="240" w:lineRule="auto"/>
        <w:rPr>
          <w:rFonts w:cstheme="minorHAnsi"/>
          <w:i/>
        </w:rPr>
      </w:pPr>
      <w:r w:rsidRPr="00E671F8">
        <w:rPr>
          <w:rFonts w:cstheme="minorHAnsi"/>
          <w:i/>
        </w:rPr>
        <w:t>Protection</w:t>
      </w:r>
    </w:p>
    <w:p w14:paraId="36858CEA" w14:textId="77777777" w:rsidR="003E680F" w:rsidRPr="003E680F" w:rsidRDefault="003E680F" w:rsidP="00B66B15">
      <w:pPr>
        <w:spacing w:after="0" w:line="240" w:lineRule="auto"/>
        <w:ind w:left="720"/>
        <w:rPr>
          <w:rFonts w:cstheme="minorHAnsi"/>
        </w:rPr>
      </w:pPr>
      <w:r w:rsidRPr="003E680F">
        <w:rPr>
          <w:rFonts w:cstheme="minorHAnsi"/>
        </w:rPr>
        <w:t>Hard cases</w:t>
      </w:r>
    </w:p>
    <w:p w14:paraId="16B3BAF8" w14:textId="36BF41E7" w:rsidR="003E680F" w:rsidRDefault="003E680F" w:rsidP="00B66B15">
      <w:pPr>
        <w:spacing w:after="0" w:line="240" w:lineRule="auto"/>
        <w:ind w:left="720"/>
        <w:rPr>
          <w:rFonts w:cstheme="minorHAnsi"/>
        </w:rPr>
      </w:pPr>
      <w:r w:rsidRPr="003E680F">
        <w:rPr>
          <w:rFonts w:cstheme="minorHAnsi"/>
        </w:rPr>
        <w:t>Strategic litigation</w:t>
      </w:r>
    </w:p>
    <w:p w14:paraId="625016EE" w14:textId="0587B4C9" w:rsidR="007F45E7" w:rsidRPr="00E671F8" w:rsidRDefault="007F45E7" w:rsidP="007F45E7">
      <w:pPr>
        <w:pStyle w:val="ListParagraph"/>
        <w:numPr>
          <w:ilvl w:val="0"/>
          <w:numId w:val="49"/>
        </w:numPr>
        <w:spacing w:after="0" w:line="240" w:lineRule="auto"/>
        <w:rPr>
          <w:rFonts w:cstheme="minorHAnsi"/>
          <w:i/>
        </w:rPr>
      </w:pPr>
      <w:r w:rsidRPr="00E671F8">
        <w:rPr>
          <w:rFonts w:cstheme="minorHAnsi"/>
          <w:i/>
        </w:rPr>
        <w:t>Monitoring</w:t>
      </w:r>
    </w:p>
    <w:p w14:paraId="0B239661" w14:textId="3760FDED" w:rsidR="003E680F" w:rsidRPr="003E680F" w:rsidRDefault="003E680F" w:rsidP="007F45E7">
      <w:pPr>
        <w:spacing w:after="0" w:line="240" w:lineRule="auto"/>
        <w:ind w:left="720"/>
        <w:rPr>
          <w:rFonts w:cstheme="minorHAnsi"/>
        </w:rPr>
      </w:pPr>
      <w:r w:rsidRPr="003E680F">
        <w:rPr>
          <w:rFonts w:cstheme="minorHAnsi"/>
        </w:rPr>
        <w:t>Statistics (including the use of human rights indicators)</w:t>
      </w:r>
    </w:p>
    <w:p w14:paraId="59CA67FF" w14:textId="000662A1" w:rsidR="003E680F" w:rsidRDefault="00467C6B" w:rsidP="00B66B15">
      <w:pPr>
        <w:spacing w:after="0" w:line="240" w:lineRule="auto"/>
        <w:ind w:left="720"/>
        <w:rPr>
          <w:rFonts w:cstheme="minorHAnsi"/>
        </w:rPr>
      </w:pPr>
      <w:r>
        <w:rPr>
          <w:rFonts w:cstheme="minorHAnsi"/>
        </w:rPr>
        <w:t xml:space="preserve">Meaningful </w:t>
      </w:r>
      <w:r w:rsidR="00CC149F">
        <w:rPr>
          <w:rFonts w:cstheme="minorHAnsi"/>
        </w:rPr>
        <w:t>p</w:t>
      </w:r>
      <w:r w:rsidR="003E680F" w:rsidRPr="003E680F">
        <w:rPr>
          <w:rFonts w:cstheme="minorHAnsi"/>
        </w:rPr>
        <w:t>articipation of persons with disabilities</w:t>
      </w:r>
      <w:r w:rsidR="00F33C21">
        <w:rPr>
          <w:rFonts w:cstheme="minorHAnsi"/>
        </w:rPr>
        <w:t xml:space="preserve"> and their representative organizations</w:t>
      </w:r>
    </w:p>
    <w:p w14:paraId="512750D2" w14:textId="04FF8B92" w:rsidR="007315A6" w:rsidRDefault="007315A6" w:rsidP="00B66B15">
      <w:pPr>
        <w:spacing w:after="0" w:line="240" w:lineRule="auto"/>
        <w:ind w:left="720"/>
        <w:rPr>
          <w:rFonts w:cstheme="minorHAnsi"/>
        </w:rPr>
      </w:pPr>
      <w:r>
        <w:rPr>
          <w:rFonts w:cstheme="minorHAnsi"/>
        </w:rPr>
        <w:t xml:space="preserve">Groups in focus: women and girls with disabilities, </w:t>
      </w:r>
      <w:r w:rsidR="00CC149F">
        <w:t>persons with intellectual and psychosocial disabilities,</w:t>
      </w:r>
      <w:r w:rsidR="00CC149F">
        <w:rPr>
          <w:rFonts w:cstheme="minorHAnsi"/>
        </w:rPr>
        <w:t xml:space="preserve"> </w:t>
      </w:r>
      <w:r>
        <w:rPr>
          <w:rFonts w:cstheme="minorHAnsi"/>
        </w:rPr>
        <w:t xml:space="preserve">persons with disabilities in institutions, children with disabilities. </w:t>
      </w:r>
    </w:p>
    <w:p w14:paraId="628A9A9D" w14:textId="77777777" w:rsidR="003E680F" w:rsidRDefault="003E680F" w:rsidP="003E680F">
      <w:pPr>
        <w:spacing w:after="0" w:line="240" w:lineRule="auto"/>
        <w:rPr>
          <w:rFonts w:cstheme="minorHAnsi"/>
        </w:rPr>
      </w:pPr>
    </w:p>
    <w:p w14:paraId="4504861E" w14:textId="14F13AB3" w:rsidR="003E680F" w:rsidRPr="00403346" w:rsidRDefault="00403346" w:rsidP="003E680F">
      <w:pPr>
        <w:spacing w:after="0" w:line="240" w:lineRule="auto"/>
        <w:rPr>
          <w:rFonts w:cstheme="minorHAnsi"/>
          <w:b/>
        </w:rPr>
      </w:pPr>
      <w:r>
        <w:rPr>
          <w:rFonts w:cstheme="minorHAnsi"/>
          <w:b/>
        </w:rPr>
        <w:t>ANNEXES</w:t>
      </w:r>
    </w:p>
    <w:p w14:paraId="5999F6A0" w14:textId="646C8E6F" w:rsidR="003E680F" w:rsidRPr="003E680F" w:rsidRDefault="00143BCF" w:rsidP="003E680F">
      <w:pPr>
        <w:spacing w:after="0" w:line="240" w:lineRule="auto"/>
        <w:rPr>
          <w:rFonts w:cstheme="minorHAnsi"/>
        </w:rPr>
      </w:pPr>
      <w:r>
        <w:rPr>
          <w:rFonts w:cstheme="minorHAnsi"/>
        </w:rPr>
        <w:t>ANNEX 1: G</w:t>
      </w:r>
      <w:r w:rsidR="003E680F" w:rsidRPr="003E680F">
        <w:rPr>
          <w:rFonts w:cstheme="minorHAnsi"/>
        </w:rPr>
        <w:t>uidelines</w:t>
      </w:r>
      <w:r w:rsidR="006C19EA" w:rsidRPr="006C19EA">
        <w:t xml:space="preserve"> </w:t>
      </w:r>
      <w:r w:rsidR="006C19EA" w:rsidRPr="006C19EA">
        <w:rPr>
          <w:rFonts w:cstheme="minorHAnsi"/>
        </w:rPr>
        <w:t>on independent monitoring frameworks and their participation in the work</w:t>
      </w:r>
      <w:r w:rsidR="006C19EA">
        <w:rPr>
          <w:rFonts w:cstheme="minorHAnsi"/>
        </w:rPr>
        <w:t xml:space="preserve"> </w:t>
      </w:r>
      <w:r w:rsidR="006C19EA" w:rsidRPr="006C19EA">
        <w:rPr>
          <w:rFonts w:cstheme="minorHAnsi"/>
        </w:rPr>
        <w:t>of the Committee</w:t>
      </w:r>
      <w:r w:rsidR="006C19EA">
        <w:rPr>
          <w:rFonts w:cstheme="minorHAnsi"/>
        </w:rPr>
        <w:t xml:space="preserve"> </w:t>
      </w:r>
      <w:r w:rsidR="006C19EA" w:rsidRPr="006C19EA">
        <w:rPr>
          <w:rFonts w:cstheme="minorHAnsi"/>
        </w:rPr>
        <w:t>on the Rights of Persons with Disabilities</w:t>
      </w:r>
      <w:r w:rsidR="003E680F" w:rsidRPr="003E680F">
        <w:rPr>
          <w:rFonts w:cstheme="minorHAnsi"/>
        </w:rPr>
        <w:t xml:space="preserve"> </w:t>
      </w:r>
    </w:p>
    <w:p w14:paraId="10D20915" w14:textId="41C65523" w:rsidR="00F309F7" w:rsidRDefault="003E680F" w:rsidP="003E680F">
      <w:pPr>
        <w:spacing w:after="0" w:line="240" w:lineRule="auto"/>
        <w:rPr>
          <w:rFonts w:cstheme="minorHAnsi"/>
        </w:rPr>
      </w:pPr>
      <w:r w:rsidRPr="003E680F">
        <w:rPr>
          <w:rFonts w:cstheme="minorHAnsi"/>
        </w:rPr>
        <w:t>ANNEX 2</w:t>
      </w:r>
      <w:r w:rsidR="00143BCF">
        <w:rPr>
          <w:rFonts w:cstheme="minorHAnsi"/>
        </w:rPr>
        <w:t>:</w:t>
      </w:r>
      <w:r w:rsidRPr="003E680F">
        <w:rPr>
          <w:rFonts w:cstheme="minorHAnsi"/>
        </w:rPr>
        <w:t xml:space="preserve"> Sample resources and tools </w:t>
      </w:r>
      <w:r w:rsidR="00441EF5">
        <w:rPr>
          <w:rFonts w:cstheme="minorHAnsi"/>
        </w:rPr>
        <w:t>(bibliography)</w:t>
      </w:r>
    </w:p>
    <w:p w14:paraId="49C632F1" w14:textId="667C9FBE" w:rsidR="00441EF5" w:rsidRDefault="00441EF5" w:rsidP="003E680F">
      <w:pPr>
        <w:spacing w:after="0" w:line="240" w:lineRule="auto"/>
        <w:rPr>
          <w:rFonts w:cstheme="minorHAnsi"/>
        </w:rPr>
      </w:pPr>
      <w:r>
        <w:rPr>
          <w:rFonts w:cstheme="minorHAnsi"/>
        </w:rPr>
        <w:t xml:space="preserve">ANNEX 3: </w:t>
      </w:r>
      <w:r>
        <w:t>Human rights indicators on article 33 CRPD</w:t>
      </w:r>
    </w:p>
    <w:p w14:paraId="019D71C8" w14:textId="7AABE43D" w:rsidR="003E680F" w:rsidRPr="00403346" w:rsidRDefault="00441EF5" w:rsidP="00403346">
      <w:pPr>
        <w:spacing w:after="0" w:line="240" w:lineRule="auto"/>
        <w:rPr>
          <w:rFonts w:cstheme="minorHAnsi"/>
        </w:rPr>
      </w:pPr>
      <w:r>
        <w:rPr>
          <w:rFonts w:cstheme="minorHAnsi"/>
        </w:rPr>
        <w:t>ANNEX 4</w:t>
      </w:r>
      <w:r w:rsidR="00F309F7">
        <w:rPr>
          <w:rFonts w:cstheme="minorHAnsi"/>
        </w:rPr>
        <w:t xml:space="preserve">: IMM assessment matrix (which will be basis for survey to establish repository) </w:t>
      </w:r>
    </w:p>
    <w:p w14:paraId="627DA80B" w14:textId="77777777" w:rsidR="004D049F" w:rsidRDefault="004D049F" w:rsidP="0062421F">
      <w:pPr>
        <w:jc w:val="both"/>
        <w:rPr>
          <w:b/>
        </w:rPr>
      </w:pPr>
    </w:p>
    <w:p w14:paraId="6FA61F82" w14:textId="331AEBF4" w:rsidR="0062421F" w:rsidRPr="001A5369" w:rsidRDefault="001A5369" w:rsidP="0062421F">
      <w:pPr>
        <w:jc w:val="both"/>
        <w:rPr>
          <w:rFonts w:ascii="Avenir" w:hAnsi="Avenir"/>
          <w:b/>
        </w:rPr>
      </w:pPr>
      <w:r w:rsidRPr="001A5369">
        <w:rPr>
          <w:b/>
        </w:rPr>
        <w:t>2.2. W</w:t>
      </w:r>
      <w:r w:rsidR="0062421F" w:rsidRPr="001A5369">
        <w:rPr>
          <w:b/>
        </w:rPr>
        <w:t xml:space="preserve">eb-based </w:t>
      </w:r>
      <w:r w:rsidR="00955E17">
        <w:rPr>
          <w:b/>
        </w:rPr>
        <w:t xml:space="preserve">accessible </w:t>
      </w:r>
      <w:r w:rsidR="0062421F" w:rsidRPr="001A5369">
        <w:rPr>
          <w:b/>
        </w:rPr>
        <w:t xml:space="preserve">repository </w:t>
      </w:r>
      <w:r>
        <w:rPr>
          <w:b/>
        </w:rPr>
        <w:t xml:space="preserve">on </w:t>
      </w:r>
      <w:r w:rsidRPr="00143BCF">
        <w:rPr>
          <w:b/>
        </w:rPr>
        <w:t>Independent Monitoring Mechanisms</w:t>
      </w:r>
    </w:p>
    <w:p w14:paraId="27348027" w14:textId="65390D95" w:rsidR="0062421F" w:rsidRPr="00627AA2" w:rsidRDefault="001A5369" w:rsidP="000D541B">
      <w:pPr>
        <w:pStyle w:val="CommentText"/>
        <w:jc w:val="both"/>
        <w:rPr>
          <w:sz w:val="22"/>
          <w:szCs w:val="22"/>
        </w:rPr>
      </w:pPr>
      <w:r w:rsidRPr="00627AA2">
        <w:rPr>
          <w:sz w:val="22"/>
          <w:szCs w:val="22"/>
        </w:rPr>
        <w:t xml:space="preserve">Building on the good practice of a repository established by the Association on the Prevention of Torture (APT) </w:t>
      </w:r>
      <w:r w:rsidRPr="00627AA2">
        <w:rPr>
          <w:rFonts w:cstheme="minorHAnsi"/>
          <w:sz w:val="22"/>
          <w:szCs w:val="22"/>
        </w:rPr>
        <w:t xml:space="preserve">on </w:t>
      </w:r>
      <w:r w:rsidR="00627AA2" w:rsidRPr="00627AA2">
        <w:rPr>
          <w:rFonts w:cstheme="minorHAnsi"/>
          <w:sz w:val="22"/>
          <w:szCs w:val="22"/>
        </w:rPr>
        <w:t>NPMs</w:t>
      </w:r>
      <w:r w:rsidRPr="00627AA2">
        <w:rPr>
          <w:rFonts w:cstheme="minorHAnsi"/>
          <w:sz w:val="22"/>
          <w:szCs w:val="22"/>
        </w:rPr>
        <w:t xml:space="preserve">, see </w:t>
      </w:r>
      <w:hyperlink r:id="rId15" w:history="1">
        <w:r w:rsidRPr="00AE2ACC">
          <w:rPr>
            <w:rStyle w:val="Hyperlink"/>
            <w:rFonts w:cstheme="minorHAnsi"/>
            <w:sz w:val="22"/>
            <w:szCs w:val="22"/>
          </w:rPr>
          <w:t>here</w:t>
        </w:r>
      </w:hyperlink>
      <w:r w:rsidRPr="00627AA2">
        <w:rPr>
          <w:rFonts w:cstheme="minorHAnsi"/>
          <w:sz w:val="22"/>
          <w:szCs w:val="22"/>
        </w:rPr>
        <w:t xml:space="preserve">, </w:t>
      </w:r>
      <w:r w:rsidR="0062421F" w:rsidRPr="00627AA2">
        <w:rPr>
          <w:sz w:val="22"/>
          <w:szCs w:val="22"/>
        </w:rPr>
        <w:t xml:space="preserve">an online </w:t>
      </w:r>
      <w:r w:rsidR="00627AA2" w:rsidRPr="00627AA2">
        <w:rPr>
          <w:sz w:val="22"/>
          <w:szCs w:val="22"/>
        </w:rPr>
        <w:t xml:space="preserve">updatable/searchable </w:t>
      </w:r>
      <w:r w:rsidR="0062421F" w:rsidRPr="00627AA2">
        <w:rPr>
          <w:sz w:val="22"/>
          <w:szCs w:val="22"/>
        </w:rPr>
        <w:t xml:space="preserve">repository with information by country </w:t>
      </w:r>
      <w:r w:rsidR="00627AA2">
        <w:rPr>
          <w:sz w:val="22"/>
          <w:szCs w:val="22"/>
        </w:rPr>
        <w:t xml:space="preserve">presented in a comparable format </w:t>
      </w:r>
      <w:r w:rsidR="00627AA2" w:rsidRPr="00627AA2">
        <w:rPr>
          <w:sz w:val="22"/>
          <w:szCs w:val="22"/>
        </w:rPr>
        <w:t>would be hosted on OHCHR’s and the Committee’s webpages</w:t>
      </w:r>
      <w:r w:rsidR="0062421F" w:rsidRPr="00627AA2">
        <w:rPr>
          <w:sz w:val="22"/>
          <w:szCs w:val="22"/>
        </w:rPr>
        <w:t xml:space="preserve">. </w:t>
      </w:r>
      <w:r w:rsidR="00627AA2" w:rsidRPr="00627AA2">
        <w:rPr>
          <w:sz w:val="22"/>
          <w:szCs w:val="22"/>
        </w:rPr>
        <w:t xml:space="preserve">The Committee, through a note </w:t>
      </w:r>
      <w:proofErr w:type="spellStart"/>
      <w:r w:rsidR="00627AA2" w:rsidRPr="00627AA2">
        <w:rPr>
          <w:sz w:val="22"/>
          <w:szCs w:val="22"/>
        </w:rPr>
        <w:t>verbale</w:t>
      </w:r>
      <w:proofErr w:type="spellEnd"/>
      <w:r w:rsidR="00627AA2" w:rsidRPr="00627AA2">
        <w:rPr>
          <w:sz w:val="22"/>
          <w:szCs w:val="22"/>
        </w:rPr>
        <w:t>, would ask State parties</w:t>
      </w:r>
      <w:r w:rsidR="00627AA2">
        <w:rPr>
          <w:sz w:val="22"/>
          <w:szCs w:val="22"/>
        </w:rPr>
        <w:t xml:space="preserve"> to complete a survey, the responses</w:t>
      </w:r>
      <w:r w:rsidR="00627AA2" w:rsidRPr="00627AA2">
        <w:rPr>
          <w:sz w:val="22"/>
          <w:szCs w:val="22"/>
        </w:rPr>
        <w:t xml:space="preserve"> of which would be reflected in the repository</w:t>
      </w:r>
      <w:r w:rsidR="00AE2ACC">
        <w:rPr>
          <w:sz w:val="22"/>
          <w:szCs w:val="22"/>
        </w:rPr>
        <w:t xml:space="preserve"> of “State parties to the Convention on Persons with Disabilities and their designated Independent Monitoring Mechanisms”</w:t>
      </w:r>
      <w:r w:rsidR="00627AA2" w:rsidRPr="00627AA2">
        <w:rPr>
          <w:sz w:val="22"/>
          <w:szCs w:val="22"/>
        </w:rPr>
        <w:t xml:space="preserve">. </w:t>
      </w:r>
      <w:r w:rsidR="009A4FD1">
        <w:rPr>
          <w:sz w:val="22"/>
          <w:szCs w:val="22"/>
        </w:rPr>
        <w:t xml:space="preserve">The Committee will also invite NHRIs, DPOs and other stakeholders to participate in the survey. </w:t>
      </w:r>
      <w:r w:rsidR="00627AA2" w:rsidRPr="00627AA2">
        <w:rPr>
          <w:sz w:val="22"/>
          <w:szCs w:val="22"/>
        </w:rPr>
        <w:t xml:space="preserve">In addition, for each country, the Committee’s assessment of the IMM as per its latest Concluding Observations would be added. The exact survey questions would be developed by the consultant working on the Practical Guide in consultation with </w:t>
      </w:r>
      <w:r w:rsidR="00F309F7">
        <w:rPr>
          <w:sz w:val="22"/>
          <w:szCs w:val="22"/>
        </w:rPr>
        <w:t>all partners of this project and approved by the Committee</w:t>
      </w:r>
      <w:r w:rsidR="00627AA2" w:rsidRPr="00627AA2">
        <w:rPr>
          <w:sz w:val="22"/>
          <w:szCs w:val="22"/>
        </w:rPr>
        <w:t>.</w:t>
      </w:r>
      <w:r w:rsidR="000D541B">
        <w:rPr>
          <w:sz w:val="22"/>
          <w:szCs w:val="22"/>
        </w:rPr>
        <w:t xml:space="preserve"> It </w:t>
      </w:r>
      <w:r w:rsidR="009A4FD1">
        <w:rPr>
          <w:sz w:val="22"/>
          <w:szCs w:val="22"/>
        </w:rPr>
        <w:t xml:space="preserve">will also </w:t>
      </w:r>
      <w:r w:rsidR="000D541B">
        <w:rPr>
          <w:sz w:val="22"/>
          <w:szCs w:val="22"/>
        </w:rPr>
        <w:t xml:space="preserve">include questions which allow </w:t>
      </w:r>
      <w:r w:rsidR="000D541B" w:rsidRPr="00D301F0">
        <w:rPr>
          <w:sz w:val="22"/>
          <w:szCs w:val="22"/>
        </w:rPr>
        <w:t>for the analysis of the numbers of IMMs that are NHRIs and how they function.</w:t>
      </w:r>
      <w:r w:rsidR="004D049F">
        <w:rPr>
          <w:sz w:val="22"/>
          <w:szCs w:val="22"/>
        </w:rPr>
        <w:t xml:space="preserve"> IMMs will be invited to share updated information with the Committee as it becomes available and the CRPD Secretariat will update the repository as such information is being received. </w:t>
      </w:r>
    </w:p>
    <w:p w14:paraId="2FFFF8EB" w14:textId="52BD9420" w:rsidR="003E7A83" w:rsidRDefault="003E7A83" w:rsidP="00F66AC2">
      <w:pPr>
        <w:spacing w:after="0" w:line="240" w:lineRule="auto"/>
        <w:jc w:val="both"/>
        <w:rPr>
          <w:sz w:val="20"/>
        </w:rPr>
      </w:pPr>
    </w:p>
    <w:p w14:paraId="09FD1A3A" w14:textId="67F86A9C" w:rsidR="00BC4B02" w:rsidRPr="00D9184A" w:rsidRDefault="00AE2ACC" w:rsidP="00F66AC2">
      <w:pPr>
        <w:pStyle w:val="Heading2"/>
      </w:pPr>
      <w:r>
        <w:t>2.3.</w:t>
      </w:r>
      <w:r w:rsidR="006C28CF">
        <w:t xml:space="preserve"> </w:t>
      </w:r>
      <w:r w:rsidR="00BC4B02" w:rsidRPr="00D9184A">
        <w:t xml:space="preserve">Theory of change of the intervention – “How will the </w:t>
      </w:r>
      <w:r w:rsidR="00BC4B02">
        <w:t>project</w:t>
      </w:r>
      <w:r w:rsidR="00BC4B02" w:rsidRPr="00D9184A">
        <w:t xml:space="preserve"> produce </w:t>
      </w:r>
      <w:r w:rsidR="001D0E33">
        <w:t>the stated impact</w:t>
      </w:r>
      <w:r w:rsidR="00BC4B02" w:rsidRPr="00D9184A">
        <w:t>?”</w:t>
      </w:r>
    </w:p>
    <w:p w14:paraId="18F4B680" w14:textId="3271207D" w:rsidR="00AE2ACC" w:rsidRDefault="00AE2ACC" w:rsidP="00AE2ACC">
      <w:pPr>
        <w:spacing w:after="0" w:line="240" w:lineRule="auto"/>
        <w:jc w:val="both"/>
        <w:rPr>
          <w:i/>
          <w:sz w:val="20"/>
        </w:rPr>
      </w:pPr>
    </w:p>
    <w:p w14:paraId="2FCE7EB6" w14:textId="44E541E6" w:rsidR="007A4C8C" w:rsidRDefault="00AE2ACC" w:rsidP="00403346">
      <w:pPr>
        <w:pStyle w:val="CommentText"/>
        <w:jc w:val="both"/>
        <w:rPr>
          <w:i/>
          <w:sz w:val="22"/>
          <w:szCs w:val="22"/>
        </w:rPr>
      </w:pPr>
      <w:r w:rsidRPr="00AE2ACC">
        <w:rPr>
          <w:sz w:val="22"/>
          <w:szCs w:val="22"/>
        </w:rPr>
        <w:t>Th</w:t>
      </w:r>
      <w:r w:rsidR="007F45E7">
        <w:rPr>
          <w:sz w:val="22"/>
          <w:szCs w:val="22"/>
        </w:rPr>
        <w:t>e project seeks to lead to the e</w:t>
      </w:r>
      <w:r w:rsidRPr="00AE2ACC">
        <w:rPr>
          <w:sz w:val="22"/>
          <w:szCs w:val="22"/>
        </w:rPr>
        <w:t>stablishment and/or effective functioning of national Independent Monitoring Mechanisms</w:t>
      </w:r>
      <w:r w:rsidR="007F45E7">
        <w:rPr>
          <w:sz w:val="22"/>
          <w:szCs w:val="22"/>
        </w:rPr>
        <w:t xml:space="preserve"> (outcome)</w:t>
      </w:r>
      <w:r w:rsidR="009A4FD1">
        <w:rPr>
          <w:sz w:val="22"/>
          <w:szCs w:val="22"/>
        </w:rPr>
        <w:t xml:space="preserve"> in line with article 33 II CRPD</w:t>
      </w:r>
      <w:r w:rsidRPr="00AE2ACC">
        <w:rPr>
          <w:sz w:val="22"/>
          <w:szCs w:val="22"/>
        </w:rPr>
        <w:t xml:space="preserve">. Based on the demands of State parties to have greater clarity and receive more guidance on what an effectively functioning IMM necessitates, the two global strategic resources developed under this project (outputs) will assist States </w:t>
      </w:r>
      <w:r w:rsidR="007F45E7">
        <w:rPr>
          <w:sz w:val="22"/>
          <w:szCs w:val="22"/>
        </w:rPr>
        <w:t xml:space="preserve">including new State parties to the treaty </w:t>
      </w:r>
      <w:r w:rsidRPr="00AE2ACC">
        <w:rPr>
          <w:sz w:val="22"/>
          <w:szCs w:val="22"/>
        </w:rPr>
        <w:t xml:space="preserve">in designing their IMM in accordance with </w:t>
      </w:r>
      <w:r w:rsidR="007F45E7">
        <w:rPr>
          <w:sz w:val="22"/>
          <w:szCs w:val="22"/>
        </w:rPr>
        <w:t xml:space="preserve">the </w:t>
      </w:r>
      <w:hyperlink r:id="rId16" w:history="1">
        <w:r w:rsidRPr="007F45E7">
          <w:rPr>
            <w:rStyle w:val="Hyperlink"/>
            <w:sz w:val="22"/>
            <w:szCs w:val="22"/>
          </w:rPr>
          <w:t>relevant guidance</w:t>
        </w:r>
      </w:hyperlink>
      <w:r w:rsidRPr="00AE2ACC">
        <w:rPr>
          <w:sz w:val="22"/>
          <w:szCs w:val="22"/>
        </w:rPr>
        <w:t xml:space="preserve"> </w:t>
      </w:r>
      <w:r w:rsidR="007F45E7">
        <w:rPr>
          <w:sz w:val="22"/>
          <w:szCs w:val="22"/>
        </w:rPr>
        <w:t xml:space="preserve">issued </w:t>
      </w:r>
      <w:r w:rsidRPr="00AE2ACC">
        <w:rPr>
          <w:sz w:val="22"/>
          <w:szCs w:val="22"/>
        </w:rPr>
        <w:t>from the Committee</w:t>
      </w:r>
      <w:r w:rsidR="009A4FD1">
        <w:rPr>
          <w:sz w:val="22"/>
          <w:szCs w:val="22"/>
        </w:rPr>
        <w:t xml:space="preserve"> and in line with article 33 II CRPD</w:t>
      </w:r>
      <w:r w:rsidRPr="00AE2ACC">
        <w:rPr>
          <w:sz w:val="22"/>
          <w:szCs w:val="22"/>
        </w:rPr>
        <w:t xml:space="preserve">. </w:t>
      </w:r>
      <w:r w:rsidR="007F45E7">
        <w:rPr>
          <w:sz w:val="22"/>
          <w:szCs w:val="22"/>
        </w:rPr>
        <w:t xml:space="preserve">In countries where an IMM already exists, </w:t>
      </w:r>
      <w:r w:rsidRPr="00AE2ACC">
        <w:rPr>
          <w:sz w:val="22"/>
          <w:szCs w:val="22"/>
        </w:rPr>
        <w:t xml:space="preserve">States parties will be able to understand why their respective monitoring framework is </w:t>
      </w:r>
      <w:r w:rsidR="007F45E7">
        <w:rPr>
          <w:sz w:val="22"/>
          <w:szCs w:val="22"/>
        </w:rPr>
        <w:t xml:space="preserve">or is </w:t>
      </w:r>
      <w:r w:rsidR="00F43EF8">
        <w:rPr>
          <w:sz w:val="22"/>
          <w:szCs w:val="22"/>
        </w:rPr>
        <w:t>not in line with art</w:t>
      </w:r>
      <w:r w:rsidR="004901AC">
        <w:rPr>
          <w:sz w:val="22"/>
          <w:szCs w:val="22"/>
        </w:rPr>
        <w:t xml:space="preserve">icle </w:t>
      </w:r>
      <w:r w:rsidR="00F43EF8">
        <w:rPr>
          <w:sz w:val="22"/>
          <w:szCs w:val="22"/>
        </w:rPr>
        <w:t>33 (</w:t>
      </w:r>
      <w:r w:rsidRPr="00AE2ACC">
        <w:rPr>
          <w:sz w:val="22"/>
          <w:szCs w:val="22"/>
        </w:rPr>
        <w:t>2</w:t>
      </w:r>
      <w:r w:rsidR="00F43EF8">
        <w:rPr>
          <w:sz w:val="22"/>
          <w:szCs w:val="22"/>
        </w:rPr>
        <w:t>)</w:t>
      </w:r>
      <w:r w:rsidR="00FD7234">
        <w:rPr>
          <w:sz w:val="22"/>
          <w:szCs w:val="22"/>
        </w:rPr>
        <w:t>,</w:t>
      </w:r>
      <w:r w:rsidRPr="00AE2ACC">
        <w:rPr>
          <w:sz w:val="22"/>
          <w:szCs w:val="22"/>
        </w:rPr>
        <w:t xml:space="preserve"> take the necessary action to correct this and achieve compliance</w:t>
      </w:r>
      <w:r w:rsidR="007F45E7">
        <w:rPr>
          <w:sz w:val="22"/>
          <w:szCs w:val="22"/>
        </w:rPr>
        <w:t xml:space="preserve"> if needed</w:t>
      </w:r>
      <w:r w:rsidRPr="00AE2ACC">
        <w:rPr>
          <w:sz w:val="22"/>
          <w:szCs w:val="22"/>
        </w:rPr>
        <w:t>. This includes ensuring the inclusion and participation of persons with disabilities and their representative organizations in the IMM framework.</w:t>
      </w:r>
      <w:r w:rsidR="007A4C8C" w:rsidRPr="00AE2ACC">
        <w:rPr>
          <w:i/>
          <w:sz w:val="22"/>
          <w:szCs w:val="22"/>
        </w:rPr>
        <w:t xml:space="preserve"> </w:t>
      </w:r>
    </w:p>
    <w:p w14:paraId="2A1DDC6A" w14:textId="77777777" w:rsidR="00106E61" w:rsidRPr="00AE2ACC" w:rsidRDefault="00106E61" w:rsidP="00403346">
      <w:pPr>
        <w:pStyle w:val="CommentText"/>
        <w:jc w:val="both"/>
        <w:rPr>
          <w:sz w:val="22"/>
          <w:szCs w:val="22"/>
        </w:rPr>
      </w:pPr>
    </w:p>
    <w:p w14:paraId="1FDFCFA1" w14:textId="2AEE02A8" w:rsidR="00BC4B02" w:rsidRPr="0030288D" w:rsidRDefault="006C28CF" w:rsidP="00F66AC2">
      <w:pPr>
        <w:pStyle w:val="Heading1"/>
        <w:rPr>
          <w:b w:val="0"/>
          <w:szCs w:val="24"/>
        </w:rPr>
      </w:pPr>
      <w:r>
        <w:t xml:space="preserve">3. </w:t>
      </w:r>
      <w:r w:rsidR="00BC4B02" w:rsidRPr="0030288D">
        <w:rPr>
          <w:szCs w:val="24"/>
        </w:rPr>
        <w:t>R</w:t>
      </w:r>
      <w:r w:rsidR="00A14103">
        <w:rPr>
          <w:szCs w:val="24"/>
        </w:rPr>
        <w:t>esult chain of the I</w:t>
      </w:r>
      <w:r w:rsidR="00BC4B02" w:rsidRPr="0030288D">
        <w:rPr>
          <w:szCs w:val="24"/>
        </w:rPr>
        <w:t>ntervention</w:t>
      </w:r>
    </w:p>
    <w:p w14:paraId="682D2036" w14:textId="77777777" w:rsidR="00BC4B02" w:rsidRDefault="00BC4B02" w:rsidP="00BC4B02">
      <w:pPr>
        <w:spacing w:after="0" w:line="240" w:lineRule="auto"/>
        <w:rPr>
          <w:i/>
          <w:sz w:val="20"/>
        </w:rPr>
      </w:pPr>
      <w:r w:rsidRPr="00E52509">
        <w:rPr>
          <w:i/>
          <w:sz w:val="20"/>
        </w:rPr>
        <w:t xml:space="preserve">Based on the information in the previous section, provide a concise formulation of the </w:t>
      </w:r>
      <w:r>
        <w:rPr>
          <w:i/>
          <w:sz w:val="20"/>
        </w:rPr>
        <w:t>project</w:t>
      </w:r>
      <w:r w:rsidRPr="00E52509">
        <w:rPr>
          <w:i/>
          <w:sz w:val="20"/>
        </w:rPr>
        <w:t xml:space="preserve"> objectives (expected impact, intended outcomes and outputs) utilizing the table format provided below.</w:t>
      </w:r>
      <w:r w:rsidRPr="00000D4C">
        <w:rPr>
          <w:rStyle w:val="FootnoteReference"/>
          <w:b/>
          <w:color w:val="000000" w:themeColor="text1"/>
        </w:rPr>
        <w:t xml:space="preserve"> </w:t>
      </w:r>
      <w:r>
        <w:rPr>
          <w:rStyle w:val="FootnoteReference"/>
          <w:b/>
          <w:color w:val="000000" w:themeColor="text1"/>
        </w:rPr>
        <w:footnoteReference w:id="5"/>
      </w:r>
      <w:r w:rsidRPr="00E52509">
        <w:rPr>
          <w:i/>
          <w:sz w:val="20"/>
        </w:rPr>
        <w:t xml:space="preserve"> </w:t>
      </w:r>
    </w:p>
    <w:p w14:paraId="2639B7D2" w14:textId="77777777" w:rsidR="002A75AF" w:rsidRDefault="002A75AF" w:rsidP="00BC4B02">
      <w:pPr>
        <w:spacing w:after="0" w:line="240" w:lineRule="auto"/>
        <w:rPr>
          <w:i/>
          <w:sz w:val="20"/>
        </w:rPr>
      </w:pPr>
    </w:p>
    <w:p w14:paraId="0F4DC4F7" w14:textId="77777777" w:rsidR="00BC4B02" w:rsidRDefault="00BC4B02" w:rsidP="00340C8C">
      <w:pPr>
        <w:pStyle w:val="Heading2"/>
        <w:rPr>
          <w:color w:val="000000" w:themeColor="text1"/>
        </w:rPr>
      </w:pPr>
      <w:r>
        <w:t>Table 2</w:t>
      </w:r>
      <w:r w:rsidRPr="001362D2">
        <w:t xml:space="preserve">. Expected </w:t>
      </w:r>
      <w:r w:rsidRPr="001362D2">
        <w:rPr>
          <w:color w:val="000000" w:themeColor="text1"/>
        </w:rPr>
        <w:t>impact</w:t>
      </w:r>
    </w:p>
    <w:tbl>
      <w:tblPr>
        <w:tblStyle w:val="TableGrid"/>
        <w:tblW w:w="0" w:type="auto"/>
        <w:tblLook w:val="04A0" w:firstRow="1" w:lastRow="0" w:firstColumn="1" w:lastColumn="0" w:noHBand="0" w:noVBand="1"/>
        <w:tblCaption w:val="Expected Impact"/>
      </w:tblPr>
      <w:tblGrid>
        <w:gridCol w:w="9795"/>
      </w:tblGrid>
      <w:tr w:rsidR="00BC4B02" w14:paraId="06FFE2B5" w14:textId="77777777" w:rsidTr="00FB40C6">
        <w:trPr>
          <w:tblHeader/>
        </w:trPr>
        <w:tc>
          <w:tcPr>
            <w:tcW w:w="979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589EAC2" w14:textId="030AEA9E" w:rsidR="00BC4B02" w:rsidRPr="005B1267" w:rsidRDefault="007835AF" w:rsidP="002A75AF">
            <w:pPr>
              <w:spacing w:before="60" w:after="60"/>
              <w:jc w:val="both"/>
              <w:rPr>
                <w:b/>
                <w:color w:val="000000" w:themeColor="text1"/>
                <w:sz w:val="20"/>
              </w:rPr>
            </w:pPr>
            <w:r>
              <w:rPr>
                <w:b/>
                <w:color w:val="000000" w:themeColor="text1"/>
              </w:rPr>
              <w:t>Impact</w:t>
            </w:r>
            <w:r w:rsidR="00BB7AA4">
              <w:rPr>
                <w:b/>
                <w:color w:val="000000" w:themeColor="text1"/>
              </w:rPr>
              <w:t>: All h</w:t>
            </w:r>
            <w:r w:rsidR="00E671F8">
              <w:rPr>
                <w:b/>
                <w:color w:val="000000" w:themeColor="text1"/>
              </w:rPr>
              <w:t>uman rights for persons with disabilities</w:t>
            </w:r>
          </w:p>
        </w:tc>
      </w:tr>
      <w:tr w:rsidR="00BC4B02" w14:paraId="66855A6B" w14:textId="77777777" w:rsidTr="00FB40C6">
        <w:tc>
          <w:tcPr>
            <w:tcW w:w="9795" w:type="dxa"/>
            <w:tcBorders>
              <w:top w:val="double" w:sz="4" w:space="0" w:color="auto"/>
              <w:left w:val="double" w:sz="4" w:space="0" w:color="auto"/>
              <w:bottom w:val="double" w:sz="4" w:space="0" w:color="auto"/>
              <w:right w:val="double" w:sz="4" w:space="0" w:color="auto"/>
            </w:tcBorders>
          </w:tcPr>
          <w:p w14:paraId="03B23805" w14:textId="671BC90B" w:rsidR="00106E61" w:rsidRDefault="00106E61" w:rsidP="00E671F8">
            <w:pPr>
              <w:rPr>
                <w:sz w:val="20"/>
                <w:szCs w:val="20"/>
              </w:rPr>
            </w:pPr>
          </w:p>
          <w:p w14:paraId="21A8DF25" w14:textId="2F5FE063" w:rsidR="007A331A" w:rsidRPr="00BB7AA4" w:rsidRDefault="00E671F8" w:rsidP="00E671F8">
            <w:pPr>
              <w:rPr>
                <w:sz w:val="20"/>
                <w:szCs w:val="20"/>
              </w:rPr>
            </w:pPr>
            <w:r w:rsidRPr="00BB7AA4">
              <w:rPr>
                <w:sz w:val="20"/>
                <w:szCs w:val="20"/>
              </w:rPr>
              <w:t xml:space="preserve">The implementation of the Convention on Persons with Disabilities leads to the realization of their rights at the national level. Strengthening the Independent Monitoring Mechanisms in exercising their functions to promote, protect and monitor the implementation of the Convention will contribute to achieve national level implementation of the treaty. </w:t>
            </w:r>
          </w:p>
        </w:tc>
      </w:tr>
    </w:tbl>
    <w:p w14:paraId="24EA9BC1" w14:textId="77777777" w:rsidR="00340C8C" w:rsidRPr="00BB6C6D" w:rsidRDefault="004606A3" w:rsidP="00CE4D68">
      <w:pPr>
        <w:pStyle w:val="Heading2"/>
        <w:ind w:hanging="270"/>
      </w:pPr>
      <w:r>
        <w:rPr>
          <w:sz w:val="20"/>
        </w:rPr>
        <w:tab/>
      </w:r>
      <w:r w:rsidR="00340C8C" w:rsidRPr="00BB6C6D">
        <w:t>Impact Indicators</w:t>
      </w:r>
    </w:p>
    <w:tbl>
      <w:tblPr>
        <w:tblStyle w:val="TableGrid"/>
        <w:tblW w:w="4868" w:type="pct"/>
        <w:tblLook w:val="04A0" w:firstRow="1" w:lastRow="0" w:firstColumn="1" w:lastColumn="0" w:noHBand="0" w:noVBand="1"/>
        <w:tblCaption w:val="This table includes the impact indicators"/>
        <w:tblDescription w:val="Row 1 column 1-indicator, column 2 baseline, column 3 target, column- 4 means of verification. Please provide sex disaggregation for all baseline and end line figures."/>
      </w:tblPr>
      <w:tblGrid>
        <w:gridCol w:w="1331"/>
        <w:gridCol w:w="1518"/>
        <w:gridCol w:w="1873"/>
        <w:gridCol w:w="2251"/>
        <w:gridCol w:w="2831"/>
      </w:tblGrid>
      <w:tr w:rsidR="00340C8C" w:rsidRPr="00BB6C6D" w14:paraId="7CB052F7" w14:textId="77777777" w:rsidTr="00FB40C6">
        <w:trPr>
          <w:tblHeader/>
        </w:trPr>
        <w:tc>
          <w:tcPr>
            <w:tcW w:w="679" w:type="pct"/>
            <w:shd w:val="clear" w:color="auto" w:fill="D9D9D9" w:themeFill="background1" w:themeFillShade="D9"/>
          </w:tcPr>
          <w:p w14:paraId="57660FA2" w14:textId="77777777" w:rsidR="00340C8C" w:rsidRPr="00BB6C6D" w:rsidRDefault="00340C8C" w:rsidP="004A5E9B">
            <w:pPr>
              <w:pStyle w:val="ListParagraph"/>
              <w:spacing w:before="100" w:beforeAutospacing="1" w:after="240"/>
              <w:ind w:left="0"/>
              <w:jc w:val="both"/>
              <w:rPr>
                <w:b/>
                <w:sz w:val="20"/>
              </w:rPr>
            </w:pPr>
            <w:r w:rsidRPr="00BB6C6D">
              <w:rPr>
                <w:b/>
                <w:sz w:val="20"/>
              </w:rPr>
              <w:t>Indicator*</w:t>
            </w:r>
          </w:p>
        </w:tc>
        <w:tc>
          <w:tcPr>
            <w:tcW w:w="774" w:type="pct"/>
            <w:shd w:val="clear" w:color="auto" w:fill="D9D9D9" w:themeFill="background1" w:themeFillShade="D9"/>
          </w:tcPr>
          <w:p w14:paraId="01728F80" w14:textId="77777777" w:rsidR="00340C8C" w:rsidRPr="00BB6C6D" w:rsidRDefault="00340C8C" w:rsidP="00403346">
            <w:pPr>
              <w:rPr>
                <w:b/>
                <w:sz w:val="20"/>
              </w:rPr>
            </w:pPr>
            <w:r w:rsidRPr="00BB6C6D">
              <w:rPr>
                <w:b/>
                <w:sz w:val="20"/>
              </w:rPr>
              <w:t xml:space="preserve">Start level </w:t>
            </w:r>
          </w:p>
          <w:p w14:paraId="22F7C638" w14:textId="77777777" w:rsidR="00340C8C" w:rsidRPr="00BB6C6D" w:rsidRDefault="00340C8C" w:rsidP="00403346">
            <w:pPr>
              <w:rPr>
                <w:sz w:val="20"/>
              </w:rPr>
            </w:pPr>
            <w:r w:rsidRPr="00BB6C6D">
              <w:rPr>
                <w:sz w:val="20"/>
              </w:rPr>
              <w:t>(Beginning o</w:t>
            </w:r>
            <w:r w:rsidR="004A5E9B">
              <w:rPr>
                <w:sz w:val="20"/>
              </w:rPr>
              <w:t>f the project reporting period)</w:t>
            </w:r>
          </w:p>
        </w:tc>
        <w:tc>
          <w:tcPr>
            <w:tcW w:w="955" w:type="pct"/>
            <w:shd w:val="clear" w:color="auto" w:fill="D9D9D9" w:themeFill="background1" w:themeFillShade="D9"/>
          </w:tcPr>
          <w:p w14:paraId="167C05F9" w14:textId="77777777" w:rsidR="00340C8C" w:rsidRPr="00BB6C6D" w:rsidRDefault="00340C8C" w:rsidP="00403346">
            <w:pPr>
              <w:pStyle w:val="ListParagraph"/>
              <w:spacing w:before="60" w:after="60"/>
              <w:ind w:left="0"/>
              <w:contextualSpacing w:val="0"/>
              <w:rPr>
                <w:b/>
                <w:sz w:val="20"/>
              </w:rPr>
            </w:pPr>
            <w:r>
              <w:rPr>
                <w:b/>
                <w:sz w:val="20"/>
              </w:rPr>
              <w:t>Target</w:t>
            </w:r>
          </w:p>
        </w:tc>
        <w:tc>
          <w:tcPr>
            <w:tcW w:w="1148" w:type="pct"/>
            <w:shd w:val="clear" w:color="auto" w:fill="D9D9D9" w:themeFill="background1" w:themeFillShade="D9"/>
          </w:tcPr>
          <w:p w14:paraId="2EFDE635" w14:textId="77777777" w:rsidR="00340C8C" w:rsidRPr="00BB6C6D" w:rsidRDefault="00340C8C" w:rsidP="00403346">
            <w:pPr>
              <w:pStyle w:val="ListParagraph"/>
              <w:spacing w:before="60" w:after="60"/>
              <w:ind w:left="0"/>
              <w:contextualSpacing w:val="0"/>
              <w:rPr>
                <w:b/>
                <w:sz w:val="20"/>
              </w:rPr>
            </w:pPr>
            <w:r w:rsidRPr="00BB6C6D">
              <w:rPr>
                <w:b/>
                <w:sz w:val="20"/>
              </w:rPr>
              <w:t xml:space="preserve">End level </w:t>
            </w:r>
          </w:p>
          <w:p w14:paraId="5D7538AF" w14:textId="77777777" w:rsidR="00340C8C" w:rsidRPr="00BB6C6D" w:rsidRDefault="00340C8C" w:rsidP="00403346">
            <w:pPr>
              <w:pStyle w:val="ListParagraph"/>
              <w:spacing w:before="100" w:beforeAutospacing="1" w:after="240"/>
              <w:ind w:left="0"/>
              <w:rPr>
                <w:b/>
                <w:sz w:val="20"/>
              </w:rPr>
            </w:pPr>
            <w:r w:rsidRPr="00BB6C6D">
              <w:rPr>
                <w:sz w:val="20"/>
              </w:rPr>
              <w:t>(End of the project reporting period)</w:t>
            </w:r>
          </w:p>
        </w:tc>
        <w:tc>
          <w:tcPr>
            <w:tcW w:w="1444" w:type="pct"/>
            <w:shd w:val="clear" w:color="auto" w:fill="D9D9D9" w:themeFill="background1" w:themeFillShade="D9"/>
          </w:tcPr>
          <w:p w14:paraId="750C8752" w14:textId="77777777" w:rsidR="00340C8C" w:rsidRPr="00BB6C6D" w:rsidRDefault="00340C8C" w:rsidP="004A5E9B">
            <w:pPr>
              <w:pStyle w:val="ListParagraph"/>
              <w:spacing w:before="60" w:after="60"/>
              <w:ind w:left="0"/>
              <w:contextualSpacing w:val="0"/>
              <w:rPr>
                <w:b/>
                <w:sz w:val="20"/>
              </w:rPr>
            </w:pPr>
            <w:r>
              <w:rPr>
                <w:b/>
                <w:sz w:val="20"/>
              </w:rPr>
              <w:t>Means of Verification</w:t>
            </w:r>
          </w:p>
        </w:tc>
      </w:tr>
      <w:tr w:rsidR="00340C8C" w:rsidRPr="00BB6C6D" w14:paraId="39804840" w14:textId="77777777" w:rsidTr="00FB40C6">
        <w:tc>
          <w:tcPr>
            <w:tcW w:w="679" w:type="pct"/>
          </w:tcPr>
          <w:p w14:paraId="136BC971" w14:textId="573A1C7C" w:rsidR="00340C8C" w:rsidRPr="00BB6C6D" w:rsidRDefault="001648A4" w:rsidP="004A5E9B">
            <w:r>
              <w:rPr>
                <w:sz w:val="20"/>
              </w:rPr>
              <w:t xml:space="preserve">Number of IMMs </w:t>
            </w:r>
            <w:r w:rsidRPr="00F5620A">
              <w:rPr>
                <w:color w:val="000000" w:themeColor="text1"/>
                <w:sz w:val="20"/>
              </w:rPr>
              <w:t>effectively functioning</w:t>
            </w:r>
          </w:p>
        </w:tc>
        <w:tc>
          <w:tcPr>
            <w:tcW w:w="774" w:type="pct"/>
          </w:tcPr>
          <w:p w14:paraId="291BA355" w14:textId="4C961F55" w:rsidR="00340C8C" w:rsidRPr="00BB6C6D" w:rsidRDefault="001648A4" w:rsidP="004A5E9B">
            <w:r>
              <w:rPr>
                <w:sz w:val="20"/>
              </w:rPr>
              <w:t>To be assessed through the development of the two outputs (max. 51 but estimated at less)</w:t>
            </w:r>
          </w:p>
        </w:tc>
        <w:tc>
          <w:tcPr>
            <w:tcW w:w="955" w:type="pct"/>
          </w:tcPr>
          <w:p w14:paraId="2455BEF6" w14:textId="55A852AC" w:rsidR="00340C8C" w:rsidRPr="00BB6C6D" w:rsidRDefault="001648A4" w:rsidP="004A5E9B">
            <w:pPr>
              <w:rPr>
                <w:sz w:val="20"/>
              </w:rPr>
            </w:pPr>
            <w:r>
              <w:rPr>
                <w:sz w:val="20"/>
              </w:rPr>
              <w:t>Proper baseline established</w:t>
            </w:r>
          </w:p>
        </w:tc>
        <w:tc>
          <w:tcPr>
            <w:tcW w:w="1148" w:type="pct"/>
          </w:tcPr>
          <w:p w14:paraId="088B96FF" w14:textId="334055CF" w:rsidR="00340C8C" w:rsidRPr="00BB6C6D" w:rsidRDefault="001648A4" w:rsidP="001648A4">
            <w:pPr>
              <w:pStyle w:val="CommentText"/>
            </w:pPr>
            <w:r>
              <w:t xml:space="preserve">Compliance of the IMM with the requirements of independence, participation of persons with disabilities and their OPDs, </w:t>
            </w:r>
            <w:proofErr w:type="gramStart"/>
            <w:r>
              <w:t>sufficient</w:t>
            </w:r>
            <w:proofErr w:type="gramEnd"/>
            <w:r>
              <w:t xml:space="preserve"> resources allocated to carry out their mandate, or its work or competences at the regional or local levels to be assessed over next few years.</w:t>
            </w:r>
          </w:p>
        </w:tc>
        <w:tc>
          <w:tcPr>
            <w:tcW w:w="1444" w:type="pct"/>
          </w:tcPr>
          <w:p w14:paraId="6E2C6DE1" w14:textId="6E5D19E6" w:rsidR="00340C8C" w:rsidRPr="00BB6C6D" w:rsidRDefault="001648A4" w:rsidP="004A5E9B">
            <w:pPr>
              <w:rPr>
                <w:sz w:val="20"/>
              </w:rPr>
            </w:pPr>
            <w:r>
              <w:rPr>
                <w:sz w:val="20"/>
              </w:rPr>
              <w:t>Future concluding observations made by the Committee on the status of the country’s respective IMM</w:t>
            </w:r>
          </w:p>
        </w:tc>
      </w:tr>
    </w:tbl>
    <w:p w14:paraId="09608E4E" w14:textId="77777777" w:rsidR="00340C8C" w:rsidRPr="00BB6C6D" w:rsidRDefault="00340C8C" w:rsidP="00340C8C">
      <w:pPr>
        <w:pStyle w:val="Heading2"/>
      </w:pPr>
      <w:r w:rsidRPr="00BB6C6D">
        <w:t>Table 2. Variation</w:t>
      </w:r>
      <w:r w:rsidR="00A92E2E">
        <w:t>s</w:t>
      </w:r>
      <w:r w:rsidRPr="00BB6C6D">
        <w:t xml:space="preserve"> in outcome indicators </w:t>
      </w:r>
    </w:p>
    <w:p w14:paraId="583FEBA6" w14:textId="77777777" w:rsidR="00340C8C" w:rsidRPr="00BB6C6D" w:rsidRDefault="00340C8C" w:rsidP="004A5E9B">
      <w:r w:rsidRPr="00BB6C6D">
        <w:rPr>
          <w:i/>
          <w:sz w:val="20"/>
          <w:szCs w:val="20"/>
        </w:rPr>
        <w:t>(A</w:t>
      </w:r>
      <w:r w:rsidRPr="00BB6C6D">
        <w:rPr>
          <w:i/>
          <w:sz w:val="20"/>
        </w:rPr>
        <w:t>dd a table for each outcome in the approved project document)</w:t>
      </w:r>
    </w:p>
    <w:tbl>
      <w:tblPr>
        <w:tblStyle w:val="TableGrid"/>
        <w:tblW w:w="4873" w:type="pct"/>
        <w:tblLook w:val="04A0" w:firstRow="1" w:lastRow="0" w:firstColumn="1" w:lastColumn="0" w:noHBand="0" w:noVBand="1"/>
        <w:tblCaption w:val="Outcome 1"/>
        <w:tblDescription w:val="This table includes the project's outcome statement."/>
      </w:tblPr>
      <w:tblGrid>
        <w:gridCol w:w="9795"/>
      </w:tblGrid>
      <w:tr w:rsidR="00340C8C" w:rsidRPr="00BB6C6D" w14:paraId="63B213D9" w14:textId="77777777" w:rsidTr="00FB40C6">
        <w:trPr>
          <w:tblHeader/>
        </w:trPr>
        <w:tc>
          <w:tcPr>
            <w:tcW w:w="5000" w:type="pct"/>
            <w:tcBorders>
              <w:top w:val="double" w:sz="4" w:space="0" w:color="auto"/>
              <w:left w:val="double" w:sz="4" w:space="0" w:color="auto"/>
              <w:right w:val="double" w:sz="4" w:space="0" w:color="auto"/>
            </w:tcBorders>
            <w:shd w:val="clear" w:color="auto" w:fill="D9D9D9" w:themeFill="background1" w:themeFillShade="D9"/>
          </w:tcPr>
          <w:p w14:paraId="27402AAE" w14:textId="69C0AA67" w:rsidR="00340C8C" w:rsidRPr="00BB6C6D" w:rsidRDefault="00E671F8" w:rsidP="004A5E9B">
            <w:pPr>
              <w:spacing w:before="60" w:after="60"/>
              <w:jc w:val="both"/>
              <w:rPr>
                <w:b/>
                <w:sz w:val="20"/>
              </w:rPr>
            </w:pPr>
            <w:r>
              <w:rPr>
                <w:b/>
                <w:sz w:val="20"/>
              </w:rPr>
              <w:t xml:space="preserve">Outcome: </w:t>
            </w:r>
            <w:r w:rsidRPr="00E671F8">
              <w:rPr>
                <w:b/>
                <w:sz w:val="20"/>
                <w:szCs w:val="20"/>
              </w:rPr>
              <w:t>Establishment and/or effective functioning of national Independent Monitoring Mechanisms</w:t>
            </w:r>
          </w:p>
        </w:tc>
      </w:tr>
      <w:tr w:rsidR="00340C8C" w:rsidRPr="00BB6C6D" w14:paraId="2752F0C6" w14:textId="77777777" w:rsidTr="00FB40C6">
        <w:trPr>
          <w:tblHeader/>
        </w:trPr>
        <w:tc>
          <w:tcPr>
            <w:tcW w:w="5000" w:type="pct"/>
            <w:tcBorders>
              <w:left w:val="double" w:sz="4" w:space="0" w:color="auto"/>
              <w:right w:val="double" w:sz="4" w:space="0" w:color="auto"/>
            </w:tcBorders>
          </w:tcPr>
          <w:p w14:paraId="75C137F8" w14:textId="100279F5" w:rsidR="00E671F8" w:rsidRPr="00E671F8" w:rsidRDefault="00E671F8" w:rsidP="00B937CC">
            <w:pPr>
              <w:spacing w:after="0"/>
              <w:jc w:val="both"/>
              <w:rPr>
                <w:sz w:val="20"/>
                <w:szCs w:val="20"/>
              </w:rPr>
            </w:pPr>
            <w:r w:rsidRPr="00E671F8">
              <w:rPr>
                <w:sz w:val="20"/>
                <w:szCs w:val="20"/>
              </w:rPr>
              <w:t xml:space="preserve">The two new global complementary strategic resources on </w:t>
            </w:r>
            <w:r w:rsidR="00755979">
              <w:rPr>
                <w:sz w:val="20"/>
                <w:szCs w:val="20"/>
              </w:rPr>
              <w:t xml:space="preserve">the </w:t>
            </w:r>
            <w:r w:rsidRPr="00E671F8">
              <w:rPr>
                <w:sz w:val="20"/>
                <w:szCs w:val="20"/>
              </w:rPr>
              <w:t>rights</w:t>
            </w:r>
            <w:r w:rsidR="00755979">
              <w:rPr>
                <w:sz w:val="20"/>
                <w:szCs w:val="20"/>
              </w:rPr>
              <w:t xml:space="preserve"> of persons with disabilities</w:t>
            </w:r>
            <w:r w:rsidRPr="00E671F8">
              <w:rPr>
                <w:sz w:val="20"/>
                <w:szCs w:val="20"/>
              </w:rPr>
              <w:t xml:space="preserve"> would provide </w:t>
            </w:r>
            <w:r w:rsidRPr="00E671F8">
              <w:rPr>
                <w:rFonts w:cstheme="minorHAnsi"/>
                <w:sz w:val="20"/>
                <w:szCs w:val="20"/>
              </w:rPr>
              <w:t xml:space="preserve">States, IMMs, </w:t>
            </w:r>
            <w:r w:rsidR="00DA1776">
              <w:rPr>
                <w:rFonts w:cstheme="minorHAnsi"/>
                <w:sz w:val="20"/>
                <w:szCs w:val="20"/>
              </w:rPr>
              <w:t xml:space="preserve">OPDs, </w:t>
            </w:r>
            <w:r w:rsidR="00ED5877">
              <w:rPr>
                <w:rFonts w:cstheme="minorHAnsi"/>
                <w:sz w:val="20"/>
                <w:szCs w:val="20"/>
              </w:rPr>
              <w:t xml:space="preserve">NHRIs, </w:t>
            </w:r>
            <w:r w:rsidRPr="00E671F8">
              <w:rPr>
                <w:rFonts w:cstheme="minorHAnsi"/>
                <w:sz w:val="20"/>
                <w:szCs w:val="20"/>
              </w:rPr>
              <w:t xml:space="preserve">NGOs, other actors </w:t>
            </w:r>
            <w:r w:rsidRPr="00E671F8">
              <w:rPr>
                <w:sz w:val="20"/>
                <w:szCs w:val="20"/>
              </w:rPr>
              <w:t>and persons with disabilities with:</w:t>
            </w:r>
          </w:p>
          <w:p w14:paraId="108D2D64" w14:textId="77777777" w:rsidR="00E671F8" w:rsidRPr="00E671F8" w:rsidRDefault="00E671F8" w:rsidP="00B937CC">
            <w:pPr>
              <w:pStyle w:val="ListParagraph"/>
              <w:numPr>
                <w:ilvl w:val="0"/>
                <w:numId w:val="49"/>
              </w:numPr>
              <w:spacing w:after="0" w:line="240" w:lineRule="auto"/>
              <w:ind w:left="714" w:hanging="357"/>
              <w:jc w:val="both"/>
              <w:rPr>
                <w:rFonts w:cstheme="minorHAnsi"/>
                <w:sz w:val="20"/>
                <w:szCs w:val="20"/>
              </w:rPr>
            </w:pPr>
            <w:r w:rsidRPr="00E671F8">
              <w:rPr>
                <w:rFonts w:cstheme="minorHAnsi"/>
                <w:sz w:val="20"/>
                <w:szCs w:val="20"/>
              </w:rPr>
              <w:t>Up-to-date practical guidance in supporting national implementation and monitoring of the CRPD.</w:t>
            </w:r>
          </w:p>
          <w:p w14:paraId="13131864" w14:textId="2A1A7378" w:rsidR="00E671F8" w:rsidRPr="00E671F8" w:rsidRDefault="00E671F8" w:rsidP="00B937CC">
            <w:pPr>
              <w:pStyle w:val="ListParagraph"/>
              <w:numPr>
                <w:ilvl w:val="0"/>
                <w:numId w:val="49"/>
              </w:numPr>
              <w:spacing w:after="0" w:line="240" w:lineRule="auto"/>
              <w:ind w:left="714" w:hanging="357"/>
              <w:jc w:val="both"/>
              <w:rPr>
                <w:rFonts w:cstheme="minorHAnsi"/>
                <w:sz w:val="20"/>
                <w:szCs w:val="20"/>
              </w:rPr>
            </w:pPr>
            <w:r w:rsidRPr="00E671F8">
              <w:rPr>
                <w:rFonts w:cstheme="minorHAnsi"/>
                <w:sz w:val="20"/>
                <w:szCs w:val="20"/>
              </w:rPr>
              <w:t xml:space="preserve">An overview of the global status of IMMs supporting national implementation of the CRPD and of trends in IMM composition and functions drawing on findings of the CRPD from State party reviews </w:t>
            </w:r>
          </w:p>
          <w:p w14:paraId="5E9B7D9B" w14:textId="77777777" w:rsidR="00E671F8" w:rsidRPr="00E671F8" w:rsidRDefault="00E671F8" w:rsidP="00B937CC">
            <w:pPr>
              <w:pStyle w:val="ListParagraph"/>
              <w:numPr>
                <w:ilvl w:val="0"/>
                <w:numId w:val="49"/>
              </w:numPr>
              <w:spacing w:after="0" w:line="240" w:lineRule="auto"/>
              <w:ind w:left="714" w:hanging="357"/>
              <w:jc w:val="both"/>
              <w:rPr>
                <w:rFonts w:cstheme="minorHAnsi"/>
                <w:sz w:val="20"/>
                <w:szCs w:val="20"/>
              </w:rPr>
            </w:pPr>
            <w:r w:rsidRPr="00E671F8">
              <w:rPr>
                <w:rFonts w:cstheme="minorHAnsi"/>
                <w:sz w:val="20"/>
                <w:szCs w:val="20"/>
              </w:rPr>
              <w:t>Good practices, lessons learned and a common understanding of the central components of IMMs for effective national implementation and monitoring thereof.</w:t>
            </w:r>
          </w:p>
          <w:p w14:paraId="0E2E95E1" w14:textId="77777777" w:rsidR="00E671F8" w:rsidRPr="00E671F8" w:rsidRDefault="00E671F8" w:rsidP="00B937CC">
            <w:pPr>
              <w:pStyle w:val="CommentText"/>
              <w:numPr>
                <w:ilvl w:val="0"/>
                <w:numId w:val="49"/>
              </w:numPr>
              <w:spacing w:after="0"/>
            </w:pPr>
            <w:r w:rsidRPr="00E671F8">
              <w:t xml:space="preserve">Examples about how to advance participation of persons with disabilities traditionally left behind in implementation and monitoring of the CRPD, for instance women and girls with disabilities, persons with intellectual disabilities, persons with psychosocial disabilities. </w:t>
            </w:r>
          </w:p>
          <w:p w14:paraId="2C3881CD" w14:textId="77777777" w:rsidR="00E671F8" w:rsidRPr="00E671F8" w:rsidRDefault="00E671F8" w:rsidP="00B937CC">
            <w:pPr>
              <w:pStyle w:val="CommentText"/>
              <w:spacing w:after="0"/>
            </w:pPr>
            <w:r w:rsidRPr="00E671F8">
              <w:t>They</w:t>
            </w:r>
            <w:r w:rsidRPr="00E671F8">
              <w:rPr>
                <w:rFonts w:cstheme="minorHAnsi"/>
              </w:rPr>
              <w:t xml:space="preserve"> also would:</w:t>
            </w:r>
          </w:p>
          <w:p w14:paraId="0ED85DA2" w14:textId="53CC84D4" w:rsidR="00E671F8" w:rsidRPr="00E671F8" w:rsidRDefault="00E671F8" w:rsidP="00B937CC">
            <w:pPr>
              <w:pStyle w:val="ListParagraph"/>
              <w:numPr>
                <w:ilvl w:val="0"/>
                <w:numId w:val="49"/>
              </w:numPr>
              <w:spacing w:after="0" w:line="240" w:lineRule="auto"/>
              <w:ind w:left="714" w:hanging="357"/>
              <w:jc w:val="both"/>
              <w:rPr>
                <w:rFonts w:cstheme="minorHAnsi"/>
                <w:sz w:val="20"/>
                <w:szCs w:val="20"/>
              </w:rPr>
            </w:pPr>
            <w:r w:rsidRPr="00E671F8">
              <w:rPr>
                <w:rFonts w:cstheme="minorHAnsi"/>
                <w:sz w:val="20"/>
                <w:szCs w:val="20"/>
              </w:rPr>
              <w:t xml:space="preserve">Inform State parties seeking to establish or ensure the effective functioning of IMMs. </w:t>
            </w:r>
          </w:p>
          <w:p w14:paraId="1D8CC042" w14:textId="006CA8F4" w:rsidR="00E671F8" w:rsidRPr="00E671F8" w:rsidRDefault="00E671F8" w:rsidP="00B937CC">
            <w:pPr>
              <w:pStyle w:val="ListParagraph"/>
              <w:numPr>
                <w:ilvl w:val="0"/>
                <w:numId w:val="49"/>
              </w:numPr>
              <w:spacing w:after="0" w:line="240" w:lineRule="auto"/>
              <w:ind w:left="714" w:hanging="357"/>
              <w:jc w:val="both"/>
              <w:rPr>
                <w:rFonts w:cstheme="minorHAnsi"/>
                <w:sz w:val="20"/>
                <w:szCs w:val="20"/>
              </w:rPr>
            </w:pPr>
            <w:r w:rsidRPr="00E671F8">
              <w:rPr>
                <w:rFonts w:cstheme="minorHAnsi"/>
                <w:sz w:val="20"/>
                <w:szCs w:val="20"/>
              </w:rPr>
              <w:t xml:space="preserve">Support capacity building of IMMs </w:t>
            </w:r>
            <w:r w:rsidR="00280B2D">
              <w:rPr>
                <w:rFonts w:cstheme="minorHAnsi"/>
                <w:sz w:val="20"/>
                <w:szCs w:val="20"/>
              </w:rPr>
              <w:t xml:space="preserve">and NHRIs </w:t>
            </w:r>
            <w:r w:rsidRPr="00E671F8">
              <w:rPr>
                <w:rFonts w:cstheme="minorHAnsi"/>
                <w:sz w:val="20"/>
                <w:szCs w:val="20"/>
              </w:rPr>
              <w:t xml:space="preserve">to support national implementation and monitoring of the CRPD. </w:t>
            </w:r>
          </w:p>
          <w:p w14:paraId="3BB8647E" w14:textId="77777777" w:rsidR="00E671F8" w:rsidRPr="00E671F8" w:rsidRDefault="00E671F8" w:rsidP="00B937CC">
            <w:pPr>
              <w:pStyle w:val="ListParagraph"/>
              <w:numPr>
                <w:ilvl w:val="0"/>
                <w:numId w:val="49"/>
              </w:numPr>
              <w:spacing w:after="0" w:line="240" w:lineRule="auto"/>
              <w:ind w:left="714" w:hanging="357"/>
              <w:jc w:val="both"/>
              <w:rPr>
                <w:rFonts w:cstheme="minorHAnsi"/>
                <w:sz w:val="20"/>
                <w:szCs w:val="20"/>
              </w:rPr>
            </w:pPr>
            <w:r w:rsidRPr="00E671F8">
              <w:rPr>
                <w:rFonts w:cstheme="minorHAnsi"/>
                <w:sz w:val="20"/>
                <w:szCs w:val="20"/>
              </w:rPr>
              <w:t>Support knowledge management for the Committee and GANHRI.</w:t>
            </w:r>
          </w:p>
          <w:p w14:paraId="136D3D97" w14:textId="77777777" w:rsidR="00E671F8" w:rsidRDefault="00E671F8" w:rsidP="00B937CC">
            <w:pPr>
              <w:pStyle w:val="ListParagraph"/>
              <w:numPr>
                <w:ilvl w:val="0"/>
                <w:numId w:val="49"/>
              </w:numPr>
              <w:spacing w:after="0" w:line="240" w:lineRule="auto"/>
              <w:ind w:left="714" w:hanging="357"/>
              <w:jc w:val="both"/>
              <w:rPr>
                <w:rFonts w:cstheme="minorHAnsi"/>
                <w:sz w:val="20"/>
                <w:szCs w:val="20"/>
              </w:rPr>
            </w:pPr>
            <w:r w:rsidRPr="00E671F8">
              <w:rPr>
                <w:rFonts w:cstheme="minorHAnsi"/>
                <w:sz w:val="20"/>
                <w:szCs w:val="20"/>
              </w:rPr>
              <w:t>Improve the engagement between the Committee and IMMs who have no NHRI involved and have a comprehensive approach to all types of independent monitoring frameworks.</w:t>
            </w:r>
          </w:p>
          <w:p w14:paraId="41B06657" w14:textId="6810A8BB" w:rsidR="00E671F8" w:rsidRPr="00E671F8" w:rsidRDefault="00E671F8" w:rsidP="00B937CC">
            <w:pPr>
              <w:pStyle w:val="ListParagraph"/>
              <w:numPr>
                <w:ilvl w:val="0"/>
                <w:numId w:val="49"/>
              </w:numPr>
              <w:spacing w:after="0" w:line="240" w:lineRule="auto"/>
              <w:ind w:left="714" w:hanging="357"/>
              <w:jc w:val="both"/>
              <w:rPr>
                <w:rFonts w:cstheme="minorHAnsi"/>
                <w:sz w:val="20"/>
                <w:szCs w:val="20"/>
              </w:rPr>
            </w:pPr>
            <w:r w:rsidRPr="00E671F8">
              <w:rPr>
                <w:sz w:val="20"/>
                <w:szCs w:val="20"/>
              </w:rPr>
              <w:t>Align experiences and practices of NHRI</w:t>
            </w:r>
            <w:r w:rsidR="007315A6">
              <w:rPr>
                <w:sz w:val="20"/>
                <w:szCs w:val="20"/>
              </w:rPr>
              <w:t>s</w:t>
            </w:r>
            <w:r w:rsidRPr="00E671F8">
              <w:rPr>
                <w:sz w:val="20"/>
                <w:szCs w:val="20"/>
              </w:rPr>
              <w:t xml:space="preserve"> and IMMs in monitoring the Convention with indicators under the convention. It would be the basis to gather data based on the human rights</w:t>
            </w:r>
            <w:r w:rsidR="00280B2D">
              <w:rPr>
                <w:sz w:val="20"/>
                <w:szCs w:val="20"/>
              </w:rPr>
              <w:t>-</w:t>
            </w:r>
            <w:r w:rsidRPr="00E671F8">
              <w:rPr>
                <w:sz w:val="20"/>
                <w:szCs w:val="20"/>
              </w:rPr>
              <w:t xml:space="preserve">based approach </w:t>
            </w:r>
            <w:r w:rsidR="00F43EF8">
              <w:rPr>
                <w:sz w:val="20"/>
                <w:szCs w:val="20"/>
              </w:rPr>
              <w:t>(including on the use of indicators)</w:t>
            </w:r>
            <w:r w:rsidRPr="00E671F8">
              <w:rPr>
                <w:sz w:val="20"/>
                <w:szCs w:val="20"/>
              </w:rPr>
              <w:t>.</w:t>
            </w:r>
          </w:p>
        </w:tc>
      </w:tr>
    </w:tbl>
    <w:p w14:paraId="45724760" w14:textId="77777777" w:rsidR="00B937CC" w:rsidRDefault="00B937CC" w:rsidP="004A5E9B">
      <w:pPr>
        <w:pStyle w:val="Heading2"/>
      </w:pPr>
    </w:p>
    <w:p w14:paraId="33EB9540" w14:textId="66A790FE" w:rsidR="00340C8C" w:rsidRPr="00BB6C6D" w:rsidRDefault="00340C8C" w:rsidP="004A5E9B">
      <w:pPr>
        <w:pStyle w:val="Heading2"/>
      </w:pPr>
      <w:r w:rsidRPr="00BB6C6D">
        <w:t>Outcome 1 Indicators</w:t>
      </w:r>
    </w:p>
    <w:tbl>
      <w:tblPr>
        <w:tblStyle w:val="TableGrid"/>
        <w:tblpPr w:leftFromText="180" w:rightFromText="180" w:vertAnchor="text" w:tblpX="13" w:tblpY="1"/>
        <w:tblOverlap w:val="never"/>
        <w:tblW w:w="4868" w:type="pct"/>
        <w:tblLook w:val="04A0" w:firstRow="1" w:lastRow="0" w:firstColumn="1" w:lastColumn="0" w:noHBand="0" w:noVBand="1"/>
        <w:tblCaption w:val="This table includes the outcome indicators"/>
        <w:tblDescription w:val="Row 1 column 1-indicator, column 2 baseline, column 3 target, column- 4 means of verification. Please provide sex disaggregation for all baseline and end line figures."/>
      </w:tblPr>
      <w:tblGrid>
        <w:gridCol w:w="1583"/>
        <w:gridCol w:w="2947"/>
        <w:gridCol w:w="1353"/>
        <w:gridCol w:w="2243"/>
        <w:gridCol w:w="1678"/>
      </w:tblGrid>
      <w:tr w:rsidR="00340C8C" w:rsidRPr="00BB6C6D" w14:paraId="0CA225B6" w14:textId="77777777" w:rsidTr="00106E61">
        <w:trPr>
          <w:tblHeader/>
        </w:trPr>
        <w:tc>
          <w:tcPr>
            <w:tcW w:w="807" w:type="pct"/>
            <w:shd w:val="clear" w:color="auto" w:fill="D9D9D9" w:themeFill="background1" w:themeFillShade="D9"/>
          </w:tcPr>
          <w:p w14:paraId="6FC9905D" w14:textId="77777777" w:rsidR="00340C8C" w:rsidRPr="00BB6C6D" w:rsidRDefault="00340C8C" w:rsidP="004A5E9B">
            <w:pPr>
              <w:spacing w:before="100" w:beforeAutospacing="1" w:after="240"/>
              <w:contextualSpacing/>
              <w:jc w:val="both"/>
              <w:rPr>
                <w:b/>
                <w:sz w:val="20"/>
              </w:rPr>
            </w:pPr>
            <w:r w:rsidRPr="00BB6C6D">
              <w:rPr>
                <w:b/>
                <w:sz w:val="20"/>
              </w:rPr>
              <w:t>Indicator*</w:t>
            </w:r>
          </w:p>
        </w:tc>
        <w:tc>
          <w:tcPr>
            <w:tcW w:w="1503" w:type="pct"/>
            <w:shd w:val="clear" w:color="auto" w:fill="D9D9D9" w:themeFill="background1" w:themeFillShade="D9"/>
          </w:tcPr>
          <w:p w14:paraId="22B43101" w14:textId="77777777" w:rsidR="00340C8C" w:rsidRPr="00BB6C6D" w:rsidRDefault="00340C8C" w:rsidP="004A5E9B">
            <w:pPr>
              <w:spacing w:before="100" w:beforeAutospacing="1" w:after="240"/>
              <w:contextualSpacing/>
              <w:jc w:val="both"/>
              <w:rPr>
                <w:b/>
                <w:sz w:val="20"/>
              </w:rPr>
            </w:pPr>
            <w:r w:rsidRPr="00BB6C6D">
              <w:rPr>
                <w:b/>
                <w:sz w:val="20"/>
              </w:rPr>
              <w:t xml:space="preserve">Start level </w:t>
            </w:r>
          </w:p>
          <w:p w14:paraId="75C8B885" w14:textId="77777777" w:rsidR="00340C8C" w:rsidRPr="00BB6C6D" w:rsidRDefault="00340C8C" w:rsidP="004A5E9B">
            <w:pPr>
              <w:spacing w:before="100" w:beforeAutospacing="1" w:after="240"/>
              <w:contextualSpacing/>
              <w:jc w:val="both"/>
              <w:rPr>
                <w:sz w:val="20"/>
              </w:rPr>
            </w:pPr>
            <w:r w:rsidRPr="00BB6C6D">
              <w:rPr>
                <w:sz w:val="20"/>
              </w:rPr>
              <w:t>Baseline</w:t>
            </w:r>
          </w:p>
          <w:p w14:paraId="305BB942" w14:textId="77777777" w:rsidR="00340C8C" w:rsidRPr="00BB6C6D" w:rsidRDefault="00340C8C" w:rsidP="004A5E9B">
            <w:pPr>
              <w:spacing w:before="100" w:beforeAutospacing="1" w:after="240"/>
              <w:contextualSpacing/>
              <w:jc w:val="both"/>
              <w:rPr>
                <w:sz w:val="20"/>
              </w:rPr>
            </w:pPr>
            <w:r w:rsidRPr="00BB6C6D">
              <w:rPr>
                <w:sz w:val="20"/>
              </w:rPr>
              <w:t>(Beginning o</w:t>
            </w:r>
            <w:r w:rsidR="004A5E9B">
              <w:rPr>
                <w:sz w:val="20"/>
              </w:rPr>
              <w:t>f the project reporting period)</w:t>
            </w:r>
          </w:p>
        </w:tc>
        <w:tc>
          <w:tcPr>
            <w:tcW w:w="690" w:type="pct"/>
            <w:shd w:val="clear" w:color="auto" w:fill="D9D9D9" w:themeFill="background1" w:themeFillShade="D9"/>
          </w:tcPr>
          <w:p w14:paraId="49DEE507" w14:textId="77777777" w:rsidR="00340C8C" w:rsidRPr="00BB6C6D" w:rsidRDefault="000828F4" w:rsidP="004A5E9B">
            <w:pPr>
              <w:spacing w:before="100" w:beforeAutospacing="1" w:after="240"/>
              <w:contextualSpacing/>
              <w:jc w:val="both"/>
              <w:rPr>
                <w:b/>
                <w:sz w:val="20"/>
              </w:rPr>
            </w:pPr>
            <w:r>
              <w:rPr>
                <w:b/>
                <w:sz w:val="20"/>
              </w:rPr>
              <w:t xml:space="preserve">Target </w:t>
            </w:r>
          </w:p>
        </w:tc>
        <w:tc>
          <w:tcPr>
            <w:tcW w:w="1144" w:type="pct"/>
            <w:shd w:val="clear" w:color="auto" w:fill="D9D9D9" w:themeFill="background1" w:themeFillShade="D9"/>
          </w:tcPr>
          <w:p w14:paraId="07052566" w14:textId="77777777" w:rsidR="00340C8C" w:rsidRPr="00BB6C6D" w:rsidRDefault="00340C8C" w:rsidP="004A5E9B">
            <w:pPr>
              <w:spacing w:before="100" w:beforeAutospacing="1" w:after="240"/>
              <w:contextualSpacing/>
              <w:jc w:val="both"/>
              <w:rPr>
                <w:b/>
                <w:sz w:val="20"/>
              </w:rPr>
            </w:pPr>
            <w:r w:rsidRPr="00BB6C6D">
              <w:rPr>
                <w:b/>
                <w:sz w:val="20"/>
              </w:rPr>
              <w:t xml:space="preserve">End level </w:t>
            </w:r>
          </w:p>
          <w:p w14:paraId="6B786416" w14:textId="77777777" w:rsidR="00340C8C" w:rsidRPr="00BB6C6D" w:rsidRDefault="00340C8C" w:rsidP="004A5E9B">
            <w:pPr>
              <w:spacing w:before="100" w:beforeAutospacing="1" w:after="240"/>
              <w:contextualSpacing/>
              <w:jc w:val="both"/>
              <w:rPr>
                <w:sz w:val="20"/>
              </w:rPr>
            </w:pPr>
            <w:r w:rsidRPr="00BB6C6D">
              <w:rPr>
                <w:sz w:val="20"/>
              </w:rPr>
              <w:t>End</w:t>
            </w:r>
            <w:r>
              <w:rPr>
                <w:sz w:val="20"/>
              </w:rPr>
              <w:t xml:space="preserve"> </w:t>
            </w:r>
            <w:r w:rsidRPr="00BB6C6D">
              <w:rPr>
                <w:sz w:val="20"/>
              </w:rPr>
              <w:t>line</w:t>
            </w:r>
          </w:p>
          <w:p w14:paraId="04A49C61" w14:textId="77777777" w:rsidR="00340C8C" w:rsidRPr="00BB6C6D" w:rsidRDefault="00340C8C" w:rsidP="004A5E9B">
            <w:pPr>
              <w:spacing w:before="100" w:beforeAutospacing="1" w:after="240"/>
              <w:contextualSpacing/>
              <w:jc w:val="both"/>
              <w:rPr>
                <w:sz w:val="20"/>
              </w:rPr>
            </w:pPr>
            <w:r w:rsidRPr="00BB6C6D">
              <w:rPr>
                <w:sz w:val="20"/>
              </w:rPr>
              <w:t>(End o</w:t>
            </w:r>
            <w:r w:rsidR="0034054C">
              <w:rPr>
                <w:sz w:val="20"/>
              </w:rPr>
              <w:t>f the project reporting period)</w:t>
            </w:r>
          </w:p>
        </w:tc>
        <w:tc>
          <w:tcPr>
            <w:tcW w:w="856" w:type="pct"/>
            <w:shd w:val="clear" w:color="auto" w:fill="D9D9D9" w:themeFill="background1" w:themeFillShade="D9"/>
          </w:tcPr>
          <w:p w14:paraId="3A0FD66F" w14:textId="77777777" w:rsidR="00340C8C" w:rsidRPr="00BB6C6D" w:rsidRDefault="00340C8C" w:rsidP="004A5E9B">
            <w:pPr>
              <w:spacing w:before="100" w:beforeAutospacing="1" w:after="240"/>
              <w:contextualSpacing/>
              <w:jc w:val="both"/>
              <w:rPr>
                <w:b/>
                <w:sz w:val="20"/>
              </w:rPr>
            </w:pPr>
            <w:r w:rsidRPr="00BB6C6D">
              <w:rPr>
                <w:b/>
                <w:sz w:val="20"/>
              </w:rPr>
              <w:t>Means of Verification</w:t>
            </w:r>
          </w:p>
        </w:tc>
      </w:tr>
      <w:tr w:rsidR="00340C8C" w:rsidRPr="00BB6C6D" w14:paraId="259DEC42" w14:textId="77777777" w:rsidTr="00106E61">
        <w:tc>
          <w:tcPr>
            <w:tcW w:w="807" w:type="pct"/>
          </w:tcPr>
          <w:p w14:paraId="438D723C" w14:textId="5847B326" w:rsidR="00340C8C" w:rsidRPr="00BB6C6D" w:rsidRDefault="00BB7AA4" w:rsidP="001648A4">
            <w:r>
              <w:rPr>
                <w:sz w:val="20"/>
              </w:rPr>
              <w:t xml:space="preserve">Number of IMMs </w:t>
            </w:r>
            <w:r w:rsidR="001648A4" w:rsidRPr="00F5620A">
              <w:rPr>
                <w:color w:val="000000" w:themeColor="text1"/>
                <w:sz w:val="20"/>
              </w:rPr>
              <w:t>established</w:t>
            </w:r>
          </w:p>
        </w:tc>
        <w:tc>
          <w:tcPr>
            <w:tcW w:w="1503" w:type="pct"/>
          </w:tcPr>
          <w:p w14:paraId="32B64B52" w14:textId="5C0C4D34" w:rsidR="001648A4" w:rsidRPr="001648A4" w:rsidRDefault="001648A4" w:rsidP="001648A4">
            <w:pPr>
              <w:spacing w:after="0" w:line="240" w:lineRule="auto"/>
              <w:rPr>
                <w:color w:val="000000" w:themeColor="text1"/>
                <w:sz w:val="20"/>
              </w:rPr>
            </w:pPr>
            <w:r w:rsidRPr="001648A4">
              <w:rPr>
                <w:color w:val="000000" w:themeColor="text1"/>
                <w:sz w:val="20"/>
              </w:rPr>
              <w:t>51</w:t>
            </w:r>
          </w:p>
          <w:p w14:paraId="24644DB4" w14:textId="0DB57CB9" w:rsidR="00340C8C" w:rsidRPr="001648A4" w:rsidRDefault="001648A4" w:rsidP="001648A4">
            <w:pPr>
              <w:spacing w:after="0" w:line="240" w:lineRule="auto"/>
              <w:rPr>
                <w:color w:val="FF0000"/>
                <w:sz w:val="20"/>
              </w:rPr>
            </w:pPr>
            <w:r w:rsidRPr="001648A4">
              <w:rPr>
                <w:color w:val="000000" w:themeColor="text1"/>
                <w:sz w:val="20"/>
              </w:rPr>
              <w:t>Out of 95 initial State parties’ reports reviewed by the Committee until 2019, a) 51 State parties had established IMMs; b)  38 State parties had not established an IMM,  and c)  in 10 State parties, NHRIs were monitoring the CRPD as part of its general monitoring mandate, however, in absence of a legal designation as IMM under article 33 (2).</w:t>
            </w:r>
          </w:p>
        </w:tc>
        <w:tc>
          <w:tcPr>
            <w:tcW w:w="690" w:type="pct"/>
          </w:tcPr>
          <w:p w14:paraId="3705A711" w14:textId="179F3B6B" w:rsidR="00340C8C" w:rsidRPr="00BB6C6D" w:rsidRDefault="00BB7AA4" w:rsidP="00B937CC">
            <w:pPr>
              <w:spacing w:after="0" w:line="240" w:lineRule="auto"/>
              <w:rPr>
                <w:sz w:val="20"/>
              </w:rPr>
            </w:pPr>
            <w:r>
              <w:rPr>
                <w:sz w:val="20"/>
              </w:rPr>
              <w:t>10% increase</w:t>
            </w:r>
          </w:p>
        </w:tc>
        <w:tc>
          <w:tcPr>
            <w:tcW w:w="1144" w:type="pct"/>
          </w:tcPr>
          <w:p w14:paraId="4B599AD6" w14:textId="46669629" w:rsidR="001648A4" w:rsidRPr="001648A4" w:rsidRDefault="001648A4" w:rsidP="00B937CC">
            <w:pPr>
              <w:spacing w:after="0" w:line="240" w:lineRule="auto"/>
              <w:rPr>
                <w:color w:val="000000" w:themeColor="text1"/>
                <w:sz w:val="20"/>
              </w:rPr>
            </w:pPr>
            <w:r w:rsidRPr="001648A4">
              <w:rPr>
                <w:color w:val="000000" w:themeColor="text1"/>
                <w:sz w:val="20"/>
              </w:rPr>
              <w:t>56</w:t>
            </w:r>
          </w:p>
          <w:p w14:paraId="6EE70540" w14:textId="629FEC98" w:rsidR="00340C8C" w:rsidRPr="00BB6C6D" w:rsidRDefault="001648A4" w:rsidP="00B937CC">
            <w:pPr>
              <w:spacing w:after="0" w:line="240" w:lineRule="auto"/>
            </w:pPr>
            <w:r>
              <w:rPr>
                <w:color w:val="000000" w:themeColor="text1"/>
                <w:sz w:val="20"/>
              </w:rPr>
              <w:t>(</w:t>
            </w:r>
            <w:r w:rsidR="00F43EF8" w:rsidRPr="001648A4">
              <w:rPr>
                <w:color w:val="000000" w:themeColor="text1"/>
                <w:sz w:val="20"/>
              </w:rPr>
              <w:t>Current number + 10% increase</w:t>
            </w:r>
            <w:r>
              <w:rPr>
                <w:color w:val="000000" w:themeColor="text1"/>
                <w:sz w:val="20"/>
              </w:rPr>
              <w:t>)</w:t>
            </w:r>
          </w:p>
        </w:tc>
        <w:tc>
          <w:tcPr>
            <w:tcW w:w="856" w:type="pct"/>
          </w:tcPr>
          <w:p w14:paraId="2FC14C6E" w14:textId="420101B0" w:rsidR="00340C8C" w:rsidRPr="00BB6C6D" w:rsidRDefault="00BB7AA4" w:rsidP="00B937CC">
            <w:pPr>
              <w:spacing w:after="0" w:line="240" w:lineRule="auto"/>
              <w:rPr>
                <w:sz w:val="20"/>
              </w:rPr>
            </w:pPr>
            <w:r>
              <w:rPr>
                <w:sz w:val="20"/>
              </w:rPr>
              <w:t>Concluding observations made by the Committee on the status of the country’s respective IMM</w:t>
            </w:r>
          </w:p>
        </w:tc>
      </w:tr>
      <w:tr w:rsidR="0007010D" w:rsidRPr="00BB6C6D" w14:paraId="0CC0AAC0" w14:textId="77777777" w:rsidTr="00106E61">
        <w:tc>
          <w:tcPr>
            <w:tcW w:w="807" w:type="pct"/>
          </w:tcPr>
          <w:p w14:paraId="325A2CE8" w14:textId="32F050F7" w:rsidR="0007010D" w:rsidRDefault="0007010D" w:rsidP="001648A4">
            <w:pPr>
              <w:rPr>
                <w:sz w:val="20"/>
              </w:rPr>
            </w:pPr>
            <w:r>
              <w:rPr>
                <w:sz w:val="20"/>
              </w:rPr>
              <w:t xml:space="preserve">Number of DPOs who increased their </w:t>
            </w:r>
            <w:r w:rsidRPr="00F5620A">
              <w:rPr>
                <w:color w:val="000000" w:themeColor="text1"/>
                <w:sz w:val="20"/>
              </w:rPr>
              <w:t xml:space="preserve">knowledge and skills </w:t>
            </w:r>
            <w:r>
              <w:rPr>
                <w:sz w:val="20"/>
              </w:rPr>
              <w:t>on IMMs</w:t>
            </w:r>
          </w:p>
        </w:tc>
        <w:tc>
          <w:tcPr>
            <w:tcW w:w="1503" w:type="pct"/>
          </w:tcPr>
          <w:p w14:paraId="48798909" w14:textId="351E2C94" w:rsidR="0007010D" w:rsidRPr="001648A4" w:rsidRDefault="0007010D" w:rsidP="001648A4">
            <w:pPr>
              <w:spacing w:after="0" w:line="240" w:lineRule="auto"/>
              <w:rPr>
                <w:color w:val="000000" w:themeColor="text1"/>
                <w:sz w:val="20"/>
              </w:rPr>
            </w:pPr>
            <w:r>
              <w:rPr>
                <w:color w:val="000000" w:themeColor="text1"/>
                <w:sz w:val="20"/>
              </w:rPr>
              <w:t>0</w:t>
            </w:r>
          </w:p>
        </w:tc>
        <w:tc>
          <w:tcPr>
            <w:tcW w:w="690" w:type="pct"/>
          </w:tcPr>
          <w:p w14:paraId="798B066B" w14:textId="0B4E7AF0" w:rsidR="0007010D" w:rsidRDefault="0007010D" w:rsidP="00B937CC">
            <w:pPr>
              <w:spacing w:after="0" w:line="240" w:lineRule="auto"/>
              <w:rPr>
                <w:sz w:val="20"/>
              </w:rPr>
            </w:pPr>
            <w:r>
              <w:rPr>
                <w:sz w:val="20"/>
              </w:rPr>
              <w:t>10 organizations increased their knowledge and skills</w:t>
            </w:r>
          </w:p>
        </w:tc>
        <w:tc>
          <w:tcPr>
            <w:tcW w:w="1144" w:type="pct"/>
          </w:tcPr>
          <w:p w14:paraId="65822324" w14:textId="1FD98C16" w:rsidR="0007010D" w:rsidRPr="001648A4" w:rsidRDefault="0007010D" w:rsidP="00B937CC">
            <w:pPr>
              <w:spacing w:after="0" w:line="240" w:lineRule="auto"/>
              <w:rPr>
                <w:color w:val="000000" w:themeColor="text1"/>
                <w:sz w:val="20"/>
              </w:rPr>
            </w:pPr>
            <w:r>
              <w:rPr>
                <w:color w:val="000000" w:themeColor="text1"/>
                <w:sz w:val="20"/>
              </w:rPr>
              <w:t>10</w:t>
            </w:r>
          </w:p>
        </w:tc>
        <w:tc>
          <w:tcPr>
            <w:tcW w:w="856" w:type="pct"/>
          </w:tcPr>
          <w:p w14:paraId="4C8B080D" w14:textId="464910E8" w:rsidR="0007010D" w:rsidRDefault="0007010D" w:rsidP="00B937CC">
            <w:pPr>
              <w:spacing w:after="0" w:line="240" w:lineRule="auto"/>
              <w:rPr>
                <w:sz w:val="20"/>
              </w:rPr>
            </w:pPr>
            <w:r>
              <w:rPr>
                <w:sz w:val="20"/>
              </w:rPr>
              <w:t>Press releases, training programmes, other references to using the Practical Guide</w:t>
            </w:r>
          </w:p>
        </w:tc>
      </w:tr>
    </w:tbl>
    <w:p w14:paraId="74EC4658" w14:textId="77777777" w:rsidR="00340C8C" w:rsidRDefault="00340C8C" w:rsidP="00BC4B02">
      <w:pPr>
        <w:spacing w:after="0" w:line="240" w:lineRule="auto"/>
        <w:jc w:val="both"/>
        <w:rPr>
          <w:b/>
          <w:sz w:val="20"/>
        </w:rPr>
      </w:pPr>
    </w:p>
    <w:p w14:paraId="27538F90" w14:textId="77777777" w:rsidR="009C7F15" w:rsidRPr="00412DCC" w:rsidRDefault="009C7F15" w:rsidP="009C7F15">
      <w:pPr>
        <w:pStyle w:val="Heading2"/>
        <w:rPr>
          <w:i/>
        </w:rPr>
      </w:pPr>
      <w:r w:rsidRPr="00F11AE6">
        <w:t>Outputs</w:t>
      </w:r>
    </w:p>
    <w:tbl>
      <w:tblPr>
        <w:tblStyle w:val="TableGrid"/>
        <w:tblW w:w="10206" w:type="dxa"/>
        <w:tblInd w:w="-15" w:type="dxa"/>
        <w:tblLook w:val="04A0" w:firstRow="1" w:lastRow="0" w:firstColumn="1" w:lastColumn="0" w:noHBand="0" w:noVBand="1"/>
        <w:tblCaption w:val="This table includes the outputs leading to the previous outcome"/>
        <w:tblDescription w:val="Row 1 column 1 has the Output formulation and Row 1 column 2 has the timeline"/>
      </w:tblPr>
      <w:tblGrid>
        <w:gridCol w:w="5529"/>
        <w:gridCol w:w="4677"/>
      </w:tblGrid>
      <w:tr w:rsidR="009C7F15" w:rsidRPr="007B06BC" w14:paraId="59849AEB" w14:textId="77777777" w:rsidTr="00B937CC">
        <w:trPr>
          <w:trHeight w:val="413"/>
          <w:tblHeader/>
        </w:trPr>
        <w:tc>
          <w:tcPr>
            <w:tcW w:w="5529" w:type="dxa"/>
            <w:tcBorders>
              <w:left w:val="double" w:sz="4" w:space="0" w:color="auto"/>
            </w:tcBorders>
            <w:shd w:val="clear" w:color="auto" w:fill="D9D9D9" w:themeFill="background1" w:themeFillShade="D9"/>
          </w:tcPr>
          <w:p w14:paraId="4BB748E0" w14:textId="77777777" w:rsidR="009C7F15" w:rsidRPr="00685A94" w:rsidRDefault="009C7F15" w:rsidP="00EE7EB9">
            <w:pPr>
              <w:pStyle w:val="ListParagraph"/>
              <w:spacing w:before="60" w:after="60"/>
              <w:ind w:left="0"/>
              <w:contextualSpacing w:val="0"/>
              <w:jc w:val="both"/>
              <w:rPr>
                <w:b/>
                <w:sz w:val="20"/>
              </w:rPr>
            </w:pPr>
            <w:r>
              <w:rPr>
                <w:b/>
                <w:sz w:val="20"/>
              </w:rPr>
              <w:t>Formulation</w:t>
            </w:r>
          </w:p>
        </w:tc>
        <w:tc>
          <w:tcPr>
            <w:tcW w:w="4677" w:type="dxa"/>
            <w:tcBorders>
              <w:right w:val="double" w:sz="4" w:space="0" w:color="auto"/>
            </w:tcBorders>
            <w:shd w:val="clear" w:color="auto" w:fill="D9D9D9" w:themeFill="background1" w:themeFillShade="D9"/>
          </w:tcPr>
          <w:p w14:paraId="517390BE" w14:textId="77777777" w:rsidR="009C7F15" w:rsidRPr="00685A94" w:rsidRDefault="009C7F15" w:rsidP="00EE7EB9">
            <w:pPr>
              <w:pStyle w:val="ListParagraph"/>
              <w:spacing w:before="60" w:after="60"/>
              <w:ind w:left="0"/>
              <w:contextualSpacing w:val="0"/>
              <w:jc w:val="both"/>
              <w:rPr>
                <w:b/>
                <w:sz w:val="20"/>
              </w:rPr>
            </w:pPr>
            <w:r>
              <w:rPr>
                <w:b/>
                <w:sz w:val="20"/>
              </w:rPr>
              <w:t xml:space="preserve">Tentative timeline </w:t>
            </w:r>
          </w:p>
        </w:tc>
      </w:tr>
      <w:tr w:rsidR="009C7F15" w:rsidRPr="007B06BC" w14:paraId="6F8EDC6C" w14:textId="77777777" w:rsidTr="00B937CC">
        <w:trPr>
          <w:trHeight w:val="413"/>
        </w:trPr>
        <w:tc>
          <w:tcPr>
            <w:tcW w:w="5529" w:type="dxa"/>
            <w:tcBorders>
              <w:left w:val="double" w:sz="4" w:space="0" w:color="auto"/>
            </w:tcBorders>
          </w:tcPr>
          <w:p w14:paraId="4F3817AA" w14:textId="6BBB7927" w:rsidR="009C7F15" w:rsidRPr="007B06BC" w:rsidRDefault="00BB7AA4" w:rsidP="009C7F15">
            <w:pPr>
              <w:pStyle w:val="ListParagraph"/>
              <w:numPr>
                <w:ilvl w:val="1"/>
                <w:numId w:val="10"/>
              </w:numPr>
              <w:spacing w:before="60" w:after="60" w:line="240" w:lineRule="auto"/>
              <w:contextualSpacing w:val="0"/>
              <w:jc w:val="both"/>
              <w:rPr>
                <w:sz w:val="20"/>
              </w:rPr>
            </w:pPr>
            <w:r w:rsidRPr="00143BCF">
              <w:rPr>
                <w:b/>
              </w:rPr>
              <w:t>Practical Guide on Independent Monitoring Mechanisms</w:t>
            </w:r>
          </w:p>
        </w:tc>
        <w:tc>
          <w:tcPr>
            <w:tcW w:w="4677" w:type="dxa"/>
            <w:tcBorders>
              <w:right w:val="double" w:sz="4" w:space="0" w:color="auto"/>
            </w:tcBorders>
          </w:tcPr>
          <w:p w14:paraId="1B0CF6B9" w14:textId="3FB6A990" w:rsidR="009C7F15" w:rsidRDefault="00F43EF8" w:rsidP="00BB7AA4">
            <w:pPr>
              <w:spacing w:after="0" w:line="240" w:lineRule="auto"/>
              <w:rPr>
                <w:sz w:val="20"/>
                <w:szCs w:val="20"/>
              </w:rPr>
            </w:pPr>
            <w:r>
              <w:rPr>
                <w:sz w:val="20"/>
                <w:szCs w:val="20"/>
              </w:rPr>
              <w:t xml:space="preserve">- </w:t>
            </w:r>
            <w:r w:rsidR="00454377">
              <w:rPr>
                <w:sz w:val="20"/>
                <w:szCs w:val="20"/>
              </w:rPr>
              <w:t xml:space="preserve">Hiring of consultant, </w:t>
            </w:r>
            <w:r w:rsidR="0007010D">
              <w:rPr>
                <w:sz w:val="20"/>
                <w:szCs w:val="20"/>
              </w:rPr>
              <w:t>July</w:t>
            </w:r>
            <w:r w:rsidR="00454377">
              <w:rPr>
                <w:sz w:val="20"/>
                <w:szCs w:val="20"/>
              </w:rPr>
              <w:t>/August</w:t>
            </w:r>
          </w:p>
          <w:p w14:paraId="59B9F389" w14:textId="754CE512" w:rsidR="00441EF5" w:rsidRPr="00B937CC" w:rsidRDefault="009677FF" w:rsidP="00BB7AA4">
            <w:pPr>
              <w:spacing w:after="0" w:line="240" w:lineRule="auto"/>
              <w:rPr>
                <w:sz w:val="20"/>
                <w:szCs w:val="20"/>
              </w:rPr>
            </w:pPr>
            <w:r w:rsidRPr="00B937CC">
              <w:rPr>
                <w:sz w:val="20"/>
                <w:szCs w:val="20"/>
              </w:rPr>
              <w:t xml:space="preserve">- Consultant seeks OHCHR/UNDP/GANHRI/ </w:t>
            </w:r>
            <w:r w:rsidR="00441EF5" w:rsidRPr="00B937CC">
              <w:rPr>
                <w:sz w:val="20"/>
                <w:szCs w:val="20"/>
              </w:rPr>
              <w:t>IDA’s input at the first stage of a general structure of the publication</w:t>
            </w:r>
            <w:r w:rsidR="00454377">
              <w:rPr>
                <w:sz w:val="20"/>
                <w:szCs w:val="20"/>
              </w:rPr>
              <w:t>, September</w:t>
            </w:r>
          </w:p>
          <w:p w14:paraId="19609A22" w14:textId="6CBF6362" w:rsidR="00BB7AA4" w:rsidRPr="00B937CC" w:rsidRDefault="00F43EF8" w:rsidP="00BB7AA4">
            <w:pPr>
              <w:spacing w:after="0" w:line="240" w:lineRule="auto"/>
              <w:rPr>
                <w:sz w:val="20"/>
                <w:szCs w:val="20"/>
              </w:rPr>
            </w:pPr>
            <w:r w:rsidRPr="00B937CC">
              <w:rPr>
                <w:sz w:val="20"/>
                <w:szCs w:val="20"/>
              </w:rPr>
              <w:t xml:space="preserve">- </w:t>
            </w:r>
            <w:r w:rsidR="00454377">
              <w:rPr>
                <w:sz w:val="20"/>
                <w:szCs w:val="20"/>
              </w:rPr>
              <w:t>Consultant drafts Guide, September-December</w:t>
            </w:r>
          </w:p>
          <w:p w14:paraId="039DACF3" w14:textId="71C300D5" w:rsidR="00D7133A" w:rsidRPr="00B937CC" w:rsidRDefault="00F43EF8" w:rsidP="00BB7AA4">
            <w:pPr>
              <w:spacing w:after="0" w:line="240" w:lineRule="auto"/>
              <w:rPr>
                <w:sz w:val="20"/>
                <w:szCs w:val="20"/>
              </w:rPr>
            </w:pPr>
            <w:r w:rsidRPr="00B937CC">
              <w:rPr>
                <w:sz w:val="20"/>
                <w:szCs w:val="20"/>
              </w:rPr>
              <w:t xml:space="preserve">- </w:t>
            </w:r>
            <w:r w:rsidR="00BB7AA4" w:rsidRPr="00B937CC">
              <w:rPr>
                <w:sz w:val="20"/>
                <w:szCs w:val="20"/>
              </w:rPr>
              <w:t>Review by O</w:t>
            </w:r>
            <w:r w:rsidR="009677FF" w:rsidRPr="00B937CC">
              <w:rPr>
                <w:sz w:val="20"/>
                <w:szCs w:val="20"/>
              </w:rPr>
              <w:t>HCHR/UNDP/GA</w:t>
            </w:r>
            <w:r w:rsidR="0007010D">
              <w:rPr>
                <w:sz w:val="20"/>
                <w:szCs w:val="20"/>
              </w:rPr>
              <w:t xml:space="preserve">NHRI/OPDs/IDA, </w:t>
            </w:r>
            <w:r w:rsidR="00454377">
              <w:rPr>
                <w:sz w:val="20"/>
                <w:szCs w:val="20"/>
              </w:rPr>
              <w:t>January/February 2021</w:t>
            </w:r>
          </w:p>
          <w:p w14:paraId="5B4B754F" w14:textId="014C54F6" w:rsidR="00BB7AA4" w:rsidRDefault="00F43EF8" w:rsidP="00BB7AA4">
            <w:pPr>
              <w:spacing w:after="0" w:line="240" w:lineRule="auto"/>
              <w:rPr>
                <w:sz w:val="20"/>
                <w:szCs w:val="20"/>
              </w:rPr>
            </w:pPr>
            <w:r w:rsidRPr="00B937CC">
              <w:rPr>
                <w:sz w:val="20"/>
                <w:szCs w:val="20"/>
              </w:rPr>
              <w:t xml:space="preserve">- </w:t>
            </w:r>
            <w:r w:rsidR="00BB7AA4" w:rsidRPr="00B937CC">
              <w:rPr>
                <w:sz w:val="20"/>
                <w:szCs w:val="20"/>
              </w:rPr>
              <w:t>First reading by P</w:t>
            </w:r>
            <w:r w:rsidR="0007010D">
              <w:rPr>
                <w:sz w:val="20"/>
                <w:szCs w:val="20"/>
              </w:rPr>
              <w:t>ubl</w:t>
            </w:r>
            <w:r w:rsidR="00454377">
              <w:rPr>
                <w:sz w:val="20"/>
                <w:szCs w:val="20"/>
              </w:rPr>
              <w:t>ications Committee, March</w:t>
            </w:r>
          </w:p>
          <w:p w14:paraId="5CD3D039" w14:textId="73F26970" w:rsidR="0007010D" w:rsidRPr="00B937CC" w:rsidRDefault="0007010D" w:rsidP="00BB7AA4">
            <w:pPr>
              <w:spacing w:after="0" w:line="240" w:lineRule="auto"/>
              <w:rPr>
                <w:sz w:val="20"/>
                <w:szCs w:val="20"/>
              </w:rPr>
            </w:pPr>
            <w:r>
              <w:rPr>
                <w:sz w:val="20"/>
                <w:szCs w:val="20"/>
              </w:rPr>
              <w:t>- Chan</w:t>
            </w:r>
            <w:r w:rsidR="00454377">
              <w:rPr>
                <w:sz w:val="20"/>
                <w:szCs w:val="20"/>
              </w:rPr>
              <w:t>ges made by consultant, April</w:t>
            </w:r>
            <w:r>
              <w:rPr>
                <w:sz w:val="20"/>
                <w:szCs w:val="20"/>
              </w:rPr>
              <w:t xml:space="preserve"> </w:t>
            </w:r>
          </w:p>
          <w:p w14:paraId="3301B7D7" w14:textId="6208041D" w:rsidR="00BB7AA4" w:rsidRPr="00B937CC" w:rsidRDefault="00F43EF8" w:rsidP="00BB7AA4">
            <w:pPr>
              <w:spacing w:after="0" w:line="240" w:lineRule="auto"/>
              <w:rPr>
                <w:sz w:val="20"/>
                <w:szCs w:val="20"/>
              </w:rPr>
            </w:pPr>
            <w:r w:rsidRPr="00B937CC">
              <w:rPr>
                <w:sz w:val="20"/>
                <w:szCs w:val="20"/>
              </w:rPr>
              <w:t xml:space="preserve">- </w:t>
            </w:r>
            <w:r w:rsidR="00BB7AA4" w:rsidRPr="00B937CC">
              <w:rPr>
                <w:sz w:val="20"/>
                <w:szCs w:val="20"/>
              </w:rPr>
              <w:t xml:space="preserve">Second reading by </w:t>
            </w:r>
            <w:r w:rsidR="009677FF" w:rsidRPr="00B937CC">
              <w:rPr>
                <w:sz w:val="20"/>
                <w:szCs w:val="20"/>
              </w:rPr>
              <w:t>Publicati</w:t>
            </w:r>
            <w:r w:rsidR="00454377">
              <w:rPr>
                <w:sz w:val="20"/>
                <w:szCs w:val="20"/>
              </w:rPr>
              <w:t>ons Committee, May/June</w:t>
            </w:r>
          </w:p>
          <w:p w14:paraId="6367865E" w14:textId="6F347213" w:rsidR="00BB7AA4" w:rsidRPr="00B937CC" w:rsidRDefault="00F43EF8" w:rsidP="00BB7AA4">
            <w:pPr>
              <w:spacing w:after="0" w:line="240" w:lineRule="auto"/>
              <w:rPr>
                <w:sz w:val="20"/>
                <w:szCs w:val="20"/>
              </w:rPr>
            </w:pPr>
            <w:r w:rsidRPr="00B937CC">
              <w:rPr>
                <w:sz w:val="20"/>
                <w:szCs w:val="20"/>
              </w:rPr>
              <w:t xml:space="preserve">- </w:t>
            </w:r>
            <w:r w:rsidR="00BB7AA4" w:rsidRPr="00B937CC">
              <w:rPr>
                <w:sz w:val="20"/>
                <w:szCs w:val="20"/>
              </w:rPr>
              <w:t xml:space="preserve">Editing-layout, </w:t>
            </w:r>
            <w:r w:rsidR="004871F7">
              <w:rPr>
                <w:sz w:val="20"/>
                <w:szCs w:val="20"/>
              </w:rPr>
              <w:t>July/September</w:t>
            </w:r>
            <w:r w:rsidR="0007010D">
              <w:rPr>
                <w:sz w:val="20"/>
                <w:szCs w:val="20"/>
              </w:rPr>
              <w:t xml:space="preserve"> </w:t>
            </w:r>
          </w:p>
          <w:p w14:paraId="35F0BCFC" w14:textId="6C668C7B" w:rsidR="00D301F0" w:rsidRPr="00F43EF8" w:rsidRDefault="00F43EF8" w:rsidP="004871F7">
            <w:pPr>
              <w:spacing w:after="0" w:line="240" w:lineRule="auto"/>
              <w:rPr>
                <w:sz w:val="20"/>
                <w:szCs w:val="20"/>
              </w:rPr>
            </w:pPr>
            <w:r w:rsidRPr="00B937CC">
              <w:rPr>
                <w:sz w:val="20"/>
                <w:szCs w:val="20"/>
              </w:rPr>
              <w:t xml:space="preserve">- </w:t>
            </w:r>
            <w:r w:rsidR="00454377">
              <w:rPr>
                <w:sz w:val="20"/>
                <w:szCs w:val="20"/>
              </w:rPr>
              <w:t xml:space="preserve">Launch, </w:t>
            </w:r>
            <w:r w:rsidR="004871F7">
              <w:rPr>
                <w:sz w:val="20"/>
                <w:szCs w:val="20"/>
              </w:rPr>
              <w:t>October-December</w:t>
            </w:r>
            <w:r w:rsidR="00D301F0">
              <w:rPr>
                <w:sz w:val="20"/>
                <w:szCs w:val="20"/>
              </w:rPr>
              <w:t>, ideally when CRPD is in session</w:t>
            </w:r>
            <w:r w:rsidR="0007010D">
              <w:rPr>
                <w:sz w:val="20"/>
                <w:szCs w:val="20"/>
              </w:rPr>
              <w:t xml:space="preserve"> including possibly virtually through e.g. webinars</w:t>
            </w:r>
          </w:p>
        </w:tc>
      </w:tr>
      <w:tr w:rsidR="009C7F15" w:rsidRPr="007B06BC" w14:paraId="7056CF53" w14:textId="77777777" w:rsidTr="00B937CC">
        <w:trPr>
          <w:trHeight w:val="413"/>
        </w:trPr>
        <w:tc>
          <w:tcPr>
            <w:tcW w:w="5529" w:type="dxa"/>
            <w:tcBorders>
              <w:left w:val="double" w:sz="4" w:space="0" w:color="auto"/>
            </w:tcBorders>
          </w:tcPr>
          <w:p w14:paraId="56AB0302" w14:textId="3A64C865" w:rsidR="009C7F15" w:rsidRPr="00BB7AA4" w:rsidRDefault="00BB7AA4" w:rsidP="009C7F15">
            <w:pPr>
              <w:pStyle w:val="ListParagraph"/>
              <w:numPr>
                <w:ilvl w:val="1"/>
                <w:numId w:val="10"/>
              </w:numPr>
              <w:spacing w:before="60" w:after="60" w:line="240" w:lineRule="auto"/>
              <w:contextualSpacing w:val="0"/>
              <w:jc w:val="both"/>
              <w:rPr>
                <w:b/>
                <w:sz w:val="20"/>
              </w:rPr>
            </w:pPr>
            <w:r w:rsidRPr="00BB7AA4">
              <w:rPr>
                <w:b/>
              </w:rPr>
              <w:t>Web-based repository of “State parties to the Convention on Persons with Disabilities and their designated Independent Monitoring Mechanisms</w:t>
            </w:r>
          </w:p>
        </w:tc>
        <w:tc>
          <w:tcPr>
            <w:tcW w:w="4677" w:type="dxa"/>
            <w:tcBorders>
              <w:right w:val="double" w:sz="4" w:space="0" w:color="auto"/>
            </w:tcBorders>
          </w:tcPr>
          <w:p w14:paraId="4EA44A36" w14:textId="1842703D" w:rsidR="00BB7AA4" w:rsidRPr="00BB7AA4" w:rsidRDefault="00F43EF8" w:rsidP="00BB7AA4">
            <w:pPr>
              <w:spacing w:after="0" w:line="240" w:lineRule="auto"/>
              <w:rPr>
                <w:sz w:val="20"/>
                <w:szCs w:val="20"/>
              </w:rPr>
            </w:pPr>
            <w:r>
              <w:rPr>
                <w:sz w:val="20"/>
                <w:szCs w:val="20"/>
              </w:rPr>
              <w:t xml:space="preserve">- </w:t>
            </w:r>
            <w:r w:rsidR="00BB7AA4" w:rsidRPr="00BB7AA4">
              <w:rPr>
                <w:sz w:val="20"/>
                <w:szCs w:val="20"/>
              </w:rPr>
              <w:t xml:space="preserve">Hiring of </w:t>
            </w:r>
            <w:r>
              <w:rPr>
                <w:sz w:val="20"/>
                <w:szCs w:val="20"/>
              </w:rPr>
              <w:t xml:space="preserve">above </w:t>
            </w:r>
            <w:r w:rsidR="00454377">
              <w:rPr>
                <w:sz w:val="20"/>
                <w:szCs w:val="20"/>
              </w:rPr>
              <w:t xml:space="preserve">consultant, </w:t>
            </w:r>
            <w:r w:rsidR="00C535EB">
              <w:rPr>
                <w:sz w:val="20"/>
                <w:szCs w:val="20"/>
              </w:rPr>
              <w:t>July</w:t>
            </w:r>
            <w:r w:rsidR="00454377">
              <w:rPr>
                <w:sz w:val="20"/>
                <w:szCs w:val="20"/>
              </w:rPr>
              <w:t>/August</w:t>
            </w:r>
          </w:p>
          <w:p w14:paraId="4E98903C" w14:textId="2F4AD9A0" w:rsidR="00BB7AA4" w:rsidRPr="00BB7AA4" w:rsidRDefault="00F43EF8" w:rsidP="00BB7AA4">
            <w:pPr>
              <w:spacing w:after="0" w:line="240" w:lineRule="auto"/>
              <w:rPr>
                <w:sz w:val="20"/>
                <w:szCs w:val="20"/>
              </w:rPr>
            </w:pPr>
            <w:r>
              <w:rPr>
                <w:sz w:val="20"/>
                <w:szCs w:val="20"/>
              </w:rPr>
              <w:t xml:space="preserve">- </w:t>
            </w:r>
            <w:r w:rsidR="00BB7AA4" w:rsidRPr="00BB7AA4">
              <w:rPr>
                <w:sz w:val="20"/>
                <w:szCs w:val="20"/>
              </w:rPr>
              <w:t>Consu</w:t>
            </w:r>
            <w:r w:rsidR="00C535EB">
              <w:rPr>
                <w:sz w:val="20"/>
                <w:szCs w:val="20"/>
              </w:rPr>
              <w:t>lta</w:t>
            </w:r>
            <w:r w:rsidR="00454377">
              <w:rPr>
                <w:sz w:val="20"/>
                <w:szCs w:val="20"/>
              </w:rPr>
              <w:t>nt prepares draft survey, September</w:t>
            </w:r>
          </w:p>
          <w:p w14:paraId="26C30FD7" w14:textId="174B4F02" w:rsidR="00BB7AA4" w:rsidRPr="00BB7AA4" w:rsidRDefault="00F43EF8" w:rsidP="00BB7AA4">
            <w:pPr>
              <w:spacing w:after="0" w:line="240" w:lineRule="auto"/>
              <w:rPr>
                <w:sz w:val="20"/>
                <w:szCs w:val="20"/>
              </w:rPr>
            </w:pPr>
            <w:r>
              <w:rPr>
                <w:sz w:val="20"/>
                <w:szCs w:val="20"/>
              </w:rPr>
              <w:t xml:space="preserve">- </w:t>
            </w:r>
            <w:r w:rsidR="00BB7AA4" w:rsidRPr="00BB7AA4">
              <w:rPr>
                <w:sz w:val="20"/>
                <w:szCs w:val="20"/>
              </w:rPr>
              <w:t xml:space="preserve">CRPD Committee reviews and sends </w:t>
            </w:r>
            <w:r w:rsidR="00C535EB">
              <w:rPr>
                <w:sz w:val="20"/>
                <w:szCs w:val="20"/>
              </w:rPr>
              <w:t xml:space="preserve">survey-receives responses, </w:t>
            </w:r>
            <w:r w:rsidR="00454377">
              <w:rPr>
                <w:sz w:val="20"/>
                <w:szCs w:val="20"/>
              </w:rPr>
              <w:t>October</w:t>
            </w:r>
            <w:r w:rsidR="00C535EB">
              <w:rPr>
                <w:sz w:val="20"/>
                <w:szCs w:val="20"/>
              </w:rPr>
              <w:t>-December</w:t>
            </w:r>
          </w:p>
          <w:p w14:paraId="6D3E8063" w14:textId="5D2A3B81" w:rsidR="00BB7AA4" w:rsidRPr="00BB7AA4" w:rsidRDefault="00F43EF8" w:rsidP="00BB7AA4">
            <w:pPr>
              <w:spacing w:after="0" w:line="240" w:lineRule="auto"/>
              <w:rPr>
                <w:sz w:val="20"/>
                <w:szCs w:val="20"/>
              </w:rPr>
            </w:pPr>
            <w:r>
              <w:rPr>
                <w:sz w:val="20"/>
                <w:szCs w:val="20"/>
              </w:rPr>
              <w:t xml:space="preserve">- </w:t>
            </w:r>
            <w:r w:rsidR="00BB7AA4" w:rsidRPr="00BB7AA4">
              <w:rPr>
                <w:sz w:val="20"/>
                <w:szCs w:val="20"/>
              </w:rPr>
              <w:t xml:space="preserve">Hiring of IT consultant/staff, </w:t>
            </w:r>
            <w:r w:rsidR="00C535EB">
              <w:rPr>
                <w:sz w:val="20"/>
                <w:szCs w:val="20"/>
              </w:rPr>
              <w:t>December</w:t>
            </w:r>
          </w:p>
          <w:p w14:paraId="4C0CD590" w14:textId="6A63AC96" w:rsidR="00BB7AA4" w:rsidRPr="00BB7AA4" w:rsidRDefault="00F43EF8" w:rsidP="00BB7AA4">
            <w:pPr>
              <w:spacing w:after="0" w:line="240" w:lineRule="auto"/>
              <w:rPr>
                <w:sz w:val="20"/>
                <w:szCs w:val="20"/>
              </w:rPr>
            </w:pPr>
            <w:r>
              <w:rPr>
                <w:sz w:val="20"/>
                <w:szCs w:val="20"/>
              </w:rPr>
              <w:t xml:space="preserve">- </w:t>
            </w:r>
            <w:r w:rsidR="00BB7AA4" w:rsidRPr="00BB7AA4">
              <w:rPr>
                <w:sz w:val="20"/>
                <w:szCs w:val="20"/>
              </w:rPr>
              <w:t>Cre</w:t>
            </w:r>
            <w:r w:rsidR="00C535EB">
              <w:rPr>
                <w:sz w:val="20"/>
                <w:szCs w:val="20"/>
              </w:rPr>
              <w:t>ation of web-repository, January-February 2021</w:t>
            </w:r>
          </w:p>
          <w:p w14:paraId="224B7D68" w14:textId="4920DAAA" w:rsidR="00BB7AA4" w:rsidRDefault="00F43EF8" w:rsidP="00BB7AA4">
            <w:pPr>
              <w:spacing w:after="0" w:line="240" w:lineRule="auto"/>
              <w:rPr>
                <w:sz w:val="20"/>
                <w:szCs w:val="20"/>
              </w:rPr>
            </w:pPr>
            <w:r>
              <w:rPr>
                <w:sz w:val="20"/>
                <w:szCs w:val="20"/>
              </w:rPr>
              <w:t xml:space="preserve">- </w:t>
            </w:r>
            <w:r w:rsidR="00454377">
              <w:rPr>
                <w:sz w:val="20"/>
                <w:szCs w:val="20"/>
              </w:rPr>
              <w:t xml:space="preserve">Launch, </w:t>
            </w:r>
            <w:r w:rsidR="00C535EB">
              <w:rPr>
                <w:sz w:val="20"/>
                <w:szCs w:val="20"/>
              </w:rPr>
              <w:t>June</w:t>
            </w:r>
          </w:p>
          <w:p w14:paraId="799F5397" w14:textId="6611446E" w:rsidR="00C535EB" w:rsidRDefault="00C535EB" w:rsidP="00BB7AA4">
            <w:pPr>
              <w:spacing w:after="0" w:line="240" w:lineRule="auto"/>
            </w:pPr>
            <w:r>
              <w:rPr>
                <w:sz w:val="20"/>
                <w:szCs w:val="20"/>
              </w:rPr>
              <w:t xml:space="preserve">- IT </w:t>
            </w:r>
            <w:proofErr w:type="spellStart"/>
            <w:r>
              <w:rPr>
                <w:sz w:val="20"/>
                <w:szCs w:val="20"/>
              </w:rPr>
              <w:t>Consulant</w:t>
            </w:r>
            <w:proofErr w:type="spellEnd"/>
            <w:r>
              <w:rPr>
                <w:sz w:val="20"/>
                <w:szCs w:val="20"/>
              </w:rPr>
              <w:t xml:space="preserve"> maintains repository and revises what needs upgrades in February</w:t>
            </w:r>
            <w:r w:rsidR="004871F7">
              <w:rPr>
                <w:sz w:val="20"/>
                <w:szCs w:val="20"/>
              </w:rPr>
              <w:t>-March</w:t>
            </w:r>
            <w:r>
              <w:rPr>
                <w:sz w:val="20"/>
                <w:szCs w:val="20"/>
              </w:rPr>
              <w:t xml:space="preserve"> 2022</w:t>
            </w:r>
          </w:p>
        </w:tc>
      </w:tr>
    </w:tbl>
    <w:p w14:paraId="66C0EDA6" w14:textId="2FFC91CD" w:rsidR="001648A4" w:rsidRDefault="001648A4" w:rsidP="00BC4B02">
      <w:pPr>
        <w:spacing w:after="0" w:line="240" w:lineRule="auto"/>
        <w:jc w:val="both"/>
        <w:rPr>
          <w:b/>
          <w:sz w:val="20"/>
        </w:rPr>
      </w:pPr>
    </w:p>
    <w:p w14:paraId="53E198C2" w14:textId="77777777" w:rsidR="00BC4B02" w:rsidRPr="002D0888" w:rsidRDefault="002D0888" w:rsidP="002D0888">
      <w:pPr>
        <w:pStyle w:val="Heading1"/>
      </w:pPr>
      <w:r>
        <w:t xml:space="preserve">4. </w:t>
      </w:r>
      <w:r w:rsidR="00BC4B02" w:rsidRPr="002D0888">
        <w:t>Partnership-</w:t>
      </w:r>
      <w:r w:rsidR="00056FB7">
        <w:t>b</w:t>
      </w:r>
      <w:r w:rsidR="00BC4B02" w:rsidRPr="002D0888">
        <w:t xml:space="preserve">uilding </w:t>
      </w:r>
      <w:r w:rsidR="00056FB7">
        <w:t>p</w:t>
      </w:r>
      <w:r w:rsidR="00BC4B02" w:rsidRPr="002D0888">
        <w:t>otential</w:t>
      </w:r>
    </w:p>
    <w:p w14:paraId="64552B5D" w14:textId="77777777" w:rsidR="00BB7AA4" w:rsidRDefault="00BB7AA4" w:rsidP="00BB7AA4">
      <w:pPr>
        <w:pStyle w:val="CommentText"/>
      </w:pPr>
    </w:p>
    <w:p w14:paraId="6F2BBF23" w14:textId="69A09A37" w:rsidR="00BC4B02" w:rsidRPr="009677FF" w:rsidRDefault="00BB7AA4" w:rsidP="00B937CC">
      <w:pPr>
        <w:pStyle w:val="CommentText"/>
        <w:jc w:val="both"/>
        <w:rPr>
          <w:sz w:val="22"/>
          <w:szCs w:val="22"/>
        </w:rPr>
      </w:pPr>
      <w:r w:rsidRPr="009677FF">
        <w:rPr>
          <w:sz w:val="22"/>
          <w:szCs w:val="22"/>
        </w:rPr>
        <w:t xml:space="preserve">The project will be implemented between OHCHR, UNDP, </w:t>
      </w:r>
      <w:r w:rsidR="00280B2D">
        <w:rPr>
          <w:sz w:val="22"/>
          <w:szCs w:val="22"/>
        </w:rPr>
        <w:t xml:space="preserve">GANHRI </w:t>
      </w:r>
      <w:r w:rsidR="00D60683" w:rsidRPr="009677FF">
        <w:rPr>
          <w:sz w:val="22"/>
          <w:szCs w:val="22"/>
        </w:rPr>
        <w:t xml:space="preserve">and the CRPD Committee. </w:t>
      </w:r>
      <w:r w:rsidR="005E33D6" w:rsidRPr="009677FF">
        <w:rPr>
          <w:sz w:val="22"/>
          <w:szCs w:val="22"/>
        </w:rPr>
        <w:t>As described above, t</w:t>
      </w:r>
      <w:r w:rsidR="00D60683" w:rsidRPr="009677FF">
        <w:rPr>
          <w:sz w:val="22"/>
          <w:szCs w:val="22"/>
        </w:rPr>
        <w:t xml:space="preserve">hese four project leads will review the content of the Practical Guide at different stages of the project and be involved in the elaboration of the survey to stablish the repository of IMMs. GANHRI </w:t>
      </w:r>
      <w:r w:rsidR="00280B2D">
        <w:rPr>
          <w:sz w:val="22"/>
          <w:szCs w:val="22"/>
        </w:rPr>
        <w:t xml:space="preserve">including through its </w:t>
      </w:r>
      <w:r w:rsidR="00D60683" w:rsidRPr="009677FF">
        <w:rPr>
          <w:sz w:val="22"/>
          <w:szCs w:val="22"/>
        </w:rPr>
        <w:t>Working Group</w:t>
      </w:r>
      <w:r w:rsidR="00ED5877">
        <w:rPr>
          <w:sz w:val="22"/>
          <w:szCs w:val="22"/>
        </w:rPr>
        <w:t xml:space="preserve"> on the Rights of Persons with Disabilities</w:t>
      </w:r>
      <w:r w:rsidR="00D60683" w:rsidRPr="009677FF">
        <w:rPr>
          <w:sz w:val="22"/>
          <w:szCs w:val="22"/>
        </w:rPr>
        <w:t>, IMMs at the national level and</w:t>
      </w:r>
      <w:r w:rsidR="00D60683" w:rsidRPr="009677FF">
        <w:rPr>
          <w:i/>
          <w:sz w:val="22"/>
          <w:szCs w:val="22"/>
        </w:rPr>
        <w:t xml:space="preserve"> </w:t>
      </w:r>
      <w:r w:rsidR="00D60683" w:rsidRPr="009677FF">
        <w:rPr>
          <w:sz w:val="22"/>
          <w:szCs w:val="22"/>
        </w:rPr>
        <w:t xml:space="preserve">IDA </w:t>
      </w:r>
      <w:r w:rsidR="009677FF" w:rsidRPr="009677FF">
        <w:rPr>
          <w:sz w:val="22"/>
          <w:szCs w:val="22"/>
        </w:rPr>
        <w:t>will also be consulted at the outset on the scope and structure of the publication as well as on the drafts of the Practical Guide and to verify and contribute examples of good practices</w:t>
      </w:r>
      <w:r w:rsidR="00D60683" w:rsidRPr="009677FF">
        <w:rPr>
          <w:sz w:val="22"/>
          <w:szCs w:val="22"/>
        </w:rPr>
        <w:t>.</w:t>
      </w:r>
    </w:p>
    <w:p w14:paraId="71DA0BBD" w14:textId="4EC1F351" w:rsidR="00D60683" w:rsidRDefault="002D0888" w:rsidP="00B937CC">
      <w:pPr>
        <w:pStyle w:val="Heading1"/>
      </w:pPr>
      <w:r>
        <w:t>5.</w:t>
      </w:r>
      <w:r w:rsidR="00830399" w:rsidRPr="00830399">
        <w:t xml:space="preserve"> </w:t>
      </w:r>
      <w:r w:rsidR="00056FB7">
        <w:t>Knowledge m</w:t>
      </w:r>
      <w:r w:rsidR="00830399" w:rsidRPr="002D0888">
        <w:t xml:space="preserve">anagement </w:t>
      </w:r>
      <w:r w:rsidR="00830399">
        <w:t xml:space="preserve">and </w:t>
      </w:r>
      <w:r w:rsidR="00056FB7">
        <w:t>d</w:t>
      </w:r>
      <w:r w:rsidR="00830399">
        <w:t>issemination</w:t>
      </w:r>
    </w:p>
    <w:p w14:paraId="01A05BB9" w14:textId="77777777" w:rsidR="00B937CC" w:rsidRPr="00B937CC" w:rsidRDefault="00B937CC" w:rsidP="00B937CC"/>
    <w:p w14:paraId="406A65FB" w14:textId="77777777" w:rsidR="00106E61" w:rsidRDefault="00D60683" w:rsidP="00C535EB">
      <w:pPr>
        <w:pStyle w:val="CommentText"/>
        <w:jc w:val="both"/>
        <w:rPr>
          <w:sz w:val="22"/>
          <w:szCs w:val="22"/>
        </w:rPr>
      </w:pPr>
      <w:r w:rsidRPr="00C535EB">
        <w:rPr>
          <w:sz w:val="22"/>
          <w:szCs w:val="22"/>
        </w:rPr>
        <w:t xml:space="preserve">The Practical Guide and Repository will be </w:t>
      </w:r>
      <w:r w:rsidR="00F43EF8" w:rsidRPr="00C535EB">
        <w:rPr>
          <w:sz w:val="22"/>
          <w:szCs w:val="22"/>
        </w:rPr>
        <w:t>launched at different events hosted by the Committee and GANHRI</w:t>
      </w:r>
      <w:r w:rsidR="00D301F0" w:rsidRPr="00C535EB">
        <w:rPr>
          <w:sz w:val="22"/>
          <w:szCs w:val="22"/>
        </w:rPr>
        <w:t xml:space="preserve"> ideally coinciding with a GANHRI Annual Meeting or Committee session</w:t>
      </w:r>
      <w:r w:rsidR="00F43EF8" w:rsidRPr="00C535EB">
        <w:rPr>
          <w:sz w:val="22"/>
          <w:szCs w:val="22"/>
        </w:rPr>
        <w:t xml:space="preserve">, </w:t>
      </w:r>
      <w:r w:rsidR="00C535EB" w:rsidRPr="00C535EB">
        <w:rPr>
          <w:sz w:val="22"/>
          <w:szCs w:val="22"/>
        </w:rPr>
        <w:t xml:space="preserve">including possibly through online events like webinars. They will be </w:t>
      </w:r>
      <w:r w:rsidR="00F43EF8" w:rsidRPr="00C535EB">
        <w:rPr>
          <w:sz w:val="22"/>
          <w:szCs w:val="22"/>
        </w:rPr>
        <w:t xml:space="preserve">advertised through OHCHR’s media and social media channels, </w:t>
      </w:r>
      <w:r w:rsidRPr="00C535EB">
        <w:rPr>
          <w:sz w:val="22"/>
          <w:szCs w:val="22"/>
        </w:rPr>
        <w:t>made available at OHCHR’s and the Committee’s website</w:t>
      </w:r>
      <w:r w:rsidR="00F43EF8" w:rsidRPr="00C535EB">
        <w:rPr>
          <w:sz w:val="22"/>
          <w:szCs w:val="22"/>
        </w:rPr>
        <w:t xml:space="preserve">, </w:t>
      </w:r>
      <w:r w:rsidRPr="00C535EB">
        <w:rPr>
          <w:sz w:val="22"/>
          <w:szCs w:val="22"/>
        </w:rPr>
        <w:t xml:space="preserve">and linked to respective </w:t>
      </w:r>
      <w:r w:rsidR="00F43EF8" w:rsidRPr="00C535EB">
        <w:rPr>
          <w:sz w:val="22"/>
          <w:szCs w:val="22"/>
        </w:rPr>
        <w:t>GANHRI and UND</w:t>
      </w:r>
      <w:r w:rsidR="00280B2D" w:rsidRPr="00C535EB">
        <w:rPr>
          <w:sz w:val="22"/>
          <w:szCs w:val="22"/>
        </w:rPr>
        <w:t>P</w:t>
      </w:r>
      <w:r w:rsidR="00F43EF8" w:rsidRPr="00C535EB">
        <w:rPr>
          <w:sz w:val="22"/>
          <w:szCs w:val="22"/>
        </w:rPr>
        <w:t xml:space="preserve"> webpages</w:t>
      </w:r>
      <w:r w:rsidRPr="00C535EB">
        <w:rPr>
          <w:sz w:val="22"/>
          <w:szCs w:val="22"/>
        </w:rPr>
        <w:t xml:space="preserve">. </w:t>
      </w:r>
      <w:r w:rsidR="00F43EF8" w:rsidRPr="00C535EB">
        <w:rPr>
          <w:sz w:val="22"/>
          <w:szCs w:val="22"/>
        </w:rPr>
        <w:t>The Practical Guide will be distributed to all OHCHR and UNDP field presences</w:t>
      </w:r>
      <w:r w:rsidR="00C535EB" w:rsidRPr="00C535EB">
        <w:rPr>
          <w:sz w:val="22"/>
          <w:szCs w:val="22"/>
        </w:rPr>
        <w:t xml:space="preserve">, UN Regional Commissions </w:t>
      </w:r>
      <w:r w:rsidR="00755979" w:rsidRPr="00C535EB">
        <w:rPr>
          <w:sz w:val="22"/>
          <w:szCs w:val="22"/>
        </w:rPr>
        <w:t xml:space="preserve">and </w:t>
      </w:r>
      <w:r w:rsidR="00C535EB" w:rsidRPr="00C535EB">
        <w:rPr>
          <w:sz w:val="22"/>
          <w:szCs w:val="22"/>
        </w:rPr>
        <w:t xml:space="preserve">ideally be used and piloted by </w:t>
      </w:r>
      <w:r w:rsidR="00755979" w:rsidRPr="00C535EB">
        <w:rPr>
          <w:sz w:val="22"/>
          <w:szCs w:val="22"/>
        </w:rPr>
        <w:t>future UNPRPD project teams with a focus on Article 33</w:t>
      </w:r>
      <w:r w:rsidR="00C535EB" w:rsidRPr="00C535EB">
        <w:rPr>
          <w:sz w:val="22"/>
          <w:szCs w:val="22"/>
        </w:rPr>
        <w:t>. The Guide will also be shared by GANHRI with</w:t>
      </w:r>
      <w:r w:rsidR="00F43EF8" w:rsidRPr="00C535EB">
        <w:rPr>
          <w:sz w:val="22"/>
          <w:szCs w:val="22"/>
        </w:rPr>
        <w:t xml:space="preserve"> all NHRI</w:t>
      </w:r>
      <w:r w:rsidR="00280B2D" w:rsidRPr="00C535EB">
        <w:rPr>
          <w:sz w:val="22"/>
          <w:szCs w:val="22"/>
        </w:rPr>
        <w:t>s</w:t>
      </w:r>
      <w:r w:rsidR="00F43EF8" w:rsidRPr="00C535EB">
        <w:rPr>
          <w:sz w:val="22"/>
          <w:szCs w:val="22"/>
        </w:rPr>
        <w:t xml:space="preserve"> and </w:t>
      </w:r>
      <w:r w:rsidR="00C535EB" w:rsidRPr="00C535EB">
        <w:rPr>
          <w:sz w:val="22"/>
          <w:szCs w:val="22"/>
        </w:rPr>
        <w:t>by IDA with their relevant constituencies.</w:t>
      </w:r>
      <w:r w:rsidR="00F43EF8" w:rsidRPr="00C535EB">
        <w:rPr>
          <w:sz w:val="22"/>
          <w:szCs w:val="22"/>
        </w:rPr>
        <w:t xml:space="preserve"> </w:t>
      </w:r>
      <w:r w:rsidRPr="00C535EB">
        <w:rPr>
          <w:sz w:val="22"/>
          <w:szCs w:val="22"/>
        </w:rPr>
        <w:t xml:space="preserve">The OHCHR Treaty Body Capacity Building Programme, Disability Advisor and team as well as other OHCHR colleagues will use the two resources when providing technical </w:t>
      </w:r>
      <w:r w:rsidR="005E33D6" w:rsidRPr="00C535EB">
        <w:rPr>
          <w:sz w:val="22"/>
          <w:szCs w:val="22"/>
        </w:rPr>
        <w:t>assistance to</w:t>
      </w:r>
      <w:r w:rsidRPr="00C535EB">
        <w:rPr>
          <w:sz w:val="22"/>
          <w:szCs w:val="22"/>
        </w:rPr>
        <w:t xml:space="preserve"> States parties</w:t>
      </w:r>
      <w:r w:rsidR="005E33D6" w:rsidRPr="00C535EB">
        <w:rPr>
          <w:sz w:val="22"/>
          <w:szCs w:val="22"/>
        </w:rPr>
        <w:t xml:space="preserve"> but also when providing capacity building activities to IMMs</w:t>
      </w:r>
      <w:r w:rsidRPr="00C535EB">
        <w:rPr>
          <w:sz w:val="22"/>
          <w:szCs w:val="22"/>
        </w:rPr>
        <w:t xml:space="preserve">. </w:t>
      </w:r>
    </w:p>
    <w:p w14:paraId="3F9DBBF1" w14:textId="00E34DE0" w:rsidR="00106E61" w:rsidRPr="00106E61" w:rsidRDefault="009677FF" w:rsidP="00106E61">
      <w:pPr>
        <w:pStyle w:val="CommentText"/>
        <w:jc w:val="both"/>
        <w:rPr>
          <w:color w:val="000000" w:themeColor="text1"/>
          <w:sz w:val="22"/>
          <w:szCs w:val="22"/>
        </w:rPr>
      </w:pPr>
      <w:r w:rsidRPr="00C535EB">
        <w:rPr>
          <w:sz w:val="22"/>
          <w:szCs w:val="22"/>
        </w:rPr>
        <w:t>These resources will also be of use for all UN entities and country offices in their work on CRPD implementation and monitoring with IMMs</w:t>
      </w:r>
      <w:r w:rsidR="00280B2D" w:rsidRPr="00C535EB">
        <w:rPr>
          <w:sz w:val="22"/>
          <w:szCs w:val="22"/>
        </w:rPr>
        <w:t xml:space="preserve"> and </w:t>
      </w:r>
      <w:r w:rsidRPr="00C535EB">
        <w:rPr>
          <w:sz w:val="22"/>
          <w:szCs w:val="22"/>
        </w:rPr>
        <w:t xml:space="preserve">NHRIs, </w:t>
      </w:r>
      <w:r w:rsidR="00C535EB" w:rsidRPr="00C535EB">
        <w:rPr>
          <w:sz w:val="22"/>
          <w:szCs w:val="22"/>
        </w:rPr>
        <w:t xml:space="preserve">related country programming </w:t>
      </w:r>
      <w:r w:rsidRPr="00C535EB">
        <w:rPr>
          <w:sz w:val="22"/>
          <w:szCs w:val="22"/>
        </w:rPr>
        <w:t xml:space="preserve">and in guiding the designation/development of IMMs. </w:t>
      </w:r>
      <w:r w:rsidR="00D60683" w:rsidRPr="00C535EB">
        <w:rPr>
          <w:sz w:val="22"/>
          <w:szCs w:val="22"/>
        </w:rPr>
        <w:t xml:space="preserve">The Committee will </w:t>
      </w:r>
      <w:proofErr w:type="gramStart"/>
      <w:r w:rsidR="00D60683" w:rsidRPr="00C535EB">
        <w:rPr>
          <w:sz w:val="22"/>
          <w:szCs w:val="22"/>
        </w:rPr>
        <w:t>make reference</w:t>
      </w:r>
      <w:proofErr w:type="gramEnd"/>
      <w:r w:rsidR="00D60683" w:rsidRPr="00C535EB">
        <w:rPr>
          <w:sz w:val="22"/>
          <w:szCs w:val="22"/>
        </w:rPr>
        <w:t xml:space="preserve"> to these tools in their constructive dialogues with State parties. </w:t>
      </w:r>
      <w:r w:rsidR="00D60683" w:rsidRPr="00C535EB">
        <w:rPr>
          <w:color w:val="000000" w:themeColor="text1"/>
          <w:sz w:val="22"/>
          <w:szCs w:val="22"/>
        </w:rPr>
        <w:t xml:space="preserve">UNDP </w:t>
      </w:r>
      <w:r w:rsidR="00D301F0" w:rsidRPr="00C535EB">
        <w:rPr>
          <w:color w:val="000000" w:themeColor="text1"/>
          <w:sz w:val="22"/>
          <w:szCs w:val="22"/>
        </w:rPr>
        <w:t xml:space="preserve">and </w:t>
      </w:r>
      <w:r w:rsidR="00D60683" w:rsidRPr="00C535EB">
        <w:rPr>
          <w:color w:val="000000" w:themeColor="text1"/>
          <w:sz w:val="22"/>
          <w:szCs w:val="22"/>
        </w:rPr>
        <w:t>GANHRI</w:t>
      </w:r>
      <w:r w:rsidR="00ED5877" w:rsidRPr="00C535EB">
        <w:rPr>
          <w:color w:val="000000" w:themeColor="text1"/>
          <w:sz w:val="22"/>
          <w:szCs w:val="22"/>
        </w:rPr>
        <w:t xml:space="preserve"> will </w:t>
      </w:r>
      <w:r w:rsidR="00D301F0" w:rsidRPr="00C535EB">
        <w:rPr>
          <w:color w:val="000000" w:themeColor="text1"/>
          <w:sz w:val="22"/>
          <w:szCs w:val="22"/>
        </w:rPr>
        <w:t xml:space="preserve">also </w:t>
      </w:r>
      <w:r w:rsidR="00ED5877" w:rsidRPr="00C535EB">
        <w:rPr>
          <w:color w:val="000000" w:themeColor="text1"/>
          <w:sz w:val="22"/>
          <w:szCs w:val="22"/>
        </w:rPr>
        <w:t>promote these tools in events, gatherings and meetings, as well as when advising individual NHRIs</w:t>
      </w:r>
      <w:r w:rsidR="00D60683" w:rsidRPr="00C535EB">
        <w:rPr>
          <w:color w:val="000000" w:themeColor="text1"/>
          <w:sz w:val="22"/>
          <w:szCs w:val="22"/>
        </w:rPr>
        <w:t>.</w:t>
      </w:r>
    </w:p>
    <w:p w14:paraId="1D074B34" w14:textId="77777777" w:rsidR="00BC4B02" w:rsidRPr="002D0888" w:rsidRDefault="00830399" w:rsidP="002D0888">
      <w:pPr>
        <w:pStyle w:val="Heading1"/>
      </w:pPr>
      <w:r>
        <w:t>6.</w:t>
      </w:r>
      <w:r w:rsidR="002D0888">
        <w:t xml:space="preserve"> </w:t>
      </w:r>
      <w:r w:rsidR="00081DE7">
        <w:t xml:space="preserve">Project </w:t>
      </w:r>
      <w:r w:rsidR="00056FB7">
        <w:t>m</w:t>
      </w:r>
      <w:r w:rsidR="00BC4B02" w:rsidRPr="002D0888">
        <w:t xml:space="preserve">anagement </w:t>
      </w:r>
      <w:r w:rsidR="00056FB7">
        <w:t>and m</w:t>
      </w:r>
      <w:r w:rsidR="00081DE7">
        <w:t xml:space="preserve">onitoring </w:t>
      </w:r>
      <w:r w:rsidR="00BC4B02" w:rsidRPr="002D0888">
        <w:t>arrangements</w:t>
      </w:r>
    </w:p>
    <w:p w14:paraId="725EB2DA" w14:textId="7C31D664" w:rsidR="00BC4B02" w:rsidRDefault="00BC4B02" w:rsidP="00375E00">
      <w:pPr>
        <w:pStyle w:val="Heading2"/>
      </w:pPr>
      <w:r>
        <w:t>Table 4</w:t>
      </w:r>
      <w:r w:rsidRPr="008446EA">
        <w:t xml:space="preserve">. </w:t>
      </w:r>
      <w:r>
        <w:t>Implementation arrangements</w:t>
      </w:r>
    </w:p>
    <w:p w14:paraId="360040F1" w14:textId="77777777" w:rsidR="00BC4B02" w:rsidRDefault="00BC4B02" w:rsidP="00BC4B02">
      <w:pPr>
        <w:pStyle w:val="ListParagraph"/>
        <w:spacing w:after="0" w:line="240" w:lineRule="auto"/>
        <w:ind w:left="360"/>
        <w:contextualSpacing w:val="0"/>
        <w:jc w:val="both"/>
        <w:rPr>
          <w:b/>
          <w:sz w:val="20"/>
        </w:rPr>
      </w:pPr>
    </w:p>
    <w:tbl>
      <w:tblPr>
        <w:tblStyle w:val="TableGrid"/>
        <w:tblW w:w="9720" w:type="dxa"/>
        <w:tblInd w:w="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Implementation arrangements"/>
      </w:tblPr>
      <w:tblGrid>
        <w:gridCol w:w="2657"/>
        <w:gridCol w:w="2369"/>
        <w:gridCol w:w="2400"/>
        <w:gridCol w:w="2294"/>
      </w:tblGrid>
      <w:tr w:rsidR="00BC4B02" w14:paraId="63EA41B6" w14:textId="77777777" w:rsidTr="00FB40C6">
        <w:trPr>
          <w:tblHeader/>
        </w:trPr>
        <w:tc>
          <w:tcPr>
            <w:tcW w:w="2657" w:type="dxa"/>
            <w:tcBorders>
              <w:bottom w:val="double" w:sz="4" w:space="0" w:color="auto"/>
            </w:tcBorders>
            <w:shd w:val="clear" w:color="auto" w:fill="D9D9D9" w:themeFill="background1" w:themeFillShade="D9"/>
          </w:tcPr>
          <w:p w14:paraId="42C83F2F" w14:textId="6D184A7D" w:rsidR="00BC4B02" w:rsidRPr="008E1999" w:rsidRDefault="00D60683" w:rsidP="00BC4B02">
            <w:pPr>
              <w:pStyle w:val="ListParagraph"/>
              <w:ind w:left="0"/>
              <w:contextualSpacing w:val="0"/>
              <w:jc w:val="both"/>
              <w:rPr>
                <w:b/>
                <w:color w:val="000000" w:themeColor="text1"/>
                <w:sz w:val="20"/>
              </w:rPr>
            </w:pPr>
            <w:r>
              <w:rPr>
                <w:b/>
                <w:color w:val="000000" w:themeColor="text1"/>
                <w:sz w:val="20"/>
              </w:rPr>
              <w:t xml:space="preserve">Outcome/Output </w:t>
            </w:r>
            <w:r w:rsidR="00BC4B02" w:rsidRPr="008E1999">
              <w:rPr>
                <w:b/>
                <w:color w:val="000000" w:themeColor="text1"/>
                <w:sz w:val="20"/>
              </w:rPr>
              <w:t>number</w:t>
            </w:r>
          </w:p>
        </w:tc>
        <w:tc>
          <w:tcPr>
            <w:tcW w:w="2369" w:type="dxa"/>
            <w:tcBorders>
              <w:bottom w:val="double" w:sz="4" w:space="0" w:color="auto"/>
            </w:tcBorders>
            <w:shd w:val="clear" w:color="auto" w:fill="D9D9D9" w:themeFill="background1" w:themeFillShade="D9"/>
          </w:tcPr>
          <w:p w14:paraId="172CBB8E"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UNPRPD Focal Point</w:t>
            </w:r>
          </w:p>
        </w:tc>
        <w:tc>
          <w:tcPr>
            <w:tcW w:w="2400" w:type="dxa"/>
            <w:tcBorders>
              <w:bottom w:val="double" w:sz="4" w:space="0" w:color="auto"/>
            </w:tcBorders>
            <w:shd w:val="clear" w:color="auto" w:fill="D9D9D9" w:themeFill="background1" w:themeFillShade="D9"/>
          </w:tcPr>
          <w:p w14:paraId="2A23E305"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Implementing agencies</w:t>
            </w:r>
          </w:p>
        </w:tc>
        <w:tc>
          <w:tcPr>
            <w:tcW w:w="2294" w:type="dxa"/>
            <w:tcBorders>
              <w:bottom w:val="double" w:sz="4" w:space="0" w:color="auto"/>
            </w:tcBorders>
            <w:shd w:val="clear" w:color="auto" w:fill="D9D9D9" w:themeFill="background1" w:themeFillShade="D9"/>
          </w:tcPr>
          <w:p w14:paraId="3DC905A4" w14:textId="77777777" w:rsidR="00BC4B02" w:rsidRPr="008E1999" w:rsidRDefault="00BC4B02" w:rsidP="00BC4B02">
            <w:pPr>
              <w:pStyle w:val="ListParagraph"/>
              <w:ind w:left="0"/>
              <w:contextualSpacing w:val="0"/>
              <w:jc w:val="both"/>
              <w:rPr>
                <w:b/>
                <w:color w:val="000000" w:themeColor="text1"/>
                <w:sz w:val="20"/>
              </w:rPr>
            </w:pPr>
            <w:r w:rsidRPr="008E1999">
              <w:rPr>
                <w:b/>
                <w:color w:val="000000" w:themeColor="text1"/>
                <w:sz w:val="20"/>
              </w:rPr>
              <w:t>Other partners</w:t>
            </w:r>
          </w:p>
        </w:tc>
      </w:tr>
      <w:tr w:rsidR="000401F6" w14:paraId="1992177E" w14:textId="77777777" w:rsidTr="00FB40C6">
        <w:tc>
          <w:tcPr>
            <w:tcW w:w="2657" w:type="dxa"/>
            <w:tcBorders>
              <w:top w:val="double" w:sz="4" w:space="0" w:color="auto"/>
              <w:bottom w:val="double" w:sz="4" w:space="0" w:color="auto"/>
              <w:right w:val="double" w:sz="4" w:space="0" w:color="auto"/>
            </w:tcBorders>
          </w:tcPr>
          <w:p w14:paraId="2CE7DADB" w14:textId="731340E8" w:rsidR="000401F6" w:rsidRDefault="000401F6" w:rsidP="000401F6">
            <w:pPr>
              <w:pStyle w:val="ListParagraph"/>
              <w:ind w:left="0"/>
              <w:contextualSpacing w:val="0"/>
              <w:jc w:val="both"/>
              <w:rPr>
                <w:b/>
                <w:sz w:val="20"/>
              </w:rPr>
            </w:pPr>
            <w:r>
              <w:rPr>
                <w:b/>
                <w:sz w:val="20"/>
              </w:rPr>
              <w:t>1</w:t>
            </w:r>
            <w:r w:rsidR="00D60683">
              <w:rPr>
                <w:b/>
                <w:sz w:val="20"/>
              </w:rPr>
              <w:t xml:space="preserve"> </w:t>
            </w:r>
            <w:r w:rsidR="00D60683" w:rsidRPr="00143BCF">
              <w:rPr>
                <w:b/>
              </w:rPr>
              <w:t>Practical Guide on Independent Monitoring Mechanisms</w:t>
            </w:r>
          </w:p>
        </w:tc>
        <w:tc>
          <w:tcPr>
            <w:tcW w:w="2369" w:type="dxa"/>
            <w:tcBorders>
              <w:top w:val="double" w:sz="4" w:space="0" w:color="auto"/>
              <w:left w:val="double" w:sz="4" w:space="0" w:color="auto"/>
              <w:bottom w:val="double" w:sz="4" w:space="0" w:color="auto"/>
              <w:right w:val="double" w:sz="4" w:space="0" w:color="auto"/>
            </w:tcBorders>
          </w:tcPr>
          <w:p w14:paraId="6680CACD" w14:textId="1D5E0B89" w:rsidR="000401F6" w:rsidRDefault="00C63E22" w:rsidP="000401F6">
            <w:pPr>
              <w:pStyle w:val="ListParagraph"/>
              <w:ind w:left="0"/>
              <w:contextualSpacing w:val="0"/>
              <w:jc w:val="both"/>
              <w:rPr>
                <w:rFonts w:ascii="Calibri" w:hAnsi="Calibri" w:cs="Calibri"/>
                <w:b/>
                <w:bCs/>
              </w:rPr>
            </w:pPr>
            <w:r w:rsidRPr="004B01D6">
              <w:rPr>
                <w:rFonts w:ascii="Calibri" w:hAnsi="Calibri" w:cs="Calibri"/>
                <w:b/>
                <w:bCs/>
              </w:rPr>
              <w:t>Sarah Rattray</w:t>
            </w:r>
          </w:p>
          <w:p w14:paraId="3B9D5F6A" w14:textId="77777777" w:rsidR="00C63E22" w:rsidRDefault="00C63E22" w:rsidP="00C63E22">
            <w:pPr>
              <w:spacing w:before="60" w:after="60"/>
              <w:rPr>
                <w:rFonts w:ascii="Calibri" w:hAnsi="Calibri" w:cs="Calibri"/>
              </w:rPr>
            </w:pPr>
            <w:r w:rsidRPr="004B01D6">
              <w:rPr>
                <w:rFonts w:ascii="Calibri" w:hAnsi="Calibri" w:cs="Calibri"/>
              </w:rPr>
              <w:t>Policy Specialist for Human Rights. Rule of Law, Security and Human Rights for Sustaining Peace</w:t>
            </w:r>
          </w:p>
          <w:p w14:paraId="55C3C113" w14:textId="191374C3" w:rsidR="00C63E22" w:rsidRPr="00C63E22" w:rsidRDefault="00C63E22" w:rsidP="00C63E22">
            <w:pPr>
              <w:spacing w:before="60" w:after="60"/>
              <w:rPr>
                <w:rFonts w:ascii="Calibri" w:hAnsi="Calibri" w:cs="Calibri"/>
              </w:rPr>
            </w:pPr>
            <w:r w:rsidRPr="004B01D6">
              <w:rPr>
                <w:rFonts w:ascii="Calibri" w:hAnsi="Calibri" w:cs="Calibri"/>
              </w:rPr>
              <w:t>United Nations Development Programme Crisis Bureau</w:t>
            </w:r>
          </w:p>
        </w:tc>
        <w:tc>
          <w:tcPr>
            <w:tcW w:w="2400" w:type="dxa"/>
            <w:tcBorders>
              <w:top w:val="double" w:sz="4" w:space="0" w:color="auto"/>
              <w:left w:val="double" w:sz="4" w:space="0" w:color="auto"/>
              <w:bottom w:val="double" w:sz="4" w:space="0" w:color="auto"/>
              <w:right w:val="double" w:sz="4" w:space="0" w:color="auto"/>
            </w:tcBorders>
          </w:tcPr>
          <w:p w14:paraId="6775E692" w14:textId="1B8EA78B" w:rsidR="00C63E22" w:rsidRPr="00C63E22" w:rsidRDefault="00C63E22" w:rsidP="00106E61">
            <w:pPr>
              <w:rPr>
                <w:b/>
                <w:sz w:val="20"/>
              </w:rPr>
            </w:pPr>
            <w:r w:rsidRPr="00C63E22">
              <w:rPr>
                <w:b/>
                <w:sz w:val="20"/>
              </w:rPr>
              <w:t xml:space="preserve">Christina Meinecke </w:t>
            </w:r>
          </w:p>
          <w:p w14:paraId="57BCC26D" w14:textId="77777777" w:rsidR="000401F6" w:rsidRDefault="00C63E22" w:rsidP="00106E61">
            <w:pPr>
              <w:rPr>
                <w:rFonts w:ascii="Calibri" w:hAnsi="Calibri" w:cs="Calibri"/>
              </w:rPr>
            </w:pPr>
            <w:r w:rsidRPr="004B01D6">
              <w:rPr>
                <w:rFonts w:ascii="Calibri" w:hAnsi="Calibri" w:cs="Calibri"/>
              </w:rPr>
              <w:t>Coordinator, Capacity Building Programme, Human Rights Council and Treaty Mechanisms Division</w:t>
            </w:r>
          </w:p>
          <w:p w14:paraId="2033554B" w14:textId="7AF47CE6" w:rsidR="00C63E22" w:rsidRPr="00106E61" w:rsidRDefault="00C63E22" w:rsidP="00106E61">
            <w:pPr>
              <w:rPr>
                <w:sz w:val="20"/>
              </w:rPr>
            </w:pPr>
            <w:r w:rsidRPr="004B01D6">
              <w:rPr>
                <w:rFonts w:ascii="Calibri" w:hAnsi="Calibri" w:cs="Calibri"/>
              </w:rPr>
              <w:t>Office of the United Nations Hig</w:t>
            </w:r>
            <w:r>
              <w:rPr>
                <w:rFonts w:ascii="Calibri" w:hAnsi="Calibri" w:cs="Calibri"/>
              </w:rPr>
              <w:t>h Commissioner for Human Rights</w:t>
            </w:r>
          </w:p>
        </w:tc>
        <w:tc>
          <w:tcPr>
            <w:tcW w:w="2294" w:type="dxa"/>
            <w:tcBorders>
              <w:top w:val="double" w:sz="4" w:space="0" w:color="auto"/>
              <w:left w:val="double" w:sz="4" w:space="0" w:color="auto"/>
              <w:bottom w:val="double" w:sz="4" w:space="0" w:color="auto"/>
            </w:tcBorders>
          </w:tcPr>
          <w:p w14:paraId="6C5BD1F2" w14:textId="61532A57" w:rsidR="000401F6" w:rsidRDefault="000401F6" w:rsidP="000401F6">
            <w:r w:rsidRPr="00EF0931">
              <w:rPr>
                <w:sz w:val="20"/>
              </w:rPr>
              <w:t>[</w:t>
            </w:r>
            <w:r w:rsidR="00350167">
              <w:rPr>
                <w:sz w:val="20"/>
              </w:rPr>
              <w:t xml:space="preserve">GANHRI </w:t>
            </w:r>
            <w:r w:rsidR="00280B2D">
              <w:rPr>
                <w:sz w:val="20"/>
              </w:rPr>
              <w:t xml:space="preserve">including through its </w:t>
            </w:r>
            <w:r w:rsidR="00350167">
              <w:rPr>
                <w:sz w:val="20"/>
              </w:rPr>
              <w:t>Working Group on Disabilities, UNDP</w:t>
            </w:r>
            <w:r w:rsidR="00C63E22">
              <w:rPr>
                <w:sz w:val="20"/>
              </w:rPr>
              <w:t>, OHCHR CRPD secretariat and OHCHR disability advisor</w:t>
            </w:r>
            <w:r w:rsidRPr="00EF0931">
              <w:rPr>
                <w:sz w:val="20"/>
              </w:rPr>
              <w:t>]</w:t>
            </w:r>
          </w:p>
        </w:tc>
      </w:tr>
      <w:tr w:rsidR="000401F6" w14:paraId="342CEB4C" w14:textId="77777777" w:rsidTr="00FB40C6">
        <w:tc>
          <w:tcPr>
            <w:tcW w:w="2657" w:type="dxa"/>
            <w:tcBorders>
              <w:top w:val="double" w:sz="4" w:space="0" w:color="auto"/>
              <w:bottom w:val="double" w:sz="4" w:space="0" w:color="auto"/>
              <w:right w:val="double" w:sz="4" w:space="0" w:color="auto"/>
            </w:tcBorders>
          </w:tcPr>
          <w:p w14:paraId="149C09E1" w14:textId="5E018AD9" w:rsidR="000401F6" w:rsidRDefault="000401F6" w:rsidP="000401F6">
            <w:pPr>
              <w:pStyle w:val="ListParagraph"/>
              <w:ind w:left="0"/>
              <w:contextualSpacing w:val="0"/>
              <w:jc w:val="both"/>
              <w:rPr>
                <w:b/>
                <w:sz w:val="20"/>
              </w:rPr>
            </w:pPr>
            <w:r>
              <w:rPr>
                <w:b/>
                <w:sz w:val="20"/>
              </w:rPr>
              <w:t>2</w:t>
            </w:r>
            <w:r w:rsidR="00D60683">
              <w:rPr>
                <w:b/>
                <w:sz w:val="20"/>
              </w:rPr>
              <w:t xml:space="preserve"> </w:t>
            </w:r>
            <w:r w:rsidR="00D60683" w:rsidRPr="00BB7AA4">
              <w:rPr>
                <w:b/>
              </w:rPr>
              <w:t xml:space="preserve">Web-based </w:t>
            </w:r>
            <w:r w:rsidR="000075E4">
              <w:rPr>
                <w:b/>
              </w:rPr>
              <w:t xml:space="preserve">accessible </w:t>
            </w:r>
            <w:proofErr w:type="gramStart"/>
            <w:r w:rsidR="00D60683" w:rsidRPr="00BB7AA4">
              <w:rPr>
                <w:b/>
              </w:rPr>
              <w:t>repository</w:t>
            </w:r>
            <w:proofErr w:type="gramEnd"/>
            <w:r w:rsidR="00D60683" w:rsidRPr="00BB7AA4">
              <w:rPr>
                <w:b/>
              </w:rPr>
              <w:t xml:space="preserve"> of “State parties to the Convention on Persons with Disabilities and their designated Independent Monitoring Mechanisms</w:t>
            </w:r>
          </w:p>
        </w:tc>
        <w:tc>
          <w:tcPr>
            <w:tcW w:w="2369" w:type="dxa"/>
            <w:tcBorders>
              <w:top w:val="double" w:sz="4" w:space="0" w:color="auto"/>
              <w:left w:val="double" w:sz="4" w:space="0" w:color="auto"/>
              <w:bottom w:val="double" w:sz="4" w:space="0" w:color="auto"/>
              <w:right w:val="double" w:sz="4" w:space="0" w:color="auto"/>
            </w:tcBorders>
          </w:tcPr>
          <w:p w14:paraId="5A319D14" w14:textId="77777777" w:rsidR="00C63E22" w:rsidRDefault="00C63E22" w:rsidP="00C63E22">
            <w:pPr>
              <w:pStyle w:val="ListParagraph"/>
              <w:ind w:left="0"/>
              <w:contextualSpacing w:val="0"/>
              <w:jc w:val="both"/>
              <w:rPr>
                <w:rFonts w:ascii="Calibri" w:hAnsi="Calibri" w:cs="Calibri"/>
                <w:b/>
                <w:bCs/>
              </w:rPr>
            </w:pPr>
            <w:r w:rsidRPr="004B01D6">
              <w:rPr>
                <w:rFonts w:ascii="Calibri" w:hAnsi="Calibri" w:cs="Calibri"/>
                <w:b/>
                <w:bCs/>
              </w:rPr>
              <w:t>Sarah Rattray</w:t>
            </w:r>
          </w:p>
          <w:p w14:paraId="3C63E6E7" w14:textId="77777777" w:rsidR="00C63E22" w:rsidRDefault="00C63E22" w:rsidP="00C63E22">
            <w:pPr>
              <w:spacing w:before="60" w:after="60"/>
              <w:rPr>
                <w:rFonts w:ascii="Calibri" w:hAnsi="Calibri" w:cs="Calibri"/>
              </w:rPr>
            </w:pPr>
            <w:r w:rsidRPr="004B01D6">
              <w:rPr>
                <w:rFonts w:ascii="Calibri" w:hAnsi="Calibri" w:cs="Calibri"/>
              </w:rPr>
              <w:t>Policy Specialist for Human Rights. Rule of Law, Security and Human Rights for Sustaining Peace</w:t>
            </w:r>
          </w:p>
          <w:p w14:paraId="4133ACB1" w14:textId="5F9DEF34" w:rsidR="000401F6" w:rsidRDefault="00C63E22" w:rsidP="00C63E22">
            <w:r w:rsidRPr="004B01D6">
              <w:rPr>
                <w:rFonts w:ascii="Calibri" w:hAnsi="Calibri" w:cs="Calibri"/>
              </w:rPr>
              <w:t>United Nations Development Programme Crisis Bureau</w:t>
            </w:r>
          </w:p>
        </w:tc>
        <w:tc>
          <w:tcPr>
            <w:tcW w:w="2400" w:type="dxa"/>
            <w:tcBorders>
              <w:top w:val="double" w:sz="4" w:space="0" w:color="auto"/>
              <w:left w:val="double" w:sz="4" w:space="0" w:color="auto"/>
              <w:bottom w:val="double" w:sz="4" w:space="0" w:color="auto"/>
              <w:right w:val="double" w:sz="4" w:space="0" w:color="auto"/>
            </w:tcBorders>
          </w:tcPr>
          <w:p w14:paraId="7A812527" w14:textId="77777777" w:rsidR="00C63E22" w:rsidRPr="00C63E22" w:rsidRDefault="00C63E22" w:rsidP="00C63E22">
            <w:pPr>
              <w:rPr>
                <w:b/>
                <w:sz w:val="20"/>
              </w:rPr>
            </w:pPr>
            <w:r w:rsidRPr="00C63E22">
              <w:rPr>
                <w:b/>
                <w:sz w:val="20"/>
              </w:rPr>
              <w:t xml:space="preserve">Christina Meinecke </w:t>
            </w:r>
          </w:p>
          <w:p w14:paraId="477B30DE" w14:textId="77777777" w:rsidR="00C63E22" w:rsidRDefault="00C63E22" w:rsidP="00C63E22">
            <w:pPr>
              <w:rPr>
                <w:rFonts w:ascii="Calibri" w:hAnsi="Calibri" w:cs="Calibri"/>
              </w:rPr>
            </w:pPr>
            <w:r w:rsidRPr="004B01D6">
              <w:rPr>
                <w:rFonts w:ascii="Calibri" w:hAnsi="Calibri" w:cs="Calibri"/>
              </w:rPr>
              <w:t>Coordinator, Capacity Building Programme, Human Rights Council and Treaty Mechanisms Division</w:t>
            </w:r>
          </w:p>
          <w:p w14:paraId="7674E5BA" w14:textId="5C0E9D79" w:rsidR="000401F6" w:rsidRPr="00106E61" w:rsidRDefault="00C63E22" w:rsidP="00C63E22">
            <w:pPr>
              <w:rPr>
                <w:sz w:val="20"/>
              </w:rPr>
            </w:pPr>
            <w:r w:rsidRPr="004B01D6">
              <w:rPr>
                <w:rFonts w:ascii="Calibri" w:hAnsi="Calibri" w:cs="Calibri"/>
              </w:rPr>
              <w:t>Office of the United Nations Hig</w:t>
            </w:r>
            <w:r>
              <w:rPr>
                <w:rFonts w:ascii="Calibri" w:hAnsi="Calibri" w:cs="Calibri"/>
              </w:rPr>
              <w:t>h Commissioner for Human Rights</w:t>
            </w:r>
          </w:p>
        </w:tc>
        <w:tc>
          <w:tcPr>
            <w:tcW w:w="2294" w:type="dxa"/>
            <w:tcBorders>
              <w:top w:val="double" w:sz="4" w:space="0" w:color="auto"/>
              <w:left w:val="double" w:sz="4" w:space="0" w:color="auto"/>
              <w:bottom w:val="double" w:sz="4" w:space="0" w:color="auto"/>
            </w:tcBorders>
          </w:tcPr>
          <w:p w14:paraId="7D9E1231" w14:textId="4586A79B" w:rsidR="000401F6" w:rsidRDefault="000401F6" w:rsidP="000401F6">
            <w:r w:rsidRPr="00EF0931">
              <w:rPr>
                <w:sz w:val="20"/>
              </w:rPr>
              <w:t>[</w:t>
            </w:r>
            <w:r w:rsidR="00350167">
              <w:rPr>
                <w:sz w:val="20"/>
              </w:rPr>
              <w:t xml:space="preserve">GANHRI </w:t>
            </w:r>
            <w:r w:rsidR="00280B2D">
              <w:rPr>
                <w:sz w:val="20"/>
              </w:rPr>
              <w:t xml:space="preserve">including through its </w:t>
            </w:r>
            <w:r w:rsidR="00350167">
              <w:rPr>
                <w:sz w:val="20"/>
              </w:rPr>
              <w:t>Working Group on Disabilities, UNDP</w:t>
            </w:r>
            <w:r w:rsidR="00C63E22">
              <w:rPr>
                <w:sz w:val="20"/>
              </w:rPr>
              <w:t>, OHCHR CRPD secretariat and OHCHR disability advisor</w:t>
            </w:r>
            <w:r w:rsidRPr="00EF0931">
              <w:rPr>
                <w:sz w:val="20"/>
              </w:rPr>
              <w:t>]</w:t>
            </w:r>
          </w:p>
        </w:tc>
      </w:tr>
    </w:tbl>
    <w:p w14:paraId="4714AA4B" w14:textId="59D8AF69" w:rsidR="00BC4B02" w:rsidRDefault="00BC4B02" w:rsidP="00BC4B02">
      <w:pPr>
        <w:spacing w:after="0" w:line="240" w:lineRule="auto"/>
        <w:jc w:val="both"/>
        <w:rPr>
          <w:sz w:val="20"/>
        </w:rPr>
      </w:pPr>
    </w:p>
    <w:p w14:paraId="68CE41A2" w14:textId="46FFFB3B" w:rsidR="00C63E22" w:rsidRDefault="00C63E22" w:rsidP="00BC4B02">
      <w:pPr>
        <w:spacing w:after="0" w:line="240" w:lineRule="auto"/>
        <w:jc w:val="both"/>
        <w:rPr>
          <w:sz w:val="20"/>
        </w:rPr>
      </w:pPr>
    </w:p>
    <w:p w14:paraId="6555F0D4" w14:textId="2D04F286" w:rsidR="00C63E22" w:rsidRDefault="00C63E22" w:rsidP="00BC4B02">
      <w:pPr>
        <w:spacing w:after="0" w:line="240" w:lineRule="auto"/>
        <w:jc w:val="both"/>
        <w:rPr>
          <w:sz w:val="20"/>
        </w:rPr>
      </w:pPr>
    </w:p>
    <w:p w14:paraId="31D8BBAC" w14:textId="77777777" w:rsidR="00C63E22" w:rsidRPr="00002BED" w:rsidRDefault="00C63E22" w:rsidP="00BC4B02">
      <w:pPr>
        <w:spacing w:after="0" w:line="240" w:lineRule="auto"/>
        <w:jc w:val="both"/>
        <w:rPr>
          <w:sz w:val="20"/>
        </w:rPr>
      </w:pPr>
    </w:p>
    <w:p w14:paraId="7ED5D94E" w14:textId="77777777" w:rsidR="00F66AC2" w:rsidRPr="005C52C0" w:rsidRDefault="00CE32D7" w:rsidP="00F66AC2">
      <w:pPr>
        <w:pStyle w:val="Heading1"/>
      </w:pPr>
      <w:r>
        <w:t>7</w:t>
      </w:r>
      <w:r w:rsidR="002D0888">
        <w:t xml:space="preserve">. </w:t>
      </w:r>
      <w:r w:rsidR="00F66AC2">
        <w:t>Risk</w:t>
      </w:r>
      <w:r w:rsidR="00F66AC2" w:rsidRPr="005C52C0">
        <w:t xml:space="preserve"> Management</w:t>
      </w:r>
    </w:p>
    <w:p w14:paraId="60FD7995" w14:textId="10C6E6E0" w:rsidR="00C2722E" w:rsidRDefault="00C2722E" w:rsidP="00F66AC2">
      <w:pPr>
        <w:spacing w:after="0"/>
        <w:jc w:val="both"/>
        <w:rPr>
          <w:b/>
          <w:color w:val="000000" w:themeColor="text1"/>
          <w:sz w:val="20"/>
        </w:rPr>
      </w:pPr>
    </w:p>
    <w:tbl>
      <w:tblPr>
        <w:tblStyle w:val="TableGrid"/>
        <w:tblW w:w="9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Risk Managment Strategy"/>
      </w:tblPr>
      <w:tblGrid>
        <w:gridCol w:w="2235"/>
        <w:gridCol w:w="1460"/>
        <w:gridCol w:w="1227"/>
        <w:gridCol w:w="1888"/>
        <w:gridCol w:w="1494"/>
        <w:gridCol w:w="1571"/>
      </w:tblGrid>
      <w:tr w:rsidR="00F66AC2" w14:paraId="4FABF94F" w14:textId="77777777" w:rsidTr="00356369">
        <w:trPr>
          <w:tblHeader/>
        </w:trPr>
        <w:tc>
          <w:tcPr>
            <w:tcW w:w="2235" w:type="dxa"/>
            <w:shd w:val="clear" w:color="auto" w:fill="D9D9D9" w:themeFill="background1" w:themeFillShade="D9"/>
          </w:tcPr>
          <w:p w14:paraId="772E3399" w14:textId="77777777" w:rsidR="00F66AC2" w:rsidRPr="00EE06B6" w:rsidRDefault="00F66AC2" w:rsidP="004A5E9B">
            <w:pPr>
              <w:jc w:val="both"/>
              <w:rPr>
                <w:b/>
                <w:i/>
                <w:color w:val="000000" w:themeColor="text1"/>
                <w:sz w:val="20"/>
              </w:rPr>
            </w:pPr>
            <w:r w:rsidRPr="00EE06B6">
              <w:rPr>
                <w:b/>
                <w:i/>
                <w:color w:val="000000" w:themeColor="text1"/>
                <w:sz w:val="20"/>
              </w:rPr>
              <w:t>Type of risk*</w:t>
            </w:r>
          </w:p>
          <w:p w14:paraId="427E790E" w14:textId="77777777" w:rsidR="00F66AC2" w:rsidRPr="00EE06B6" w:rsidRDefault="00F66AC2" w:rsidP="00285A35">
            <w:pPr>
              <w:jc w:val="both"/>
              <w:rPr>
                <w:i/>
                <w:color w:val="000000" w:themeColor="text1"/>
                <w:sz w:val="20"/>
              </w:rPr>
            </w:pPr>
            <w:r w:rsidRPr="00EE06B6">
              <w:rPr>
                <w:b/>
                <w:i/>
                <w:color w:val="000000" w:themeColor="text1"/>
                <w:sz w:val="20"/>
              </w:rPr>
              <w:t>(contextual</w:t>
            </w:r>
            <w:r w:rsidR="00285A35" w:rsidRPr="00EE06B6">
              <w:rPr>
                <w:b/>
                <w:i/>
                <w:color w:val="000000" w:themeColor="text1"/>
                <w:sz w:val="20"/>
              </w:rPr>
              <w:t xml:space="preserve">, </w:t>
            </w:r>
            <w:r w:rsidRPr="00EE06B6">
              <w:rPr>
                <w:b/>
                <w:i/>
                <w:color w:val="000000" w:themeColor="text1"/>
                <w:sz w:val="20"/>
              </w:rPr>
              <w:t>programmatic, institutional)</w:t>
            </w:r>
          </w:p>
        </w:tc>
        <w:tc>
          <w:tcPr>
            <w:tcW w:w="1460" w:type="dxa"/>
            <w:shd w:val="clear" w:color="auto" w:fill="D9D9D9" w:themeFill="background1" w:themeFillShade="D9"/>
          </w:tcPr>
          <w:p w14:paraId="08F6ED53" w14:textId="77777777" w:rsidR="00F66AC2" w:rsidRPr="00EE06B6" w:rsidRDefault="00F66AC2" w:rsidP="004A5E9B">
            <w:pPr>
              <w:jc w:val="center"/>
              <w:rPr>
                <w:b/>
                <w:i/>
                <w:color w:val="000000" w:themeColor="text1"/>
                <w:sz w:val="20"/>
              </w:rPr>
            </w:pPr>
            <w:r w:rsidRPr="00EE06B6">
              <w:rPr>
                <w:b/>
                <w:i/>
                <w:color w:val="000000" w:themeColor="text1"/>
                <w:sz w:val="20"/>
              </w:rPr>
              <w:t>Risk</w:t>
            </w:r>
          </w:p>
        </w:tc>
        <w:tc>
          <w:tcPr>
            <w:tcW w:w="1227" w:type="dxa"/>
            <w:shd w:val="clear" w:color="auto" w:fill="D9D9D9" w:themeFill="background1" w:themeFillShade="D9"/>
          </w:tcPr>
          <w:p w14:paraId="03FB3776" w14:textId="77777777" w:rsidR="00F66AC2" w:rsidRPr="00EE06B6" w:rsidRDefault="00F66AC2" w:rsidP="00F31637">
            <w:pPr>
              <w:jc w:val="both"/>
              <w:rPr>
                <w:b/>
                <w:i/>
                <w:color w:val="000000" w:themeColor="text1"/>
                <w:sz w:val="20"/>
              </w:rPr>
            </w:pPr>
            <w:r w:rsidRPr="00EE06B6">
              <w:rPr>
                <w:b/>
                <w:i/>
                <w:color w:val="000000" w:themeColor="text1"/>
                <w:sz w:val="20"/>
              </w:rPr>
              <w:t xml:space="preserve">Likelihood </w:t>
            </w:r>
          </w:p>
          <w:p w14:paraId="578B6715" w14:textId="77777777" w:rsidR="00F31637" w:rsidRPr="00EE06B6" w:rsidRDefault="00F31637" w:rsidP="00F31637">
            <w:pPr>
              <w:jc w:val="both"/>
              <w:rPr>
                <w:b/>
                <w:i/>
                <w:color w:val="000000" w:themeColor="text1"/>
                <w:sz w:val="20"/>
              </w:rPr>
            </w:pPr>
            <w:r w:rsidRPr="00EE06B6">
              <w:rPr>
                <w:b/>
                <w:i/>
                <w:color w:val="000000" w:themeColor="text1"/>
                <w:sz w:val="20"/>
              </w:rPr>
              <w:t>(Low, Moderate, High)</w:t>
            </w:r>
          </w:p>
        </w:tc>
        <w:tc>
          <w:tcPr>
            <w:tcW w:w="1888" w:type="dxa"/>
            <w:shd w:val="clear" w:color="auto" w:fill="D9D9D9" w:themeFill="background1" w:themeFillShade="D9"/>
          </w:tcPr>
          <w:p w14:paraId="19FE79D5" w14:textId="77777777" w:rsidR="00F66AC2" w:rsidRPr="00EE06B6" w:rsidRDefault="00F66AC2" w:rsidP="004A5E9B">
            <w:pPr>
              <w:jc w:val="both"/>
              <w:rPr>
                <w:b/>
                <w:i/>
                <w:color w:val="000000" w:themeColor="text1"/>
                <w:sz w:val="20"/>
              </w:rPr>
            </w:pPr>
            <w:r w:rsidRPr="00EE06B6">
              <w:rPr>
                <w:b/>
                <w:i/>
                <w:color w:val="000000" w:themeColor="text1"/>
                <w:sz w:val="20"/>
              </w:rPr>
              <w:t>Impact on result</w:t>
            </w:r>
          </w:p>
          <w:p w14:paraId="529494C1" w14:textId="77777777" w:rsidR="00F31637" w:rsidRPr="00EE06B6" w:rsidRDefault="00F31637" w:rsidP="004A5E9B">
            <w:pPr>
              <w:jc w:val="both"/>
              <w:rPr>
                <w:i/>
                <w:color w:val="000000" w:themeColor="text1"/>
                <w:sz w:val="20"/>
              </w:rPr>
            </w:pPr>
            <w:r w:rsidRPr="00EE06B6">
              <w:rPr>
                <w:b/>
                <w:i/>
                <w:color w:val="000000" w:themeColor="text1"/>
                <w:sz w:val="20"/>
              </w:rPr>
              <w:t>(Low, Moderate, High)</w:t>
            </w:r>
          </w:p>
        </w:tc>
        <w:tc>
          <w:tcPr>
            <w:tcW w:w="1494" w:type="dxa"/>
            <w:shd w:val="clear" w:color="auto" w:fill="D9D9D9" w:themeFill="background1" w:themeFillShade="D9"/>
          </w:tcPr>
          <w:p w14:paraId="291B88AE" w14:textId="77777777" w:rsidR="00F66AC2" w:rsidRPr="00EE06B6" w:rsidRDefault="00E53BAD" w:rsidP="004A5E9B">
            <w:pPr>
              <w:jc w:val="both"/>
              <w:rPr>
                <w:i/>
                <w:color w:val="000000" w:themeColor="text1"/>
                <w:sz w:val="20"/>
              </w:rPr>
            </w:pPr>
            <w:r w:rsidRPr="00EE06B6">
              <w:rPr>
                <w:b/>
                <w:i/>
                <w:color w:val="000000" w:themeColor="text1"/>
                <w:sz w:val="20"/>
              </w:rPr>
              <w:t xml:space="preserve">Risk </w:t>
            </w:r>
            <w:r w:rsidR="00F66AC2" w:rsidRPr="00EE06B6">
              <w:rPr>
                <w:b/>
                <w:i/>
                <w:color w:val="000000" w:themeColor="text1"/>
                <w:sz w:val="20"/>
              </w:rPr>
              <w:t>Mitigation strategies</w:t>
            </w:r>
          </w:p>
        </w:tc>
        <w:tc>
          <w:tcPr>
            <w:tcW w:w="1571" w:type="dxa"/>
            <w:shd w:val="clear" w:color="auto" w:fill="D9D9D9" w:themeFill="background1" w:themeFillShade="D9"/>
          </w:tcPr>
          <w:p w14:paraId="20574983" w14:textId="77777777" w:rsidR="00F66AC2" w:rsidRPr="00EE06B6" w:rsidRDefault="00E53BAD" w:rsidP="00350DCE">
            <w:pPr>
              <w:jc w:val="both"/>
              <w:rPr>
                <w:i/>
                <w:color w:val="000000" w:themeColor="text1"/>
                <w:sz w:val="20"/>
              </w:rPr>
            </w:pPr>
            <w:r w:rsidRPr="00EE06B6">
              <w:rPr>
                <w:b/>
                <w:i/>
                <w:color w:val="000000" w:themeColor="text1"/>
                <w:sz w:val="20"/>
              </w:rPr>
              <w:t>Re</w:t>
            </w:r>
            <w:r w:rsidR="00B24801" w:rsidRPr="00EE06B6">
              <w:rPr>
                <w:b/>
                <w:i/>
                <w:color w:val="000000" w:themeColor="text1"/>
                <w:sz w:val="20"/>
              </w:rPr>
              <w:t xml:space="preserve">sponsible entity </w:t>
            </w:r>
            <w:r w:rsidRPr="00EE06B6">
              <w:rPr>
                <w:b/>
                <w:i/>
                <w:color w:val="000000" w:themeColor="text1"/>
                <w:sz w:val="20"/>
              </w:rPr>
              <w:t>for Risk treatment</w:t>
            </w:r>
          </w:p>
        </w:tc>
      </w:tr>
      <w:tr w:rsidR="00F66AC2" w14:paraId="728BF18E" w14:textId="77777777" w:rsidTr="004A5E9B">
        <w:tc>
          <w:tcPr>
            <w:tcW w:w="2235" w:type="dxa"/>
          </w:tcPr>
          <w:p w14:paraId="138839EC" w14:textId="3042084A" w:rsidR="00F66AC2" w:rsidRPr="005C52C0" w:rsidRDefault="00D60683" w:rsidP="004A5E9B">
            <w:pPr>
              <w:jc w:val="both"/>
              <w:rPr>
                <w:b/>
                <w:i/>
                <w:sz w:val="20"/>
              </w:rPr>
            </w:pPr>
            <w:r>
              <w:rPr>
                <w:b/>
                <w:i/>
                <w:sz w:val="20"/>
              </w:rPr>
              <w:t>Contextual</w:t>
            </w:r>
          </w:p>
          <w:p w14:paraId="6C22CDA0" w14:textId="77777777" w:rsidR="00F66AC2" w:rsidRDefault="00F66AC2" w:rsidP="004A5E9B">
            <w:pPr>
              <w:jc w:val="both"/>
              <w:rPr>
                <w:i/>
                <w:sz w:val="20"/>
              </w:rPr>
            </w:pPr>
          </w:p>
        </w:tc>
        <w:tc>
          <w:tcPr>
            <w:tcW w:w="1460" w:type="dxa"/>
          </w:tcPr>
          <w:p w14:paraId="0E376A7D" w14:textId="725EBDF3" w:rsidR="00F66AC2" w:rsidRPr="000C5EA2" w:rsidRDefault="00D60683" w:rsidP="004A5E9B">
            <w:pPr>
              <w:jc w:val="both"/>
              <w:rPr>
                <w:b/>
                <w:i/>
                <w:sz w:val="20"/>
              </w:rPr>
            </w:pPr>
            <w:r>
              <w:rPr>
                <w:b/>
                <w:i/>
                <w:sz w:val="20"/>
              </w:rPr>
              <w:t>Lack of finding good practices examples</w:t>
            </w:r>
          </w:p>
          <w:p w14:paraId="7EFCFE85" w14:textId="0F75FF14" w:rsidR="00106E61" w:rsidRPr="005C52C0" w:rsidRDefault="00106E61" w:rsidP="004A5E9B">
            <w:pPr>
              <w:jc w:val="both"/>
              <w:rPr>
                <w:b/>
                <w:i/>
                <w:sz w:val="20"/>
              </w:rPr>
            </w:pPr>
          </w:p>
        </w:tc>
        <w:tc>
          <w:tcPr>
            <w:tcW w:w="1227" w:type="dxa"/>
          </w:tcPr>
          <w:p w14:paraId="4ABD2E99" w14:textId="3BCB0A3A" w:rsidR="00F66AC2" w:rsidRPr="005C52C0" w:rsidRDefault="00D60683" w:rsidP="004A5E9B">
            <w:pPr>
              <w:jc w:val="both"/>
              <w:rPr>
                <w:b/>
                <w:i/>
                <w:sz w:val="20"/>
              </w:rPr>
            </w:pPr>
            <w:r>
              <w:rPr>
                <w:b/>
                <w:i/>
                <w:sz w:val="20"/>
              </w:rPr>
              <w:t>Low</w:t>
            </w:r>
          </w:p>
          <w:p w14:paraId="56B18E34" w14:textId="77777777" w:rsidR="00F66AC2" w:rsidRDefault="00F66AC2" w:rsidP="004A5E9B">
            <w:pPr>
              <w:jc w:val="both"/>
              <w:rPr>
                <w:i/>
                <w:sz w:val="20"/>
              </w:rPr>
            </w:pPr>
          </w:p>
        </w:tc>
        <w:tc>
          <w:tcPr>
            <w:tcW w:w="1888" w:type="dxa"/>
          </w:tcPr>
          <w:p w14:paraId="74A94CEF" w14:textId="44915B78" w:rsidR="00F66AC2" w:rsidRPr="005C52C0" w:rsidRDefault="00D60683" w:rsidP="004A5E9B">
            <w:pPr>
              <w:jc w:val="both"/>
              <w:rPr>
                <w:b/>
                <w:i/>
                <w:sz w:val="20"/>
              </w:rPr>
            </w:pPr>
            <w:r>
              <w:rPr>
                <w:b/>
                <w:i/>
                <w:sz w:val="20"/>
              </w:rPr>
              <w:t>Moderate</w:t>
            </w:r>
          </w:p>
          <w:p w14:paraId="1DF96A2F" w14:textId="77777777" w:rsidR="00F66AC2" w:rsidRDefault="00F66AC2" w:rsidP="004A5E9B">
            <w:pPr>
              <w:jc w:val="both"/>
              <w:rPr>
                <w:i/>
                <w:sz w:val="20"/>
              </w:rPr>
            </w:pPr>
          </w:p>
        </w:tc>
        <w:tc>
          <w:tcPr>
            <w:tcW w:w="1494" w:type="dxa"/>
          </w:tcPr>
          <w:p w14:paraId="20F17A66" w14:textId="4FF15405" w:rsidR="00F66AC2" w:rsidRPr="00106E61" w:rsidRDefault="00D60683" w:rsidP="004A5E9B">
            <w:pPr>
              <w:jc w:val="both"/>
              <w:rPr>
                <w:b/>
                <w:i/>
                <w:sz w:val="20"/>
              </w:rPr>
            </w:pPr>
            <w:r>
              <w:rPr>
                <w:b/>
                <w:i/>
                <w:sz w:val="20"/>
              </w:rPr>
              <w:t>Partnership with GANHRI and IDA to identify good examples</w:t>
            </w:r>
          </w:p>
        </w:tc>
        <w:tc>
          <w:tcPr>
            <w:tcW w:w="1571" w:type="dxa"/>
          </w:tcPr>
          <w:p w14:paraId="6AF156EC" w14:textId="6544333B" w:rsidR="00F66AC2" w:rsidRPr="005C52C0" w:rsidRDefault="00D60683" w:rsidP="004A5E9B">
            <w:pPr>
              <w:jc w:val="both"/>
              <w:rPr>
                <w:b/>
                <w:i/>
                <w:sz w:val="20"/>
              </w:rPr>
            </w:pPr>
            <w:r>
              <w:rPr>
                <w:b/>
                <w:i/>
                <w:sz w:val="20"/>
              </w:rPr>
              <w:t>OHCHR</w:t>
            </w:r>
          </w:p>
          <w:p w14:paraId="47A07A98" w14:textId="77777777" w:rsidR="00F66AC2" w:rsidRDefault="00F66AC2" w:rsidP="004A5E9B">
            <w:pPr>
              <w:jc w:val="both"/>
              <w:rPr>
                <w:i/>
                <w:sz w:val="20"/>
              </w:rPr>
            </w:pPr>
          </w:p>
        </w:tc>
      </w:tr>
      <w:tr w:rsidR="00F66AC2" w14:paraId="0095202C" w14:textId="77777777" w:rsidTr="004A5E9B">
        <w:tc>
          <w:tcPr>
            <w:tcW w:w="2235" w:type="dxa"/>
          </w:tcPr>
          <w:p w14:paraId="7DBEDAB4" w14:textId="30B14A27" w:rsidR="00F66AC2" w:rsidRPr="005C52C0" w:rsidRDefault="003E430C" w:rsidP="004A5E9B">
            <w:pPr>
              <w:jc w:val="both"/>
              <w:rPr>
                <w:b/>
                <w:i/>
                <w:sz w:val="20"/>
              </w:rPr>
            </w:pPr>
            <w:r>
              <w:rPr>
                <w:b/>
                <w:i/>
                <w:sz w:val="20"/>
              </w:rPr>
              <w:t>Programmatic</w:t>
            </w:r>
          </w:p>
          <w:p w14:paraId="5B40F8B7" w14:textId="77777777" w:rsidR="00F66AC2" w:rsidRDefault="00F66AC2" w:rsidP="004A5E9B">
            <w:pPr>
              <w:jc w:val="both"/>
              <w:rPr>
                <w:i/>
                <w:sz w:val="20"/>
              </w:rPr>
            </w:pPr>
          </w:p>
          <w:p w14:paraId="1DD930FD" w14:textId="43F2F8D6" w:rsidR="00106E61" w:rsidRDefault="00106E61" w:rsidP="004A5E9B">
            <w:pPr>
              <w:jc w:val="both"/>
              <w:rPr>
                <w:i/>
                <w:sz w:val="20"/>
              </w:rPr>
            </w:pPr>
          </w:p>
        </w:tc>
        <w:tc>
          <w:tcPr>
            <w:tcW w:w="1460" w:type="dxa"/>
          </w:tcPr>
          <w:p w14:paraId="30392EA8" w14:textId="1EB52AFA" w:rsidR="00F66AC2" w:rsidRPr="000C5EA2" w:rsidRDefault="003E430C" w:rsidP="003E430C">
            <w:pPr>
              <w:rPr>
                <w:b/>
                <w:i/>
                <w:sz w:val="20"/>
              </w:rPr>
            </w:pPr>
            <w:r>
              <w:rPr>
                <w:b/>
                <w:i/>
                <w:sz w:val="20"/>
              </w:rPr>
              <w:t>Lack of finding right consultants</w:t>
            </w:r>
          </w:p>
          <w:p w14:paraId="1CBFA738" w14:textId="77777777" w:rsidR="00F66AC2" w:rsidRPr="005C52C0" w:rsidRDefault="00F66AC2" w:rsidP="004A5E9B">
            <w:pPr>
              <w:jc w:val="both"/>
              <w:rPr>
                <w:b/>
                <w:i/>
                <w:sz w:val="20"/>
              </w:rPr>
            </w:pPr>
          </w:p>
        </w:tc>
        <w:tc>
          <w:tcPr>
            <w:tcW w:w="1227" w:type="dxa"/>
          </w:tcPr>
          <w:p w14:paraId="7F7ECE0E" w14:textId="5B876942" w:rsidR="00F66AC2" w:rsidRPr="005C52C0" w:rsidRDefault="003E430C" w:rsidP="004A5E9B">
            <w:pPr>
              <w:jc w:val="both"/>
              <w:rPr>
                <w:b/>
                <w:i/>
                <w:sz w:val="20"/>
              </w:rPr>
            </w:pPr>
            <w:r>
              <w:rPr>
                <w:b/>
                <w:i/>
                <w:sz w:val="20"/>
              </w:rPr>
              <w:t>Low</w:t>
            </w:r>
          </w:p>
          <w:p w14:paraId="3EB3F090" w14:textId="77777777" w:rsidR="00F66AC2" w:rsidRDefault="00F66AC2" w:rsidP="004A5E9B">
            <w:pPr>
              <w:jc w:val="both"/>
              <w:rPr>
                <w:i/>
                <w:sz w:val="20"/>
              </w:rPr>
            </w:pPr>
          </w:p>
        </w:tc>
        <w:tc>
          <w:tcPr>
            <w:tcW w:w="1888" w:type="dxa"/>
          </w:tcPr>
          <w:p w14:paraId="1820995C" w14:textId="327CF8F4" w:rsidR="00F66AC2" w:rsidRPr="005C52C0" w:rsidRDefault="003E430C" w:rsidP="004A5E9B">
            <w:pPr>
              <w:jc w:val="both"/>
              <w:rPr>
                <w:b/>
                <w:i/>
                <w:sz w:val="20"/>
              </w:rPr>
            </w:pPr>
            <w:r>
              <w:rPr>
                <w:b/>
                <w:i/>
                <w:sz w:val="20"/>
              </w:rPr>
              <w:t>Moderate</w:t>
            </w:r>
          </w:p>
          <w:p w14:paraId="35A8181E" w14:textId="77777777" w:rsidR="00F66AC2" w:rsidRDefault="00F66AC2" w:rsidP="004A5E9B">
            <w:pPr>
              <w:jc w:val="both"/>
              <w:rPr>
                <w:i/>
                <w:sz w:val="20"/>
              </w:rPr>
            </w:pPr>
          </w:p>
        </w:tc>
        <w:tc>
          <w:tcPr>
            <w:tcW w:w="1494" w:type="dxa"/>
          </w:tcPr>
          <w:p w14:paraId="256FBD63" w14:textId="663B6CB9" w:rsidR="00F66AC2" w:rsidRPr="00106E61" w:rsidRDefault="003E430C" w:rsidP="00106E61">
            <w:pPr>
              <w:rPr>
                <w:b/>
                <w:i/>
                <w:sz w:val="20"/>
              </w:rPr>
            </w:pPr>
            <w:r>
              <w:rPr>
                <w:b/>
                <w:i/>
                <w:sz w:val="20"/>
              </w:rPr>
              <w:t>Identify right person with expertise early on</w:t>
            </w:r>
          </w:p>
        </w:tc>
        <w:tc>
          <w:tcPr>
            <w:tcW w:w="1571" w:type="dxa"/>
          </w:tcPr>
          <w:p w14:paraId="4AC145EC" w14:textId="77B6ED96" w:rsidR="00F66AC2" w:rsidRPr="005C52C0" w:rsidRDefault="003E430C" w:rsidP="004A5E9B">
            <w:pPr>
              <w:jc w:val="both"/>
              <w:rPr>
                <w:b/>
                <w:i/>
                <w:sz w:val="20"/>
              </w:rPr>
            </w:pPr>
            <w:r>
              <w:rPr>
                <w:b/>
                <w:i/>
                <w:sz w:val="20"/>
              </w:rPr>
              <w:t>OHCHR</w:t>
            </w:r>
          </w:p>
          <w:p w14:paraId="73A44918" w14:textId="77777777" w:rsidR="00F66AC2" w:rsidRDefault="00F66AC2" w:rsidP="004A5E9B">
            <w:pPr>
              <w:jc w:val="both"/>
              <w:rPr>
                <w:i/>
                <w:sz w:val="20"/>
              </w:rPr>
            </w:pPr>
          </w:p>
        </w:tc>
      </w:tr>
    </w:tbl>
    <w:p w14:paraId="5D467E65" w14:textId="77777777" w:rsidR="00C63E22" w:rsidRDefault="00C63E22" w:rsidP="002D0888">
      <w:pPr>
        <w:pStyle w:val="Heading1"/>
      </w:pPr>
    </w:p>
    <w:p w14:paraId="64B6B137" w14:textId="77777777" w:rsidR="00C63E22" w:rsidRDefault="00C63E22">
      <w:pPr>
        <w:spacing w:after="160" w:line="259" w:lineRule="auto"/>
        <w:rPr>
          <w:rFonts w:ascii="Calibri" w:eastAsiaTheme="majorEastAsia" w:hAnsi="Calibri" w:cstheme="majorBidi"/>
          <w:b/>
          <w:color w:val="2E74B5" w:themeColor="accent1" w:themeShade="BF"/>
          <w:sz w:val="24"/>
          <w:szCs w:val="32"/>
        </w:rPr>
      </w:pPr>
      <w:r>
        <w:br w:type="page"/>
      </w:r>
    </w:p>
    <w:p w14:paraId="63330CB8" w14:textId="746BC021" w:rsidR="00BC4B02" w:rsidRPr="002D0888" w:rsidRDefault="00CE32D7" w:rsidP="002D0888">
      <w:pPr>
        <w:pStyle w:val="Heading1"/>
      </w:pPr>
      <w:r>
        <w:t>8</w:t>
      </w:r>
      <w:r w:rsidR="002D0888">
        <w:t xml:space="preserve">. </w:t>
      </w:r>
      <w:r w:rsidR="00BC4B02" w:rsidRPr="002D0888">
        <w:t>Budget</w:t>
      </w:r>
    </w:p>
    <w:p w14:paraId="04C25A38" w14:textId="3FC57A4B" w:rsidR="00BC4B02" w:rsidRDefault="00BC4B02" w:rsidP="000B5A27">
      <w:pPr>
        <w:spacing w:after="0" w:line="240" w:lineRule="auto"/>
        <w:jc w:val="both"/>
        <w:rPr>
          <w:i/>
          <w:sz w:val="20"/>
        </w:rPr>
      </w:pPr>
    </w:p>
    <w:p w14:paraId="7014086F" w14:textId="3D92C418" w:rsidR="00BC4B02" w:rsidRPr="00512C09" w:rsidRDefault="00BC4B02" w:rsidP="00512C09">
      <w:pPr>
        <w:pStyle w:val="Heading2"/>
      </w:pPr>
      <w:r w:rsidRPr="00E63255">
        <w:t>Project Budget</w:t>
      </w:r>
    </w:p>
    <w:tbl>
      <w:tblPr>
        <w:tblStyle w:val="TableGrid"/>
        <w:tblW w:w="10065" w:type="dxa"/>
        <w:tblLook w:val="04A0" w:firstRow="1" w:lastRow="0" w:firstColumn="1" w:lastColumn="0" w:noHBand="0" w:noVBand="1"/>
        <w:tblCaption w:val="Budget"/>
      </w:tblPr>
      <w:tblGrid>
        <w:gridCol w:w="1403"/>
        <w:gridCol w:w="1559"/>
        <w:gridCol w:w="1134"/>
        <w:gridCol w:w="992"/>
        <w:gridCol w:w="937"/>
        <w:gridCol w:w="1290"/>
        <w:gridCol w:w="1290"/>
        <w:gridCol w:w="1460"/>
      </w:tblGrid>
      <w:tr w:rsidR="0057688B" w:rsidRPr="00002BED" w14:paraId="19D3D8C9" w14:textId="77777777" w:rsidTr="00512C09">
        <w:trPr>
          <w:tblHeader/>
        </w:trPr>
        <w:tc>
          <w:tcPr>
            <w:tcW w:w="1403" w:type="dxa"/>
            <w:tcBorders>
              <w:top w:val="double" w:sz="4" w:space="0" w:color="auto"/>
              <w:left w:val="double" w:sz="4" w:space="0" w:color="auto"/>
              <w:bottom w:val="double" w:sz="4" w:space="0" w:color="auto"/>
            </w:tcBorders>
            <w:shd w:val="clear" w:color="auto" w:fill="D9D9D9" w:themeFill="background1" w:themeFillShade="D9"/>
          </w:tcPr>
          <w:p w14:paraId="4B94904C" w14:textId="77777777" w:rsidR="00BC4B02" w:rsidRPr="00002BED" w:rsidRDefault="00BC4B02" w:rsidP="00BC4B02">
            <w:pPr>
              <w:ind w:left="360"/>
              <w:jc w:val="both"/>
              <w:rPr>
                <w:b/>
                <w:sz w:val="20"/>
              </w:rPr>
            </w:pPr>
            <w:r w:rsidRPr="00002BED">
              <w:rPr>
                <w:b/>
                <w:sz w:val="20"/>
              </w:rPr>
              <w:t>Category</w:t>
            </w:r>
          </w:p>
        </w:tc>
        <w:tc>
          <w:tcPr>
            <w:tcW w:w="1559" w:type="dxa"/>
            <w:tcBorders>
              <w:top w:val="double" w:sz="4" w:space="0" w:color="auto"/>
              <w:bottom w:val="double" w:sz="4" w:space="0" w:color="auto"/>
            </w:tcBorders>
            <w:shd w:val="clear" w:color="auto" w:fill="D9D9D9" w:themeFill="background1" w:themeFillShade="D9"/>
          </w:tcPr>
          <w:p w14:paraId="1D7084C2" w14:textId="77777777" w:rsidR="00BC4B02" w:rsidRPr="00002BED" w:rsidRDefault="00BC4B02" w:rsidP="00512C09">
            <w:pPr>
              <w:ind w:left="360"/>
              <w:rPr>
                <w:b/>
                <w:sz w:val="20"/>
              </w:rPr>
            </w:pPr>
            <w:r>
              <w:rPr>
                <w:b/>
                <w:sz w:val="20"/>
              </w:rPr>
              <w:t>Item</w:t>
            </w:r>
          </w:p>
        </w:tc>
        <w:tc>
          <w:tcPr>
            <w:tcW w:w="1134" w:type="dxa"/>
            <w:tcBorders>
              <w:top w:val="double" w:sz="4" w:space="0" w:color="auto"/>
              <w:bottom w:val="single" w:sz="4" w:space="0" w:color="auto"/>
            </w:tcBorders>
            <w:shd w:val="clear" w:color="auto" w:fill="D9D9D9" w:themeFill="background1" w:themeFillShade="D9"/>
          </w:tcPr>
          <w:p w14:paraId="00A1D575" w14:textId="77777777" w:rsidR="00BC4B02" w:rsidRPr="00002BED" w:rsidRDefault="00BC4B02" w:rsidP="00512C09">
            <w:pPr>
              <w:ind w:left="360"/>
              <w:rPr>
                <w:b/>
                <w:sz w:val="20"/>
              </w:rPr>
            </w:pPr>
            <w:r>
              <w:rPr>
                <w:b/>
                <w:sz w:val="20"/>
              </w:rPr>
              <w:t>Unit Cost</w:t>
            </w:r>
          </w:p>
        </w:tc>
        <w:tc>
          <w:tcPr>
            <w:tcW w:w="992" w:type="dxa"/>
            <w:tcBorders>
              <w:top w:val="double" w:sz="4" w:space="0" w:color="auto"/>
              <w:bottom w:val="double" w:sz="4" w:space="0" w:color="auto"/>
            </w:tcBorders>
            <w:shd w:val="clear" w:color="auto" w:fill="D9D9D9" w:themeFill="background1" w:themeFillShade="D9"/>
          </w:tcPr>
          <w:p w14:paraId="5B8687D9" w14:textId="77777777" w:rsidR="00BC4B02" w:rsidRPr="00002BED" w:rsidRDefault="00BC4B02" w:rsidP="00512C09">
            <w:pPr>
              <w:rPr>
                <w:b/>
                <w:sz w:val="20"/>
              </w:rPr>
            </w:pPr>
            <w:r>
              <w:rPr>
                <w:b/>
                <w:sz w:val="20"/>
              </w:rPr>
              <w:t>No units</w:t>
            </w:r>
          </w:p>
        </w:tc>
        <w:tc>
          <w:tcPr>
            <w:tcW w:w="937" w:type="dxa"/>
            <w:tcBorders>
              <w:top w:val="double" w:sz="4" w:space="0" w:color="auto"/>
              <w:bottom w:val="single" w:sz="4" w:space="0" w:color="auto"/>
            </w:tcBorders>
            <w:shd w:val="clear" w:color="auto" w:fill="D9D9D9" w:themeFill="background1" w:themeFillShade="D9"/>
          </w:tcPr>
          <w:p w14:paraId="53167F53" w14:textId="77777777" w:rsidR="00BC4B02" w:rsidRPr="00002BED" w:rsidRDefault="00BC4B02" w:rsidP="00512C09">
            <w:pPr>
              <w:rPr>
                <w:b/>
                <w:sz w:val="20"/>
              </w:rPr>
            </w:pPr>
            <w:r>
              <w:rPr>
                <w:b/>
                <w:sz w:val="20"/>
              </w:rPr>
              <w:t>Total cost</w:t>
            </w:r>
          </w:p>
        </w:tc>
        <w:tc>
          <w:tcPr>
            <w:tcW w:w="1290" w:type="dxa"/>
            <w:tcBorders>
              <w:top w:val="double" w:sz="4" w:space="0" w:color="auto"/>
              <w:bottom w:val="single" w:sz="4" w:space="0" w:color="auto"/>
            </w:tcBorders>
            <w:shd w:val="clear" w:color="auto" w:fill="D9D9D9" w:themeFill="background1" w:themeFillShade="D9"/>
          </w:tcPr>
          <w:p w14:paraId="211F833F" w14:textId="77777777" w:rsidR="00BC4B02" w:rsidRPr="00002BED" w:rsidRDefault="00BC4B02" w:rsidP="00BC4B02">
            <w:pPr>
              <w:ind w:left="360"/>
              <w:jc w:val="both"/>
              <w:rPr>
                <w:b/>
                <w:sz w:val="20"/>
              </w:rPr>
            </w:pPr>
            <w:r>
              <w:rPr>
                <w:b/>
                <w:sz w:val="20"/>
              </w:rPr>
              <w:t>Request from UNPRPD Fund</w:t>
            </w:r>
          </w:p>
        </w:tc>
        <w:tc>
          <w:tcPr>
            <w:tcW w:w="1290" w:type="dxa"/>
            <w:tcBorders>
              <w:top w:val="double" w:sz="4" w:space="0" w:color="auto"/>
              <w:bottom w:val="single" w:sz="4" w:space="0" w:color="auto"/>
            </w:tcBorders>
            <w:shd w:val="clear" w:color="auto" w:fill="D9D9D9" w:themeFill="background1" w:themeFillShade="D9"/>
          </w:tcPr>
          <w:p w14:paraId="50FAD789" w14:textId="77777777" w:rsidR="00BC4B02" w:rsidRPr="00002BED" w:rsidRDefault="00BC4B02" w:rsidP="00BC4B02">
            <w:pPr>
              <w:ind w:left="360"/>
              <w:jc w:val="both"/>
              <w:rPr>
                <w:b/>
                <w:sz w:val="20"/>
              </w:rPr>
            </w:pPr>
            <w:r>
              <w:rPr>
                <w:b/>
                <w:sz w:val="20"/>
              </w:rPr>
              <w:t>UNPRPD POs cost-sharing</w:t>
            </w:r>
          </w:p>
        </w:tc>
        <w:tc>
          <w:tcPr>
            <w:tcW w:w="1460" w:type="dxa"/>
            <w:tcBorders>
              <w:top w:val="double" w:sz="4" w:space="0" w:color="auto"/>
              <w:bottom w:val="double" w:sz="4" w:space="0" w:color="auto"/>
              <w:right w:val="double" w:sz="4" w:space="0" w:color="auto"/>
            </w:tcBorders>
            <w:shd w:val="clear" w:color="auto" w:fill="D9D9D9" w:themeFill="background1" w:themeFillShade="D9"/>
          </w:tcPr>
          <w:p w14:paraId="422B7FD5" w14:textId="77777777" w:rsidR="00BC4B02" w:rsidRPr="00002BED" w:rsidRDefault="00BC4B02" w:rsidP="00BC4B02">
            <w:pPr>
              <w:ind w:left="360"/>
              <w:jc w:val="both"/>
              <w:rPr>
                <w:b/>
                <w:sz w:val="20"/>
              </w:rPr>
            </w:pPr>
            <w:r>
              <w:rPr>
                <w:b/>
                <w:sz w:val="20"/>
              </w:rPr>
              <w:t>Other partners cost-sharing</w:t>
            </w:r>
          </w:p>
        </w:tc>
      </w:tr>
      <w:tr w:rsidR="0057688B" w:rsidRPr="00002BED" w14:paraId="5BD601E2" w14:textId="77777777" w:rsidTr="00512C09">
        <w:trPr>
          <w:trHeight w:val="492"/>
        </w:trPr>
        <w:tc>
          <w:tcPr>
            <w:tcW w:w="1403" w:type="dxa"/>
            <w:tcBorders>
              <w:top w:val="double" w:sz="4" w:space="0" w:color="auto"/>
              <w:left w:val="double" w:sz="4" w:space="0" w:color="auto"/>
              <w:bottom w:val="double" w:sz="4" w:space="0" w:color="FFFFFF" w:themeColor="background1"/>
            </w:tcBorders>
          </w:tcPr>
          <w:p w14:paraId="6F3058A7" w14:textId="6981129C" w:rsidR="00893902" w:rsidRPr="00002BED" w:rsidRDefault="00893902" w:rsidP="00893902">
            <w:pPr>
              <w:rPr>
                <w:b/>
                <w:sz w:val="20"/>
              </w:rPr>
            </w:pPr>
            <w:r>
              <w:rPr>
                <w:b/>
                <w:sz w:val="20"/>
              </w:rPr>
              <w:t xml:space="preserve">Staff and Personnel Costs </w:t>
            </w:r>
          </w:p>
        </w:tc>
        <w:tc>
          <w:tcPr>
            <w:tcW w:w="1559" w:type="dxa"/>
            <w:tcBorders>
              <w:top w:val="double" w:sz="4" w:space="0" w:color="auto"/>
              <w:bottom w:val="single" w:sz="4" w:space="0" w:color="auto"/>
              <w:right w:val="single" w:sz="4" w:space="0" w:color="auto"/>
            </w:tcBorders>
            <w:shd w:val="clear" w:color="auto" w:fill="auto"/>
          </w:tcPr>
          <w:p w14:paraId="437BFB00" w14:textId="73FD6134" w:rsidR="00893902" w:rsidRPr="0038149A" w:rsidRDefault="00893902" w:rsidP="00893902">
            <w:pPr>
              <w:ind w:left="-23"/>
              <w:rPr>
                <w:sz w:val="20"/>
                <w:szCs w:val="20"/>
              </w:rPr>
            </w:pPr>
            <w:r>
              <w:rPr>
                <w:sz w:val="20"/>
                <w:szCs w:val="20"/>
              </w:rPr>
              <w:t>IT expert</w:t>
            </w:r>
          </w:p>
        </w:tc>
        <w:tc>
          <w:tcPr>
            <w:tcW w:w="1134" w:type="dxa"/>
            <w:tcBorders>
              <w:top w:val="single" w:sz="4" w:space="0" w:color="auto"/>
              <w:left w:val="single" w:sz="4" w:space="0" w:color="auto"/>
              <w:bottom w:val="single" w:sz="4" w:space="0" w:color="auto"/>
              <w:right w:val="single" w:sz="4" w:space="0" w:color="auto"/>
            </w:tcBorders>
          </w:tcPr>
          <w:p w14:paraId="1F1FA404" w14:textId="2862D35D" w:rsidR="00893902" w:rsidRPr="00B600CB" w:rsidRDefault="00893902" w:rsidP="0057688B">
            <w:pPr>
              <w:rPr>
                <w:sz w:val="20"/>
              </w:rPr>
            </w:pPr>
            <w:r>
              <w:rPr>
                <w:sz w:val="20"/>
              </w:rPr>
              <w:t>7,</w:t>
            </w:r>
            <w:r w:rsidR="0057688B">
              <w:rPr>
                <w:sz w:val="20"/>
              </w:rPr>
              <w:t>971</w:t>
            </w:r>
            <w:r>
              <w:rPr>
                <w:sz w:val="20"/>
              </w:rPr>
              <w:t xml:space="preserve"> $ per month</w:t>
            </w:r>
          </w:p>
        </w:tc>
        <w:tc>
          <w:tcPr>
            <w:tcW w:w="992" w:type="dxa"/>
            <w:tcBorders>
              <w:top w:val="double" w:sz="4" w:space="0" w:color="auto"/>
              <w:left w:val="single" w:sz="4" w:space="0" w:color="auto"/>
              <w:bottom w:val="single" w:sz="4" w:space="0" w:color="auto"/>
              <w:right w:val="single" w:sz="4" w:space="0" w:color="auto"/>
            </w:tcBorders>
          </w:tcPr>
          <w:p w14:paraId="1BE3E61A" w14:textId="768D1A49" w:rsidR="00893902" w:rsidRPr="00B600CB" w:rsidRDefault="00893902" w:rsidP="00893902">
            <w:pPr>
              <w:rPr>
                <w:sz w:val="20"/>
              </w:rPr>
            </w:pPr>
            <w:r>
              <w:rPr>
                <w:sz w:val="20"/>
              </w:rPr>
              <w:t>2 months in 2021</w:t>
            </w:r>
          </w:p>
        </w:tc>
        <w:tc>
          <w:tcPr>
            <w:tcW w:w="937" w:type="dxa"/>
            <w:tcBorders>
              <w:top w:val="single" w:sz="4" w:space="0" w:color="auto"/>
              <w:left w:val="single" w:sz="4" w:space="0" w:color="auto"/>
              <w:bottom w:val="single" w:sz="4" w:space="0" w:color="auto"/>
              <w:right w:val="single" w:sz="4" w:space="0" w:color="auto"/>
            </w:tcBorders>
          </w:tcPr>
          <w:p w14:paraId="458AF090" w14:textId="6776B3BA" w:rsidR="00893902" w:rsidRDefault="0031489F" w:rsidP="00893902">
            <w:pPr>
              <w:spacing w:after="0" w:line="240" w:lineRule="auto"/>
              <w:rPr>
                <w:rFonts w:ascii="Calibri" w:hAnsi="Calibri" w:cs="Calibri"/>
                <w:b/>
                <w:bCs/>
                <w:color w:val="000000"/>
                <w:lang w:val="en-GB"/>
              </w:rPr>
            </w:pPr>
            <w:r>
              <w:rPr>
                <w:rFonts w:ascii="Calibri" w:hAnsi="Calibri" w:cs="Calibri"/>
                <w:b/>
                <w:bCs/>
                <w:color w:val="000000"/>
              </w:rPr>
              <w:t>15,</w:t>
            </w:r>
            <w:r w:rsidR="0057688B">
              <w:rPr>
                <w:rFonts w:ascii="Calibri" w:hAnsi="Calibri" w:cs="Calibri"/>
                <w:b/>
                <w:bCs/>
                <w:color w:val="000000"/>
              </w:rPr>
              <w:t>942</w:t>
            </w:r>
          </w:p>
          <w:p w14:paraId="10FF3336" w14:textId="6D7437C5" w:rsidR="00893902" w:rsidRPr="00B600CB" w:rsidRDefault="00893902" w:rsidP="00893902">
            <w:pPr>
              <w:rPr>
                <w:sz w:val="20"/>
              </w:rPr>
            </w:pPr>
          </w:p>
        </w:tc>
        <w:tc>
          <w:tcPr>
            <w:tcW w:w="1290" w:type="dxa"/>
            <w:tcBorders>
              <w:top w:val="single" w:sz="4" w:space="0" w:color="auto"/>
              <w:left w:val="single" w:sz="4" w:space="0" w:color="auto"/>
              <w:bottom w:val="single" w:sz="4" w:space="0" w:color="auto"/>
              <w:right w:val="single" w:sz="4" w:space="0" w:color="auto"/>
            </w:tcBorders>
          </w:tcPr>
          <w:p w14:paraId="0D011BFE" w14:textId="26F6A4D9" w:rsidR="00893902" w:rsidRDefault="0031489F" w:rsidP="00893902">
            <w:pPr>
              <w:spacing w:after="0" w:line="240" w:lineRule="auto"/>
              <w:jc w:val="both"/>
              <w:rPr>
                <w:rFonts w:ascii="Calibri" w:hAnsi="Calibri" w:cs="Calibri"/>
                <w:b/>
                <w:bCs/>
                <w:color w:val="000000"/>
                <w:lang w:val="en-GB"/>
              </w:rPr>
            </w:pPr>
            <w:r>
              <w:rPr>
                <w:rFonts w:ascii="Calibri" w:hAnsi="Calibri" w:cs="Calibri"/>
                <w:b/>
                <w:bCs/>
                <w:color w:val="000000"/>
              </w:rPr>
              <w:t>15,</w:t>
            </w:r>
            <w:r w:rsidR="0057688B">
              <w:rPr>
                <w:rFonts w:ascii="Calibri" w:hAnsi="Calibri" w:cs="Calibri"/>
                <w:b/>
                <w:bCs/>
                <w:color w:val="000000"/>
              </w:rPr>
              <w:t>942</w:t>
            </w:r>
          </w:p>
          <w:p w14:paraId="295C6833" w14:textId="4D31DD3C" w:rsidR="00893902" w:rsidRPr="00B600CB" w:rsidRDefault="00893902" w:rsidP="00893902">
            <w:pPr>
              <w:jc w:val="both"/>
              <w:rPr>
                <w:sz w:val="20"/>
              </w:rPr>
            </w:pPr>
          </w:p>
        </w:tc>
        <w:tc>
          <w:tcPr>
            <w:tcW w:w="1290" w:type="dxa"/>
            <w:tcBorders>
              <w:top w:val="single" w:sz="4" w:space="0" w:color="auto"/>
              <w:left w:val="single" w:sz="4" w:space="0" w:color="auto"/>
              <w:bottom w:val="single" w:sz="4" w:space="0" w:color="auto"/>
              <w:right w:val="single" w:sz="4" w:space="0" w:color="auto"/>
            </w:tcBorders>
          </w:tcPr>
          <w:p w14:paraId="59162E3D" w14:textId="2E6FABB8" w:rsidR="00893902" w:rsidRPr="00B600CB" w:rsidRDefault="00893902" w:rsidP="00893902">
            <w:pPr>
              <w:rPr>
                <w:sz w:val="20"/>
              </w:rPr>
            </w:pPr>
            <w:r w:rsidRPr="00B600CB">
              <w:rPr>
                <w:sz w:val="20"/>
              </w:rPr>
              <w:t>[…]</w:t>
            </w:r>
          </w:p>
        </w:tc>
        <w:tc>
          <w:tcPr>
            <w:tcW w:w="1460" w:type="dxa"/>
            <w:tcBorders>
              <w:top w:val="double" w:sz="4" w:space="0" w:color="auto"/>
              <w:left w:val="single" w:sz="4" w:space="0" w:color="auto"/>
              <w:bottom w:val="single" w:sz="4" w:space="0" w:color="auto"/>
              <w:right w:val="double" w:sz="4" w:space="0" w:color="auto"/>
            </w:tcBorders>
          </w:tcPr>
          <w:p w14:paraId="42F8BF77" w14:textId="1CFFC65E" w:rsidR="00893902" w:rsidRPr="00B600CB" w:rsidRDefault="00893902" w:rsidP="00893902">
            <w:pPr>
              <w:rPr>
                <w:sz w:val="20"/>
              </w:rPr>
            </w:pPr>
            <w:r w:rsidRPr="00B600CB">
              <w:rPr>
                <w:sz w:val="20"/>
              </w:rPr>
              <w:t>[…]</w:t>
            </w:r>
          </w:p>
        </w:tc>
      </w:tr>
      <w:tr w:rsidR="0057688B" w:rsidRPr="00002BED" w14:paraId="3FF4B0E5" w14:textId="77777777" w:rsidTr="00512C09">
        <w:trPr>
          <w:trHeight w:val="136"/>
        </w:trPr>
        <w:tc>
          <w:tcPr>
            <w:tcW w:w="1403" w:type="dxa"/>
            <w:tcBorders>
              <w:top w:val="double" w:sz="4" w:space="0" w:color="FFFFFF" w:themeColor="background1"/>
              <w:left w:val="double" w:sz="4" w:space="0" w:color="auto"/>
              <w:bottom w:val="double" w:sz="4" w:space="0" w:color="FFFFFF" w:themeColor="background1"/>
            </w:tcBorders>
          </w:tcPr>
          <w:p w14:paraId="3C132A25" w14:textId="6D846B72" w:rsidR="00893902" w:rsidRPr="00002BED" w:rsidRDefault="00893902" w:rsidP="00893902">
            <w:pPr>
              <w:ind w:left="360"/>
              <w:jc w:val="both"/>
              <w:rPr>
                <w:b/>
                <w:sz w:val="20"/>
              </w:rPr>
            </w:pPr>
          </w:p>
        </w:tc>
        <w:tc>
          <w:tcPr>
            <w:tcW w:w="1559" w:type="dxa"/>
            <w:tcBorders>
              <w:top w:val="single" w:sz="4" w:space="0" w:color="auto"/>
              <w:bottom w:val="single" w:sz="4" w:space="0" w:color="auto"/>
              <w:right w:val="single" w:sz="4" w:space="0" w:color="auto"/>
            </w:tcBorders>
            <w:shd w:val="clear" w:color="auto" w:fill="auto"/>
          </w:tcPr>
          <w:p w14:paraId="53EBFA27" w14:textId="4890F504" w:rsidR="00893902" w:rsidRPr="0038149A" w:rsidRDefault="00893902" w:rsidP="00893902">
            <w:pPr>
              <w:rPr>
                <w:sz w:val="20"/>
                <w:szCs w:val="20"/>
              </w:rPr>
            </w:pPr>
            <w:r>
              <w:rPr>
                <w:sz w:val="20"/>
                <w:szCs w:val="20"/>
              </w:rPr>
              <w:t>IT expert</w:t>
            </w:r>
          </w:p>
        </w:tc>
        <w:tc>
          <w:tcPr>
            <w:tcW w:w="1134" w:type="dxa"/>
            <w:tcBorders>
              <w:top w:val="single" w:sz="4" w:space="0" w:color="auto"/>
              <w:left w:val="single" w:sz="4" w:space="0" w:color="auto"/>
              <w:bottom w:val="single" w:sz="4" w:space="0" w:color="auto"/>
              <w:right w:val="single" w:sz="4" w:space="0" w:color="auto"/>
            </w:tcBorders>
          </w:tcPr>
          <w:p w14:paraId="1EE895B1" w14:textId="62C47A44" w:rsidR="00893902" w:rsidRPr="00B600CB" w:rsidRDefault="00893902" w:rsidP="0057688B">
            <w:pPr>
              <w:rPr>
                <w:sz w:val="20"/>
              </w:rPr>
            </w:pPr>
            <w:r>
              <w:rPr>
                <w:sz w:val="20"/>
              </w:rPr>
              <w:t>7,</w:t>
            </w:r>
            <w:r w:rsidR="0057688B">
              <w:rPr>
                <w:sz w:val="20"/>
              </w:rPr>
              <w:t>971</w:t>
            </w:r>
            <w:r>
              <w:rPr>
                <w:sz w:val="20"/>
              </w:rPr>
              <w:t xml:space="preserve"> $ per month</w:t>
            </w:r>
          </w:p>
        </w:tc>
        <w:tc>
          <w:tcPr>
            <w:tcW w:w="992" w:type="dxa"/>
            <w:tcBorders>
              <w:top w:val="single" w:sz="4" w:space="0" w:color="auto"/>
              <w:left w:val="single" w:sz="4" w:space="0" w:color="auto"/>
              <w:bottom w:val="single" w:sz="4" w:space="0" w:color="auto"/>
              <w:right w:val="single" w:sz="4" w:space="0" w:color="auto"/>
            </w:tcBorders>
          </w:tcPr>
          <w:p w14:paraId="5BC373E0" w14:textId="66D859BB" w:rsidR="00893902" w:rsidRPr="00B600CB" w:rsidRDefault="00893902" w:rsidP="00893902">
            <w:pPr>
              <w:rPr>
                <w:sz w:val="20"/>
              </w:rPr>
            </w:pPr>
            <w:proofErr w:type="gramStart"/>
            <w:r>
              <w:rPr>
                <w:sz w:val="20"/>
              </w:rPr>
              <w:t>1 month</w:t>
            </w:r>
            <w:proofErr w:type="gramEnd"/>
            <w:r>
              <w:rPr>
                <w:sz w:val="20"/>
              </w:rPr>
              <w:t xml:space="preserve"> contract in 2022</w:t>
            </w:r>
          </w:p>
        </w:tc>
        <w:tc>
          <w:tcPr>
            <w:tcW w:w="937" w:type="dxa"/>
            <w:tcBorders>
              <w:top w:val="single" w:sz="4" w:space="0" w:color="auto"/>
              <w:left w:val="single" w:sz="4" w:space="0" w:color="auto"/>
              <w:bottom w:val="single" w:sz="4" w:space="0" w:color="auto"/>
              <w:right w:val="single" w:sz="4" w:space="0" w:color="auto"/>
            </w:tcBorders>
          </w:tcPr>
          <w:p w14:paraId="444A1B1F" w14:textId="0B825018" w:rsidR="00893902" w:rsidRDefault="00893902" w:rsidP="00893902">
            <w:pPr>
              <w:spacing w:after="0" w:line="240" w:lineRule="auto"/>
              <w:rPr>
                <w:rFonts w:ascii="Calibri" w:hAnsi="Calibri" w:cs="Calibri"/>
                <w:b/>
                <w:bCs/>
                <w:color w:val="000000"/>
                <w:lang w:val="en-GB"/>
              </w:rPr>
            </w:pPr>
            <w:r>
              <w:rPr>
                <w:rFonts w:ascii="Calibri" w:hAnsi="Calibri" w:cs="Calibri"/>
                <w:b/>
                <w:bCs/>
                <w:color w:val="000000"/>
              </w:rPr>
              <w:t>7,</w:t>
            </w:r>
            <w:r w:rsidR="0057688B">
              <w:rPr>
                <w:rFonts w:ascii="Calibri" w:hAnsi="Calibri" w:cs="Calibri"/>
                <w:b/>
                <w:bCs/>
                <w:color w:val="000000"/>
              </w:rPr>
              <w:t>971</w:t>
            </w:r>
          </w:p>
          <w:p w14:paraId="74414AA3" w14:textId="6D4A640F" w:rsidR="00893902" w:rsidRPr="00B600CB" w:rsidRDefault="00893902" w:rsidP="00893902">
            <w:pPr>
              <w:rPr>
                <w:sz w:val="20"/>
              </w:rPr>
            </w:pPr>
          </w:p>
        </w:tc>
        <w:tc>
          <w:tcPr>
            <w:tcW w:w="1290" w:type="dxa"/>
            <w:tcBorders>
              <w:top w:val="single" w:sz="4" w:space="0" w:color="auto"/>
              <w:left w:val="single" w:sz="4" w:space="0" w:color="auto"/>
              <w:bottom w:val="single" w:sz="4" w:space="0" w:color="auto"/>
              <w:right w:val="single" w:sz="4" w:space="0" w:color="auto"/>
            </w:tcBorders>
          </w:tcPr>
          <w:p w14:paraId="345EDEA2" w14:textId="43A85E87" w:rsidR="00893902" w:rsidRDefault="0031489F" w:rsidP="00893902">
            <w:pPr>
              <w:spacing w:after="0" w:line="240" w:lineRule="auto"/>
              <w:jc w:val="both"/>
              <w:rPr>
                <w:rFonts w:ascii="Calibri" w:hAnsi="Calibri" w:cs="Calibri"/>
                <w:b/>
                <w:bCs/>
                <w:color w:val="000000"/>
                <w:lang w:val="en-GB"/>
              </w:rPr>
            </w:pPr>
            <w:r>
              <w:rPr>
                <w:rFonts w:ascii="Calibri" w:hAnsi="Calibri" w:cs="Calibri"/>
                <w:b/>
                <w:bCs/>
                <w:color w:val="000000"/>
              </w:rPr>
              <w:t>7,</w:t>
            </w:r>
            <w:r w:rsidR="0057688B">
              <w:rPr>
                <w:rFonts w:ascii="Calibri" w:hAnsi="Calibri" w:cs="Calibri"/>
                <w:b/>
                <w:bCs/>
                <w:color w:val="000000"/>
              </w:rPr>
              <w:t>971</w:t>
            </w:r>
          </w:p>
          <w:p w14:paraId="07D94F7F" w14:textId="7E9BA6E7" w:rsidR="00893902" w:rsidRPr="00B600CB" w:rsidRDefault="00893902" w:rsidP="00893902">
            <w:pPr>
              <w:jc w:val="both"/>
              <w:rPr>
                <w:sz w:val="20"/>
              </w:rPr>
            </w:pPr>
          </w:p>
        </w:tc>
        <w:tc>
          <w:tcPr>
            <w:tcW w:w="1290" w:type="dxa"/>
            <w:tcBorders>
              <w:top w:val="single" w:sz="4" w:space="0" w:color="auto"/>
              <w:left w:val="single" w:sz="4" w:space="0" w:color="auto"/>
              <w:bottom w:val="single" w:sz="4" w:space="0" w:color="auto"/>
              <w:right w:val="single" w:sz="4" w:space="0" w:color="auto"/>
            </w:tcBorders>
          </w:tcPr>
          <w:p w14:paraId="36CB6D6A" w14:textId="77777777" w:rsidR="00893902" w:rsidRPr="00B600CB" w:rsidRDefault="00893902" w:rsidP="00893902">
            <w:pPr>
              <w:rPr>
                <w:sz w:val="20"/>
              </w:rPr>
            </w:pPr>
            <w:r w:rsidRPr="00B600CB">
              <w:rPr>
                <w:sz w:val="20"/>
              </w:rPr>
              <w:t>[…]</w:t>
            </w:r>
          </w:p>
        </w:tc>
        <w:tc>
          <w:tcPr>
            <w:tcW w:w="1460" w:type="dxa"/>
            <w:tcBorders>
              <w:top w:val="single" w:sz="4" w:space="0" w:color="auto"/>
              <w:left w:val="single" w:sz="4" w:space="0" w:color="auto"/>
              <w:bottom w:val="single" w:sz="4" w:space="0" w:color="auto"/>
              <w:right w:val="double" w:sz="4" w:space="0" w:color="auto"/>
            </w:tcBorders>
          </w:tcPr>
          <w:p w14:paraId="353150C7" w14:textId="77777777" w:rsidR="00893902" w:rsidRPr="00B600CB" w:rsidRDefault="00893902" w:rsidP="00893902">
            <w:pPr>
              <w:rPr>
                <w:sz w:val="20"/>
              </w:rPr>
            </w:pPr>
            <w:r w:rsidRPr="00B600CB">
              <w:rPr>
                <w:sz w:val="20"/>
              </w:rPr>
              <w:t>[…]</w:t>
            </w:r>
          </w:p>
        </w:tc>
      </w:tr>
      <w:tr w:rsidR="0057688B" w:rsidRPr="00002BED" w14:paraId="73C26969" w14:textId="77777777" w:rsidTr="00512C09">
        <w:tc>
          <w:tcPr>
            <w:tcW w:w="1403" w:type="dxa"/>
            <w:tcBorders>
              <w:top w:val="double" w:sz="4" w:space="0" w:color="auto"/>
              <w:left w:val="double" w:sz="4" w:space="0" w:color="auto"/>
              <w:bottom w:val="single" w:sz="4" w:space="0" w:color="FFFFFF" w:themeColor="background1"/>
            </w:tcBorders>
          </w:tcPr>
          <w:p w14:paraId="14938812" w14:textId="77777777" w:rsidR="00893902" w:rsidRPr="00002BED" w:rsidRDefault="00893902" w:rsidP="00893902">
            <w:pPr>
              <w:rPr>
                <w:b/>
                <w:sz w:val="20"/>
              </w:rPr>
            </w:pPr>
            <w:r>
              <w:rPr>
                <w:b/>
                <w:sz w:val="20"/>
              </w:rPr>
              <w:t>Contractual Services</w:t>
            </w:r>
          </w:p>
        </w:tc>
        <w:tc>
          <w:tcPr>
            <w:tcW w:w="1559" w:type="dxa"/>
            <w:tcBorders>
              <w:top w:val="double" w:sz="4" w:space="0" w:color="auto"/>
            </w:tcBorders>
          </w:tcPr>
          <w:p w14:paraId="7AD7D7FA" w14:textId="5910FE70" w:rsidR="00893902" w:rsidRPr="0038149A" w:rsidRDefault="00893902" w:rsidP="00893902">
            <w:pPr>
              <w:rPr>
                <w:sz w:val="20"/>
                <w:szCs w:val="20"/>
              </w:rPr>
            </w:pPr>
            <w:r w:rsidRPr="004C3332">
              <w:rPr>
                <w:sz w:val="20"/>
                <w:szCs w:val="20"/>
              </w:rPr>
              <w:t>Consultant to draft the Practical Guide</w:t>
            </w:r>
            <w:r w:rsidRPr="004C3332" w:rsidDel="004C3332">
              <w:rPr>
                <w:sz w:val="20"/>
                <w:szCs w:val="20"/>
              </w:rPr>
              <w:t xml:space="preserve"> </w:t>
            </w:r>
          </w:p>
        </w:tc>
        <w:tc>
          <w:tcPr>
            <w:tcW w:w="1134" w:type="dxa"/>
            <w:tcBorders>
              <w:top w:val="double" w:sz="4" w:space="0" w:color="auto"/>
            </w:tcBorders>
          </w:tcPr>
          <w:p w14:paraId="45858FED" w14:textId="5829511F" w:rsidR="00893902" w:rsidRPr="00512C09" w:rsidRDefault="00893902" w:rsidP="0057688B">
            <w:pPr>
              <w:rPr>
                <w:sz w:val="20"/>
              </w:rPr>
            </w:pPr>
            <w:r>
              <w:rPr>
                <w:sz w:val="20"/>
              </w:rPr>
              <w:t>7,</w:t>
            </w:r>
            <w:r w:rsidR="0057688B">
              <w:rPr>
                <w:sz w:val="20"/>
              </w:rPr>
              <w:t>971</w:t>
            </w:r>
            <w:r>
              <w:rPr>
                <w:sz w:val="20"/>
              </w:rPr>
              <w:t xml:space="preserve"> $ per month </w:t>
            </w:r>
          </w:p>
        </w:tc>
        <w:tc>
          <w:tcPr>
            <w:tcW w:w="992" w:type="dxa"/>
            <w:tcBorders>
              <w:top w:val="double" w:sz="4" w:space="0" w:color="auto"/>
            </w:tcBorders>
          </w:tcPr>
          <w:p w14:paraId="2FEF458D" w14:textId="6EF39BA7" w:rsidR="00893902" w:rsidRPr="0038149A" w:rsidRDefault="00893902" w:rsidP="00893902">
            <w:pPr>
              <w:rPr>
                <w:sz w:val="20"/>
                <w:szCs w:val="20"/>
              </w:rPr>
            </w:pPr>
            <w:r>
              <w:rPr>
                <w:sz w:val="20"/>
              </w:rPr>
              <w:t>3 months contract in 2020</w:t>
            </w:r>
          </w:p>
        </w:tc>
        <w:tc>
          <w:tcPr>
            <w:tcW w:w="937" w:type="dxa"/>
            <w:tcBorders>
              <w:top w:val="double" w:sz="4" w:space="0" w:color="auto"/>
            </w:tcBorders>
          </w:tcPr>
          <w:p w14:paraId="2293BE48" w14:textId="760B1C0B" w:rsidR="00893902" w:rsidRPr="0057688B" w:rsidRDefault="00893902" w:rsidP="00893902">
            <w:pPr>
              <w:spacing w:after="0" w:line="240" w:lineRule="auto"/>
              <w:rPr>
                <w:rFonts w:ascii="Calibri" w:hAnsi="Calibri" w:cs="Calibri"/>
                <w:b/>
                <w:bCs/>
                <w:color w:val="000000"/>
                <w:lang w:val="en-GB"/>
              </w:rPr>
            </w:pPr>
            <w:r w:rsidRPr="0057688B">
              <w:rPr>
                <w:rFonts w:ascii="Calibri" w:hAnsi="Calibri" w:cs="Calibri"/>
                <w:b/>
                <w:bCs/>
                <w:color w:val="000000"/>
              </w:rPr>
              <w:t>2</w:t>
            </w:r>
            <w:r w:rsidR="0057688B" w:rsidRPr="0057688B">
              <w:rPr>
                <w:rFonts w:ascii="Calibri" w:hAnsi="Calibri" w:cs="Calibri"/>
                <w:b/>
                <w:bCs/>
                <w:color w:val="000000"/>
              </w:rPr>
              <w:t>3,913</w:t>
            </w:r>
          </w:p>
          <w:p w14:paraId="094BEC85" w14:textId="2E4EEEBF" w:rsidR="00893902" w:rsidRPr="0057688B" w:rsidRDefault="00893902" w:rsidP="00893902">
            <w:pPr>
              <w:rPr>
                <w:sz w:val="20"/>
                <w:szCs w:val="20"/>
              </w:rPr>
            </w:pPr>
          </w:p>
        </w:tc>
        <w:tc>
          <w:tcPr>
            <w:tcW w:w="1290" w:type="dxa"/>
            <w:tcBorders>
              <w:top w:val="double" w:sz="4" w:space="0" w:color="auto"/>
            </w:tcBorders>
          </w:tcPr>
          <w:p w14:paraId="45503FC4" w14:textId="2171DE2F" w:rsidR="00893902" w:rsidRPr="0057688B" w:rsidRDefault="0057688B" w:rsidP="00893902">
            <w:pPr>
              <w:spacing w:after="0" w:line="240" w:lineRule="auto"/>
              <w:jc w:val="both"/>
              <w:rPr>
                <w:rFonts w:ascii="Calibri" w:hAnsi="Calibri" w:cs="Calibri"/>
                <w:b/>
                <w:bCs/>
                <w:color w:val="000000"/>
                <w:lang w:val="en-GB"/>
              </w:rPr>
            </w:pPr>
            <w:r w:rsidRPr="0057688B">
              <w:rPr>
                <w:rFonts w:ascii="Calibri" w:hAnsi="Calibri" w:cs="Calibri"/>
                <w:b/>
                <w:bCs/>
                <w:color w:val="000000"/>
              </w:rPr>
              <w:t>23,913</w:t>
            </w:r>
          </w:p>
          <w:p w14:paraId="40BD69EE" w14:textId="368FCA4A" w:rsidR="00893902" w:rsidRPr="0057688B" w:rsidRDefault="00893902" w:rsidP="00893902">
            <w:pPr>
              <w:jc w:val="both"/>
              <w:rPr>
                <w:sz w:val="20"/>
                <w:szCs w:val="20"/>
              </w:rPr>
            </w:pPr>
          </w:p>
        </w:tc>
        <w:tc>
          <w:tcPr>
            <w:tcW w:w="1290" w:type="dxa"/>
            <w:tcBorders>
              <w:top w:val="double" w:sz="4" w:space="0" w:color="auto"/>
            </w:tcBorders>
          </w:tcPr>
          <w:p w14:paraId="3D95B178" w14:textId="7FC4DB9F" w:rsidR="00893902" w:rsidRPr="0038149A" w:rsidRDefault="00893902" w:rsidP="00893902">
            <w:pPr>
              <w:rPr>
                <w:sz w:val="20"/>
                <w:szCs w:val="20"/>
              </w:rPr>
            </w:pPr>
            <w:r w:rsidRPr="00B600CB">
              <w:rPr>
                <w:sz w:val="20"/>
              </w:rPr>
              <w:t>[…]</w:t>
            </w:r>
          </w:p>
        </w:tc>
        <w:tc>
          <w:tcPr>
            <w:tcW w:w="1460" w:type="dxa"/>
            <w:tcBorders>
              <w:top w:val="double" w:sz="4" w:space="0" w:color="auto"/>
              <w:right w:val="double" w:sz="4" w:space="0" w:color="auto"/>
            </w:tcBorders>
          </w:tcPr>
          <w:p w14:paraId="32C6128D" w14:textId="78F2E89E" w:rsidR="00893902" w:rsidRPr="0038149A" w:rsidRDefault="00893902" w:rsidP="00893902">
            <w:pPr>
              <w:rPr>
                <w:sz w:val="20"/>
                <w:szCs w:val="20"/>
              </w:rPr>
            </w:pPr>
            <w:r w:rsidRPr="00B600CB">
              <w:rPr>
                <w:sz w:val="20"/>
              </w:rPr>
              <w:t>[…]</w:t>
            </w:r>
          </w:p>
        </w:tc>
      </w:tr>
      <w:tr w:rsidR="0057688B" w:rsidRPr="00002BED" w14:paraId="68A15F63" w14:textId="77777777" w:rsidTr="00512C09">
        <w:trPr>
          <w:trHeight w:val="1163"/>
        </w:trPr>
        <w:tc>
          <w:tcPr>
            <w:tcW w:w="1403" w:type="dxa"/>
            <w:tcBorders>
              <w:top w:val="single" w:sz="4" w:space="0" w:color="FFFFFF" w:themeColor="background1"/>
              <w:left w:val="double" w:sz="4" w:space="0" w:color="auto"/>
              <w:bottom w:val="single" w:sz="4" w:space="0" w:color="FFFFFF" w:themeColor="background1"/>
            </w:tcBorders>
          </w:tcPr>
          <w:p w14:paraId="0452D836" w14:textId="77777777" w:rsidR="00893902" w:rsidRPr="00002BED" w:rsidRDefault="00893902" w:rsidP="00893902">
            <w:pPr>
              <w:ind w:left="360"/>
              <w:jc w:val="both"/>
              <w:rPr>
                <w:b/>
                <w:sz w:val="20"/>
              </w:rPr>
            </w:pPr>
          </w:p>
        </w:tc>
        <w:tc>
          <w:tcPr>
            <w:tcW w:w="1559" w:type="dxa"/>
          </w:tcPr>
          <w:p w14:paraId="793D34DA" w14:textId="49DE947A" w:rsidR="00893902" w:rsidRPr="0038149A" w:rsidRDefault="00893902" w:rsidP="00893902">
            <w:pPr>
              <w:rPr>
                <w:sz w:val="20"/>
                <w:szCs w:val="20"/>
              </w:rPr>
            </w:pPr>
            <w:r w:rsidRPr="004C3332">
              <w:rPr>
                <w:sz w:val="20"/>
                <w:szCs w:val="20"/>
              </w:rPr>
              <w:t>Consultant to draft the Practical Guide</w:t>
            </w:r>
          </w:p>
        </w:tc>
        <w:tc>
          <w:tcPr>
            <w:tcW w:w="1134" w:type="dxa"/>
          </w:tcPr>
          <w:p w14:paraId="3C2199F7" w14:textId="1B36C7DD" w:rsidR="00893902" w:rsidRPr="0038149A" w:rsidRDefault="00893902" w:rsidP="0057688B">
            <w:pPr>
              <w:rPr>
                <w:sz w:val="20"/>
                <w:szCs w:val="20"/>
              </w:rPr>
            </w:pPr>
            <w:r>
              <w:rPr>
                <w:sz w:val="20"/>
              </w:rPr>
              <w:t>7,</w:t>
            </w:r>
            <w:r w:rsidR="0057688B">
              <w:rPr>
                <w:sz w:val="20"/>
              </w:rPr>
              <w:t>971</w:t>
            </w:r>
            <w:r>
              <w:rPr>
                <w:sz w:val="20"/>
              </w:rPr>
              <w:t xml:space="preserve"> $ per month</w:t>
            </w:r>
          </w:p>
        </w:tc>
        <w:tc>
          <w:tcPr>
            <w:tcW w:w="992" w:type="dxa"/>
          </w:tcPr>
          <w:p w14:paraId="701C5B7D" w14:textId="244811DA" w:rsidR="00893902" w:rsidRPr="0038149A" w:rsidRDefault="00893902" w:rsidP="00893902">
            <w:pPr>
              <w:rPr>
                <w:sz w:val="20"/>
                <w:szCs w:val="20"/>
              </w:rPr>
            </w:pPr>
            <w:proofErr w:type="gramStart"/>
            <w:r>
              <w:rPr>
                <w:sz w:val="20"/>
              </w:rPr>
              <w:t>1 month</w:t>
            </w:r>
            <w:proofErr w:type="gramEnd"/>
            <w:r>
              <w:rPr>
                <w:sz w:val="20"/>
              </w:rPr>
              <w:t xml:space="preserve"> contract in 2021</w:t>
            </w:r>
          </w:p>
        </w:tc>
        <w:tc>
          <w:tcPr>
            <w:tcW w:w="937" w:type="dxa"/>
          </w:tcPr>
          <w:p w14:paraId="4A4B71F1" w14:textId="0BD7D13D" w:rsidR="00893902" w:rsidRPr="0057688B" w:rsidRDefault="0031489F" w:rsidP="00893902">
            <w:pPr>
              <w:spacing w:after="0" w:line="240" w:lineRule="auto"/>
              <w:rPr>
                <w:rFonts w:ascii="Calibri" w:hAnsi="Calibri" w:cs="Calibri"/>
                <w:b/>
                <w:bCs/>
                <w:color w:val="000000"/>
                <w:lang w:val="en-GB"/>
              </w:rPr>
            </w:pPr>
            <w:r w:rsidRPr="0057688B">
              <w:rPr>
                <w:rFonts w:ascii="Calibri" w:hAnsi="Calibri" w:cs="Calibri"/>
                <w:b/>
                <w:bCs/>
                <w:color w:val="000000"/>
              </w:rPr>
              <w:t>7,</w:t>
            </w:r>
            <w:r w:rsidR="0057688B" w:rsidRPr="0057688B">
              <w:rPr>
                <w:rFonts w:ascii="Calibri" w:hAnsi="Calibri" w:cs="Calibri"/>
                <w:b/>
                <w:bCs/>
                <w:color w:val="000000"/>
              </w:rPr>
              <w:t>971</w:t>
            </w:r>
          </w:p>
          <w:p w14:paraId="0AEEC48C" w14:textId="0DB6B47B" w:rsidR="00893902" w:rsidRPr="0057688B" w:rsidRDefault="00893902" w:rsidP="00893902">
            <w:pPr>
              <w:rPr>
                <w:sz w:val="20"/>
                <w:szCs w:val="20"/>
              </w:rPr>
            </w:pPr>
          </w:p>
        </w:tc>
        <w:tc>
          <w:tcPr>
            <w:tcW w:w="1290" w:type="dxa"/>
          </w:tcPr>
          <w:p w14:paraId="68686ECA" w14:textId="6DF1CA88" w:rsidR="00893902" w:rsidRPr="0057688B" w:rsidRDefault="0031489F" w:rsidP="00893902">
            <w:pPr>
              <w:spacing w:after="0" w:line="240" w:lineRule="auto"/>
              <w:jc w:val="both"/>
              <w:rPr>
                <w:rFonts w:ascii="Calibri" w:hAnsi="Calibri" w:cs="Calibri"/>
                <w:b/>
                <w:bCs/>
                <w:color w:val="000000"/>
                <w:lang w:val="en-GB"/>
              </w:rPr>
            </w:pPr>
            <w:r w:rsidRPr="0057688B">
              <w:rPr>
                <w:rFonts w:ascii="Calibri" w:hAnsi="Calibri" w:cs="Calibri"/>
                <w:b/>
                <w:bCs/>
                <w:color w:val="000000"/>
              </w:rPr>
              <w:t>7,</w:t>
            </w:r>
            <w:r w:rsidR="0057688B" w:rsidRPr="0057688B">
              <w:rPr>
                <w:rFonts w:ascii="Calibri" w:hAnsi="Calibri" w:cs="Calibri"/>
                <w:b/>
                <w:bCs/>
                <w:color w:val="000000"/>
              </w:rPr>
              <w:t>971</w:t>
            </w:r>
          </w:p>
          <w:p w14:paraId="04F6E556" w14:textId="32AB1599" w:rsidR="00893902" w:rsidRPr="0057688B" w:rsidRDefault="00893902" w:rsidP="00893902">
            <w:pPr>
              <w:jc w:val="both"/>
              <w:rPr>
                <w:sz w:val="20"/>
                <w:szCs w:val="20"/>
              </w:rPr>
            </w:pPr>
          </w:p>
        </w:tc>
        <w:tc>
          <w:tcPr>
            <w:tcW w:w="1290" w:type="dxa"/>
          </w:tcPr>
          <w:p w14:paraId="0EC8C9BF" w14:textId="77777777" w:rsidR="00893902" w:rsidRPr="0038149A" w:rsidRDefault="00893902" w:rsidP="00893902">
            <w:pPr>
              <w:rPr>
                <w:sz w:val="20"/>
                <w:szCs w:val="20"/>
              </w:rPr>
            </w:pPr>
            <w:r w:rsidRPr="0038149A">
              <w:rPr>
                <w:sz w:val="20"/>
                <w:szCs w:val="20"/>
              </w:rPr>
              <w:t>[…]</w:t>
            </w:r>
          </w:p>
        </w:tc>
        <w:tc>
          <w:tcPr>
            <w:tcW w:w="1460" w:type="dxa"/>
            <w:tcBorders>
              <w:right w:val="double" w:sz="4" w:space="0" w:color="auto"/>
            </w:tcBorders>
          </w:tcPr>
          <w:p w14:paraId="47F04C06" w14:textId="77777777" w:rsidR="00893902" w:rsidRPr="0038149A" w:rsidRDefault="00893902" w:rsidP="00893902">
            <w:pPr>
              <w:rPr>
                <w:sz w:val="20"/>
                <w:szCs w:val="20"/>
              </w:rPr>
            </w:pPr>
            <w:r w:rsidRPr="0038149A">
              <w:rPr>
                <w:sz w:val="20"/>
                <w:szCs w:val="20"/>
              </w:rPr>
              <w:t>[…]</w:t>
            </w:r>
          </w:p>
        </w:tc>
      </w:tr>
      <w:tr w:rsidR="0057688B" w:rsidRPr="00002BED" w14:paraId="78573CCD" w14:textId="77777777" w:rsidTr="00512C09">
        <w:trPr>
          <w:trHeight w:val="1961"/>
        </w:trPr>
        <w:tc>
          <w:tcPr>
            <w:tcW w:w="1403" w:type="dxa"/>
            <w:tcBorders>
              <w:top w:val="single" w:sz="4" w:space="0" w:color="FFFFFF" w:themeColor="background1"/>
              <w:left w:val="double" w:sz="4" w:space="0" w:color="auto"/>
              <w:bottom w:val="single" w:sz="4" w:space="0" w:color="FFFFFF" w:themeColor="background1"/>
            </w:tcBorders>
          </w:tcPr>
          <w:p w14:paraId="7075E100" w14:textId="77777777" w:rsidR="00893902" w:rsidRPr="00002BED" w:rsidRDefault="00893902" w:rsidP="00893902">
            <w:pPr>
              <w:ind w:left="360"/>
              <w:jc w:val="both"/>
              <w:rPr>
                <w:b/>
                <w:sz w:val="20"/>
              </w:rPr>
            </w:pPr>
          </w:p>
        </w:tc>
        <w:tc>
          <w:tcPr>
            <w:tcW w:w="1559" w:type="dxa"/>
          </w:tcPr>
          <w:p w14:paraId="7545AA9E" w14:textId="6583E5FF" w:rsidR="00893902" w:rsidRPr="004C3332" w:rsidRDefault="00893902" w:rsidP="00893902">
            <w:pPr>
              <w:rPr>
                <w:sz w:val="20"/>
                <w:szCs w:val="20"/>
              </w:rPr>
            </w:pPr>
            <w:r w:rsidRPr="003B1F18">
              <w:rPr>
                <w:sz w:val="20"/>
                <w:szCs w:val="20"/>
              </w:rPr>
              <w:t>ITC ILO Guide edi</w:t>
            </w:r>
            <w:r>
              <w:rPr>
                <w:sz w:val="20"/>
                <w:szCs w:val="20"/>
              </w:rPr>
              <w:t xml:space="preserve">ting and designing in English </w:t>
            </w:r>
          </w:p>
        </w:tc>
        <w:tc>
          <w:tcPr>
            <w:tcW w:w="1134" w:type="dxa"/>
          </w:tcPr>
          <w:p w14:paraId="0CAF65B7" w14:textId="635CBEB6" w:rsidR="00893902" w:rsidRDefault="00893902" w:rsidP="0057688B">
            <w:pPr>
              <w:rPr>
                <w:sz w:val="20"/>
              </w:rPr>
            </w:pPr>
            <w:r>
              <w:rPr>
                <w:sz w:val="20"/>
              </w:rPr>
              <w:t>1</w:t>
            </w:r>
            <w:r w:rsidR="0057688B">
              <w:rPr>
                <w:sz w:val="20"/>
              </w:rPr>
              <w:t>4,310</w:t>
            </w:r>
            <w:r>
              <w:rPr>
                <w:sz w:val="20"/>
              </w:rPr>
              <w:t xml:space="preserve"> $</w:t>
            </w:r>
          </w:p>
        </w:tc>
        <w:tc>
          <w:tcPr>
            <w:tcW w:w="992" w:type="dxa"/>
          </w:tcPr>
          <w:p w14:paraId="3FDDC9C3" w14:textId="483221F0" w:rsidR="00893902" w:rsidRDefault="00893902" w:rsidP="0057688B">
            <w:pPr>
              <w:rPr>
                <w:sz w:val="20"/>
              </w:rPr>
            </w:pPr>
            <w:r w:rsidRPr="003B1F18">
              <w:rPr>
                <w:sz w:val="20"/>
                <w:szCs w:val="20"/>
              </w:rPr>
              <w:t>30,000 words (0.</w:t>
            </w:r>
            <w:r w:rsidR="0057688B">
              <w:rPr>
                <w:sz w:val="20"/>
                <w:szCs w:val="20"/>
              </w:rPr>
              <w:t>45</w:t>
            </w:r>
            <w:r w:rsidRPr="003B1F18">
              <w:rPr>
                <w:sz w:val="20"/>
                <w:szCs w:val="20"/>
              </w:rPr>
              <w:t xml:space="preserve"> $ per word)</w:t>
            </w:r>
          </w:p>
        </w:tc>
        <w:tc>
          <w:tcPr>
            <w:tcW w:w="937" w:type="dxa"/>
          </w:tcPr>
          <w:p w14:paraId="21163C6D" w14:textId="30D4DE7C" w:rsidR="00893902" w:rsidRPr="0057688B" w:rsidRDefault="0057688B" w:rsidP="00893902">
            <w:pPr>
              <w:spacing w:after="0" w:line="240" w:lineRule="auto"/>
              <w:rPr>
                <w:rFonts w:ascii="Calibri" w:hAnsi="Calibri" w:cs="Calibri"/>
                <w:b/>
                <w:bCs/>
                <w:color w:val="000000"/>
                <w:lang w:val="en-GB"/>
              </w:rPr>
            </w:pPr>
            <w:r w:rsidRPr="0057688B">
              <w:rPr>
                <w:rFonts w:ascii="Calibri" w:hAnsi="Calibri" w:cs="Calibri"/>
                <w:b/>
                <w:bCs/>
                <w:color w:val="000000"/>
              </w:rPr>
              <w:t>14,310</w:t>
            </w:r>
          </w:p>
          <w:p w14:paraId="3A922517" w14:textId="640CF281" w:rsidR="00893902" w:rsidRPr="0057688B" w:rsidRDefault="00893902" w:rsidP="00893902">
            <w:pPr>
              <w:rPr>
                <w:sz w:val="20"/>
                <w:szCs w:val="20"/>
              </w:rPr>
            </w:pPr>
          </w:p>
        </w:tc>
        <w:tc>
          <w:tcPr>
            <w:tcW w:w="1290" w:type="dxa"/>
          </w:tcPr>
          <w:p w14:paraId="06DB6E62" w14:textId="4B7885B3" w:rsidR="00893902" w:rsidRPr="0057688B" w:rsidRDefault="0031489F" w:rsidP="00893902">
            <w:pPr>
              <w:spacing w:after="0" w:line="240" w:lineRule="auto"/>
              <w:jc w:val="both"/>
              <w:rPr>
                <w:rFonts w:ascii="Calibri" w:hAnsi="Calibri" w:cs="Calibri"/>
                <w:b/>
                <w:bCs/>
                <w:color w:val="000000"/>
                <w:lang w:val="en-GB"/>
              </w:rPr>
            </w:pPr>
            <w:r w:rsidRPr="0057688B">
              <w:rPr>
                <w:rFonts w:ascii="Calibri" w:hAnsi="Calibri" w:cs="Calibri"/>
                <w:b/>
                <w:bCs/>
                <w:color w:val="000000"/>
              </w:rPr>
              <w:t>1</w:t>
            </w:r>
            <w:r w:rsidR="0057688B" w:rsidRPr="0057688B">
              <w:rPr>
                <w:rFonts w:ascii="Calibri" w:hAnsi="Calibri" w:cs="Calibri"/>
                <w:b/>
                <w:bCs/>
                <w:color w:val="000000"/>
              </w:rPr>
              <w:t>4,310</w:t>
            </w:r>
          </w:p>
          <w:p w14:paraId="13A5C8BD" w14:textId="096F1DEB" w:rsidR="00893902" w:rsidRPr="0057688B" w:rsidRDefault="00893902" w:rsidP="00893902">
            <w:pPr>
              <w:jc w:val="both"/>
              <w:rPr>
                <w:sz w:val="20"/>
                <w:szCs w:val="20"/>
              </w:rPr>
            </w:pPr>
          </w:p>
        </w:tc>
        <w:tc>
          <w:tcPr>
            <w:tcW w:w="1290" w:type="dxa"/>
          </w:tcPr>
          <w:p w14:paraId="5A12A4EB" w14:textId="134ACF48" w:rsidR="00893902" w:rsidRPr="0038149A" w:rsidRDefault="00893902" w:rsidP="00893902">
            <w:pPr>
              <w:rPr>
                <w:sz w:val="20"/>
                <w:szCs w:val="20"/>
              </w:rPr>
            </w:pPr>
            <w:r w:rsidRPr="0038149A">
              <w:rPr>
                <w:sz w:val="20"/>
                <w:szCs w:val="20"/>
              </w:rPr>
              <w:t>[…]</w:t>
            </w:r>
          </w:p>
        </w:tc>
        <w:tc>
          <w:tcPr>
            <w:tcW w:w="1460" w:type="dxa"/>
            <w:tcBorders>
              <w:right w:val="double" w:sz="4" w:space="0" w:color="auto"/>
            </w:tcBorders>
          </w:tcPr>
          <w:p w14:paraId="184DB64C" w14:textId="3460279A" w:rsidR="00893902" w:rsidRPr="0038149A" w:rsidRDefault="00893902" w:rsidP="00893902">
            <w:pPr>
              <w:rPr>
                <w:sz w:val="20"/>
                <w:szCs w:val="20"/>
              </w:rPr>
            </w:pPr>
            <w:r w:rsidRPr="0038149A">
              <w:rPr>
                <w:sz w:val="20"/>
                <w:szCs w:val="20"/>
              </w:rPr>
              <w:t>[…]</w:t>
            </w:r>
          </w:p>
        </w:tc>
      </w:tr>
      <w:tr w:rsidR="0057688B" w:rsidRPr="00002BED" w14:paraId="76280C61" w14:textId="77777777" w:rsidTr="00512C09">
        <w:tc>
          <w:tcPr>
            <w:tcW w:w="1403" w:type="dxa"/>
            <w:tcBorders>
              <w:top w:val="single" w:sz="4" w:space="0" w:color="FFFFFF" w:themeColor="background1"/>
              <w:left w:val="double" w:sz="4" w:space="0" w:color="auto"/>
              <w:bottom w:val="single" w:sz="4" w:space="0" w:color="FFFFFF" w:themeColor="background1"/>
            </w:tcBorders>
          </w:tcPr>
          <w:p w14:paraId="11D557AC" w14:textId="77777777" w:rsidR="00893902" w:rsidRPr="00002BED" w:rsidRDefault="00893902" w:rsidP="00893902">
            <w:pPr>
              <w:ind w:left="360"/>
              <w:jc w:val="both"/>
              <w:rPr>
                <w:b/>
                <w:sz w:val="20"/>
              </w:rPr>
            </w:pPr>
          </w:p>
        </w:tc>
        <w:tc>
          <w:tcPr>
            <w:tcW w:w="1559" w:type="dxa"/>
          </w:tcPr>
          <w:p w14:paraId="40911AE1" w14:textId="75D79547" w:rsidR="00893902" w:rsidRPr="0038149A" w:rsidRDefault="00893902" w:rsidP="00893902">
            <w:pPr>
              <w:rPr>
                <w:sz w:val="20"/>
                <w:szCs w:val="20"/>
              </w:rPr>
            </w:pPr>
            <w:r w:rsidRPr="003B1F18">
              <w:rPr>
                <w:sz w:val="20"/>
                <w:szCs w:val="20"/>
              </w:rPr>
              <w:t xml:space="preserve">Easy to </w:t>
            </w:r>
            <w:r>
              <w:rPr>
                <w:sz w:val="20"/>
                <w:szCs w:val="20"/>
              </w:rPr>
              <w:t xml:space="preserve">read and print in </w:t>
            </w:r>
            <w:proofErr w:type="gramStart"/>
            <w:r>
              <w:rPr>
                <w:sz w:val="20"/>
                <w:szCs w:val="20"/>
              </w:rPr>
              <w:t>Braille :</w:t>
            </w:r>
            <w:proofErr w:type="gramEnd"/>
          </w:p>
        </w:tc>
        <w:tc>
          <w:tcPr>
            <w:tcW w:w="1134" w:type="dxa"/>
          </w:tcPr>
          <w:p w14:paraId="4BAC6DED" w14:textId="4A68DFF8" w:rsidR="00893902" w:rsidRDefault="00893902" w:rsidP="00893902">
            <w:pPr>
              <w:rPr>
                <w:sz w:val="20"/>
              </w:rPr>
            </w:pPr>
            <w:r>
              <w:rPr>
                <w:sz w:val="20"/>
              </w:rPr>
              <w:t>1</w:t>
            </w:r>
            <w:r w:rsidR="0057688B">
              <w:rPr>
                <w:sz w:val="20"/>
              </w:rPr>
              <w:t>9,080</w:t>
            </w:r>
            <w:r>
              <w:rPr>
                <w:sz w:val="20"/>
              </w:rPr>
              <w:t xml:space="preserve"> $</w:t>
            </w:r>
          </w:p>
          <w:p w14:paraId="19C108D3" w14:textId="1A806B98" w:rsidR="00893902" w:rsidRPr="0038149A" w:rsidRDefault="00893902" w:rsidP="00893902">
            <w:pPr>
              <w:rPr>
                <w:sz w:val="20"/>
                <w:szCs w:val="20"/>
              </w:rPr>
            </w:pPr>
          </w:p>
        </w:tc>
        <w:tc>
          <w:tcPr>
            <w:tcW w:w="992" w:type="dxa"/>
          </w:tcPr>
          <w:p w14:paraId="1D7C4D63" w14:textId="169293BE" w:rsidR="00893902" w:rsidRPr="0038149A" w:rsidRDefault="00893902" w:rsidP="0057688B">
            <w:pPr>
              <w:rPr>
                <w:sz w:val="20"/>
                <w:szCs w:val="20"/>
              </w:rPr>
            </w:pPr>
            <w:r w:rsidRPr="003B1F18">
              <w:rPr>
                <w:sz w:val="20"/>
                <w:szCs w:val="20"/>
              </w:rPr>
              <w:t>30,000 words, (0.</w:t>
            </w:r>
            <w:r w:rsidR="0057688B">
              <w:rPr>
                <w:sz w:val="20"/>
                <w:szCs w:val="20"/>
              </w:rPr>
              <w:t>6</w:t>
            </w:r>
            <w:r w:rsidRPr="003B1F18">
              <w:rPr>
                <w:sz w:val="20"/>
                <w:szCs w:val="20"/>
              </w:rPr>
              <w:t>0 $ per word)</w:t>
            </w:r>
          </w:p>
        </w:tc>
        <w:tc>
          <w:tcPr>
            <w:tcW w:w="937" w:type="dxa"/>
          </w:tcPr>
          <w:p w14:paraId="03660025" w14:textId="3085EF8A" w:rsidR="00893902" w:rsidRPr="0057688B" w:rsidRDefault="0031489F" w:rsidP="00893902">
            <w:pPr>
              <w:spacing w:after="0" w:line="240" w:lineRule="auto"/>
              <w:rPr>
                <w:rFonts w:ascii="Calibri" w:hAnsi="Calibri" w:cs="Calibri"/>
                <w:b/>
                <w:bCs/>
                <w:color w:val="000000"/>
                <w:lang w:val="en-GB"/>
              </w:rPr>
            </w:pPr>
            <w:r w:rsidRPr="0057688B">
              <w:rPr>
                <w:rFonts w:ascii="Calibri" w:hAnsi="Calibri" w:cs="Calibri"/>
                <w:b/>
                <w:bCs/>
                <w:color w:val="000000"/>
              </w:rPr>
              <w:t>1</w:t>
            </w:r>
            <w:r w:rsidR="0057688B" w:rsidRPr="0057688B">
              <w:rPr>
                <w:rFonts w:ascii="Calibri" w:hAnsi="Calibri" w:cs="Calibri"/>
                <w:b/>
                <w:bCs/>
                <w:color w:val="000000"/>
              </w:rPr>
              <w:t>9,080</w:t>
            </w:r>
          </w:p>
          <w:p w14:paraId="44B1946C" w14:textId="1DB0DDD0" w:rsidR="00893902" w:rsidRPr="0057688B" w:rsidRDefault="00893902" w:rsidP="00893902">
            <w:pPr>
              <w:rPr>
                <w:sz w:val="20"/>
                <w:szCs w:val="20"/>
              </w:rPr>
            </w:pPr>
          </w:p>
        </w:tc>
        <w:tc>
          <w:tcPr>
            <w:tcW w:w="1290" w:type="dxa"/>
          </w:tcPr>
          <w:p w14:paraId="767C853B" w14:textId="4A501B74" w:rsidR="00893902" w:rsidRPr="0057688B" w:rsidRDefault="0057688B" w:rsidP="00893902">
            <w:pPr>
              <w:spacing w:after="0" w:line="240" w:lineRule="auto"/>
              <w:jc w:val="both"/>
              <w:rPr>
                <w:rFonts w:ascii="Calibri" w:hAnsi="Calibri" w:cs="Calibri"/>
                <w:b/>
                <w:bCs/>
                <w:color w:val="000000"/>
                <w:lang w:val="en-GB"/>
              </w:rPr>
            </w:pPr>
            <w:r w:rsidRPr="0057688B">
              <w:rPr>
                <w:rFonts w:ascii="Calibri" w:hAnsi="Calibri" w:cs="Calibri"/>
                <w:b/>
                <w:bCs/>
                <w:color w:val="000000"/>
              </w:rPr>
              <w:t>19,080</w:t>
            </w:r>
          </w:p>
          <w:p w14:paraId="6B97DBAF" w14:textId="2B2646F2" w:rsidR="00893902" w:rsidRPr="0057688B" w:rsidRDefault="00893902" w:rsidP="00893902">
            <w:pPr>
              <w:jc w:val="both"/>
              <w:rPr>
                <w:sz w:val="20"/>
                <w:szCs w:val="20"/>
              </w:rPr>
            </w:pPr>
          </w:p>
        </w:tc>
        <w:tc>
          <w:tcPr>
            <w:tcW w:w="1290" w:type="dxa"/>
          </w:tcPr>
          <w:p w14:paraId="3BD3AA5B" w14:textId="77777777" w:rsidR="00893902" w:rsidRPr="0038149A" w:rsidRDefault="00893902" w:rsidP="00893902">
            <w:pPr>
              <w:rPr>
                <w:sz w:val="20"/>
                <w:szCs w:val="20"/>
              </w:rPr>
            </w:pPr>
            <w:r w:rsidRPr="0038149A">
              <w:rPr>
                <w:sz w:val="20"/>
                <w:szCs w:val="20"/>
              </w:rPr>
              <w:t>[…]</w:t>
            </w:r>
          </w:p>
        </w:tc>
        <w:tc>
          <w:tcPr>
            <w:tcW w:w="1460" w:type="dxa"/>
            <w:tcBorders>
              <w:right w:val="double" w:sz="4" w:space="0" w:color="auto"/>
            </w:tcBorders>
          </w:tcPr>
          <w:p w14:paraId="423B408C" w14:textId="77777777" w:rsidR="00893902" w:rsidRPr="0038149A" w:rsidRDefault="00893902" w:rsidP="00893902">
            <w:pPr>
              <w:rPr>
                <w:sz w:val="20"/>
                <w:szCs w:val="20"/>
              </w:rPr>
            </w:pPr>
            <w:r w:rsidRPr="0038149A">
              <w:rPr>
                <w:sz w:val="20"/>
                <w:szCs w:val="20"/>
              </w:rPr>
              <w:t>[…]</w:t>
            </w:r>
          </w:p>
        </w:tc>
      </w:tr>
      <w:tr w:rsidR="0057688B" w:rsidRPr="00002BED" w14:paraId="5FC85245" w14:textId="77777777" w:rsidTr="00512C09">
        <w:tc>
          <w:tcPr>
            <w:tcW w:w="1403" w:type="dxa"/>
            <w:tcBorders>
              <w:top w:val="double" w:sz="4" w:space="0" w:color="auto"/>
              <w:left w:val="double" w:sz="4" w:space="0" w:color="auto"/>
              <w:bottom w:val="double" w:sz="4" w:space="0" w:color="auto"/>
            </w:tcBorders>
            <w:shd w:val="clear" w:color="auto" w:fill="D9D9D9" w:themeFill="background1" w:themeFillShade="D9"/>
          </w:tcPr>
          <w:p w14:paraId="5AE8DB68" w14:textId="77777777" w:rsidR="00893902" w:rsidRPr="00002BED" w:rsidRDefault="00893902" w:rsidP="00893902">
            <w:pPr>
              <w:rPr>
                <w:b/>
                <w:sz w:val="20"/>
              </w:rPr>
            </w:pPr>
            <w:r>
              <w:rPr>
                <w:b/>
                <w:sz w:val="20"/>
              </w:rPr>
              <w:t>Subtotal</w:t>
            </w:r>
          </w:p>
        </w:tc>
        <w:tc>
          <w:tcPr>
            <w:tcW w:w="1559" w:type="dxa"/>
            <w:tcBorders>
              <w:top w:val="double" w:sz="4" w:space="0" w:color="auto"/>
              <w:bottom w:val="double" w:sz="4" w:space="0" w:color="auto"/>
            </w:tcBorders>
            <w:shd w:val="clear" w:color="auto" w:fill="D9D9D9" w:themeFill="background1" w:themeFillShade="D9"/>
          </w:tcPr>
          <w:p w14:paraId="32360E95" w14:textId="77777777" w:rsidR="00893902" w:rsidRPr="0038149A" w:rsidRDefault="00893902" w:rsidP="00893902">
            <w:pPr>
              <w:ind w:left="360"/>
              <w:rPr>
                <w:sz w:val="20"/>
                <w:szCs w:val="20"/>
              </w:rPr>
            </w:pPr>
          </w:p>
        </w:tc>
        <w:tc>
          <w:tcPr>
            <w:tcW w:w="1134" w:type="dxa"/>
            <w:tcBorders>
              <w:top w:val="double" w:sz="4" w:space="0" w:color="auto"/>
              <w:bottom w:val="double" w:sz="4" w:space="0" w:color="auto"/>
            </w:tcBorders>
            <w:shd w:val="clear" w:color="auto" w:fill="D9D9D9" w:themeFill="background1" w:themeFillShade="D9"/>
          </w:tcPr>
          <w:p w14:paraId="5EDA2FE3" w14:textId="35130240" w:rsidR="00893902" w:rsidRPr="0038149A" w:rsidRDefault="00893902" w:rsidP="00893902">
            <w:pPr>
              <w:rPr>
                <w:sz w:val="20"/>
                <w:szCs w:val="20"/>
              </w:rPr>
            </w:pPr>
          </w:p>
        </w:tc>
        <w:tc>
          <w:tcPr>
            <w:tcW w:w="992" w:type="dxa"/>
            <w:tcBorders>
              <w:top w:val="double" w:sz="4" w:space="0" w:color="auto"/>
              <w:bottom w:val="double" w:sz="4" w:space="0" w:color="auto"/>
            </w:tcBorders>
            <w:shd w:val="clear" w:color="auto" w:fill="D9D9D9" w:themeFill="background1" w:themeFillShade="D9"/>
          </w:tcPr>
          <w:p w14:paraId="736BF56C" w14:textId="77777777" w:rsidR="00893902" w:rsidRPr="0038149A" w:rsidRDefault="00893902" w:rsidP="00893902">
            <w:pPr>
              <w:ind w:left="360"/>
              <w:rPr>
                <w:sz w:val="20"/>
                <w:szCs w:val="20"/>
              </w:rPr>
            </w:pPr>
          </w:p>
        </w:tc>
        <w:tc>
          <w:tcPr>
            <w:tcW w:w="937" w:type="dxa"/>
            <w:tcBorders>
              <w:top w:val="double" w:sz="4" w:space="0" w:color="auto"/>
              <w:bottom w:val="double" w:sz="4" w:space="0" w:color="auto"/>
            </w:tcBorders>
            <w:shd w:val="clear" w:color="auto" w:fill="D9D9D9" w:themeFill="background1" w:themeFillShade="D9"/>
          </w:tcPr>
          <w:p w14:paraId="0FB327E6" w14:textId="7ECD502D" w:rsidR="00893902" w:rsidRPr="006B43DA" w:rsidRDefault="0057688B" w:rsidP="00893902">
            <w:pPr>
              <w:jc w:val="both"/>
              <w:rPr>
                <w:b/>
                <w:sz w:val="20"/>
                <w:szCs w:val="20"/>
              </w:rPr>
            </w:pPr>
            <w:r>
              <w:rPr>
                <w:b/>
                <w:sz w:val="20"/>
                <w:szCs w:val="20"/>
              </w:rPr>
              <w:t>89,188</w:t>
            </w:r>
          </w:p>
        </w:tc>
        <w:tc>
          <w:tcPr>
            <w:tcW w:w="1290" w:type="dxa"/>
            <w:tcBorders>
              <w:top w:val="double" w:sz="4" w:space="0" w:color="auto"/>
              <w:bottom w:val="double" w:sz="4" w:space="0" w:color="auto"/>
            </w:tcBorders>
            <w:shd w:val="clear" w:color="auto" w:fill="D9D9D9" w:themeFill="background1" w:themeFillShade="D9"/>
          </w:tcPr>
          <w:p w14:paraId="670E592D" w14:textId="369C7A73" w:rsidR="00893902" w:rsidRPr="0038149A" w:rsidRDefault="0057688B" w:rsidP="00893902">
            <w:pPr>
              <w:jc w:val="both"/>
              <w:rPr>
                <w:sz w:val="20"/>
                <w:szCs w:val="20"/>
              </w:rPr>
            </w:pPr>
            <w:r>
              <w:rPr>
                <w:b/>
                <w:sz w:val="20"/>
                <w:szCs w:val="20"/>
              </w:rPr>
              <w:t>89,188</w:t>
            </w:r>
          </w:p>
        </w:tc>
        <w:tc>
          <w:tcPr>
            <w:tcW w:w="1290" w:type="dxa"/>
            <w:tcBorders>
              <w:top w:val="double" w:sz="4" w:space="0" w:color="auto"/>
              <w:bottom w:val="double" w:sz="4" w:space="0" w:color="auto"/>
            </w:tcBorders>
            <w:shd w:val="clear" w:color="auto" w:fill="D9D9D9" w:themeFill="background1" w:themeFillShade="D9"/>
          </w:tcPr>
          <w:p w14:paraId="2C7FFD26" w14:textId="77777777" w:rsidR="00893902" w:rsidRPr="0038149A" w:rsidRDefault="00893902" w:rsidP="00893902">
            <w:pPr>
              <w:rPr>
                <w:sz w:val="20"/>
                <w:szCs w:val="20"/>
              </w:rPr>
            </w:pPr>
          </w:p>
        </w:tc>
        <w:tc>
          <w:tcPr>
            <w:tcW w:w="1460" w:type="dxa"/>
            <w:tcBorders>
              <w:top w:val="double" w:sz="4" w:space="0" w:color="auto"/>
              <w:bottom w:val="double" w:sz="4" w:space="0" w:color="auto"/>
              <w:right w:val="double" w:sz="4" w:space="0" w:color="auto"/>
            </w:tcBorders>
            <w:shd w:val="clear" w:color="auto" w:fill="D9D9D9" w:themeFill="background1" w:themeFillShade="D9"/>
          </w:tcPr>
          <w:p w14:paraId="451F6090" w14:textId="77777777" w:rsidR="00893902" w:rsidRPr="0038149A" w:rsidRDefault="00893902" w:rsidP="00893902">
            <w:pPr>
              <w:ind w:left="360"/>
              <w:rPr>
                <w:sz w:val="20"/>
                <w:szCs w:val="20"/>
              </w:rPr>
            </w:pPr>
          </w:p>
        </w:tc>
      </w:tr>
      <w:tr w:rsidR="0057688B" w:rsidRPr="00002BED" w14:paraId="3D799404" w14:textId="77777777" w:rsidTr="00512C09">
        <w:tc>
          <w:tcPr>
            <w:tcW w:w="1403" w:type="dxa"/>
            <w:tcBorders>
              <w:top w:val="double" w:sz="4" w:space="0" w:color="auto"/>
              <w:left w:val="double" w:sz="4" w:space="0" w:color="auto"/>
              <w:bottom w:val="double" w:sz="4" w:space="0" w:color="auto"/>
            </w:tcBorders>
          </w:tcPr>
          <w:p w14:paraId="230918BB" w14:textId="1F8E5351" w:rsidR="00893902" w:rsidRPr="00002BED" w:rsidRDefault="00893902" w:rsidP="00893902">
            <w:pPr>
              <w:rPr>
                <w:b/>
                <w:sz w:val="20"/>
              </w:rPr>
            </w:pPr>
            <w:r>
              <w:rPr>
                <w:b/>
                <w:sz w:val="20"/>
              </w:rPr>
              <w:t>Indirect costs (7%)</w:t>
            </w:r>
          </w:p>
        </w:tc>
        <w:tc>
          <w:tcPr>
            <w:tcW w:w="1559" w:type="dxa"/>
            <w:tcBorders>
              <w:top w:val="double" w:sz="4" w:space="0" w:color="auto"/>
              <w:bottom w:val="double" w:sz="4" w:space="0" w:color="auto"/>
            </w:tcBorders>
          </w:tcPr>
          <w:p w14:paraId="2F06747C" w14:textId="2E6CDAA2" w:rsidR="00893902" w:rsidRPr="0038149A" w:rsidRDefault="00893902" w:rsidP="00893902">
            <w:pPr>
              <w:rPr>
                <w:sz w:val="20"/>
                <w:szCs w:val="20"/>
              </w:rPr>
            </w:pPr>
          </w:p>
        </w:tc>
        <w:tc>
          <w:tcPr>
            <w:tcW w:w="1134" w:type="dxa"/>
            <w:tcBorders>
              <w:top w:val="double" w:sz="4" w:space="0" w:color="auto"/>
              <w:bottom w:val="double" w:sz="4" w:space="0" w:color="auto"/>
            </w:tcBorders>
          </w:tcPr>
          <w:p w14:paraId="25AF7584" w14:textId="6CA85E58" w:rsidR="00893902" w:rsidRPr="0038149A" w:rsidRDefault="00893902" w:rsidP="00893902">
            <w:pPr>
              <w:rPr>
                <w:sz w:val="20"/>
                <w:szCs w:val="20"/>
              </w:rPr>
            </w:pPr>
          </w:p>
        </w:tc>
        <w:tc>
          <w:tcPr>
            <w:tcW w:w="992" w:type="dxa"/>
            <w:tcBorders>
              <w:top w:val="double" w:sz="4" w:space="0" w:color="auto"/>
              <w:bottom w:val="double" w:sz="4" w:space="0" w:color="auto"/>
            </w:tcBorders>
          </w:tcPr>
          <w:p w14:paraId="573C12D5" w14:textId="0336ED91" w:rsidR="00893902" w:rsidRPr="0038149A" w:rsidRDefault="00893902" w:rsidP="00893902">
            <w:pPr>
              <w:rPr>
                <w:sz w:val="20"/>
                <w:szCs w:val="20"/>
              </w:rPr>
            </w:pPr>
          </w:p>
        </w:tc>
        <w:tc>
          <w:tcPr>
            <w:tcW w:w="937" w:type="dxa"/>
            <w:tcBorders>
              <w:top w:val="double" w:sz="4" w:space="0" w:color="auto"/>
              <w:bottom w:val="double" w:sz="4" w:space="0" w:color="auto"/>
            </w:tcBorders>
          </w:tcPr>
          <w:p w14:paraId="36AB52F7" w14:textId="4DC80B4E" w:rsidR="00893902" w:rsidRPr="006B43DA" w:rsidRDefault="0057688B" w:rsidP="00893902">
            <w:pPr>
              <w:rPr>
                <w:b/>
                <w:sz w:val="20"/>
                <w:szCs w:val="20"/>
              </w:rPr>
            </w:pPr>
            <w:r>
              <w:rPr>
                <w:b/>
                <w:sz w:val="20"/>
                <w:szCs w:val="20"/>
              </w:rPr>
              <w:t>6,243</w:t>
            </w:r>
          </w:p>
        </w:tc>
        <w:tc>
          <w:tcPr>
            <w:tcW w:w="1290" w:type="dxa"/>
            <w:tcBorders>
              <w:top w:val="double" w:sz="4" w:space="0" w:color="auto"/>
              <w:bottom w:val="double" w:sz="4" w:space="0" w:color="auto"/>
            </w:tcBorders>
          </w:tcPr>
          <w:p w14:paraId="659AA28C" w14:textId="4262D4CB" w:rsidR="00893902" w:rsidRPr="0038149A" w:rsidRDefault="0057688B" w:rsidP="00893902">
            <w:pPr>
              <w:jc w:val="both"/>
              <w:rPr>
                <w:sz w:val="20"/>
                <w:szCs w:val="20"/>
              </w:rPr>
            </w:pPr>
            <w:r>
              <w:rPr>
                <w:b/>
                <w:sz w:val="20"/>
                <w:szCs w:val="20"/>
              </w:rPr>
              <w:t>6,243</w:t>
            </w:r>
          </w:p>
        </w:tc>
        <w:tc>
          <w:tcPr>
            <w:tcW w:w="1290" w:type="dxa"/>
            <w:tcBorders>
              <w:top w:val="double" w:sz="4" w:space="0" w:color="auto"/>
              <w:bottom w:val="double" w:sz="4" w:space="0" w:color="auto"/>
            </w:tcBorders>
          </w:tcPr>
          <w:p w14:paraId="785AC65F" w14:textId="01E79FB5" w:rsidR="00893902" w:rsidRPr="0038149A" w:rsidRDefault="00893902" w:rsidP="00893902">
            <w:pPr>
              <w:rPr>
                <w:sz w:val="20"/>
                <w:szCs w:val="20"/>
              </w:rPr>
            </w:pPr>
          </w:p>
        </w:tc>
        <w:tc>
          <w:tcPr>
            <w:tcW w:w="1460" w:type="dxa"/>
            <w:tcBorders>
              <w:top w:val="double" w:sz="4" w:space="0" w:color="auto"/>
              <w:bottom w:val="double" w:sz="4" w:space="0" w:color="auto"/>
              <w:right w:val="double" w:sz="4" w:space="0" w:color="auto"/>
            </w:tcBorders>
          </w:tcPr>
          <w:p w14:paraId="4D7931D5" w14:textId="468FEC23" w:rsidR="00893902" w:rsidRPr="0038149A" w:rsidRDefault="00893902" w:rsidP="00893902">
            <w:pPr>
              <w:rPr>
                <w:sz w:val="20"/>
                <w:szCs w:val="20"/>
              </w:rPr>
            </w:pPr>
          </w:p>
        </w:tc>
      </w:tr>
      <w:tr w:rsidR="0057688B" w:rsidRPr="00002BED" w14:paraId="26B035CA" w14:textId="77777777" w:rsidTr="00512C09">
        <w:tc>
          <w:tcPr>
            <w:tcW w:w="1403" w:type="dxa"/>
            <w:tcBorders>
              <w:top w:val="double" w:sz="4" w:space="0" w:color="auto"/>
              <w:left w:val="double" w:sz="4" w:space="0" w:color="auto"/>
              <w:bottom w:val="double" w:sz="4" w:space="0" w:color="auto"/>
            </w:tcBorders>
            <w:shd w:val="clear" w:color="auto" w:fill="D9D9D9" w:themeFill="background1" w:themeFillShade="D9"/>
          </w:tcPr>
          <w:p w14:paraId="7C303CE9" w14:textId="77777777" w:rsidR="00893902" w:rsidRPr="00002BED" w:rsidRDefault="00893902" w:rsidP="00893902">
            <w:pPr>
              <w:rPr>
                <w:b/>
                <w:sz w:val="20"/>
              </w:rPr>
            </w:pPr>
            <w:r>
              <w:rPr>
                <w:b/>
                <w:sz w:val="20"/>
              </w:rPr>
              <w:t>Total</w:t>
            </w:r>
          </w:p>
        </w:tc>
        <w:tc>
          <w:tcPr>
            <w:tcW w:w="1559" w:type="dxa"/>
            <w:tcBorders>
              <w:top w:val="double" w:sz="4" w:space="0" w:color="auto"/>
              <w:bottom w:val="double" w:sz="4" w:space="0" w:color="auto"/>
            </w:tcBorders>
            <w:shd w:val="clear" w:color="auto" w:fill="D9D9D9" w:themeFill="background1" w:themeFillShade="D9"/>
          </w:tcPr>
          <w:p w14:paraId="619DA037" w14:textId="0FAEBA42" w:rsidR="00893902" w:rsidRPr="0038149A" w:rsidRDefault="00893902" w:rsidP="00893902">
            <w:pPr>
              <w:rPr>
                <w:sz w:val="20"/>
                <w:szCs w:val="20"/>
              </w:rPr>
            </w:pPr>
          </w:p>
        </w:tc>
        <w:tc>
          <w:tcPr>
            <w:tcW w:w="1134" w:type="dxa"/>
            <w:tcBorders>
              <w:top w:val="double" w:sz="4" w:space="0" w:color="auto"/>
              <w:bottom w:val="double" w:sz="4" w:space="0" w:color="auto"/>
            </w:tcBorders>
            <w:shd w:val="clear" w:color="auto" w:fill="D9D9D9" w:themeFill="background1" w:themeFillShade="D9"/>
          </w:tcPr>
          <w:p w14:paraId="77185BA2" w14:textId="7B8A6DE1" w:rsidR="00893902" w:rsidRPr="0038149A" w:rsidRDefault="00893902" w:rsidP="00893902">
            <w:pPr>
              <w:rPr>
                <w:sz w:val="20"/>
                <w:szCs w:val="20"/>
              </w:rPr>
            </w:pPr>
          </w:p>
        </w:tc>
        <w:tc>
          <w:tcPr>
            <w:tcW w:w="992" w:type="dxa"/>
            <w:tcBorders>
              <w:top w:val="double" w:sz="4" w:space="0" w:color="auto"/>
              <w:bottom w:val="double" w:sz="4" w:space="0" w:color="auto"/>
            </w:tcBorders>
            <w:shd w:val="clear" w:color="auto" w:fill="D9D9D9" w:themeFill="background1" w:themeFillShade="D9"/>
          </w:tcPr>
          <w:p w14:paraId="7C804724" w14:textId="627702B3" w:rsidR="00893902" w:rsidRPr="0038149A" w:rsidRDefault="00893902" w:rsidP="00893902">
            <w:pPr>
              <w:rPr>
                <w:sz w:val="20"/>
                <w:szCs w:val="20"/>
              </w:rPr>
            </w:pPr>
          </w:p>
        </w:tc>
        <w:tc>
          <w:tcPr>
            <w:tcW w:w="937" w:type="dxa"/>
            <w:tcBorders>
              <w:top w:val="double" w:sz="4" w:space="0" w:color="auto"/>
              <w:bottom w:val="double" w:sz="4" w:space="0" w:color="auto"/>
            </w:tcBorders>
            <w:shd w:val="clear" w:color="auto" w:fill="D9D9D9" w:themeFill="background1" w:themeFillShade="D9"/>
          </w:tcPr>
          <w:p w14:paraId="6036227E" w14:textId="736740FD" w:rsidR="00893902" w:rsidRPr="0038149A" w:rsidRDefault="0057688B" w:rsidP="0057688B">
            <w:pPr>
              <w:rPr>
                <w:sz w:val="20"/>
                <w:szCs w:val="20"/>
              </w:rPr>
            </w:pPr>
            <w:r>
              <w:rPr>
                <w:b/>
                <w:sz w:val="20"/>
                <w:szCs w:val="20"/>
              </w:rPr>
              <w:t>95,432</w:t>
            </w:r>
            <w:r w:rsidR="00893902" w:rsidRPr="00C535EB">
              <w:rPr>
                <w:b/>
                <w:sz w:val="20"/>
                <w:szCs w:val="20"/>
              </w:rPr>
              <w:t xml:space="preserve"> $</w:t>
            </w:r>
          </w:p>
        </w:tc>
        <w:tc>
          <w:tcPr>
            <w:tcW w:w="1290" w:type="dxa"/>
            <w:tcBorders>
              <w:top w:val="double" w:sz="4" w:space="0" w:color="auto"/>
              <w:bottom w:val="double" w:sz="4" w:space="0" w:color="auto"/>
            </w:tcBorders>
            <w:shd w:val="clear" w:color="auto" w:fill="D9D9D9" w:themeFill="background1" w:themeFillShade="D9"/>
          </w:tcPr>
          <w:p w14:paraId="17D623B4" w14:textId="6BE6E8B3" w:rsidR="00893902" w:rsidRPr="0038149A" w:rsidRDefault="0057688B" w:rsidP="00893902">
            <w:pPr>
              <w:jc w:val="both"/>
              <w:rPr>
                <w:sz w:val="20"/>
                <w:szCs w:val="20"/>
              </w:rPr>
            </w:pPr>
            <w:r>
              <w:rPr>
                <w:b/>
                <w:sz w:val="20"/>
                <w:szCs w:val="20"/>
              </w:rPr>
              <w:t>95,432 $</w:t>
            </w:r>
          </w:p>
        </w:tc>
        <w:tc>
          <w:tcPr>
            <w:tcW w:w="1290" w:type="dxa"/>
            <w:tcBorders>
              <w:top w:val="double" w:sz="4" w:space="0" w:color="auto"/>
              <w:bottom w:val="double" w:sz="4" w:space="0" w:color="auto"/>
            </w:tcBorders>
            <w:shd w:val="clear" w:color="auto" w:fill="D9D9D9" w:themeFill="background1" w:themeFillShade="D9"/>
          </w:tcPr>
          <w:p w14:paraId="0D246166" w14:textId="050997B9" w:rsidR="00893902" w:rsidRPr="0038149A" w:rsidRDefault="00893902" w:rsidP="00893902">
            <w:pPr>
              <w:rPr>
                <w:sz w:val="20"/>
                <w:szCs w:val="20"/>
              </w:rPr>
            </w:pPr>
          </w:p>
        </w:tc>
        <w:tc>
          <w:tcPr>
            <w:tcW w:w="1460" w:type="dxa"/>
            <w:tcBorders>
              <w:top w:val="double" w:sz="4" w:space="0" w:color="auto"/>
              <w:bottom w:val="double" w:sz="4" w:space="0" w:color="auto"/>
              <w:right w:val="double" w:sz="4" w:space="0" w:color="auto"/>
            </w:tcBorders>
            <w:shd w:val="clear" w:color="auto" w:fill="D9D9D9" w:themeFill="background1" w:themeFillShade="D9"/>
          </w:tcPr>
          <w:p w14:paraId="47B93196" w14:textId="763A5A85" w:rsidR="00893902" w:rsidRPr="0038149A" w:rsidRDefault="00893902" w:rsidP="00893902">
            <w:pPr>
              <w:rPr>
                <w:sz w:val="20"/>
                <w:szCs w:val="20"/>
              </w:rPr>
            </w:pPr>
          </w:p>
        </w:tc>
      </w:tr>
    </w:tbl>
    <w:p w14:paraId="510C483E" w14:textId="77777777" w:rsidR="00BC4B02" w:rsidRDefault="00BC4B02" w:rsidP="00DD43A1">
      <w:pPr>
        <w:rPr>
          <w:sz w:val="20"/>
        </w:rPr>
      </w:pPr>
    </w:p>
    <w:sectPr w:rsidR="00BC4B02" w:rsidSect="00AE57F6">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2DCD" w16cex:dateUtc="2020-03-25T18:21:00Z"/>
  <w16cex:commentExtensible w16cex:durableId="22262E5B" w16cex:dateUtc="2020-03-25T18:24:00Z"/>
  <w16cex:commentExtensible w16cex:durableId="22262F2F" w16cex:dateUtc="2020-03-25T18:27:00Z"/>
  <w16cex:commentExtensible w16cex:durableId="2226367C" w16cex:dateUtc="2020-03-25T18:58:00Z"/>
  <w16cex:commentExtensible w16cex:durableId="222636E6" w16cex:dateUtc="2020-03-25T19: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ED58" w14:textId="77777777" w:rsidR="00E74466" w:rsidRDefault="00E74466" w:rsidP="00BC4B02">
      <w:pPr>
        <w:spacing w:after="0" w:line="240" w:lineRule="auto"/>
      </w:pPr>
      <w:r>
        <w:separator/>
      </w:r>
    </w:p>
  </w:endnote>
  <w:endnote w:type="continuationSeparator" w:id="0">
    <w:p w14:paraId="10A67F9E" w14:textId="77777777" w:rsidR="00E74466" w:rsidRDefault="00E74466" w:rsidP="00BC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38857" w14:textId="77777777" w:rsidR="00E74466" w:rsidRDefault="00E74466" w:rsidP="00BC4B02">
      <w:pPr>
        <w:spacing w:after="0" w:line="240" w:lineRule="auto"/>
      </w:pPr>
      <w:r>
        <w:separator/>
      </w:r>
    </w:p>
  </w:footnote>
  <w:footnote w:type="continuationSeparator" w:id="0">
    <w:p w14:paraId="430DE0A8" w14:textId="77777777" w:rsidR="00E74466" w:rsidRDefault="00E74466" w:rsidP="00BC4B02">
      <w:pPr>
        <w:spacing w:after="0" w:line="240" w:lineRule="auto"/>
      </w:pPr>
      <w:r>
        <w:continuationSeparator/>
      </w:r>
    </w:p>
  </w:footnote>
  <w:footnote w:id="1">
    <w:p w14:paraId="4A376E49" w14:textId="6BFF6E17" w:rsidR="00957E52" w:rsidRDefault="00957E52">
      <w:pPr>
        <w:pStyle w:val="FootnoteText"/>
      </w:pPr>
      <w:r>
        <w:rPr>
          <w:rStyle w:val="FootnoteReference"/>
        </w:rPr>
        <w:footnoteRef/>
      </w:r>
      <w:r>
        <w:t xml:space="preserve"> Funds administered by OHCHR</w:t>
      </w:r>
      <w:r w:rsidR="003077DF">
        <w:tab/>
      </w:r>
      <w:bookmarkStart w:id="1" w:name="_GoBack"/>
      <w:bookmarkEnd w:id="1"/>
    </w:p>
  </w:footnote>
  <w:footnote w:id="2">
    <w:p w14:paraId="3FB2562C" w14:textId="01EAE415" w:rsidR="00197F87" w:rsidRPr="00441EF5" w:rsidRDefault="00197F87" w:rsidP="00441EF5">
      <w:pPr>
        <w:spacing w:after="0" w:line="240" w:lineRule="auto"/>
        <w:jc w:val="both"/>
        <w:rPr>
          <w:sz w:val="20"/>
          <w:szCs w:val="20"/>
        </w:rPr>
      </w:pPr>
      <w:r>
        <w:rPr>
          <w:rStyle w:val="FootnoteReference"/>
        </w:rPr>
        <w:footnoteRef/>
      </w:r>
      <w:r>
        <w:t xml:space="preserve"> </w:t>
      </w:r>
      <w:r w:rsidRPr="00441EF5">
        <w:rPr>
          <w:sz w:val="20"/>
          <w:szCs w:val="20"/>
        </w:rPr>
        <w:t xml:space="preserve">See Annex of CRPD’s rules of procedures 10 October 2016, </w:t>
      </w:r>
      <w:hyperlink r:id="rId1" w:history="1">
        <w:r w:rsidRPr="00441EF5">
          <w:rPr>
            <w:rStyle w:val="Hyperlink"/>
            <w:sz w:val="20"/>
            <w:szCs w:val="20"/>
          </w:rPr>
          <w:t>CRPD/C/1/Rev.1, annex</w:t>
        </w:r>
      </w:hyperlink>
      <w:r w:rsidRPr="00441EF5">
        <w:rPr>
          <w:sz w:val="20"/>
          <w:szCs w:val="20"/>
        </w:rPr>
        <w:t>.</w:t>
      </w:r>
    </w:p>
  </w:footnote>
  <w:footnote w:id="3">
    <w:p w14:paraId="14533F98" w14:textId="5F9C09C6" w:rsidR="00197F87" w:rsidRPr="00441EF5" w:rsidRDefault="00197F87" w:rsidP="00441EF5">
      <w:pPr>
        <w:pStyle w:val="CommentText"/>
        <w:spacing w:after="0"/>
      </w:pPr>
      <w:r w:rsidRPr="00441EF5">
        <w:rPr>
          <w:rStyle w:val="FootnoteReference"/>
        </w:rPr>
        <w:footnoteRef/>
      </w:r>
      <w:r w:rsidRPr="00441EF5">
        <w:t xml:space="preserve"> But see </w:t>
      </w:r>
      <w:hyperlink r:id="rId2" w:history="1">
        <w:r w:rsidRPr="00441EF5">
          <w:rPr>
            <w:rStyle w:val="Hyperlink"/>
          </w:rPr>
          <w:t>https://nhri.ohchr.org/EN/Themes/PersonsDisabilities/Documents/Human_Rights_and_Disability_Manual.pdf</w:t>
        </w:r>
      </w:hyperlink>
      <w:r w:rsidRPr="00441EF5">
        <w:t xml:space="preserve"> </w:t>
      </w:r>
    </w:p>
    <w:p w14:paraId="5E4EC304" w14:textId="1D2E4D2C" w:rsidR="00197F87" w:rsidRPr="00441EF5" w:rsidRDefault="00197F87">
      <w:pPr>
        <w:pStyle w:val="FootnoteText"/>
      </w:pPr>
    </w:p>
  </w:footnote>
  <w:footnote w:id="4">
    <w:p w14:paraId="730B26D5" w14:textId="09CEFA7F" w:rsidR="00197F87" w:rsidRPr="00441EF5" w:rsidRDefault="00197F87">
      <w:pPr>
        <w:pStyle w:val="FootnoteText"/>
      </w:pPr>
      <w:r>
        <w:rPr>
          <w:rStyle w:val="FootnoteReference"/>
        </w:rPr>
        <w:footnoteRef/>
      </w:r>
      <w:r>
        <w:t xml:space="preserve"> </w:t>
      </w:r>
      <w:r w:rsidRPr="00441EF5">
        <w:rPr>
          <w:i/>
        </w:rPr>
        <w:t>For Guide: Keep in mind good example of Romania under OPCAT SF.</w:t>
      </w:r>
    </w:p>
  </w:footnote>
  <w:footnote w:id="5">
    <w:p w14:paraId="074D5C49" w14:textId="77777777" w:rsidR="00197F87" w:rsidRPr="00F0682A" w:rsidRDefault="00197F87" w:rsidP="002A75AF">
      <w:pPr>
        <w:spacing w:after="0" w:line="240" w:lineRule="auto"/>
        <w:jc w:val="both"/>
        <w:rPr>
          <w:i/>
          <w:sz w:val="18"/>
        </w:rPr>
      </w:pPr>
      <w:r w:rsidRPr="00000D4C">
        <w:rPr>
          <w:rStyle w:val="FootnoteReference"/>
        </w:rPr>
        <w:footnoteRef/>
      </w:r>
      <w:r w:rsidRPr="00F0682A">
        <w:rPr>
          <w:sz w:val="20"/>
        </w:rPr>
        <w:t xml:space="preserve"> </w:t>
      </w:r>
      <w:r w:rsidRPr="00F0682A">
        <w:rPr>
          <w:i/>
          <w:sz w:val="18"/>
        </w:rPr>
        <w:t xml:space="preserve">In defining the above, please refer to the following definitions based on the UNDG Harmonized RBM Terminology. </w:t>
      </w:r>
    </w:p>
    <w:p w14:paraId="3DDA15C4" w14:textId="77777777" w:rsidR="00197F87" w:rsidRPr="00F0682A" w:rsidRDefault="00197F87" w:rsidP="00A160C0">
      <w:pPr>
        <w:spacing w:after="0" w:line="240" w:lineRule="auto"/>
        <w:jc w:val="both"/>
        <w:rPr>
          <w:i/>
          <w:sz w:val="18"/>
        </w:rPr>
      </w:pPr>
      <w:r w:rsidRPr="00F0682A">
        <w:rPr>
          <w:b/>
          <w:i/>
          <w:sz w:val="18"/>
        </w:rPr>
        <w:t>Impact:</w:t>
      </w:r>
      <w:r w:rsidRPr="00F0682A">
        <w:rPr>
          <w:i/>
          <w:sz w:val="18"/>
        </w:rPr>
        <w:t xml:space="preserve"> Positive and negative long-term effects on identifiable population groups produced by a development intervention, directly or indirectly, intended or unintended. These effects can be economic, socio-cultural, institutional, environmental, technological or of other types.</w:t>
      </w:r>
    </w:p>
    <w:p w14:paraId="7281D159" w14:textId="77777777" w:rsidR="00197F87" w:rsidRPr="00F0682A" w:rsidRDefault="00197F87" w:rsidP="00A160C0">
      <w:pPr>
        <w:spacing w:after="0" w:line="240" w:lineRule="auto"/>
        <w:jc w:val="both"/>
        <w:rPr>
          <w:i/>
          <w:sz w:val="18"/>
        </w:rPr>
      </w:pPr>
      <w:r w:rsidRPr="00F0682A">
        <w:rPr>
          <w:b/>
          <w:i/>
          <w:sz w:val="18"/>
        </w:rPr>
        <w:t>Outcome:</w:t>
      </w:r>
      <w:r w:rsidRPr="00F0682A">
        <w:rPr>
          <w:i/>
          <w:sz w:val="18"/>
        </w:rPr>
        <w:t xml:space="preserve"> The intended or achieved short-term and medium-term effects of an intervention’s outputs, usually requiring the collective effort of partners.  Outcomes represent changes in development conditions which occur between the completion of outputs and the achievement of impact.</w:t>
      </w:r>
    </w:p>
    <w:p w14:paraId="794938AB" w14:textId="77777777" w:rsidR="00197F87" w:rsidRPr="00F0682A" w:rsidRDefault="00197F87" w:rsidP="00A160C0">
      <w:pPr>
        <w:spacing w:after="0" w:line="240" w:lineRule="auto"/>
        <w:jc w:val="both"/>
        <w:rPr>
          <w:i/>
          <w:sz w:val="18"/>
        </w:rPr>
      </w:pPr>
      <w:r w:rsidRPr="00F0682A">
        <w:rPr>
          <w:b/>
          <w:i/>
          <w:sz w:val="18"/>
        </w:rPr>
        <w:t>Outputs:</w:t>
      </w:r>
      <w:r w:rsidRPr="00F0682A">
        <w:rPr>
          <w:i/>
          <w:sz w:val="18"/>
        </w:rPr>
        <w:t xml:space="preserve"> The products and services which result from the completion of activities within a development intervention.</w:t>
      </w:r>
    </w:p>
    <w:p w14:paraId="090FE359" w14:textId="77777777" w:rsidR="00197F87" w:rsidRPr="00E62AAE" w:rsidRDefault="00197F87" w:rsidP="00BC4B02">
      <w:pPr>
        <w:pStyle w:val="ListParagraph"/>
        <w:spacing w:before="100" w:beforeAutospacing="1" w:after="60"/>
        <w:contextualSpacing w:val="0"/>
        <w:jc w:val="both"/>
        <w:rPr>
          <w:i/>
          <w:sz w:val="20"/>
        </w:rPr>
      </w:pPr>
    </w:p>
    <w:p w14:paraId="41917E1C" w14:textId="77777777" w:rsidR="00197F87" w:rsidRDefault="00197F87" w:rsidP="00BC4B0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023"/>
    <w:multiLevelType w:val="hybridMultilevel"/>
    <w:tmpl w:val="12AC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36B"/>
    <w:multiLevelType w:val="multilevel"/>
    <w:tmpl w:val="BC7EC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C10D6"/>
    <w:multiLevelType w:val="hybridMultilevel"/>
    <w:tmpl w:val="301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248B0"/>
    <w:multiLevelType w:val="hybridMultilevel"/>
    <w:tmpl w:val="9F92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868B4"/>
    <w:multiLevelType w:val="hybridMultilevel"/>
    <w:tmpl w:val="1AF219C8"/>
    <w:lvl w:ilvl="0" w:tplc="C2C0E4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92DBE"/>
    <w:multiLevelType w:val="hybridMultilevel"/>
    <w:tmpl w:val="9968955C"/>
    <w:lvl w:ilvl="0" w:tplc="906CF13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563CA7"/>
    <w:multiLevelType w:val="hybridMultilevel"/>
    <w:tmpl w:val="378C8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1C03D8"/>
    <w:multiLevelType w:val="hybridMultilevel"/>
    <w:tmpl w:val="DAFA679A"/>
    <w:lvl w:ilvl="0" w:tplc="505421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A20A7"/>
    <w:multiLevelType w:val="multilevel"/>
    <w:tmpl w:val="9CF4A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936C14"/>
    <w:multiLevelType w:val="hybridMultilevel"/>
    <w:tmpl w:val="D05CF2D2"/>
    <w:lvl w:ilvl="0" w:tplc="FC722A7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A56414"/>
    <w:multiLevelType w:val="hybridMultilevel"/>
    <w:tmpl w:val="6D386E5A"/>
    <w:lvl w:ilvl="0" w:tplc="F342D83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D7481"/>
    <w:multiLevelType w:val="hybridMultilevel"/>
    <w:tmpl w:val="8CFACD68"/>
    <w:lvl w:ilvl="0" w:tplc="D0C6E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776D1"/>
    <w:multiLevelType w:val="multilevel"/>
    <w:tmpl w:val="F8A2FE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B16364"/>
    <w:multiLevelType w:val="hybridMultilevel"/>
    <w:tmpl w:val="713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F4A2D"/>
    <w:multiLevelType w:val="hybridMultilevel"/>
    <w:tmpl w:val="318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6639F"/>
    <w:multiLevelType w:val="hybridMultilevel"/>
    <w:tmpl w:val="08A2A8A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2AAC330C"/>
    <w:multiLevelType w:val="hybridMultilevel"/>
    <w:tmpl w:val="1538782E"/>
    <w:lvl w:ilvl="0" w:tplc="3620EBAC">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2B0471BC"/>
    <w:multiLevelType w:val="hybridMultilevel"/>
    <w:tmpl w:val="2F7AA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2DB23EB7"/>
    <w:multiLevelType w:val="hybridMultilevel"/>
    <w:tmpl w:val="86A6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390D8D"/>
    <w:multiLevelType w:val="hybridMultilevel"/>
    <w:tmpl w:val="2C8C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676DDF"/>
    <w:multiLevelType w:val="hybridMultilevel"/>
    <w:tmpl w:val="AE0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795599"/>
    <w:multiLevelType w:val="hybridMultilevel"/>
    <w:tmpl w:val="1C509CEC"/>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33A1E"/>
    <w:multiLevelType w:val="hybridMultilevel"/>
    <w:tmpl w:val="E356D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A322CC"/>
    <w:multiLevelType w:val="hybridMultilevel"/>
    <w:tmpl w:val="568C950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141B68"/>
    <w:multiLevelType w:val="hybridMultilevel"/>
    <w:tmpl w:val="1916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302DA"/>
    <w:multiLevelType w:val="hybridMultilevel"/>
    <w:tmpl w:val="7876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4286F41"/>
    <w:multiLevelType w:val="hybridMultilevel"/>
    <w:tmpl w:val="B0FC2E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44372D38"/>
    <w:multiLevelType w:val="hybridMultilevel"/>
    <w:tmpl w:val="CDB2E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4DD1FD0"/>
    <w:multiLevelType w:val="hybridMultilevel"/>
    <w:tmpl w:val="39944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0048C5"/>
    <w:multiLevelType w:val="hybridMultilevel"/>
    <w:tmpl w:val="0498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862240"/>
    <w:multiLevelType w:val="hybridMultilevel"/>
    <w:tmpl w:val="3B188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3A059FE"/>
    <w:multiLevelType w:val="hybridMultilevel"/>
    <w:tmpl w:val="2C146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0114A6"/>
    <w:multiLevelType w:val="hybridMultilevel"/>
    <w:tmpl w:val="F352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872D40"/>
    <w:multiLevelType w:val="hybridMultilevel"/>
    <w:tmpl w:val="6DE08928"/>
    <w:lvl w:ilvl="0" w:tplc="5C38389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EC15261"/>
    <w:multiLevelType w:val="hybridMultilevel"/>
    <w:tmpl w:val="47F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F01133"/>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587D52"/>
    <w:multiLevelType w:val="hybridMultilevel"/>
    <w:tmpl w:val="2442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F198E"/>
    <w:multiLevelType w:val="hybridMultilevel"/>
    <w:tmpl w:val="34F608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B04060"/>
    <w:multiLevelType w:val="hybridMultilevel"/>
    <w:tmpl w:val="94308474"/>
    <w:lvl w:ilvl="0" w:tplc="941ED2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B5151F"/>
    <w:multiLevelType w:val="multilevel"/>
    <w:tmpl w:val="12EEB7DC"/>
    <w:lvl w:ilvl="0">
      <w:start w:val="1"/>
      <w:numFmt w:val="decimal"/>
      <w:lvlText w:val="%1."/>
      <w:lvlJc w:val="left"/>
      <w:pPr>
        <w:tabs>
          <w:tab w:val="num" w:pos="720"/>
        </w:tabs>
        <w:ind w:left="720" w:hanging="360"/>
      </w:pPr>
      <w:rPr>
        <w:sz w:val="20"/>
      </w:rPr>
    </w:lvl>
    <w:lvl w:ilvl="1">
      <w:start w:val="1"/>
      <w:numFmt w:val="decimal"/>
      <w:lvlText w:val="%2."/>
      <w:lvlJc w:val="left"/>
      <w:pPr>
        <w:ind w:left="1440" w:hanging="360"/>
      </w:pPr>
    </w:lvl>
    <w:lvl w:ilvl="2">
      <w:start w:val="1"/>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E77A46"/>
    <w:multiLevelType w:val="hybridMultilevel"/>
    <w:tmpl w:val="55E83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A744C7"/>
    <w:multiLevelType w:val="multilevel"/>
    <w:tmpl w:val="B39CE8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E305C45"/>
    <w:multiLevelType w:val="hybridMultilevel"/>
    <w:tmpl w:val="167E3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7"/>
  </w:num>
  <w:num w:numId="3">
    <w:abstractNumId w:val="18"/>
  </w:num>
  <w:num w:numId="4">
    <w:abstractNumId w:val="40"/>
  </w:num>
  <w:num w:numId="5">
    <w:abstractNumId w:val="8"/>
  </w:num>
  <w:num w:numId="6">
    <w:abstractNumId w:val="2"/>
  </w:num>
  <w:num w:numId="7">
    <w:abstractNumId w:val="11"/>
  </w:num>
  <w:num w:numId="8">
    <w:abstractNumId w:val="42"/>
  </w:num>
  <w:num w:numId="9">
    <w:abstractNumId w:val="43"/>
  </w:num>
  <w:num w:numId="10">
    <w:abstractNumId w:val="38"/>
  </w:num>
  <w:num w:numId="11">
    <w:abstractNumId w:val="0"/>
  </w:num>
  <w:num w:numId="12">
    <w:abstractNumId w:val="20"/>
  </w:num>
  <w:num w:numId="13">
    <w:abstractNumId w:val="32"/>
  </w:num>
  <w:num w:numId="14">
    <w:abstractNumId w:val="7"/>
  </w:num>
  <w:num w:numId="15">
    <w:abstractNumId w:val="48"/>
  </w:num>
  <w:num w:numId="16">
    <w:abstractNumId w:val="3"/>
  </w:num>
  <w:num w:numId="17">
    <w:abstractNumId w:val="50"/>
  </w:num>
  <w:num w:numId="18">
    <w:abstractNumId w:val="35"/>
  </w:num>
  <w:num w:numId="19">
    <w:abstractNumId w:val="19"/>
  </w:num>
  <w:num w:numId="20">
    <w:abstractNumId w:val="25"/>
  </w:num>
  <w:num w:numId="21">
    <w:abstractNumId w:val="45"/>
  </w:num>
  <w:num w:numId="22">
    <w:abstractNumId w:val="29"/>
  </w:num>
  <w:num w:numId="23">
    <w:abstractNumId w:val="4"/>
  </w:num>
  <w:num w:numId="24">
    <w:abstractNumId w:val="34"/>
  </w:num>
  <w:num w:numId="25">
    <w:abstractNumId w:val="23"/>
  </w:num>
  <w:num w:numId="26">
    <w:abstractNumId w:val="39"/>
  </w:num>
  <w:num w:numId="27">
    <w:abstractNumId w:val="36"/>
  </w:num>
  <w:num w:numId="28">
    <w:abstractNumId w:val="30"/>
  </w:num>
  <w:num w:numId="29">
    <w:abstractNumId w:val="15"/>
  </w:num>
  <w:num w:numId="30">
    <w:abstractNumId w:val="10"/>
  </w:num>
  <w:num w:numId="31">
    <w:abstractNumId w:val="27"/>
  </w:num>
  <w:num w:numId="32">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33"/>
  </w:num>
  <w:num w:numId="34">
    <w:abstractNumId w:val="31"/>
  </w:num>
  <w:num w:numId="35">
    <w:abstractNumId w:val="44"/>
  </w:num>
  <w:num w:numId="36">
    <w:abstractNumId w:val="28"/>
  </w:num>
  <w:num w:numId="37">
    <w:abstractNumId w:val="1"/>
  </w:num>
  <w:num w:numId="38">
    <w:abstractNumId w:val="49"/>
  </w:num>
  <w:num w:numId="39">
    <w:abstractNumId w:val="13"/>
  </w:num>
  <w:num w:numId="40">
    <w:abstractNumId w:val="5"/>
  </w:num>
  <w:num w:numId="41">
    <w:abstractNumId w:val="16"/>
  </w:num>
  <w:num w:numId="42">
    <w:abstractNumId w:val="9"/>
  </w:num>
  <w:num w:numId="43">
    <w:abstractNumId w:val="41"/>
  </w:num>
  <w:num w:numId="44">
    <w:abstractNumId w:val="46"/>
  </w:num>
  <w:num w:numId="45">
    <w:abstractNumId w:val="24"/>
  </w:num>
  <w:num w:numId="46">
    <w:abstractNumId w:val="22"/>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4"/>
  </w:num>
  <w:num w:numId="50">
    <w:abstractNumId w:val="26"/>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02"/>
    <w:rsid w:val="0000235D"/>
    <w:rsid w:val="000075E4"/>
    <w:rsid w:val="00011536"/>
    <w:rsid w:val="00011A42"/>
    <w:rsid w:val="00016325"/>
    <w:rsid w:val="00017187"/>
    <w:rsid w:val="00025A91"/>
    <w:rsid w:val="00035E77"/>
    <w:rsid w:val="000401F6"/>
    <w:rsid w:val="000433BE"/>
    <w:rsid w:val="000527B0"/>
    <w:rsid w:val="00056FB7"/>
    <w:rsid w:val="00060C34"/>
    <w:rsid w:val="00060E82"/>
    <w:rsid w:val="00064BF1"/>
    <w:rsid w:val="00067CE8"/>
    <w:rsid w:val="0007010D"/>
    <w:rsid w:val="00081DE7"/>
    <w:rsid w:val="000828F4"/>
    <w:rsid w:val="00083D15"/>
    <w:rsid w:val="0009057E"/>
    <w:rsid w:val="00091E82"/>
    <w:rsid w:val="00092EBF"/>
    <w:rsid w:val="000B0734"/>
    <w:rsid w:val="000B2840"/>
    <w:rsid w:val="000B5A27"/>
    <w:rsid w:val="000C39AD"/>
    <w:rsid w:val="000D0EC7"/>
    <w:rsid w:val="000D541B"/>
    <w:rsid w:val="000E08B1"/>
    <w:rsid w:val="000F19A3"/>
    <w:rsid w:val="000F4240"/>
    <w:rsid w:val="001001F9"/>
    <w:rsid w:val="00104BC3"/>
    <w:rsid w:val="00106E61"/>
    <w:rsid w:val="001137A1"/>
    <w:rsid w:val="00122C6B"/>
    <w:rsid w:val="00127918"/>
    <w:rsid w:val="001423F4"/>
    <w:rsid w:val="001434B6"/>
    <w:rsid w:val="00143BCF"/>
    <w:rsid w:val="00144D7F"/>
    <w:rsid w:val="00145215"/>
    <w:rsid w:val="00146512"/>
    <w:rsid w:val="00147F1D"/>
    <w:rsid w:val="0015759B"/>
    <w:rsid w:val="001648A4"/>
    <w:rsid w:val="00173E0E"/>
    <w:rsid w:val="001776FB"/>
    <w:rsid w:val="00186900"/>
    <w:rsid w:val="00193FCB"/>
    <w:rsid w:val="00197F87"/>
    <w:rsid w:val="001A2571"/>
    <w:rsid w:val="001A5369"/>
    <w:rsid w:val="001B4D1D"/>
    <w:rsid w:val="001C10C7"/>
    <w:rsid w:val="001C3EF1"/>
    <w:rsid w:val="001C4BED"/>
    <w:rsid w:val="001D0E33"/>
    <w:rsid w:val="001D275A"/>
    <w:rsid w:val="001D5276"/>
    <w:rsid w:val="001E2EF2"/>
    <w:rsid w:val="002222B9"/>
    <w:rsid w:val="0022274C"/>
    <w:rsid w:val="00223710"/>
    <w:rsid w:val="00226B58"/>
    <w:rsid w:val="00226E8B"/>
    <w:rsid w:val="002426BD"/>
    <w:rsid w:val="00245514"/>
    <w:rsid w:val="00256438"/>
    <w:rsid w:val="00265548"/>
    <w:rsid w:val="00266D78"/>
    <w:rsid w:val="00272142"/>
    <w:rsid w:val="002753F9"/>
    <w:rsid w:val="00280B2D"/>
    <w:rsid w:val="00281260"/>
    <w:rsid w:val="00281809"/>
    <w:rsid w:val="00283B03"/>
    <w:rsid w:val="00285A35"/>
    <w:rsid w:val="00293AA0"/>
    <w:rsid w:val="002A68BC"/>
    <w:rsid w:val="002A75AF"/>
    <w:rsid w:val="002C1D21"/>
    <w:rsid w:val="002C360B"/>
    <w:rsid w:val="002C3744"/>
    <w:rsid w:val="002D0888"/>
    <w:rsid w:val="002E096C"/>
    <w:rsid w:val="002E2C54"/>
    <w:rsid w:val="002E2FEF"/>
    <w:rsid w:val="002E418F"/>
    <w:rsid w:val="002E6062"/>
    <w:rsid w:val="00304BDB"/>
    <w:rsid w:val="003077DF"/>
    <w:rsid w:val="0031489F"/>
    <w:rsid w:val="003176C2"/>
    <w:rsid w:val="003206EB"/>
    <w:rsid w:val="003309A3"/>
    <w:rsid w:val="0034054C"/>
    <w:rsid w:val="00340C8C"/>
    <w:rsid w:val="003435EC"/>
    <w:rsid w:val="00350167"/>
    <w:rsid w:val="0035020D"/>
    <w:rsid w:val="00350DCE"/>
    <w:rsid w:val="00351BD5"/>
    <w:rsid w:val="003562FF"/>
    <w:rsid w:val="00356369"/>
    <w:rsid w:val="0037185C"/>
    <w:rsid w:val="00375E00"/>
    <w:rsid w:val="00382CFE"/>
    <w:rsid w:val="00383440"/>
    <w:rsid w:val="00390D23"/>
    <w:rsid w:val="0039440E"/>
    <w:rsid w:val="003A6A51"/>
    <w:rsid w:val="003B1F18"/>
    <w:rsid w:val="003C18E5"/>
    <w:rsid w:val="003C2B34"/>
    <w:rsid w:val="003C30A2"/>
    <w:rsid w:val="003D797D"/>
    <w:rsid w:val="003E430C"/>
    <w:rsid w:val="003E680F"/>
    <w:rsid w:val="003E7A83"/>
    <w:rsid w:val="003F15DB"/>
    <w:rsid w:val="003F4E56"/>
    <w:rsid w:val="003F5007"/>
    <w:rsid w:val="00403346"/>
    <w:rsid w:val="00412533"/>
    <w:rsid w:val="004155F4"/>
    <w:rsid w:val="004232E2"/>
    <w:rsid w:val="00432F48"/>
    <w:rsid w:val="004359D0"/>
    <w:rsid w:val="00441EF5"/>
    <w:rsid w:val="00454377"/>
    <w:rsid w:val="00455EE9"/>
    <w:rsid w:val="004606A3"/>
    <w:rsid w:val="00461AE0"/>
    <w:rsid w:val="00461DFD"/>
    <w:rsid w:val="00462C5F"/>
    <w:rsid w:val="00467C6B"/>
    <w:rsid w:val="00471547"/>
    <w:rsid w:val="00477F5F"/>
    <w:rsid w:val="00483705"/>
    <w:rsid w:val="004871F7"/>
    <w:rsid w:val="004901AC"/>
    <w:rsid w:val="00490D07"/>
    <w:rsid w:val="004922F3"/>
    <w:rsid w:val="004A11CA"/>
    <w:rsid w:val="004A5E9B"/>
    <w:rsid w:val="004B069F"/>
    <w:rsid w:val="004B4AF2"/>
    <w:rsid w:val="004B6D3A"/>
    <w:rsid w:val="004C3332"/>
    <w:rsid w:val="004C6A03"/>
    <w:rsid w:val="004D049F"/>
    <w:rsid w:val="004D3182"/>
    <w:rsid w:val="004D684C"/>
    <w:rsid w:val="005045BC"/>
    <w:rsid w:val="00512C09"/>
    <w:rsid w:val="00513087"/>
    <w:rsid w:val="005211CF"/>
    <w:rsid w:val="00530DAB"/>
    <w:rsid w:val="00537690"/>
    <w:rsid w:val="00551ADA"/>
    <w:rsid w:val="00557CD4"/>
    <w:rsid w:val="005735F2"/>
    <w:rsid w:val="0057688B"/>
    <w:rsid w:val="00592D0D"/>
    <w:rsid w:val="00597DD4"/>
    <w:rsid w:val="005A1E16"/>
    <w:rsid w:val="005A67C4"/>
    <w:rsid w:val="005B1267"/>
    <w:rsid w:val="005B2B2F"/>
    <w:rsid w:val="005B567B"/>
    <w:rsid w:val="005C0459"/>
    <w:rsid w:val="005C670E"/>
    <w:rsid w:val="005E1B75"/>
    <w:rsid w:val="005E33D6"/>
    <w:rsid w:val="005F1B96"/>
    <w:rsid w:val="005F3C07"/>
    <w:rsid w:val="005F7FCB"/>
    <w:rsid w:val="00601404"/>
    <w:rsid w:val="00607727"/>
    <w:rsid w:val="006150AF"/>
    <w:rsid w:val="00620EEC"/>
    <w:rsid w:val="0062421F"/>
    <w:rsid w:val="00627AA2"/>
    <w:rsid w:val="006400BF"/>
    <w:rsid w:val="006559FA"/>
    <w:rsid w:val="00666F35"/>
    <w:rsid w:val="006836D1"/>
    <w:rsid w:val="00683C36"/>
    <w:rsid w:val="00690B42"/>
    <w:rsid w:val="0069520F"/>
    <w:rsid w:val="00695F66"/>
    <w:rsid w:val="006A2714"/>
    <w:rsid w:val="006B43DA"/>
    <w:rsid w:val="006C19EA"/>
    <w:rsid w:val="006C2182"/>
    <w:rsid w:val="006C28CF"/>
    <w:rsid w:val="006D606C"/>
    <w:rsid w:val="006F00C4"/>
    <w:rsid w:val="006F2553"/>
    <w:rsid w:val="00702713"/>
    <w:rsid w:val="0070582B"/>
    <w:rsid w:val="00712542"/>
    <w:rsid w:val="007315A6"/>
    <w:rsid w:val="007318FB"/>
    <w:rsid w:val="007319CB"/>
    <w:rsid w:val="00733791"/>
    <w:rsid w:val="00741656"/>
    <w:rsid w:val="00755979"/>
    <w:rsid w:val="00780F2A"/>
    <w:rsid w:val="007835AF"/>
    <w:rsid w:val="00783A6D"/>
    <w:rsid w:val="00786D74"/>
    <w:rsid w:val="00791903"/>
    <w:rsid w:val="007A331A"/>
    <w:rsid w:val="007A4C8C"/>
    <w:rsid w:val="007A4D1A"/>
    <w:rsid w:val="007A702F"/>
    <w:rsid w:val="007C361E"/>
    <w:rsid w:val="007E4568"/>
    <w:rsid w:val="007F16D6"/>
    <w:rsid w:val="007F45E7"/>
    <w:rsid w:val="00825FAE"/>
    <w:rsid w:val="00830399"/>
    <w:rsid w:val="00834F16"/>
    <w:rsid w:val="008366B7"/>
    <w:rsid w:val="00843A26"/>
    <w:rsid w:val="00854D41"/>
    <w:rsid w:val="00856CC2"/>
    <w:rsid w:val="008605CA"/>
    <w:rsid w:val="00872996"/>
    <w:rsid w:val="00884CE1"/>
    <w:rsid w:val="008925C4"/>
    <w:rsid w:val="00893902"/>
    <w:rsid w:val="008A5D2D"/>
    <w:rsid w:val="008C5A15"/>
    <w:rsid w:val="008D003C"/>
    <w:rsid w:val="008E1999"/>
    <w:rsid w:val="008F28BF"/>
    <w:rsid w:val="00901657"/>
    <w:rsid w:val="0090225A"/>
    <w:rsid w:val="00904EF0"/>
    <w:rsid w:val="00905070"/>
    <w:rsid w:val="00922381"/>
    <w:rsid w:val="00934C75"/>
    <w:rsid w:val="009362DB"/>
    <w:rsid w:val="00941C1F"/>
    <w:rsid w:val="00946A04"/>
    <w:rsid w:val="00955E17"/>
    <w:rsid w:val="00957E52"/>
    <w:rsid w:val="009611D5"/>
    <w:rsid w:val="009677FF"/>
    <w:rsid w:val="009753E2"/>
    <w:rsid w:val="009764FE"/>
    <w:rsid w:val="00982C47"/>
    <w:rsid w:val="00985199"/>
    <w:rsid w:val="00985856"/>
    <w:rsid w:val="009909F8"/>
    <w:rsid w:val="009927B4"/>
    <w:rsid w:val="0099281F"/>
    <w:rsid w:val="009A0EE9"/>
    <w:rsid w:val="009A4FD1"/>
    <w:rsid w:val="009C5A3A"/>
    <w:rsid w:val="009C6EFD"/>
    <w:rsid w:val="009C7F15"/>
    <w:rsid w:val="009D125F"/>
    <w:rsid w:val="009E45F1"/>
    <w:rsid w:val="00A026EA"/>
    <w:rsid w:val="00A14103"/>
    <w:rsid w:val="00A160C0"/>
    <w:rsid w:val="00A41294"/>
    <w:rsid w:val="00A43CEE"/>
    <w:rsid w:val="00A518FD"/>
    <w:rsid w:val="00A612B1"/>
    <w:rsid w:val="00A65195"/>
    <w:rsid w:val="00A85417"/>
    <w:rsid w:val="00A92E2E"/>
    <w:rsid w:val="00A95760"/>
    <w:rsid w:val="00AA1F03"/>
    <w:rsid w:val="00AA7C80"/>
    <w:rsid w:val="00AC090B"/>
    <w:rsid w:val="00AC6DEC"/>
    <w:rsid w:val="00AE06A9"/>
    <w:rsid w:val="00AE2ACC"/>
    <w:rsid w:val="00AE57F6"/>
    <w:rsid w:val="00AF66F5"/>
    <w:rsid w:val="00B02FA7"/>
    <w:rsid w:val="00B077AC"/>
    <w:rsid w:val="00B10106"/>
    <w:rsid w:val="00B176E3"/>
    <w:rsid w:val="00B24801"/>
    <w:rsid w:val="00B30094"/>
    <w:rsid w:val="00B60191"/>
    <w:rsid w:val="00B6196E"/>
    <w:rsid w:val="00B66B15"/>
    <w:rsid w:val="00B75EAE"/>
    <w:rsid w:val="00B859E3"/>
    <w:rsid w:val="00B937CC"/>
    <w:rsid w:val="00BA3878"/>
    <w:rsid w:val="00BB1CB1"/>
    <w:rsid w:val="00BB3CDC"/>
    <w:rsid w:val="00BB6013"/>
    <w:rsid w:val="00BB7AA4"/>
    <w:rsid w:val="00BC0E8F"/>
    <w:rsid w:val="00BC1996"/>
    <w:rsid w:val="00BC4B02"/>
    <w:rsid w:val="00BC5921"/>
    <w:rsid w:val="00BD22ED"/>
    <w:rsid w:val="00BE1AEF"/>
    <w:rsid w:val="00BF7B20"/>
    <w:rsid w:val="00C00725"/>
    <w:rsid w:val="00C03012"/>
    <w:rsid w:val="00C03AA5"/>
    <w:rsid w:val="00C155A6"/>
    <w:rsid w:val="00C21A6A"/>
    <w:rsid w:val="00C2366D"/>
    <w:rsid w:val="00C2722E"/>
    <w:rsid w:val="00C30514"/>
    <w:rsid w:val="00C32B29"/>
    <w:rsid w:val="00C43B63"/>
    <w:rsid w:val="00C44A70"/>
    <w:rsid w:val="00C535EB"/>
    <w:rsid w:val="00C60F2A"/>
    <w:rsid w:val="00C616CD"/>
    <w:rsid w:val="00C63E22"/>
    <w:rsid w:val="00C63E72"/>
    <w:rsid w:val="00C71E9A"/>
    <w:rsid w:val="00C724FB"/>
    <w:rsid w:val="00C72D99"/>
    <w:rsid w:val="00C844C8"/>
    <w:rsid w:val="00C868C8"/>
    <w:rsid w:val="00CA0A26"/>
    <w:rsid w:val="00CA3459"/>
    <w:rsid w:val="00CC149F"/>
    <w:rsid w:val="00CC3BDC"/>
    <w:rsid w:val="00CC5AB0"/>
    <w:rsid w:val="00CD5BFA"/>
    <w:rsid w:val="00CD6489"/>
    <w:rsid w:val="00CE0CDC"/>
    <w:rsid w:val="00CE2283"/>
    <w:rsid w:val="00CE32D7"/>
    <w:rsid w:val="00CE4D68"/>
    <w:rsid w:val="00CF2CC1"/>
    <w:rsid w:val="00CF5D1C"/>
    <w:rsid w:val="00D1369C"/>
    <w:rsid w:val="00D20236"/>
    <w:rsid w:val="00D26E0C"/>
    <w:rsid w:val="00D30166"/>
    <w:rsid w:val="00D301F0"/>
    <w:rsid w:val="00D5624F"/>
    <w:rsid w:val="00D60683"/>
    <w:rsid w:val="00D62C11"/>
    <w:rsid w:val="00D658EF"/>
    <w:rsid w:val="00D7055F"/>
    <w:rsid w:val="00D7133A"/>
    <w:rsid w:val="00D8320C"/>
    <w:rsid w:val="00D83467"/>
    <w:rsid w:val="00D8743F"/>
    <w:rsid w:val="00D9206C"/>
    <w:rsid w:val="00D92CCD"/>
    <w:rsid w:val="00D96095"/>
    <w:rsid w:val="00DA1776"/>
    <w:rsid w:val="00DA370D"/>
    <w:rsid w:val="00DB479E"/>
    <w:rsid w:val="00DD35A5"/>
    <w:rsid w:val="00DD43A1"/>
    <w:rsid w:val="00DD5759"/>
    <w:rsid w:val="00DE37DD"/>
    <w:rsid w:val="00DE4E19"/>
    <w:rsid w:val="00DF1D4F"/>
    <w:rsid w:val="00DF2D75"/>
    <w:rsid w:val="00DF4061"/>
    <w:rsid w:val="00DF6706"/>
    <w:rsid w:val="00E034C1"/>
    <w:rsid w:val="00E27965"/>
    <w:rsid w:val="00E41343"/>
    <w:rsid w:val="00E528A9"/>
    <w:rsid w:val="00E53BAD"/>
    <w:rsid w:val="00E6614F"/>
    <w:rsid w:val="00E671F8"/>
    <w:rsid w:val="00E74466"/>
    <w:rsid w:val="00E82BA9"/>
    <w:rsid w:val="00E83C1B"/>
    <w:rsid w:val="00E962B4"/>
    <w:rsid w:val="00EA075E"/>
    <w:rsid w:val="00EB3CAA"/>
    <w:rsid w:val="00EB3F2E"/>
    <w:rsid w:val="00EB3F46"/>
    <w:rsid w:val="00EB424B"/>
    <w:rsid w:val="00EC4002"/>
    <w:rsid w:val="00EC754D"/>
    <w:rsid w:val="00ED5877"/>
    <w:rsid w:val="00ED704D"/>
    <w:rsid w:val="00EE06B6"/>
    <w:rsid w:val="00EE6E2E"/>
    <w:rsid w:val="00EE7EB9"/>
    <w:rsid w:val="00F02A84"/>
    <w:rsid w:val="00F12D09"/>
    <w:rsid w:val="00F21DEC"/>
    <w:rsid w:val="00F255EA"/>
    <w:rsid w:val="00F309F7"/>
    <w:rsid w:val="00F31637"/>
    <w:rsid w:val="00F335EE"/>
    <w:rsid w:val="00F33C21"/>
    <w:rsid w:val="00F422EA"/>
    <w:rsid w:val="00F43EF8"/>
    <w:rsid w:val="00F512EE"/>
    <w:rsid w:val="00F5620A"/>
    <w:rsid w:val="00F6422D"/>
    <w:rsid w:val="00F65A12"/>
    <w:rsid w:val="00F66104"/>
    <w:rsid w:val="00F66AC2"/>
    <w:rsid w:val="00F8008C"/>
    <w:rsid w:val="00F814BF"/>
    <w:rsid w:val="00F87BDE"/>
    <w:rsid w:val="00FA0958"/>
    <w:rsid w:val="00FA5BCA"/>
    <w:rsid w:val="00FB40C6"/>
    <w:rsid w:val="00FC7BDD"/>
    <w:rsid w:val="00FD72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4818"/>
  <w15:docId w15:val="{B6993ABB-0669-4A08-A68A-3C7A3C86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4B02"/>
    <w:pPr>
      <w:spacing w:after="200" w:line="276" w:lineRule="auto"/>
    </w:pPr>
    <w:rPr>
      <w:lang w:val="en-US"/>
    </w:rPr>
  </w:style>
  <w:style w:type="paragraph" w:styleId="Heading1">
    <w:name w:val="heading 1"/>
    <w:basedOn w:val="Normal"/>
    <w:next w:val="Normal"/>
    <w:link w:val="Heading1Char"/>
    <w:uiPriority w:val="9"/>
    <w:qFormat/>
    <w:rsid w:val="006C28CF"/>
    <w:pPr>
      <w:keepNext/>
      <w:keepLines/>
      <w:spacing w:before="240" w:after="0"/>
      <w:outlineLvl w:val="0"/>
    </w:pPr>
    <w:rPr>
      <w:rFonts w:ascii="Calibri" w:eastAsiaTheme="majorEastAsia" w:hAnsi="Calibr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6C28CF"/>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6C28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CF"/>
    <w:rPr>
      <w:rFonts w:ascii="Calibri" w:eastAsiaTheme="majorEastAsia" w:hAnsi="Calibri" w:cstheme="majorBidi"/>
      <w:b/>
      <w:color w:val="2E74B5" w:themeColor="accent1" w:themeShade="BF"/>
      <w:sz w:val="24"/>
      <w:szCs w:val="32"/>
      <w:lang w:val="en-US"/>
    </w:rPr>
  </w:style>
  <w:style w:type="character" w:customStyle="1" w:styleId="BalloonTextChar">
    <w:name w:val="Balloon Text Char"/>
    <w:basedOn w:val="DefaultParagraphFont"/>
    <w:link w:val="BalloonText"/>
    <w:uiPriority w:val="99"/>
    <w:semiHidden/>
    <w:rsid w:val="00BC4B02"/>
    <w:rPr>
      <w:rFonts w:ascii="Tahoma" w:hAnsi="Tahoma" w:cs="Tahoma"/>
      <w:sz w:val="16"/>
      <w:szCs w:val="16"/>
      <w:lang w:val="en-US"/>
    </w:rPr>
  </w:style>
  <w:style w:type="paragraph" w:styleId="BalloonText">
    <w:name w:val="Balloon Text"/>
    <w:basedOn w:val="Normal"/>
    <w:link w:val="BalloonTextChar"/>
    <w:uiPriority w:val="99"/>
    <w:semiHidden/>
    <w:unhideWhenUsed/>
    <w:rsid w:val="00BC4B02"/>
    <w:pPr>
      <w:spacing w:after="0" w:line="240" w:lineRule="auto"/>
    </w:pPr>
    <w:rPr>
      <w:rFonts w:ascii="Tahoma" w:hAnsi="Tahoma" w:cs="Tahoma"/>
      <w:sz w:val="16"/>
      <w:szCs w:val="16"/>
    </w:rPr>
  </w:style>
  <w:style w:type="paragraph" w:styleId="ListParagraph">
    <w:name w:val="List Paragraph"/>
    <w:basedOn w:val="Normal"/>
    <w:link w:val="ListParagraphChar"/>
    <w:uiPriority w:val="34"/>
    <w:qFormat/>
    <w:rsid w:val="00BC4B02"/>
    <w:pPr>
      <w:ind w:left="720"/>
      <w:contextualSpacing/>
    </w:pPr>
  </w:style>
  <w:style w:type="character" w:customStyle="1" w:styleId="ListParagraphChar">
    <w:name w:val="List Paragraph Char"/>
    <w:link w:val="ListParagraph"/>
    <w:uiPriority w:val="99"/>
    <w:locked/>
    <w:rsid w:val="00BC4B02"/>
    <w:rPr>
      <w:lang w:val="en-US"/>
    </w:rPr>
  </w:style>
  <w:style w:type="character" w:customStyle="1" w:styleId="EndnoteTextChar">
    <w:name w:val="Endnote Text Char"/>
    <w:basedOn w:val="DefaultParagraphFont"/>
    <w:link w:val="EndnoteText"/>
    <w:uiPriority w:val="99"/>
    <w:semiHidden/>
    <w:rsid w:val="00BC4B02"/>
    <w:rPr>
      <w:sz w:val="20"/>
      <w:szCs w:val="20"/>
      <w:lang w:val="en-US"/>
    </w:rPr>
  </w:style>
  <w:style w:type="paragraph" w:styleId="EndnoteText">
    <w:name w:val="endnote text"/>
    <w:basedOn w:val="Normal"/>
    <w:link w:val="EndnoteTextChar"/>
    <w:uiPriority w:val="99"/>
    <w:semiHidden/>
    <w:unhideWhenUsed/>
    <w:rsid w:val="00BC4B02"/>
    <w:pPr>
      <w:spacing w:after="0" w:line="240" w:lineRule="auto"/>
    </w:pPr>
    <w:rPr>
      <w:sz w:val="20"/>
      <w:szCs w:val="20"/>
    </w:rPr>
  </w:style>
  <w:style w:type="character" w:styleId="EndnoteReference">
    <w:name w:val="endnote reference"/>
    <w:basedOn w:val="DefaultParagraphFont"/>
    <w:uiPriority w:val="99"/>
    <w:semiHidden/>
    <w:unhideWhenUsed/>
    <w:rsid w:val="00BC4B02"/>
    <w:rPr>
      <w:vertAlign w:val="superscript"/>
    </w:rPr>
  </w:style>
  <w:style w:type="paragraph" w:styleId="FootnoteText">
    <w:name w:val="footnote text"/>
    <w:basedOn w:val="Normal"/>
    <w:link w:val="FootnoteTextChar"/>
    <w:uiPriority w:val="99"/>
    <w:unhideWhenUsed/>
    <w:rsid w:val="00BC4B02"/>
    <w:pPr>
      <w:spacing w:after="0" w:line="240" w:lineRule="auto"/>
    </w:pPr>
    <w:rPr>
      <w:sz w:val="20"/>
      <w:szCs w:val="20"/>
    </w:rPr>
  </w:style>
  <w:style w:type="character" w:customStyle="1" w:styleId="FootnoteTextChar">
    <w:name w:val="Footnote Text Char"/>
    <w:basedOn w:val="DefaultParagraphFont"/>
    <w:link w:val="FootnoteText"/>
    <w:uiPriority w:val="99"/>
    <w:rsid w:val="00BC4B02"/>
    <w:rPr>
      <w:sz w:val="20"/>
      <w:szCs w:val="20"/>
      <w:lang w:val="en-US"/>
    </w:rPr>
  </w:style>
  <w:style w:type="character" w:styleId="FootnoteReference">
    <w:name w:val="footnote reference"/>
    <w:basedOn w:val="DefaultParagraphFont"/>
    <w:uiPriority w:val="99"/>
    <w:semiHidden/>
    <w:unhideWhenUsed/>
    <w:rsid w:val="00BC4B02"/>
    <w:rPr>
      <w:vertAlign w:val="superscript"/>
    </w:rPr>
  </w:style>
  <w:style w:type="character" w:customStyle="1" w:styleId="CommentTextChar">
    <w:name w:val="Comment Text Char"/>
    <w:basedOn w:val="DefaultParagraphFont"/>
    <w:link w:val="CommentText"/>
    <w:uiPriority w:val="99"/>
    <w:rsid w:val="00BC4B02"/>
    <w:rPr>
      <w:sz w:val="20"/>
      <w:szCs w:val="20"/>
      <w:lang w:val="en-US"/>
    </w:rPr>
  </w:style>
  <w:style w:type="paragraph" w:styleId="CommentText">
    <w:name w:val="annotation text"/>
    <w:basedOn w:val="Normal"/>
    <w:link w:val="CommentTextChar"/>
    <w:uiPriority w:val="99"/>
    <w:unhideWhenUsed/>
    <w:rsid w:val="00BC4B02"/>
    <w:pPr>
      <w:spacing w:line="240" w:lineRule="auto"/>
    </w:pPr>
    <w:rPr>
      <w:sz w:val="20"/>
      <w:szCs w:val="20"/>
    </w:rPr>
  </w:style>
  <w:style w:type="character" w:customStyle="1" w:styleId="CommentSubjectChar">
    <w:name w:val="Comment Subject Char"/>
    <w:basedOn w:val="CommentTextChar"/>
    <w:link w:val="CommentSubject"/>
    <w:uiPriority w:val="99"/>
    <w:semiHidden/>
    <w:rsid w:val="00BC4B02"/>
    <w:rPr>
      <w:b/>
      <w:bCs/>
      <w:sz w:val="20"/>
      <w:szCs w:val="20"/>
      <w:lang w:val="en-US"/>
    </w:rPr>
  </w:style>
  <w:style w:type="paragraph" w:styleId="CommentSubject">
    <w:name w:val="annotation subject"/>
    <w:basedOn w:val="CommentText"/>
    <w:next w:val="CommentText"/>
    <w:link w:val="CommentSubjectChar"/>
    <w:uiPriority w:val="99"/>
    <w:semiHidden/>
    <w:unhideWhenUsed/>
    <w:rsid w:val="00BC4B02"/>
    <w:rPr>
      <w:b/>
      <w:bCs/>
    </w:rPr>
  </w:style>
  <w:style w:type="table" w:styleId="TableGrid">
    <w:name w:val="Table Grid"/>
    <w:basedOn w:val="TableNormal"/>
    <w:uiPriority w:val="59"/>
    <w:rsid w:val="00BC4B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02"/>
    <w:rPr>
      <w:lang w:val="en-US"/>
    </w:rPr>
  </w:style>
  <w:style w:type="paragraph" w:styleId="Footer">
    <w:name w:val="footer"/>
    <w:basedOn w:val="Normal"/>
    <w:link w:val="FooterChar"/>
    <w:uiPriority w:val="99"/>
    <w:unhideWhenUsed/>
    <w:rsid w:val="00BC4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02"/>
    <w:rPr>
      <w:lang w:val="en-US"/>
    </w:rPr>
  </w:style>
  <w:style w:type="paragraph" w:styleId="Title">
    <w:name w:val="Title"/>
    <w:basedOn w:val="Normal"/>
    <w:next w:val="Normal"/>
    <w:link w:val="TitleChar"/>
    <w:uiPriority w:val="10"/>
    <w:qFormat/>
    <w:rsid w:val="00256438"/>
    <w:pPr>
      <w:spacing w:after="0" w:line="240" w:lineRule="auto"/>
      <w:contextualSpacing/>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256438"/>
    <w:rPr>
      <w:rFonts w:ascii="Calibri" w:eastAsiaTheme="majorEastAsia" w:hAnsi="Calibri" w:cstheme="majorBidi"/>
      <w:b/>
      <w:spacing w:val="-10"/>
      <w:kern w:val="28"/>
      <w:sz w:val="28"/>
      <w:szCs w:val="56"/>
      <w:lang w:val="en-US"/>
    </w:rPr>
  </w:style>
  <w:style w:type="character" w:customStyle="1" w:styleId="Heading2Char">
    <w:name w:val="Heading 2 Char"/>
    <w:basedOn w:val="DefaultParagraphFont"/>
    <w:link w:val="Heading2"/>
    <w:uiPriority w:val="9"/>
    <w:rsid w:val="006C28CF"/>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6C28CF"/>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unhideWhenUsed/>
    <w:rsid w:val="00EC4002"/>
    <w:rPr>
      <w:color w:val="0563C1" w:themeColor="hyperlink"/>
      <w:u w:val="single"/>
    </w:rPr>
  </w:style>
  <w:style w:type="paragraph" w:styleId="NormalWeb">
    <w:name w:val="Normal (Web)"/>
    <w:basedOn w:val="Normal"/>
    <w:uiPriority w:val="99"/>
    <w:semiHidden/>
    <w:unhideWhenUsed/>
    <w:rsid w:val="002E4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026EA"/>
    <w:rPr>
      <w:color w:val="808080"/>
      <w:shd w:val="clear" w:color="auto" w:fill="E6E6E6"/>
    </w:rPr>
  </w:style>
  <w:style w:type="character" w:styleId="CommentReference">
    <w:name w:val="annotation reference"/>
    <w:basedOn w:val="DefaultParagraphFont"/>
    <w:uiPriority w:val="99"/>
    <w:semiHidden/>
    <w:unhideWhenUsed/>
    <w:rsid w:val="000B0734"/>
    <w:rPr>
      <w:sz w:val="16"/>
      <w:szCs w:val="16"/>
    </w:rPr>
  </w:style>
  <w:style w:type="character" w:styleId="FollowedHyperlink">
    <w:name w:val="FollowedHyperlink"/>
    <w:basedOn w:val="DefaultParagraphFont"/>
    <w:uiPriority w:val="99"/>
    <w:semiHidden/>
    <w:unhideWhenUsed/>
    <w:rsid w:val="00D1369C"/>
    <w:rPr>
      <w:color w:val="954F72" w:themeColor="followedHyperlink"/>
      <w:u w:val="single"/>
    </w:rPr>
  </w:style>
  <w:style w:type="paragraph" w:customStyle="1" w:styleId="xmsolistparagraph">
    <w:name w:val="x_msolistparagraph"/>
    <w:basedOn w:val="Normal"/>
    <w:rsid w:val="000E08B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Revision">
    <w:name w:val="Revision"/>
    <w:hidden/>
    <w:uiPriority w:val="99"/>
    <w:semiHidden/>
    <w:rsid w:val="006150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0245">
      <w:bodyDiv w:val="1"/>
      <w:marLeft w:val="0"/>
      <w:marRight w:val="0"/>
      <w:marTop w:val="0"/>
      <w:marBottom w:val="0"/>
      <w:divBdr>
        <w:top w:val="none" w:sz="0" w:space="0" w:color="auto"/>
        <w:left w:val="none" w:sz="0" w:space="0" w:color="auto"/>
        <w:bottom w:val="none" w:sz="0" w:space="0" w:color="auto"/>
        <w:right w:val="none" w:sz="0" w:space="0" w:color="auto"/>
      </w:divBdr>
    </w:div>
    <w:div w:id="350255981">
      <w:bodyDiv w:val="1"/>
      <w:marLeft w:val="0"/>
      <w:marRight w:val="0"/>
      <w:marTop w:val="0"/>
      <w:marBottom w:val="0"/>
      <w:divBdr>
        <w:top w:val="none" w:sz="0" w:space="0" w:color="auto"/>
        <w:left w:val="none" w:sz="0" w:space="0" w:color="auto"/>
        <w:bottom w:val="none" w:sz="0" w:space="0" w:color="auto"/>
        <w:right w:val="none" w:sz="0" w:space="0" w:color="auto"/>
      </w:divBdr>
    </w:div>
    <w:div w:id="411511261">
      <w:bodyDiv w:val="1"/>
      <w:marLeft w:val="0"/>
      <w:marRight w:val="0"/>
      <w:marTop w:val="0"/>
      <w:marBottom w:val="0"/>
      <w:divBdr>
        <w:top w:val="none" w:sz="0" w:space="0" w:color="auto"/>
        <w:left w:val="none" w:sz="0" w:space="0" w:color="auto"/>
        <w:bottom w:val="none" w:sz="0" w:space="0" w:color="auto"/>
        <w:right w:val="none" w:sz="0" w:space="0" w:color="auto"/>
      </w:divBdr>
    </w:div>
    <w:div w:id="420227044">
      <w:bodyDiv w:val="1"/>
      <w:marLeft w:val="0"/>
      <w:marRight w:val="0"/>
      <w:marTop w:val="0"/>
      <w:marBottom w:val="0"/>
      <w:divBdr>
        <w:top w:val="none" w:sz="0" w:space="0" w:color="auto"/>
        <w:left w:val="none" w:sz="0" w:space="0" w:color="auto"/>
        <w:bottom w:val="none" w:sz="0" w:space="0" w:color="auto"/>
        <w:right w:val="none" w:sz="0" w:space="0" w:color="auto"/>
      </w:divBdr>
    </w:div>
    <w:div w:id="525683028">
      <w:bodyDiv w:val="1"/>
      <w:marLeft w:val="0"/>
      <w:marRight w:val="0"/>
      <w:marTop w:val="0"/>
      <w:marBottom w:val="0"/>
      <w:divBdr>
        <w:top w:val="none" w:sz="0" w:space="0" w:color="auto"/>
        <w:left w:val="none" w:sz="0" w:space="0" w:color="auto"/>
        <w:bottom w:val="none" w:sz="0" w:space="0" w:color="auto"/>
        <w:right w:val="none" w:sz="0" w:space="0" w:color="auto"/>
      </w:divBdr>
    </w:div>
    <w:div w:id="630478092">
      <w:bodyDiv w:val="1"/>
      <w:marLeft w:val="0"/>
      <w:marRight w:val="0"/>
      <w:marTop w:val="0"/>
      <w:marBottom w:val="0"/>
      <w:divBdr>
        <w:top w:val="none" w:sz="0" w:space="0" w:color="auto"/>
        <w:left w:val="none" w:sz="0" w:space="0" w:color="auto"/>
        <w:bottom w:val="none" w:sz="0" w:space="0" w:color="auto"/>
        <w:right w:val="none" w:sz="0" w:space="0" w:color="auto"/>
      </w:divBdr>
    </w:div>
    <w:div w:id="801309994">
      <w:bodyDiv w:val="1"/>
      <w:marLeft w:val="0"/>
      <w:marRight w:val="0"/>
      <w:marTop w:val="0"/>
      <w:marBottom w:val="0"/>
      <w:divBdr>
        <w:top w:val="none" w:sz="0" w:space="0" w:color="auto"/>
        <w:left w:val="none" w:sz="0" w:space="0" w:color="auto"/>
        <w:bottom w:val="none" w:sz="0" w:space="0" w:color="auto"/>
        <w:right w:val="none" w:sz="0" w:space="0" w:color="auto"/>
      </w:divBdr>
    </w:div>
    <w:div w:id="843670961">
      <w:bodyDiv w:val="1"/>
      <w:marLeft w:val="0"/>
      <w:marRight w:val="0"/>
      <w:marTop w:val="0"/>
      <w:marBottom w:val="0"/>
      <w:divBdr>
        <w:top w:val="none" w:sz="0" w:space="0" w:color="auto"/>
        <w:left w:val="none" w:sz="0" w:space="0" w:color="auto"/>
        <w:bottom w:val="none" w:sz="0" w:space="0" w:color="auto"/>
        <w:right w:val="none" w:sz="0" w:space="0" w:color="auto"/>
      </w:divBdr>
    </w:div>
    <w:div w:id="852113123">
      <w:bodyDiv w:val="1"/>
      <w:marLeft w:val="0"/>
      <w:marRight w:val="0"/>
      <w:marTop w:val="0"/>
      <w:marBottom w:val="0"/>
      <w:divBdr>
        <w:top w:val="none" w:sz="0" w:space="0" w:color="auto"/>
        <w:left w:val="none" w:sz="0" w:space="0" w:color="auto"/>
        <w:bottom w:val="none" w:sz="0" w:space="0" w:color="auto"/>
        <w:right w:val="none" w:sz="0" w:space="0" w:color="auto"/>
      </w:divBdr>
    </w:div>
    <w:div w:id="865753325">
      <w:bodyDiv w:val="1"/>
      <w:marLeft w:val="0"/>
      <w:marRight w:val="0"/>
      <w:marTop w:val="0"/>
      <w:marBottom w:val="0"/>
      <w:divBdr>
        <w:top w:val="none" w:sz="0" w:space="0" w:color="auto"/>
        <w:left w:val="none" w:sz="0" w:space="0" w:color="auto"/>
        <w:bottom w:val="none" w:sz="0" w:space="0" w:color="auto"/>
        <w:right w:val="none" w:sz="0" w:space="0" w:color="auto"/>
      </w:divBdr>
    </w:div>
    <w:div w:id="931207921">
      <w:bodyDiv w:val="1"/>
      <w:marLeft w:val="0"/>
      <w:marRight w:val="0"/>
      <w:marTop w:val="0"/>
      <w:marBottom w:val="0"/>
      <w:divBdr>
        <w:top w:val="none" w:sz="0" w:space="0" w:color="auto"/>
        <w:left w:val="none" w:sz="0" w:space="0" w:color="auto"/>
        <w:bottom w:val="none" w:sz="0" w:space="0" w:color="auto"/>
        <w:right w:val="none" w:sz="0" w:space="0" w:color="auto"/>
      </w:divBdr>
    </w:div>
    <w:div w:id="1364285402">
      <w:bodyDiv w:val="1"/>
      <w:marLeft w:val="0"/>
      <w:marRight w:val="0"/>
      <w:marTop w:val="0"/>
      <w:marBottom w:val="0"/>
      <w:divBdr>
        <w:top w:val="none" w:sz="0" w:space="0" w:color="auto"/>
        <w:left w:val="none" w:sz="0" w:space="0" w:color="auto"/>
        <w:bottom w:val="none" w:sz="0" w:space="0" w:color="auto"/>
        <w:right w:val="none" w:sz="0" w:space="0" w:color="auto"/>
      </w:divBdr>
    </w:div>
    <w:div w:id="1436289019">
      <w:bodyDiv w:val="1"/>
      <w:marLeft w:val="0"/>
      <w:marRight w:val="0"/>
      <w:marTop w:val="0"/>
      <w:marBottom w:val="0"/>
      <w:divBdr>
        <w:top w:val="none" w:sz="0" w:space="0" w:color="auto"/>
        <w:left w:val="none" w:sz="0" w:space="0" w:color="auto"/>
        <w:bottom w:val="none" w:sz="0" w:space="0" w:color="auto"/>
        <w:right w:val="none" w:sz="0" w:space="0" w:color="auto"/>
      </w:divBdr>
    </w:div>
    <w:div w:id="1479029769">
      <w:bodyDiv w:val="1"/>
      <w:marLeft w:val="0"/>
      <w:marRight w:val="0"/>
      <w:marTop w:val="0"/>
      <w:marBottom w:val="0"/>
      <w:divBdr>
        <w:top w:val="none" w:sz="0" w:space="0" w:color="auto"/>
        <w:left w:val="none" w:sz="0" w:space="0" w:color="auto"/>
        <w:bottom w:val="none" w:sz="0" w:space="0" w:color="auto"/>
        <w:right w:val="none" w:sz="0" w:space="0" w:color="auto"/>
      </w:divBdr>
    </w:div>
    <w:div w:id="1940139417">
      <w:bodyDiv w:val="1"/>
      <w:marLeft w:val="0"/>
      <w:marRight w:val="0"/>
      <w:marTop w:val="0"/>
      <w:marBottom w:val="0"/>
      <w:divBdr>
        <w:top w:val="none" w:sz="0" w:space="0" w:color="auto"/>
        <w:left w:val="none" w:sz="0" w:space="0" w:color="auto"/>
        <w:bottom w:val="none" w:sz="0" w:space="0" w:color="auto"/>
        <w:right w:val="none" w:sz="0" w:space="0" w:color="auto"/>
      </w:divBdr>
    </w:div>
    <w:div w:id="1966692603">
      <w:bodyDiv w:val="1"/>
      <w:marLeft w:val="0"/>
      <w:marRight w:val="0"/>
      <w:marTop w:val="0"/>
      <w:marBottom w:val="0"/>
      <w:divBdr>
        <w:top w:val="none" w:sz="0" w:space="0" w:color="auto"/>
        <w:left w:val="none" w:sz="0" w:space="0" w:color="auto"/>
        <w:bottom w:val="none" w:sz="0" w:space="0" w:color="auto"/>
        <w:right w:val="none" w:sz="0" w:space="0" w:color="auto"/>
      </w:divBdr>
    </w:div>
    <w:div w:id="209670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Publications/NPM_Guide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hri.ohchr.org/EN/ICC/GeneralMeeting/2018/Pages/GANHRI%20Annual%20Conferen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en/ga/search/view_doc.asp?symbol=CRPD/C/1/Rev.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t.ch/en/national-preventive-mechanisms-npms/apt.ch/en/opcat-database/"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nhri.ohchr.org/EN/Themes/PersonsDisabilities/Documents/Human_Rights_and_Disability_Manual.pdf" TargetMode="External"/><Relationship Id="rId1" Type="http://schemas.openxmlformats.org/officeDocument/2006/relationships/hyperlink" Target="https://www.un.org/en/ga/search/view_doc.asp?symbol=CRPD/C/1/Re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MPTF_00068_00052</ProjectId>
    <FundCode xmlns="f9695bc1-6109-4dcd-a27a-f8a0370b00e2">MPTF_00068</FundCode>
    <Comments xmlns="f9695bc1-6109-4dcd-a27a-f8a0370b00e2" xsi:nil="true"/>
    <Active xmlns="f9695bc1-6109-4dcd-a27a-f8a0370b00e2">Yes</Active>
    <DocumentDate xmlns="b1528a4b-5ccb-40f7-a09e-43427183cd95">2020-07-02T07:00:00+00:00</DocumentDate>
    <Featured xmlns="b1528a4b-5ccb-40f7-a09e-43427183cd95">1</Featured>
    <FormTypeCode xmlns="b1528a4b-5ccb-40f7-a09e-43427183cd9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B86E-F9E6-405B-8160-F5A4BCB85A1A}"/>
</file>

<file path=customXml/itemProps2.xml><?xml version="1.0" encoding="utf-8"?>
<ds:datastoreItem xmlns:ds="http://schemas.openxmlformats.org/officeDocument/2006/customXml" ds:itemID="{B8413CE3-712F-4E18-AF2F-3F4CEC848A4B}">
  <ds:schemaRefs>
    <ds:schemaRef ds:uri="http://schemas.microsoft.com/sharepoint/v3/contenttype/forms"/>
  </ds:schemaRefs>
</ds:datastoreItem>
</file>

<file path=customXml/itemProps3.xml><?xml version="1.0" encoding="utf-8"?>
<ds:datastoreItem xmlns:ds="http://schemas.openxmlformats.org/officeDocument/2006/customXml" ds:itemID="{C287C68A-0DD9-479B-857D-B8C925D8FF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9788E-D9F9-41C0-A252-9476BD0A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3567</Words>
  <Characters>20335</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ProDoc_200702.docx</dc:title>
  <dc:creator>Sreerupa</dc:creator>
  <cp:lastModifiedBy>Sreerupa Mitra</cp:lastModifiedBy>
  <cp:revision>4</cp:revision>
  <dcterms:created xsi:type="dcterms:W3CDTF">2020-07-01T15:03:00Z</dcterms:created>
  <dcterms:modified xsi:type="dcterms:W3CDTF">2020-07-02T01:27:00Z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